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rFonts w:ascii="Microsoft JhengHei" w:hAnsi="Microsoft JhengHei" w:eastAsia="Microsoft JhengHei"/>
          <w:b/>
          <w:sz w:val="32"/>
        </w:rPr>
        <w:t>「健康台灣深耕計畫」－泌尿科門診前問診與醫師覆核摘要支持系統</w:t>
      </w:r>
    </w:p>
    <w:p>
      <w:r>
        <w:rPr>
          <w:rFonts w:ascii="Microsoft JhengHei" w:hAnsi="Microsoft JhengHei" w:eastAsia="Microsoft JhengHei"/>
        </w:rPr>
        <w:t>狀態：陽明交大吳老師團隊「門診前 AI」健康台灣深耕計畫完整工作稿</w:t>
      </w:r>
    </w:p>
    <w:p>
      <w:r>
        <w:rPr>
          <w:rFonts w:ascii="Microsoft JhengHei" w:hAnsi="Microsoft JhengHei" w:eastAsia="Microsoft JhengHei"/>
        </w:rPr>
        <w:t>日期：2026-06-19</w:t>
      </w:r>
    </w:p>
    <w:p>
      <w:r>
        <w:rPr>
          <w:rFonts w:ascii="Microsoft JhengHei" w:hAnsi="Microsoft JhengHei" w:eastAsia="Microsoft JhengHei"/>
        </w:rPr>
        <w:t>格式來源：`records/2026-06-18/sources/tch-zhongxiao-xinyi-deep-cultivation-plan-revised-2026-06-18.docx`。該檔為泌尿科自行提報 PSA 內容，本稿僅取其健康台灣深耕計畫章節格式，不沿用 PSA 計畫內容。</w:t>
      </w:r>
    </w:p>
    <w:p>
      <w:r>
        <w:rPr>
          <w:rFonts w:ascii="Microsoft JhengHei" w:hAnsi="Microsoft JhengHei" w:eastAsia="Microsoft JhengHei"/>
        </w:rPr>
        <w:t>審查來源：`records/2026-06-19/sources/nycu-ai-previsit-expert-review/`</w:t>
      </w:r>
    </w:p>
    <w:p>
      <w:pPr>
        <w:pStyle w:val="1"/>
      </w:pPr>
      <w:r>
        <w:rPr>
          <w:rFonts w:ascii="Microsoft JhengHei" w:hAnsi="Microsoft JhengHei" w:eastAsia="Microsoft JhengHei"/>
          <w:b/>
          <w:sz w:val="28"/>
        </w:rPr>
        <w:t>封面填報建議</w:t>
      </w:r>
    </w:p>
    <w:tbl>
      <w:tblPr>
        <w:tblStyle w:val="aff9"/>
        <w:tblW w:type="auto" w:w="0"/>
        <w:tblLook w:firstColumn="1" w:firstRow="1" w:lastColumn="0" w:lastRow="0" w:noHBand="0" w:noVBand="1" w:val="04A0"/>
      </w:tblPr>
      <w:tblGrid>
        <w:gridCol w:w="3401"/>
        <w:gridCol w:w="3401"/>
        <w:gridCol w:w="3401"/>
      </w:tblGrid>
      <w:tr>
        <w:tc>
          <w:tcPr>
            <w:tcW w:type="dxa" w:w="3401"/>
          </w:tcPr>
          <w:p>
            <w:r>
              <w:rPr>
                <w:rFonts w:ascii="Microsoft JhengHei" w:hAnsi="Microsoft JhengHei" w:eastAsia="Microsoft JhengHei"/>
                <w:b/>
                <w:sz w:val="18"/>
              </w:rPr>
              <w:t>欄位</w:t>
            </w:r>
          </w:p>
        </w:tc>
        <w:tc>
          <w:tcPr>
            <w:tcW w:type="dxa" w:w="3401"/>
          </w:tcPr>
          <w:p>
            <w:r>
              <w:rPr>
                <w:rFonts w:ascii="Microsoft JhengHei" w:hAnsi="Microsoft JhengHei" w:eastAsia="Microsoft JhengHei"/>
                <w:b/>
                <w:sz w:val="18"/>
              </w:rPr>
              <w:t>建議填法</w:t>
            </w:r>
          </w:p>
        </w:tc>
        <w:tc>
          <w:tcPr>
            <w:tcW w:type="dxa" w:w="3401"/>
          </w:tcPr>
          <w:p>
            <w:r>
              <w:rPr>
                <w:rFonts w:ascii="Microsoft JhengHei" w:hAnsi="Microsoft JhengHei" w:eastAsia="Microsoft JhengHei"/>
                <w:b/>
                <w:sz w:val="18"/>
              </w:rPr>
              <w:t>說明</w:t>
            </w:r>
          </w:p>
        </w:tc>
      </w:tr>
      <w:tr>
        <w:tc>
          <w:tcPr>
            <w:tcW w:type="dxa" w:w="3401"/>
          </w:tcPr>
          <w:p>
            <w:r>
              <w:rPr>
                <w:rFonts w:ascii="Microsoft JhengHei" w:hAnsi="Microsoft JhengHei" w:eastAsia="Microsoft JhengHei"/>
                <w:b w:val="0"/>
                <w:sz w:val="18"/>
              </w:rPr>
              <w:t>計畫名稱</w:t>
            </w:r>
          </w:p>
        </w:tc>
        <w:tc>
          <w:tcPr>
            <w:tcW w:type="dxa" w:w="3401"/>
          </w:tcPr>
          <w:p>
            <w:r>
              <w:rPr>
                <w:rFonts w:ascii="Microsoft JhengHei" w:hAnsi="Microsoft JhengHei" w:eastAsia="Microsoft JhengHei"/>
                <w:b w:val="0"/>
                <w:sz w:val="18"/>
              </w:rPr>
              <w:t>泌尿科門診前問診與醫師覆核摘要支持系統</w:t>
            </w:r>
          </w:p>
        </w:tc>
        <w:tc>
          <w:tcPr>
            <w:tcW w:type="dxa" w:w="3401"/>
          </w:tcPr>
          <w:p>
            <w:r>
              <w:rPr>
                <w:rFonts w:ascii="Microsoft JhengHei" w:hAnsi="Microsoft JhengHei" w:eastAsia="Microsoft JhengHei"/>
                <w:b w:val="0"/>
                <w:sz w:val="18"/>
              </w:rPr>
              <w:t>名稱直接扣住門診前問診、醫師覆核與摘要支持。</w:t>
            </w:r>
          </w:p>
        </w:tc>
      </w:tr>
      <w:tr>
        <w:tc>
          <w:tcPr>
            <w:tcW w:type="dxa" w:w="3401"/>
          </w:tcPr>
          <w:p>
            <w:r>
              <w:rPr>
                <w:rFonts w:ascii="Microsoft JhengHei" w:hAnsi="Microsoft JhengHei" w:eastAsia="Microsoft JhengHei"/>
                <w:b w:val="0"/>
                <w:sz w:val="18"/>
              </w:rPr>
              <w:t>縣市別</w:t>
            </w:r>
          </w:p>
        </w:tc>
        <w:tc>
          <w:tcPr>
            <w:tcW w:type="dxa" w:w="3401"/>
          </w:tcPr>
          <w:p>
            <w:r>
              <w:rPr>
                <w:rFonts w:ascii="Microsoft JhengHei" w:hAnsi="Microsoft JhengHei" w:eastAsia="Microsoft JhengHei"/>
                <w:b w:val="0"/>
                <w:sz w:val="18"/>
              </w:rPr>
              <w:t>臺北市</w:t>
            </w:r>
          </w:p>
        </w:tc>
        <w:tc>
          <w:tcPr>
            <w:tcW w:type="dxa" w:w="3401"/>
          </w:tcPr>
          <w:p>
            <w:r>
              <w:rPr>
                <w:rFonts w:ascii="Microsoft JhengHei" w:hAnsi="Microsoft JhengHei" w:eastAsia="Microsoft JhengHei"/>
                <w:b w:val="0"/>
                <w:sz w:val="18"/>
              </w:rPr>
              <w:t>依主提單位所在地確認。</w:t>
            </w:r>
          </w:p>
        </w:tc>
      </w:tr>
      <w:tr>
        <w:tc>
          <w:tcPr>
            <w:tcW w:type="dxa" w:w="3401"/>
          </w:tcPr>
          <w:p>
            <w:r>
              <w:rPr>
                <w:rFonts w:ascii="Microsoft JhengHei" w:hAnsi="Microsoft JhengHei" w:eastAsia="Microsoft JhengHei"/>
                <w:b w:val="0"/>
                <w:sz w:val="18"/>
              </w:rPr>
              <w:t>申請模式</w:t>
            </w:r>
          </w:p>
        </w:tc>
        <w:tc>
          <w:tcPr>
            <w:tcW w:type="dxa" w:w="3401"/>
          </w:tcPr>
          <w:p>
            <w:r>
              <w:rPr>
                <w:rFonts w:ascii="Microsoft JhengHei" w:hAnsi="Microsoft JhengHei" w:eastAsia="Microsoft JhengHei"/>
                <w:b w:val="0"/>
                <w:sz w:val="18"/>
              </w:rPr>
              <w:t>由主提單位確認；本稿先保留 A / A1 路徑</w:t>
            </w:r>
          </w:p>
        </w:tc>
        <w:tc>
          <w:tcPr>
            <w:tcW w:type="dxa" w:w="3401"/>
          </w:tcPr>
          <w:p>
            <w:r>
              <w:rPr>
                <w:rFonts w:ascii="Microsoft JhengHei" w:hAnsi="Microsoft JhengHei" w:eastAsia="Microsoft JhengHei"/>
                <w:b w:val="0"/>
                <w:sz w:val="18"/>
              </w:rPr>
              <w:t>行政資格與送件模式需由主提機構定案。</w:t>
            </w:r>
          </w:p>
        </w:tc>
      </w:tr>
      <w:tr>
        <w:tc>
          <w:tcPr>
            <w:tcW w:type="dxa" w:w="3401"/>
          </w:tcPr>
          <w:p>
            <w:r>
              <w:rPr>
                <w:rFonts w:ascii="Microsoft JhengHei" w:hAnsi="Microsoft JhengHei" w:eastAsia="Microsoft JhengHei"/>
                <w:b w:val="0"/>
                <w:sz w:val="18"/>
              </w:rPr>
              <w:t>計畫範疇</w:t>
            </w:r>
          </w:p>
        </w:tc>
        <w:tc>
          <w:tcPr>
            <w:tcW w:type="dxa" w:w="3401"/>
          </w:tcPr>
          <w:p>
            <w:r>
              <w:rPr>
                <w:rFonts w:ascii="Microsoft JhengHei" w:hAnsi="Microsoft JhengHei" w:eastAsia="Microsoft JhengHei"/>
                <w:b w:val="0"/>
                <w:sz w:val="18"/>
              </w:rPr>
              <w:t>主軸：範疇三「導入智慧科技醫療」；副支援：範疇一「優化醫療工作條件」</w:t>
            </w:r>
          </w:p>
        </w:tc>
        <w:tc>
          <w:tcPr>
            <w:tcW w:type="dxa" w:w="3401"/>
          </w:tcPr>
          <w:p>
            <w:r>
              <w:rPr>
                <w:rFonts w:ascii="Microsoft JhengHei" w:hAnsi="Microsoft JhengHei" w:eastAsia="Microsoft JhengHei"/>
                <w:b w:val="0"/>
                <w:sz w:val="18"/>
              </w:rPr>
              <w:t>範疇三支撐 AI、流程效率、資料安全；範疇一支撐降低重複問診與資訊整理負擔。</w:t>
            </w:r>
          </w:p>
        </w:tc>
      </w:tr>
      <w:tr>
        <w:tc>
          <w:tcPr>
            <w:tcW w:type="dxa" w:w="3401"/>
          </w:tcPr>
          <w:p>
            <w:r>
              <w:rPr>
                <w:rFonts w:ascii="Microsoft JhengHei" w:hAnsi="Microsoft JhengHei" w:eastAsia="Microsoft JhengHei"/>
                <w:b w:val="0"/>
                <w:sz w:val="18"/>
              </w:rPr>
              <w:t>主提機構</w:t>
            </w:r>
          </w:p>
        </w:tc>
        <w:tc>
          <w:tcPr>
            <w:tcW w:type="dxa" w:w="3401"/>
          </w:tcPr>
          <w:p>
            <w:r>
              <w:rPr>
                <w:rFonts w:ascii="Microsoft JhengHei" w:hAnsi="Microsoft JhengHei" w:eastAsia="Microsoft JhengHei"/>
                <w:b w:val="0"/>
                <w:sz w:val="18"/>
              </w:rPr>
              <w:t>待主提單位確認</w:t>
            </w:r>
          </w:p>
        </w:tc>
        <w:tc>
          <w:tcPr>
            <w:tcW w:type="dxa" w:w="3401"/>
          </w:tcPr>
          <w:p>
            <w:r>
              <w:rPr>
                <w:rFonts w:ascii="Microsoft JhengHei" w:hAnsi="Microsoft JhengHei" w:eastAsia="Microsoft JhengHei"/>
                <w:b w:val="0"/>
                <w:sz w:val="18"/>
              </w:rPr>
              <w:t>醫事機構代碼、統一編號、負責人與函送流程由主提機構補齊。</w:t>
            </w:r>
          </w:p>
        </w:tc>
      </w:tr>
      <w:tr>
        <w:tc>
          <w:tcPr>
            <w:tcW w:type="dxa" w:w="3401"/>
          </w:tcPr>
          <w:p>
            <w:r>
              <w:rPr>
                <w:rFonts w:ascii="Microsoft JhengHei" w:hAnsi="Microsoft JhengHei" w:eastAsia="Microsoft JhengHei"/>
                <w:b w:val="0"/>
                <w:sz w:val="18"/>
              </w:rPr>
              <w:t>合作機構</w:t>
            </w:r>
          </w:p>
        </w:tc>
        <w:tc>
          <w:tcPr>
            <w:tcW w:type="dxa" w:w="3401"/>
          </w:tcPr>
          <w:p>
            <w:r>
              <w:rPr>
                <w:rFonts w:ascii="Microsoft JhengHei" w:hAnsi="Microsoft JhengHei" w:eastAsia="Microsoft JhengHei"/>
                <w:b w:val="0"/>
                <w:sz w:val="18"/>
              </w:rPr>
              <w:t>國立陽明交通大學團隊；臺北市立聯合醫院相關院區 / 門診部依主提案確認</w:t>
            </w:r>
          </w:p>
        </w:tc>
        <w:tc>
          <w:tcPr>
            <w:tcW w:type="dxa" w:w="3401"/>
          </w:tcPr>
          <w:p>
            <w:r>
              <w:rPr>
                <w:rFonts w:ascii="Microsoft JhengHei" w:hAnsi="Microsoft JhengHei" w:eastAsia="Microsoft JhengHei"/>
                <w:b w:val="0"/>
                <w:sz w:val="18"/>
              </w:rPr>
              <w:t>NYCU 擔任 AI workflow、問診摘要 schema、KPI evidence、治理文件與 prototype 支援角色。</w:t>
            </w:r>
          </w:p>
        </w:tc>
      </w:tr>
      <w:tr>
        <w:tc>
          <w:tcPr>
            <w:tcW w:type="dxa" w:w="3401"/>
          </w:tcPr>
          <w:p>
            <w:r>
              <w:rPr>
                <w:rFonts w:ascii="Microsoft JhengHei" w:hAnsi="Microsoft JhengHei" w:eastAsia="Microsoft JhengHei"/>
                <w:b w:val="0"/>
                <w:sz w:val="18"/>
              </w:rPr>
              <w:t>申請經費</w:t>
            </w:r>
          </w:p>
        </w:tc>
        <w:tc>
          <w:tcPr>
            <w:tcW w:type="dxa" w:w="3401"/>
          </w:tcPr>
          <w:p>
            <w:r>
              <w:rPr>
                <w:rFonts w:ascii="Microsoft JhengHei" w:hAnsi="Microsoft JhengHei" w:eastAsia="Microsoft JhengHei"/>
                <w:b w:val="0"/>
                <w:sz w:val="18"/>
              </w:rPr>
              <w:t>三年新臺幣 10,000,000 元整</w:t>
            </w:r>
          </w:p>
        </w:tc>
        <w:tc>
          <w:tcPr>
            <w:tcW w:type="dxa" w:w="3401"/>
          </w:tcPr>
          <w:p>
            <w:r>
              <w:rPr>
                <w:rFonts w:ascii="Microsoft JhengHei" w:hAnsi="Microsoft JhengHei" w:eastAsia="Microsoft JhengHei"/>
                <w:b w:val="0"/>
                <w:sz w:val="18"/>
              </w:rPr>
              <w:t>AI-only package 工作額度；正式補助款 / 配合款與會計科目由 budget owner 轉表。</w:t>
            </w:r>
          </w:p>
        </w:tc>
      </w:tr>
      <w:tr>
        <w:tc>
          <w:tcPr>
            <w:tcW w:type="dxa" w:w="3401"/>
          </w:tcPr>
          <w:p>
            <w:r>
              <w:rPr>
                <w:rFonts w:ascii="Microsoft JhengHei" w:hAnsi="Microsoft JhengHei" w:eastAsia="Microsoft JhengHei"/>
                <w:b w:val="0"/>
                <w:sz w:val="18"/>
              </w:rPr>
              <w:t>執行期程</w:t>
            </w:r>
          </w:p>
        </w:tc>
        <w:tc>
          <w:tcPr>
            <w:tcW w:type="dxa" w:w="3401"/>
          </w:tcPr>
          <w:p>
            <w:r>
              <w:rPr>
                <w:rFonts w:ascii="Microsoft JhengHei" w:hAnsi="Microsoft JhengHei" w:eastAsia="Microsoft JhengHei"/>
                <w:b w:val="0"/>
                <w:sz w:val="18"/>
              </w:rPr>
              <w:t>三年期；依核定年度調整</w:t>
            </w:r>
          </w:p>
        </w:tc>
        <w:tc>
          <w:tcPr>
            <w:tcW w:type="dxa" w:w="3401"/>
          </w:tcPr>
          <w:p>
            <w:r>
              <w:rPr>
                <w:rFonts w:ascii="Microsoft JhengHei" w:hAnsi="Microsoft JhengHei" w:eastAsia="Microsoft JhengHei"/>
                <w:b w:val="0"/>
                <w:sz w:val="18"/>
              </w:rPr>
              <w:t>Y1 setup、Y2 evaluation、Y3 handoff。</w:t>
            </w:r>
          </w:p>
        </w:tc>
      </w:tr>
      <w:tr>
        <w:tc>
          <w:tcPr>
            <w:tcW w:type="dxa" w:w="3401"/>
          </w:tcPr>
          <w:p>
            <w:r>
              <w:rPr>
                <w:rFonts w:ascii="Microsoft JhengHei" w:hAnsi="Microsoft JhengHei" w:eastAsia="Microsoft JhengHei"/>
                <w:b w:val="0"/>
                <w:sz w:val="18"/>
              </w:rPr>
              <w:t>計畫主持人</w:t>
            </w:r>
          </w:p>
        </w:tc>
        <w:tc>
          <w:tcPr>
            <w:tcW w:type="dxa" w:w="3401"/>
          </w:tcPr>
          <w:p>
            <w:r>
              <w:rPr>
                <w:rFonts w:ascii="Microsoft JhengHei" w:hAnsi="Microsoft JhengHei" w:eastAsia="Microsoft JhengHei"/>
                <w:b w:val="0"/>
                <w:sz w:val="18"/>
              </w:rPr>
              <w:t>待主提單位確認</w:t>
            </w:r>
          </w:p>
        </w:tc>
        <w:tc>
          <w:tcPr>
            <w:tcW w:type="dxa" w:w="3401"/>
          </w:tcPr>
          <w:p>
            <w:r>
              <w:rPr>
                <w:rFonts w:ascii="Microsoft JhengHei" w:hAnsi="Microsoft JhengHei" w:eastAsia="Microsoft JhengHei"/>
                <w:b w:val="0"/>
                <w:sz w:val="18"/>
              </w:rPr>
              <w:t>需與簽章、利益衝突、同意書一致。</w:t>
            </w:r>
          </w:p>
        </w:tc>
      </w:tr>
      <w:tr>
        <w:tc>
          <w:tcPr>
            <w:tcW w:type="dxa" w:w="3401"/>
          </w:tcPr>
          <w:p>
            <w:r>
              <w:rPr>
                <w:rFonts w:ascii="Microsoft JhengHei" w:hAnsi="Microsoft JhengHei" w:eastAsia="Microsoft JhengHei"/>
                <w:b w:val="0"/>
                <w:sz w:val="18"/>
              </w:rPr>
              <w:t>聯絡人</w:t>
            </w:r>
          </w:p>
        </w:tc>
        <w:tc>
          <w:tcPr>
            <w:tcW w:type="dxa" w:w="3401"/>
          </w:tcPr>
          <w:p>
            <w:r>
              <w:rPr>
                <w:rFonts w:ascii="Microsoft JhengHei" w:hAnsi="Microsoft JhengHei" w:eastAsia="Microsoft JhengHei"/>
                <w:b w:val="0"/>
                <w:sz w:val="18"/>
              </w:rPr>
              <w:t>待主提單位確認</w:t>
            </w:r>
          </w:p>
        </w:tc>
        <w:tc>
          <w:tcPr>
            <w:tcW w:type="dxa" w:w="3401"/>
          </w:tcPr>
          <w:p>
            <w:r>
              <w:rPr>
                <w:rFonts w:ascii="Microsoft JhengHei" w:hAnsi="Microsoft JhengHei" w:eastAsia="Microsoft JhengHei"/>
                <w:b w:val="0"/>
                <w:sz w:val="18"/>
              </w:rPr>
              <w:t>需與正式送件平台及行政窗口一致。</w:t>
            </w:r>
          </w:p>
        </w:tc>
      </w:tr>
    </w:tbl>
    <w:p>
      <w:pPr>
        <w:pStyle w:val="1"/>
      </w:pPr>
      <w:r>
        <w:rPr>
          <w:rFonts w:ascii="Microsoft JhengHei" w:hAnsi="Microsoft JhengHei" w:eastAsia="Microsoft JhengHei"/>
          <w:b/>
          <w:sz w:val="28"/>
        </w:rPr>
        <w:t>目錄</w:t>
      </w:r>
    </w:p>
    <w:p>
      <w:r>
        <w:rPr>
          <w:rFonts w:ascii="Microsoft JhengHei" w:hAnsi="Microsoft JhengHei" w:eastAsia="Microsoft JhengHei"/>
        </w:rPr>
        <w:t>壹、申請單位自我檢核項目表</w:t>
      </w:r>
    </w:p>
    <w:p>
      <w:r>
        <w:rPr>
          <w:rFonts w:ascii="Microsoft JhengHei" w:hAnsi="Microsoft JhengHei" w:eastAsia="Microsoft JhengHei"/>
        </w:rPr>
        <w:t>貳、計畫概要</w:t>
      </w:r>
    </w:p>
    <w:p>
      <w:r>
        <w:rPr>
          <w:rFonts w:ascii="Microsoft JhengHei" w:hAnsi="Microsoft JhengHei" w:eastAsia="Microsoft JhengHei"/>
        </w:rPr>
        <w:t>參、申請單位簡介</w:t>
      </w:r>
    </w:p>
    <w:p>
      <w:r>
        <w:rPr>
          <w:rFonts w:ascii="Microsoft JhengHei" w:hAnsi="Microsoft JhengHei" w:eastAsia="Microsoft JhengHei"/>
        </w:rPr>
        <w:t>肆、計畫規劃</w:t>
      </w:r>
    </w:p>
    <w:p>
      <w:r>
        <w:rPr>
          <w:rFonts w:ascii="Microsoft JhengHei" w:hAnsi="Microsoft JhengHei" w:eastAsia="Microsoft JhengHei"/>
        </w:rPr>
        <w:t>伍、效益評估</w:t>
      </w:r>
    </w:p>
    <w:p>
      <w:r>
        <w:rPr>
          <w:rFonts w:ascii="Microsoft JhengHei" w:hAnsi="Microsoft JhengHei" w:eastAsia="Microsoft JhengHei"/>
        </w:rPr>
        <w:t>陸、出國計畫書</w:t>
      </w:r>
    </w:p>
    <w:p>
      <w:r>
        <w:rPr>
          <w:rFonts w:ascii="Microsoft JhengHei" w:hAnsi="Microsoft JhengHei" w:eastAsia="Microsoft JhengHei"/>
        </w:rPr>
        <w:t>柒、經費規劃</w:t>
      </w:r>
    </w:p>
    <w:p>
      <w:r>
        <w:rPr>
          <w:rFonts w:ascii="Microsoft JhengHei" w:hAnsi="Microsoft JhengHei" w:eastAsia="Microsoft JhengHei"/>
        </w:rPr>
        <w:t>捌、人力配置表</w:t>
      </w:r>
    </w:p>
    <w:p>
      <w:r>
        <w:rPr>
          <w:rFonts w:ascii="Microsoft JhengHei" w:hAnsi="Microsoft JhengHei" w:eastAsia="Microsoft JhengHei"/>
        </w:rPr>
        <w:t>玖、其他</w:t>
      </w:r>
    </w:p>
    <w:p>
      <w:r>
        <w:rPr>
          <w:rFonts w:ascii="Microsoft JhengHei" w:hAnsi="Microsoft JhengHei" w:eastAsia="Microsoft JhengHei"/>
        </w:rPr>
        <w:t>拾、審查意見預答與回復表</w:t>
      </w:r>
    </w:p>
    <w:p>
      <w:r>
        <w:rPr>
          <w:rFonts w:ascii="Microsoft JhengHei" w:hAnsi="Microsoft JhengHei" w:eastAsia="Microsoft JhengHei"/>
        </w:rPr>
        <w:t>附錄、來源與待確認事項</w:t>
      </w:r>
    </w:p>
    <w:p>
      <w:pPr>
        <w:pStyle w:val="1"/>
      </w:pPr>
      <w:r>
        <w:rPr>
          <w:rFonts w:ascii="Microsoft JhengHei" w:hAnsi="Microsoft JhengHei" w:eastAsia="Microsoft JhengHei"/>
          <w:b/>
          <w:sz w:val="28"/>
        </w:rPr>
        <w:t>壹、申請單位自我檢核項目表</w:t>
      </w:r>
    </w:p>
    <w:p>
      <w:r>
        <w:rPr>
          <w:rFonts w:ascii="Microsoft JhengHei" w:hAnsi="Microsoft JhengHei" w:eastAsia="Microsoft JhengHei"/>
        </w:rPr>
        <w:t>本工作稿支援主提單位完成「健康台灣深耕計畫」送件格式、計畫範疇、KPI、經費、治理與合作單位內容整合。正式送件前，主提單位需完成資格證明、公職人員利益衝突迴避自主檢核、未重複申請聲明、參與計畫同意書、醫事機構代碼、簽章與函送程序。</w:t>
      </w:r>
    </w:p>
    <w:p>
      <w:r>
        <w:rPr>
          <w:rFonts w:ascii="Microsoft JhengHei" w:hAnsi="Microsoft JhengHei" w:eastAsia="Microsoft JhengHei"/>
        </w:rPr>
        <w:t>陽明交大團隊提供智慧醫療 workflow 設計、AI/data governance、KPI evidence、問診摘要 schema、prototype / reviewer evidence 與技術文件。正式醫療場域、個資、資安、IRB/QI、採購、委外與病人資料使用，由主提單位指定 owner 後啟動。</w:t>
      </w:r>
    </w:p>
    <w:p>
      <w:r>
        <w:rPr>
          <w:rFonts w:ascii="Microsoft JhengHei" w:hAnsi="Microsoft JhengHei" w:eastAsia="Microsoft JhengHei"/>
        </w:rPr>
        <w:t>本案的送件定位採正向 scope control：AI package 負責門診前資訊蒐集、來源標記、缺漏欄位可見化、一頁式醫師覆核摘要與治理紀錄；病人關係管理、病人訊息推播、長期追蹤、正式 HIS/EMR 寫回與臨床處置決策，保留給另案治理路徑。</w:t>
      </w:r>
    </w:p>
    <w:p>
      <w:pPr>
        <w:pStyle w:val="1"/>
      </w:pPr>
      <w:r>
        <w:rPr>
          <w:rFonts w:ascii="Microsoft JhengHei" w:hAnsi="Microsoft JhengHei" w:eastAsia="Microsoft JhengHei"/>
          <w:b/>
          <w:sz w:val="28"/>
        </w:rPr>
        <w:t>貳、計畫概要</w:t>
      </w:r>
    </w:p>
    <w:p>
      <w:r>
        <w:rPr>
          <w:rFonts w:ascii="Microsoft JhengHei" w:hAnsi="Microsoft JhengHei" w:eastAsia="Microsoft JhengHei"/>
        </w:rPr>
        <w:t>本子計畫建立泌尿科門診前低摩擦症狀蒐集與醫師覆核摘要支持流程。系統以病人、家屬或工作人員協助填答、來源標記、缺漏欄位可見化、一頁式醫師覆核摘要與治理紀錄為核心，協助臨床團隊在看診前掌握主訴、症狀脈絡、追問方向與需補問資訊。</w:t>
      </w:r>
    </w:p>
    <w:p>
      <w:r>
        <w:rPr>
          <w:rFonts w:ascii="Microsoft JhengHei" w:hAnsi="Microsoft JhengHei" w:eastAsia="Microsoft JhengHei"/>
        </w:rPr>
        <w:t>本計畫的主要貢獻是把 AI、APP、ASR 與 API readiness 放在可治理的門診前資訊整理流程中。AI 支援結構化、缺漏提示、摘要草擬、版本紀錄與人機協作；醫師保留臨床解讀、診斷與處置責任；真實病患資料、HIS/EMR 連接、IRB/QI、資安與採購流程，依院內治理與主提單位決策啟用。</w:t>
      </w:r>
    </w:p>
    <w:p>
      <w:r>
        <w:rPr>
          <w:rFonts w:ascii="Microsoft JhengHei" w:hAnsi="Microsoft JhengHei" w:eastAsia="Microsoft JhengHei"/>
        </w:rPr>
        <w:t>本案以範疇三「導入智慧科技醫療」為主軸，建立問診、摘要、資料治理與安全查核的可驗收流程；以範疇一「優化醫療工作條件」為副支援，透過門診前資料整理與一頁式醫師覆核摘要，降低重複問診、臨場補問、缺欄補資料與資訊分散造成的時間負擔。</w:t>
      </w:r>
    </w:p>
    <w:p>
      <w:r>
        <w:rPr>
          <w:rFonts w:ascii="Microsoft JhengHei" w:hAnsi="Microsoft JhengHei" w:eastAsia="Microsoft JhengHei"/>
        </w:rPr>
        <w:t>本子計畫作為泌尿科門診 visit readiness 支援層：病人在看診前完成 guided intake，醫師取得來源清楚、缺漏可見的一頁式覆核摘要。社區追蹤、CRM、病人訊息推播與回診管理不列入本案；本案聚焦於門診前資訊準備、醫師覆核、AI/data/security governance 與可驗收 KPI evidence。</w:t>
      </w:r>
    </w:p>
    <w:p>
      <w:pPr>
        <w:pStyle w:val="1"/>
      </w:pPr>
      <w:r>
        <w:rPr>
          <w:rFonts w:ascii="Microsoft JhengHei" w:hAnsi="Microsoft JhengHei" w:eastAsia="Microsoft JhengHei"/>
          <w:b/>
          <w:sz w:val="28"/>
        </w:rPr>
        <w:t>參、申請單位簡介</w:t>
      </w:r>
    </w:p>
    <w:p>
      <w:pPr>
        <w:pStyle w:val="2"/>
      </w:pPr>
      <w:r>
        <w:rPr>
          <w:rFonts w:ascii="Microsoft JhengHei" w:hAnsi="Microsoft JhengHei" w:eastAsia="Microsoft JhengHei"/>
          <w:b/>
          <w:sz w:val="24"/>
        </w:rPr>
        <w:t>一、主提醫療機構</w:t>
      </w:r>
    </w:p>
    <w:p>
      <w:r>
        <w:rPr>
          <w:rFonts w:ascii="Microsoft JhengHei" w:hAnsi="Microsoft JhengHei" w:eastAsia="Microsoft JhengHei"/>
        </w:rPr>
        <w:t>主提醫療機構提供臨床場域、病人流程、門診工作流、資安與個資治理、IRB/QI 判定、採購與行政送件路徑。正式合作單位、醫事機構代碼、負責人、計畫主持人、聯絡人與簽章文件由主提案 owner 補齊。</w:t>
      </w:r>
    </w:p>
    <w:p>
      <w:r>
        <w:rPr>
          <w:rFonts w:ascii="Microsoft JhengHei" w:hAnsi="Microsoft JhengHei" w:eastAsia="Microsoft JhengHei"/>
        </w:rPr>
        <w:t>主提醫療機構在本案中的關鍵角色，是把門診現場的資訊需求、診間節奏、臨床責任與院內治理路徑整合成可執行的深耕計畫。AI 問診系統的成功條件不是單一模型表現，而是臨床流程、資訊安全、醫師覆核與年度管考能共同運作。</w:t>
      </w:r>
    </w:p>
    <w:p>
      <w:pPr>
        <w:pStyle w:val="2"/>
      </w:pPr>
      <w:r>
        <w:rPr>
          <w:rFonts w:ascii="Microsoft JhengHei" w:hAnsi="Microsoft JhengHei" w:eastAsia="Microsoft JhengHei"/>
          <w:b/>
          <w:sz w:val="24"/>
        </w:rPr>
        <w:t>二、國立陽明交通大學團隊</w:t>
      </w:r>
    </w:p>
    <w:p>
      <w:r>
        <w:rPr>
          <w:rFonts w:ascii="Microsoft JhengHei" w:hAnsi="Microsoft JhengHei" w:eastAsia="Microsoft JhengHei"/>
        </w:rPr>
        <w:t>陽明交大團隊在本案中擔任智慧醫療工作流、AI 輔助問診、資料治理、KPI evidence 與技術轉譯角色。團隊重點是把泌尿科門診前資訊蒐集與醫師覆核摘要整理成可審查、可驗收、可治理的服務系統，並提供 question governance、summary schema、source label、missing-field visibility、prototype evidence 與 reviewer scorecard 支援。</w:t>
      </w:r>
    </w:p>
    <w:p>
      <w:pPr>
        <w:pStyle w:val="2"/>
      </w:pPr>
      <w:r>
        <w:rPr>
          <w:rFonts w:ascii="Microsoft JhengHei" w:hAnsi="Microsoft JhengHei" w:eastAsia="Microsoft JhengHei"/>
          <w:b/>
          <w:sz w:val="24"/>
        </w:rPr>
        <w:t>三、協作分工原則</w:t>
      </w:r>
    </w:p>
    <w:tbl>
      <w:tblPr>
        <w:tblStyle w:val="aff9"/>
        <w:tblW w:type="auto" w:w="0"/>
        <w:tblLook w:firstColumn="1" w:firstRow="1" w:lastColumn="0" w:lastRow="0" w:noHBand="0" w:noVBand="1" w:val="04A0"/>
      </w:tblPr>
      <w:tblGrid>
        <w:gridCol w:w="3401"/>
        <w:gridCol w:w="3401"/>
        <w:gridCol w:w="3401"/>
      </w:tblGrid>
      <w:tr>
        <w:tc>
          <w:tcPr>
            <w:tcW w:type="dxa" w:w="3401"/>
          </w:tcPr>
          <w:p>
            <w:r>
              <w:rPr>
                <w:rFonts w:ascii="Microsoft JhengHei" w:hAnsi="Microsoft JhengHei" w:eastAsia="Microsoft JhengHei"/>
                <w:b/>
                <w:sz w:val="18"/>
              </w:rPr>
              <w:t>分工面向</w:t>
            </w:r>
          </w:p>
        </w:tc>
        <w:tc>
          <w:tcPr>
            <w:tcW w:type="dxa" w:w="3401"/>
          </w:tcPr>
          <w:p>
            <w:r>
              <w:rPr>
                <w:rFonts w:ascii="Microsoft JhengHei" w:hAnsi="Microsoft JhengHei" w:eastAsia="Microsoft JhengHei"/>
                <w:b/>
                <w:sz w:val="18"/>
              </w:rPr>
              <w:t>主提醫療機構</w:t>
            </w:r>
          </w:p>
        </w:tc>
        <w:tc>
          <w:tcPr>
            <w:tcW w:type="dxa" w:w="3401"/>
          </w:tcPr>
          <w:p>
            <w:r>
              <w:rPr>
                <w:rFonts w:ascii="Microsoft JhengHei" w:hAnsi="Microsoft JhengHei" w:eastAsia="Microsoft JhengHei"/>
                <w:b/>
                <w:sz w:val="18"/>
              </w:rPr>
              <w:t>陽明交大團隊</w:t>
            </w:r>
          </w:p>
        </w:tc>
      </w:tr>
      <w:tr>
        <w:tc>
          <w:tcPr>
            <w:tcW w:type="dxa" w:w="3401"/>
          </w:tcPr>
          <w:p>
            <w:r>
              <w:rPr>
                <w:rFonts w:ascii="Microsoft JhengHei" w:hAnsi="Microsoft JhengHei" w:eastAsia="Microsoft JhengHei"/>
                <w:b w:val="0"/>
                <w:sz w:val="18"/>
              </w:rPr>
              <w:t>臨床流程</w:t>
            </w:r>
          </w:p>
        </w:tc>
        <w:tc>
          <w:tcPr>
            <w:tcW w:type="dxa" w:w="3401"/>
          </w:tcPr>
          <w:p>
            <w:r>
              <w:rPr>
                <w:rFonts w:ascii="Microsoft JhengHei" w:hAnsi="Microsoft JhengHei" w:eastAsia="Microsoft JhengHei"/>
                <w:b w:val="0"/>
                <w:sz w:val="18"/>
              </w:rPr>
              <w:t>定義場域、對象、門診節奏、醫師覆核位置</w:t>
            </w:r>
          </w:p>
        </w:tc>
        <w:tc>
          <w:tcPr>
            <w:tcW w:type="dxa" w:w="3401"/>
          </w:tcPr>
          <w:p>
            <w:r>
              <w:rPr>
                <w:rFonts w:ascii="Microsoft JhengHei" w:hAnsi="Microsoft JhengHei" w:eastAsia="Microsoft JhengHei"/>
                <w:b w:val="0"/>
                <w:sz w:val="18"/>
              </w:rPr>
              <w:t>轉譯為 guided intake flow 與 summary workflow</w:t>
            </w:r>
          </w:p>
        </w:tc>
      </w:tr>
      <w:tr>
        <w:tc>
          <w:tcPr>
            <w:tcW w:type="dxa" w:w="3401"/>
          </w:tcPr>
          <w:p>
            <w:r>
              <w:rPr>
                <w:rFonts w:ascii="Microsoft JhengHei" w:hAnsi="Microsoft JhengHei" w:eastAsia="Microsoft JhengHei"/>
                <w:b w:val="0"/>
                <w:sz w:val="18"/>
              </w:rPr>
              <w:t>臨床問題</w:t>
            </w:r>
          </w:p>
        </w:tc>
        <w:tc>
          <w:tcPr>
            <w:tcW w:type="dxa" w:w="3401"/>
          </w:tcPr>
          <w:p>
            <w:r>
              <w:rPr>
                <w:rFonts w:ascii="Microsoft JhengHei" w:hAnsi="Microsoft JhengHei" w:eastAsia="Microsoft JhengHei"/>
                <w:b w:val="0"/>
                <w:sz w:val="18"/>
              </w:rPr>
              <w:t>確認最低必要欄位、追問邏輯、不可用語</w:t>
            </w:r>
          </w:p>
        </w:tc>
        <w:tc>
          <w:tcPr>
            <w:tcW w:type="dxa" w:w="3401"/>
          </w:tcPr>
          <w:p>
            <w:r>
              <w:rPr>
                <w:rFonts w:ascii="Microsoft JhengHei" w:hAnsi="Microsoft JhengHei" w:eastAsia="Microsoft JhengHei"/>
                <w:b w:val="0"/>
                <w:sz w:val="18"/>
              </w:rPr>
              <w:t>建立 question set、schema、missing-field 規則與版本紀錄</w:t>
            </w:r>
          </w:p>
        </w:tc>
      </w:tr>
      <w:tr>
        <w:tc>
          <w:tcPr>
            <w:tcW w:type="dxa" w:w="3401"/>
          </w:tcPr>
          <w:p>
            <w:r>
              <w:rPr>
                <w:rFonts w:ascii="Microsoft JhengHei" w:hAnsi="Microsoft JhengHei" w:eastAsia="Microsoft JhengHei"/>
                <w:b w:val="0"/>
                <w:sz w:val="18"/>
              </w:rPr>
              <w:t>資料治理</w:t>
            </w:r>
          </w:p>
        </w:tc>
        <w:tc>
          <w:tcPr>
            <w:tcW w:type="dxa" w:w="3401"/>
          </w:tcPr>
          <w:p>
            <w:r>
              <w:rPr>
                <w:rFonts w:ascii="Microsoft JhengHei" w:hAnsi="Microsoft JhengHei" w:eastAsia="Microsoft JhengHei"/>
                <w:b w:val="0"/>
                <w:sz w:val="18"/>
              </w:rPr>
              <w:t>指定資安、個資、IRB/QI、採購 owner</w:t>
            </w:r>
          </w:p>
        </w:tc>
        <w:tc>
          <w:tcPr>
            <w:tcW w:type="dxa" w:w="3401"/>
          </w:tcPr>
          <w:p>
            <w:r>
              <w:rPr>
                <w:rFonts w:ascii="Microsoft JhengHei" w:hAnsi="Microsoft JhengHei" w:eastAsia="Microsoft JhengHei"/>
                <w:b w:val="0"/>
                <w:sz w:val="18"/>
              </w:rPr>
              <w:t>提供 data minimization、audit log、AI governance 支援文件</w:t>
            </w:r>
          </w:p>
        </w:tc>
      </w:tr>
      <w:tr>
        <w:tc>
          <w:tcPr>
            <w:tcW w:type="dxa" w:w="3401"/>
          </w:tcPr>
          <w:p>
            <w:r>
              <w:rPr>
                <w:rFonts w:ascii="Microsoft JhengHei" w:hAnsi="Microsoft JhengHei" w:eastAsia="Microsoft JhengHei"/>
                <w:b w:val="0"/>
                <w:sz w:val="18"/>
              </w:rPr>
              <w:t>KPI 與 evidence</w:t>
            </w:r>
          </w:p>
        </w:tc>
        <w:tc>
          <w:tcPr>
            <w:tcW w:type="dxa" w:w="3401"/>
          </w:tcPr>
          <w:p>
            <w:r>
              <w:rPr>
                <w:rFonts w:ascii="Microsoft JhengHei" w:hAnsi="Microsoft JhengHei" w:eastAsia="Microsoft JhengHei"/>
                <w:b w:val="0"/>
                <w:sz w:val="18"/>
              </w:rPr>
              <w:t>確認年度查核與院內資料路徑</w:t>
            </w:r>
          </w:p>
        </w:tc>
        <w:tc>
          <w:tcPr>
            <w:tcW w:type="dxa" w:w="3401"/>
          </w:tcPr>
          <w:p>
            <w:r>
              <w:rPr>
                <w:rFonts w:ascii="Microsoft JhengHei" w:hAnsi="Microsoft JhengHei" w:eastAsia="Microsoft JhengHei"/>
                <w:b w:val="0"/>
                <w:sz w:val="18"/>
              </w:rPr>
              <w:t>產出 KPI workbook、scorecard、reviewer evidence 與年度資料包</w:t>
            </w:r>
          </w:p>
        </w:tc>
      </w:tr>
      <w:tr>
        <w:tc>
          <w:tcPr>
            <w:tcW w:type="dxa" w:w="3401"/>
          </w:tcPr>
          <w:p>
            <w:r>
              <w:rPr>
                <w:rFonts w:ascii="Microsoft JhengHei" w:hAnsi="Microsoft JhengHei" w:eastAsia="Microsoft JhengHei"/>
                <w:b w:val="0"/>
                <w:sz w:val="18"/>
              </w:rPr>
              <w:t>經費與採購</w:t>
            </w:r>
          </w:p>
        </w:tc>
        <w:tc>
          <w:tcPr>
            <w:tcW w:type="dxa" w:w="3401"/>
          </w:tcPr>
          <w:p>
            <w:r>
              <w:rPr>
                <w:rFonts w:ascii="Microsoft JhengHei" w:hAnsi="Microsoft JhengHei" w:eastAsia="Microsoft JhengHei"/>
                <w:b w:val="0"/>
                <w:sz w:val="18"/>
              </w:rPr>
              <w:t>轉入正式會計科目、補助款 / 配合款、採購流程</w:t>
            </w:r>
          </w:p>
        </w:tc>
        <w:tc>
          <w:tcPr>
            <w:tcW w:type="dxa" w:w="3401"/>
          </w:tcPr>
          <w:p>
            <w:r>
              <w:rPr>
                <w:rFonts w:ascii="Microsoft JhengHei" w:hAnsi="Microsoft JhengHei" w:eastAsia="Microsoft JhengHei"/>
                <w:b w:val="0"/>
                <w:sz w:val="18"/>
              </w:rPr>
              <w:t>提供工作包、單價依據、KPI-to-budget traceability</w:t>
            </w:r>
          </w:p>
        </w:tc>
      </w:tr>
    </w:tbl>
    <w:p>
      <w:pPr>
        <w:pStyle w:val="1"/>
      </w:pPr>
      <w:r>
        <w:rPr>
          <w:rFonts w:ascii="Microsoft JhengHei" w:hAnsi="Microsoft JhengHei" w:eastAsia="Microsoft JhengHei"/>
          <w:b/>
          <w:sz w:val="28"/>
        </w:rPr>
        <w:t>肆、計畫規劃</w:t>
      </w:r>
    </w:p>
    <w:p>
      <w:pPr>
        <w:pStyle w:val="2"/>
      </w:pPr>
      <w:r>
        <w:rPr>
          <w:rFonts w:ascii="Microsoft JhengHei" w:hAnsi="Microsoft JhengHei" w:eastAsia="Microsoft JhengHei"/>
          <w:b/>
          <w:sz w:val="24"/>
        </w:rPr>
        <w:t>一、範疇一：優化醫療工作條件</w:t>
      </w:r>
    </w:p>
    <w:p>
      <w:r>
        <w:rPr>
          <w:rFonts w:ascii="Microsoft JhengHei" w:hAnsi="Microsoft JhengHei" w:eastAsia="Microsoft JhengHei"/>
        </w:rPr>
        <w:t>本子計畫透過門診前 guided intake 與一頁式醫師覆核摘要，降低重複問診、臨場補問、缺欄補資料、病人敘述分散與 follow-up 整理負擔。工作流設計聚焦於醫師、護理與櫃台可實際承接的流程，並以 reviewer scorecard 測量摘要可讀性、缺漏欄位可見性與 staff-friction。</w:t>
      </w:r>
    </w:p>
    <w:p>
      <w:r>
        <w:rPr>
          <w:rFonts w:ascii="Microsoft JhengHei" w:hAnsi="Microsoft JhengHei" w:eastAsia="Microsoft JhengHei"/>
        </w:rPr>
        <w:t>本案對醫療工作條件的貢獻，是讓門診前資訊先被結構化、標示來源並呈現缺漏，使醫師在有限看診時間內能快速抓住主訴、病程時序、伴隨症狀、用藥或檢查提示，以及需要現場補問的欄位。這種 workflow evidence 比直接承諾留任率或門診量提升更符合本案可歸因範圍。</w:t>
      </w:r>
    </w:p>
    <w:p>
      <w:pPr>
        <w:pStyle w:val="2"/>
      </w:pPr>
      <w:r>
        <w:rPr>
          <w:rFonts w:ascii="Microsoft JhengHei" w:hAnsi="Microsoft JhengHei" w:eastAsia="Microsoft JhengHei"/>
          <w:b/>
          <w:sz w:val="24"/>
        </w:rPr>
        <w:t>二、範疇二：規劃多元人才培育</w:t>
      </w:r>
    </w:p>
    <w:p>
      <w:r>
        <w:rPr>
          <w:rFonts w:ascii="Microsoft JhengHei" w:hAnsi="Microsoft JhengHei" w:eastAsia="Microsoft JhengHei"/>
        </w:rPr>
        <w:t>本案可支援 training、documentation 與 governance readiness。若主提案指定訓練 owner 與預算，可納入臨床 reviewer 教育、AI governance 說明、資料最小化原則、IRB/QI 進場條件、資安與採購注意事項。訓練內容聚焦於如何安全使用來源標記摘要、如何辨識缺漏欄位、如何回饋 schema 修正，以及如何保存 evidence log。</w:t>
      </w:r>
    </w:p>
    <w:p>
      <w:r>
        <w:rPr>
          <w:rFonts w:ascii="Microsoft JhengHei" w:hAnsi="Microsoft JhengHei" w:eastAsia="Microsoft JhengHei"/>
        </w:rPr>
        <w:t>第一版經費規劃不以國外研習作為核心工作。若正式送件版本以範疇二另列國外觀摩或訓練，需由 training owner 另列目的、行程、人數、天數、補助比例與人才培育 KPI。</w:t>
      </w:r>
    </w:p>
    <w:p>
      <w:pPr>
        <w:pStyle w:val="2"/>
      </w:pPr>
      <w:r>
        <w:rPr>
          <w:rFonts w:ascii="Microsoft JhengHei" w:hAnsi="Microsoft JhengHei" w:eastAsia="Microsoft JhengHei"/>
          <w:b/>
          <w:sz w:val="24"/>
        </w:rPr>
        <w:t>三、範疇三：導入智慧科技醫療</w:t>
      </w:r>
    </w:p>
    <w:p>
      <w:r>
        <w:rPr>
          <w:rFonts w:ascii="Microsoft JhengHei" w:hAnsi="Microsoft JhengHei" w:eastAsia="Microsoft JhengHei"/>
        </w:rPr>
        <w:t>本計畫主打範疇三。核心建置包括：</w:t>
      </w:r>
    </w:p>
    <w:p>
      <w:pPr>
        <w:pStyle w:val="a"/>
      </w:pPr>
      <w:r>
        <w:rPr>
          <w:rFonts w:ascii="Microsoft JhengHei" w:hAnsi="Microsoft JhengHei" w:eastAsia="Microsoft JhengHei"/>
        </w:rPr>
        <w:t>低摩擦問診入口：病人、家屬或工作人員協助填答。</w:t>
      </w:r>
    </w:p>
    <w:p>
      <w:pPr>
        <w:pStyle w:val="a"/>
      </w:pPr>
      <w:r>
        <w:rPr>
          <w:rFonts w:ascii="Microsoft JhengHei" w:hAnsi="Microsoft JhengHei" w:eastAsia="Microsoft JhengHei"/>
        </w:rPr>
        <w:t>ASR optional confirmation：語音輸入僅作為可確認輸入，未確認 transcript 不進入摘要。</w:t>
      </w:r>
    </w:p>
    <w:p>
      <w:pPr>
        <w:pStyle w:val="a"/>
      </w:pPr>
      <w:r>
        <w:rPr>
          <w:rFonts w:ascii="Microsoft JhengHei" w:hAnsi="Microsoft JhengHei" w:eastAsia="Microsoft JhengHei"/>
        </w:rPr>
        <w:t>Clinical question governance：以泌尿科門診前症狀脈絡、醫師覆核需求與最低必要欄位，建立第一版問題集。</w:t>
      </w:r>
    </w:p>
    <w:p>
      <w:pPr>
        <w:pStyle w:val="a"/>
      </w:pPr>
      <w:r>
        <w:rPr>
          <w:rFonts w:ascii="Microsoft JhengHei" w:hAnsi="Microsoft JhengHei" w:eastAsia="Microsoft JhengHei"/>
        </w:rPr>
        <w:t>Source label：每一條摘要資訊標示來源為病人、家屬、工作人員協助或 ASR-confirmed。</w:t>
      </w:r>
    </w:p>
    <w:p>
      <w:pPr>
        <w:pStyle w:val="a"/>
      </w:pPr>
      <w:r>
        <w:rPr>
          <w:rFonts w:ascii="Microsoft JhengHei" w:hAnsi="Microsoft JhengHei" w:eastAsia="Microsoft JhengHei"/>
        </w:rPr>
        <w:t>Missing-field visibility：讓醫師看見重要缺漏、不確定與 unknown/missing 區分。</w:t>
      </w:r>
    </w:p>
    <w:p>
      <w:pPr>
        <w:pStyle w:val="a"/>
      </w:pPr>
      <w:r>
        <w:rPr>
          <w:rFonts w:ascii="Microsoft JhengHei" w:hAnsi="Microsoft JhengHei" w:eastAsia="Microsoft JhengHei"/>
        </w:rPr>
        <w:t>一頁式醫師覆核摘要：提供看診前快速閱讀、修正與補問。</w:t>
      </w:r>
    </w:p>
    <w:p>
      <w:pPr>
        <w:pStyle w:val="a"/>
      </w:pPr>
      <w:r>
        <w:rPr>
          <w:rFonts w:ascii="Microsoft JhengHei" w:hAnsi="Microsoft JhengHei" w:eastAsia="Microsoft JhengHei"/>
        </w:rPr>
        <w:t>AI / data / cybersecurity governance：保留版本、錯誤處理、audit trail、reviewer evidence 與年度查核資料。</w:t>
      </w:r>
    </w:p>
    <w:p>
      <w:r>
        <w:rPr>
          <w:rFonts w:ascii="Microsoft JhengHei" w:hAnsi="Microsoft JhengHei" w:eastAsia="Microsoft JhengHei"/>
        </w:rPr>
        <w:t>本案的智慧醫療定位，是用 AI 支援資料整理、缺漏提示與摘要草擬，讓醫師保留臨床判讀與最終處置。AI 輸出以醫師覆核為必要流程，所有核心資訊保留來源、版本與審查紀錄，形成可追溯、可驗收、可交接的智慧門診前流程。</w:t>
      </w:r>
    </w:p>
    <w:p>
      <w:pPr>
        <w:pStyle w:val="2"/>
      </w:pPr>
      <w:r>
        <w:rPr>
          <w:rFonts w:ascii="Microsoft JhengHei" w:hAnsi="Microsoft JhengHei" w:eastAsia="Microsoft JhengHei"/>
          <w:b/>
          <w:sz w:val="24"/>
        </w:rPr>
        <w:t>四、範疇四：社會責任醫療永續</w:t>
      </w:r>
    </w:p>
    <w:p>
      <w:r>
        <w:rPr>
          <w:rFonts w:ascii="Microsoft JhengHei" w:hAnsi="Microsoft JhengHei" w:eastAsia="Microsoft JhengHei"/>
        </w:rPr>
        <w:t>本子計畫對範疇四的貢獻，是讓泌尿科門診服務建立更清楚、可追溯、可交接的門診前資訊整理流程。本案不主張社區追蹤、CRM 或病人管理成效；可寫入的貢獻是讓回到泌尿科門診的個案在看診前完成症狀整理，提升醫師覆核效率與資訊完整性，並讓後續臨床照護建立在更清楚的病人陳述與資料邊界上。</w:t>
      </w:r>
    </w:p>
    <w:p>
      <w:pPr>
        <w:pStyle w:val="2"/>
      </w:pPr>
      <w:r>
        <w:rPr>
          <w:rFonts w:ascii="Microsoft JhengHei" w:hAnsi="Microsoft JhengHei" w:eastAsia="Microsoft JhengHei"/>
          <w:b/>
          <w:sz w:val="24"/>
        </w:rPr>
        <w:t>五、流程設計</w:t>
      </w:r>
    </w:p>
    <w:p>
      <w:r>
        <w:rPr>
          <w:rFonts w:ascii="Consolas" w:hAnsi="Consolas" w:eastAsia="Microsoft JhengHei"/>
          <w:sz w:val="18"/>
        </w:rPr>
        <w:t>flowchart LR</w:t>
      </w:r>
    </w:p>
    <w:p>
      <w:r>
        <w:rPr>
          <w:rFonts w:ascii="Consolas" w:hAnsi="Consolas" w:eastAsia="Microsoft JhengHei"/>
          <w:sz w:val="18"/>
        </w:rPr>
        <w:t xml:space="preserve">    A[病人 / 家屬 / 工作人員協助填答] --&gt; B[guided intake]</w:t>
      </w:r>
    </w:p>
    <w:p>
      <w:r>
        <w:rPr>
          <w:rFonts w:ascii="Consolas" w:hAnsi="Consolas" w:eastAsia="Microsoft JhengHei"/>
          <w:sz w:val="18"/>
        </w:rPr>
        <w:t xml:space="preserve">    B --&gt; C[source label + missing-field rules]</w:t>
      </w:r>
    </w:p>
    <w:p>
      <w:r>
        <w:rPr>
          <w:rFonts w:ascii="Consolas" w:hAnsi="Consolas" w:eastAsia="Microsoft JhengHei"/>
          <w:sz w:val="18"/>
        </w:rPr>
        <w:t xml:space="preserve">    C --&gt; D[AI-supported draft summary]</w:t>
      </w:r>
    </w:p>
    <w:p>
      <w:r>
        <w:rPr>
          <w:rFonts w:ascii="Consolas" w:hAnsi="Consolas" w:eastAsia="Microsoft JhengHei"/>
          <w:sz w:val="18"/>
        </w:rPr>
        <w:t xml:space="preserve">    D --&gt; E[one-page physician-review summary]</w:t>
      </w:r>
    </w:p>
    <w:p>
      <w:r>
        <w:rPr>
          <w:rFonts w:ascii="Consolas" w:hAnsi="Consolas" w:eastAsia="Microsoft JhengHei"/>
          <w:sz w:val="18"/>
        </w:rPr>
        <w:t xml:space="preserve">    E --&gt; F[醫師覆核、補問、臨床判讀]</w:t>
      </w:r>
    </w:p>
    <w:p>
      <w:r>
        <w:rPr>
          <w:rFonts w:ascii="Consolas" w:hAnsi="Consolas" w:eastAsia="Microsoft JhengHei"/>
          <w:sz w:val="18"/>
        </w:rPr>
        <w:t xml:space="preserve">    C --&gt; G[audit log / version / KPI evidence]</w:t>
      </w:r>
    </w:p>
    <w:p>
      <w:r>
        <w:rPr>
          <w:rFonts w:ascii="Consolas" w:hAnsi="Consolas" w:eastAsia="Microsoft JhengHei"/>
          <w:sz w:val="18"/>
        </w:rPr>
        <w:t xml:space="preserve">    D --&gt; G</w:t>
      </w:r>
    </w:p>
    <w:p>
      <w:r>
        <w:rPr>
          <w:rFonts w:ascii="Consolas" w:hAnsi="Consolas" w:eastAsia="Microsoft JhengHei"/>
          <w:sz w:val="18"/>
        </w:rPr>
        <w:t xml:space="preserve">    E --&gt; G</w:t>
      </w:r>
    </w:p>
    <w:p>
      <w:pPr>
        <w:pStyle w:val="2"/>
      </w:pPr>
      <w:r>
        <w:rPr>
          <w:rFonts w:ascii="Microsoft JhengHei" w:hAnsi="Microsoft JhengHei" w:eastAsia="Microsoft JhengHei"/>
          <w:b/>
          <w:sz w:val="24"/>
        </w:rPr>
        <w:t>六、年度工作設計</w:t>
      </w:r>
    </w:p>
    <w:tbl>
      <w:tblPr>
        <w:tblStyle w:val="aff9"/>
        <w:tblW w:type="auto" w:w="0"/>
        <w:tblLook w:firstColumn="1" w:firstRow="1" w:lastColumn="0" w:lastRow="0" w:noHBand="0" w:noVBand="1" w:val="04A0"/>
      </w:tblPr>
      <w:tblGrid>
        <w:gridCol w:w="3401"/>
        <w:gridCol w:w="3401"/>
        <w:gridCol w:w="3401"/>
      </w:tblGrid>
      <w:tr>
        <w:tc>
          <w:tcPr>
            <w:tcW w:type="dxa" w:w="3401"/>
          </w:tcPr>
          <w:p>
            <w:r>
              <w:rPr>
                <w:rFonts w:ascii="Microsoft JhengHei" w:hAnsi="Microsoft JhengHei" w:eastAsia="Microsoft JhengHei"/>
                <w:b/>
                <w:sz w:val="18"/>
              </w:rPr>
              <w:t>年度</w:t>
            </w:r>
          </w:p>
        </w:tc>
        <w:tc>
          <w:tcPr>
            <w:tcW w:type="dxa" w:w="3401"/>
          </w:tcPr>
          <w:p>
            <w:r>
              <w:rPr>
                <w:rFonts w:ascii="Microsoft JhengHei" w:hAnsi="Microsoft JhengHei" w:eastAsia="Microsoft JhengHei"/>
                <w:b/>
                <w:sz w:val="18"/>
              </w:rPr>
              <w:t>工作重點</w:t>
            </w:r>
          </w:p>
        </w:tc>
        <w:tc>
          <w:tcPr>
            <w:tcW w:type="dxa" w:w="3401"/>
          </w:tcPr>
          <w:p>
            <w:r>
              <w:rPr>
                <w:rFonts w:ascii="Microsoft JhengHei" w:hAnsi="Microsoft JhengHei" w:eastAsia="Microsoft JhengHei"/>
                <w:b/>
                <w:sz w:val="18"/>
              </w:rPr>
              <w:t>主要交付</w:t>
            </w:r>
          </w:p>
        </w:tc>
      </w:tr>
      <w:tr>
        <w:tc>
          <w:tcPr>
            <w:tcW w:type="dxa" w:w="3401"/>
          </w:tcPr>
          <w:p>
            <w:r>
              <w:rPr>
                <w:rFonts w:ascii="Microsoft JhengHei" w:hAnsi="Microsoft JhengHei" w:eastAsia="Microsoft JhengHei"/>
                <w:b w:val="0"/>
                <w:sz w:val="18"/>
              </w:rPr>
              <w:t>Y1 setup</w:t>
            </w:r>
          </w:p>
        </w:tc>
        <w:tc>
          <w:tcPr>
            <w:tcW w:type="dxa" w:w="3401"/>
          </w:tcPr>
          <w:p>
            <w:r>
              <w:rPr>
                <w:rFonts w:ascii="Microsoft JhengHei" w:hAnsi="Microsoft JhengHei" w:eastAsia="Microsoft JhengHei"/>
                <w:b w:val="0"/>
                <w:sz w:val="18"/>
              </w:rPr>
              <w:t>intended use、臨床邊界、問題集、summary schema、source label、missing-field、synthetic reviewer evidence</w:t>
            </w:r>
          </w:p>
        </w:tc>
        <w:tc>
          <w:tcPr>
            <w:tcW w:type="dxa" w:w="3401"/>
          </w:tcPr>
          <w:p>
            <w:r>
              <w:rPr>
                <w:rFonts w:ascii="Microsoft JhengHei" w:hAnsi="Microsoft JhengHei" w:eastAsia="Microsoft JhengHei"/>
                <w:b w:val="0"/>
                <w:sz w:val="18"/>
              </w:rPr>
              <w:t>問題集 v1、摘要 schema v1、禁止語句清單、synthetic review scorecard、governance owner table</w:t>
            </w:r>
          </w:p>
        </w:tc>
      </w:tr>
      <w:tr>
        <w:tc>
          <w:tcPr>
            <w:tcW w:type="dxa" w:w="3401"/>
          </w:tcPr>
          <w:p>
            <w:r>
              <w:rPr>
                <w:rFonts w:ascii="Microsoft JhengHei" w:hAnsi="Microsoft JhengHei" w:eastAsia="Microsoft JhengHei"/>
                <w:b w:val="0"/>
                <w:sz w:val="18"/>
              </w:rPr>
              <w:t>Y2 evaluation</w:t>
            </w:r>
          </w:p>
        </w:tc>
        <w:tc>
          <w:tcPr>
            <w:tcW w:type="dxa" w:w="3401"/>
          </w:tcPr>
          <w:p>
            <w:r>
              <w:rPr>
                <w:rFonts w:ascii="Microsoft JhengHei" w:hAnsi="Microsoft JhengHei" w:eastAsia="Microsoft JhengHei"/>
                <w:b w:val="0"/>
                <w:sz w:val="18"/>
              </w:rPr>
              <w:t>依院內治理核准 route 進行 limited workflow evidence 或 workflow simulation；完成一輪臨床回饋改版</w:t>
            </w:r>
          </w:p>
        </w:tc>
        <w:tc>
          <w:tcPr>
            <w:tcW w:type="dxa" w:w="3401"/>
          </w:tcPr>
          <w:p>
            <w:r>
              <w:rPr>
                <w:rFonts w:ascii="Microsoft JhengHei" w:hAnsi="Microsoft JhengHei" w:eastAsia="Microsoft JhengHei"/>
                <w:b w:val="0"/>
                <w:sz w:val="18"/>
              </w:rPr>
              <w:t>QI/IRB 判定、limited workflow 或 simulation evidence、usefulness scorecard、staff-friction review</w:t>
            </w:r>
          </w:p>
        </w:tc>
      </w:tr>
      <w:tr>
        <w:tc>
          <w:tcPr>
            <w:tcW w:type="dxa" w:w="3401"/>
          </w:tcPr>
          <w:p>
            <w:r>
              <w:rPr>
                <w:rFonts w:ascii="Microsoft JhengHei" w:hAnsi="Microsoft JhengHei" w:eastAsia="Microsoft JhengHei"/>
                <w:b w:val="0"/>
                <w:sz w:val="18"/>
              </w:rPr>
              <w:t>Y3 handoff</w:t>
            </w:r>
          </w:p>
        </w:tc>
        <w:tc>
          <w:tcPr>
            <w:tcW w:type="dxa" w:w="3401"/>
          </w:tcPr>
          <w:p>
            <w:r>
              <w:rPr>
                <w:rFonts w:ascii="Microsoft JhengHei" w:hAnsi="Microsoft JhengHei" w:eastAsia="Microsoft JhengHei"/>
                <w:b w:val="0"/>
                <w:sz w:val="18"/>
              </w:rPr>
              <w:t>KPI evidence、維運 owner、final report、下一階段 HIS/EMR/API/採購治理 brief</w:t>
            </w:r>
          </w:p>
        </w:tc>
        <w:tc>
          <w:tcPr>
            <w:tcW w:type="dxa" w:w="3401"/>
          </w:tcPr>
          <w:p>
            <w:r>
              <w:rPr>
                <w:rFonts w:ascii="Microsoft JhengHei" w:hAnsi="Microsoft JhengHei" w:eastAsia="Microsoft JhengHei"/>
                <w:b w:val="0"/>
                <w:sz w:val="18"/>
              </w:rPr>
              <w:t>final evidence package、maintenance owner brief、next-stage governance brief</w:t>
            </w:r>
          </w:p>
        </w:tc>
      </w:tr>
    </w:tbl>
    <w:p>
      <w:pPr>
        <w:pStyle w:val="1"/>
      </w:pPr>
      <w:r>
        <w:rPr>
          <w:rFonts w:ascii="Microsoft JhengHei" w:hAnsi="Microsoft JhengHei" w:eastAsia="Microsoft JhengHei"/>
          <w:b/>
          <w:sz w:val="28"/>
        </w:rPr>
        <w:t>伍、效益評估</w:t>
      </w:r>
    </w:p>
    <w:p>
      <w:pPr>
        <w:pStyle w:val="2"/>
      </w:pPr>
      <w:r>
        <w:rPr>
          <w:rFonts w:ascii="Microsoft JhengHei" w:hAnsi="Microsoft JhengHei" w:eastAsia="Microsoft JhengHei"/>
          <w:b/>
          <w:sz w:val="24"/>
        </w:rPr>
        <w:t>一、績效指標</w:t>
      </w:r>
    </w:p>
    <w:p>
      <w:r>
        <w:rPr>
          <w:rFonts w:ascii="Microsoft JhengHei" w:hAnsi="Microsoft JhengHei" w:eastAsia="Microsoft JhengHei"/>
        </w:rPr>
        <w:t>本案效益評估採三層設計：第一層是 workflow 可用性，第二層是資料完整性與安全，第三層是治理與年度交付。評估重點放在本案可直接歸因的門診前資訊準備、醫師覆核摘要品質與治理成熟度。</w:t>
      </w:r>
    </w:p>
    <w:tbl>
      <w:tblPr>
        <w:tblStyle w:val="aff9"/>
        <w:tblW w:type="auto" w:w="0"/>
        <w:tblLook w:firstColumn="1" w:firstRow="1" w:lastColumn="0" w:lastRow="0" w:noHBand="0" w:noVBand="1" w:val="04A0"/>
      </w:tblPr>
      <w:tblGrid>
        <w:gridCol w:w="1701"/>
        <w:gridCol w:w="1701"/>
        <w:gridCol w:w="1701"/>
        <w:gridCol w:w="1701"/>
        <w:gridCol w:w="1701"/>
        <w:gridCol w:w="1701"/>
      </w:tblGrid>
      <w:tr>
        <w:tc>
          <w:tcPr>
            <w:tcW w:type="dxa" w:w="1701"/>
          </w:tcPr>
          <w:p>
            <w:r>
              <w:rPr>
                <w:rFonts w:ascii="Microsoft JhengHei" w:hAnsi="Microsoft JhengHei" w:eastAsia="Microsoft JhengHei"/>
                <w:b/>
                <w:sz w:val="18"/>
              </w:rPr>
              <w:t>範疇</w:t>
            </w:r>
          </w:p>
        </w:tc>
        <w:tc>
          <w:tcPr>
            <w:tcW w:type="dxa" w:w="1701"/>
          </w:tcPr>
          <w:p>
            <w:r>
              <w:rPr>
                <w:rFonts w:ascii="Microsoft JhengHei" w:hAnsi="Microsoft JhengHei" w:eastAsia="Microsoft JhengHei"/>
                <w:b/>
                <w:sz w:val="18"/>
              </w:rPr>
              <w:t>績效指標</w:t>
            </w:r>
          </w:p>
        </w:tc>
        <w:tc>
          <w:tcPr>
            <w:tcW w:type="dxa" w:w="1701"/>
          </w:tcPr>
          <w:p>
            <w:r>
              <w:rPr>
                <w:rFonts w:ascii="Microsoft JhengHei" w:hAnsi="Microsoft JhengHei" w:eastAsia="Microsoft JhengHei"/>
                <w:b/>
                <w:sz w:val="18"/>
              </w:rPr>
              <w:t>衡量或量化基準定義</w:t>
            </w:r>
          </w:p>
        </w:tc>
        <w:tc>
          <w:tcPr>
            <w:tcW w:type="dxa" w:w="1701"/>
          </w:tcPr>
          <w:p>
            <w:r>
              <w:rPr>
                <w:rFonts w:ascii="Microsoft JhengHei" w:hAnsi="Microsoft JhengHei" w:eastAsia="Microsoft JhengHei"/>
                <w:b/>
                <w:sz w:val="18"/>
              </w:rPr>
              <w:t>現況數據</w:t>
            </w:r>
          </w:p>
        </w:tc>
        <w:tc>
          <w:tcPr>
            <w:tcW w:type="dxa" w:w="1701"/>
          </w:tcPr>
          <w:p>
            <w:r>
              <w:rPr>
                <w:rFonts w:ascii="Microsoft JhengHei" w:hAnsi="Microsoft JhengHei" w:eastAsia="Microsoft JhengHei"/>
                <w:b/>
                <w:sz w:val="18"/>
              </w:rPr>
              <w:t>年度目標 / 門檻</w:t>
            </w:r>
          </w:p>
        </w:tc>
        <w:tc>
          <w:tcPr>
            <w:tcW w:type="dxa" w:w="1701"/>
          </w:tcPr>
          <w:p>
            <w:r>
              <w:rPr>
                <w:rFonts w:ascii="Microsoft JhengHei" w:hAnsi="Microsoft JhengHei" w:eastAsia="Microsoft JhengHei"/>
                <w:b/>
                <w:sz w:val="18"/>
              </w:rPr>
              <w:t>對應工作包</w:t>
            </w:r>
          </w:p>
        </w:tc>
      </w:tr>
      <w:tr>
        <w:tc>
          <w:tcPr>
            <w:tcW w:type="dxa" w:w="1701"/>
          </w:tcPr>
          <w:p>
            <w:r>
              <w:rPr>
                <w:rFonts w:ascii="Microsoft JhengHei" w:hAnsi="Microsoft JhengHei" w:eastAsia="Microsoft JhengHei"/>
                <w:b w:val="0"/>
                <w:sz w:val="18"/>
              </w:rPr>
              <w:t>優化醫療工作條件</w:t>
            </w:r>
          </w:p>
        </w:tc>
        <w:tc>
          <w:tcPr>
            <w:tcW w:type="dxa" w:w="1701"/>
          </w:tcPr>
          <w:p>
            <w:r>
              <w:rPr>
                <w:rFonts w:ascii="Microsoft JhengHei" w:hAnsi="Microsoft JhengHei" w:eastAsia="Microsoft JhengHei"/>
                <w:b w:val="0"/>
                <w:sz w:val="18"/>
              </w:rPr>
              <w:t>摘要閱讀時間</w:t>
            </w:r>
          </w:p>
        </w:tc>
        <w:tc>
          <w:tcPr>
            <w:tcW w:type="dxa" w:w="1701"/>
          </w:tcPr>
          <w:p>
            <w:r>
              <w:rPr>
                <w:rFonts w:ascii="Microsoft JhengHei" w:hAnsi="Microsoft JhengHei" w:eastAsia="Microsoft JhengHei"/>
                <w:b w:val="0"/>
                <w:sz w:val="18"/>
              </w:rPr>
              <w:t>reviewer 由打開摘要至完成初步掌握之秒數；回報中位數與分布</w:t>
            </w:r>
          </w:p>
        </w:tc>
        <w:tc>
          <w:tcPr>
            <w:tcW w:type="dxa" w:w="1701"/>
          </w:tcPr>
          <w:p>
            <w:r>
              <w:rPr>
                <w:rFonts w:ascii="Microsoft JhengHei" w:hAnsi="Microsoft JhengHei" w:eastAsia="Microsoft JhengHei"/>
                <w:b w:val="0"/>
                <w:sz w:val="18"/>
              </w:rPr>
              <w:t>待 baseline；synthetic case 先測</w:t>
            </w:r>
          </w:p>
        </w:tc>
        <w:tc>
          <w:tcPr>
            <w:tcW w:type="dxa" w:w="1701"/>
          </w:tcPr>
          <w:p>
            <w:r>
              <w:rPr>
                <w:rFonts w:ascii="Microsoft JhengHei" w:hAnsi="Microsoft JhengHei" w:eastAsia="Microsoft JhengHei"/>
                <w:b w:val="0"/>
                <w:sz w:val="18"/>
              </w:rPr>
              <w:t>Y1 design target &lt;=60秒；Y2/Y3 回報 approved workflow 或 reviewer evidence</w:t>
            </w:r>
          </w:p>
        </w:tc>
        <w:tc>
          <w:tcPr>
            <w:tcW w:type="dxa" w:w="1701"/>
          </w:tcPr>
          <w:p>
            <w:r>
              <w:rPr>
                <w:rFonts w:ascii="Microsoft JhengHei" w:hAnsi="Microsoft JhengHei" w:eastAsia="Microsoft JhengHei"/>
                <w:b w:val="0"/>
                <w:sz w:val="18"/>
              </w:rPr>
              <w:t>W2, W3, W4, W6</w:t>
            </w:r>
          </w:p>
        </w:tc>
      </w:tr>
      <w:tr>
        <w:tc>
          <w:tcPr>
            <w:tcW w:type="dxa" w:w="1701"/>
          </w:tcPr>
          <w:p>
            <w:r>
              <w:rPr>
                <w:rFonts w:ascii="Microsoft JhengHei" w:hAnsi="Microsoft JhengHei" w:eastAsia="Microsoft JhengHei"/>
                <w:b w:val="0"/>
                <w:sz w:val="18"/>
              </w:rPr>
              <w:t>優化醫療工作條件</w:t>
            </w:r>
          </w:p>
        </w:tc>
        <w:tc>
          <w:tcPr>
            <w:tcW w:type="dxa" w:w="1701"/>
          </w:tcPr>
          <w:p>
            <w:r>
              <w:rPr>
                <w:rFonts w:ascii="Microsoft JhengHei" w:hAnsi="Microsoft JhengHei" w:eastAsia="Microsoft JhengHei"/>
                <w:b w:val="0"/>
                <w:sz w:val="18"/>
              </w:rPr>
              <w:t>醫師有用性</w:t>
            </w:r>
          </w:p>
        </w:tc>
        <w:tc>
          <w:tcPr>
            <w:tcW w:type="dxa" w:w="1701"/>
          </w:tcPr>
          <w:p>
            <w:r>
              <w:rPr>
                <w:rFonts w:ascii="Microsoft JhengHei" w:hAnsi="Microsoft JhengHei" w:eastAsia="Microsoft JhengHei"/>
                <w:b w:val="0"/>
                <w:sz w:val="18"/>
              </w:rPr>
              <w:t>5點量表：摘要是否幫助快速掌握主訴、時序、需補問欄位</w:t>
            </w:r>
          </w:p>
        </w:tc>
        <w:tc>
          <w:tcPr>
            <w:tcW w:type="dxa" w:w="1701"/>
          </w:tcPr>
          <w:p>
            <w:r>
              <w:rPr>
                <w:rFonts w:ascii="Microsoft JhengHei" w:hAnsi="Microsoft JhengHei" w:eastAsia="Microsoft JhengHei"/>
                <w:b w:val="0"/>
                <w:sz w:val="18"/>
              </w:rPr>
              <w:t>待測</w:t>
            </w:r>
          </w:p>
        </w:tc>
        <w:tc>
          <w:tcPr>
            <w:tcW w:type="dxa" w:w="1701"/>
          </w:tcPr>
          <w:p>
            <w:r>
              <w:rPr>
                <w:rFonts w:ascii="Microsoft JhengHei" w:hAnsi="Microsoft JhengHei" w:eastAsia="Microsoft JhengHei"/>
                <w:b w:val="0"/>
                <w:sz w:val="18"/>
              </w:rPr>
              <w:t>median &gt;=4/5；未達標即回 schema 迭代</w:t>
            </w:r>
          </w:p>
        </w:tc>
        <w:tc>
          <w:tcPr>
            <w:tcW w:type="dxa" w:w="1701"/>
          </w:tcPr>
          <w:p>
            <w:r>
              <w:rPr>
                <w:rFonts w:ascii="Microsoft JhengHei" w:hAnsi="Microsoft JhengHei" w:eastAsia="Microsoft JhengHei"/>
                <w:b w:val="0"/>
                <w:sz w:val="18"/>
              </w:rPr>
              <w:t>W2, W6</w:t>
            </w:r>
          </w:p>
        </w:tc>
      </w:tr>
      <w:tr>
        <w:tc>
          <w:tcPr>
            <w:tcW w:type="dxa" w:w="1701"/>
          </w:tcPr>
          <w:p>
            <w:r>
              <w:rPr>
                <w:rFonts w:ascii="Microsoft JhengHei" w:hAnsi="Microsoft JhengHei" w:eastAsia="Microsoft JhengHei"/>
                <w:b w:val="0"/>
                <w:sz w:val="18"/>
              </w:rPr>
              <w:t>導入智慧科技醫療</w:t>
            </w:r>
          </w:p>
        </w:tc>
        <w:tc>
          <w:tcPr>
            <w:tcW w:type="dxa" w:w="1701"/>
          </w:tcPr>
          <w:p>
            <w:r>
              <w:rPr>
                <w:rFonts w:ascii="Microsoft JhengHei" w:hAnsi="Microsoft JhengHei" w:eastAsia="Microsoft JhengHei"/>
                <w:b w:val="0"/>
                <w:sz w:val="18"/>
              </w:rPr>
              <w:t>最低必要欄位完成 / 標示率</w:t>
            </w:r>
          </w:p>
        </w:tc>
        <w:tc>
          <w:tcPr>
            <w:tcW w:type="dxa" w:w="1701"/>
          </w:tcPr>
          <w:p>
            <w:r>
              <w:rPr>
                <w:rFonts w:ascii="Microsoft JhengHei" w:hAnsi="Microsoft JhengHei" w:eastAsia="Microsoft JhengHei"/>
                <w:b w:val="0"/>
                <w:sz w:val="18"/>
              </w:rPr>
              <w:t>最低必要欄位完成，或明確標示 unknown / missing 之比例</w:t>
            </w:r>
          </w:p>
        </w:tc>
        <w:tc>
          <w:tcPr>
            <w:tcW w:type="dxa" w:w="1701"/>
          </w:tcPr>
          <w:p>
            <w:r>
              <w:rPr>
                <w:rFonts w:ascii="Microsoft JhengHei" w:hAnsi="Microsoft JhengHei" w:eastAsia="Microsoft JhengHei"/>
                <w:b w:val="0"/>
                <w:sz w:val="18"/>
              </w:rPr>
              <w:t>待 baseline</w:t>
            </w:r>
          </w:p>
        </w:tc>
        <w:tc>
          <w:tcPr>
            <w:tcW w:type="dxa" w:w="1701"/>
          </w:tcPr>
          <w:p>
            <w:r>
              <w:rPr>
                <w:rFonts w:ascii="Microsoft JhengHei" w:hAnsi="Microsoft JhengHei" w:eastAsia="Microsoft JhengHei"/>
                <w:b w:val="0"/>
                <w:sz w:val="18"/>
              </w:rPr>
              <w:t>&gt;=90%；不可把未填當完成</w:t>
            </w:r>
          </w:p>
        </w:tc>
        <w:tc>
          <w:tcPr>
            <w:tcW w:type="dxa" w:w="1701"/>
          </w:tcPr>
          <w:p>
            <w:r>
              <w:rPr>
                <w:rFonts w:ascii="Microsoft JhengHei" w:hAnsi="Microsoft JhengHei" w:eastAsia="Microsoft JhengHei"/>
                <w:b w:val="0"/>
                <w:sz w:val="18"/>
              </w:rPr>
              <w:t>W3, W4, W6</w:t>
            </w:r>
          </w:p>
        </w:tc>
      </w:tr>
      <w:tr>
        <w:tc>
          <w:tcPr>
            <w:tcW w:type="dxa" w:w="1701"/>
          </w:tcPr>
          <w:p>
            <w:r>
              <w:rPr>
                <w:rFonts w:ascii="Microsoft JhengHei" w:hAnsi="Microsoft JhengHei" w:eastAsia="Microsoft JhengHei"/>
                <w:b w:val="0"/>
                <w:sz w:val="18"/>
              </w:rPr>
              <w:t>導入智慧科技醫療</w:t>
            </w:r>
          </w:p>
        </w:tc>
        <w:tc>
          <w:tcPr>
            <w:tcW w:type="dxa" w:w="1701"/>
          </w:tcPr>
          <w:p>
            <w:r>
              <w:rPr>
                <w:rFonts w:ascii="Microsoft JhengHei" w:hAnsi="Microsoft JhengHei" w:eastAsia="Microsoft JhengHei"/>
                <w:b w:val="0"/>
                <w:sz w:val="18"/>
              </w:rPr>
              <w:t>缺漏欄位可見率</w:t>
            </w:r>
          </w:p>
        </w:tc>
        <w:tc>
          <w:tcPr>
            <w:tcW w:type="dxa" w:w="1701"/>
          </w:tcPr>
          <w:p>
            <w:r>
              <w:rPr>
                <w:rFonts w:ascii="Microsoft JhengHei" w:hAnsi="Microsoft JhengHei" w:eastAsia="Microsoft JhengHei"/>
                <w:b w:val="0"/>
                <w:sz w:val="18"/>
              </w:rPr>
              <w:t>應標示的重要缺漏中，被摘要明確標示之比例</w:t>
            </w:r>
          </w:p>
        </w:tc>
        <w:tc>
          <w:tcPr>
            <w:tcW w:type="dxa" w:w="1701"/>
          </w:tcPr>
          <w:p>
            <w:r>
              <w:rPr>
                <w:rFonts w:ascii="Microsoft JhengHei" w:hAnsi="Microsoft JhengHei" w:eastAsia="Microsoft JhengHei"/>
                <w:b w:val="0"/>
                <w:sz w:val="18"/>
              </w:rPr>
              <w:t>待測</w:t>
            </w:r>
          </w:p>
        </w:tc>
        <w:tc>
          <w:tcPr>
            <w:tcW w:type="dxa" w:w="1701"/>
          </w:tcPr>
          <w:p>
            <w:r>
              <w:rPr>
                <w:rFonts w:ascii="Microsoft JhengHei" w:hAnsi="Microsoft JhengHei" w:eastAsia="Microsoft JhengHei"/>
                <w:b w:val="0"/>
                <w:sz w:val="18"/>
              </w:rPr>
              <w:t>&gt;=90%；重大缺漏未顯示即 fail-safe 修改</w:t>
            </w:r>
          </w:p>
        </w:tc>
        <w:tc>
          <w:tcPr>
            <w:tcW w:type="dxa" w:w="1701"/>
          </w:tcPr>
          <w:p>
            <w:r>
              <w:rPr>
                <w:rFonts w:ascii="Microsoft JhengHei" w:hAnsi="Microsoft JhengHei" w:eastAsia="Microsoft JhengHei"/>
                <w:b w:val="0"/>
                <w:sz w:val="18"/>
              </w:rPr>
              <w:t>W2, W3, W4</w:t>
            </w:r>
          </w:p>
        </w:tc>
      </w:tr>
      <w:tr>
        <w:tc>
          <w:tcPr>
            <w:tcW w:type="dxa" w:w="1701"/>
          </w:tcPr>
          <w:p>
            <w:r>
              <w:rPr>
                <w:rFonts w:ascii="Microsoft JhengHei" w:hAnsi="Microsoft JhengHei" w:eastAsia="Microsoft JhengHei"/>
                <w:b w:val="0"/>
                <w:sz w:val="18"/>
              </w:rPr>
              <w:t>導入智慧科技醫療</w:t>
            </w:r>
          </w:p>
        </w:tc>
        <w:tc>
          <w:tcPr>
            <w:tcW w:type="dxa" w:w="1701"/>
          </w:tcPr>
          <w:p>
            <w:r>
              <w:rPr>
                <w:rFonts w:ascii="Microsoft JhengHei" w:hAnsi="Microsoft JhengHei" w:eastAsia="Microsoft JhengHei"/>
                <w:b w:val="0"/>
                <w:sz w:val="18"/>
              </w:rPr>
              <w:t>source label 完整率</w:t>
            </w:r>
          </w:p>
        </w:tc>
        <w:tc>
          <w:tcPr>
            <w:tcW w:type="dxa" w:w="1701"/>
          </w:tcPr>
          <w:p>
            <w:r>
              <w:rPr>
                <w:rFonts w:ascii="Microsoft JhengHei" w:hAnsi="Microsoft JhengHei" w:eastAsia="Microsoft JhengHei"/>
                <w:b w:val="0"/>
                <w:sz w:val="18"/>
              </w:rPr>
              <w:t>每一條摘要資訊皆標示來源：病人、家屬、工作人員、ASR-confirmed 等</w:t>
            </w:r>
          </w:p>
        </w:tc>
        <w:tc>
          <w:tcPr>
            <w:tcW w:type="dxa" w:w="1701"/>
          </w:tcPr>
          <w:p>
            <w:r>
              <w:rPr>
                <w:rFonts w:ascii="Microsoft JhengHei" w:hAnsi="Microsoft JhengHei" w:eastAsia="Microsoft JhengHei"/>
                <w:b w:val="0"/>
                <w:sz w:val="18"/>
              </w:rPr>
              <w:t>partial design</w:t>
            </w:r>
          </w:p>
        </w:tc>
        <w:tc>
          <w:tcPr>
            <w:tcW w:type="dxa" w:w="1701"/>
          </w:tcPr>
          <w:p>
            <w:r>
              <w:rPr>
                <w:rFonts w:ascii="Microsoft JhengHei" w:hAnsi="Microsoft JhengHei" w:eastAsia="Microsoft JhengHei"/>
                <w:b w:val="0"/>
                <w:sz w:val="18"/>
              </w:rPr>
              <w:t>100%；無來源 AI 推論不得進醫師摘要</w:t>
            </w:r>
          </w:p>
        </w:tc>
        <w:tc>
          <w:tcPr>
            <w:tcW w:type="dxa" w:w="1701"/>
          </w:tcPr>
          <w:p>
            <w:r>
              <w:rPr>
                <w:rFonts w:ascii="Microsoft JhengHei" w:hAnsi="Microsoft JhengHei" w:eastAsia="Microsoft JhengHei"/>
                <w:b w:val="0"/>
                <w:sz w:val="18"/>
              </w:rPr>
              <w:t>W3, W4, W5</w:t>
            </w:r>
          </w:p>
        </w:tc>
      </w:tr>
      <w:tr>
        <w:tc>
          <w:tcPr>
            <w:tcW w:type="dxa" w:w="1701"/>
          </w:tcPr>
          <w:p>
            <w:r>
              <w:rPr>
                <w:rFonts w:ascii="Microsoft JhengHei" w:hAnsi="Microsoft JhengHei" w:eastAsia="Microsoft JhengHei"/>
                <w:b w:val="0"/>
                <w:sz w:val="18"/>
              </w:rPr>
              <w:t>導入智慧科技醫療</w:t>
            </w:r>
          </w:p>
        </w:tc>
        <w:tc>
          <w:tcPr>
            <w:tcW w:type="dxa" w:w="1701"/>
          </w:tcPr>
          <w:p>
            <w:r>
              <w:rPr>
                <w:rFonts w:ascii="Microsoft JhengHei" w:hAnsi="Microsoft JhengHei" w:eastAsia="Microsoft JhengHei"/>
                <w:b w:val="0"/>
                <w:sz w:val="18"/>
              </w:rPr>
              <w:t>unsafe wording unresolved count</w:t>
            </w:r>
          </w:p>
        </w:tc>
        <w:tc>
          <w:tcPr>
            <w:tcW w:type="dxa" w:w="1701"/>
          </w:tcPr>
          <w:p>
            <w:r>
              <w:rPr>
                <w:rFonts w:ascii="Microsoft JhengHei" w:hAnsi="Microsoft JhengHei" w:eastAsia="Microsoft JhengHei"/>
                <w:b w:val="0"/>
                <w:sz w:val="18"/>
              </w:rPr>
              <w:t>診斷、治療、自動分流、EMR writeback 等未核准語句</w:t>
            </w:r>
          </w:p>
        </w:tc>
        <w:tc>
          <w:tcPr>
            <w:tcW w:type="dxa" w:w="1701"/>
          </w:tcPr>
          <w:p>
            <w:r>
              <w:rPr>
                <w:rFonts w:ascii="Microsoft JhengHei" w:hAnsi="Microsoft JhengHei" w:eastAsia="Microsoft JhengHei"/>
                <w:b w:val="0"/>
                <w:sz w:val="18"/>
              </w:rPr>
              <w:t>目標 0</w:t>
            </w:r>
          </w:p>
        </w:tc>
        <w:tc>
          <w:tcPr>
            <w:tcW w:type="dxa" w:w="1701"/>
          </w:tcPr>
          <w:p>
            <w:r>
              <w:rPr>
                <w:rFonts w:ascii="Microsoft JhengHei" w:hAnsi="Microsoft JhengHei" w:eastAsia="Microsoft JhengHei"/>
                <w:b w:val="0"/>
                <w:sz w:val="18"/>
              </w:rPr>
              <w:t>0 unresolved；出現即 freeze release</w:t>
            </w:r>
          </w:p>
        </w:tc>
        <w:tc>
          <w:tcPr>
            <w:tcW w:type="dxa" w:w="1701"/>
          </w:tcPr>
          <w:p>
            <w:r>
              <w:rPr>
                <w:rFonts w:ascii="Microsoft JhengHei" w:hAnsi="Microsoft JhengHei" w:eastAsia="Microsoft JhengHei"/>
                <w:b w:val="0"/>
                <w:sz w:val="18"/>
              </w:rPr>
              <w:t>W4, W5</w:t>
            </w:r>
          </w:p>
        </w:tc>
      </w:tr>
      <w:tr>
        <w:tc>
          <w:tcPr>
            <w:tcW w:type="dxa" w:w="1701"/>
          </w:tcPr>
          <w:p>
            <w:r>
              <w:rPr>
                <w:rFonts w:ascii="Microsoft JhengHei" w:hAnsi="Microsoft JhengHei" w:eastAsia="Microsoft JhengHei"/>
                <w:b w:val="0"/>
                <w:sz w:val="18"/>
              </w:rPr>
              <w:t>優化醫療工作條件</w:t>
            </w:r>
          </w:p>
        </w:tc>
        <w:tc>
          <w:tcPr>
            <w:tcW w:type="dxa" w:w="1701"/>
          </w:tcPr>
          <w:p>
            <w:r>
              <w:rPr>
                <w:rFonts w:ascii="Microsoft JhengHei" w:hAnsi="Microsoft JhengHei" w:eastAsia="Microsoft JhengHei"/>
                <w:b w:val="0"/>
                <w:sz w:val="18"/>
              </w:rPr>
              <w:t>staff-friction pass</w:t>
            </w:r>
          </w:p>
        </w:tc>
        <w:tc>
          <w:tcPr>
            <w:tcW w:type="dxa" w:w="1701"/>
          </w:tcPr>
          <w:p>
            <w:r>
              <w:rPr>
                <w:rFonts w:ascii="Microsoft JhengHei" w:hAnsi="Microsoft JhengHei" w:eastAsia="Microsoft JhengHei"/>
                <w:b w:val="0"/>
                <w:sz w:val="18"/>
              </w:rPr>
              <w:t>護理、櫃台、醫師端不增加不可接受的重複輸入、點擊、例外處理</w:t>
            </w:r>
          </w:p>
        </w:tc>
        <w:tc>
          <w:tcPr>
            <w:tcW w:type="dxa" w:w="1701"/>
          </w:tcPr>
          <w:p>
            <w:r>
              <w:rPr>
                <w:rFonts w:ascii="Microsoft JhengHei" w:hAnsi="Microsoft JhengHei" w:eastAsia="Microsoft JhengHei"/>
                <w:b w:val="0"/>
                <w:sz w:val="18"/>
              </w:rPr>
              <w:t>待 workflow review</w:t>
            </w:r>
          </w:p>
        </w:tc>
        <w:tc>
          <w:tcPr>
            <w:tcW w:type="dxa" w:w="1701"/>
          </w:tcPr>
          <w:p>
            <w:r>
              <w:rPr>
                <w:rFonts w:ascii="Microsoft JhengHei" w:hAnsi="Microsoft JhengHei" w:eastAsia="Microsoft JhengHei"/>
                <w:b w:val="0"/>
                <w:sz w:val="18"/>
              </w:rPr>
              <w:t>Y1 walkthrough；Y2 一輪改版後通過；Y3 SOP</w:t>
            </w:r>
          </w:p>
        </w:tc>
        <w:tc>
          <w:tcPr>
            <w:tcW w:type="dxa" w:w="1701"/>
          </w:tcPr>
          <w:p>
            <w:r>
              <w:rPr>
                <w:rFonts w:ascii="Microsoft JhengHei" w:hAnsi="Microsoft JhengHei" w:eastAsia="Microsoft JhengHei"/>
                <w:b w:val="0"/>
                <w:sz w:val="18"/>
              </w:rPr>
              <w:t>W2, W3, W7</w:t>
            </w:r>
          </w:p>
        </w:tc>
      </w:tr>
      <w:tr>
        <w:tc>
          <w:tcPr>
            <w:tcW w:type="dxa" w:w="1701"/>
          </w:tcPr>
          <w:p>
            <w:r>
              <w:rPr>
                <w:rFonts w:ascii="Microsoft JhengHei" w:hAnsi="Microsoft JhengHei" w:eastAsia="Microsoft JhengHei"/>
                <w:b w:val="0"/>
                <w:sz w:val="18"/>
              </w:rPr>
              <w:t>導入智慧科技醫療</w:t>
            </w:r>
          </w:p>
        </w:tc>
        <w:tc>
          <w:tcPr>
            <w:tcW w:type="dxa" w:w="1701"/>
          </w:tcPr>
          <w:p>
            <w:r>
              <w:rPr>
                <w:rFonts w:ascii="Microsoft JhengHei" w:hAnsi="Microsoft JhengHei" w:eastAsia="Microsoft JhengHei"/>
                <w:b w:val="0"/>
                <w:sz w:val="18"/>
              </w:rPr>
              <w:t>governance readiness</w:t>
            </w:r>
          </w:p>
        </w:tc>
        <w:tc>
          <w:tcPr>
            <w:tcW w:type="dxa" w:w="1701"/>
          </w:tcPr>
          <w:p>
            <w:r>
              <w:rPr>
                <w:rFonts w:ascii="Microsoft JhengHei" w:hAnsi="Microsoft JhengHei" w:eastAsia="Microsoft JhengHei"/>
                <w:b w:val="0"/>
                <w:sz w:val="18"/>
              </w:rPr>
              <w:t>AI/data/security/IRB/procurement owner 是否命名；進場 route 是否完成</w:t>
            </w:r>
          </w:p>
        </w:tc>
        <w:tc>
          <w:tcPr>
            <w:tcW w:type="dxa" w:w="1701"/>
          </w:tcPr>
          <w:p>
            <w:r>
              <w:rPr>
                <w:rFonts w:ascii="Microsoft JhengHei" w:hAnsi="Microsoft JhengHei" w:eastAsia="Microsoft JhengHei"/>
                <w:b w:val="0"/>
                <w:sz w:val="18"/>
              </w:rPr>
              <w:t>owner table pending</w:t>
            </w:r>
          </w:p>
        </w:tc>
        <w:tc>
          <w:tcPr>
            <w:tcW w:type="dxa" w:w="1701"/>
          </w:tcPr>
          <w:p>
            <w:r>
              <w:rPr>
                <w:rFonts w:ascii="Microsoft JhengHei" w:hAnsi="Microsoft JhengHei" w:eastAsia="Microsoft JhengHei"/>
                <w:b w:val="0"/>
                <w:sz w:val="18"/>
              </w:rPr>
              <w:t>未命名 owner 不碰真實資料</w:t>
            </w:r>
          </w:p>
        </w:tc>
        <w:tc>
          <w:tcPr>
            <w:tcW w:type="dxa" w:w="1701"/>
          </w:tcPr>
          <w:p>
            <w:r>
              <w:rPr>
                <w:rFonts w:ascii="Microsoft JhengHei" w:hAnsi="Microsoft JhengHei" w:eastAsia="Microsoft JhengHei"/>
                <w:b w:val="0"/>
                <w:sz w:val="18"/>
              </w:rPr>
              <w:t>W5, W6</w:t>
            </w:r>
          </w:p>
        </w:tc>
      </w:tr>
      <w:tr>
        <w:tc>
          <w:tcPr>
            <w:tcW w:type="dxa" w:w="1701"/>
          </w:tcPr>
          <w:p>
            <w:r>
              <w:rPr>
                <w:rFonts w:ascii="Microsoft JhengHei" w:hAnsi="Microsoft JhengHei" w:eastAsia="Microsoft JhengHei"/>
                <w:b w:val="0"/>
                <w:sz w:val="18"/>
              </w:rPr>
              <w:t>經費與管考</w:t>
            </w:r>
          </w:p>
        </w:tc>
        <w:tc>
          <w:tcPr>
            <w:tcW w:type="dxa" w:w="1701"/>
          </w:tcPr>
          <w:p>
            <w:r>
              <w:rPr>
                <w:rFonts w:ascii="Microsoft JhengHei" w:hAnsi="Microsoft JhengHei" w:eastAsia="Microsoft JhengHei"/>
                <w:b w:val="0"/>
                <w:sz w:val="18"/>
              </w:rPr>
              <w:t>KPI-to-budget mapping</w:t>
            </w:r>
          </w:p>
        </w:tc>
        <w:tc>
          <w:tcPr>
            <w:tcW w:type="dxa" w:w="1701"/>
          </w:tcPr>
          <w:p>
            <w:r>
              <w:rPr>
                <w:rFonts w:ascii="Microsoft JhengHei" w:hAnsi="Microsoft JhengHei" w:eastAsia="Microsoft JhengHei"/>
                <w:b w:val="0"/>
                <w:sz w:val="18"/>
              </w:rPr>
              <w:t>每一經費列有 KPI、owner、source、evidence</w:t>
            </w:r>
          </w:p>
        </w:tc>
        <w:tc>
          <w:tcPr>
            <w:tcW w:type="dxa" w:w="1701"/>
          </w:tcPr>
          <w:p>
            <w:r>
              <w:rPr>
                <w:rFonts w:ascii="Microsoft JhengHei" w:hAnsi="Microsoft JhengHei" w:eastAsia="Microsoft JhengHei"/>
                <w:b w:val="0"/>
                <w:sz w:val="18"/>
              </w:rPr>
              <w:t>workbook established</w:t>
            </w:r>
          </w:p>
        </w:tc>
        <w:tc>
          <w:tcPr>
            <w:tcW w:type="dxa" w:w="1701"/>
          </w:tcPr>
          <w:p>
            <w:r>
              <w:rPr>
                <w:rFonts w:ascii="Microsoft JhengHei" w:hAnsi="Microsoft JhengHei" w:eastAsia="Microsoft JhengHei"/>
                <w:b w:val="0"/>
                <w:sz w:val="18"/>
              </w:rPr>
              <w:t>100%；未映射項目刪除或改列</w:t>
            </w:r>
          </w:p>
        </w:tc>
        <w:tc>
          <w:tcPr>
            <w:tcW w:type="dxa" w:w="1701"/>
          </w:tcPr>
          <w:p>
            <w:r>
              <w:rPr>
                <w:rFonts w:ascii="Microsoft JhengHei" w:hAnsi="Microsoft JhengHei" w:eastAsia="Microsoft JhengHei"/>
                <w:b w:val="0"/>
                <w:sz w:val="18"/>
              </w:rPr>
              <w:t>ALL</w:t>
            </w:r>
          </w:p>
        </w:tc>
      </w:tr>
    </w:tbl>
    <w:p>
      <w:pPr>
        <w:pStyle w:val="2"/>
      </w:pPr>
      <w:r>
        <w:rPr>
          <w:rFonts w:ascii="Microsoft JhengHei" w:hAnsi="Microsoft JhengHei" w:eastAsia="Microsoft JhengHei"/>
          <w:b/>
          <w:sz w:val="24"/>
        </w:rPr>
        <w:t>二、年度查核點</w:t>
      </w:r>
    </w:p>
    <w:tbl>
      <w:tblPr>
        <w:tblStyle w:val="aff9"/>
        <w:tblW w:type="auto" w:w="0"/>
        <w:tblLook w:firstColumn="1" w:firstRow="1" w:lastColumn="0" w:lastRow="0" w:noHBand="0" w:noVBand="1" w:val="04A0"/>
      </w:tblPr>
      <w:tblGrid>
        <w:gridCol w:w="2551"/>
        <w:gridCol w:w="2551"/>
        <w:gridCol w:w="2551"/>
        <w:gridCol w:w="2551"/>
      </w:tblGrid>
      <w:tr>
        <w:tc>
          <w:tcPr>
            <w:tcW w:type="dxa" w:w="2551"/>
          </w:tcPr>
          <w:p>
            <w:r>
              <w:rPr>
                <w:rFonts w:ascii="Microsoft JhengHei" w:hAnsi="Microsoft JhengHei" w:eastAsia="Microsoft JhengHei"/>
                <w:b/>
                <w:sz w:val="18"/>
              </w:rPr>
              <w:t>年度</w:t>
            </w:r>
          </w:p>
        </w:tc>
        <w:tc>
          <w:tcPr>
            <w:tcW w:type="dxa" w:w="2551"/>
          </w:tcPr>
          <w:p>
            <w:r>
              <w:rPr>
                <w:rFonts w:ascii="Microsoft JhengHei" w:hAnsi="Microsoft JhengHei" w:eastAsia="Microsoft JhengHei"/>
                <w:b/>
                <w:sz w:val="18"/>
              </w:rPr>
              <w:t>查核點</w:t>
            </w:r>
          </w:p>
        </w:tc>
        <w:tc>
          <w:tcPr>
            <w:tcW w:type="dxa" w:w="2551"/>
          </w:tcPr>
          <w:p>
            <w:r>
              <w:rPr>
                <w:rFonts w:ascii="Microsoft JhengHei" w:hAnsi="Microsoft JhengHei" w:eastAsia="Microsoft JhengHei"/>
                <w:b/>
                <w:sz w:val="18"/>
              </w:rPr>
              <w:t>應交付證據</w:t>
            </w:r>
          </w:p>
        </w:tc>
        <w:tc>
          <w:tcPr>
            <w:tcW w:type="dxa" w:w="2551"/>
          </w:tcPr>
          <w:p>
            <w:r>
              <w:rPr>
                <w:rFonts w:ascii="Microsoft JhengHei" w:hAnsi="Microsoft JhengHei" w:eastAsia="Microsoft JhengHei"/>
                <w:b/>
                <w:sz w:val="18"/>
              </w:rPr>
              <w:t>Go / No-Go</w:t>
            </w:r>
          </w:p>
        </w:tc>
      </w:tr>
      <w:tr>
        <w:tc>
          <w:tcPr>
            <w:tcW w:type="dxa" w:w="2551"/>
          </w:tcPr>
          <w:p>
            <w:r>
              <w:rPr>
                <w:rFonts w:ascii="Microsoft JhengHei" w:hAnsi="Microsoft JhengHei" w:eastAsia="Microsoft JhengHei"/>
                <w:b w:val="0"/>
                <w:sz w:val="18"/>
              </w:rPr>
              <w:t>Y1</w:t>
            </w:r>
          </w:p>
        </w:tc>
        <w:tc>
          <w:tcPr>
            <w:tcW w:type="dxa" w:w="2551"/>
          </w:tcPr>
          <w:p>
            <w:r>
              <w:rPr>
                <w:rFonts w:ascii="Microsoft JhengHei" w:hAnsi="Microsoft JhengHei" w:eastAsia="Microsoft JhengHei"/>
                <w:b w:val="0"/>
                <w:sz w:val="18"/>
              </w:rPr>
              <w:t>Intended use / clinical boundary 鎖定</w:t>
            </w:r>
          </w:p>
        </w:tc>
        <w:tc>
          <w:tcPr>
            <w:tcW w:type="dxa" w:w="2551"/>
          </w:tcPr>
          <w:p>
            <w:r>
              <w:rPr>
                <w:rFonts w:ascii="Microsoft JhengHei" w:hAnsi="Microsoft JhengHei" w:eastAsia="Microsoft JhengHei"/>
                <w:b w:val="0"/>
                <w:sz w:val="18"/>
              </w:rPr>
              <w:t>intended-use 文件、禁止語句清單、CRM out-of-scope 註記</w:t>
            </w:r>
          </w:p>
        </w:tc>
        <w:tc>
          <w:tcPr>
            <w:tcW w:type="dxa" w:w="2551"/>
          </w:tcPr>
          <w:p>
            <w:r>
              <w:rPr>
                <w:rFonts w:ascii="Microsoft JhengHei" w:hAnsi="Microsoft JhengHei" w:eastAsia="Microsoft JhengHei"/>
                <w:b w:val="0"/>
                <w:sz w:val="18"/>
              </w:rPr>
              <w:t>未完成不得做真實資料測試</w:t>
            </w:r>
          </w:p>
        </w:tc>
      </w:tr>
      <w:tr>
        <w:tc>
          <w:tcPr>
            <w:tcW w:type="dxa" w:w="2551"/>
          </w:tcPr>
          <w:p>
            <w:r>
              <w:rPr>
                <w:rFonts w:ascii="Microsoft JhengHei" w:hAnsi="Microsoft JhengHei" w:eastAsia="Microsoft JhengHei"/>
                <w:b w:val="0"/>
                <w:sz w:val="18"/>
              </w:rPr>
              <w:t>Y1</w:t>
            </w:r>
          </w:p>
        </w:tc>
        <w:tc>
          <w:tcPr>
            <w:tcW w:type="dxa" w:w="2551"/>
          </w:tcPr>
          <w:p>
            <w:r>
              <w:rPr>
                <w:rFonts w:ascii="Microsoft JhengHei" w:hAnsi="Microsoft JhengHei" w:eastAsia="Microsoft JhengHei"/>
                <w:b w:val="0"/>
                <w:sz w:val="18"/>
              </w:rPr>
              <w:t>Question set + summary schema v1</w:t>
            </w:r>
          </w:p>
        </w:tc>
        <w:tc>
          <w:tcPr>
            <w:tcW w:type="dxa" w:w="2551"/>
          </w:tcPr>
          <w:p>
            <w:r>
              <w:rPr>
                <w:rFonts w:ascii="Microsoft JhengHei" w:hAnsi="Microsoft JhengHei" w:eastAsia="Microsoft JhengHei"/>
                <w:b w:val="0"/>
                <w:sz w:val="18"/>
              </w:rPr>
              <w:t>問題集、schema、source label、missing-field 規則</w:t>
            </w:r>
          </w:p>
        </w:tc>
        <w:tc>
          <w:tcPr>
            <w:tcW w:type="dxa" w:w="2551"/>
          </w:tcPr>
          <w:p>
            <w:r>
              <w:rPr>
                <w:rFonts w:ascii="Microsoft JhengHei" w:hAnsi="Microsoft JhengHei" w:eastAsia="Microsoft JhengHei"/>
                <w:b w:val="0"/>
                <w:sz w:val="18"/>
              </w:rPr>
              <w:t>未達標不進 reviewer demo</w:t>
            </w:r>
          </w:p>
        </w:tc>
      </w:tr>
      <w:tr>
        <w:tc>
          <w:tcPr>
            <w:tcW w:type="dxa" w:w="2551"/>
          </w:tcPr>
          <w:p>
            <w:r>
              <w:rPr>
                <w:rFonts w:ascii="Microsoft JhengHei" w:hAnsi="Microsoft JhengHei" w:eastAsia="Microsoft JhengHei"/>
                <w:b w:val="0"/>
                <w:sz w:val="18"/>
              </w:rPr>
              <w:t>Y1</w:t>
            </w:r>
          </w:p>
        </w:tc>
        <w:tc>
          <w:tcPr>
            <w:tcW w:type="dxa" w:w="2551"/>
          </w:tcPr>
          <w:p>
            <w:r>
              <w:rPr>
                <w:rFonts w:ascii="Microsoft JhengHei" w:hAnsi="Microsoft JhengHei" w:eastAsia="Microsoft JhengHei"/>
                <w:b w:val="0"/>
                <w:sz w:val="18"/>
              </w:rPr>
              <w:t>Synthetic reviewer evidence</w:t>
            </w:r>
          </w:p>
        </w:tc>
        <w:tc>
          <w:tcPr>
            <w:tcW w:type="dxa" w:w="2551"/>
          </w:tcPr>
          <w:p>
            <w:r>
              <w:rPr>
                <w:rFonts w:ascii="Microsoft JhengHei" w:hAnsi="Microsoft JhengHei" w:eastAsia="Microsoft JhengHei"/>
                <w:b w:val="0"/>
                <w:sz w:val="18"/>
              </w:rPr>
              <w:t>3-5 個 synthetic cases、timed review、scorecard</w:t>
            </w:r>
          </w:p>
        </w:tc>
        <w:tc>
          <w:tcPr>
            <w:tcW w:type="dxa" w:w="2551"/>
          </w:tcPr>
          <w:p>
            <w:r>
              <w:rPr>
                <w:rFonts w:ascii="Microsoft JhengHei" w:hAnsi="Microsoft JhengHei" w:eastAsia="Microsoft JhengHei"/>
                <w:b w:val="0"/>
                <w:sz w:val="18"/>
              </w:rPr>
              <w:t>read time 與 usefulness 未達標則修 schema</w:t>
            </w:r>
          </w:p>
        </w:tc>
      </w:tr>
      <w:tr>
        <w:tc>
          <w:tcPr>
            <w:tcW w:type="dxa" w:w="2551"/>
          </w:tcPr>
          <w:p>
            <w:r>
              <w:rPr>
                <w:rFonts w:ascii="Microsoft JhengHei" w:hAnsi="Microsoft JhengHei" w:eastAsia="Microsoft JhengHei"/>
                <w:b w:val="0"/>
                <w:sz w:val="18"/>
              </w:rPr>
              <w:t>Y2</w:t>
            </w:r>
          </w:p>
        </w:tc>
        <w:tc>
          <w:tcPr>
            <w:tcW w:type="dxa" w:w="2551"/>
          </w:tcPr>
          <w:p>
            <w:r>
              <w:rPr>
                <w:rFonts w:ascii="Microsoft JhengHei" w:hAnsi="Microsoft JhengHei" w:eastAsia="Microsoft JhengHei"/>
                <w:b w:val="0"/>
                <w:sz w:val="18"/>
              </w:rPr>
              <w:t>Governance-approved limited workflow evidence</w:t>
            </w:r>
          </w:p>
        </w:tc>
        <w:tc>
          <w:tcPr>
            <w:tcW w:type="dxa" w:w="2551"/>
          </w:tcPr>
          <w:p>
            <w:r>
              <w:rPr>
                <w:rFonts w:ascii="Microsoft JhengHei" w:hAnsi="Microsoft JhengHei" w:eastAsia="Microsoft JhengHei"/>
                <w:b w:val="0"/>
                <w:sz w:val="18"/>
              </w:rPr>
              <w:t>QI/IRB 判定、流程紀錄、臨床 feedback</w:t>
            </w:r>
          </w:p>
        </w:tc>
        <w:tc>
          <w:tcPr>
            <w:tcW w:type="dxa" w:w="2551"/>
          </w:tcPr>
          <w:p>
            <w:r>
              <w:rPr>
                <w:rFonts w:ascii="Microsoft JhengHei" w:hAnsi="Microsoft JhengHei" w:eastAsia="Microsoft JhengHei"/>
                <w:b w:val="0"/>
                <w:sz w:val="18"/>
              </w:rPr>
              <w:t>未核准真實資料 route 時，改用 workflow simulation</w:t>
            </w:r>
          </w:p>
        </w:tc>
      </w:tr>
      <w:tr>
        <w:tc>
          <w:tcPr>
            <w:tcW w:type="dxa" w:w="2551"/>
          </w:tcPr>
          <w:p>
            <w:r>
              <w:rPr>
                <w:rFonts w:ascii="Microsoft JhengHei" w:hAnsi="Microsoft JhengHei" w:eastAsia="Microsoft JhengHei"/>
                <w:b w:val="0"/>
                <w:sz w:val="18"/>
              </w:rPr>
              <w:t>Y2</w:t>
            </w:r>
          </w:p>
        </w:tc>
        <w:tc>
          <w:tcPr>
            <w:tcW w:type="dxa" w:w="2551"/>
          </w:tcPr>
          <w:p>
            <w:r>
              <w:rPr>
                <w:rFonts w:ascii="Microsoft JhengHei" w:hAnsi="Microsoft JhengHei" w:eastAsia="Microsoft JhengHei"/>
                <w:b w:val="0"/>
                <w:sz w:val="18"/>
              </w:rPr>
              <w:t>模型 / 摘要安全與 audit</w:t>
            </w:r>
          </w:p>
        </w:tc>
        <w:tc>
          <w:tcPr>
            <w:tcW w:type="dxa" w:w="2551"/>
          </w:tcPr>
          <w:p>
            <w:r>
              <w:rPr>
                <w:rFonts w:ascii="Microsoft JhengHei" w:hAnsi="Microsoft JhengHei" w:eastAsia="Microsoft JhengHei"/>
                <w:b w:val="0"/>
                <w:sz w:val="18"/>
              </w:rPr>
              <w:t>版本紀錄、audit samples、red-team log</w:t>
            </w:r>
          </w:p>
        </w:tc>
        <w:tc>
          <w:tcPr>
            <w:tcW w:type="dxa" w:w="2551"/>
          </w:tcPr>
          <w:p>
            <w:r>
              <w:rPr>
                <w:rFonts w:ascii="Microsoft JhengHei" w:hAnsi="Microsoft JhengHei" w:eastAsia="Microsoft JhengHei"/>
                <w:b w:val="0"/>
                <w:sz w:val="18"/>
              </w:rPr>
              <w:t>unsafe wording 未清零即 freeze release</w:t>
            </w:r>
          </w:p>
        </w:tc>
      </w:tr>
      <w:tr>
        <w:tc>
          <w:tcPr>
            <w:tcW w:type="dxa" w:w="2551"/>
          </w:tcPr>
          <w:p>
            <w:r>
              <w:rPr>
                <w:rFonts w:ascii="Microsoft JhengHei" w:hAnsi="Microsoft JhengHei" w:eastAsia="Microsoft JhengHei"/>
                <w:b w:val="0"/>
                <w:sz w:val="18"/>
              </w:rPr>
              <w:t>Y3</w:t>
            </w:r>
          </w:p>
        </w:tc>
        <w:tc>
          <w:tcPr>
            <w:tcW w:type="dxa" w:w="2551"/>
          </w:tcPr>
          <w:p>
            <w:r>
              <w:rPr>
                <w:rFonts w:ascii="Microsoft JhengHei" w:hAnsi="Microsoft JhengHei" w:eastAsia="Microsoft JhengHei"/>
                <w:b w:val="0"/>
                <w:sz w:val="18"/>
              </w:rPr>
              <w:t>Final evidence package</w:t>
            </w:r>
          </w:p>
        </w:tc>
        <w:tc>
          <w:tcPr>
            <w:tcW w:type="dxa" w:w="2551"/>
          </w:tcPr>
          <w:p>
            <w:r>
              <w:rPr>
                <w:rFonts w:ascii="Microsoft JhengHei" w:hAnsi="Microsoft JhengHei" w:eastAsia="Microsoft JhengHei"/>
                <w:b w:val="0"/>
                <w:sz w:val="18"/>
              </w:rPr>
              <w:t>KPI 報告、失敗案例與修正、維運 owner</w:t>
            </w:r>
          </w:p>
        </w:tc>
        <w:tc>
          <w:tcPr>
            <w:tcW w:type="dxa" w:w="2551"/>
          </w:tcPr>
          <w:p>
            <w:r>
              <w:rPr>
                <w:rFonts w:ascii="Microsoft JhengHei" w:hAnsi="Microsoft JhengHei" w:eastAsia="Microsoft JhengHei"/>
                <w:b w:val="0"/>
                <w:sz w:val="18"/>
              </w:rPr>
              <w:t>無 maintenance owner 不承諾長期服務</w:t>
            </w:r>
          </w:p>
        </w:tc>
      </w:tr>
      <w:tr>
        <w:tc>
          <w:tcPr>
            <w:tcW w:type="dxa" w:w="2551"/>
          </w:tcPr>
          <w:p>
            <w:r>
              <w:rPr>
                <w:rFonts w:ascii="Microsoft JhengHei" w:hAnsi="Microsoft JhengHei" w:eastAsia="Microsoft JhengHei"/>
                <w:b w:val="0"/>
                <w:sz w:val="18"/>
              </w:rPr>
              <w:t>Y3</w:t>
            </w:r>
          </w:p>
        </w:tc>
        <w:tc>
          <w:tcPr>
            <w:tcW w:type="dxa" w:w="2551"/>
          </w:tcPr>
          <w:p>
            <w:r>
              <w:rPr>
                <w:rFonts w:ascii="Microsoft JhengHei" w:hAnsi="Microsoft JhengHei" w:eastAsia="Microsoft JhengHei"/>
                <w:b w:val="0"/>
                <w:sz w:val="18"/>
              </w:rPr>
              <w:t>Next-stage governance brief</w:t>
            </w:r>
          </w:p>
        </w:tc>
        <w:tc>
          <w:tcPr>
            <w:tcW w:type="dxa" w:w="2551"/>
          </w:tcPr>
          <w:p>
            <w:r>
              <w:rPr>
                <w:rFonts w:ascii="Microsoft JhengHei" w:hAnsi="Microsoft JhengHei" w:eastAsia="Microsoft JhengHei"/>
                <w:b w:val="0"/>
                <w:sz w:val="18"/>
              </w:rPr>
              <w:t>HIS/EMR/API/正式採購條件列表</w:t>
            </w:r>
          </w:p>
        </w:tc>
        <w:tc>
          <w:tcPr>
            <w:tcW w:type="dxa" w:w="2551"/>
          </w:tcPr>
          <w:p>
            <w:r>
              <w:rPr>
                <w:rFonts w:ascii="Microsoft JhengHei" w:hAnsi="Microsoft JhengHei" w:eastAsia="Microsoft JhengHei"/>
                <w:b w:val="0"/>
                <w:sz w:val="18"/>
              </w:rPr>
              <w:t>不把本案自動轉為 production EMR writeback</w:t>
            </w:r>
          </w:p>
        </w:tc>
      </w:tr>
    </w:tbl>
    <w:p>
      <w:pPr>
        <w:pStyle w:val="2"/>
      </w:pPr>
      <w:r>
        <w:rPr>
          <w:rFonts w:ascii="Microsoft JhengHei" w:hAnsi="Microsoft JhengHei" w:eastAsia="Microsoft JhengHei"/>
          <w:b/>
          <w:sz w:val="24"/>
        </w:rPr>
        <w:t>三、效益敘述</w:t>
      </w:r>
    </w:p>
    <w:p>
      <w:r>
        <w:rPr>
          <w:rFonts w:ascii="Microsoft JhengHei" w:hAnsi="Microsoft JhengHei" w:eastAsia="Microsoft JhengHei"/>
        </w:rPr>
        <w:t>本案的直接效益，是讓泌尿科門診前資訊蒐集更清楚、醫師覆核更快速、缺漏資訊更可見、AI 輸出更可追溯。這些效益能用 reviewer time、clinician usefulness、minimum-field completion、source-label audit、unsafe wording QA 與 governance readiness 量化，並能在年度查核中交付。</w:t>
      </w:r>
    </w:p>
    <w:p>
      <w:r>
        <w:rPr>
          <w:rFonts w:ascii="Microsoft JhengHei" w:hAnsi="Microsoft JhengHei" w:eastAsia="Microsoft JhengHei"/>
        </w:rPr>
        <w:t>本案的延伸效益，是讓泌尿科門診在正式看診前取得更好的 visit readiness。此效益以門診前摘要流程與醫師覆核品質呈現，避免把本期 AI package 擴張成病人追蹤或長期臨床結果承諾。</w:t>
      </w:r>
    </w:p>
    <w:p>
      <w:pPr>
        <w:pStyle w:val="1"/>
      </w:pPr>
      <w:r>
        <w:rPr>
          <w:rFonts w:ascii="Microsoft JhengHei" w:hAnsi="Microsoft JhengHei" w:eastAsia="Microsoft JhengHei"/>
          <w:b/>
          <w:sz w:val="28"/>
        </w:rPr>
        <w:t>陸、出國計畫書</w:t>
      </w:r>
    </w:p>
    <w:p>
      <w:r>
        <w:rPr>
          <w:rFonts w:ascii="Microsoft JhengHei" w:hAnsi="Microsoft JhengHei" w:eastAsia="Microsoft JhengHei"/>
        </w:rPr>
        <w:t>本子計畫第一版不以出國研習作為核心工作。若主提案以範疇二納入訓練或國外觀摩，需由 training owner 另列目的、行程、人數、天數、經費與補助比例，並對應人才培育 KPI。本案目前將人才培育聚焦在臨床 reviewer 教育、AI governance、資料最小化、IRB/QI 進場條件、資安與採購注意事項。</w:t>
      </w:r>
    </w:p>
    <w:p>
      <w:pPr>
        <w:pStyle w:val="1"/>
      </w:pPr>
      <w:r>
        <w:rPr>
          <w:rFonts w:ascii="Microsoft JhengHei" w:hAnsi="Microsoft JhengHei" w:eastAsia="Microsoft JhengHei"/>
          <w:b/>
          <w:sz w:val="28"/>
        </w:rPr>
        <w:t>柒、經費規劃</w:t>
      </w:r>
    </w:p>
    <w:p>
      <w:r>
        <w:rPr>
          <w:rFonts w:ascii="Microsoft JhengHei" w:hAnsi="Microsoft JhengHei" w:eastAsia="Microsoft JhengHei"/>
        </w:rPr>
        <w:t>本稿以三年新臺幣 10,000,000 元作 AI-only package 討論配置。正式送件前，主提單位需依健康台灣深耕計畫經費支用標準，轉成正式會計科目、單價、數量、年度、補助款 / 配合款、採購註記與支用說明。</w:t>
      </w:r>
    </w:p>
    <w:p>
      <w:pPr>
        <w:pStyle w:val="2"/>
      </w:pPr>
      <w:r>
        <w:rPr>
          <w:rFonts w:ascii="Microsoft JhengHei" w:hAnsi="Microsoft JhengHei" w:eastAsia="Microsoft JhengHei"/>
          <w:b/>
          <w:sz w:val="24"/>
        </w:rPr>
        <w:t>一、工作包經費表</w:t>
      </w:r>
    </w:p>
    <w:tbl>
      <w:tblPr>
        <w:tblStyle w:val="aff9"/>
        <w:tblW w:type="auto" w:w="0"/>
        <w:tblLook w:firstColumn="1" w:firstRow="1" w:lastColumn="0" w:lastRow="0" w:noHBand="0" w:noVBand="1" w:val="04A0"/>
      </w:tblPr>
      <w:tblGrid>
        <w:gridCol w:w="1701"/>
        <w:gridCol w:w="1701"/>
        <w:gridCol w:w="1701"/>
        <w:gridCol w:w="1701"/>
        <w:gridCol w:w="1701"/>
        <w:gridCol w:w="1701"/>
      </w:tblGrid>
      <w:tr>
        <w:tc>
          <w:tcPr>
            <w:tcW w:type="dxa" w:w="1701"/>
          </w:tcPr>
          <w:p>
            <w:r>
              <w:rPr>
                <w:rFonts w:ascii="Microsoft JhengHei" w:hAnsi="Microsoft JhengHei" w:eastAsia="Microsoft JhengHei"/>
                <w:b/>
                <w:sz w:val="18"/>
              </w:rPr>
              <w:t>工作包</w:t>
            </w:r>
          </w:p>
        </w:tc>
        <w:tc>
          <w:tcPr>
            <w:tcW w:type="dxa" w:w="1701"/>
          </w:tcPr>
          <w:p>
            <w:r>
              <w:rPr>
                <w:rFonts w:ascii="Microsoft JhengHei" w:hAnsi="Microsoft JhengHei" w:eastAsia="Microsoft JhengHei"/>
                <w:b/>
                <w:sz w:val="18"/>
              </w:rPr>
              <w:t>第一年</w:t>
            </w:r>
          </w:p>
        </w:tc>
        <w:tc>
          <w:tcPr>
            <w:tcW w:type="dxa" w:w="1701"/>
          </w:tcPr>
          <w:p>
            <w:r>
              <w:rPr>
                <w:rFonts w:ascii="Microsoft JhengHei" w:hAnsi="Microsoft JhengHei" w:eastAsia="Microsoft JhengHei"/>
                <w:b/>
                <w:sz w:val="18"/>
              </w:rPr>
              <w:t>第二年</w:t>
            </w:r>
          </w:p>
        </w:tc>
        <w:tc>
          <w:tcPr>
            <w:tcW w:type="dxa" w:w="1701"/>
          </w:tcPr>
          <w:p>
            <w:r>
              <w:rPr>
                <w:rFonts w:ascii="Microsoft JhengHei" w:hAnsi="Microsoft JhengHei" w:eastAsia="Microsoft JhengHei"/>
                <w:b/>
                <w:sz w:val="18"/>
              </w:rPr>
              <w:t>第三年</w:t>
            </w:r>
          </w:p>
        </w:tc>
        <w:tc>
          <w:tcPr>
            <w:tcW w:type="dxa" w:w="1701"/>
          </w:tcPr>
          <w:p>
            <w:r>
              <w:rPr>
                <w:rFonts w:ascii="Microsoft JhengHei" w:hAnsi="Microsoft JhengHei" w:eastAsia="Microsoft JhengHei"/>
                <w:b/>
                <w:sz w:val="18"/>
              </w:rPr>
              <w:t>三年合計</w:t>
            </w:r>
          </w:p>
        </w:tc>
        <w:tc>
          <w:tcPr>
            <w:tcW w:type="dxa" w:w="1701"/>
          </w:tcPr>
          <w:p>
            <w:r>
              <w:rPr>
                <w:rFonts w:ascii="Microsoft JhengHei" w:hAnsi="Microsoft JhengHei" w:eastAsia="Microsoft JhengHei"/>
                <w:b/>
                <w:sz w:val="18"/>
              </w:rPr>
              <w:t>KPI / evidence</w:t>
            </w:r>
          </w:p>
        </w:tc>
      </w:tr>
      <w:tr>
        <w:tc>
          <w:tcPr>
            <w:tcW w:type="dxa" w:w="1701"/>
          </w:tcPr>
          <w:p>
            <w:r>
              <w:rPr>
                <w:rFonts w:ascii="Microsoft JhengHei" w:hAnsi="Microsoft JhengHei" w:eastAsia="Microsoft JhengHei"/>
                <w:b w:val="0"/>
                <w:sz w:val="18"/>
              </w:rPr>
              <w:t>W1 Proposal coordination / PM / RA / KPI evidence</w:t>
            </w:r>
          </w:p>
        </w:tc>
        <w:tc>
          <w:tcPr>
            <w:tcW w:type="dxa" w:w="1701"/>
          </w:tcPr>
          <w:p>
            <w:r>
              <w:rPr>
                <w:rFonts w:ascii="Microsoft JhengHei" w:hAnsi="Microsoft JhengHei" w:eastAsia="Microsoft JhengHei"/>
                <w:b w:val="0"/>
                <w:sz w:val="18"/>
              </w:rPr>
              <w:t>NT$900,000</w:t>
            </w:r>
          </w:p>
        </w:tc>
        <w:tc>
          <w:tcPr>
            <w:tcW w:type="dxa" w:w="1701"/>
          </w:tcPr>
          <w:p>
            <w:r>
              <w:rPr>
                <w:rFonts w:ascii="Microsoft JhengHei" w:hAnsi="Microsoft JhengHei" w:eastAsia="Microsoft JhengHei"/>
                <w:b w:val="0"/>
                <w:sz w:val="18"/>
              </w:rPr>
              <w:t>NT$900,000</w:t>
            </w:r>
          </w:p>
        </w:tc>
        <w:tc>
          <w:tcPr>
            <w:tcW w:type="dxa" w:w="1701"/>
          </w:tcPr>
          <w:p>
            <w:r>
              <w:rPr>
                <w:rFonts w:ascii="Microsoft JhengHei" w:hAnsi="Microsoft JhengHei" w:eastAsia="Microsoft JhengHei"/>
                <w:b w:val="0"/>
                <w:sz w:val="18"/>
              </w:rPr>
              <w:t>NT$700,000</w:t>
            </w:r>
          </w:p>
        </w:tc>
        <w:tc>
          <w:tcPr>
            <w:tcW w:type="dxa" w:w="1701"/>
          </w:tcPr>
          <w:p>
            <w:r>
              <w:rPr>
                <w:rFonts w:ascii="Microsoft JhengHei" w:hAnsi="Microsoft JhengHei" w:eastAsia="Microsoft JhengHei"/>
                <w:b w:val="0"/>
                <w:sz w:val="18"/>
              </w:rPr>
              <w:t>NT$2,500,000</w:t>
            </w:r>
          </w:p>
        </w:tc>
        <w:tc>
          <w:tcPr>
            <w:tcW w:type="dxa" w:w="1701"/>
          </w:tcPr>
          <w:p>
            <w:r>
              <w:rPr>
                <w:rFonts w:ascii="Microsoft JhengHei" w:hAnsi="Microsoft JhengHei" w:eastAsia="Microsoft JhengHei"/>
                <w:b w:val="0"/>
                <w:sz w:val="18"/>
              </w:rPr>
              <w:t>proposal package、KPI workbook、annual evidence</w:t>
            </w:r>
          </w:p>
        </w:tc>
      </w:tr>
      <w:tr>
        <w:tc>
          <w:tcPr>
            <w:tcW w:type="dxa" w:w="1701"/>
          </w:tcPr>
          <w:p>
            <w:r>
              <w:rPr>
                <w:rFonts w:ascii="Microsoft JhengHei" w:hAnsi="Microsoft JhengHei" w:eastAsia="Microsoft JhengHei"/>
                <w:b w:val="0"/>
                <w:sz w:val="18"/>
              </w:rPr>
              <w:t>W2 Clinical workflow review / reviewer sessions</w:t>
            </w:r>
          </w:p>
        </w:tc>
        <w:tc>
          <w:tcPr>
            <w:tcW w:type="dxa" w:w="1701"/>
          </w:tcPr>
          <w:p>
            <w:r>
              <w:rPr>
                <w:rFonts w:ascii="Microsoft JhengHei" w:hAnsi="Microsoft JhengHei" w:eastAsia="Microsoft JhengHei"/>
                <w:b w:val="0"/>
                <w:sz w:val="18"/>
              </w:rPr>
              <w:t>NT$450,000</w:t>
            </w:r>
          </w:p>
        </w:tc>
        <w:tc>
          <w:tcPr>
            <w:tcW w:type="dxa" w:w="1701"/>
          </w:tcPr>
          <w:p>
            <w:r>
              <w:rPr>
                <w:rFonts w:ascii="Microsoft JhengHei" w:hAnsi="Microsoft JhengHei" w:eastAsia="Microsoft JhengHei"/>
                <w:b w:val="0"/>
                <w:sz w:val="18"/>
              </w:rPr>
              <w:t>NT$450,000</w:t>
            </w:r>
          </w:p>
        </w:tc>
        <w:tc>
          <w:tcPr>
            <w:tcW w:type="dxa" w:w="1701"/>
          </w:tcPr>
          <w:p>
            <w:r>
              <w:rPr>
                <w:rFonts w:ascii="Microsoft JhengHei" w:hAnsi="Microsoft JhengHei" w:eastAsia="Microsoft JhengHei"/>
                <w:b w:val="0"/>
                <w:sz w:val="18"/>
              </w:rPr>
              <w:t>NT$300,000</w:t>
            </w:r>
          </w:p>
        </w:tc>
        <w:tc>
          <w:tcPr>
            <w:tcW w:type="dxa" w:w="1701"/>
          </w:tcPr>
          <w:p>
            <w:r>
              <w:rPr>
                <w:rFonts w:ascii="Microsoft JhengHei" w:hAnsi="Microsoft JhengHei" w:eastAsia="Microsoft JhengHei"/>
                <w:b w:val="0"/>
                <w:sz w:val="18"/>
              </w:rPr>
              <w:t>NT$1,200,000</w:t>
            </w:r>
          </w:p>
        </w:tc>
        <w:tc>
          <w:tcPr>
            <w:tcW w:type="dxa" w:w="1701"/>
          </w:tcPr>
          <w:p>
            <w:r>
              <w:rPr>
                <w:rFonts w:ascii="Microsoft JhengHei" w:hAnsi="Microsoft JhengHei" w:eastAsia="Microsoft JhengHei"/>
                <w:b w:val="0"/>
                <w:sz w:val="18"/>
              </w:rPr>
              <w:t>summary read time、clinician usefulness、staff-friction</w:t>
            </w:r>
          </w:p>
        </w:tc>
      </w:tr>
      <w:tr>
        <w:tc>
          <w:tcPr>
            <w:tcW w:type="dxa" w:w="1701"/>
          </w:tcPr>
          <w:p>
            <w:r>
              <w:rPr>
                <w:rFonts w:ascii="Microsoft JhengHei" w:hAnsi="Microsoft JhengHei" w:eastAsia="Microsoft JhengHei"/>
                <w:b w:val="0"/>
                <w:sz w:val="18"/>
              </w:rPr>
              <w:t>W3 Question governance / intake / summary schema</w:t>
            </w:r>
          </w:p>
        </w:tc>
        <w:tc>
          <w:tcPr>
            <w:tcW w:type="dxa" w:w="1701"/>
          </w:tcPr>
          <w:p>
            <w:r>
              <w:rPr>
                <w:rFonts w:ascii="Microsoft JhengHei" w:hAnsi="Microsoft JhengHei" w:eastAsia="Microsoft JhengHei"/>
                <w:b w:val="0"/>
                <w:sz w:val="18"/>
              </w:rPr>
              <w:t>NT$1,000,000</w:t>
            </w:r>
          </w:p>
        </w:tc>
        <w:tc>
          <w:tcPr>
            <w:tcW w:type="dxa" w:w="1701"/>
          </w:tcPr>
          <w:p>
            <w:r>
              <w:rPr>
                <w:rFonts w:ascii="Microsoft JhengHei" w:hAnsi="Microsoft JhengHei" w:eastAsia="Microsoft JhengHei"/>
                <w:b w:val="0"/>
                <w:sz w:val="18"/>
              </w:rPr>
              <w:t>NT$600,000</w:t>
            </w:r>
          </w:p>
        </w:tc>
        <w:tc>
          <w:tcPr>
            <w:tcW w:type="dxa" w:w="1701"/>
          </w:tcPr>
          <w:p>
            <w:r>
              <w:rPr>
                <w:rFonts w:ascii="Microsoft JhengHei" w:hAnsi="Microsoft JhengHei" w:eastAsia="Microsoft JhengHei"/>
                <w:b w:val="0"/>
                <w:sz w:val="18"/>
              </w:rPr>
              <w:t>NT$300,000</w:t>
            </w:r>
          </w:p>
        </w:tc>
        <w:tc>
          <w:tcPr>
            <w:tcW w:type="dxa" w:w="1701"/>
          </w:tcPr>
          <w:p>
            <w:r>
              <w:rPr>
                <w:rFonts w:ascii="Microsoft JhengHei" w:hAnsi="Microsoft JhengHei" w:eastAsia="Microsoft JhengHei"/>
                <w:b w:val="0"/>
                <w:sz w:val="18"/>
              </w:rPr>
              <w:t>NT$1,900,000</w:t>
            </w:r>
          </w:p>
        </w:tc>
        <w:tc>
          <w:tcPr>
            <w:tcW w:type="dxa" w:w="1701"/>
          </w:tcPr>
          <w:p>
            <w:r>
              <w:rPr>
                <w:rFonts w:ascii="Microsoft JhengHei" w:hAnsi="Microsoft JhengHei" w:eastAsia="Microsoft JhengHei"/>
                <w:b w:val="0"/>
                <w:sz w:val="18"/>
              </w:rPr>
              <w:t>question bank、source label、missing-field</w:t>
            </w:r>
          </w:p>
        </w:tc>
      </w:tr>
      <w:tr>
        <w:tc>
          <w:tcPr>
            <w:tcW w:type="dxa" w:w="1701"/>
          </w:tcPr>
          <w:p>
            <w:r>
              <w:rPr>
                <w:rFonts w:ascii="Microsoft JhengHei" w:hAnsi="Microsoft JhengHei" w:eastAsia="Microsoft JhengHei"/>
                <w:b w:val="0"/>
                <w:sz w:val="18"/>
              </w:rPr>
              <w:t>W4 AI prototype / summary generation / review evidence</w:t>
            </w:r>
          </w:p>
        </w:tc>
        <w:tc>
          <w:tcPr>
            <w:tcW w:type="dxa" w:w="1701"/>
          </w:tcPr>
          <w:p>
            <w:r>
              <w:rPr>
                <w:rFonts w:ascii="Microsoft JhengHei" w:hAnsi="Microsoft JhengHei" w:eastAsia="Microsoft JhengHei"/>
                <w:b w:val="0"/>
                <w:sz w:val="18"/>
              </w:rPr>
              <w:t>NT$900,000</w:t>
            </w:r>
          </w:p>
        </w:tc>
        <w:tc>
          <w:tcPr>
            <w:tcW w:type="dxa" w:w="1701"/>
          </w:tcPr>
          <w:p>
            <w:r>
              <w:rPr>
                <w:rFonts w:ascii="Microsoft JhengHei" w:hAnsi="Microsoft JhengHei" w:eastAsia="Microsoft JhengHei"/>
                <w:b w:val="0"/>
                <w:sz w:val="18"/>
              </w:rPr>
              <w:t>NT$700,000</w:t>
            </w:r>
          </w:p>
        </w:tc>
        <w:tc>
          <w:tcPr>
            <w:tcW w:type="dxa" w:w="1701"/>
          </w:tcPr>
          <w:p>
            <w:r>
              <w:rPr>
                <w:rFonts w:ascii="Microsoft JhengHei" w:hAnsi="Microsoft JhengHei" w:eastAsia="Microsoft JhengHei"/>
                <w:b w:val="0"/>
                <w:sz w:val="18"/>
              </w:rPr>
              <w:t>NT$300,000</w:t>
            </w:r>
          </w:p>
        </w:tc>
        <w:tc>
          <w:tcPr>
            <w:tcW w:type="dxa" w:w="1701"/>
          </w:tcPr>
          <w:p>
            <w:r>
              <w:rPr>
                <w:rFonts w:ascii="Microsoft JhengHei" w:hAnsi="Microsoft JhengHei" w:eastAsia="Microsoft JhengHei"/>
                <w:b w:val="0"/>
                <w:sz w:val="18"/>
              </w:rPr>
              <w:t>NT$1,900,000</w:t>
            </w:r>
          </w:p>
        </w:tc>
        <w:tc>
          <w:tcPr>
            <w:tcW w:type="dxa" w:w="1701"/>
          </w:tcPr>
          <w:p>
            <w:r>
              <w:rPr>
                <w:rFonts w:ascii="Microsoft JhengHei" w:hAnsi="Microsoft JhengHei" w:eastAsia="Microsoft JhengHei"/>
                <w:b w:val="0"/>
                <w:sz w:val="18"/>
              </w:rPr>
              <w:t>prototype、trace log、safety audit</w:t>
            </w:r>
          </w:p>
        </w:tc>
      </w:tr>
      <w:tr>
        <w:tc>
          <w:tcPr>
            <w:tcW w:type="dxa" w:w="1701"/>
          </w:tcPr>
          <w:p>
            <w:r>
              <w:rPr>
                <w:rFonts w:ascii="Microsoft JhengHei" w:hAnsi="Microsoft JhengHei" w:eastAsia="Microsoft JhengHei"/>
                <w:b w:val="0"/>
                <w:sz w:val="18"/>
              </w:rPr>
              <w:t>W5 AI / data / security / privacy governance</w:t>
            </w:r>
          </w:p>
        </w:tc>
        <w:tc>
          <w:tcPr>
            <w:tcW w:type="dxa" w:w="1701"/>
          </w:tcPr>
          <w:p>
            <w:r>
              <w:rPr>
                <w:rFonts w:ascii="Microsoft JhengHei" w:hAnsi="Microsoft JhengHei" w:eastAsia="Microsoft JhengHei"/>
                <w:b w:val="0"/>
                <w:sz w:val="18"/>
              </w:rPr>
              <w:t>NT$400,000</w:t>
            </w:r>
          </w:p>
        </w:tc>
        <w:tc>
          <w:tcPr>
            <w:tcW w:type="dxa" w:w="1701"/>
          </w:tcPr>
          <w:p>
            <w:r>
              <w:rPr>
                <w:rFonts w:ascii="Microsoft JhengHei" w:hAnsi="Microsoft JhengHei" w:eastAsia="Microsoft JhengHei"/>
                <w:b w:val="0"/>
                <w:sz w:val="18"/>
              </w:rPr>
              <w:t>NT$350,000</w:t>
            </w:r>
          </w:p>
        </w:tc>
        <w:tc>
          <w:tcPr>
            <w:tcW w:type="dxa" w:w="1701"/>
          </w:tcPr>
          <w:p>
            <w:r>
              <w:rPr>
                <w:rFonts w:ascii="Microsoft JhengHei" w:hAnsi="Microsoft JhengHei" w:eastAsia="Microsoft JhengHei"/>
                <w:b w:val="0"/>
                <w:sz w:val="18"/>
              </w:rPr>
              <w:t>NT$250,000</w:t>
            </w:r>
          </w:p>
        </w:tc>
        <w:tc>
          <w:tcPr>
            <w:tcW w:type="dxa" w:w="1701"/>
          </w:tcPr>
          <w:p>
            <w:r>
              <w:rPr>
                <w:rFonts w:ascii="Microsoft JhengHei" w:hAnsi="Microsoft JhengHei" w:eastAsia="Microsoft JhengHei"/>
                <w:b w:val="0"/>
                <w:sz w:val="18"/>
              </w:rPr>
              <w:t>NT$1,000,000</w:t>
            </w:r>
          </w:p>
        </w:tc>
        <w:tc>
          <w:tcPr>
            <w:tcW w:type="dxa" w:w="1701"/>
          </w:tcPr>
          <w:p>
            <w:r>
              <w:rPr>
                <w:rFonts w:ascii="Microsoft JhengHei" w:hAnsi="Microsoft JhengHei" w:eastAsia="Microsoft JhengHei"/>
                <w:b w:val="0"/>
                <w:sz w:val="18"/>
              </w:rPr>
              <w:t>governance checklist、procurement gate</w:t>
            </w:r>
          </w:p>
        </w:tc>
      </w:tr>
      <w:tr>
        <w:tc>
          <w:tcPr>
            <w:tcW w:type="dxa" w:w="1701"/>
          </w:tcPr>
          <w:p>
            <w:r>
              <w:rPr>
                <w:rFonts w:ascii="Microsoft JhengHei" w:hAnsi="Microsoft JhengHei" w:eastAsia="Microsoft JhengHei"/>
                <w:b w:val="0"/>
                <w:sz w:val="18"/>
              </w:rPr>
              <w:t>W6 Evaluation / baseline / QI / IRB / limited pilot evidence</w:t>
            </w:r>
          </w:p>
        </w:tc>
        <w:tc>
          <w:tcPr>
            <w:tcW w:type="dxa" w:w="1701"/>
          </w:tcPr>
          <w:p>
            <w:r>
              <w:rPr>
                <w:rFonts w:ascii="Microsoft JhengHei" w:hAnsi="Microsoft JhengHei" w:eastAsia="Microsoft JhengHei"/>
                <w:b w:val="0"/>
                <w:sz w:val="18"/>
              </w:rPr>
              <w:t>NT$250,000</w:t>
            </w:r>
          </w:p>
        </w:tc>
        <w:tc>
          <w:tcPr>
            <w:tcW w:type="dxa" w:w="1701"/>
          </w:tcPr>
          <w:p>
            <w:r>
              <w:rPr>
                <w:rFonts w:ascii="Microsoft JhengHei" w:hAnsi="Microsoft JhengHei" w:eastAsia="Microsoft JhengHei"/>
                <w:b w:val="0"/>
                <w:sz w:val="18"/>
              </w:rPr>
              <w:t>NT$400,000</w:t>
            </w:r>
          </w:p>
        </w:tc>
        <w:tc>
          <w:tcPr>
            <w:tcW w:type="dxa" w:w="1701"/>
          </w:tcPr>
          <w:p>
            <w:r>
              <w:rPr>
                <w:rFonts w:ascii="Microsoft JhengHei" w:hAnsi="Microsoft JhengHei" w:eastAsia="Microsoft JhengHei"/>
                <w:b w:val="0"/>
                <w:sz w:val="18"/>
              </w:rPr>
              <w:t>NT$350,000</w:t>
            </w:r>
          </w:p>
        </w:tc>
        <w:tc>
          <w:tcPr>
            <w:tcW w:type="dxa" w:w="1701"/>
          </w:tcPr>
          <w:p>
            <w:r>
              <w:rPr>
                <w:rFonts w:ascii="Microsoft JhengHei" w:hAnsi="Microsoft JhengHei" w:eastAsia="Microsoft JhengHei"/>
                <w:b w:val="0"/>
                <w:sz w:val="18"/>
              </w:rPr>
              <w:t>NT$1,000,000</w:t>
            </w:r>
          </w:p>
        </w:tc>
        <w:tc>
          <w:tcPr>
            <w:tcW w:type="dxa" w:w="1701"/>
          </w:tcPr>
          <w:p>
            <w:r>
              <w:rPr>
                <w:rFonts w:ascii="Microsoft JhengHei" w:hAnsi="Microsoft JhengHei" w:eastAsia="Microsoft JhengHei"/>
                <w:b w:val="0"/>
                <w:sz w:val="18"/>
              </w:rPr>
              <w:t>baseline、QI/IRB、evaluation report</w:t>
            </w:r>
          </w:p>
        </w:tc>
      </w:tr>
      <w:tr>
        <w:tc>
          <w:tcPr>
            <w:tcW w:type="dxa" w:w="1701"/>
          </w:tcPr>
          <w:p>
            <w:r>
              <w:rPr>
                <w:rFonts w:ascii="Microsoft JhengHei" w:hAnsi="Microsoft JhengHei" w:eastAsia="Microsoft JhengHei"/>
                <w:b w:val="0"/>
                <w:sz w:val="18"/>
              </w:rPr>
              <w:t>W7 Optional ASR / intake station readiness</w:t>
            </w:r>
          </w:p>
        </w:tc>
        <w:tc>
          <w:tcPr>
            <w:tcW w:type="dxa" w:w="1701"/>
          </w:tcPr>
          <w:p>
            <w:r>
              <w:rPr>
                <w:rFonts w:ascii="Microsoft JhengHei" w:hAnsi="Microsoft JhengHei" w:eastAsia="Microsoft JhengHei"/>
                <w:b w:val="0"/>
                <w:sz w:val="18"/>
              </w:rPr>
              <w:t>NT$350,000</w:t>
            </w:r>
          </w:p>
        </w:tc>
        <w:tc>
          <w:tcPr>
            <w:tcW w:type="dxa" w:w="1701"/>
          </w:tcPr>
          <w:p>
            <w:r>
              <w:rPr>
                <w:rFonts w:ascii="Microsoft JhengHei" w:hAnsi="Microsoft JhengHei" w:eastAsia="Microsoft JhengHei"/>
                <w:b w:val="0"/>
                <w:sz w:val="18"/>
              </w:rPr>
              <w:t>NT$150,000</w:t>
            </w:r>
          </w:p>
        </w:tc>
        <w:tc>
          <w:tcPr>
            <w:tcW w:type="dxa" w:w="1701"/>
          </w:tcPr>
          <w:p>
            <w:r>
              <w:rPr>
                <w:rFonts w:ascii="Microsoft JhengHei" w:hAnsi="Microsoft JhengHei" w:eastAsia="Microsoft JhengHei"/>
                <w:b w:val="0"/>
                <w:sz w:val="18"/>
              </w:rPr>
              <w:t>NT$0</w:t>
            </w:r>
          </w:p>
        </w:tc>
        <w:tc>
          <w:tcPr>
            <w:tcW w:type="dxa" w:w="1701"/>
          </w:tcPr>
          <w:p>
            <w:r>
              <w:rPr>
                <w:rFonts w:ascii="Microsoft JhengHei" w:hAnsi="Microsoft JhengHei" w:eastAsia="Microsoft JhengHei"/>
                <w:b w:val="0"/>
                <w:sz w:val="18"/>
              </w:rPr>
              <w:t>NT$500,000</w:t>
            </w:r>
          </w:p>
        </w:tc>
        <w:tc>
          <w:tcPr>
            <w:tcW w:type="dxa" w:w="1701"/>
          </w:tcPr>
          <w:p>
            <w:r>
              <w:rPr>
                <w:rFonts w:ascii="Microsoft JhengHei" w:hAnsi="Microsoft JhengHei" w:eastAsia="Microsoft JhengHei"/>
                <w:b w:val="0"/>
                <w:sz w:val="18"/>
              </w:rPr>
              <w:t>ASR-confirmed、intake station readiness</w:t>
            </w:r>
          </w:p>
        </w:tc>
      </w:tr>
      <w:tr>
        <w:tc>
          <w:tcPr>
            <w:tcW w:type="dxa" w:w="1701"/>
          </w:tcPr>
          <w:p>
            <w:r>
              <w:rPr>
                <w:rFonts w:ascii="Microsoft JhengHei" w:hAnsi="Microsoft JhengHei" w:eastAsia="Microsoft JhengHei"/>
                <w:b w:val="0"/>
                <w:sz w:val="18"/>
              </w:rPr>
              <w:t>總計</w:t>
            </w:r>
          </w:p>
        </w:tc>
        <w:tc>
          <w:tcPr>
            <w:tcW w:type="dxa" w:w="1701"/>
          </w:tcPr>
          <w:p>
            <w:r>
              <w:rPr>
                <w:rFonts w:ascii="Microsoft JhengHei" w:hAnsi="Microsoft JhengHei" w:eastAsia="Microsoft JhengHei"/>
                <w:b w:val="0"/>
                <w:sz w:val="18"/>
              </w:rPr>
              <w:t>NT$4,250,000</w:t>
            </w:r>
          </w:p>
        </w:tc>
        <w:tc>
          <w:tcPr>
            <w:tcW w:type="dxa" w:w="1701"/>
          </w:tcPr>
          <w:p>
            <w:r>
              <w:rPr>
                <w:rFonts w:ascii="Microsoft JhengHei" w:hAnsi="Microsoft JhengHei" w:eastAsia="Microsoft JhengHei"/>
                <w:b w:val="0"/>
                <w:sz w:val="18"/>
              </w:rPr>
              <w:t>NT$3,550,000</w:t>
            </w:r>
          </w:p>
        </w:tc>
        <w:tc>
          <w:tcPr>
            <w:tcW w:type="dxa" w:w="1701"/>
          </w:tcPr>
          <w:p>
            <w:r>
              <w:rPr>
                <w:rFonts w:ascii="Microsoft JhengHei" w:hAnsi="Microsoft JhengHei" w:eastAsia="Microsoft JhengHei"/>
                <w:b w:val="0"/>
                <w:sz w:val="18"/>
              </w:rPr>
              <w:t>NT$2,200,000</w:t>
            </w:r>
          </w:p>
        </w:tc>
        <w:tc>
          <w:tcPr>
            <w:tcW w:type="dxa" w:w="1701"/>
          </w:tcPr>
          <w:p>
            <w:r>
              <w:rPr>
                <w:rFonts w:ascii="Microsoft JhengHei" w:hAnsi="Microsoft JhengHei" w:eastAsia="Microsoft JhengHei"/>
                <w:b w:val="0"/>
                <w:sz w:val="18"/>
              </w:rPr>
              <w:t>NT$10,000,000</w:t>
            </w:r>
          </w:p>
        </w:tc>
        <w:tc>
          <w:tcPr>
            <w:tcW w:type="dxa" w:w="1701"/>
          </w:tcPr>
          <w:p>
            <w:r>
              <w:rPr>
                <w:rFonts w:ascii="Microsoft JhengHei" w:hAnsi="Microsoft JhengHei" w:eastAsia="Microsoft JhengHei"/>
                <w:b w:val="0"/>
                <w:sz w:val="18"/>
              </w:rPr>
              <w:t>100% mapped</w:t>
            </w:r>
          </w:p>
        </w:tc>
      </w:tr>
    </w:tbl>
    <w:p>
      <w:pPr>
        <w:pStyle w:val="2"/>
      </w:pPr>
      <w:r>
        <w:rPr>
          <w:rFonts w:ascii="Microsoft JhengHei" w:hAnsi="Microsoft JhengHei" w:eastAsia="Microsoft JhengHei"/>
          <w:b/>
          <w:sz w:val="24"/>
        </w:rPr>
        <w:t>二、官方科目概算</w:t>
      </w:r>
    </w:p>
    <w:tbl>
      <w:tblPr>
        <w:tblStyle w:val="aff9"/>
        <w:tblW w:type="auto" w:w="0"/>
        <w:tblLook w:firstColumn="1" w:firstRow="1" w:lastColumn="0" w:lastRow="0" w:noHBand="0" w:noVBand="1" w:val="04A0"/>
      </w:tblPr>
      <w:tblGrid>
        <w:gridCol w:w="3401"/>
        <w:gridCol w:w="3401"/>
        <w:gridCol w:w="3401"/>
      </w:tblGrid>
      <w:tr>
        <w:tc>
          <w:tcPr>
            <w:tcW w:type="dxa" w:w="3401"/>
          </w:tcPr>
          <w:p>
            <w:r>
              <w:rPr>
                <w:rFonts w:ascii="Microsoft JhengHei" w:hAnsi="Microsoft JhengHei" w:eastAsia="Microsoft JhengHei"/>
                <w:b/>
                <w:sz w:val="18"/>
              </w:rPr>
              <w:t>官方科目</w:t>
            </w:r>
          </w:p>
        </w:tc>
        <w:tc>
          <w:tcPr>
            <w:tcW w:type="dxa" w:w="3401"/>
          </w:tcPr>
          <w:p>
            <w:r>
              <w:rPr>
                <w:rFonts w:ascii="Microsoft JhengHei" w:hAnsi="Microsoft JhengHei" w:eastAsia="Microsoft JhengHei"/>
                <w:b/>
                <w:sz w:val="18"/>
              </w:rPr>
              <w:t>三年概算</w:t>
            </w:r>
          </w:p>
        </w:tc>
        <w:tc>
          <w:tcPr>
            <w:tcW w:type="dxa" w:w="3401"/>
          </w:tcPr>
          <w:p>
            <w:r>
              <w:rPr>
                <w:rFonts w:ascii="Microsoft JhengHei" w:hAnsi="Microsoft JhengHei" w:eastAsia="Microsoft JhengHei"/>
                <w:b/>
                <w:sz w:val="18"/>
              </w:rPr>
              <w:t>編列邏輯</w:t>
            </w:r>
          </w:p>
        </w:tc>
      </w:tr>
      <w:tr>
        <w:tc>
          <w:tcPr>
            <w:tcW w:type="dxa" w:w="3401"/>
          </w:tcPr>
          <w:p>
            <w:r>
              <w:rPr>
                <w:rFonts w:ascii="Microsoft JhengHei" w:hAnsi="Microsoft JhengHei" w:eastAsia="Microsoft JhengHei"/>
                <w:b w:val="0"/>
                <w:sz w:val="18"/>
              </w:rPr>
              <w:t>人事費</w:t>
            </w:r>
          </w:p>
        </w:tc>
        <w:tc>
          <w:tcPr>
            <w:tcW w:type="dxa" w:w="3401"/>
          </w:tcPr>
          <w:p>
            <w:r>
              <w:rPr>
                <w:rFonts w:ascii="Microsoft JhengHei" w:hAnsi="Microsoft JhengHei" w:eastAsia="Microsoft JhengHei"/>
                <w:b w:val="0"/>
                <w:sz w:val="18"/>
              </w:rPr>
              <w:t>NT$6,140,000</w:t>
            </w:r>
          </w:p>
        </w:tc>
        <w:tc>
          <w:tcPr>
            <w:tcW w:type="dxa" w:w="3401"/>
          </w:tcPr>
          <w:p>
            <w:r>
              <w:rPr>
                <w:rFonts w:ascii="Microsoft JhengHei" w:hAnsi="Microsoft JhengHei" w:eastAsia="Microsoft JhengHei"/>
                <w:b w:val="0"/>
                <w:sz w:val="18"/>
              </w:rPr>
              <w:t>PM/RA、KPI/evaluation RA、clinical reviewer protected time、question/schema/AI engineering、QA cycle、evaluation analyst。依支用標準與機構薪資核實。</w:t>
            </w:r>
          </w:p>
        </w:tc>
      </w:tr>
      <w:tr>
        <w:tc>
          <w:tcPr>
            <w:tcW w:type="dxa" w:w="3401"/>
          </w:tcPr>
          <w:p>
            <w:r>
              <w:rPr>
                <w:rFonts w:ascii="Microsoft JhengHei" w:hAnsi="Microsoft JhengHei" w:eastAsia="Microsoft JhengHei"/>
                <w:b w:val="0"/>
                <w:sz w:val="18"/>
              </w:rPr>
              <w:t>業務費</w:t>
            </w:r>
          </w:p>
        </w:tc>
        <w:tc>
          <w:tcPr>
            <w:tcW w:type="dxa" w:w="3401"/>
          </w:tcPr>
          <w:p>
            <w:r>
              <w:rPr>
                <w:rFonts w:ascii="Microsoft JhengHei" w:hAnsi="Microsoft JhengHei" w:eastAsia="Microsoft JhengHei"/>
                <w:b w:val="0"/>
                <w:sz w:val="18"/>
              </w:rPr>
              <w:t>NT$3,630,000</w:t>
            </w:r>
          </w:p>
        </w:tc>
        <w:tc>
          <w:tcPr>
            <w:tcW w:type="dxa" w:w="3401"/>
          </w:tcPr>
          <w:p>
            <w:r>
              <w:rPr>
                <w:rFonts w:ascii="Microsoft JhengHei" w:hAnsi="Microsoft JhengHei" w:eastAsia="Microsoft JhengHei"/>
                <w:b w:val="0"/>
                <w:sz w:val="18"/>
              </w:rPr>
              <w:t>外部審查 / 出席、文件包、資料蒐集、workflow walkthrough、LLM/API/cloud/ASR 租金或權利使用、治理工作坊、IRB、問卷 / 訪視等。</w:t>
            </w:r>
          </w:p>
        </w:tc>
      </w:tr>
      <w:tr>
        <w:tc>
          <w:tcPr>
            <w:tcW w:type="dxa" w:w="3401"/>
          </w:tcPr>
          <w:p>
            <w:r>
              <w:rPr>
                <w:rFonts w:ascii="Microsoft JhengHei" w:hAnsi="Microsoft JhengHei" w:eastAsia="Microsoft JhengHei"/>
                <w:b w:val="0"/>
                <w:sz w:val="18"/>
              </w:rPr>
              <w:t>設備費</w:t>
            </w:r>
          </w:p>
        </w:tc>
        <w:tc>
          <w:tcPr>
            <w:tcW w:type="dxa" w:w="3401"/>
          </w:tcPr>
          <w:p>
            <w:r>
              <w:rPr>
                <w:rFonts w:ascii="Microsoft JhengHei" w:hAnsi="Microsoft JhengHei" w:eastAsia="Microsoft JhengHei"/>
                <w:b w:val="0"/>
                <w:sz w:val="18"/>
              </w:rPr>
              <w:t>NT$230,000</w:t>
            </w:r>
          </w:p>
        </w:tc>
        <w:tc>
          <w:tcPr>
            <w:tcW w:type="dxa" w:w="3401"/>
          </w:tcPr>
          <w:p>
            <w:r>
              <w:rPr>
                <w:rFonts w:ascii="Microsoft JhengHei" w:hAnsi="Microsoft JhengHei" w:eastAsia="Microsoft JhengHei"/>
                <w:b w:val="0"/>
                <w:sz w:val="18"/>
              </w:rPr>
              <w:t>clinic-owned intake station readiness；若改租用則轉業務費。設備費約占總額 2.3%，低於 30% 資本門上限。</w:t>
            </w:r>
          </w:p>
        </w:tc>
      </w:tr>
      <w:tr>
        <w:tc>
          <w:tcPr>
            <w:tcW w:type="dxa" w:w="3401"/>
          </w:tcPr>
          <w:p>
            <w:r>
              <w:rPr>
                <w:rFonts w:ascii="Microsoft JhengHei" w:hAnsi="Microsoft JhengHei" w:eastAsia="Microsoft JhengHei"/>
                <w:b w:val="0"/>
                <w:sz w:val="18"/>
              </w:rPr>
              <w:t>合計</w:t>
            </w:r>
          </w:p>
        </w:tc>
        <w:tc>
          <w:tcPr>
            <w:tcW w:type="dxa" w:w="3401"/>
          </w:tcPr>
          <w:p>
            <w:r>
              <w:rPr>
                <w:rFonts w:ascii="Microsoft JhengHei" w:hAnsi="Microsoft JhengHei" w:eastAsia="Microsoft JhengHei"/>
                <w:b w:val="0"/>
                <w:sz w:val="18"/>
              </w:rPr>
              <w:t>NT$10,000,000</w:t>
            </w:r>
          </w:p>
        </w:tc>
        <w:tc>
          <w:tcPr>
            <w:tcW w:type="dxa" w:w="3401"/>
          </w:tcPr>
          <w:p>
            <w:r>
              <w:rPr>
                <w:rFonts w:ascii="Microsoft JhengHei" w:hAnsi="Microsoft JhengHei" w:eastAsia="Microsoft JhengHei"/>
                <w:b w:val="0"/>
                <w:sz w:val="18"/>
              </w:rPr>
              <w:t>正式表仍需主提單位確認補助款 / 配合款、採購門檻、核銷科目與驗收文件。</w:t>
            </w:r>
          </w:p>
        </w:tc>
      </w:tr>
    </w:tbl>
    <w:p>
      <w:pPr>
        <w:pStyle w:val="2"/>
      </w:pPr>
      <w:r>
        <w:rPr>
          <w:rFonts w:ascii="Microsoft JhengHei" w:hAnsi="Microsoft JhengHei" w:eastAsia="Microsoft JhengHei"/>
          <w:b/>
          <w:sz w:val="24"/>
        </w:rPr>
        <w:t>三、單價依據與審查說服邏輯</w:t>
      </w:r>
    </w:p>
    <w:tbl>
      <w:tblPr>
        <w:tblStyle w:val="aff9"/>
        <w:tblW w:type="auto" w:w="0"/>
        <w:tblLook w:firstColumn="1" w:firstRow="1" w:lastColumn="0" w:lastRow="0" w:noHBand="0" w:noVBand="1" w:val="04A0"/>
      </w:tblPr>
      <w:tblGrid>
        <w:gridCol w:w="5102"/>
        <w:gridCol w:w="5102"/>
      </w:tblGrid>
      <w:tr>
        <w:tc>
          <w:tcPr>
            <w:tcW w:type="dxa" w:w="5102"/>
          </w:tcPr>
          <w:p>
            <w:r>
              <w:rPr>
                <w:rFonts w:ascii="Microsoft JhengHei" w:hAnsi="Microsoft JhengHei" w:eastAsia="Microsoft JhengHei"/>
                <w:b/>
                <w:sz w:val="18"/>
              </w:rPr>
              <w:t>單價 / 項目</w:t>
            </w:r>
          </w:p>
        </w:tc>
        <w:tc>
          <w:tcPr>
            <w:tcW w:type="dxa" w:w="5102"/>
          </w:tcPr>
          <w:p>
            <w:r>
              <w:rPr>
                <w:rFonts w:ascii="Microsoft JhengHei" w:hAnsi="Microsoft JhengHei" w:eastAsia="Microsoft JhengHei"/>
                <w:b/>
                <w:sz w:val="18"/>
              </w:rPr>
              <w:t>依據與本案用法</w:t>
            </w:r>
          </w:p>
        </w:tc>
      </w:tr>
      <w:tr>
        <w:tc>
          <w:tcPr>
            <w:tcW w:type="dxa" w:w="5102"/>
          </w:tcPr>
          <w:p>
            <w:r>
              <w:rPr>
                <w:rFonts w:ascii="Microsoft JhengHei" w:hAnsi="Microsoft JhengHei" w:eastAsia="Microsoft JhengHei"/>
                <w:b w:val="0"/>
                <w:sz w:val="18"/>
              </w:rPr>
              <w:t>PM/RA 60,000/人月</w:t>
            </w:r>
          </w:p>
        </w:tc>
        <w:tc>
          <w:tcPr>
            <w:tcW w:type="dxa" w:w="5102"/>
          </w:tcPr>
          <w:p>
            <w:r>
              <w:rPr>
                <w:rFonts w:ascii="Microsoft JhengHei" w:hAnsi="Microsoft JhengHei" w:eastAsia="Microsoft JhengHei"/>
                <w:b w:val="0"/>
                <w:sz w:val="18"/>
              </w:rPr>
              <w:t>以碩士級研究人力標準、年終、勞健保、勞退與專案管理負荷估算；正式依機構標準核實。</w:t>
            </w:r>
          </w:p>
        </w:tc>
      </w:tr>
      <w:tr>
        <w:tc>
          <w:tcPr>
            <w:tcW w:type="dxa" w:w="5102"/>
          </w:tcPr>
          <w:p>
            <w:r>
              <w:rPr>
                <w:rFonts w:ascii="Microsoft JhengHei" w:hAnsi="Microsoft JhengHei" w:eastAsia="Microsoft JhengHei"/>
                <w:b w:val="0"/>
                <w:sz w:val="18"/>
              </w:rPr>
              <w:t>KPI/evaluation RA 45,000/人月</w:t>
            </w:r>
          </w:p>
        </w:tc>
        <w:tc>
          <w:tcPr>
            <w:tcW w:type="dxa" w:w="5102"/>
          </w:tcPr>
          <w:p>
            <w:r>
              <w:rPr>
                <w:rFonts w:ascii="Microsoft JhengHei" w:hAnsi="Microsoft JhengHei" w:eastAsia="Microsoft JhengHei"/>
                <w:b w:val="0"/>
                <w:sz w:val="18"/>
              </w:rPr>
              <w:t>支援 baseline、scorecard、管考資料與 evidence log。</w:t>
            </w:r>
          </w:p>
        </w:tc>
      </w:tr>
      <w:tr>
        <w:tc>
          <w:tcPr>
            <w:tcW w:type="dxa" w:w="5102"/>
          </w:tcPr>
          <w:p>
            <w:r>
              <w:rPr>
                <w:rFonts w:ascii="Microsoft JhengHei" w:hAnsi="Microsoft JhengHei" w:eastAsia="Microsoft JhengHei"/>
                <w:b w:val="0"/>
                <w:sz w:val="18"/>
              </w:rPr>
              <w:t>AI engineering 85,000/人月</w:t>
            </w:r>
          </w:p>
        </w:tc>
        <w:tc>
          <w:tcPr>
            <w:tcW w:type="dxa" w:w="5102"/>
          </w:tcPr>
          <w:p>
            <w:r>
              <w:rPr>
                <w:rFonts w:ascii="Microsoft JhengHei" w:hAnsi="Microsoft JhengHei" w:eastAsia="Microsoft JhengHei"/>
                <w:b w:val="0"/>
                <w:sz w:val="18"/>
              </w:rPr>
              <w:t>支援 AI/software prototype、trace logging、summary schema integration 與安全測試。</w:t>
            </w:r>
          </w:p>
        </w:tc>
      </w:tr>
      <w:tr>
        <w:tc>
          <w:tcPr>
            <w:tcW w:type="dxa" w:w="5102"/>
          </w:tcPr>
          <w:p>
            <w:r>
              <w:rPr>
                <w:rFonts w:ascii="Microsoft JhengHei" w:hAnsi="Microsoft JhengHei" w:eastAsia="Microsoft JhengHei"/>
                <w:b w:val="0"/>
                <w:sz w:val="18"/>
              </w:rPr>
              <w:t>臨床 reviewer package 12,500/session</w:t>
            </w:r>
          </w:p>
        </w:tc>
        <w:tc>
          <w:tcPr>
            <w:tcW w:type="dxa" w:w="5102"/>
          </w:tcPr>
          <w:p>
            <w:r>
              <w:rPr>
                <w:rFonts w:ascii="Microsoft JhengHei" w:hAnsi="Microsoft JhengHei" w:eastAsia="Microsoft JhengHei"/>
                <w:b w:val="0"/>
                <w:sz w:val="18"/>
              </w:rPr>
              <w:t>作為 reviewer protected time、案例閱讀、scorecard coding、缺漏欄位判讀與修正建議的完整工作量包。</w:t>
            </w:r>
          </w:p>
        </w:tc>
      </w:tr>
      <w:tr>
        <w:tc>
          <w:tcPr>
            <w:tcW w:type="dxa" w:w="5102"/>
          </w:tcPr>
          <w:p>
            <w:r>
              <w:rPr>
                <w:rFonts w:ascii="Microsoft JhengHei" w:hAnsi="Microsoft JhengHei" w:eastAsia="Microsoft JhengHei"/>
                <w:b w:val="0"/>
                <w:sz w:val="18"/>
              </w:rPr>
              <w:t>外部專家 2,500/meeting</w:t>
            </w:r>
          </w:p>
        </w:tc>
        <w:tc>
          <w:tcPr>
            <w:tcW w:type="dxa" w:w="5102"/>
          </w:tcPr>
          <w:p>
            <w:r>
              <w:rPr>
                <w:rFonts w:ascii="Microsoft JhengHei" w:hAnsi="Microsoft JhengHei" w:eastAsia="Microsoft JhengHei"/>
                <w:b w:val="0"/>
                <w:sz w:val="18"/>
              </w:rPr>
              <w:t>作為外部且非計畫支薪人員的實質審查或諮詢上限設計。</w:t>
            </w:r>
          </w:p>
        </w:tc>
      </w:tr>
      <w:tr>
        <w:tc>
          <w:tcPr>
            <w:tcW w:type="dxa" w:w="5102"/>
          </w:tcPr>
          <w:p>
            <w:r>
              <w:rPr>
                <w:rFonts w:ascii="Microsoft JhengHei" w:hAnsi="Microsoft JhengHei" w:eastAsia="Microsoft JhengHei"/>
                <w:b w:val="0"/>
                <w:sz w:val="18"/>
              </w:rPr>
              <w:t>問卷 / 訪視 200/份</w:t>
            </w:r>
          </w:p>
        </w:tc>
        <w:tc>
          <w:tcPr>
            <w:tcW w:type="dxa" w:w="5102"/>
          </w:tcPr>
          <w:p>
            <w:r>
              <w:rPr>
                <w:rFonts w:ascii="Microsoft JhengHei" w:hAnsi="Microsoft JhengHei" w:eastAsia="Microsoft JhengHei"/>
                <w:b w:val="0"/>
                <w:sz w:val="18"/>
              </w:rPr>
              <w:t>用於 clinician/staff survey 或訪談補償。</w:t>
            </w:r>
          </w:p>
        </w:tc>
      </w:tr>
      <w:tr>
        <w:tc>
          <w:tcPr>
            <w:tcW w:type="dxa" w:w="5102"/>
          </w:tcPr>
          <w:p>
            <w:r>
              <w:rPr>
                <w:rFonts w:ascii="Microsoft JhengHei" w:hAnsi="Microsoft JhengHei" w:eastAsia="Microsoft JhengHei"/>
                <w:b w:val="0"/>
                <w:sz w:val="18"/>
              </w:rPr>
              <w:t>IRB 100,000/case/year reserve</w:t>
            </w:r>
          </w:p>
        </w:tc>
        <w:tc>
          <w:tcPr>
            <w:tcW w:type="dxa" w:w="5102"/>
          </w:tcPr>
          <w:p>
            <w:r>
              <w:rPr>
                <w:rFonts w:ascii="Microsoft JhengHei" w:hAnsi="Microsoft JhengHei" w:eastAsia="Microsoft JhengHei"/>
                <w:b w:val="0"/>
                <w:sz w:val="18"/>
              </w:rPr>
              <w:t>涉及人體試驗或人體資料時保留；若 QI 判定不需 IRB，經 budget owner 核定後轉 evaluation/QI。</w:t>
            </w:r>
          </w:p>
        </w:tc>
      </w:tr>
      <w:tr>
        <w:tc>
          <w:tcPr>
            <w:tcW w:type="dxa" w:w="5102"/>
          </w:tcPr>
          <w:p>
            <w:r>
              <w:rPr>
                <w:rFonts w:ascii="Microsoft JhengHei" w:hAnsi="Microsoft JhengHei" w:eastAsia="Microsoft JhengHei"/>
                <w:b w:val="0"/>
                <w:sz w:val="18"/>
              </w:rPr>
              <w:t>LLM/API/cloud/ASR 10,000/service-month or package</w:t>
            </w:r>
          </w:p>
        </w:tc>
        <w:tc>
          <w:tcPr>
            <w:tcW w:type="dxa" w:w="5102"/>
          </w:tcPr>
          <w:p>
            <w:r>
              <w:rPr>
                <w:rFonts w:ascii="Microsoft JhengHei" w:hAnsi="Microsoft JhengHei" w:eastAsia="Microsoft JhengHei"/>
                <w:b w:val="0"/>
                <w:sz w:val="18"/>
              </w:rPr>
              <w:t>優先以租金 / 權利使用費處理，保留資料最小化、存取控制與 audit log。</w:t>
            </w:r>
          </w:p>
        </w:tc>
      </w:tr>
      <w:tr>
        <w:tc>
          <w:tcPr>
            <w:tcW w:type="dxa" w:w="5102"/>
          </w:tcPr>
          <w:p>
            <w:r>
              <w:rPr>
                <w:rFonts w:ascii="Microsoft JhengHei" w:hAnsi="Microsoft JhengHei" w:eastAsia="Microsoft JhengHei"/>
                <w:b w:val="0"/>
                <w:sz w:val="18"/>
              </w:rPr>
              <w:t>設備 230,000</w:t>
            </w:r>
          </w:p>
        </w:tc>
        <w:tc>
          <w:tcPr>
            <w:tcW w:type="dxa" w:w="5102"/>
          </w:tcPr>
          <w:p>
            <w:r>
              <w:rPr>
                <w:rFonts w:ascii="Microsoft JhengHei" w:hAnsi="Microsoft JhengHei" w:eastAsia="Microsoft JhengHei"/>
                <w:b w:val="0"/>
                <w:sz w:val="18"/>
              </w:rPr>
              <w:t>僅作 clinic-owned intake station readiness，不列個人手機或個人平板；若改租用則轉業務費。</w:t>
            </w:r>
          </w:p>
        </w:tc>
      </w:tr>
    </w:tbl>
    <w:p>
      <w:pPr>
        <w:pStyle w:val="2"/>
      </w:pPr>
      <w:r>
        <w:rPr>
          <w:rFonts w:ascii="Microsoft JhengHei" w:hAnsi="Microsoft JhengHei" w:eastAsia="Microsoft JhengHei"/>
          <w:b/>
          <w:sz w:val="24"/>
        </w:rPr>
        <w:t>四、經費範圍控制</w:t>
      </w:r>
    </w:p>
    <w:tbl>
      <w:tblPr>
        <w:tblStyle w:val="aff9"/>
        <w:tblW w:type="auto" w:w="0"/>
        <w:tblLook w:firstColumn="1" w:firstRow="1" w:lastColumn="0" w:lastRow="0" w:noHBand="0" w:noVBand="1" w:val="04A0"/>
      </w:tblPr>
      <w:tblGrid>
        <w:gridCol w:w="5102"/>
        <w:gridCol w:w="5102"/>
      </w:tblGrid>
      <w:tr>
        <w:tc>
          <w:tcPr>
            <w:tcW w:type="dxa" w:w="5102"/>
          </w:tcPr>
          <w:p>
            <w:r>
              <w:rPr>
                <w:rFonts w:ascii="Microsoft JhengHei" w:hAnsi="Microsoft JhengHei" w:eastAsia="Microsoft JhengHei"/>
                <w:b/>
                <w:sz w:val="18"/>
              </w:rPr>
              <w:t>本期支持項目</w:t>
            </w:r>
          </w:p>
        </w:tc>
        <w:tc>
          <w:tcPr>
            <w:tcW w:type="dxa" w:w="5102"/>
          </w:tcPr>
          <w:p>
            <w:r>
              <w:rPr>
                <w:rFonts w:ascii="Microsoft JhengHei" w:hAnsi="Microsoft JhengHei" w:eastAsia="Microsoft JhengHei"/>
                <w:b/>
                <w:sz w:val="18"/>
              </w:rPr>
              <w:t>範圍控制</w:t>
            </w:r>
          </w:p>
        </w:tc>
      </w:tr>
      <w:tr>
        <w:tc>
          <w:tcPr>
            <w:tcW w:type="dxa" w:w="5102"/>
          </w:tcPr>
          <w:p>
            <w:r>
              <w:rPr>
                <w:rFonts w:ascii="Microsoft JhengHei" w:hAnsi="Microsoft JhengHei" w:eastAsia="Microsoft JhengHei"/>
                <w:b w:val="0"/>
                <w:sz w:val="18"/>
              </w:rPr>
              <w:t>guided intake、source label、missing-field visibility</w:t>
            </w:r>
          </w:p>
        </w:tc>
        <w:tc>
          <w:tcPr>
            <w:tcW w:type="dxa" w:w="5102"/>
          </w:tcPr>
          <w:p>
            <w:r>
              <w:rPr>
                <w:rFonts w:ascii="Microsoft JhengHei" w:hAnsi="Microsoft JhengHei" w:eastAsia="Microsoft JhengHei"/>
                <w:b w:val="0"/>
                <w:sz w:val="18"/>
              </w:rPr>
              <w:t>聚焦門診前資訊蒐集與醫師覆核摘要</w:t>
            </w:r>
          </w:p>
        </w:tc>
      </w:tr>
      <w:tr>
        <w:tc>
          <w:tcPr>
            <w:tcW w:type="dxa" w:w="5102"/>
          </w:tcPr>
          <w:p>
            <w:r>
              <w:rPr>
                <w:rFonts w:ascii="Microsoft JhengHei" w:hAnsi="Microsoft JhengHei" w:eastAsia="Microsoft JhengHei"/>
                <w:b w:val="0"/>
                <w:sz w:val="18"/>
              </w:rPr>
              <w:t>AI summary drafting and review evidence</w:t>
            </w:r>
          </w:p>
        </w:tc>
        <w:tc>
          <w:tcPr>
            <w:tcW w:type="dxa" w:w="5102"/>
          </w:tcPr>
          <w:p>
            <w:r>
              <w:rPr>
                <w:rFonts w:ascii="Microsoft JhengHei" w:hAnsi="Microsoft JhengHei" w:eastAsia="Microsoft JhengHei"/>
                <w:b w:val="0"/>
                <w:sz w:val="18"/>
              </w:rPr>
              <w:t>醫師保留診斷、治療與處置責任</w:t>
            </w:r>
          </w:p>
        </w:tc>
      </w:tr>
      <w:tr>
        <w:tc>
          <w:tcPr>
            <w:tcW w:type="dxa" w:w="5102"/>
          </w:tcPr>
          <w:p>
            <w:r>
              <w:rPr>
                <w:rFonts w:ascii="Microsoft JhengHei" w:hAnsi="Microsoft JhengHei" w:eastAsia="Microsoft JhengHei"/>
                <w:b w:val="0"/>
                <w:sz w:val="18"/>
              </w:rPr>
              <w:t>LLM/API/cloud/ASR readiness</w:t>
            </w:r>
          </w:p>
        </w:tc>
        <w:tc>
          <w:tcPr>
            <w:tcW w:type="dxa" w:w="5102"/>
          </w:tcPr>
          <w:p>
            <w:r>
              <w:rPr>
                <w:rFonts w:ascii="Microsoft JhengHei" w:hAnsi="Microsoft JhengHei" w:eastAsia="Microsoft JhengHei"/>
                <w:b w:val="0"/>
                <w:sz w:val="18"/>
              </w:rPr>
              <w:t>以可確認輸入、資料最小化與租用 / 權利使用優先</w:t>
            </w:r>
          </w:p>
        </w:tc>
      </w:tr>
      <w:tr>
        <w:tc>
          <w:tcPr>
            <w:tcW w:type="dxa" w:w="5102"/>
          </w:tcPr>
          <w:p>
            <w:r>
              <w:rPr>
                <w:rFonts w:ascii="Microsoft JhengHei" w:hAnsi="Microsoft JhengHei" w:eastAsia="Microsoft JhengHei"/>
                <w:b w:val="0"/>
                <w:sz w:val="18"/>
              </w:rPr>
              <w:t>QI/IRB reserve and governance</w:t>
            </w:r>
          </w:p>
        </w:tc>
        <w:tc>
          <w:tcPr>
            <w:tcW w:type="dxa" w:w="5102"/>
          </w:tcPr>
          <w:p>
            <w:r>
              <w:rPr>
                <w:rFonts w:ascii="Microsoft JhengHei" w:hAnsi="Microsoft JhengHei" w:eastAsia="Microsoft JhengHei"/>
                <w:b w:val="0"/>
                <w:sz w:val="18"/>
              </w:rPr>
              <w:t>依院內 route 啟用真實資料；未核准時使用 synthetic / workflow simulation</w:t>
            </w:r>
          </w:p>
        </w:tc>
      </w:tr>
      <w:tr>
        <w:tc>
          <w:tcPr>
            <w:tcW w:type="dxa" w:w="5102"/>
          </w:tcPr>
          <w:p>
            <w:r>
              <w:rPr>
                <w:rFonts w:ascii="Microsoft JhengHei" w:hAnsi="Microsoft JhengHei" w:eastAsia="Microsoft JhengHei"/>
                <w:b w:val="0"/>
                <w:sz w:val="18"/>
              </w:rPr>
              <w:t>clinic-owned intake station readiness</w:t>
            </w:r>
          </w:p>
        </w:tc>
        <w:tc>
          <w:tcPr>
            <w:tcW w:type="dxa" w:w="5102"/>
          </w:tcPr>
          <w:p>
            <w:r>
              <w:rPr>
                <w:rFonts w:ascii="Microsoft JhengHei" w:hAnsi="Microsoft JhengHei" w:eastAsia="Microsoft JhengHei"/>
                <w:b w:val="0"/>
                <w:sz w:val="18"/>
              </w:rPr>
              <w:t>不列個人手機、個人平板或一般行政設備</w:t>
            </w:r>
          </w:p>
        </w:tc>
      </w:tr>
    </w:tbl>
    <w:p>
      <w:pPr>
        <w:pStyle w:val="1"/>
      </w:pPr>
      <w:r>
        <w:rPr>
          <w:rFonts w:ascii="Microsoft JhengHei" w:hAnsi="Microsoft JhengHei" w:eastAsia="Microsoft JhengHei"/>
          <w:b/>
          <w:sz w:val="28"/>
        </w:rPr>
        <w:t>捌、人力配置表</w:t>
      </w:r>
    </w:p>
    <w:tbl>
      <w:tblPr>
        <w:tblStyle w:val="aff9"/>
        <w:tblW w:type="auto" w:w="0"/>
        <w:tblLook w:firstColumn="1" w:firstRow="1" w:lastColumn="0" w:lastRow="0" w:noHBand="0" w:noVBand="1" w:val="04A0"/>
      </w:tblPr>
      <w:tblGrid>
        <w:gridCol w:w="2551"/>
        <w:gridCol w:w="2551"/>
        <w:gridCol w:w="2551"/>
        <w:gridCol w:w="2551"/>
      </w:tblGrid>
      <w:tr>
        <w:tc>
          <w:tcPr>
            <w:tcW w:type="dxa" w:w="2551"/>
          </w:tcPr>
          <w:p>
            <w:r>
              <w:rPr>
                <w:rFonts w:ascii="Microsoft JhengHei" w:hAnsi="Microsoft JhengHei" w:eastAsia="Microsoft JhengHei"/>
                <w:b/>
                <w:sz w:val="18"/>
              </w:rPr>
              <w:t>類別</w:t>
            </w:r>
          </w:p>
        </w:tc>
        <w:tc>
          <w:tcPr>
            <w:tcW w:type="dxa" w:w="2551"/>
          </w:tcPr>
          <w:p>
            <w:r>
              <w:rPr>
                <w:rFonts w:ascii="Microsoft JhengHei" w:hAnsi="Microsoft JhengHei" w:eastAsia="Microsoft JhengHei"/>
                <w:b/>
                <w:sz w:val="18"/>
              </w:rPr>
              <w:t>姓名</w:t>
            </w:r>
          </w:p>
        </w:tc>
        <w:tc>
          <w:tcPr>
            <w:tcW w:type="dxa" w:w="2551"/>
          </w:tcPr>
          <w:p>
            <w:r>
              <w:rPr>
                <w:rFonts w:ascii="Microsoft JhengHei" w:hAnsi="Microsoft JhengHei" w:eastAsia="Microsoft JhengHei"/>
                <w:b/>
                <w:sz w:val="18"/>
              </w:rPr>
              <w:t>現職</w:t>
            </w:r>
          </w:p>
        </w:tc>
        <w:tc>
          <w:tcPr>
            <w:tcW w:type="dxa" w:w="2551"/>
          </w:tcPr>
          <w:p>
            <w:r>
              <w:rPr>
                <w:rFonts w:ascii="Microsoft JhengHei" w:hAnsi="Microsoft JhengHei" w:eastAsia="Microsoft JhengHei"/>
                <w:b/>
                <w:sz w:val="18"/>
              </w:rPr>
              <w:t>在本計畫內擔任之具體工作性質、項目及範圍</w:t>
            </w:r>
          </w:p>
        </w:tc>
      </w:tr>
      <w:tr>
        <w:tc>
          <w:tcPr>
            <w:tcW w:type="dxa" w:w="2551"/>
          </w:tcPr>
          <w:p>
            <w:r>
              <w:rPr>
                <w:rFonts w:ascii="Microsoft JhengHei" w:hAnsi="Microsoft JhengHei" w:eastAsia="Microsoft JhengHei"/>
                <w:b w:val="0"/>
                <w:sz w:val="18"/>
              </w:rPr>
              <w:t>主提案行政 owner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正式提報 route、Word/PDF、簽核、合作單位與送件整合</w:t>
            </w:r>
          </w:p>
        </w:tc>
      </w:tr>
      <w:tr>
        <w:tc>
          <w:tcPr>
            <w:tcW w:type="dxa" w:w="2551"/>
          </w:tcPr>
          <w:p>
            <w:r>
              <w:rPr>
                <w:rFonts w:ascii="Microsoft JhengHei" w:hAnsi="Microsoft JhengHei" w:eastAsia="Microsoft JhengHei"/>
                <w:b w:val="0"/>
                <w:sz w:val="18"/>
              </w:rPr>
              <w:t>Subproject clinical owner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泌尿科 / 門診 owner 待確認</w:t>
            </w:r>
          </w:p>
        </w:tc>
        <w:tc>
          <w:tcPr>
            <w:tcW w:type="dxa" w:w="2551"/>
          </w:tcPr>
          <w:p>
            <w:r>
              <w:rPr>
                <w:rFonts w:ascii="Microsoft JhengHei" w:hAnsi="Microsoft JhengHei" w:eastAsia="Microsoft JhengHei"/>
                <w:b w:val="0"/>
                <w:sz w:val="18"/>
              </w:rPr>
              <w:t>目標族群、問題集、summary acceptance、clinical boundary</w:t>
            </w:r>
          </w:p>
        </w:tc>
      </w:tr>
      <w:tr>
        <w:tc>
          <w:tcPr>
            <w:tcW w:type="dxa" w:w="2551"/>
          </w:tcPr>
          <w:p>
            <w:r>
              <w:rPr>
                <w:rFonts w:ascii="Microsoft JhengHei" w:hAnsi="Microsoft JhengHei" w:eastAsia="Microsoft JhengHei"/>
                <w:b w:val="0"/>
                <w:sz w:val="18"/>
              </w:rPr>
              <w:t>Proposal coordinator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格式整合、版本控管、KPI-to-budget traceability</w:t>
            </w:r>
          </w:p>
        </w:tc>
      </w:tr>
      <w:tr>
        <w:tc>
          <w:tcPr>
            <w:tcW w:type="dxa" w:w="2551"/>
          </w:tcPr>
          <w:p>
            <w:r>
              <w:rPr>
                <w:rFonts w:ascii="Microsoft JhengHei" w:hAnsi="Microsoft JhengHei" w:eastAsia="Microsoft JhengHei"/>
                <w:b w:val="0"/>
                <w:sz w:val="18"/>
              </w:rPr>
              <w:t>Engineering owner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陽明交大團隊</w:t>
            </w:r>
          </w:p>
        </w:tc>
        <w:tc>
          <w:tcPr>
            <w:tcW w:type="dxa" w:w="2551"/>
          </w:tcPr>
          <w:p>
            <w:r>
              <w:rPr>
                <w:rFonts w:ascii="Microsoft JhengHei" w:hAnsi="Microsoft JhengHei" w:eastAsia="Microsoft JhengHei"/>
                <w:b w:val="0"/>
                <w:sz w:val="18"/>
              </w:rPr>
              <w:t>intake、summary schema、versioned implementation evidence</w:t>
            </w:r>
          </w:p>
        </w:tc>
      </w:tr>
      <w:tr>
        <w:tc>
          <w:tcPr>
            <w:tcW w:type="dxa" w:w="2551"/>
          </w:tcPr>
          <w:p>
            <w:r>
              <w:rPr>
                <w:rFonts w:ascii="Microsoft JhengHei" w:hAnsi="Microsoft JhengHei" w:eastAsia="Microsoft JhengHei"/>
                <w:b w:val="0"/>
                <w:sz w:val="18"/>
              </w:rPr>
              <w:t>AI/data governance owner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prompt / rule versioning、data minimization、auditability</w:t>
            </w:r>
          </w:p>
        </w:tc>
      </w:tr>
      <w:tr>
        <w:tc>
          <w:tcPr>
            <w:tcW w:type="dxa" w:w="2551"/>
          </w:tcPr>
          <w:p>
            <w:r>
              <w:rPr>
                <w:rFonts w:ascii="Microsoft JhengHei" w:hAnsi="Microsoft JhengHei" w:eastAsia="Microsoft JhengHei"/>
                <w:b w:val="0"/>
                <w:sz w:val="18"/>
              </w:rPr>
              <w:t>IT/security owner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access control、device/API/security review、audit log</w:t>
            </w:r>
          </w:p>
        </w:tc>
      </w:tr>
      <w:tr>
        <w:tc>
          <w:tcPr>
            <w:tcW w:type="dxa" w:w="2551"/>
          </w:tcPr>
          <w:p>
            <w:r>
              <w:rPr>
                <w:rFonts w:ascii="Microsoft JhengHei" w:hAnsi="Microsoft JhengHei" w:eastAsia="Microsoft JhengHei"/>
                <w:b w:val="0"/>
                <w:sz w:val="18"/>
              </w:rPr>
              <w:t>Evaluation owner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baseline、scorecards、KPI evidence、annual report</w:t>
            </w:r>
          </w:p>
        </w:tc>
      </w:tr>
      <w:tr>
        <w:tc>
          <w:tcPr>
            <w:tcW w:type="dxa" w:w="2551"/>
          </w:tcPr>
          <w:p>
            <w:r>
              <w:rPr>
                <w:rFonts w:ascii="Microsoft JhengHei" w:hAnsi="Microsoft JhengHei" w:eastAsia="Microsoft JhengHei"/>
                <w:b w:val="0"/>
                <w:sz w:val="18"/>
              </w:rPr>
              <w:t>Budget / procurement owner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AI 問診正式會計科目、年度拆分、採購與委外驗收</w:t>
            </w:r>
          </w:p>
        </w:tc>
      </w:tr>
      <w:tr>
        <w:tc>
          <w:tcPr>
            <w:tcW w:type="dxa" w:w="2551"/>
          </w:tcPr>
          <w:p>
            <w:r>
              <w:rPr>
                <w:rFonts w:ascii="Microsoft JhengHei" w:hAnsi="Microsoft JhengHei" w:eastAsia="Microsoft JhengHei"/>
                <w:b w:val="0"/>
                <w:sz w:val="18"/>
              </w:rPr>
              <w:t>Training / documentation owner</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待確認</w:t>
            </w:r>
          </w:p>
        </w:tc>
        <w:tc>
          <w:tcPr>
            <w:tcW w:type="dxa" w:w="2551"/>
          </w:tcPr>
          <w:p>
            <w:r>
              <w:rPr>
                <w:rFonts w:ascii="Microsoft JhengHei" w:hAnsi="Microsoft JhengHei" w:eastAsia="Microsoft JhengHei"/>
                <w:b w:val="0"/>
                <w:sz w:val="18"/>
              </w:rPr>
              <w:t>reviewer education、governance documentation、handoff SOP</w:t>
            </w:r>
          </w:p>
        </w:tc>
      </w:tr>
    </w:tbl>
    <w:p>
      <w:pPr>
        <w:pStyle w:val="1"/>
      </w:pPr>
      <w:r>
        <w:rPr>
          <w:rFonts w:ascii="Microsoft JhengHei" w:hAnsi="Microsoft JhengHei" w:eastAsia="Microsoft JhengHei"/>
          <w:b/>
          <w:sz w:val="28"/>
        </w:rPr>
        <w:t>玖、其他</w:t>
      </w:r>
    </w:p>
    <w:p>
      <w:r>
        <w:rPr>
          <w:rFonts w:ascii="Microsoft JhengHei" w:hAnsi="Microsoft JhengHei" w:eastAsia="Microsoft JhengHei"/>
        </w:rPr>
        <w:t>本工作稿是陽明交大吳老師團隊「門診前 AI」深耕計畫內容稿，並保留智慧醫療子計畫的治理邊界。正式送件前需要主提單位確認：</w:t>
      </w:r>
    </w:p>
    <w:p>
      <w:r>
        <w:rPr>
          <w:rFonts w:ascii="Microsoft JhengHei" w:hAnsi="Microsoft JhengHei" w:eastAsia="Microsoft JhengHei"/>
        </w:rPr>
        <w:t>1. 本稿是獨立子計畫、正式計畫內工作包，或主提計畫附錄。</w:t>
      </w:r>
    </w:p>
    <w:p>
      <w:r>
        <w:rPr>
          <w:rFonts w:ascii="Microsoft JhengHei" w:hAnsi="Microsoft JhengHei" w:eastAsia="Microsoft JhengHei"/>
        </w:rPr>
        <w:t>2. 主提機構、合作機構、醫事機構代碼、計畫主持人、聯絡人與簽核流程。</w:t>
      </w:r>
    </w:p>
    <w:p>
      <w:r>
        <w:rPr>
          <w:rFonts w:ascii="Microsoft JhengHei" w:hAnsi="Microsoft JhengHei" w:eastAsia="Microsoft JhengHei"/>
        </w:rPr>
        <w:t>3. 範疇設計是否採「範疇三主打、範疇一副支援、範疇四條件式支援」。</w:t>
      </w:r>
    </w:p>
    <w:p>
      <w:r>
        <w:rPr>
          <w:rFonts w:ascii="Microsoft JhengHei" w:hAnsi="Microsoft JhengHei" w:eastAsia="Microsoft JhengHei"/>
        </w:rPr>
        <w:t>4. 三年 NT$10,000,000 是否維持為 AI 問診與醫師覆核摘要 package 討論額度。</w:t>
      </w:r>
    </w:p>
    <w:p>
      <w:r>
        <w:rPr>
          <w:rFonts w:ascii="Microsoft JhengHei" w:hAnsi="Microsoft JhengHei" w:eastAsia="Microsoft JhengHei"/>
        </w:rPr>
        <w:t>5. ASR、APP/API、intake station 是 funded item、demo-only，或後續採購。</w:t>
      </w:r>
    </w:p>
    <w:p>
      <w:r>
        <w:rPr>
          <w:rFonts w:ascii="Microsoft JhengHei" w:hAnsi="Microsoft JhengHei" w:eastAsia="Microsoft JhengHei"/>
        </w:rPr>
        <w:t>6. 真實病患資料 route 為 no data、QI/service、IRB research，或 mixed route。</w:t>
      </w:r>
    </w:p>
    <w:p>
      <w:r>
        <w:rPr>
          <w:rFonts w:ascii="Microsoft JhengHei" w:hAnsi="Microsoft JhengHei" w:eastAsia="Microsoft JhengHei"/>
        </w:rPr>
        <w:t>7. 採購 threshold、正式會計科目、單價、數量、配合款與 negative-list 檢查。</w:t>
      </w:r>
    </w:p>
    <w:p>
      <w:r>
        <w:rPr>
          <w:rFonts w:ascii="Microsoft JhengHei" w:hAnsi="Microsoft JhengHei" w:eastAsia="Microsoft JhengHei"/>
        </w:rPr>
        <w:t>8. 所有 owner：clinical、AI/schema、AI/data governance、IT/security、evaluation、budget/procurement。</w:t>
      </w:r>
    </w:p>
    <w:p>
      <w:pPr>
        <w:pStyle w:val="1"/>
      </w:pPr>
      <w:r>
        <w:rPr>
          <w:rFonts w:ascii="Microsoft JhengHei" w:hAnsi="Microsoft JhengHei" w:eastAsia="Microsoft JhengHei"/>
          <w:b/>
          <w:sz w:val="28"/>
        </w:rPr>
        <w:t>拾、審查意見預答與回復表</w:t>
      </w:r>
    </w:p>
    <w:tbl>
      <w:tblPr>
        <w:tblStyle w:val="aff9"/>
        <w:tblW w:type="auto" w:w="0"/>
        <w:tblLook w:firstColumn="1" w:firstRow="1" w:lastColumn="0" w:lastRow="0" w:noHBand="0" w:noVBand="1" w:val="04A0"/>
      </w:tblPr>
      <w:tblGrid>
        <w:gridCol w:w="3401"/>
        <w:gridCol w:w="3401"/>
        <w:gridCol w:w="3401"/>
      </w:tblGrid>
      <w:tr>
        <w:tc>
          <w:tcPr>
            <w:tcW w:type="dxa" w:w="3401"/>
          </w:tcPr>
          <w:p>
            <w:r>
              <w:rPr>
                <w:rFonts w:ascii="Microsoft JhengHei" w:hAnsi="Microsoft JhengHei" w:eastAsia="Microsoft JhengHei"/>
                <w:b/>
                <w:sz w:val="18"/>
              </w:rPr>
              <w:t>評審可能質疑</w:t>
            </w:r>
          </w:p>
        </w:tc>
        <w:tc>
          <w:tcPr>
            <w:tcW w:type="dxa" w:w="3401"/>
          </w:tcPr>
          <w:p>
            <w:r>
              <w:rPr>
                <w:rFonts w:ascii="Microsoft JhengHei" w:hAnsi="Microsoft JhengHei" w:eastAsia="Microsoft JhengHei"/>
                <w:b/>
                <w:sz w:val="18"/>
              </w:rPr>
              <w:t>建議回復</w:t>
            </w:r>
          </w:p>
        </w:tc>
        <w:tc>
          <w:tcPr>
            <w:tcW w:type="dxa" w:w="3401"/>
          </w:tcPr>
          <w:p>
            <w:r>
              <w:rPr>
                <w:rFonts w:ascii="Microsoft JhengHei" w:hAnsi="Microsoft JhengHei" w:eastAsia="Microsoft JhengHei"/>
                <w:b/>
                <w:sz w:val="18"/>
              </w:rPr>
              <w:t>可展示證據</w:t>
            </w:r>
          </w:p>
        </w:tc>
      </w:tr>
      <w:tr>
        <w:tc>
          <w:tcPr>
            <w:tcW w:type="dxa" w:w="3401"/>
          </w:tcPr>
          <w:p>
            <w:r>
              <w:rPr>
                <w:rFonts w:ascii="Microsoft JhengHei" w:hAnsi="Microsoft JhengHei" w:eastAsia="Microsoft JhengHei"/>
                <w:b w:val="0"/>
                <w:sz w:val="18"/>
              </w:rPr>
              <w:t>為什麼需要 NT$10M？</w:t>
            </w:r>
          </w:p>
        </w:tc>
        <w:tc>
          <w:tcPr>
            <w:tcW w:type="dxa" w:w="3401"/>
          </w:tcPr>
          <w:p>
            <w:r>
              <w:rPr>
                <w:rFonts w:ascii="Microsoft JhengHei" w:hAnsi="Microsoft JhengHei" w:eastAsia="Microsoft JhengHei"/>
                <w:b w:val="0"/>
                <w:sz w:val="18"/>
              </w:rPr>
              <w:t>本案是三年治理型門診前資訊流程，不是單一 chatbot。經費涵蓋臨床問題治理、source label、missing-field、AI 摘要、reviewer evidence、資安 / 資料治理、QI/IRB、年度管考與交接。</w:t>
            </w:r>
          </w:p>
        </w:tc>
        <w:tc>
          <w:tcPr>
            <w:tcW w:type="dxa" w:w="3401"/>
          </w:tcPr>
          <w:p>
            <w:r>
              <w:rPr>
                <w:rFonts w:ascii="Microsoft JhengHei" w:hAnsi="Microsoft JhengHei" w:eastAsia="Microsoft JhengHei"/>
                <w:b w:val="0"/>
                <w:sz w:val="18"/>
              </w:rPr>
              <w:t>經費明細、KPI 矩陣、成本依據</w:t>
            </w:r>
          </w:p>
        </w:tc>
      </w:tr>
      <w:tr>
        <w:tc>
          <w:tcPr>
            <w:tcW w:type="dxa" w:w="3401"/>
          </w:tcPr>
          <w:p>
            <w:r>
              <w:rPr>
                <w:rFonts w:ascii="Microsoft JhengHei" w:hAnsi="Microsoft JhengHei" w:eastAsia="Microsoft JhengHei"/>
                <w:b w:val="0"/>
                <w:sz w:val="18"/>
              </w:rPr>
              <w:t>AI 角色如何界定？</w:t>
            </w:r>
          </w:p>
        </w:tc>
        <w:tc>
          <w:tcPr>
            <w:tcW w:type="dxa" w:w="3401"/>
          </w:tcPr>
          <w:p>
            <w:r>
              <w:rPr>
                <w:rFonts w:ascii="Microsoft JhengHei" w:hAnsi="Microsoft JhengHei" w:eastAsia="Microsoft JhengHei"/>
                <w:b w:val="0"/>
                <w:sz w:val="18"/>
              </w:rPr>
              <w:t>AI 支援結構化、缺漏提示與摘要草擬；醫師保留判讀、診斷、處置。unsafe wording KPI 要求未核准診斷、治療、分流語句為 0。</w:t>
            </w:r>
          </w:p>
        </w:tc>
        <w:tc>
          <w:tcPr>
            <w:tcW w:type="dxa" w:w="3401"/>
          </w:tcPr>
          <w:p>
            <w:r>
              <w:rPr>
                <w:rFonts w:ascii="Microsoft JhengHei" w:hAnsi="Microsoft JhengHei" w:eastAsia="Microsoft JhengHei"/>
                <w:b w:val="0"/>
                <w:sz w:val="18"/>
              </w:rPr>
              <w:t>禁止語句清單、red-team log、source label audit</w:t>
            </w:r>
          </w:p>
        </w:tc>
      </w:tr>
      <w:tr>
        <w:tc>
          <w:tcPr>
            <w:tcW w:type="dxa" w:w="3401"/>
          </w:tcPr>
          <w:p>
            <w:r>
              <w:rPr>
                <w:rFonts w:ascii="Microsoft JhengHei" w:hAnsi="Microsoft JhengHei" w:eastAsia="Microsoft JhengHei"/>
                <w:b w:val="0"/>
                <w:sz w:val="18"/>
              </w:rPr>
              <w:t>CRM 為何不列入？</w:t>
            </w:r>
          </w:p>
        </w:tc>
        <w:tc>
          <w:tcPr>
            <w:tcW w:type="dxa" w:w="3401"/>
          </w:tcPr>
          <w:p>
            <w:r>
              <w:rPr>
                <w:rFonts w:ascii="Microsoft JhengHei" w:hAnsi="Microsoft JhengHei" w:eastAsia="Microsoft JhengHei"/>
                <w:b w:val="0"/>
                <w:sz w:val="18"/>
              </w:rPr>
              <w:t>本 package 支援門診前 visit readiness 與醫師覆核摘要；CRM、病人訊息推播、長期追蹤由另案治理。這樣可讓 AI package 維持可驗收、可採購、可治理。</w:t>
            </w:r>
          </w:p>
        </w:tc>
        <w:tc>
          <w:tcPr>
            <w:tcW w:type="dxa" w:w="3401"/>
          </w:tcPr>
          <w:p>
            <w:r>
              <w:rPr>
                <w:rFonts w:ascii="Microsoft JhengHei" w:hAnsi="Microsoft JhengHei" w:eastAsia="Microsoft JhengHei"/>
                <w:b w:val="0"/>
                <w:sz w:val="18"/>
              </w:rPr>
              <w:t>out-of-scope list、owner table</w:t>
            </w:r>
          </w:p>
        </w:tc>
      </w:tr>
      <w:tr>
        <w:tc>
          <w:tcPr>
            <w:tcW w:type="dxa" w:w="3401"/>
          </w:tcPr>
          <w:p>
            <w:r>
              <w:rPr>
                <w:rFonts w:ascii="Microsoft JhengHei" w:hAnsi="Microsoft JhengHei" w:eastAsia="Microsoft JhengHei"/>
                <w:b w:val="0"/>
                <w:sz w:val="18"/>
              </w:rPr>
              <w:t>KPI 是否太偏 workflow？</w:t>
            </w:r>
          </w:p>
        </w:tc>
        <w:tc>
          <w:tcPr>
            <w:tcW w:type="dxa" w:w="3401"/>
          </w:tcPr>
          <w:p>
            <w:r>
              <w:rPr>
                <w:rFonts w:ascii="Microsoft JhengHei" w:hAnsi="Microsoft JhengHei" w:eastAsia="Microsoft JhengHei"/>
                <w:b w:val="0"/>
                <w:sz w:val="18"/>
              </w:rPr>
              <w:t>這些 KPI 與本案可歸因成果一致。先用 workflow、安全、traceability KPI 建立可信度；若 Y2 governance 核准，再做 limited workflow evidence。</w:t>
            </w:r>
          </w:p>
        </w:tc>
        <w:tc>
          <w:tcPr>
            <w:tcW w:type="dxa" w:w="3401"/>
          </w:tcPr>
          <w:p>
            <w:r>
              <w:rPr>
                <w:rFonts w:ascii="Microsoft JhengHei" w:hAnsi="Microsoft JhengHei" w:eastAsia="Microsoft JhengHei"/>
                <w:b w:val="0"/>
                <w:sz w:val="18"/>
              </w:rPr>
              <w:t>年度查核點、scorecard</w:t>
            </w:r>
          </w:p>
        </w:tc>
      </w:tr>
      <w:tr>
        <w:tc>
          <w:tcPr>
            <w:tcW w:type="dxa" w:w="3401"/>
          </w:tcPr>
          <w:p>
            <w:r>
              <w:rPr>
                <w:rFonts w:ascii="Microsoft JhengHei" w:hAnsi="Microsoft JhengHei" w:eastAsia="Microsoft JhengHei"/>
                <w:b w:val="0"/>
                <w:sz w:val="18"/>
              </w:rPr>
              <w:t>摘要閱讀時間 &lt;=60 秒是否合理？</w:t>
            </w:r>
          </w:p>
        </w:tc>
        <w:tc>
          <w:tcPr>
            <w:tcW w:type="dxa" w:w="3401"/>
          </w:tcPr>
          <w:p>
            <w:r>
              <w:rPr>
                <w:rFonts w:ascii="Microsoft JhengHei" w:hAnsi="Microsoft JhengHei" w:eastAsia="Microsoft JhengHei"/>
                <w:b w:val="0"/>
                <w:sz w:val="18"/>
              </w:rPr>
              <w:t>作為設計目標合理；正式報告同步回報 actual 與分布。若超過 90 秒，則縮短摘要或調整欄位。</w:t>
            </w:r>
          </w:p>
        </w:tc>
        <w:tc>
          <w:tcPr>
            <w:tcW w:type="dxa" w:w="3401"/>
          </w:tcPr>
          <w:p>
            <w:r>
              <w:rPr>
                <w:rFonts w:ascii="Microsoft JhengHei" w:hAnsi="Microsoft JhengHei" w:eastAsia="Microsoft JhengHei"/>
                <w:b w:val="0"/>
                <w:sz w:val="18"/>
              </w:rPr>
              <w:t>timed reviewer logs</w:t>
            </w:r>
          </w:p>
        </w:tc>
      </w:tr>
      <w:tr>
        <w:tc>
          <w:tcPr>
            <w:tcW w:type="dxa" w:w="3401"/>
          </w:tcPr>
          <w:p>
            <w:r>
              <w:rPr>
                <w:rFonts w:ascii="Microsoft JhengHei" w:hAnsi="Microsoft JhengHei" w:eastAsia="Microsoft JhengHei"/>
                <w:b w:val="0"/>
                <w:sz w:val="18"/>
              </w:rPr>
              <w:t>ASR / APP / API 如何處理？</w:t>
            </w:r>
          </w:p>
        </w:tc>
        <w:tc>
          <w:tcPr>
            <w:tcW w:type="dxa" w:w="3401"/>
          </w:tcPr>
          <w:p>
            <w:r>
              <w:rPr>
                <w:rFonts w:ascii="Microsoft JhengHei" w:hAnsi="Microsoft JhengHei" w:eastAsia="Microsoft JhengHei"/>
                <w:b w:val="0"/>
                <w:sz w:val="18"/>
              </w:rPr>
              <w:t>ASR 作為 confirmed input readiness；未確認 transcript 不進摘要。APP/API/HIS/EMR 只保留 readiness 或下一階段治理條件，本期不承諾正式寫回。</w:t>
            </w:r>
          </w:p>
        </w:tc>
        <w:tc>
          <w:tcPr>
            <w:tcW w:type="dxa" w:w="3401"/>
          </w:tcPr>
          <w:p>
            <w:r>
              <w:rPr>
                <w:rFonts w:ascii="Microsoft JhengHei" w:hAnsi="Microsoft JhengHei" w:eastAsia="Microsoft JhengHei"/>
                <w:b w:val="0"/>
                <w:sz w:val="18"/>
              </w:rPr>
              <w:t>W7、資料治理 gate、next-stage governance brief</w:t>
            </w:r>
          </w:p>
        </w:tc>
      </w:tr>
      <w:tr>
        <w:tc>
          <w:tcPr>
            <w:tcW w:type="dxa" w:w="3401"/>
          </w:tcPr>
          <w:p>
            <w:r>
              <w:rPr>
                <w:rFonts w:ascii="Microsoft JhengHei" w:hAnsi="Microsoft JhengHei" w:eastAsia="Microsoft JhengHei"/>
                <w:b w:val="0"/>
                <w:sz w:val="18"/>
              </w:rPr>
              <w:t>如何確保經費可核銷？</w:t>
            </w:r>
          </w:p>
        </w:tc>
        <w:tc>
          <w:tcPr>
            <w:tcW w:type="dxa" w:w="3401"/>
          </w:tcPr>
          <w:p>
            <w:r>
              <w:rPr>
                <w:rFonts w:ascii="Microsoft JhengHei" w:hAnsi="Microsoft JhengHei" w:eastAsia="Microsoft JhengHei"/>
                <w:b w:val="0"/>
                <w:sz w:val="18"/>
              </w:rPr>
              <w:t>工作包已拆到 KPI、owner、source 與 evidence；正式送件前由 budget owner 轉成官方科目、單價、數量、補助款 / 配合款、採購與驗收文件。</w:t>
            </w:r>
          </w:p>
        </w:tc>
        <w:tc>
          <w:tcPr>
            <w:tcW w:type="dxa" w:w="3401"/>
          </w:tcPr>
          <w:p>
            <w:r>
              <w:rPr>
                <w:rFonts w:ascii="Microsoft JhengHei" w:hAnsi="Microsoft JhengHei" w:eastAsia="Microsoft JhengHei"/>
                <w:b w:val="0"/>
                <w:sz w:val="18"/>
              </w:rPr>
              <w:t>official category table、workbook</w:t>
            </w:r>
          </w:p>
        </w:tc>
      </w:tr>
    </w:tbl>
    <w:p>
      <w:pPr>
        <w:pStyle w:val="1"/>
      </w:pPr>
      <w:r>
        <w:rPr>
          <w:rFonts w:ascii="Microsoft JhengHei" w:hAnsi="Microsoft JhengHei" w:eastAsia="Microsoft JhengHei"/>
          <w:b/>
          <w:sz w:val="28"/>
        </w:rPr>
        <w:t>附錄、來源與待確認事項</w:t>
      </w:r>
    </w:p>
    <w:p>
      <w:pPr>
        <w:pStyle w:val="2"/>
      </w:pPr>
      <w:r>
        <w:rPr>
          <w:rFonts w:ascii="Microsoft JhengHei" w:hAnsi="Microsoft JhengHei" w:eastAsia="Microsoft JhengHei"/>
          <w:b/>
          <w:sz w:val="24"/>
        </w:rPr>
        <w:t>一、使用來源</w:t>
      </w:r>
    </w:p>
    <w:tbl>
      <w:tblPr>
        <w:tblStyle w:val="aff9"/>
        <w:tblW w:type="auto" w:w="0"/>
        <w:tblLook w:firstColumn="1" w:firstRow="1" w:lastColumn="0" w:lastRow="0" w:noHBand="0" w:noVBand="1" w:val="04A0"/>
      </w:tblPr>
      <w:tblGrid>
        <w:gridCol w:w="5102"/>
        <w:gridCol w:w="5102"/>
      </w:tblGrid>
      <w:tr>
        <w:tc>
          <w:tcPr>
            <w:tcW w:type="dxa" w:w="5102"/>
          </w:tcPr>
          <w:p>
            <w:r>
              <w:rPr>
                <w:rFonts w:ascii="Microsoft JhengHei" w:hAnsi="Microsoft JhengHei" w:eastAsia="Microsoft JhengHei"/>
                <w:b/>
                <w:sz w:val="18"/>
              </w:rPr>
              <w:t>來源</w:t>
            </w:r>
          </w:p>
        </w:tc>
        <w:tc>
          <w:tcPr>
            <w:tcW w:type="dxa" w:w="5102"/>
          </w:tcPr>
          <w:p>
            <w:r>
              <w:rPr>
                <w:rFonts w:ascii="Microsoft JhengHei" w:hAnsi="Microsoft JhengHei" w:eastAsia="Microsoft JhengHei"/>
                <w:b/>
                <w:sz w:val="18"/>
              </w:rPr>
              <w:t>位置</w:t>
            </w:r>
          </w:p>
        </w:tc>
      </w:tr>
      <w:tr>
        <w:tc>
          <w:tcPr>
            <w:tcW w:type="dxa" w:w="5102"/>
          </w:tcPr>
          <w:p>
            <w:r>
              <w:rPr>
                <w:rFonts w:ascii="Microsoft JhengHei" w:hAnsi="Microsoft JhengHei" w:eastAsia="Microsoft JhengHei"/>
                <w:b w:val="0"/>
                <w:sz w:val="18"/>
              </w:rPr>
              <w:t>格式來源</w:t>
            </w:r>
          </w:p>
        </w:tc>
        <w:tc>
          <w:tcPr>
            <w:tcW w:type="dxa" w:w="5102"/>
          </w:tcPr>
          <w:p>
            <w:r>
              <w:rPr>
                <w:rFonts w:ascii="Microsoft JhengHei" w:hAnsi="Microsoft JhengHei" w:eastAsia="Microsoft JhengHei"/>
                <w:b w:val="0"/>
                <w:sz w:val="18"/>
              </w:rPr>
              <w:t>`records/2026-06-18/sources/tch-zhongxiao-xinyi-deep-cultivation-plan-revised-2026-06-18.docx`，泌尿科自行提報 PSA 內容；本稿僅取健康台灣深耕計畫章節格式</w:t>
            </w:r>
          </w:p>
        </w:tc>
      </w:tr>
      <w:tr>
        <w:tc>
          <w:tcPr>
            <w:tcW w:type="dxa" w:w="5102"/>
          </w:tcPr>
          <w:p>
            <w:r>
              <w:rPr>
                <w:rFonts w:ascii="Microsoft JhengHei" w:hAnsi="Microsoft JhengHei" w:eastAsia="Microsoft JhengHei"/>
                <w:b w:val="0"/>
                <w:sz w:val="18"/>
              </w:rPr>
              <w:t>專家審查 DOCX</w:t>
            </w:r>
          </w:p>
        </w:tc>
        <w:tc>
          <w:tcPr>
            <w:tcW w:type="dxa" w:w="5102"/>
          </w:tcPr>
          <w:p>
            <w:r>
              <w:rPr>
                <w:rFonts w:ascii="Microsoft JhengHei" w:hAnsi="Microsoft JhengHei" w:eastAsia="Microsoft JhengHei"/>
                <w:b w:val="0"/>
                <w:sz w:val="18"/>
              </w:rPr>
              <w:t>`records/2026-06-19/sources/nycu-ai-previsit-expert-review/nycu-ai-previsit-plan-kpi-budget-review-draft-2026-06-19.docx`</w:t>
            </w:r>
          </w:p>
        </w:tc>
      </w:tr>
      <w:tr>
        <w:tc>
          <w:tcPr>
            <w:tcW w:type="dxa" w:w="5102"/>
          </w:tcPr>
          <w:p>
            <w:r>
              <w:rPr>
                <w:rFonts w:ascii="Microsoft JhengHei" w:hAnsi="Microsoft JhengHei" w:eastAsia="Microsoft JhengHei"/>
                <w:b w:val="0"/>
                <w:sz w:val="18"/>
              </w:rPr>
              <w:t>KPI / 經費 workbook</w:t>
            </w:r>
          </w:p>
        </w:tc>
        <w:tc>
          <w:tcPr>
            <w:tcW w:type="dxa" w:w="5102"/>
          </w:tcPr>
          <w:p>
            <w:r>
              <w:rPr>
                <w:rFonts w:ascii="Microsoft JhengHei" w:hAnsi="Microsoft JhengHei" w:eastAsia="Microsoft JhengHei"/>
                <w:b w:val="0"/>
                <w:sz w:val="18"/>
              </w:rPr>
              <w:t>`records/2026-06-19/sources/nycu-ai-previsit-expert-review/nycu-ai-previsit-kpi-budget-model-2026-06-19.xlsx`</w:t>
            </w:r>
          </w:p>
        </w:tc>
      </w:tr>
      <w:tr>
        <w:tc>
          <w:tcPr>
            <w:tcW w:type="dxa" w:w="5102"/>
          </w:tcPr>
          <w:p>
            <w:r>
              <w:rPr>
                <w:rFonts w:ascii="Microsoft JhengHei" w:hAnsi="Microsoft JhengHei" w:eastAsia="Microsoft JhengHei"/>
                <w:b w:val="0"/>
                <w:sz w:val="18"/>
              </w:rPr>
              <w:t>完整 package</w:t>
            </w:r>
          </w:p>
        </w:tc>
        <w:tc>
          <w:tcPr>
            <w:tcW w:type="dxa" w:w="5102"/>
          </w:tcPr>
          <w:p>
            <w:r>
              <w:rPr>
                <w:rFonts w:ascii="Microsoft JhengHei" w:hAnsi="Microsoft JhengHei" w:eastAsia="Microsoft JhengHei"/>
                <w:b w:val="0"/>
                <w:sz w:val="18"/>
              </w:rPr>
              <w:t>`records/2026-06-19/sources/nycu-ai-previsit-expert-review/nycu-ai-previsit-completed-package-2026-06-19.zip`</w:t>
            </w:r>
          </w:p>
        </w:tc>
      </w:tr>
    </w:tbl>
    <w:p>
      <w:pPr>
        <w:pStyle w:val="2"/>
      </w:pPr>
      <w:r>
        <w:rPr>
          <w:rFonts w:ascii="Microsoft JhengHei" w:hAnsi="Microsoft JhengHei" w:eastAsia="Microsoft JhengHei"/>
          <w:b/>
          <w:sz w:val="24"/>
        </w:rPr>
        <w:t>二、政策與成本依據</w:t>
      </w:r>
    </w:p>
    <w:tbl>
      <w:tblPr>
        <w:tblStyle w:val="aff9"/>
        <w:tblW w:type="auto" w:w="0"/>
        <w:tblLook w:firstColumn="1" w:firstRow="1" w:lastColumn="0" w:lastRow="0" w:noHBand="0" w:noVBand="1" w:val="04A0"/>
      </w:tblPr>
      <w:tblGrid>
        <w:gridCol w:w="5102"/>
        <w:gridCol w:w="5102"/>
      </w:tblGrid>
      <w:tr>
        <w:tc>
          <w:tcPr>
            <w:tcW w:type="dxa" w:w="5102"/>
          </w:tcPr>
          <w:p>
            <w:r>
              <w:rPr>
                <w:rFonts w:ascii="Microsoft JhengHei" w:hAnsi="Microsoft JhengHei" w:eastAsia="Microsoft JhengHei"/>
                <w:b/>
                <w:sz w:val="18"/>
              </w:rPr>
              <w:t>來源</w:t>
            </w:r>
          </w:p>
        </w:tc>
        <w:tc>
          <w:tcPr>
            <w:tcW w:type="dxa" w:w="5102"/>
          </w:tcPr>
          <w:p>
            <w:r>
              <w:rPr>
                <w:rFonts w:ascii="Microsoft JhengHei" w:hAnsi="Microsoft JhengHei" w:eastAsia="Microsoft JhengHei"/>
                <w:b/>
                <w:sz w:val="18"/>
              </w:rPr>
              <w:t>用途</w:t>
            </w:r>
          </w:p>
        </w:tc>
      </w:tr>
      <w:tr>
        <w:tc>
          <w:tcPr>
            <w:tcW w:type="dxa" w:w="5102"/>
          </w:tcPr>
          <w:p>
            <w:r>
              <w:rPr>
                <w:rFonts w:ascii="Microsoft JhengHei" w:hAnsi="Microsoft JhengHei" w:eastAsia="Microsoft JhengHei"/>
                <w:b w:val="0"/>
                <w:sz w:val="18"/>
              </w:rPr>
              <w:t>行政院「健康台灣深耕計畫(114-118年)」：`https://www.ey.gov.tw/Page/5A8A0CB5B41DA11E/f1618406-1ed7-4e72-bd4f-d1b6faaf8381`</w:t>
            </w:r>
          </w:p>
        </w:tc>
        <w:tc>
          <w:tcPr>
            <w:tcW w:type="dxa" w:w="5102"/>
          </w:tcPr>
          <w:p>
            <w:r>
              <w:rPr>
                <w:rFonts w:ascii="Microsoft JhengHei" w:hAnsi="Microsoft JhengHei" w:eastAsia="Microsoft JhengHei"/>
                <w:b w:val="0"/>
                <w:sz w:val="18"/>
              </w:rPr>
              <w:t>四大範疇、長期深耕視角、範疇三智慧醫療定位</w:t>
            </w:r>
          </w:p>
        </w:tc>
      </w:tr>
      <w:tr>
        <w:tc>
          <w:tcPr>
            <w:tcW w:type="dxa" w:w="5102"/>
          </w:tcPr>
          <w:p>
            <w:r>
              <w:rPr>
                <w:rFonts w:ascii="Microsoft JhengHei" w:hAnsi="Microsoft JhengHei" w:eastAsia="Microsoft JhengHei"/>
                <w:b w:val="0"/>
                <w:sz w:val="18"/>
              </w:rPr>
              <w:t>衛福部健康台灣深耕計畫專區：`https://dep.mohw.gov.tw/TDU/cp-1567-82709-121.html`</w:t>
            </w:r>
          </w:p>
        </w:tc>
        <w:tc>
          <w:tcPr>
            <w:tcW w:type="dxa" w:w="5102"/>
          </w:tcPr>
          <w:p>
            <w:r>
              <w:rPr>
                <w:rFonts w:ascii="Microsoft JhengHei" w:hAnsi="Microsoft JhengHei" w:eastAsia="Microsoft JhengHei"/>
                <w:b w:val="0"/>
                <w:sz w:val="18"/>
              </w:rPr>
              <w:t>計畫緣起、政策定位、KPI 參考</w:t>
            </w:r>
          </w:p>
        </w:tc>
      </w:tr>
      <w:tr>
        <w:tc>
          <w:tcPr>
            <w:tcW w:type="dxa" w:w="5102"/>
          </w:tcPr>
          <w:p>
            <w:r>
              <w:rPr>
                <w:rFonts w:ascii="Microsoft JhengHei" w:hAnsi="Microsoft JhengHei" w:eastAsia="Microsoft JhengHei"/>
                <w:b w:val="0"/>
                <w:sz w:val="18"/>
              </w:rPr>
              <w:t>健康台灣深耕計畫下載區：`https://htsprout.nhri.org.tw/download.html`</w:t>
            </w:r>
          </w:p>
        </w:tc>
        <w:tc>
          <w:tcPr>
            <w:tcW w:type="dxa" w:w="5102"/>
          </w:tcPr>
          <w:p>
            <w:r>
              <w:rPr>
                <w:rFonts w:ascii="Microsoft JhengHei" w:hAnsi="Microsoft JhengHei" w:eastAsia="Microsoft JhengHei"/>
                <w:b w:val="0"/>
                <w:sz w:val="18"/>
              </w:rPr>
              <w:t>計畫書格式、AI 治理、資安治理、資料治理自我檢核表、管考與經費文件</w:t>
            </w:r>
          </w:p>
        </w:tc>
      </w:tr>
      <w:tr>
        <w:tc>
          <w:tcPr>
            <w:tcW w:type="dxa" w:w="5102"/>
          </w:tcPr>
          <w:p>
            <w:r>
              <w:rPr>
                <w:rFonts w:ascii="Microsoft JhengHei" w:hAnsi="Microsoft JhengHei" w:eastAsia="Microsoft JhengHei"/>
                <w:b w:val="0"/>
                <w:sz w:val="18"/>
              </w:rPr>
              <w:t>健康台灣深耕計畫經費文件與範疇三懶人包：`https://htsprout.nhri.org.tw/download.html`</w:t>
            </w:r>
          </w:p>
        </w:tc>
        <w:tc>
          <w:tcPr>
            <w:tcW w:type="dxa" w:w="5102"/>
          </w:tcPr>
          <w:p>
            <w:r>
              <w:rPr>
                <w:rFonts w:ascii="Microsoft JhengHei" w:hAnsi="Microsoft JhengHei" w:eastAsia="Microsoft JhengHei"/>
                <w:b w:val="0"/>
                <w:sz w:val="18"/>
              </w:rPr>
              <w:t>人事費、業務費、設備費、IRB、問卷、租金、設備與雜支規則，以及 AI / 資料 / 資安治理方向</w:t>
            </w:r>
          </w:p>
        </w:tc>
      </w:tr>
      <w:tr>
        <w:tc>
          <w:tcPr>
            <w:tcW w:type="dxa" w:w="5102"/>
          </w:tcPr>
          <w:p>
            <w:r>
              <w:rPr>
                <w:rFonts w:ascii="Microsoft JhengHei" w:hAnsi="Microsoft JhengHei" w:eastAsia="Microsoft JhengHei"/>
                <w:b w:val="0"/>
                <w:sz w:val="18"/>
              </w:rPr>
              <w:t>NSTC 研究人力約用注意事項：`https://law.nstc.gov.tw/LawContent.aspx?id=FL028686`</w:t>
            </w:r>
          </w:p>
        </w:tc>
        <w:tc>
          <w:tcPr>
            <w:tcW w:type="dxa" w:w="5102"/>
          </w:tcPr>
          <w:p>
            <w:r>
              <w:rPr>
                <w:rFonts w:ascii="Microsoft JhengHei" w:hAnsi="Microsoft JhengHei" w:eastAsia="Microsoft JhengHei"/>
                <w:b w:val="0"/>
                <w:sz w:val="18"/>
              </w:rPr>
              <w:t>研究人力成本底線</w:t>
            </w:r>
          </w:p>
        </w:tc>
      </w:tr>
      <w:tr>
        <w:tc>
          <w:tcPr>
            <w:tcW w:type="dxa" w:w="5102"/>
          </w:tcPr>
          <w:p>
            <w:r>
              <w:rPr>
                <w:rFonts w:ascii="Microsoft JhengHei" w:hAnsi="Microsoft JhengHei" w:eastAsia="Microsoft JhengHei"/>
                <w:b w:val="0"/>
                <w:sz w:val="18"/>
              </w:rPr>
              <w:t>勞動部歷年最低工資 / 基本工資調整：`https://www.mol.gov.tw/1607/28162/28166/28180/70460/76761/76833/post`</w:t>
            </w:r>
          </w:p>
        </w:tc>
        <w:tc>
          <w:tcPr>
            <w:tcW w:type="dxa" w:w="5102"/>
          </w:tcPr>
          <w:p>
            <w:r>
              <w:rPr>
                <w:rFonts w:ascii="Microsoft JhengHei" w:hAnsi="Microsoft JhengHei" w:eastAsia="Microsoft JhengHei"/>
                <w:b w:val="0"/>
                <w:sz w:val="18"/>
              </w:rPr>
              <w:t>115 年最低工資基準</w:t>
            </w:r>
          </w:p>
        </w:tc>
      </w:tr>
    </w:tbl>
    <w:p>
      <w:pPr>
        <w:pStyle w:val="2"/>
      </w:pPr>
      <w:r>
        <w:rPr>
          <w:rFonts w:ascii="Microsoft JhengHei" w:hAnsi="Microsoft JhengHei" w:eastAsia="Microsoft JhengHei"/>
          <w:b/>
          <w:sz w:val="24"/>
        </w:rPr>
        <w:t>三、正式送件待確認</w:t>
      </w:r>
    </w:p>
    <w:tbl>
      <w:tblPr>
        <w:tblStyle w:val="aff9"/>
        <w:tblW w:type="auto" w:w="0"/>
        <w:tblLook w:firstColumn="1" w:firstRow="1" w:lastColumn="0" w:lastRow="0" w:noHBand="0" w:noVBand="1" w:val="04A0"/>
      </w:tblPr>
      <w:tblGrid>
        <w:gridCol w:w="5102"/>
        <w:gridCol w:w="5102"/>
      </w:tblGrid>
      <w:tr>
        <w:tc>
          <w:tcPr>
            <w:tcW w:type="dxa" w:w="5102"/>
          </w:tcPr>
          <w:p>
            <w:r>
              <w:rPr>
                <w:rFonts w:ascii="Microsoft JhengHei" w:hAnsi="Microsoft JhengHei" w:eastAsia="Microsoft JhengHei"/>
                <w:b/>
                <w:sz w:val="18"/>
              </w:rPr>
              <w:t>待確認事項</w:t>
            </w:r>
          </w:p>
        </w:tc>
        <w:tc>
          <w:tcPr>
            <w:tcW w:type="dxa" w:w="5102"/>
          </w:tcPr>
          <w:p>
            <w:r>
              <w:rPr>
                <w:rFonts w:ascii="Microsoft JhengHei" w:hAnsi="Microsoft JhengHei" w:eastAsia="Microsoft JhengHei"/>
                <w:b/>
                <w:sz w:val="18"/>
              </w:rPr>
              <w:t>Owner</w:t>
            </w:r>
          </w:p>
        </w:tc>
      </w:tr>
      <w:tr>
        <w:tc>
          <w:tcPr>
            <w:tcW w:type="dxa" w:w="5102"/>
          </w:tcPr>
          <w:p>
            <w:r>
              <w:rPr>
                <w:rFonts w:ascii="Microsoft JhengHei" w:hAnsi="Microsoft JhengHei" w:eastAsia="Microsoft JhengHei"/>
                <w:b w:val="0"/>
                <w:sz w:val="18"/>
              </w:rPr>
              <w:t>主提機構、合作機構、醫事機構代碼、PI、聯絡人、簽章</w:t>
            </w:r>
          </w:p>
        </w:tc>
        <w:tc>
          <w:tcPr>
            <w:tcW w:type="dxa" w:w="5102"/>
          </w:tcPr>
          <w:p>
            <w:r>
              <w:rPr>
                <w:rFonts w:ascii="Microsoft JhengHei" w:hAnsi="Microsoft JhengHei" w:eastAsia="Microsoft JhengHei"/>
                <w:b w:val="0"/>
                <w:sz w:val="18"/>
              </w:rPr>
              <w:t>主提單位</w:t>
            </w:r>
          </w:p>
        </w:tc>
      </w:tr>
      <w:tr>
        <w:tc>
          <w:tcPr>
            <w:tcW w:type="dxa" w:w="5102"/>
          </w:tcPr>
          <w:p>
            <w:r>
              <w:rPr>
                <w:rFonts w:ascii="Microsoft JhengHei" w:hAnsi="Microsoft JhengHei" w:eastAsia="Microsoft JhengHei"/>
                <w:b w:val="0"/>
                <w:sz w:val="18"/>
              </w:rPr>
              <w:t>送件模式與本稿角色：subproject / work package / appendix</w:t>
            </w:r>
          </w:p>
        </w:tc>
        <w:tc>
          <w:tcPr>
            <w:tcW w:type="dxa" w:w="5102"/>
          </w:tcPr>
          <w:p>
            <w:r>
              <w:rPr>
                <w:rFonts w:ascii="Microsoft JhengHei" w:hAnsi="Microsoft JhengHei" w:eastAsia="Microsoft JhengHei"/>
                <w:b w:val="0"/>
                <w:sz w:val="18"/>
              </w:rPr>
              <w:t>主提單位</w:t>
            </w:r>
          </w:p>
        </w:tc>
      </w:tr>
      <w:tr>
        <w:tc>
          <w:tcPr>
            <w:tcW w:type="dxa" w:w="5102"/>
          </w:tcPr>
          <w:p>
            <w:r>
              <w:rPr>
                <w:rFonts w:ascii="Microsoft JhengHei" w:hAnsi="Microsoft JhengHei" w:eastAsia="Microsoft JhengHei"/>
                <w:b w:val="0"/>
                <w:sz w:val="18"/>
              </w:rPr>
              <w:t>三年 NT$10M 是否維持為 AI-only package ceiling</w:t>
            </w:r>
          </w:p>
        </w:tc>
        <w:tc>
          <w:tcPr>
            <w:tcW w:type="dxa" w:w="5102"/>
          </w:tcPr>
          <w:p>
            <w:r>
              <w:rPr>
                <w:rFonts w:ascii="Microsoft JhengHei" w:hAnsi="Microsoft JhengHei" w:eastAsia="Microsoft JhengHei"/>
                <w:b w:val="0"/>
                <w:sz w:val="18"/>
              </w:rPr>
              <w:t>主提單位 + budget owner</w:t>
            </w:r>
          </w:p>
        </w:tc>
      </w:tr>
      <w:tr>
        <w:tc>
          <w:tcPr>
            <w:tcW w:type="dxa" w:w="5102"/>
          </w:tcPr>
          <w:p>
            <w:r>
              <w:rPr>
                <w:rFonts w:ascii="Microsoft JhengHei" w:hAnsi="Microsoft JhengHei" w:eastAsia="Microsoft JhengHei"/>
                <w:b w:val="0"/>
                <w:sz w:val="18"/>
              </w:rPr>
              <w:t>真實病患資料 route：no data / QI / IRB / mixed</w:t>
            </w:r>
          </w:p>
        </w:tc>
        <w:tc>
          <w:tcPr>
            <w:tcW w:type="dxa" w:w="5102"/>
          </w:tcPr>
          <w:p>
            <w:r>
              <w:rPr>
                <w:rFonts w:ascii="Microsoft JhengHei" w:hAnsi="Microsoft JhengHei" w:eastAsia="Microsoft JhengHei"/>
                <w:b w:val="0"/>
                <w:sz w:val="18"/>
              </w:rPr>
              <w:t>Clinical + IRB/QI + data governance owner</w:t>
            </w:r>
          </w:p>
        </w:tc>
      </w:tr>
      <w:tr>
        <w:tc>
          <w:tcPr>
            <w:tcW w:type="dxa" w:w="5102"/>
          </w:tcPr>
          <w:p>
            <w:r>
              <w:rPr>
                <w:rFonts w:ascii="Microsoft JhengHei" w:hAnsi="Microsoft JhengHei" w:eastAsia="Microsoft JhengHei"/>
                <w:b w:val="0"/>
                <w:sz w:val="18"/>
              </w:rPr>
              <w:t>ASR、APP/API、intake station status</w:t>
            </w:r>
          </w:p>
        </w:tc>
        <w:tc>
          <w:tcPr>
            <w:tcW w:type="dxa" w:w="5102"/>
          </w:tcPr>
          <w:p>
            <w:r>
              <w:rPr>
                <w:rFonts w:ascii="Microsoft JhengHei" w:hAnsi="Microsoft JhengHei" w:eastAsia="Microsoft JhengHei"/>
                <w:b w:val="0"/>
                <w:sz w:val="18"/>
              </w:rPr>
              <w:t>Engineering + security + procurement owner</w:t>
            </w:r>
          </w:p>
        </w:tc>
      </w:tr>
      <w:tr>
        <w:tc>
          <w:tcPr>
            <w:tcW w:type="dxa" w:w="5102"/>
          </w:tcPr>
          <w:p>
            <w:r>
              <w:rPr>
                <w:rFonts w:ascii="Microsoft JhengHei" w:hAnsi="Microsoft JhengHei" w:eastAsia="Microsoft JhengHei"/>
                <w:b w:val="0"/>
                <w:sz w:val="18"/>
              </w:rPr>
              <w:t>正式科目、配合款、採購門檻、negative-list review</w:t>
            </w:r>
          </w:p>
        </w:tc>
        <w:tc>
          <w:tcPr>
            <w:tcW w:type="dxa" w:w="5102"/>
          </w:tcPr>
          <w:p>
            <w:r>
              <w:rPr>
                <w:rFonts w:ascii="Microsoft JhengHei" w:hAnsi="Microsoft JhengHei" w:eastAsia="Microsoft JhengHei"/>
                <w:b w:val="0"/>
                <w:sz w:val="18"/>
              </w:rPr>
              <w:t>Budget / procurement owner</w:t>
            </w:r>
          </w:p>
        </w:tc>
      </w:tr>
      <w:tr>
        <w:tc>
          <w:tcPr>
            <w:tcW w:type="dxa" w:w="5102"/>
          </w:tcPr>
          <w:p>
            <w:r>
              <w:rPr>
                <w:rFonts w:ascii="Microsoft JhengHei" w:hAnsi="Microsoft JhengHei" w:eastAsia="Microsoft JhengHei"/>
                <w:b w:val="0"/>
                <w:sz w:val="18"/>
              </w:rPr>
              <w:t>維運 owner 與下一階段 HIS/EMR/API governance route</w:t>
            </w:r>
          </w:p>
        </w:tc>
        <w:tc>
          <w:tcPr>
            <w:tcW w:type="dxa" w:w="5102"/>
          </w:tcPr>
          <w:p>
            <w:r>
              <w:rPr>
                <w:rFonts w:ascii="Microsoft JhengHei" w:hAnsi="Microsoft JhengHei" w:eastAsia="Microsoft JhengHei"/>
                <w:b w:val="0"/>
                <w:sz w:val="18"/>
              </w:rPr>
              <w:t>主提單位 + IT/security owner</w:t>
            </w:r>
          </w:p>
        </w:tc>
      </w:tr>
    </w:tbl>
    <w:sectPr w:rsidR="00196F40" w:rsidRPr="00196F40" w:rsidSect="00196F40">
      <w:footerReference w:type="first" r:id="rId16"/>
      <w:pgSz w:w="11906" w:h="16838"/>
      <w:pgMar w:top="851" w:right="851" w:bottom="851" w:left="851" w:header="284" w:footer="284" w:gutter="0"/>
      <w:pgNumType w:start="9"/>
      <w:cols w:space="720"/>
      <w:docGrid w:linePitch="8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A47C6" w14:textId="77777777" w:rsidR="00E20B9E" w:rsidRDefault="00E20B9E">
      <w:r>
        <w:separator/>
      </w:r>
    </w:p>
  </w:endnote>
  <w:endnote w:type="continuationSeparator" w:id="0">
    <w:p w14:paraId="5D0D122C" w14:textId="77777777" w:rsidR="00E20B9E" w:rsidRDefault="00E20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微軟正黑體"/>
    <w:charset w:val="88"/>
    <w:family w:val="modern"/>
    <w:pitch w:val="fixed"/>
    <w:sig w:usb0="00000001" w:usb1="08080000" w:usb2="00000010" w:usb3="00000000" w:csb0="00100000" w:csb1="00000000"/>
  </w:font>
  <w:font w:name="Arial Unicode MS">
    <w:panose1 w:val="020B0604020202020204"/>
    <w:charset w:val="88"/>
    <w:family w:val="swiss"/>
    <w:pitch w:val="variable"/>
    <w:sig w:usb0="F7FFAFFF" w:usb1="E9DFFFFF" w:usb2="0000003F" w:usb3="00000000" w:csb0="003F01FF" w:csb1="00000000"/>
  </w:font>
  <w:font w:name="華康中楷體">
    <w:altName w:val="新細明體"/>
    <w:charset w:val="00"/>
    <w:family w:val="auto"/>
    <w:pitch w:val="default"/>
  </w:font>
  <w:font w:name="Cambria">
    <w:panose1 w:val="02040503050406030204"/>
    <w:charset w:val="00"/>
    <w:family w:val="roman"/>
    <w:pitch w:val="variable"/>
    <w:sig w:usb0="E00006FF" w:usb1="420024FF" w:usb2="02000000" w:usb3="00000000" w:csb0="0000019F" w:csb1="00000000"/>
  </w:font>
  <w:font w:name="sө">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TC">
    <w:charset w:val="88"/>
    <w:family w:val="swiss"/>
    <w:pitch w:val="variable"/>
    <w:sig w:usb0="20000287" w:usb1="2ADF3C10" w:usb2="00000016" w:usb3="00000000" w:csb0="00120107"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16092" w14:textId="77777777" w:rsidR="00B707CD" w:rsidRDefault="00B707CD" w:rsidP="001F3B5F">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AF178" w14:textId="77777777" w:rsidR="00B707CD" w:rsidRPr="001F3B5F" w:rsidRDefault="00B707CD" w:rsidP="001F3B5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2153C" w14:textId="643BF32D"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2C3300">
      <w:rPr>
        <w:noProof/>
        <w:sz w:val="24"/>
        <w:lang w:val="zh-TW"/>
      </w:rPr>
      <w:t>5</w:t>
    </w:r>
    <w:r w:rsidRPr="00BD7C7F">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7547D" w14:textId="77777777" w:rsidR="00B707CD" w:rsidRPr="007D37D6" w:rsidRDefault="00B707CD" w:rsidP="001F3B5F">
    <w:pPr>
      <w:pStyle w:val="a9"/>
      <w:jc w:val="center"/>
      <w:rPr>
        <w:sz w:val="24"/>
      </w:rPr>
    </w:pPr>
    <w:r w:rsidRPr="007D37D6">
      <w:rPr>
        <w:rFonts w:hint="eastAsia"/>
        <w:sz w:val="24"/>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18530" w14:textId="77777777" w:rsidR="00B707CD" w:rsidRPr="007D37D6" w:rsidRDefault="00B707CD" w:rsidP="001F3B5F">
    <w:pPr>
      <w:pStyle w:val="a9"/>
      <w:jc w:val="center"/>
      <w:rPr>
        <w:sz w:val="24"/>
      </w:rPr>
    </w:pPr>
    <w:r>
      <w:rPr>
        <w:rFonts w:hint="eastAsia"/>
        <w:sz w:val="2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ED69F9" w14:textId="69287681"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2C3300">
      <w:rPr>
        <w:noProof/>
        <w:sz w:val="24"/>
        <w:lang w:val="zh-TW"/>
      </w:rPr>
      <w:t>6</w:t>
    </w:r>
    <w:r w:rsidRPr="00BD7C7F">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B5267" w14:textId="124F45E5" w:rsidR="00B707CD" w:rsidRPr="00466D0F" w:rsidRDefault="00B707CD" w:rsidP="00466D0F">
    <w:pPr>
      <w:pStyle w:val="a9"/>
      <w:jc w:val="center"/>
      <w:rPr>
        <w:sz w:val="24"/>
      </w:rPr>
    </w:pPr>
    <w:r w:rsidRPr="00466D0F">
      <w:rPr>
        <w:sz w:val="24"/>
      </w:rPr>
      <w:fldChar w:fldCharType="begin"/>
    </w:r>
    <w:r w:rsidRPr="00466D0F">
      <w:rPr>
        <w:sz w:val="24"/>
      </w:rPr>
      <w:instrText>PAGE   \* MERGEFORMAT</w:instrText>
    </w:r>
    <w:r w:rsidRPr="00466D0F">
      <w:rPr>
        <w:sz w:val="24"/>
      </w:rPr>
      <w:fldChar w:fldCharType="separate"/>
    </w:r>
    <w:r w:rsidRPr="002C3300">
      <w:rPr>
        <w:noProof/>
        <w:sz w:val="24"/>
        <w:lang w:val="zh-TW"/>
      </w:rPr>
      <w:t>10</w:t>
    </w:r>
    <w:r w:rsidRPr="00466D0F">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4A2CF" w14:textId="20C171FE" w:rsidR="00B707CD" w:rsidRPr="00466D0F" w:rsidRDefault="00B707CD" w:rsidP="00466D0F">
    <w:pPr>
      <w:pStyle w:val="a9"/>
      <w:jc w:val="center"/>
      <w:rPr>
        <w:sz w:val="24"/>
      </w:rPr>
    </w:pPr>
    <w:r w:rsidRPr="00466D0F">
      <w:rPr>
        <w:sz w:val="24"/>
      </w:rPr>
      <w:fldChar w:fldCharType="begin"/>
    </w:r>
    <w:r w:rsidRPr="00466D0F">
      <w:rPr>
        <w:sz w:val="24"/>
      </w:rPr>
      <w:instrText>PAGE   \* MERGEFORMAT</w:instrText>
    </w:r>
    <w:r w:rsidRPr="00466D0F">
      <w:rPr>
        <w:sz w:val="24"/>
      </w:rPr>
      <w:fldChar w:fldCharType="separate"/>
    </w:r>
    <w:r w:rsidRPr="002C3300">
      <w:rPr>
        <w:noProof/>
        <w:sz w:val="24"/>
        <w:lang w:val="zh-TW"/>
      </w:rPr>
      <w:t>7</w:t>
    </w:r>
    <w:r w:rsidRPr="00466D0F">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A826A" w14:textId="77777777"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BD7C7F">
      <w:rPr>
        <w:sz w:val="24"/>
        <w:lang w:val="zh-TW"/>
      </w:rPr>
      <w:t>2</w:t>
    </w:r>
    <w:r w:rsidRPr="00BD7C7F">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23BD3" w14:textId="77777777" w:rsidR="00E20B9E" w:rsidRDefault="00E20B9E">
      <w:r>
        <w:separator/>
      </w:r>
    </w:p>
  </w:footnote>
  <w:footnote w:type="continuationSeparator" w:id="0">
    <w:p w14:paraId="51288FF6" w14:textId="77777777" w:rsidR="00E20B9E" w:rsidRDefault="00E20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F18E2B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FFFFFFFB"/>
    <w:multiLevelType w:val="multilevel"/>
    <w:tmpl w:val="53ECF044"/>
    <w:lvl w:ilvl="0">
      <w:start w:val="1"/>
      <w:numFmt w:val="ideographLegalTraditional"/>
      <w:lvlText w:val="%1、"/>
      <w:legacy w:legacy="1" w:legacySpace="0" w:legacyIndent="425"/>
      <w:lvlJc w:val="left"/>
      <w:pPr>
        <w:ind w:left="425" w:hanging="425"/>
      </w:pPr>
    </w:lvl>
    <w:lvl w:ilvl="1">
      <w:start w:val="1"/>
      <w:numFmt w:val="taiwaneseCountingThousand"/>
      <w:pStyle w:val="2"/>
      <w:lvlText w:val="%2、"/>
      <w:legacy w:legacy="1" w:legacySpace="0" w:legacyIndent="425"/>
      <w:lvlJc w:val="left"/>
      <w:pPr>
        <w:ind w:left="992" w:hanging="425"/>
      </w:pPr>
      <w:rPr>
        <w:b/>
        <w:sz w:val="32"/>
        <w:szCs w:val="32"/>
        <w:lang w:eastAsia="zh-TW"/>
      </w:rPr>
    </w:lvl>
    <w:lvl w:ilvl="2">
      <w:start w:val="1"/>
      <w:numFmt w:val="taiwaneseCountingThousand"/>
      <w:pStyle w:val="3"/>
      <w:lvlText w:val="第%3項"/>
      <w:legacy w:legacy="1" w:legacySpace="0" w:legacyIndent="425"/>
      <w:lvlJc w:val="left"/>
      <w:pPr>
        <w:ind w:left="1275" w:hanging="425"/>
      </w:pPr>
    </w:lvl>
    <w:lvl w:ilvl="3">
      <w:start w:val="1"/>
      <w:numFmt w:val="none"/>
      <w:pStyle w:val="4"/>
      <w:suff w:val="nothing"/>
      <w:lvlText w:val=""/>
      <w:lvlJc w:val="left"/>
      <w:pPr>
        <w:ind w:left="1700" w:hanging="425"/>
      </w:pPr>
    </w:lvl>
    <w:lvl w:ilvl="4">
      <w:start w:val="1"/>
      <w:numFmt w:val="none"/>
      <w:pStyle w:val="5"/>
      <w:suff w:val="nothing"/>
      <w:lvlText w:val=""/>
      <w:lvlJc w:val="left"/>
      <w:pPr>
        <w:ind w:left="2125" w:hanging="425"/>
      </w:pPr>
    </w:lvl>
    <w:lvl w:ilvl="5">
      <w:start w:val="1"/>
      <w:numFmt w:val="none"/>
      <w:pStyle w:val="6"/>
      <w:suff w:val="nothing"/>
      <w:lvlText w:val=""/>
      <w:lvlJc w:val="left"/>
      <w:pPr>
        <w:ind w:left="2550" w:hanging="425"/>
      </w:pPr>
    </w:lvl>
    <w:lvl w:ilvl="6">
      <w:start w:val="1"/>
      <w:numFmt w:val="none"/>
      <w:pStyle w:val="7"/>
      <w:suff w:val="nothing"/>
      <w:lvlText w:val=""/>
      <w:lvlJc w:val="left"/>
      <w:pPr>
        <w:ind w:left="2975" w:hanging="425"/>
      </w:pPr>
    </w:lvl>
    <w:lvl w:ilvl="7">
      <w:start w:val="1"/>
      <w:numFmt w:val="none"/>
      <w:pStyle w:val="8"/>
      <w:suff w:val="nothing"/>
      <w:lvlText w:val=""/>
      <w:lvlJc w:val="left"/>
      <w:pPr>
        <w:ind w:left="3400" w:hanging="425"/>
      </w:pPr>
    </w:lvl>
    <w:lvl w:ilvl="8">
      <w:start w:val="1"/>
      <w:numFmt w:val="none"/>
      <w:pStyle w:val="9"/>
      <w:suff w:val="nothing"/>
      <w:lvlText w:val=""/>
      <w:lvlJc w:val="left"/>
      <w:pPr>
        <w:ind w:left="3825" w:hanging="425"/>
      </w:pPr>
    </w:lvl>
  </w:abstractNum>
  <w:abstractNum w:abstractNumId="2" w15:restartNumberingAfterBreak="0">
    <w:nsid w:val="00DD498E"/>
    <w:multiLevelType w:val="hybridMultilevel"/>
    <w:tmpl w:val="067C310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14F6B35"/>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1652B3D"/>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5" w15:restartNumberingAfterBreak="0">
    <w:nsid w:val="02440DF3"/>
    <w:multiLevelType w:val="hybridMultilevel"/>
    <w:tmpl w:val="D1D454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24D7D5E"/>
    <w:multiLevelType w:val="hybridMultilevel"/>
    <w:tmpl w:val="F8B2899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2C27755"/>
    <w:multiLevelType w:val="hybridMultilevel"/>
    <w:tmpl w:val="904C58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3AF6F6F"/>
    <w:multiLevelType w:val="hybridMultilevel"/>
    <w:tmpl w:val="365014E0"/>
    <w:lvl w:ilvl="0" w:tplc="04090017">
      <w:start w:val="1"/>
      <w:numFmt w:val="ideographLegalTraditional"/>
      <w:lvlText w:val="%1、"/>
      <w:lvlJc w:val="left"/>
      <w:pPr>
        <w:ind w:left="480" w:hanging="480"/>
      </w:pPr>
    </w:lvl>
    <w:lvl w:ilvl="1" w:tplc="224C2F04">
      <w:start w:val="1"/>
      <w:numFmt w:val="taiwaneseCountingThousand"/>
      <w:lvlText w:val="%2、"/>
      <w:lvlJc w:val="left"/>
      <w:pPr>
        <w:ind w:left="960" w:hanging="480"/>
      </w:pPr>
      <w:rPr>
        <w:rFonts w:ascii="Times New Roman" w:eastAsia="標楷體" w:hAnsi="Times New Roman" w:hint="default"/>
        <w:color w:val="auto"/>
        <w:sz w:val="28"/>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6C8648A"/>
    <w:multiLevelType w:val="hybridMultilevel"/>
    <w:tmpl w:val="E012D31C"/>
    <w:lvl w:ilvl="0" w:tplc="FFFFFFFF">
      <w:start w:val="1"/>
      <w:numFmt w:val="taiwaneseCountingThousand"/>
      <w:lvlText w:val="(%1)"/>
      <w:lvlJc w:val="left"/>
      <w:pPr>
        <w:ind w:left="960" w:hanging="480"/>
      </w:pPr>
      <w:rPr>
        <w:rFonts w:ascii="Times New Roman" w:hAnsi="Times New Roman" w:cs="Times New Roman" w:hint="default"/>
        <w:b w:val="0"/>
      </w:rPr>
    </w:lvl>
    <w:lvl w:ilvl="1" w:tplc="FFFFFFFF" w:tentative="1">
      <w:start w:val="1"/>
      <w:numFmt w:val="ideographTraditional"/>
      <w:lvlText w:val="%2、"/>
      <w:lvlJc w:val="left"/>
      <w:pPr>
        <w:ind w:left="1922" w:hanging="480"/>
      </w:pPr>
    </w:lvl>
    <w:lvl w:ilvl="2" w:tplc="FFFFFFFF" w:tentative="1">
      <w:start w:val="1"/>
      <w:numFmt w:val="lowerRoman"/>
      <w:lvlText w:val="%3."/>
      <w:lvlJc w:val="right"/>
      <w:pPr>
        <w:ind w:left="2402" w:hanging="480"/>
      </w:pPr>
    </w:lvl>
    <w:lvl w:ilvl="3" w:tplc="FFFFFFFF" w:tentative="1">
      <w:start w:val="1"/>
      <w:numFmt w:val="decimal"/>
      <w:lvlText w:val="%4."/>
      <w:lvlJc w:val="left"/>
      <w:pPr>
        <w:ind w:left="2882" w:hanging="480"/>
      </w:pPr>
    </w:lvl>
    <w:lvl w:ilvl="4" w:tplc="FFFFFFFF" w:tentative="1">
      <w:start w:val="1"/>
      <w:numFmt w:val="ideographTraditional"/>
      <w:lvlText w:val="%5、"/>
      <w:lvlJc w:val="left"/>
      <w:pPr>
        <w:ind w:left="3362" w:hanging="480"/>
      </w:pPr>
    </w:lvl>
    <w:lvl w:ilvl="5" w:tplc="FFFFFFFF" w:tentative="1">
      <w:start w:val="1"/>
      <w:numFmt w:val="lowerRoman"/>
      <w:lvlText w:val="%6."/>
      <w:lvlJc w:val="right"/>
      <w:pPr>
        <w:ind w:left="3842" w:hanging="480"/>
      </w:pPr>
    </w:lvl>
    <w:lvl w:ilvl="6" w:tplc="FFFFFFFF" w:tentative="1">
      <w:start w:val="1"/>
      <w:numFmt w:val="decimal"/>
      <w:lvlText w:val="%7."/>
      <w:lvlJc w:val="left"/>
      <w:pPr>
        <w:ind w:left="4322" w:hanging="480"/>
      </w:pPr>
    </w:lvl>
    <w:lvl w:ilvl="7" w:tplc="FFFFFFFF" w:tentative="1">
      <w:start w:val="1"/>
      <w:numFmt w:val="ideographTraditional"/>
      <w:lvlText w:val="%8、"/>
      <w:lvlJc w:val="left"/>
      <w:pPr>
        <w:ind w:left="4802" w:hanging="480"/>
      </w:pPr>
    </w:lvl>
    <w:lvl w:ilvl="8" w:tplc="FFFFFFFF" w:tentative="1">
      <w:start w:val="1"/>
      <w:numFmt w:val="lowerRoman"/>
      <w:lvlText w:val="%9."/>
      <w:lvlJc w:val="right"/>
      <w:pPr>
        <w:ind w:left="5282" w:hanging="480"/>
      </w:pPr>
    </w:lvl>
  </w:abstractNum>
  <w:abstractNum w:abstractNumId="10" w15:restartNumberingAfterBreak="0">
    <w:nsid w:val="083B7071"/>
    <w:multiLevelType w:val="hybridMultilevel"/>
    <w:tmpl w:val="D8DC3336"/>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8BC3C96"/>
    <w:multiLevelType w:val="hybridMultilevel"/>
    <w:tmpl w:val="FA923CE0"/>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8BC54E4"/>
    <w:multiLevelType w:val="hybridMultilevel"/>
    <w:tmpl w:val="C5088134"/>
    <w:lvl w:ilvl="0" w:tplc="1A56C7BA">
      <w:start w:val="1"/>
      <w:numFmt w:val="decimal"/>
      <w:lvlText w:val="(%1)"/>
      <w:lvlJc w:val="left"/>
      <w:pPr>
        <w:ind w:left="1212" w:hanging="360"/>
      </w:pPr>
      <w:rPr>
        <w:rFonts w:hint="default"/>
      </w:r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13" w15:restartNumberingAfterBreak="0">
    <w:nsid w:val="0BC77E02"/>
    <w:multiLevelType w:val="hybridMultilevel"/>
    <w:tmpl w:val="B1A4717A"/>
    <w:lvl w:ilvl="0" w:tplc="C9FC768A">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D4D77E5"/>
    <w:multiLevelType w:val="hybridMultilevel"/>
    <w:tmpl w:val="B832CCEA"/>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5" w15:restartNumberingAfterBreak="0">
    <w:nsid w:val="0DF35C35"/>
    <w:multiLevelType w:val="hybridMultilevel"/>
    <w:tmpl w:val="195434E6"/>
    <w:lvl w:ilvl="0" w:tplc="04090015">
      <w:start w:val="1"/>
      <w:numFmt w:val="taiwaneseCountingThousand"/>
      <w:lvlText w:val="%1、"/>
      <w:lvlJc w:val="left"/>
      <w:pPr>
        <w:ind w:left="480" w:hanging="480"/>
      </w:pPr>
    </w:lvl>
    <w:lvl w:ilvl="1" w:tplc="BFD258AA">
      <w:start w:val="1"/>
      <w:numFmt w:val="taiwaneseCountingThousand"/>
      <w:lvlText w:val="(%2)"/>
      <w:lvlJc w:val="left"/>
      <w:pPr>
        <w:ind w:left="960" w:hanging="480"/>
      </w:pPr>
      <w:rPr>
        <w:rFonts w:hint="eastAsia"/>
        <w:strike w:val="0"/>
        <w:color w:val="auto"/>
        <w:u w:color="FFFFFF"/>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0E4F1E67"/>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7" w15:restartNumberingAfterBreak="0">
    <w:nsid w:val="12F326BB"/>
    <w:multiLevelType w:val="multilevel"/>
    <w:tmpl w:val="2954E996"/>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rFonts w:cs="Times New Roman" w:hint="default"/>
        <w:sz w:val="28"/>
        <w:u w:val="none"/>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18" w15:restartNumberingAfterBreak="0">
    <w:nsid w:val="132242BC"/>
    <w:multiLevelType w:val="hybridMultilevel"/>
    <w:tmpl w:val="6F8CE998"/>
    <w:lvl w:ilvl="0" w:tplc="75BC35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4AE051F"/>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150210FB"/>
    <w:multiLevelType w:val="hybridMultilevel"/>
    <w:tmpl w:val="019404DA"/>
    <w:lvl w:ilvl="0" w:tplc="7EA27D32">
      <w:start w:val="1"/>
      <w:numFmt w:val="decimal"/>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586759A"/>
    <w:multiLevelType w:val="hybridMultilevel"/>
    <w:tmpl w:val="72A25110"/>
    <w:lvl w:ilvl="0" w:tplc="36B29CBA">
      <w:start w:val="1"/>
      <w:numFmt w:val="ideographLegalTraditional"/>
      <w:lvlText w:val="%1、"/>
      <w:lvlJc w:val="left"/>
      <w:pPr>
        <w:ind w:left="480" w:hanging="480"/>
      </w:pPr>
      <w:rPr>
        <w:b w:val="0"/>
        <w:bCs/>
        <w:color w:val="auto"/>
        <w:sz w:val="28"/>
        <w:szCs w:val="28"/>
      </w:rPr>
    </w:lvl>
    <w:lvl w:ilvl="1" w:tplc="FFFFFFFF">
      <w:start w:val="1"/>
      <w:numFmt w:val="taiwaneseCountingThousand"/>
      <w:lvlText w:val="%2、"/>
      <w:lvlJc w:val="left"/>
      <w:pPr>
        <w:ind w:left="960" w:hanging="480"/>
      </w:pPr>
      <w:rPr>
        <w:rFonts w:ascii="Times New Roman" w:eastAsia="標楷體" w:hAnsi="Times New Roman" w:hint="default"/>
        <w:color w:val="auto"/>
        <w:sz w:val="24"/>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15A2206C"/>
    <w:multiLevelType w:val="hybridMultilevel"/>
    <w:tmpl w:val="BEA69A82"/>
    <w:lvl w:ilvl="0" w:tplc="21A665C8">
      <w:start w:val="2"/>
      <w:numFmt w:val="ideographLegalTraditional"/>
      <w:lvlText w:val="%1、"/>
      <w:lvlJc w:val="left"/>
      <w:pPr>
        <w:ind w:left="403" w:hanging="480"/>
      </w:pPr>
      <w:rPr>
        <w:rFonts w:hint="eastAsia"/>
        <w:b w:val="0"/>
        <w:bCs/>
        <w:color w:val="auto"/>
        <w:sz w:val="28"/>
        <w:szCs w:val="28"/>
      </w:rPr>
    </w:lvl>
    <w:lvl w:ilvl="1" w:tplc="F732C9AC">
      <w:start w:val="1"/>
      <w:numFmt w:val="taiwaneseCountingThousand"/>
      <w:lvlText w:val="%2、"/>
      <w:lvlJc w:val="left"/>
      <w:pPr>
        <w:ind w:left="960" w:hanging="480"/>
      </w:pPr>
      <w:rPr>
        <w:rFonts w:hint="eastAsia"/>
      </w:rPr>
    </w:lvl>
    <w:lvl w:ilvl="2" w:tplc="D1F2EF14">
      <w:start w:val="1"/>
      <w:numFmt w:val="decimal"/>
      <w:lvlText w:val="%3."/>
      <w:lvlJc w:val="left"/>
      <w:pPr>
        <w:ind w:left="1320" w:hanging="360"/>
      </w:pPr>
      <w:rPr>
        <w:rFonts w:hint="default"/>
        <w:b/>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6DC19F7"/>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17B24F7D"/>
    <w:multiLevelType w:val="hybridMultilevel"/>
    <w:tmpl w:val="5E7C3DDA"/>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17B827D5"/>
    <w:multiLevelType w:val="hybridMultilevel"/>
    <w:tmpl w:val="7C7C10D8"/>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9591770"/>
    <w:multiLevelType w:val="hybridMultilevel"/>
    <w:tmpl w:val="8F60002C"/>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19A620EA"/>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28" w15:restartNumberingAfterBreak="0">
    <w:nsid w:val="1AFF59C4"/>
    <w:multiLevelType w:val="hybridMultilevel"/>
    <w:tmpl w:val="8E46ABD2"/>
    <w:lvl w:ilvl="0" w:tplc="0EE27842">
      <w:start w:val="1"/>
      <w:numFmt w:val="upperLetter"/>
      <w:lvlText w:val="%1."/>
      <w:lvlJc w:val="left"/>
      <w:pPr>
        <w:ind w:left="1044" w:hanging="480"/>
      </w:pPr>
      <w:rPr>
        <w:b w:val="0"/>
        <w:color w:val="FF0000"/>
        <w:sz w:val="28"/>
      </w:rPr>
    </w:lvl>
    <w:lvl w:ilvl="1" w:tplc="04090019" w:tentative="1">
      <w:start w:val="1"/>
      <w:numFmt w:val="ideographTraditional"/>
      <w:lvlText w:val="%2、"/>
      <w:lvlJc w:val="left"/>
      <w:pPr>
        <w:ind w:left="1524" w:hanging="480"/>
      </w:p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abstractNum w:abstractNumId="29" w15:restartNumberingAfterBreak="0">
    <w:nsid w:val="1B3E5146"/>
    <w:multiLevelType w:val="hybridMultilevel"/>
    <w:tmpl w:val="7EBC83FA"/>
    <w:lvl w:ilvl="0" w:tplc="E9CE106C">
      <w:start w:val="1"/>
      <w:numFmt w:val="taiwaneseCountingThousand"/>
      <w:lvlText w:val="(%1)"/>
      <w:lvlJc w:val="left"/>
      <w:pPr>
        <w:ind w:left="403" w:hanging="480"/>
      </w:pPr>
      <w:rPr>
        <w:rFonts w:hint="default"/>
      </w:rPr>
    </w:lvl>
    <w:lvl w:ilvl="1" w:tplc="04090019" w:tentative="1">
      <w:start w:val="1"/>
      <w:numFmt w:val="ideographTraditional"/>
      <w:lvlText w:val="%2、"/>
      <w:lvlJc w:val="left"/>
      <w:pPr>
        <w:ind w:left="883" w:hanging="480"/>
      </w:pPr>
    </w:lvl>
    <w:lvl w:ilvl="2" w:tplc="0409001B" w:tentative="1">
      <w:start w:val="1"/>
      <w:numFmt w:val="lowerRoman"/>
      <w:lvlText w:val="%3."/>
      <w:lvlJc w:val="right"/>
      <w:pPr>
        <w:ind w:left="1363" w:hanging="480"/>
      </w:pPr>
    </w:lvl>
    <w:lvl w:ilvl="3" w:tplc="0409000F" w:tentative="1">
      <w:start w:val="1"/>
      <w:numFmt w:val="decimal"/>
      <w:lvlText w:val="%4."/>
      <w:lvlJc w:val="left"/>
      <w:pPr>
        <w:ind w:left="1843" w:hanging="480"/>
      </w:pPr>
    </w:lvl>
    <w:lvl w:ilvl="4" w:tplc="04090019" w:tentative="1">
      <w:start w:val="1"/>
      <w:numFmt w:val="ideographTraditional"/>
      <w:lvlText w:val="%5、"/>
      <w:lvlJc w:val="left"/>
      <w:pPr>
        <w:ind w:left="2323" w:hanging="480"/>
      </w:pPr>
    </w:lvl>
    <w:lvl w:ilvl="5" w:tplc="0409001B" w:tentative="1">
      <w:start w:val="1"/>
      <w:numFmt w:val="lowerRoman"/>
      <w:lvlText w:val="%6."/>
      <w:lvlJc w:val="right"/>
      <w:pPr>
        <w:ind w:left="2803" w:hanging="480"/>
      </w:pPr>
    </w:lvl>
    <w:lvl w:ilvl="6" w:tplc="0409000F" w:tentative="1">
      <w:start w:val="1"/>
      <w:numFmt w:val="decimal"/>
      <w:lvlText w:val="%7."/>
      <w:lvlJc w:val="left"/>
      <w:pPr>
        <w:ind w:left="3283" w:hanging="480"/>
      </w:pPr>
    </w:lvl>
    <w:lvl w:ilvl="7" w:tplc="04090019" w:tentative="1">
      <w:start w:val="1"/>
      <w:numFmt w:val="ideographTraditional"/>
      <w:lvlText w:val="%8、"/>
      <w:lvlJc w:val="left"/>
      <w:pPr>
        <w:ind w:left="3763" w:hanging="480"/>
      </w:pPr>
    </w:lvl>
    <w:lvl w:ilvl="8" w:tplc="0409001B" w:tentative="1">
      <w:start w:val="1"/>
      <w:numFmt w:val="lowerRoman"/>
      <w:lvlText w:val="%9."/>
      <w:lvlJc w:val="right"/>
      <w:pPr>
        <w:ind w:left="4243" w:hanging="480"/>
      </w:pPr>
    </w:lvl>
  </w:abstractNum>
  <w:abstractNum w:abstractNumId="30" w15:restartNumberingAfterBreak="0">
    <w:nsid w:val="1CBB61CE"/>
    <w:multiLevelType w:val="hybridMultilevel"/>
    <w:tmpl w:val="34A64A90"/>
    <w:lvl w:ilvl="0" w:tplc="C532C916">
      <w:start w:val="1"/>
      <w:numFmt w:val="decimal"/>
      <w:lvlText w:val="(%1)"/>
      <w:lvlJc w:val="left"/>
      <w:pPr>
        <w:ind w:left="1920" w:hanging="480"/>
      </w:pPr>
      <w:rPr>
        <w:rFonts w:cs="Times New Roman" w:hint="default"/>
        <w:color w:val="auto"/>
        <w:u w:val="none"/>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1" w15:restartNumberingAfterBreak="0">
    <w:nsid w:val="1CD84EFE"/>
    <w:multiLevelType w:val="hybridMultilevel"/>
    <w:tmpl w:val="18E8C6BC"/>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1D3D6CC6"/>
    <w:multiLevelType w:val="hybridMultilevel"/>
    <w:tmpl w:val="3CCEFEA0"/>
    <w:lvl w:ilvl="0" w:tplc="D6F2A3CA">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1D840785"/>
    <w:multiLevelType w:val="hybridMultilevel"/>
    <w:tmpl w:val="4682736A"/>
    <w:lvl w:ilvl="0" w:tplc="75BC35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1DB13A00"/>
    <w:multiLevelType w:val="hybridMultilevel"/>
    <w:tmpl w:val="D56C38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1E585566"/>
    <w:multiLevelType w:val="hybridMultilevel"/>
    <w:tmpl w:val="5E3E08C6"/>
    <w:lvl w:ilvl="0" w:tplc="1E1A1F8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1F757D9F"/>
    <w:multiLevelType w:val="hybridMultilevel"/>
    <w:tmpl w:val="CFAA3852"/>
    <w:lvl w:ilvl="0" w:tplc="032622D4">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1FE37867"/>
    <w:multiLevelType w:val="hybridMultilevel"/>
    <w:tmpl w:val="D4C2D032"/>
    <w:lvl w:ilvl="0" w:tplc="A080E9DA">
      <w:start w:val="1"/>
      <w:numFmt w:val="decimal"/>
      <w:lvlText w:val="%1."/>
      <w:lvlJc w:val="left"/>
      <w:pPr>
        <w:ind w:left="480" w:hanging="480"/>
      </w:pPr>
      <w:rPr>
        <w:rFonts w:ascii="Times New Roman" w:hAnsi="Times New Roman"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2320031"/>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9" w15:restartNumberingAfterBreak="0">
    <w:nsid w:val="22B362DD"/>
    <w:multiLevelType w:val="hybridMultilevel"/>
    <w:tmpl w:val="0AA6E9D4"/>
    <w:lvl w:ilvl="0" w:tplc="0136F050">
      <w:start w:val="1"/>
      <w:numFmt w:val="taiwaneseCountingThousand"/>
      <w:lvlText w:val="(%1)"/>
      <w:lvlJc w:val="left"/>
      <w:pPr>
        <w:ind w:left="960" w:hanging="480"/>
      </w:pPr>
      <w:rPr>
        <w:rFonts w:ascii="Times New Roman" w:hAnsi="Times New Roman" w:cs="Times New Roman" w:hint="default"/>
        <w:b w:val="0"/>
        <w:color w:val="auto"/>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40" w15:restartNumberingAfterBreak="0">
    <w:nsid w:val="22B5289A"/>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23861767"/>
    <w:multiLevelType w:val="hybridMultilevel"/>
    <w:tmpl w:val="0674E050"/>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243F4747"/>
    <w:multiLevelType w:val="hybridMultilevel"/>
    <w:tmpl w:val="66123BC6"/>
    <w:lvl w:ilvl="0" w:tplc="FFFFFFFF">
      <w:start w:val="1"/>
      <w:numFmt w:val="taiwaneseCountingThousand"/>
      <w:lvlText w:val="%1、"/>
      <w:lvlJc w:val="left"/>
      <w:pPr>
        <w:ind w:left="480" w:hanging="480"/>
      </w:pPr>
      <w:rPr>
        <w:rFonts w:hint="eastAsia"/>
        <w:b w:val="0"/>
        <w:bCs/>
        <w:i w:val="0"/>
        <w:sz w:val="28"/>
        <w:u w:val="none"/>
        <w:lang w:val="en-US"/>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24E80A3B"/>
    <w:multiLevelType w:val="hybridMultilevel"/>
    <w:tmpl w:val="16D67160"/>
    <w:lvl w:ilvl="0" w:tplc="F620D7B2">
      <w:start w:val="1"/>
      <w:numFmt w:val="taiwaneseCountingThousand"/>
      <w:lvlText w:val="%1、"/>
      <w:lvlJc w:val="left"/>
      <w:pPr>
        <w:ind w:left="960" w:hanging="480"/>
      </w:pPr>
      <w:rPr>
        <w:rFonts w:ascii="Times New Roman" w:eastAsia="標楷體" w:hAnsi="Times New Roman" w:hint="default"/>
        <w:b/>
        <w:color w:val="auto"/>
        <w:sz w:val="32"/>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26333EB9"/>
    <w:multiLevelType w:val="hybridMultilevel"/>
    <w:tmpl w:val="D81663FE"/>
    <w:lvl w:ilvl="0" w:tplc="83CA3FC8">
      <w:start w:val="1"/>
      <w:numFmt w:val="decimal"/>
      <w:lvlText w:val="(%1)"/>
      <w:lvlJc w:val="left"/>
      <w:pPr>
        <w:ind w:left="1200" w:hanging="480"/>
      </w:pPr>
      <w:rPr>
        <w:rFonts w:cs="Times New Roman" w:hint="default"/>
        <w:u w:val="none"/>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5" w15:restartNumberingAfterBreak="0">
    <w:nsid w:val="27245790"/>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6" w15:restartNumberingAfterBreak="0">
    <w:nsid w:val="27F81494"/>
    <w:multiLevelType w:val="hybridMultilevel"/>
    <w:tmpl w:val="365014E0"/>
    <w:lvl w:ilvl="0" w:tplc="04090017">
      <w:start w:val="1"/>
      <w:numFmt w:val="ideographLegalTraditional"/>
      <w:lvlText w:val="%1、"/>
      <w:lvlJc w:val="left"/>
      <w:pPr>
        <w:ind w:left="480" w:hanging="480"/>
      </w:pPr>
    </w:lvl>
    <w:lvl w:ilvl="1" w:tplc="224C2F04">
      <w:start w:val="1"/>
      <w:numFmt w:val="taiwaneseCountingThousand"/>
      <w:lvlText w:val="%2、"/>
      <w:lvlJc w:val="left"/>
      <w:pPr>
        <w:ind w:left="960" w:hanging="480"/>
      </w:pPr>
      <w:rPr>
        <w:rFonts w:ascii="Times New Roman" w:eastAsia="標楷體" w:hAnsi="Times New Roman" w:hint="default"/>
        <w:color w:val="auto"/>
        <w:sz w:val="28"/>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2A9F4917"/>
    <w:multiLevelType w:val="hybridMultilevel"/>
    <w:tmpl w:val="0674E050"/>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2B3A0456"/>
    <w:multiLevelType w:val="hybridMultilevel"/>
    <w:tmpl w:val="D56C38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2B5E63E7"/>
    <w:multiLevelType w:val="hybridMultilevel"/>
    <w:tmpl w:val="18E8C6BC"/>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2BF503CF"/>
    <w:multiLevelType w:val="multilevel"/>
    <w:tmpl w:val="D0F4D598"/>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sz w:val="28"/>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51" w15:restartNumberingAfterBreak="0">
    <w:nsid w:val="2C0D200B"/>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2" w15:restartNumberingAfterBreak="0">
    <w:nsid w:val="2D183626"/>
    <w:multiLevelType w:val="hybridMultilevel"/>
    <w:tmpl w:val="CB400758"/>
    <w:lvl w:ilvl="0" w:tplc="38F69126">
      <w:start w:val="1"/>
      <w:numFmt w:val="decimal"/>
      <w:lvlText w:val="%1."/>
      <w:lvlJc w:val="left"/>
      <w:pPr>
        <w:ind w:left="360" w:hanging="360"/>
      </w:pPr>
      <w:rPr>
        <w:rFonts w:hint="default"/>
        <w:b w:val="0"/>
        <w:bCs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2E146D06"/>
    <w:multiLevelType w:val="hybridMultilevel"/>
    <w:tmpl w:val="82A0CD42"/>
    <w:lvl w:ilvl="0" w:tplc="EE0859C2">
      <w:start w:val="1"/>
      <w:numFmt w:val="taiwaneseCountingThousand"/>
      <w:lvlText w:val="%1、"/>
      <w:lvlJc w:val="left"/>
      <w:pPr>
        <w:ind w:left="1287" w:hanging="480"/>
      </w:pPr>
      <w:rPr>
        <w:rFonts w:hint="eastAsia"/>
        <w:color w:val="auto"/>
      </w:rPr>
    </w:lvl>
    <w:lvl w:ilvl="1" w:tplc="04090019" w:tentative="1">
      <w:start w:val="1"/>
      <w:numFmt w:val="ideographTraditional"/>
      <w:lvlText w:val="%2、"/>
      <w:lvlJc w:val="left"/>
      <w:pPr>
        <w:ind w:left="1767" w:hanging="480"/>
      </w:pPr>
    </w:lvl>
    <w:lvl w:ilvl="2" w:tplc="0409001B">
      <w:start w:val="1"/>
      <w:numFmt w:val="lowerRoman"/>
      <w:lvlText w:val="%3."/>
      <w:lvlJc w:val="right"/>
      <w:pPr>
        <w:ind w:left="2247" w:hanging="480"/>
      </w:pPr>
    </w:lvl>
    <w:lvl w:ilvl="3" w:tplc="0409000F" w:tentative="1">
      <w:start w:val="1"/>
      <w:numFmt w:val="decimal"/>
      <w:lvlText w:val="%4."/>
      <w:lvlJc w:val="left"/>
      <w:pPr>
        <w:ind w:left="2727" w:hanging="480"/>
      </w:pPr>
    </w:lvl>
    <w:lvl w:ilvl="4" w:tplc="04090019" w:tentative="1">
      <w:start w:val="1"/>
      <w:numFmt w:val="ideographTraditional"/>
      <w:lvlText w:val="%5、"/>
      <w:lvlJc w:val="left"/>
      <w:pPr>
        <w:ind w:left="3207" w:hanging="480"/>
      </w:pPr>
    </w:lvl>
    <w:lvl w:ilvl="5" w:tplc="0409001B" w:tentative="1">
      <w:start w:val="1"/>
      <w:numFmt w:val="lowerRoman"/>
      <w:lvlText w:val="%6."/>
      <w:lvlJc w:val="right"/>
      <w:pPr>
        <w:ind w:left="3687" w:hanging="480"/>
      </w:pPr>
    </w:lvl>
    <w:lvl w:ilvl="6" w:tplc="0409000F" w:tentative="1">
      <w:start w:val="1"/>
      <w:numFmt w:val="decimal"/>
      <w:lvlText w:val="%7."/>
      <w:lvlJc w:val="left"/>
      <w:pPr>
        <w:ind w:left="4167" w:hanging="480"/>
      </w:pPr>
    </w:lvl>
    <w:lvl w:ilvl="7" w:tplc="04090019" w:tentative="1">
      <w:start w:val="1"/>
      <w:numFmt w:val="ideographTraditional"/>
      <w:lvlText w:val="%8、"/>
      <w:lvlJc w:val="left"/>
      <w:pPr>
        <w:ind w:left="4647" w:hanging="480"/>
      </w:pPr>
    </w:lvl>
    <w:lvl w:ilvl="8" w:tplc="0409001B" w:tentative="1">
      <w:start w:val="1"/>
      <w:numFmt w:val="lowerRoman"/>
      <w:lvlText w:val="%9."/>
      <w:lvlJc w:val="right"/>
      <w:pPr>
        <w:ind w:left="5127" w:hanging="480"/>
      </w:pPr>
    </w:lvl>
  </w:abstractNum>
  <w:abstractNum w:abstractNumId="54" w15:restartNumberingAfterBreak="0">
    <w:nsid w:val="2ECF72B4"/>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5" w15:restartNumberingAfterBreak="0">
    <w:nsid w:val="2F62718D"/>
    <w:multiLevelType w:val="hybridMultilevel"/>
    <w:tmpl w:val="EB9696F8"/>
    <w:lvl w:ilvl="0" w:tplc="83CA3FC8">
      <w:start w:val="1"/>
      <w:numFmt w:val="decimal"/>
      <w:lvlText w:val="(%1)"/>
      <w:lvlJc w:val="left"/>
      <w:pPr>
        <w:ind w:left="600" w:hanging="480"/>
      </w:pPr>
      <w:rPr>
        <w:rFonts w:cs="Times New Roman" w:hint="default"/>
        <w:u w:val="none"/>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56" w15:restartNumberingAfterBreak="0">
    <w:nsid w:val="2F9C370C"/>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57" w15:restartNumberingAfterBreak="0">
    <w:nsid w:val="31960C50"/>
    <w:multiLevelType w:val="hybridMultilevel"/>
    <w:tmpl w:val="28A805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325A7535"/>
    <w:multiLevelType w:val="hybridMultilevel"/>
    <w:tmpl w:val="4FE21910"/>
    <w:lvl w:ilvl="0" w:tplc="9A74D95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327873A0"/>
    <w:multiLevelType w:val="hybridMultilevel"/>
    <w:tmpl w:val="DD90904A"/>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327B6670"/>
    <w:multiLevelType w:val="hybridMultilevel"/>
    <w:tmpl w:val="443ABEC2"/>
    <w:lvl w:ilvl="0" w:tplc="C7EE764E">
      <w:start w:val="1"/>
      <w:numFmt w:val="decimal"/>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3298201F"/>
    <w:multiLevelType w:val="hybridMultilevel"/>
    <w:tmpl w:val="1B167EE6"/>
    <w:lvl w:ilvl="0" w:tplc="F4CE2E76">
      <w:start w:val="1"/>
      <w:numFmt w:val="decimal"/>
      <w:lvlText w:val="%1."/>
      <w:lvlJc w:val="left"/>
      <w:pPr>
        <w:ind w:left="1047" w:hanging="480"/>
      </w:pPr>
      <w:rPr>
        <w:rFonts w:ascii="Times New Roman" w:hAnsi="Times New Roman" w:cs="Times New Roman" w:hint="default"/>
        <w:color w:val="000000"/>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2" w15:restartNumberingAfterBreak="0">
    <w:nsid w:val="32F471D2"/>
    <w:multiLevelType w:val="hybridMultilevel"/>
    <w:tmpl w:val="CE3A3308"/>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33D40A4F"/>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4" w15:restartNumberingAfterBreak="0">
    <w:nsid w:val="3486458B"/>
    <w:multiLevelType w:val="hybridMultilevel"/>
    <w:tmpl w:val="6EF2A88A"/>
    <w:lvl w:ilvl="0" w:tplc="33E42EE0">
      <w:start w:val="1"/>
      <w:numFmt w:val="decimal"/>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35610A5E"/>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6" w15:restartNumberingAfterBreak="0">
    <w:nsid w:val="358A3336"/>
    <w:multiLevelType w:val="hybridMultilevel"/>
    <w:tmpl w:val="B7B41F2E"/>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359838F6"/>
    <w:multiLevelType w:val="hybridMultilevel"/>
    <w:tmpl w:val="D1D454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36E51DE6"/>
    <w:multiLevelType w:val="hybridMultilevel"/>
    <w:tmpl w:val="F9783D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37C83839"/>
    <w:multiLevelType w:val="multilevel"/>
    <w:tmpl w:val="2954E996"/>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rFonts w:cs="Times New Roman" w:hint="default"/>
        <w:sz w:val="28"/>
        <w:u w:val="none"/>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70" w15:restartNumberingAfterBreak="0">
    <w:nsid w:val="38317F1E"/>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1" w15:restartNumberingAfterBreak="0">
    <w:nsid w:val="39150A23"/>
    <w:multiLevelType w:val="hybridMultilevel"/>
    <w:tmpl w:val="12049B1C"/>
    <w:lvl w:ilvl="0" w:tplc="DAC8D3BC">
      <w:start w:val="6"/>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3B3342E4"/>
    <w:multiLevelType w:val="hybridMultilevel"/>
    <w:tmpl w:val="BAF24412"/>
    <w:lvl w:ilvl="0" w:tplc="28AEF4FE">
      <w:start w:val="1"/>
      <w:numFmt w:val="taiwaneseCountingThousand"/>
      <w:lvlText w:val="(%1)"/>
      <w:lvlJc w:val="left"/>
      <w:pPr>
        <w:ind w:left="480" w:hanging="480"/>
      </w:pPr>
      <w:rPr>
        <w:rFonts w:hint="eastAsia"/>
        <w:strike w:val="0"/>
        <w:color w:val="auto"/>
        <w:u w:color="FFFF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3C500DFF"/>
    <w:multiLevelType w:val="hybridMultilevel"/>
    <w:tmpl w:val="E012D31C"/>
    <w:lvl w:ilvl="0" w:tplc="FFFFFFFF">
      <w:start w:val="1"/>
      <w:numFmt w:val="taiwaneseCountingThousand"/>
      <w:lvlText w:val="(%1)"/>
      <w:lvlJc w:val="left"/>
      <w:pPr>
        <w:ind w:left="960" w:hanging="480"/>
      </w:pPr>
      <w:rPr>
        <w:rFonts w:ascii="Times New Roman" w:hAnsi="Times New Roman" w:cs="Times New Roman" w:hint="default"/>
        <w:b w:val="0"/>
      </w:rPr>
    </w:lvl>
    <w:lvl w:ilvl="1" w:tplc="FFFFFFFF" w:tentative="1">
      <w:start w:val="1"/>
      <w:numFmt w:val="ideographTraditional"/>
      <w:lvlText w:val="%2、"/>
      <w:lvlJc w:val="left"/>
      <w:pPr>
        <w:ind w:left="1922" w:hanging="480"/>
      </w:pPr>
    </w:lvl>
    <w:lvl w:ilvl="2" w:tplc="FFFFFFFF" w:tentative="1">
      <w:start w:val="1"/>
      <w:numFmt w:val="lowerRoman"/>
      <w:lvlText w:val="%3."/>
      <w:lvlJc w:val="right"/>
      <w:pPr>
        <w:ind w:left="2402" w:hanging="480"/>
      </w:pPr>
    </w:lvl>
    <w:lvl w:ilvl="3" w:tplc="FFFFFFFF" w:tentative="1">
      <w:start w:val="1"/>
      <w:numFmt w:val="decimal"/>
      <w:lvlText w:val="%4."/>
      <w:lvlJc w:val="left"/>
      <w:pPr>
        <w:ind w:left="2882" w:hanging="480"/>
      </w:pPr>
    </w:lvl>
    <w:lvl w:ilvl="4" w:tplc="FFFFFFFF" w:tentative="1">
      <w:start w:val="1"/>
      <w:numFmt w:val="ideographTraditional"/>
      <w:lvlText w:val="%5、"/>
      <w:lvlJc w:val="left"/>
      <w:pPr>
        <w:ind w:left="3362" w:hanging="480"/>
      </w:pPr>
    </w:lvl>
    <w:lvl w:ilvl="5" w:tplc="FFFFFFFF" w:tentative="1">
      <w:start w:val="1"/>
      <w:numFmt w:val="lowerRoman"/>
      <w:lvlText w:val="%6."/>
      <w:lvlJc w:val="right"/>
      <w:pPr>
        <w:ind w:left="3842" w:hanging="480"/>
      </w:pPr>
    </w:lvl>
    <w:lvl w:ilvl="6" w:tplc="FFFFFFFF" w:tentative="1">
      <w:start w:val="1"/>
      <w:numFmt w:val="decimal"/>
      <w:lvlText w:val="%7."/>
      <w:lvlJc w:val="left"/>
      <w:pPr>
        <w:ind w:left="4322" w:hanging="480"/>
      </w:pPr>
    </w:lvl>
    <w:lvl w:ilvl="7" w:tplc="FFFFFFFF" w:tentative="1">
      <w:start w:val="1"/>
      <w:numFmt w:val="ideographTraditional"/>
      <w:lvlText w:val="%8、"/>
      <w:lvlJc w:val="left"/>
      <w:pPr>
        <w:ind w:left="4802" w:hanging="480"/>
      </w:pPr>
    </w:lvl>
    <w:lvl w:ilvl="8" w:tplc="FFFFFFFF" w:tentative="1">
      <w:start w:val="1"/>
      <w:numFmt w:val="lowerRoman"/>
      <w:lvlText w:val="%9."/>
      <w:lvlJc w:val="right"/>
      <w:pPr>
        <w:ind w:left="5282" w:hanging="480"/>
      </w:pPr>
    </w:lvl>
  </w:abstractNum>
  <w:abstractNum w:abstractNumId="74" w15:restartNumberingAfterBreak="0">
    <w:nsid w:val="3D1E76CD"/>
    <w:multiLevelType w:val="multilevel"/>
    <w:tmpl w:val="D0F4D598"/>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sz w:val="28"/>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75" w15:restartNumberingAfterBreak="0">
    <w:nsid w:val="3DD37D59"/>
    <w:multiLevelType w:val="hybridMultilevel"/>
    <w:tmpl w:val="4C76E0A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3FD174FC"/>
    <w:multiLevelType w:val="hybridMultilevel"/>
    <w:tmpl w:val="F50EB52A"/>
    <w:lvl w:ilvl="0" w:tplc="7EBA2B92">
      <w:start w:val="1"/>
      <w:numFmt w:val="taiwaneseCountingThousand"/>
      <w:lvlText w:val="%1、"/>
      <w:lvlJc w:val="left"/>
      <w:pPr>
        <w:ind w:left="720" w:hanging="480"/>
      </w:pPr>
      <w:rPr>
        <w:rFonts w:hint="eastAsia"/>
        <w:lang w:val="en-US"/>
      </w:rPr>
    </w:lvl>
    <w:lvl w:ilvl="1" w:tplc="857A380C">
      <w:start w:val="1"/>
      <w:numFmt w:val="taiwaneseCountingThousand"/>
      <w:lvlText w:val="(%2)"/>
      <w:lvlJc w:val="left"/>
      <w:pPr>
        <w:ind w:left="1200" w:hanging="480"/>
      </w:pPr>
      <w:rPr>
        <w:rFonts w:hint="eastAsia"/>
        <w:strike w:val="0"/>
        <w:color w:val="auto"/>
        <w:u w:color="FFFFFF"/>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7" w15:restartNumberingAfterBreak="0">
    <w:nsid w:val="3FEB5F6D"/>
    <w:multiLevelType w:val="hybridMultilevel"/>
    <w:tmpl w:val="57665A7A"/>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78" w15:restartNumberingAfterBreak="0">
    <w:nsid w:val="40AB278B"/>
    <w:multiLevelType w:val="hybridMultilevel"/>
    <w:tmpl w:val="8BEA1DF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44704113"/>
    <w:multiLevelType w:val="hybridMultilevel"/>
    <w:tmpl w:val="FDA8DCD0"/>
    <w:lvl w:ilvl="0" w:tplc="91AC1324">
      <w:start w:val="1"/>
      <w:numFmt w:val="taiwaneseCountingThousand"/>
      <w:lvlText w:val="%1、"/>
      <w:lvlJc w:val="left"/>
      <w:pPr>
        <w:ind w:left="480" w:hanging="480"/>
      </w:pPr>
      <w:rPr>
        <w:rFonts w:ascii="標楷體" w:eastAsia="標楷體" w:hAnsi="標楷體" w:hint="eastAsia"/>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4589537F"/>
    <w:multiLevelType w:val="hybridMultilevel"/>
    <w:tmpl w:val="0CCC3BD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45DA0A65"/>
    <w:multiLevelType w:val="hybridMultilevel"/>
    <w:tmpl w:val="05E8F2A2"/>
    <w:lvl w:ilvl="0" w:tplc="28AEF4FE">
      <w:start w:val="1"/>
      <w:numFmt w:val="taiwaneseCountingThousand"/>
      <w:lvlText w:val="(%1)"/>
      <w:lvlJc w:val="left"/>
      <w:pPr>
        <w:ind w:left="1440" w:hanging="480"/>
      </w:pPr>
      <w:rPr>
        <w:rFonts w:hint="eastAsia"/>
        <w:strike w:val="0"/>
        <w:color w:val="auto"/>
        <w:u w:color="FFFFFF"/>
      </w:rPr>
    </w:lvl>
    <w:lvl w:ilvl="1" w:tplc="A87882C4">
      <w:start w:val="1"/>
      <w:numFmt w:val="decimal"/>
      <w:lvlText w:val="%2."/>
      <w:lvlJc w:val="left"/>
      <w:pPr>
        <w:ind w:left="1800" w:hanging="360"/>
      </w:pPr>
      <w:rPr>
        <w:rFonts w:hint="default"/>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2" w15:restartNumberingAfterBreak="0">
    <w:nsid w:val="46C35D78"/>
    <w:multiLevelType w:val="hybridMultilevel"/>
    <w:tmpl w:val="9DFEAB1C"/>
    <w:lvl w:ilvl="0" w:tplc="D10074FA">
      <w:start w:val="1"/>
      <w:numFmt w:val="ideographLegalTraditional"/>
      <w:lvlText w:val="%1、"/>
      <w:lvlJc w:val="left"/>
      <w:pPr>
        <w:ind w:left="480" w:hanging="480"/>
      </w:pPr>
      <w:rPr>
        <w:rFonts w:hint="eastAsia"/>
        <w:b w:val="0"/>
        <w:sz w:val="28"/>
        <w:szCs w:val="28"/>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482E6094"/>
    <w:multiLevelType w:val="hybridMultilevel"/>
    <w:tmpl w:val="BCBC0C80"/>
    <w:lvl w:ilvl="0" w:tplc="4E9E73FE">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15:restartNumberingAfterBreak="0">
    <w:nsid w:val="498B1C13"/>
    <w:multiLevelType w:val="hybridMultilevel"/>
    <w:tmpl w:val="BCBC0C80"/>
    <w:lvl w:ilvl="0" w:tplc="FFFFFFFF">
      <w:start w:val="1"/>
      <w:numFmt w:val="decimal"/>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85" w15:restartNumberingAfterBreak="0">
    <w:nsid w:val="49DB2B3A"/>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86" w15:restartNumberingAfterBreak="0">
    <w:nsid w:val="4B176480"/>
    <w:multiLevelType w:val="hybridMultilevel"/>
    <w:tmpl w:val="311085BC"/>
    <w:lvl w:ilvl="0" w:tplc="03808DF2">
      <w:start w:val="1"/>
      <w:numFmt w:val="decimal"/>
      <w:lvlText w:val="(%1)"/>
      <w:lvlJc w:val="left"/>
      <w:pPr>
        <w:ind w:left="1440" w:hanging="480"/>
      </w:pPr>
      <w:rPr>
        <w:rFonts w:cs="Times New Roman" w:hint="default"/>
        <w:strike w:val="0"/>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7" w15:restartNumberingAfterBreak="0">
    <w:nsid w:val="4CD71378"/>
    <w:multiLevelType w:val="hybridMultilevel"/>
    <w:tmpl w:val="9DF8A614"/>
    <w:lvl w:ilvl="0" w:tplc="75A23CA2">
      <w:start w:val="1"/>
      <w:numFmt w:val="taiwaneseCountingThousand"/>
      <w:pStyle w:val="30"/>
      <w:lvlText w:val="%1、"/>
      <w:lvlJc w:val="left"/>
      <w:pPr>
        <w:tabs>
          <w:tab w:val="num" w:pos="1080"/>
        </w:tabs>
        <w:ind w:left="340" w:hanging="340"/>
      </w:pPr>
      <w:rPr>
        <w:rFonts w:hint="eastAsia"/>
      </w:rPr>
    </w:lvl>
    <w:lvl w:ilvl="1" w:tplc="04090019">
      <w:start w:val="1"/>
      <w:numFmt w:val="taiwaneseCountingThousand"/>
      <w:pStyle w:val="a0"/>
      <w:lvlText w:val="(%2)"/>
      <w:lvlJc w:val="left"/>
      <w:pPr>
        <w:tabs>
          <w:tab w:val="num" w:pos="1365"/>
        </w:tabs>
        <w:ind w:left="1365" w:hanging="885"/>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8" w15:restartNumberingAfterBreak="0">
    <w:nsid w:val="4D463D6D"/>
    <w:multiLevelType w:val="hybridMultilevel"/>
    <w:tmpl w:val="61649FA6"/>
    <w:lvl w:ilvl="0" w:tplc="225EFB7E">
      <w:start w:val="6"/>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4DD4097E"/>
    <w:multiLevelType w:val="hybridMultilevel"/>
    <w:tmpl w:val="E9202AA4"/>
    <w:lvl w:ilvl="0" w:tplc="1FD6C99E">
      <w:start w:val="1"/>
      <w:numFmt w:val="decimal"/>
      <w:lvlText w:val="%1."/>
      <w:lvlJc w:val="left"/>
      <w:pPr>
        <w:ind w:left="1440" w:hanging="480"/>
      </w:pPr>
      <w:rPr>
        <w:rFonts w:ascii="Times New Roman" w:hAnsi="Times New Roman" w:cs="Times New Roman"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0" w15:restartNumberingAfterBreak="0">
    <w:nsid w:val="4F0D6021"/>
    <w:multiLevelType w:val="hybridMultilevel"/>
    <w:tmpl w:val="EAC4293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4F856CFA"/>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92" w15:restartNumberingAfterBreak="0">
    <w:nsid w:val="4FB35DD3"/>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3" w15:restartNumberingAfterBreak="0">
    <w:nsid w:val="50994ACB"/>
    <w:multiLevelType w:val="hybridMultilevel"/>
    <w:tmpl w:val="62DC249A"/>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4" w15:restartNumberingAfterBreak="0">
    <w:nsid w:val="51E92698"/>
    <w:multiLevelType w:val="hybridMultilevel"/>
    <w:tmpl w:val="97DC5FB4"/>
    <w:lvl w:ilvl="0" w:tplc="EC9E1382">
      <w:start w:val="1"/>
      <w:numFmt w:val="decimal"/>
      <w:lvlText w:val="%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5" w15:restartNumberingAfterBreak="0">
    <w:nsid w:val="523D24F8"/>
    <w:multiLevelType w:val="hybridMultilevel"/>
    <w:tmpl w:val="CC44E0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536A5419"/>
    <w:multiLevelType w:val="hybridMultilevel"/>
    <w:tmpl w:val="595CB916"/>
    <w:lvl w:ilvl="0" w:tplc="32FC4EEC">
      <w:start w:val="1"/>
      <w:numFmt w:val="taiwaneseCountingThousand"/>
      <w:lvlText w:val="%1、"/>
      <w:lvlJc w:val="left"/>
      <w:pPr>
        <w:tabs>
          <w:tab w:val="num" w:pos="465"/>
        </w:tabs>
        <w:ind w:left="465" w:hanging="465"/>
      </w:pPr>
      <w:rPr>
        <w:rFonts w:ascii="標楷體" w:eastAsia="標楷體" w:hint="eastAsia"/>
        <w:b w:val="0"/>
        <w:i w:val="0"/>
        <w:color w:val="auto"/>
        <w:sz w:val="28"/>
        <w:u w:val="none"/>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7" w15:restartNumberingAfterBreak="0">
    <w:nsid w:val="53CA25CC"/>
    <w:multiLevelType w:val="hybridMultilevel"/>
    <w:tmpl w:val="9564A412"/>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54662098"/>
    <w:multiLevelType w:val="hybridMultilevel"/>
    <w:tmpl w:val="55808690"/>
    <w:lvl w:ilvl="0" w:tplc="33D844F6">
      <w:start w:val="1"/>
      <w:numFmt w:val="decimal"/>
      <w:lvlText w:val="%1."/>
      <w:lvlJc w:val="left"/>
      <w:pPr>
        <w:ind w:left="1048" w:hanging="480"/>
      </w:pPr>
      <w:rPr>
        <w:rFonts w:ascii="Times New Roman" w:eastAsia="標楷體" w:hAnsi="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9" w15:restartNumberingAfterBreak="0">
    <w:nsid w:val="5476692D"/>
    <w:multiLevelType w:val="hybridMultilevel"/>
    <w:tmpl w:val="77F0963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547F5A54"/>
    <w:multiLevelType w:val="hybridMultilevel"/>
    <w:tmpl w:val="D3C6FB2C"/>
    <w:lvl w:ilvl="0" w:tplc="A93AACE8">
      <w:start w:val="1"/>
      <w:numFmt w:val="taiwaneseCountingThousand"/>
      <w:suff w:val="nothing"/>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4AA5742"/>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2" w15:restartNumberingAfterBreak="0">
    <w:nsid w:val="554167AD"/>
    <w:multiLevelType w:val="hybridMultilevel"/>
    <w:tmpl w:val="4C165C76"/>
    <w:lvl w:ilvl="0" w:tplc="50286218">
      <w:start w:val="1"/>
      <w:numFmt w:val="taiwaneseCountingThousand"/>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55D501DD"/>
    <w:multiLevelType w:val="hybridMultilevel"/>
    <w:tmpl w:val="476A0F64"/>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4" w15:restartNumberingAfterBreak="0">
    <w:nsid w:val="56467D1F"/>
    <w:multiLevelType w:val="hybridMultilevel"/>
    <w:tmpl w:val="C62865EC"/>
    <w:lvl w:ilvl="0" w:tplc="28AEF4FE">
      <w:start w:val="1"/>
      <w:numFmt w:val="taiwaneseCountingThousand"/>
      <w:lvlText w:val="(%1)"/>
      <w:lvlJc w:val="left"/>
      <w:pPr>
        <w:ind w:left="1287" w:hanging="480"/>
      </w:pPr>
      <w:rPr>
        <w:rFonts w:hint="eastAsia"/>
        <w:strike w:val="0"/>
        <w:color w:val="auto"/>
        <w:u w:color="FFFFFF"/>
      </w:rPr>
    </w:lvl>
    <w:lvl w:ilvl="1" w:tplc="20A82CBA">
      <w:start w:val="1"/>
      <w:numFmt w:val="decimal"/>
      <w:lvlText w:val="%2."/>
      <w:lvlJc w:val="left"/>
      <w:pPr>
        <w:ind w:left="1767" w:hanging="480"/>
      </w:pPr>
      <w:rPr>
        <w:rFonts w:hint="eastAsia"/>
      </w:rPr>
    </w:lvl>
    <w:lvl w:ilvl="2" w:tplc="1A56C7BA">
      <w:start w:val="1"/>
      <w:numFmt w:val="decimal"/>
      <w:lvlText w:val="(%3)"/>
      <w:lvlJc w:val="left"/>
      <w:pPr>
        <w:ind w:left="2247" w:hanging="480"/>
      </w:pPr>
      <w:rPr>
        <w:rFonts w:hint="default"/>
      </w:rPr>
    </w:lvl>
    <w:lvl w:ilvl="3" w:tplc="0409000F" w:tentative="1">
      <w:start w:val="1"/>
      <w:numFmt w:val="decimal"/>
      <w:lvlText w:val="%4."/>
      <w:lvlJc w:val="left"/>
      <w:pPr>
        <w:ind w:left="2727" w:hanging="480"/>
      </w:pPr>
    </w:lvl>
    <w:lvl w:ilvl="4" w:tplc="04090019" w:tentative="1">
      <w:start w:val="1"/>
      <w:numFmt w:val="ideographTraditional"/>
      <w:lvlText w:val="%5、"/>
      <w:lvlJc w:val="left"/>
      <w:pPr>
        <w:ind w:left="3207" w:hanging="480"/>
      </w:pPr>
    </w:lvl>
    <w:lvl w:ilvl="5" w:tplc="0409001B" w:tentative="1">
      <w:start w:val="1"/>
      <w:numFmt w:val="lowerRoman"/>
      <w:lvlText w:val="%6."/>
      <w:lvlJc w:val="right"/>
      <w:pPr>
        <w:ind w:left="3687" w:hanging="480"/>
      </w:pPr>
    </w:lvl>
    <w:lvl w:ilvl="6" w:tplc="0409000F" w:tentative="1">
      <w:start w:val="1"/>
      <w:numFmt w:val="decimal"/>
      <w:lvlText w:val="%7."/>
      <w:lvlJc w:val="left"/>
      <w:pPr>
        <w:ind w:left="4167" w:hanging="480"/>
      </w:pPr>
    </w:lvl>
    <w:lvl w:ilvl="7" w:tplc="04090019" w:tentative="1">
      <w:start w:val="1"/>
      <w:numFmt w:val="ideographTraditional"/>
      <w:lvlText w:val="%8、"/>
      <w:lvlJc w:val="left"/>
      <w:pPr>
        <w:ind w:left="4647" w:hanging="480"/>
      </w:pPr>
    </w:lvl>
    <w:lvl w:ilvl="8" w:tplc="0409001B" w:tentative="1">
      <w:start w:val="1"/>
      <w:numFmt w:val="lowerRoman"/>
      <w:lvlText w:val="%9."/>
      <w:lvlJc w:val="right"/>
      <w:pPr>
        <w:ind w:left="5127" w:hanging="480"/>
      </w:pPr>
    </w:lvl>
  </w:abstractNum>
  <w:abstractNum w:abstractNumId="105" w15:restartNumberingAfterBreak="0">
    <w:nsid w:val="57523346"/>
    <w:multiLevelType w:val="hybridMultilevel"/>
    <w:tmpl w:val="673E1402"/>
    <w:lvl w:ilvl="0" w:tplc="119AB6CC">
      <w:start w:val="1"/>
      <w:numFmt w:val="taiwaneseCountingThousand"/>
      <w:lvlText w:val="%1、"/>
      <w:lvlJc w:val="left"/>
      <w:pPr>
        <w:ind w:left="480" w:hanging="480"/>
      </w:pPr>
      <w:rPr>
        <w:rFonts w:hint="eastAsia"/>
        <w:b w:val="0"/>
        <w:bCs/>
        <w:i w:val="0"/>
        <w:sz w:val="28"/>
        <w:u w:val="none"/>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579412E3"/>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7" w15:restartNumberingAfterBreak="0">
    <w:nsid w:val="57AC3005"/>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8" w15:restartNumberingAfterBreak="0">
    <w:nsid w:val="57B33946"/>
    <w:multiLevelType w:val="hybridMultilevel"/>
    <w:tmpl w:val="FE42F88C"/>
    <w:lvl w:ilvl="0" w:tplc="C952F432">
      <w:start w:val="1"/>
      <w:numFmt w:val="decimal"/>
      <w:lvlText w:val="%1."/>
      <w:lvlJc w:val="left"/>
      <w:pPr>
        <w:ind w:left="480" w:hanging="480"/>
      </w:pPr>
      <w:rPr>
        <w:color w:val="000000"/>
        <w:sz w:val="24"/>
      </w:rPr>
    </w:lvl>
    <w:lvl w:ilvl="1" w:tplc="1D3874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591D6EB9"/>
    <w:multiLevelType w:val="hybridMultilevel"/>
    <w:tmpl w:val="F8B2899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59414E4F"/>
    <w:multiLevelType w:val="hybridMultilevel"/>
    <w:tmpl w:val="F9783D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596B31D8"/>
    <w:multiLevelType w:val="hybridMultilevel"/>
    <w:tmpl w:val="E3F269E6"/>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5AE145CC"/>
    <w:multiLevelType w:val="hybridMultilevel"/>
    <w:tmpl w:val="C0368A6E"/>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13" w15:restartNumberingAfterBreak="0">
    <w:nsid w:val="5B505439"/>
    <w:multiLevelType w:val="hybridMultilevel"/>
    <w:tmpl w:val="952E801C"/>
    <w:lvl w:ilvl="0" w:tplc="595441BA">
      <w:start w:val="1"/>
      <w:numFmt w:val="taiwaneseCountingThousand"/>
      <w:lvlText w:val="(%1)"/>
      <w:lvlJc w:val="left"/>
      <w:pPr>
        <w:ind w:left="1197" w:hanging="480"/>
      </w:pPr>
      <w:rPr>
        <w:rFonts w:ascii="Times New Roman" w:hAnsi="Times New Roman" w:cs="Times New Roman" w:hint="default"/>
        <w:b/>
        <w:bCs/>
        <w:strike w:val="0"/>
        <w:color w:val="auto"/>
        <w:u w:val="none" w:color="FFFFFF"/>
      </w:rPr>
    </w:lvl>
    <w:lvl w:ilvl="1" w:tplc="04090019" w:tentative="1">
      <w:start w:val="1"/>
      <w:numFmt w:val="ideographTraditional"/>
      <w:lvlText w:val="%2、"/>
      <w:lvlJc w:val="left"/>
      <w:pPr>
        <w:ind w:left="1677" w:hanging="480"/>
      </w:pPr>
    </w:lvl>
    <w:lvl w:ilvl="2" w:tplc="0409001B" w:tentative="1">
      <w:start w:val="1"/>
      <w:numFmt w:val="lowerRoman"/>
      <w:lvlText w:val="%3."/>
      <w:lvlJc w:val="right"/>
      <w:pPr>
        <w:ind w:left="2157" w:hanging="480"/>
      </w:pPr>
    </w:lvl>
    <w:lvl w:ilvl="3" w:tplc="0409000F" w:tentative="1">
      <w:start w:val="1"/>
      <w:numFmt w:val="decimal"/>
      <w:lvlText w:val="%4."/>
      <w:lvlJc w:val="left"/>
      <w:pPr>
        <w:ind w:left="2637" w:hanging="480"/>
      </w:pPr>
    </w:lvl>
    <w:lvl w:ilvl="4" w:tplc="04090019" w:tentative="1">
      <w:start w:val="1"/>
      <w:numFmt w:val="ideographTraditional"/>
      <w:lvlText w:val="%5、"/>
      <w:lvlJc w:val="left"/>
      <w:pPr>
        <w:ind w:left="3117" w:hanging="480"/>
      </w:pPr>
    </w:lvl>
    <w:lvl w:ilvl="5" w:tplc="0409001B" w:tentative="1">
      <w:start w:val="1"/>
      <w:numFmt w:val="lowerRoman"/>
      <w:lvlText w:val="%6."/>
      <w:lvlJc w:val="right"/>
      <w:pPr>
        <w:ind w:left="3597" w:hanging="480"/>
      </w:pPr>
    </w:lvl>
    <w:lvl w:ilvl="6" w:tplc="0409000F" w:tentative="1">
      <w:start w:val="1"/>
      <w:numFmt w:val="decimal"/>
      <w:lvlText w:val="%7."/>
      <w:lvlJc w:val="left"/>
      <w:pPr>
        <w:ind w:left="4077" w:hanging="480"/>
      </w:pPr>
    </w:lvl>
    <w:lvl w:ilvl="7" w:tplc="04090019" w:tentative="1">
      <w:start w:val="1"/>
      <w:numFmt w:val="ideographTraditional"/>
      <w:lvlText w:val="%8、"/>
      <w:lvlJc w:val="left"/>
      <w:pPr>
        <w:ind w:left="4557" w:hanging="480"/>
      </w:pPr>
    </w:lvl>
    <w:lvl w:ilvl="8" w:tplc="0409001B" w:tentative="1">
      <w:start w:val="1"/>
      <w:numFmt w:val="lowerRoman"/>
      <w:lvlText w:val="%9."/>
      <w:lvlJc w:val="right"/>
      <w:pPr>
        <w:ind w:left="5037" w:hanging="480"/>
      </w:pPr>
    </w:lvl>
  </w:abstractNum>
  <w:abstractNum w:abstractNumId="114" w15:restartNumberingAfterBreak="0">
    <w:nsid w:val="5BC56C62"/>
    <w:multiLevelType w:val="hybridMultilevel"/>
    <w:tmpl w:val="E70A0FF4"/>
    <w:lvl w:ilvl="0" w:tplc="AADA223E">
      <w:start w:val="1"/>
      <w:numFmt w:val="decimal"/>
      <w:lvlText w:val="%1."/>
      <w:lvlJc w:val="left"/>
      <w:pPr>
        <w:ind w:left="480" w:hanging="480"/>
      </w:pPr>
      <w:rPr>
        <w:color w:val="000000"/>
        <w:sz w:val="24"/>
        <w:szCs w:val="24"/>
      </w:rPr>
    </w:lvl>
    <w:lvl w:ilvl="1" w:tplc="4536BBA0">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5C127AFB"/>
    <w:multiLevelType w:val="hybridMultilevel"/>
    <w:tmpl w:val="A232036A"/>
    <w:lvl w:ilvl="0" w:tplc="656C448E">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6" w15:restartNumberingAfterBreak="0">
    <w:nsid w:val="5C2D7475"/>
    <w:multiLevelType w:val="hybridMultilevel"/>
    <w:tmpl w:val="2C900018"/>
    <w:lvl w:ilvl="0" w:tplc="746A7792">
      <w:start w:val="5"/>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15:restartNumberingAfterBreak="0">
    <w:nsid w:val="5D1A077B"/>
    <w:multiLevelType w:val="hybridMultilevel"/>
    <w:tmpl w:val="7236DEA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15:restartNumberingAfterBreak="0">
    <w:nsid w:val="5DA302A3"/>
    <w:multiLevelType w:val="hybridMultilevel"/>
    <w:tmpl w:val="CC44E0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9" w15:restartNumberingAfterBreak="0">
    <w:nsid w:val="5E9534BB"/>
    <w:multiLevelType w:val="hybridMultilevel"/>
    <w:tmpl w:val="4932657A"/>
    <w:lvl w:ilvl="0" w:tplc="83CA3FC8">
      <w:start w:val="1"/>
      <w:numFmt w:val="decimal"/>
      <w:lvlText w:val="(%1)"/>
      <w:lvlJc w:val="left"/>
      <w:pPr>
        <w:ind w:left="408" w:hanging="480"/>
      </w:pPr>
      <w:rPr>
        <w:rFonts w:cs="Times New Roman" w:hint="default"/>
        <w:u w:val="none"/>
      </w:rPr>
    </w:lvl>
    <w:lvl w:ilvl="1" w:tplc="04090019" w:tentative="1">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20" w15:restartNumberingAfterBreak="0">
    <w:nsid w:val="60531860"/>
    <w:multiLevelType w:val="hybridMultilevel"/>
    <w:tmpl w:val="89B8C9DC"/>
    <w:lvl w:ilvl="0" w:tplc="83CA3FC8">
      <w:start w:val="1"/>
      <w:numFmt w:val="decimal"/>
      <w:lvlText w:val="(%1)"/>
      <w:lvlJc w:val="left"/>
      <w:pPr>
        <w:ind w:left="600" w:hanging="480"/>
      </w:pPr>
      <w:rPr>
        <w:rFonts w:cs="Times New Roman" w:hint="default"/>
        <w:u w:val="none"/>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21" w15:restartNumberingAfterBreak="0">
    <w:nsid w:val="60C82F56"/>
    <w:multiLevelType w:val="hybridMultilevel"/>
    <w:tmpl w:val="66123BC6"/>
    <w:lvl w:ilvl="0" w:tplc="119AB6CC">
      <w:start w:val="1"/>
      <w:numFmt w:val="taiwaneseCountingThousand"/>
      <w:lvlText w:val="%1、"/>
      <w:lvlJc w:val="left"/>
      <w:pPr>
        <w:ind w:left="480" w:hanging="480"/>
      </w:pPr>
      <w:rPr>
        <w:rFonts w:hint="eastAsia"/>
        <w:b w:val="0"/>
        <w:bCs/>
        <w:i w:val="0"/>
        <w:sz w:val="28"/>
        <w:u w:val="none"/>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2" w15:restartNumberingAfterBreak="0">
    <w:nsid w:val="619A0C72"/>
    <w:multiLevelType w:val="hybridMultilevel"/>
    <w:tmpl w:val="5E7C3DDA"/>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3" w15:restartNumberingAfterBreak="0">
    <w:nsid w:val="61A130A8"/>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4" w15:restartNumberingAfterBreak="0">
    <w:nsid w:val="62FA63DB"/>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5" w15:restartNumberingAfterBreak="0">
    <w:nsid w:val="631D13D4"/>
    <w:multiLevelType w:val="hybridMultilevel"/>
    <w:tmpl w:val="A6FCC3F0"/>
    <w:lvl w:ilvl="0" w:tplc="50286218">
      <w:start w:val="1"/>
      <w:numFmt w:val="taiwaneseCountingThousand"/>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6" w15:restartNumberingAfterBreak="0">
    <w:nsid w:val="63CE265B"/>
    <w:multiLevelType w:val="hybridMultilevel"/>
    <w:tmpl w:val="7A3EF7BC"/>
    <w:lvl w:ilvl="0" w:tplc="20A82C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7" w15:restartNumberingAfterBreak="0">
    <w:nsid w:val="641420F9"/>
    <w:multiLevelType w:val="hybridMultilevel"/>
    <w:tmpl w:val="25DE1DD0"/>
    <w:lvl w:ilvl="0" w:tplc="04090015">
      <w:start w:val="1"/>
      <w:numFmt w:val="taiwaneseCountingThousand"/>
      <w:lvlText w:val="%1、"/>
      <w:lvlJc w:val="left"/>
      <w:pPr>
        <w:ind w:left="480" w:hanging="480"/>
      </w:pPr>
    </w:lvl>
    <w:lvl w:ilvl="1" w:tplc="367204C2">
      <w:start w:val="1"/>
      <w:numFmt w:val="ideographLegalTraditional"/>
      <w:lvlText w:val="%2、"/>
      <w:lvlJc w:val="left"/>
      <w:pPr>
        <w:ind w:left="1200" w:hanging="720"/>
      </w:pPr>
      <w:rPr>
        <w:rFonts w:hint="default"/>
        <w:b/>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8" w15:restartNumberingAfterBreak="0">
    <w:nsid w:val="643D438E"/>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129" w15:restartNumberingAfterBreak="0">
    <w:nsid w:val="645C79E8"/>
    <w:multiLevelType w:val="hybridMultilevel"/>
    <w:tmpl w:val="278C8AD4"/>
    <w:lvl w:ilvl="0" w:tplc="4A2CE0D0">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0" w15:restartNumberingAfterBreak="0">
    <w:nsid w:val="65F1111D"/>
    <w:multiLevelType w:val="hybridMultilevel"/>
    <w:tmpl w:val="D8DC3336"/>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1" w15:restartNumberingAfterBreak="0">
    <w:nsid w:val="67516690"/>
    <w:multiLevelType w:val="hybridMultilevel"/>
    <w:tmpl w:val="EAC4293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2" w15:restartNumberingAfterBreak="0">
    <w:nsid w:val="68764900"/>
    <w:multiLevelType w:val="hybridMultilevel"/>
    <w:tmpl w:val="DB8AE636"/>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6980258C"/>
    <w:multiLevelType w:val="hybridMultilevel"/>
    <w:tmpl w:val="7C7C10D8"/>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4" w15:restartNumberingAfterBreak="0">
    <w:nsid w:val="69DE2850"/>
    <w:multiLevelType w:val="hybridMultilevel"/>
    <w:tmpl w:val="58E83810"/>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5" w15:restartNumberingAfterBreak="0">
    <w:nsid w:val="6A9B10F3"/>
    <w:multiLevelType w:val="hybridMultilevel"/>
    <w:tmpl w:val="59E63AD2"/>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6BC82CD3"/>
    <w:multiLevelType w:val="hybridMultilevel"/>
    <w:tmpl w:val="673E1402"/>
    <w:lvl w:ilvl="0" w:tplc="FFFFFFFF">
      <w:start w:val="1"/>
      <w:numFmt w:val="taiwaneseCountingThousand"/>
      <w:lvlText w:val="%1、"/>
      <w:lvlJc w:val="left"/>
      <w:pPr>
        <w:ind w:left="480" w:hanging="480"/>
      </w:pPr>
      <w:rPr>
        <w:rFonts w:hint="eastAsia"/>
        <w:b w:val="0"/>
        <w:bCs/>
        <w:i w:val="0"/>
        <w:sz w:val="28"/>
        <w:u w:val="none"/>
        <w:lang w:val="en-US"/>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7" w15:restartNumberingAfterBreak="0">
    <w:nsid w:val="6C926233"/>
    <w:multiLevelType w:val="hybridMultilevel"/>
    <w:tmpl w:val="37AAE9F0"/>
    <w:lvl w:ilvl="0" w:tplc="31946CF0">
      <w:start w:val="1"/>
      <w:numFmt w:val="decimal"/>
      <w:lvlText w:val="(%1)"/>
      <w:lvlJc w:val="left"/>
      <w:pPr>
        <w:ind w:left="480" w:hanging="480"/>
      </w:pPr>
      <w:rPr>
        <w:rFonts w:cs="Times New Roman" w:hint="default"/>
        <w:b w:val="0"/>
        <w:u w:val="none"/>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8" w15:restartNumberingAfterBreak="0">
    <w:nsid w:val="6D3D00B0"/>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9" w15:restartNumberingAfterBreak="0">
    <w:nsid w:val="6D5F1493"/>
    <w:multiLevelType w:val="hybridMultilevel"/>
    <w:tmpl w:val="4C76E0A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0" w15:restartNumberingAfterBreak="0">
    <w:nsid w:val="6D85663E"/>
    <w:multiLevelType w:val="hybridMultilevel"/>
    <w:tmpl w:val="F274DF16"/>
    <w:lvl w:ilvl="0" w:tplc="6402FF44">
      <w:start w:val="1"/>
      <w:numFmt w:val="decimal"/>
      <w:lvlText w:val="%1."/>
      <w:lvlJc w:val="left"/>
      <w:pPr>
        <w:ind w:left="480" w:hanging="480"/>
      </w:pPr>
      <w:rPr>
        <w:sz w:val="24"/>
        <w:szCs w:val="24"/>
      </w:rPr>
    </w:lvl>
    <w:lvl w:ilvl="1" w:tplc="DD4C4E28">
      <w:start w:val="4"/>
      <w:numFmt w:val="ideographLegalTraditional"/>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1" w15:restartNumberingAfterBreak="0">
    <w:nsid w:val="6E3C34E5"/>
    <w:multiLevelType w:val="hybridMultilevel"/>
    <w:tmpl w:val="FD28AA54"/>
    <w:lvl w:ilvl="0" w:tplc="F732C9AC">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2" w15:restartNumberingAfterBreak="0">
    <w:nsid w:val="6F5D169E"/>
    <w:multiLevelType w:val="hybridMultilevel"/>
    <w:tmpl w:val="904C58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3" w15:restartNumberingAfterBreak="0">
    <w:nsid w:val="70E710FD"/>
    <w:multiLevelType w:val="hybridMultilevel"/>
    <w:tmpl w:val="BF280F92"/>
    <w:lvl w:ilvl="0" w:tplc="83CA3FC8">
      <w:start w:val="1"/>
      <w:numFmt w:val="decimal"/>
      <w:lvlText w:val="(%1)"/>
      <w:lvlJc w:val="left"/>
      <w:pPr>
        <w:ind w:left="480" w:hanging="480"/>
      </w:pPr>
      <w:rPr>
        <w:rFonts w:cs="Times New Roman"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4" w15:restartNumberingAfterBreak="0">
    <w:nsid w:val="71035573"/>
    <w:multiLevelType w:val="hybridMultilevel"/>
    <w:tmpl w:val="31C4BD50"/>
    <w:lvl w:ilvl="0" w:tplc="B2969C98">
      <w:start w:val="1"/>
      <w:numFmt w:val="decimal"/>
      <w:lvlText w:val="%1."/>
      <w:lvlJc w:val="left"/>
      <w:pPr>
        <w:tabs>
          <w:tab w:val="num" w:pos="360"/>
        </w:tabs>
        <w:ind w:left="360" w:hanging="360"/>
      </w:pPr>
      <w:rPr>
        <w:rFonts w:hint="eastAsia"/>
      </w:rPr>
    </w:lvl>
    <w:lvl w:ilvl="1" w:tplc="119AB6CC">
      <w:start w:val="1"/>
      <w:numFmt w:val="taiwaneseCountingThousand"/>
      <w:lvlText w:val="%2、"/>
      <w:lvlJc w:val="left"/>
      <w:pPr>
        <w:tabs>
          <w:tab w:val="num" w:pos="749"/>
        </w:tabs>
        <w:ind w:left="749" w:hanging="465"/>
      </w:pPr>
      <w:rPr>
        <w:rFonts w:hint="eastAsia"/>
        <w:b w:val="0"/>
        <w:bCs/>
        <w:i w:val="0"/>
        <w:sz w:val="28"/>
        <w:u w:val="none"/>
        <w:lang w:val="en-US"/>
      </w:rPr>
    </w:lvl>
    <w:lvl w:ilvl="2" w:tplc="50286218">
      <w:start w:val="1"/>
      <w:numFmt w:val="taiwaneseCountingThousand"/>
      <w:lvlText w:val="(%3)"/>
      <w:lvlJc w:val="left"/>
      <w:pPr>
        <w:tabs>
          <w:tab w:val="num" w:pos="1470"/>
        </w:tabs>
        <w:ind w:left="1470" w:hanging="510"/>
      </w:pPr>
      <w:rPr>
        <w:rFonts w:ascii="Times New Roman" w:hAnsi="Times New Roman" w:cs="Times New Roman" w:hint="default"/>
        <w:b w:val="0"/>
      </w:r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5" w15:restartNumberingAfterBreak="0">
    <w:nsid w:val="72BB392A"/>
    <w:multiLevelType w:val="hybridMultilevel"/>
    <w:tmpl w:val="A73C3AF0"/>
    <w:lvl w:ilvl="0" w:tplc="F732C9AC">
      <w:start w:val="1"/>
      <w:numFmt w:val="taiwaneseCountingThousand"/>
      <w:lvlText w:val="%1、"/>
      <w:lvlJc w:val="left"/>
      <w:pPr>
        <w:ind w:left="480" w:hanging="480"/>
      </w:pPr>
      <w:rPr>
        <w:rFonts w:hint="eastAsia"/>
      </w:rPr>
    </w:lvl>
    <w:lvl w:ilvl="1" w:tplc="9C90EE5E">
      <w:start w:val="1"/>
      <w:numFmt w:val="taiwaneseCountingThousand"/>
      <w:lvlText w:val="(%2)"/>
      <w:lvlJc w:val="left"/>
      <w:pPr>
        <w:ind w:left="960" w:hanging="480"/>
      </w:pPr>
      <w:rPr>
        <w:rFonts w:ascii="Times New Roman" w:hAnsi="Times New Roman" w:cs="Times New Roman" w:hint="default"/>
        <w:strike w:val="0"/>
        <w:color w:val="auto"/>
        <w:u w:color="FFFFFF"/>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6" w15:restartNumberingAfterBreak="0">
    <w:nsid w:val="739020A5"/>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7" w15:restartNumberingAfterBreak="0">
    <w:nsid w:val="74CC176B"/>
    <w:multiLevelType w:val="singleLevel"/>
    <w:tmpl w:val="36E2E704"/>
    <w:lvl w:ilvl="0">
      <w:start w:val="1"/>
      <w:numFmt w:val="bullet"/>
      <w:pStyle w:val="a1"/>
      <w:lvlText w:val=""/>
      <w:lvlJc w:val="left"/>
      <w:pPr>
        <w:tabs>
          <w:tab w:val="num" w:pos="624"/>
        </w:tabs>
        <w:ind w:left="624" w:hanging="624"/>
      </w:pPr>
      <w:rPr>
        <w:rFonts w:ascii="Wingdings" w:eastAsia="新細明體" w:hAnsi="Wingdings" w:hint="default"/>
        <w:sz w:val="16"/>
      </w:rPr>
    </w:lvl>
  </w:abstractNum>
  <w:abstractNum w:abstractNumId="148" w15:restartNumberingAfterBreak="0">
    <w:nsid w:val="74D27EAC"/>
    <w:multiLevelType w:val="hybridMultilevel"/>
    <w:tmpl w:val="D81663FE"/>
    <w:lvl w:ilvl="0" w:tplc="83CA3FC8">
      <w:start w:val="1"/>
      <w:numFmt w:val="decimal"/>
      <w:lvlText w:val="(%1)"/>
      <w:lvlJc w:val="left"/>
      <w:pPr>
        <w:ind w:left="1200" w:hanging="480"/>
      </w:pPr>
      <w:rPr>
        <w:rFonts w:cs="Times New Roman" w:hint="default"/>
        <w:u w:val="none"/>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9" w15:restartNumberingAfterBreak="0">
    <w:nsid w:val="756B587E"/>
    <w:multiLevelType w:val="hybridMultilevel"/>
    <w:tmpl w:val="55808690"/>
    <w:lvl w:ilvl="0" w:tplc="33D844F6">
      <w:start w:val="1"/>
      <w:numFmt w:val="decimal"/>
      <w:lvlText w:val="%1."/>
      <w:lvlJc w:val="left"/>
      <w:pPr>
        <w:ind w:left="1048" w:hanging="480"/>
      </w:pPr>
      <w:rPr>
        <w:rFonts w:ascii="Times New Roman" w:eastAsia="標楷體" w:hAnsi="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0" w15:restartNumberingAfterBreak="0">
    <w:nsid w:val="76334EF4"/>
    <w:multiLevelType w:val="hybridMultilevel"/>
    <w:tmpl w:val="166804E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1" w15:restartNumberingAfterBreak="0">
    <w:nsid w:val="769805E9"/>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2" w15:restartNumberingAfterBreak="0">
    <w:nsid w:val="76C247C0"/>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3" w15:restartNumberingAfterBreak="0">
    <w:nsid w:val="77507E58"/>
    <w:multiLevelType w:val="hybridMultilevel"/>
    <w:tmpl w:val="7118281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4" w15:restartNumberingAfterBreak="0">
    <w:nsid w:val="77584043"/>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55" w15:restartNumberingAfterBreak="0">
    <w:nsid w:val="78C74BBE"/>
    <w:multiLevelType w:val="hybridMultilevel"/>
    <w:tmpl w:val="9F9E1E76"/>
    <w:lvl w:ilvl="0" w:tplc="6688F5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6" w15:restartNumberingAfterBreak="0">
    <w:nsid w:val="79E05592"/>
    <w:multiLevelType w:val="hybridMultilevel"/>
    <w:tmpl w:val="77F0963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7A891F6D"/>
    <w:multiLevelType w:val="hybridMultilevel"/>
    <w:tmpl w:val="509CBFB4"/>
    <w:lvl w:ilvl="0" w:tplc="F1B07F92">
      <w:start w:val="1"/>
      <w:numFmt w:val="ideographLegalTraditional"/>
      <w:lvlText w:val="%1、"/>
      <w:lvlJc w:val="left"/>
      <w:pPr>
        <w:tabs>
          <w:tab w:val="num" w:pos="720"/>
        </w:tabs>
        <w:ind w:left="720" w:hanging="720"/>
      </w:pPr>
      <w:rPr>
        <w:rFonts w:hint="eastAsia"/>
        <w:b/>
        <w:sz w:val="32"/>
        <w:szCs w:val="32"/>
        <w:lang w:val="en-US"/>
      </w:rPr>
    </w:lvl>
    <w:lvl w:ilvl="1" w:tplc="6562E444">
      <w:start w:val="1"/>
      <w:numFmt w:val="taiwaneseCountingThousand"/>
      <w:lvlText w:val="(%2)"/>
      <w:lvlJc w:val="left"/>
      <w:pPr>
        <w:tabs>
          <w:tab w:val="num" w:pos="840"/>
        </w:tabs>
        <w:ind w:left="840" w:hanging="360"/>
      </w:pPr>
      <w:rPr>
        <w:rFonts w:ascii="Times New Roman" w:hAnsi="Times New Roman" w:cs="Times New Roman" w:hint="default"/>
        <w:b w:val="0"/>
      </w:rPr>
    </w:lvl>
    <w:lvl w:ilvl="2" w:tplc="32344F80">
      <w:start w:val="1"/>
      <w:numFmt w:val="taiwaneseCountingThousand"/>
      <w:lvlText w:val="%3、"/>
      <w:lvlJc w:val="left"/>
      <w:pPr>
        <w:ind w:left="1680" w:hanging="720"/>
      </w:pPr>
      <w:rPr>
        <w:rFonts w:hint="default"/>
        <w:color w:val="auto"/>
        <w:sz w:val="32"/>
      </w:rPr>
    </w:lvl>
    <w:lvl w:ilvl="3" w:tplc="D79ADA94">
      <w:start w:val="1"/>
      <w:numFmt w:val="upperLetter"/>
      <w:lvlText w:val="%4."/>
      <w:lvlJc w:val="left"/>
      <w:pPr>
        <w:ind w:left="1800" w:hanging="360"/>
      </w:pPr>
      <w:rPr>
        <w:rFonts w:hint="default"/>
        <w:b w:val="0"/>
        <w:color w:val="auto"/>
        <w:sz w:val="28"/>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8" w15:restartNumberingAfterBreak="0">
    <w:nsid w:val="7AC6600D"/>
    <w:multiLevelType w:val="hybridMultilevel"/>
    <w:tmpl w:val="61848EB8"/>
    <w:lvl w:ilvl="0" w:tplc="119AB6CC">
      <w:start w:val="1"/>
      <w:numFmt w:val="taiwaneseCountingThousand"/>
      <w:lvlText w:val="%1、"/>
      <w:lvlJc w:val="left"/>
      <w:pPr>
        <w:tabs>
          <w:tab w:val="num" w:pos="749"/>
        </w:tabs>
        <w:ind w:left="749" w:hanging="465"/>
      </w:pPr>
      <w:rPr>
        <w:rFonts w:hint="eastAsia"/>
        <w:b w:val="0"/>
        <w:bCs/>
        <w:i w:val="0"/>
        <w:sz w:val="28"/>
        <w:u w:val="non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9" w15:restartNumberingAfterBreak="0">
    <w:nsid w:val="7B276A21"/>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160" w15:restartNumberingAfterBreak="0">
    <w:nsid w:val="7DF74C29"/>
    <w:multiLevelType w:val="hybridMultilevel"/>
    <w:tmpl w:val="067C310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1" w15:restartNumberingAfterBreak="0">
    <w:nsid w:val="7FAF42BB"/>
    <w:multiLevelType w:val="hybridMultilevel"/>
    <w:tmpl w:val="166804E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44"/>
  </w:num>
  <w:num w:numId="2">
    <w:abstractNumId w:val="157"/>
  </w:num>
  <w:num w:numId="3">
    <w:abstractNumId w:val="147"/>
  </w:num>
  <w:num w:numId="4">
    <w:abstractNumId w:val="87"/>
  </w:num>
  <w:num w:numId="5">
    <w:abstractNumId w:val="1"/>
  </w:num>
  <w:num w:numId="6">
    <w:abstractNumId w:val="96"/>
  </w:num>
  <w:num w:numId="7">
    <w:abstractNumId w:val="0"/>
  </w:num>
  <w:num w:numId="8">
    <w:abstractNumId w:val="36"/>
  </w:num>
  <w:num w:numId="9">
    <w:abstractNumId w:val="61"/>
  </w:num>
  <w:num w:numId="10">
    <w:abstractNumId w:val="37"/>
  </w:num>
  <w:num w:numId="11">
    <w:abstractNumId w:val="94"/>
  </w:num>
  <w:num w:numId="12">
    <w:abstractNumId w:val="116"/>
  </w:num>
  <w:num w:numId="13">
    <w:abstractNumId w:val="71"/>
  </w:num>
  <w:num w:numId="14">
    <w:abstractNumId w:val="149"/>
  </w:num>
  <w:num w:numId="15">
    <w:abstractNumId w:val="58"/>
  </w:num>
  <w:num w:numId="16">
    <w:abstractNumId w:val="39"/>
  </w:num>
  <w:num w:numId="17">
    <w:abstractNumId w:val="89"/>
  </w:num>
  <w:num w:numId="18">
    <w:abstractNumId w:val="12"/>
  </w:num>
  <w:num w:numId="19">
    <w:abstractNumId w:val="35"/>
  </w:num>
  <w:num w:numId="20">
    <w:abstractNumId w:val="18"/>
  </w:num>
  <w:num w:numId="21">
    <w:abstractNumId w:val="33"/>
  </w:num>
  <w:num w:numId="22">
    <w:abstractNumId w:val="29"/>
  </w:num>
  <w:num w:numId="23">
    <w:abstractNumId w:val="88"/>
  </w:num>
  <w:num w:numId="24">
    <w:abstractNumId w:val="85"/>
  </w:num>
  <w:num w:numId="25">
    <w:abstractNumId w:val="74"/>
  </w:num>
  <w:num w:numId="26">
    <w:abstractNumId w:val="50"/>
  </w:num>
  <w:num w:numId="27">
    <w:abstractNumId w:val="129"/>
  </w:num>
  <w:num w:numId="28">
    <w:abstractNumId w:val="4"/>
  </w:num>
  <w:num w:numId="29">
    <w:abstractNumId w:val="128"/>
  </w:num>
  <w:num w:numId="30">
    <w:abstractNumId w:val="27"/>
  </w:num>
  <w:num w:numId="31">
    <w:abstractNumId w:val="159"/>
  </w:num>
  <w:num w:numId="32">
    <w:abstractNumId w:val="43"/>
  </w:num>
  <w:num w:numId="33">
    <w:abstractNumId w:val="113"/>
  </w:num>
  <w:num w:numId="34">
    <w:abstractNumId w:val="8"/>
  </w:num>
  <w:num w:numId="35">
    <w:abstractNumId w:val="122"/>
  </w:num>
  <w:num w:numId="36">
    <w:abstractNumId w:val="138"/>
  </w:num>
  <w:num w:numId="37">
    <w:abstractNumId w:val="148"/>
  </w:num>
  <w:num w:numId="38">
    <w:abstractNumId w:val="3"/>
  </w:num>
  <w:num w:numId="39">
    <w:abstractNumId w:val="158"/>
  </w:num>
  <w:num w:numId="40">
    <w:abstractNumId w:val="21"/>
  </w:num>
  <w:num w:numId="41">
    <w:abstractNumId w:val="92"/>
  </w:num>
  <w:num w:numId="42">
    <w:abstractNumId w:val="123"/>
  </w:num>
  <w:num w:numId="43">
    <w:abstractNumId w:val="51"/>
  </w:num>
  <w:num w:numId="44">
    <w:abstractNumId w:val="124"/>
  </w:num>
  <w:num w:numId="45">
    <w:abstractNumId w:val="23"/>
  </w:num>
  <w:num w:numId="46">
    <w:abstractNumId w:val="103"/>
  </w:num>
  <w:num w:numId="47">
    <w:abstractNumId w:val="106"/>
  </w:num>
  <w:num w:numId="48">
    <w:abstractNumId w:val="54"/>
  </w:num>
  <w:num w:numId="49">
    <w:abstractNumId w:val="86"/>
  </w:num>
  <w:num w:numId="50">
    <w:abstractNumId w:val="65"/>
  </w:num>
  <w:num w:numId="51">
    <w:abstractNumId w:val="16"/>
  </w:num>
  <w:num w:numId="52">
    <w:abstractNumId w:val="63"/>
  </w:num>
  <w:num w:numId="53">
    <w:abstractNumId w:val="151"/>
  </w:num>
  <w:num w:numId="54">
    <w:abstractNumId w:val="101"/>
  </w:num>
  <w:num w:numId="55">
    <w:abstractNumId w:val="152"/>
  </w:num>
  <w:num w:numId="56">
    <w:abstractNumId w:val="70"/>
  </w:num>
  <w:num w:numId="57">
    <w:abstractNumId w:val="45"/>
  </w:num>
  <w:num w:numId="58">
    <w:abstractNumId w:val="19"/>
  </w:num>
  <w:num w:numId="59">
    <w:abstractNumId w:val="132"/>
  </w:num>
  <w:num w:numId="60">
    <w:abstractNumId w:val="135"/>
  </w:num>
  <w:num w:numId="61">
    <w:abstractNumId w:val="111"/>
  </w:num>
  <w:num w:numId="62">
    <w:abstractNumId w:val="66"/>
  </w:num>
  <w:num w:numId="63">
    <w:abstractNumId w:val="108"/>
  </w:num>
  <w:num w:numId="64">
    <w:abstractNumId w:val="97"/>
  </w:num>
  <w:num w:numId="65">
    <w:abstractNumId w:val="78"/>
  </w:num>
  <w:num w:numId="66">
    <w:abstractNumId w:val="139"/>
  </w:num>
  <w:num w:numId="67">
    <w:abstractNumId w:val="75"/>
  </w:num>
  <w:num w:numId="68">
    <w:abstractNumId w:val="59"/>
  </w:num>
  <w:num w:numId="69">
    <w:abstractNumId w:val="142"/>
  </w:num>
  <w:num w:numId="70">
    <w:abstractNumId w:val="7"/>
  </w:num>
  <w:num w:numId="71">
    <w:abstractNumId w:val="90"/>
  </w:num>
  <w:num w:numId="72">
    <w:abstractNumId w:val="131"/>
  </w:num>
  <w:num w:numId="73">
    <w:abstractNumId w:val="161"/>
  </w:num>
  <w:num w:numId="74">
    <w:abstractNumId w:val="150"/>
  </w:num>
  <w:num w:numId="75">
    <w:abstractNumId w:val="68"/>
  </w:num>
  <w:num w:numId="76">
    <w:abstractNumId w:val="110"/>
  </w:num>
  <w:num w:numId="77">
    <w:abstractNumId w:val="31"/>
  </w:num>
  <w:num w:numId="78">
    <w:abstractNumId w:val="49"/>
  </w:num>
  <w:num w:numId="79">
    <w:abstractNumId w:val="25"/>
  </w:num>
  <w:num w:numId="80">
    <w:abstractNumId w:val="133"/>
  </w:num>
  <w:num w:numId="81">
    <w:abstractNumId w:val="130"/>
  </w:num>
  <w:num w:numId="82">
    <w:abstractNumId w:val="10"/>
  </w:num>
  <w:num w:numId="83">
    <w:abstractNumId w:val="80"/>
  </w:num>
  <w:num w:numId="84">
    <w:abstractNumId w:val="117"/>
  </w:num>
  <w:num w:numId="85">
    <w:abstractNumId w:val="41"/>
  </w:num>
  <w:num w:numId="86">
    <w:abstractNumId w:val="47"/>
  </w:num>
  <w:num w:numId="87">
    <w:abstractNumId w:val="6"/>
  </w:num>
  <w:num w:numId="88">
    <w:abstractNumId w:val="109"/>
  </w:num>
  <w:num w:numId="89">
    <w:abstractNumId w:val="34"/>
  </w:num>
  <w:num w:numId="90">
    <w:abstractNumId w:val="48"/>
  </w:num>
  <w:num w:numId="91">
    <w:abstractNumId w:val="67"/>
  </w:num>
  <w:num w:numId="92">
    <w:abstractNumId w:val="5"/>
  </w:num>
  <w:num w:numId="93">
    <w:abstractNumId w:val="160"/>
  </w:num>
  <w:num w:numId="94">
    <w:abstractNumId w:val="2"/>
  </w:num>
  <w:num w:numId="95">
    <w:abstractNumId w:val="95"/>
  </w:num>
  <w:num w:numId="96">
    <w:abstractNumId w:val="118"/>
  </w:num>
  <w:num w:numId="97">
    <w:abstractNumId w:val="156"/>
  </w:num>
  <w:num w:numId="98">
    <w:abstractNumId w:val="99"/>
  </w:num>
  <w:num w:numId="99">
    <w:abstractNumId w:val="114"/>
  </w:num>
  <w:num w:numId="100">
    <w:abstractNumId w:val="140"/>
  </w:num>
  <w:num w:numId="101">
    <w:abstractNumId w:val="57"/>
  </w:num>
  <w:num w:numId="102">
    <w:abstractNumId w:val="55"/>
  </w:num>
  <w:num w:numId="103">
    <w:abstractNumId w:val="120"/>
  </w:num>
  <w:num w:numId="104">
    <w:abstractNumId w:val="77"/>
  </w:num>
  <w:num w:numId="105">
    <w:abstractNumId w:val="14"/>
  </w:num>
  <w:num w:numId="106">
    <w:abstractNumId w:val="76"/>
  </w:num>
  <w:num w:numId="107">
    <w:abstractNumId w:val="73"/>
  </w:num>
  <w:num w:numId="108">
    <w:abstractNumId w:val="9"/>
  </w:num>
  <w:num w:numId="109">
    <w:abstractNumId w:val="64"/>
  </w:num>
  <w:num w:numId="110">
    <w:abstractNumId w:val="15"/>
  </w:num>
  <w:num w:numId="111">
    <w:abstractNumId w:val="153"/>
  </w:num>
  <w:num w:numId="112">
    <w:abstractNumId w:val="28"/>
  </w:num>
  <w:num w:numId="113">
    <w:abstractNumId w:val="100"/>
  </w:num>
  <w:num w:numId="114">
    <w:abstractNumId w:val="104"/>
  </w:num>
  <w:num w:numId="115">
    <w:abstractNumId w:val="93"/>
  </w:num>
  <w:num w:numId="116">
    <w:abstractNumId w:val="53"/>
  </w:num>
  <w:num w:numId="117">
    <w:abstractNumId w:val="30"/>
  </w:num>
  <w:num w:numId="118">
    <w:abstractNumId w:val="17"/>
  </w:num>
  <w:num w:numId="119">
    <w:abstractNumId w:val="69"/>
  </w:num>
  <w:num w:numId="120">
    <w:abstractNumId w:val="40"/>
  </w:num>
  <w:num w:numId="121">
    <w:abstractNumId w:val="146"/>
  </w:num>
  <w:num w:numId="122">
    <w:abstractNumId w:val="22"/>
  </w:num>
  <w:num w:numId="123">
    <w:abstractNumId w:val="141"/>
  </w:num>
  <w:num w:numId="124">
    <w:abstractNumId w:val="81"/>
  </w:num>
  <w:num w:numId="125">
    <w:abstractNumId w:val="145"/>
  </w:num>
  <w:num w:numId="126">
    <w:abstractNumId w:val="82"/>
  </w:num>
  <w:num w:numId="127">
    <w:abstractNumId w:val="98"/>
  </w:num>
  <w:num w:numId="128">
    <w:abstractNumId w:val="38"/>
  </w:num>
  <w:num w:numId="129">
    <w:abstractNumId w:val="126"/>
  </w:num>
  <w:num w:numId="130">
    <w:abstractNumId w:val="60"/>
  </w:num>
  <w:num w:numId="131">
    <w:abstractNumId w:val="20"/>
  </w:num>
  <w:num w:numId="132">
    <w:abstractNumId w:val="119"/>
  </w:num>
  <w:num w:numId="133">
    <w:abstractNumId w:val="112"/>
  </w:num>
  <w:num w:numId="134">
    <w:abstractNumId w:val="46"/>
  </w:num>
  <w:num w:numId="135">
    <w:abstractNumId w:val="24"/>
  </w:num>
  <w:num w:numId="136">
    <w:abstractNumId w:val="154"/>
  </w:num>
  <w:num w:numId="137">
    <w:abstractNumId w:val="44"/>
  </w:num>
  <w:num w:numId="138">
    <w:abstractNumId w:val="127"/>
  </w:num>
  <w:num w:numId="139">
    <w:abstractNumId w:val="105"/>
  </w:num>
  <w:num w:numId="140">
    <w:abstractNumId w:val="102"/>
  </w:num>
  <w:num w:numId="141">
    <w:abstractNumId w:val="136"/>
  </w:num>
  <w:num w:numId="142">
    <w:abstractNumId w:val="125"/>
  </w:num>
  <w:num w:numId="143">
    <w:abstractNumId w:val="121"/>
  </w:num>
  <w:num w:numId="144">
    <w:abstractNumId w:val="56"/>
  </w:num>
  <w:num w:numId="145">
    <w:abstractNumId w:val="91"/>
  </w:num>
  <w:num w:numId="146">
    <w:abstractNumId w:val="42"/>
  </w:num>
  <w:num w:numId="147">
    <w:abstractNumId w:val="107"/>
  </w:num>
  <w:num w:numId="148">
    <w:abstractNumId w:val="83"/>
  </w:num>
  <w:num w:numId="149">
    <w:abstractNumId w:val="84"/>
  </w:num>
  <w:num w:numId="150">
    <w:abstractNumId w:val="143"/>
  </w:num>
  <w:num w:numId="151">
    <w:abstractNumId w:val="26"/>
  </w:num>
  <w:num w:numId="152">
    <w:abstractNumId w:val="134"/>
  </w:num>
  <w:num w:numId="153">
    <w:abstractNumId w:val="11"/>
  </w:num>
  <w:num w:numId="154">
    <w:abstractNumId w:val="62"/>
  </w:num>
  <w:num w:numId="155">
    <w:abstractNumId w:val="137"/>
  </w:num>
  <w:num w:numId="156">
    <w:abstractNumId w:val="79"/>
  </w:num>
  <w:num w:numId="157">
    <w:abstractNumId w:val="72"/>
  </w:num>
  <w:num w:numId="158">
    <w:abstractNumId w:val="52"/>
  </w:num>
  <w:num w:numId="159">
    <w:abstractNumId w:val="115"/>
  </w:num>
  <w:num w:numId="160">
    <w:abstractNumId w:val="13"/>
  </w:num>
  <w:num w:numId="161">
    <w:abstractNumId w:val="32"/>
  </w:num>
  <w:num w:numId="162">
    <w:abstractNumId w:val="155"/>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CB"/>
    <w:rsid w:val="0000000E"/>
    <w:rsid w:val="00000A4F"/>
    <w:rsid w:val="00001566"/>
    <w:rsid w:val="00001656"/>
    <w:rsid w:val="00001DFD"/>
    <w:rsid w:val="000042AC"/>
    <w:rsid w:val="0000476C"/>
    <w:rsid w:val="00005975"/>
    <w:rsid w:val="0000626E"/>
    <w:rsid w:val="0000789A"/>
    <w:rsid w:val="00007C85"/>
    <w:rsid w:val="00007DC3"/>
    <w:rsid w:val="00010BBF"/>
    <w:rsid w:val="000112F9"/>
    <w:rsid w:val="00014ACC"/>
    <w:rsid w:val="00014C26"/>
    <w:rsid w:val="00015768"/>
    <w:rsid w:val="00016EAC"/>
    <w:rsid w:val="000170DC"/>
    <w:rsid w:val="0002059F"/>
    <w:rsid w:val="000207C0"/>
    <w:rsid w:val="00020EFB"/>
    <w:rsid w:val="00021F06"/>
    <w:rsid w:val="000226CE"/>
    <w:rsid w:val="00024BAF"/>
    <w:rsid w:val="00026495"/>
    <w:rsid w:val="00026928"/>
    <w:rsid w:val="00027183"/>
    <w:rsid w:val="00027DB2"/>
    <w:rsid w:val="00030236"/>
    <w:rsid w:val="00030A7E"/>
    <w:rsid w:val="000312DF"/>
    <w:rsid w:val="00032542"/>
    <w:rsid w:val="00033020"/>
    <w:rsid w:val="0003319C"/>
    <w:rsid w:val="000337B9"/>
    <w:rsid w:val="00034836"/>
    <w:rsid w:val="0003580F"/>
    <w:rsid w:val="0003677E"/>
    <w:rsid w:val="0003698D"/>
    <w:rsid w:val="00037A03"/>
    <w:rsid w:val="00037C50"/>
    <w:rsid w:val="000405B5"/>
    <w:rsid w:val="00040862"/>
    <w:rsid w:val="00040A00"/>
    <w:rsid w:val="00041434"/>
    <w:rsid w:val="0004190A"/>
    <w:rsid w:val="00041987"/>
    <w:rsid w:val="00041BDE"/>
    <w:rsid w:val="00042FE3"/>
    <w:rsid w:val="0004465A"/>
    <w:rsid w:val="000456DB"/>
    <w:rsid w:val="00045A57"/>
    <w:rsid w:val="00045B99"/>
    <w:rsid w:val="00046FE4"/>
    <w:rsid w:val="000475A2"/>
    <w:rsid w:val="00047772"/>
    <w:rsid w:val="00050282"/>
    <w:rsid w:val="00050295"/>
    <w:rsid w:val="0005069E"/>
    <w:rsid w:val="00051348"/>
    <w:rsid w:val="00051F90"/>
    <w:rsid w:val="00055905"/>
    <w:rsid w:val="00055AA9"/>
    <w:rsid w:val="000575B6"/>
    <w:rsid w:val="0006056D"/>
    <w:rsid w:val="000614A7"/>
    <w:rsid w:val="0006278D"/>
    <w:rsid w:val="00064210"/>
    <w:rsid w:val="00064585"/>
    <w:rsid w:val="000656B6"/>
    <w:rsid w:val="00066ECB"/>
    <w:rsid w:val="00067B48"/>
    <w:rsid w:val="00067E96"/>
    <w:rsid w:val="00071760"/>
    <w:rsid w:val="00072242"/>
    <w:rsid w:val="0007249E"/>
    <w:rsid w:val="00072F9E"/>
    <w:rsid w:val="000735A4"/>
    <w:rsid w:val="000742F0"/>
    <w:rsid w:val="00077855"/>
    <w:rsid w:val="00080B65"/>
    <w:rsid w:val="00082654"/>
    <w:rsid w:val="00083B55"/>
    <w:rsid w:val="00084FEC"/>
    <w:rsid w:val="0008568A"/>
    <w:rsid w:val="000857F8"/>
    <w:rsid w:val="00085F4E"/>
    <w:rsid w:val="0008603C"/>
    <w:rsid w:val="0008718F"/>
    <w:rsid w:val="00091CB3"/>
    <w:rsid w:val="00092B63"/>
    <w:rsid w:val="0009308C"/>
    <w:rsid w:val="000938E7"/>
    <w:rsid w:val="00095712"/>
    <w:rsid w:val="0009760A"/>
    <w:rsid w:val="00097D6C"/>
    <w:rsid w:val="000A08E8"/>
    <w:rsid w:val="000A1858"/>
    <w:rsid w:val="000A1BCB"/>
    <w:rsid w:val="000A266A"/>
    <w:rsid w:val="000A3272"/>
    <w:rsid w:val="000A695B"/>
    <w:rsid w:val="000A6F57"/>
    <w:rsid w:val="000A716A"/>
    <w:rsid w:val="000B1C5B"/>
    <w:rsid w:val="000B391D"/>
    <w:rsid w:val="000B44CC"/>
    <w:rsid w:val="000B4D20"/>
    <w:rsid w:val="000B4EF4"/>
    <w:rsid w:val="000B6429"/>
    <w:rsid w:val="000B7E1B"/>
    <w:rsid w:val="000C06B1"/>
    <w:rsid w:val="000C1E14"/>
    <w:rsid w:val="000C2328"/>
    <w:rsid w:val="000C2412"/>
    <w:rsid w:val="000C3242"/>
    <w:rsid w:val="000C3F72"/>
    <w:rsid w:val="000D016E"/>
    <w:rsid w:val="000D04C5"/>
    <w:rsid w:val="000D11DA"/>
    <w:rsid w:val="000D2106"/>
    <w:rsid w:val="000D2C59"/>
    <w:rsid w:val="000D2FA6"/>
    <w:rsid w:val="000D3222"/>
    <w:rsid w:val="000D36C0"/>
    <w:rsid w:val="000D45FA"/>
    <w:rsid w:val="000D4968"/>
    <w:rsid w:val="000D588A"/>
    <w:rsid w:val="000D595F"/>
    <w:rsid w:val="000E12C8"/>
    <w:rsid w:val="000E16B6"/>
    <w:rsid w:val="000E1B54"/>
    <w:rsid w:val="000E3A62"/>
    <w:rsid w:val="000E3B44"/>
    <w:rsid w:val="000E7364"/>
    <w:rsid w:val="000F0911"/>
    <w:rsid w:val="000F2EB8"/>
    <w:rsid w:val="000F3B92"/>
    <w:rsid w:val="000F4159"/>
    <w:rsid w:val="000F4423"/>
    <w:rsid w:val="000F4EFB"/>
    <w:rsid w:val="000F55F9"/>
    <w:rsid w:val="000F5D52"/>
    <w:rsid w:val="000F6EC0"/>
    <w:rsid w:val="00100BDD"/>
    <w:rsid w:val="00100FA2"/>
    <w:rsid w:val="0010129E"/>
    <w:rsid w:val="00102AB3"/>
    <w:rsid w:val="0010300E"/>
    <w:rsid w:val="001034A7"/>
    <w:rsid w:val="00103AA2"/>
    <w:rsid w:val="001051CC"/>
    <w:rsid w:val="0010555A"/>
    <w:rsid w:val="001055FF"/>
    <w:rsid w:val="001057C2"/>
    <w:rsid w:val="00105EA9"/>
    <w:rsid w:val="00106D2A"/>
    <w:rsid w:val="001112DC"/>
    <w:rsid w:val="00111C23"/>
    <w:rsid w:val="0011337D"/>
    <w:rsid w:val="001138E8"/>
    <w:rsid w:val="00113F5B"/>
    <w:rsid w:val="00114BB3"/>
    <w:rsid w:val="00120D6F"/>
    <w:rsid w:val="001221B2"/>
    <w:rsid w:val="00123056"/>
    <w:rsid w:val="0012469D"/>
    <w:rsid w:val="00124BB5"/>
    <w:rsid w:val="00124CCC"/>
    <w:rsid w:val="001255A7"/>
    <w:rsid w:val="001267C2"/>
    <w:rsid w:val="0012681E"/>
    <w:rsid w:val="001274D3"/>
    <w:rsid w:val="00131A8A"/>
    <w:rsid w:val="00131D2F"/>
    <w:rsid w:val="0013235E"/>
    <w:rsid w:val="001355B8"/>
    <w:rsid w:val="00135800"/>
    <w:rsid w:val="00135AEE"/>
    <w:rsid w:val="00140D43"/>
    <w:rsid w:val="001416B9"/>
    <w:rsid w:val="00142865"/>
    <w:rsid w:val="00143648"/>
    <w:rsid w:val="00146C2E"/>
    <w:rsid w:val="00146E4D"/>
    <w:rsid w:val="001513E6"/>
    <w:rsid w:val="00153481"/>
    <w:rsid w:val="001534B2"/>
    <w:rsid w:val="0015380E"/>
    <w:rsid w:val="00153FA2"/>
    <w:rsid w:val="0015427B"/>
    <w:rsid w:val="0015450A"/>
    <w:rsid w:val="00155431"/>
    <w:rsid w:val="00155A86"/>
    <w:rsid w:val="00155B22"/>
    <w:rsid w:val="0015661F"/>
    <w:rsid w:val="001606CC"/>
    <w:rsid w:val="001608EC"/>
    <w:rsid w:val="001612AA"/>
    <w:rsid w:val="00161823"/>
    <w:rsid w:val="001623B9"/>
    <w:rsid w:val="00162774"/>
    <w:rsid w:val="0016309C"/>
    <w:rsid w:val="00164FE0"/>
    <w:rsid w:val="00165474"/>
    <w:rsid w:val="001672B1"/>
    <w:rsid w:val="00171F4F"/>
    <w:rsid w:val="0017272E"/>
    <w:rsid w:val="0017313F"/>
    <w:rsid w:val="00174DFD"/>
    <w:rsid w:val="00174FD9"/>
    <w:rsid w:val="001754D3"/>
    <w:rsid w:val="0017580A"/>
    <w:rsid w:val="00176696"/>
    <w:rsid w:val="00176ACE"/>
    <w:rsid w:val="00177348"/>
    <w:rsid w:val="0017771D"/>
    <w:rsid w:val="001778C6"/>
    <w:rsid w:val="00177CA1"/>
    <w:rsid w:val="00180836"/>
    <w:rsid w:val="00180E55"/>
    <w:rsid w:val="0018124A"/>
    <w:rsid w:val="00183FD7"/>
    <w:rsid w:val="00184C2D"/>
    <w:rsid w:val="00184C7D"/>
    <w:rsid w:val="001864BE"/>
    <w:rsid w:val="00186C1E"/>
    <w:rsid w:val="001872D0"/>
    <w:rsid w:val="00187970"/>
    <w:rsid w:val="00191162"/>
    <w:rsid w:val="0019171B"/>
    <w:rsid w:val="00191929"/>
    <w:rsid w:val="00191D63"/>
    <w:rsid w:val="00192924"/>
    <w:rsid w:val="00193044"/>
    <w:rsid w:val="001931E7"/>
    <w:rsid w:val="001933B2"/>
    <w:rsid w:val="0019372A"/>
    <w:rsid w:val="00194322"/>
    <w:rsid w:val="00194F00"/>
    <w:rsid w:val="00195170"/>
    <w:rsid w:val="00195EB4"/>
    <w:rsid w:val="001961B3"/>
    <w:rsid w:val="00196F40"/>
    <w:rsid w:val="001A0B0A"/>
    <w:rsid w:val="001A1309"/>
    <w:rsid w:val="001A2DDF"/>
    <w:rsid w:val="001A5413"/>
    <w:rsid w:val="001A6C5B"/>
    <w:rsid w:val="001A7864"/>
    <w:rsid w:val="001B0053"/>
    <w:rsid w:val="001B03FE"/>
    <w:rsid w:val="001B087A"/>
    <w:rsid w:val="001B0B31"/>
    <w:rsid w:val="001B0CF9"/>
    <w:rsid w:val="001B0CFD"/>
    <w:rsid w:val="001B29D4"/>
    <w:rsid w:val="001B2C57"/>
    <w:rsid w:val="001B6D8A"/>
    <w:rsid w:val="001B7570"/>
    <w:rsid w:val="001C0DF8"/>
    <w:rsid w:val="001C1C48"/>
    <w:rsid w:val="001C2886"/>
    <w:rsid w:val="001C2AF3"/>
    <w:rsid w:val="001C485C"/>
    <w:rsid w:val="001C4C58"/>
    <w:rsid w:val="001C6F5B"/>
    <w:rsid w:val="001C7446"/>
    <w:rsid w:val="001D0BA1"/>
    <w:rsid w:val="001D14C0"/>
    <w:rsid w:val="001D1A6B"/>
    <w:rsid w:val="001D2029"/>
    <w:rsid w:val="001D3DDA"/>
    <w:rsid w:val="001D79C9"/>
    <w:rsid w:val="001E05B1"/>
    <w:rsid w:val="001E1AE8"/>
    <w:rsid w:val="001E3D8D"/>
    <w:rsid w:val="001E4775"/>
    <w:rsid w:val="001E4C05"/>
    <w:rsid w:val="001E514E"/>
    <w:rsid w:val="001F07AA"/>
    <w:rsid w:val="001F0AC7"/>
    <w:rsid w:val="001F1604"/>
    <w:rsid w:val="001F1E2B"/>
    <w:rsid w:val="001F204F"/>
    <w:rsid w:val="001F2C26"/>
    <w:rsid w:val="001F3B5F"/>
    <w:rsid w:val="001F634D"/>
    <w:rsid w:val="001F7FFA"/>
    <w:rsid w:val="002009D7"/>
    <w:rsid w:val="002026C3"/>
    <w:rsid w:val="002032CA"/>
    <w:rsid w:val="00204E92"/>
    <w:rsid w:val="002053EF"/>
    <w:rsid w:val="00205408"/>
    <w:rsid w:val="002066A2"/>
    <w:rsid w:val="0020795C"/>
    <w:rsid w:val="00211105"/>
    <w:rsid w:val="0021391F"/>
    <w:rsid w:val="00214899"/>
    <w:rsid w:val="00214BEE"/>
    <w:rsid w:val="00214BF6"/>
    <w:rsid w:val="00214DE6"/>
    <w:rsid w:val="0021517E"/>
    <w:rsid w:val="00215665"/>
    <w:rsid w:val="0021707F"/>
    <w:rsid w:val="0022102E"/>
    <w:rsid w:val="00222160"/>
    <w:rsid w:val="002230D9"/>
    <w:rsid w:val="002246F9"/>
    <w:rsid w:val="002249DC"/>
    <w:rsid w:val="00224E51"/>
    <w:rsid w:val="00225838"/>
    <w:rsid w:val="002258D1"/>
    <w:rsid w:val="002277A1"/>
    <w:rsid w:val="00227C30"/>
    <w:rsid w:val="00227CF7"/>
    <w:rsid w:val="00230064"/>
    <w:rsid w:val="002311B2"/>
    <w:rsid w:val="0023239D"/>
    <w:rsid w:val="00232969"/>
    <w:rsid w:val="00232AF6"/>
    <w:rsid w:val="00233820"/>
    <w:rsid w:val="00233CD0"/>
    <w:rsid w:val="0023411B"/>
    <w:rsid w:val="0023673F"/>
    <w:rsid w:val="00236987"/>
    <w:rsid w:val="00236B41"/>
    <w:rsid w:val="00237C34"/>
    <w:rsid w:val="0024043A"/>
    <w:rsid w:val="0024216B"/>
    <w:rsid w:val="00242FE2"/>
    <w:rsid w:val="00244756"/>
    <w:rsid w:val="0024594D"/>
    <w:rsid w:val="0024649E"/>
    <w:rsid w:val="002465D5"/>
    <w:rsid w:val="00247491"/>
    <w:rsid w:val="002476D2"/>
    <w:rsid w:val="0025123D"/>
    <w:rsid w:val="00251A0B"/>
    <w:rsid w:val="00252082"/>
    <w:rsid w:val="00252661"/>
    <w:rsid w:val="002562B6"/>
    <w:rsid w:val="0026000B"/>
    <w:rsid w:val="00260A3F"/>
    <w:rsid w:val="00263C18"/>
    <w:rsid w:val="002642C2"/>
    <w:rsid w:val="002643AE"/>
    <w:rsid w:val="002667C3"/>
    <w:rsid w:val="00266851"/>
    <w:rsid w:val="002675D4"/>
    <w:rsid w:val="0026767D"/>
    <w:rsid w:val="00267CA5"/>
    <w:rsid w:val="002709D5"/>
    <w:rsid w:val="00270F6F"/>
    <w:rsid w:val="0027171D"/>
    <w:rsid w:val="002720C4"/>
    <w:rsid w:val="00272C14"/>
    <w:rsid w:val="00274F7B"/>
    <w:rsid w:val="0027640D"/>
    <w:rsid w:val="0027654F"/>
    <w:rsid w:val="00276B87"/>
    <w:rsid w:val="00276DCE"/>
    <w:rsid w:val="002779D9"/>
    <w:rsid w:val="00281070"/>
    <w:rsid w:val="002824ED"/>
    <w:rsid w:val="00283116"/>
    <w:rsid w:val="00284520"/>
    <w:rsid w:val="0028563F"/>
    <w:rsid w:val="00287385"/>
    <w:rsid w:val="00287B89"/>
    <w:rsid w:val="00287F98"/>
    <w:rsid w:val="00290BB7"/>
    <w:rsid w:val="00291C55"/>
    <w:rsid w:val="0029344A"/>
    <w:rsid w:val="00293C84"/>
    <w:rsid w:val="002949CA"/>
    <w:rsid w:val="002951D8"/>
    <w:rsid w:val="002953FB"/>
    <w:rsid w:val="002957DD"/>
    <w:rsid w:val="00295D91"/>
    <w:rsid w:val="002966B0"/>
    <w:rsid w:val="002966C4"/>
    <w:rsid w:val="00296AE9"/>
    <w:rsid w:val="002970B9"/>
    <w:rsid w:val="002A1A2A"/>
    <w:rsid w:val="002A398F"/>
    <w:rsid w:val="002A4118"/>
    <w:rsid w:val="002A4C0E"/>
    <w:rsid w:val="002A558A"/>
    <w:rsid w:val="002A5B1F"/>
    <w:rsid w:val="002A5B29"/>
    <w:rsid w:val="002A6E2C"/>
    <w:rsid w:val="002B1358"/>
    <w:rsid w:val="002B27FF"/>
    <w:rsid w:val="002B357B"/>
    <w:rsid w:val="002B4013"/>
    <w:rsid w:val="002B4301"/>
    <w:rsid w:val="002B57B7"/>
    <w:rsid w:val="002B5E08"/>
    <w:rsid w:val="002B6C8C"/>
    <w:rsid w:val="002B6E50"/>
    <w:rsid w:val="002C0745"/>
    <w:rsid w:val="002C0DBF"/>
    <w:rsid w:val="002C137A"/>
    <w:rsid w:val="002C15E0"/>
    <w:rsid w:val="002C245A"/>
    <w:rsid w:val="002C2AF8"/>
    <w:rsid w:val="002C3300"/>
    <w:rsid w:val="002C3DBD"/>
    <w:rsid w:val="002C401D"/>
    <w:rsid w:val="002C4DF7"/>
    <w:rsid w:val="002C5BDE"/>
    <w:rsid w:val="002D12F9"/>
    <w:rsid w:val="002D1530"/>
    <w:rsid w:val="002D1686"/>
    <w:rsid w:val="002D1F42"/>
    <w:rsid w:val="002D2C69"/>
    <w:rsid w:val="002D3C25"/>
    <w:rsid w:val="002D74B7"/>
    <w:rsid w:val="002D7720"/>
    <w:rsid w:val="002E01F9"/>
    <w:rsid w:val="002E0B52"/>
    <w:rsid w:val="002E120D"/>
    <w:rsid w:val="002E221A"/>
    <w:rsid w:val="002E262C"/>
    <w:rsid w:val="002E2E31"/>
    <w:rsid w:val="002E2E4F"/>
    <w:rsid w:val="002E3648"/>
    <w:rsid w:val="002E3CE1"/>
    <w:rsid w:val="002E3F7A"/>
    <w:rsid w:val="002E4A4F"/>
    <w:rsid w:val="002E5285"/>
    <w:rsid w:val="002E559D"/>
    <w:rsid w:val="002E69C4"/>
    <w:rsid w:val="002E791E"/>
    <w:rsid w:val="002F0034"/>
    <w:rsid w:val="002F0330"/>
    <w:rsid w:val="002F045C"/>
    <w:rsid w:val="002F1611"/>
    <w:rsid w:val="002F18C2"/>
    <w:rsid w:val="002F1A1E"/>
    <w:rsid w:val="002F212B"/>
    <w:rsid w:val="002F2291"/>
    <w:rsid w:val="002F3C2B"/>
    <w:rsid w:val="002F6F6A"/>
    <w:rsid w:val="002F7F9B"/>
    <w:rsid w:val="00300E65"/>
    <w:rsid w:val="0030422C"/>
    <w:rsid w:val="00305295"/>
    <w:rsid w:val="003059A7"/>
    <w:rsid w:val="003060A6"/>
    <w:rsid w:val="00307707"/>
    <w:rsid w:val="00310889"/>
    <w:rsid w:val="00310FFB"/>
    <w:rsid w:val="00313688"/>
    <w:rsid w:val="00313B50"/>
    <w:rsid w:val="00314721"/>
    <w:rsid w:val="00317363"/>
    <w:rsid w:val="00320062"/>
    <w:rsid w:val="0032069B"/>
    <w:rsid w:val="00320B1D"/>
    <w:rsid w:val="003231D9"/>
    <w:rsid w:val="00323B17"/>
    <w:rsid w:val="00325096"/>
    <w:rsid w:val="00325681"/>
    <w:rsid w:val="0032653B"/>
    <w:rsid w:val="00327470"/>
    <w:rsid w:val="00327BFA"/>
    <w:rsid w:val="00330D34"/>
    <w:rsid w:val="0033208B"/>
    <w:rsid w:val="0033381B"/>
    <w:rsid w:val="00333893"/>
    <w:rsid w:val="00334513"/>
    <w:rsid w:val="00334C8E"/>
    <w:rsid w:val="00335C7A"/>
    <w:rsid w:val="0033768D"/>
    <w:rsid w:val="003413C7"/>
    <w:rsid w:val="00342254"/>
    <w:rsid w:val="00342883"/>
    <w:rsid w:val="00346F68"/>
    <w:rsid w:val="00350262"/>
    <w:rsid w:val="0035109F"/>
    <w:rsid w:val="003514B1"/>
    <w:rsid w:val="003515C5"/>
    <w:rsid w:val="003525EB"/>
    <w:rsid w:val="003537EB"/>
    <w:rsid w:val="00354908"/>
    <w:rsid w:val="0035592C"/>
    <w:rsid w:val="00355CCE"/>
    <w:rsid w:val="00357149"/>
    <w:rsid w:val="00357224"/>
    <w:rsid w:val="003575ED"/>
    <w:rsid w:val="0035790A"/>
    <w:rsid w:val="00357A1B"/>
    <w:rsid w:val="00357B07"/>
    <w:rsid w:val="00357BB3"/>
    <w:rsid w:val="00360FB0"/>
    <w:rsid w:val="00361985"/>
    <w:rsid w:val="0036348B"/>
    <w:rsid w:val="003635C5"/>
    <w:rsid w:val="00363FBF"/>
    <w:rsid w:val="003646B6"/>
    <w:rsid w:val="00364C97"/>
    <w:rsid w:val="003668E2"/>
    <w:rsid w:val="003670FD"/>
    <w:rsid w:val="00367220"/>
    <w:rsid w:val="00367707"/>
    <w:rsid w:val="00370D11"/>
    <w:rsid w:val="003714AA"/>
    <w:rsid w:val="00372BEC"/>
    <w:rsid w:val="00374B28"/>
    <w:rsid w:val="00374EDD"/>
    <w:rsid w:val="00375AB6"/>
    <w:rsid w:val="00376A48"/>
    <w:rsid w:val="003800FF"/>
    <w:rsid w:val="003815B3"/>
    <w:rsid w:val="00382E75"/>
    <w:rsid w:val="00383637"/>
    <w:rsid w:val="00384EF3"/>
    <w:rsid w:val="00387220"/>
    <w:rsid w:val="00387C75"/>
    <w:rsid w:val="003901EB"/>
    <w:rsid w:val="003908C1"/>
    <w:rsid w:val="0039193F"/>
    <w:rsid w:val="003930CF"/>
    <w:rsid w:val="003944E8"/>
    <w:rsid w:val="003974BE"/>
    <w:rsid w:val="003A1841"/>
    <w:rsid w:val="003A1C82"/>
    <w:rsid w:val="003A21BC"/>
    <w:rsid w:val="003A32E6"/>
    <w:rsid w:val="003A3606"/>
    <w:rsid w:val="003A3AA7"/>
    <w:rsid w:val="003A3B12"/>
    <w:rsid w:val="003A4CFF"/>
    <w:rsid w:val="003A5161"/>
    <w:rsid w:val="003B094A"/>
    <w:rsid w:val="003B0D04"/>
    <w:rsid w:val="003B0F56"/>
    <w:rsid w:val="003B1905"/>
    <w:rsid w:val="003B26F6"/>
    <w:rsid w:val="003B41D6"/>
    <w:rsid w:val="003B4E29"/>
    <w:rsid w:val="003B50E2"/>
    <w:rsid w:val="003B75B0"/>
    <w:rsid w:val="003C0C8A"/>
    <w:rsid w:val="003C1060"/>
    <w:rsid w:val="003C1C8E"/>
    <w:rsid w:val="003C25A7"/>
    <w:rsid w:val="003C280B"/>
    <w:rsid w:val="003C3458"/>
    <w:rsid w:val="003C36C8"/>
    <w:rsid w:val="003C39DF"/>
    <w:rsid w:val="003C645B"/>
    <w:rsid w:val="003C6BED"/>
    <w:rsid w:val="003C71F9"/>
    <w:rsid w:val="003C7324"/>
    <w:rsid w:val="003C733D"/>
    <w:rsid w:val="003C763F"/>
    <w:rsid w:val="003C771B"/>
    <w:rsid w:val="003D2634"/>
    <w:rsid w:val="003D2927"/>
    <w:rsid w:val="003D3BEE"/>
    <w:rsid w:val="003D48F1"/>
    <w:rsid w:val="003D5AD2"/>
    <w:rsid w:val="003D6E4A"/>
    <w:rsid w:val="003D7F6E"/>
    <w:rsid w:val="003E0FEE"/>
    <w:rsid w:val="003E2F73"/>
    <w:rsid w:val="003E3D3F"/>
    <w:rsid w:val="003E3E5C"/>
    <w:rsid w:val="003E47B3"/>
    <w:rsid w:val="003E48DF"/>
    <w:rsid w:val="003E4B50"/>
    <w:rsid w:val="003E56E9"/>
    <w:rsid w:val="003E57C2"/>
    <w:rsid w:val="003E5C3B"/>
    <w:rsid w:val="003E74C5"/>
    <w:rsid w:val="003F05CB"/>
    <w:rsid w:val="003F1C8F"/>
    <w:rsid w:val="003F2555"/>
    <w:rsid w:val="003F2719"/>
    <w:rsid w:val="003F308D"/>
    <w:rsid w:val="003F3A95"/>
    <w:rsid w:val="003F417A"/>
    <w:rsid w:val="003F4481"/>
    <w:rsid w:val="003F6C36"/>
    <w:rsid w:val="003F6ED9"/>
    <w:rsid w:val="003F7E98"/>
    <w:rsid w:val="00400C76"/>
    <w:rsid w:val="00403A3D"/>
    <w:rsid w:val="0040440F"/>
    <w:rsid w:val="00404ED6"/>
    <w:rsid w:val="0040546F"/>
    <w:rsid w:val="00410288"/>
    <w:rsid w:val="004108B6"/>
    <w:rsid w:val="00411531"/>
    <w:rsid w:val="00411A52"/>
    <w:rsid w:val="00412AB9"/>
    <w:rsid w:val="00413910"/>
    <w:rsid w:val="0041404A"/>
    <w:rsid w:val="004159A9"/>
    <w:rsid w:val="00415C91"/>
    <w:rsid w:val="0042003E"/>
    <w:rsid w:val="004206AC"/>
    <w:rsid w:val="0042106A"/>
    <w:rsid w:val="004224DD"/>
    <w:rsid w:val="0042302C"/>
    <w:rsid w:val="0042319E"/>
    <w:rsid w:val="00423CC8"/>
    <w:rsid w:val="004253BD"/>
    <w:rsid w:val="0042592B"/>
    <w:rsid w:val="004263EC"/>
    <w:rsid w:val="0042697F"/>
    <w:rsid w:val="00427C4F"/>
    <w:rsid w:val="0043187A"/>
    <w:rsid w:val="00431A38"/>
    <w:rsid w:val="00431CE2"/>
    <w:rsid w:val="00432C32"/>
    <w:rsid w:val="00436FE5"/>
    <w:rsid w:val="004372AA"/>
    <w:rsid w:val="00437B18"/>
    <w:rsid w:val="00437FD3"/>
    <w:rsid w:val="0044136F"/>
    <w:rsid w:val="00442DAE"/>
    <w:rsid w:val="00443296"/>
    <w:rsid w:val="0044341D"/>
    <w:rsid w:val="00443D6F"/>
    <w:rsid w:val="0044480D"/>
    <w:rsid w:val="004448EE"/>
    <w:rsid w:val="00445154"/>
    <w:rsid w:val="00446274"/>
    <w:rsid w:val="004462F6"/>
    <w:rsid w:val="00446372"/>
    <w:rsid w:val="004466C1"/>
    <w:rsid w:val="004532CD"/>
    <w:rsid w:val="00455BD0"/>
    <w:rsid w:val="00457DC0"/>
    <w:rsid w:val="00457F9E"/>
    <w:rsid w:val="00462CF1"/>
    <w:rsid w:val="00463042"/>
    <w:rsid w:val="00464724"/>
    <w:rsid w:val="004665F2"/>
    <w:rsid w:val="00466D0F"/>
    <w:rsid w:val="00466F3A"/>
    <w:rsid w:val="004672F8"/>
    <w:rsid w:val="004678CE"/>
    <w:rsid w:val="00470C05"/>
    <w:rsid w:val="004710E8"/>
    <w:rsid w:val="004717AC"/>
    <w:rsid w:val="004722AF"/>
    <w:rsid w:val="00473B28"/>
    <w:rsid w:val="00474502"/>
    <w:rsid w:val="00474576"/>
    <w:rsid w:val="0047483F"/>
    <w:rsid w:val="00475BF3"/>
    <w:rsid w:val="00477C92"/>
    <w:rsid w:val="00477F26"/>
    <w:rsid w:val="00480730"/>
    <w:rsid w:val="004812CC"/>
    <w:rsid w:val="00482C3C"/>
    <w:rsid w:val="0048341F"/>
    <w:rsid w:val="00484371"/>
    <w:rsid w:val="004849B9"/>
    <w:rsid w:val="00485322"/>
    <w:rsid w:val="00485E0A"/>
    <w:rsid w:val="00487790"/>
    <w:rsid w:val="00487859"/>
    <w:rsid w:val="00490D1F"/>
    <w:rsid w:val="00490F14"/>
    <w:rsid w:val="00492A97"/>
    <w:rsid w:val="00493BA6"/>
    <w:rsid w:val="00493CE2"/>
    <w:rsid w:val="00494299"/>
    <w:rsid w:val="004957BB"/>
    <w:rsid w:val="0049631F"/>
    <w:rsid w:val="00496ACD"/>
    <w:rsid w:val="004A0AB7"/>
    <w:rsid w:val="004A0F1F"/>
    <w:rsid w:val="004A2139"/>
    <w:rsid w:val="004A2366"/>
    <w:rsid w:val="004A3011"/>
    <w:rsid w:val="004B160F"/>
    <w:rsid w:val="004B31F3"/>
    <w:rsid w:val="004B3437"/>
    <w:rsid w:val="004B40E2"/>
    <w:rsid w:val="004B4DCE"/>
    <w:rsid w:val="004B4E23"/>
    <w:rsid w:val="004B52BF"/>
    <w:rsid w:val="004B5947"/>
    <w:rsid w:val="004B63C0"/>
    <w:rsid w:val="004B753B"/>
    <w:rsid w:val="004C0B54"/>
    <w:rsid w:val="004C22E0"/>
    <w:rsid w:val="004C24E7"/>
    <w:rsid w:val="004C3A27"/>
    <w:rsid w:val="004C3B12"/>
    <w:rsid w:val="004C4760"/>
    <w:rsid w:val="004C5947"/>
    <w:rsid w:val="004C68FC"/>
    <w:rsid w:val="004C69CB"/>
    <w:rsid w:val="004C6C3F"/>
    <w:rsid w:val="004C7682"/>
    <w:rsid w:val="004C7A83"/>
    <w:rsid w:val="004D05B2"/>
    <w:rsid w:val="004D243B"/>
    <w:rsid w:val="004D28FC"/>
    <w:rsid w:val="004D3551"/>
    <w:rsid w:val="004D40CD"/>
    <w:rsid w:val="004D4974"/>
    <w:rsid w:val="004D4A64"/>
    <w:rsid w:val="004D55F2"/>
    <w:rsid w:val="004D626C"/>
    <w:rsid w:val="004D70E0"/>
    <w:rsid w:val="004E0588"/>
    <w:rsid w:val="004E13EF"/>
    <w:rsid w:val="004E147E"/>
    <w:rsid w:val="004E22E6"/>
    <w:rsid w:val="004E3732"/>
    <w:rsid w:val="004E462D"/>
    <w:rsid w:val="004E46AD"/>
    <w:rsid w:val="004E4AD9"/>
    <w:rsid w:val="004E4F68"/>
    <w:rsid w:val="004E5C7B"/>
    <w:rsid w:val="004E6785"/>
    <w:rsid w:val="004E6A4B"/>
    <w:rsid w:val="004E6E85"/>
    <w:rsid w:val="004E7242"/>
    <w:rsid w:val="004E77B7"/>
    <w:rsid w:val="004F13B7"/>
    <w:rsid w:val="004F188A"/>
    <w:rsid w:val="004F1F50"/>
    <w:rsid w:val="004F33A6"/>
    <w:rsid w:val="004F56AC"/>
    <w:rsid w:val="00500411"/>
    <w:rsid w:val="005018CB"/>
    <w:rsid w:val="00502B6F"/>
    <w:rsid w:val="00503457"/>
    <w:rsid w:val="005051CD"/>
    <w:rsid w:val="0050564E"/>
    <w:rsid w:val="0050573B"/>
    <w:rsid w:val="00505D99"/>
    <w:rsid w:val="005064E7"/>
    <w:rsid w:val="00506824"/>
    <w:rsid w:val="0050769C"/>
    <w:rsid w:val="00510BFE"/>
    <w:rsid w:val="00511352"/>
    <w:rsid w:val="005127F0"/>
    <w:rsid w:val="00513410"/>
    <w:rsid w:val="00513448"/>
    <w:rsid w:val="00513ED8"/>
    <w:rsid w:val="0051417B"/>
    <w:rsid w:val="00514F24"/>
    <w:rsid w:val="00514F43"/>
    <w:rsid w:val="0051657B"/>
    <w:rsid w:val="00516604"/>
    <w:rsid w:val="00517655"/>
    <w:rsid w:val="005176DF"/>
    <w:rsid w:val="00517C11"/>
    <w:rsid w:val="00521889"/>
    <w:rsid w:val="005236F5"/>
    <w:rsid w:val="00523A44"/>
    <w:rsid w:val="00524376"/>
    <w:rsid w:val="00524C12"/>
    <w:rsid w:val="005258FD"/>
    <w:rsid w:val="0052597C"/>
    <w:rsid w:val="00525B69"/>
    <w:rsid w:val="0052641A"/>
    <w:rsid w:val="005266D7"/>
    <w:rsid w:val="00533FDB"/>
    <w:rsid w:val="0053403D"/>
    <w:rsid w:val="0053563E"/>
    <w:rsid w:val="0053594D"/>
    <w:rsid w:val="005362FE"/>
    <w:rsid w:val="00536B7A"/>
    <w:rsid w:val="00537701"/>
    <w:rsid w:val="005377D5"/>
    <w:rsid w:val="00537846"/>
    <w:rsid w:val="00537B76"/>
    <w:rsid w:val="005414D2"/>
    <w:rsid w:val="00546762"/>
    <w:rsid w:val="00546B97"/>
    <w:rsid w:val="0054703E"/>
    <w:rsid w:val="005473A8"/>
    <w:rsid w:val="00547ECB"/>
    <w:rsid w:val="00550B8F"/>
    <w:rsid w:val="00553C6A"/>
    <w:rsid w:val="005540C2"/>
    <w:rsid w:val="005548F5"/>
    <w:rsid w:val="005549A6"/>
    <w:rsid w:val="00554B01"/>
    <w:rsid w:val="00555BE5"/>
    <w:rsid w:val="0055744C"/>
    <w:rsid w:val="00557884"/>
    <w:rsid w:val="00561361"/>
    <w:rsid w:val="0056175B"/>
    <w:rsid w:val="00562184"/>
    <w:rsid w:val="0056238B"/>
    <w:rsid w:val="00566BFD"/>
    <w:rsid w:val="00567680"/>
    <w:rsid w:val="005676C2"/>
    <w:rsid w:val="00570B07"/>
    <w:rsid w:val="00570C8E"/>
    <w:rsid w:val="00571463"/>
    <w:rsid w:val="005722CB"/>
    <w:rsid w:val="005728F2"/>
    <w:rsid w:val="0057462A"/>
    <w:rsid w:val="00574F26"/>
    <w:rsid w:val="005761A1"/>
    <w:rsid w:val="00576D3E"/>
    <w:rsid w:val="00577114"/>
    <w:rsid w:val="00577331"/>
    <w:rsid w:val="005816C4"/>
    <w:rsid w:val="0058281A"/>
    <w:rsid w:val="00582984"/>
    <w:rsid w:val="0058363A"/>
    <w:rsid w:val="005844F6"/>
    <w:rsid w:val="005845A8"/>
    <w:rsid w:val="00585374"/>
    <w:rsid w:val="00585916"/>
    <w:rsid w:val="00591496"/>
    <w:rsid w:val="0059158E"/>
    <w:rsid w:val="00593117"/>
    <w:rsid w:val="005936BE"/>
    <w:rsid w:val="00594BB8"/>
    <w:rsid w:val="00594F63"/>
    <w:rsid w:val="00594FB4"/>
    <w:rsid w:val="00595E8F"/>
    <w:rsid w:val="00595F6C"/>
    <w:rsid w:val="00595F89"/>
    <w:rsid w:val="005A16B1"/>
    <w:rsid w:val="005A1C9C"/>
    <w:rsid w:val="005A497A"/>
    <w:rsid w:val="005A4CD1"/>
    <w:rsid w:val="005A560A"/>
    <w:rsid w:val="005A6148"/>
    <w:rsid w:val="005A7127"/>
    <w:rsid w:val="005B0D4E"/>
    <w:rsid w:val="005B1004"/>
    <w:rsid w:val="005B17CF"/>
    <w:rsid w:val="005B4144"/>
    <w:rsid w:val="005B52A6"/>
    <w:rsid w:val="005B56BC"/>
    <w:rsid w:val="005C22C0"/>
    <w:rsid w:val="005C28EB"/>
    <w:rsid w:val="005C528F"/>
    <w:rsid w:val="005C579E"/>
    <w:rsid w:val="005C679C"/>
    <w:rsid w:val="005C68EF"/>
    <w:rsid w:val="005D01CD"/>
    <w:rsid w:val="005D095A"/>
    <w:rsid w:val="005D1E59"/>
    <w:rsid w:val="005D2404"/>
    <w:rsid w:val="005D2E49"/>
    <w:rsid w:val="005D2F49"/>
    <w:rsid w:val="005D37BE"/>
    <w:rsid w:val="005D3EA4"/>
    <w:rsid w:val="005D5580"/>
    <w:rsid w:val="005D71F3"/>
    <w:rsid w:val="005E0329"/>
    <w:rsid w:val="005E03E9"/>
    <w:rsid w:val="005E1479"/>
    <w:rsid w:val="005E1930"/>
    <w:rsid w:val="005E1DB2"/>
    <w:rsid w:val="005E4CC3"/>
    <w:rsid w:val="005E5B5D"/>
    <w:rsid w:val="005E7079"/>
    <w:rsid w:val="005F10AB"/>
    <w:rsid w:val="005F1506"/>
    <w:rsid w:val="005F2958"/>
    <w:rsid w:val="005F2D33"/>
    <w:rsid w:val="005F2D63"/>
    <w:rsid w:val="005F2F1C"/>
    <w:rsid w:val="005F3762"/>
    <w:rsid w:val="005F3E65"/>
    <w:rsid w:val="005F529B"/>
    <w:rsid w:val="005F5428"/>
    <w:rsid w:val="005F5D96"/>
    <w:rsid w:val="005F609E"/>
    <w:rsid w:val="005F6F90"/>
    <w:rsid w:val="00600824"/>
    <w:rsid w:val="006008BF"/>
    <w:rsid w:val="00604222"/>
    <w:rsid w:val="006045ED"/>
    <w:rsid w:val="006048D1"/>
    <w:rsid w:val="006066FD"/>
    <w:rsid w:val="00606F17"/>
    <w:rsid w:val="00610166"/>
    <w:rsid w:val="006110BB"/>
    <w:rsid w:val="00611E70"/>
    <w:rsid w:val="00612CCE"/>
    <w:rsid w:val="00613BD8"/>
    <w:rsid w:val="006154E7"/>
    <w:rsid w:val="00617491"/>
    <w:rsid w:val="006202FD"/>
    <w:rsid w:val="006211BF"/>
    <w:rsid w:val="00621B1F"/>
    <w:rsid w:val="00623122"/>
    <w:rsid w:val="0062477B"/>
    <w:rsid w:val="0062640F"/>
    <w:rsid w:val="00627CF6"/>
    <w:rsid w:val="006347DE"/>
    <w:rsid w:val="00635D08"/>
    <w:rsid w:val="00635E84"/>
    <w:rsid w:val="00636CC3"/>
    <w:rsid w:val="006375D2"/>
    <w:rsid w:val="006411FF"/>
    <w:rsid w:val="006416C7"/>
    <w:rsid w:val="0064223E"/>
    <w:rsid w:val="006424C9"/>
    <w:rsid w:val="00642F3B"/>
    <w:rsid w:val="006444A7"/>
    <w:rsid w:val="006456B4"/>
    <w:rsid w:val="00647483"/>
    <w:rsid w:val="00650F9D"/>
    <w:rsid w:val="00651CE0"/>
    <w:rsid w:val="006523A8"/>
    <w:rsid w:val="0065272C"/>
    <w:rsid w:val="00654A24"/>
    <w:rsid w:val="006553FD"/>
    <w:rsid w:val="00656EF0"/>
    <w:rsid w:val="0065720D"/>
    <w:rsid w:val="00657D11"/>
    <w:rsid w:val="0066053A"/>
    <w:rsid w:val="00660BD8"/>
    <w:rsid w:val="00661EF0"/>
    <w:rsid w:val="0066377C"/>
    <w:rsid w:val="0066581D"/>
    <w:rsid w:val="00666E73"/>
    <w:rsid w:val="00671143"/>
    <w:rsid w:val="0067137F"/>
    <w:rsid w:val="00671386"/>
    <w:rsid w:val="006716C8"/>
    <w:rsid w:val="00671C68"/>
    <w:rsid w:val="00673607"/>
    <w:rsid w:val="00676006"/>
    <w:rsid w:val="00676C74"/>
    <w:rsid w:val="006771E1"/>
    <w:rsid w:val="00677BC6"/>
    <w:rsid w:val="00677E5A"/>
    <w:rsid w:val="0068073F"/>
    <w:rsid w:val="00680BB2"/>
    <w:rsid w:val="00681931"/>
    <w:rsid w:val="00682512"/>
    <w:rsid w:val="00682C71"/>
    <w:rsid w:val="00683B08"/>
    <w:rsid w:val="00684271"/>
    <w:rsid w:val="00685F10"/>
    <w:rsid w:val="00686CE5"/>
    <w:rsid w:val="006873B3"/>
    <w:rsid w:val="00687573"/>
    <w:rsid w:val="0069014B"/>
    <w:rsid w:val="0069131B"/>
    <w:rsid w:val="0069151A"/>
    <w:rsid w:val="00691C56"/>
    <w:rsid w:val="006935AC"/>
    <w:rsid w:val="00695CFE"/>
    <w:rsid w:val="00696BFE"/>
    <w:rsid w:val="00696C20"/>
    <w:rsid w:val="006A0C86"/>
    <w:rsid w:val="006A0CA4"/>
    <w:rsid w:val="006A1A3C"/>
    <w:rsid w:val="006A1D5F"/>
    <w:rsid w:val="006A2027"/>
    <w:rsid w:val="006A2078"/>
    <w:rsid w:val="006A2957"/>
    <w:rsid w:val="006A2DFC"/>
    <w:rsid w:val="006A46D3"/>
    <w:rsid w:val="006B0E1A"/>
    <w:rsid w:val="006B1A78"/>
    <w:rsid w:val="006B1F0E"/>
    <w:rsid w:val="006B2A58"/>
    <w:rsid w:val="006B3B50"/>
    <w:rsid w:val="006B4AD2"/>
    <w:rsid w:val="006B4E90"/>
    <w:rsid w:val="006B52AF"/>
    <w:rsid w:val="006B53CE"/>
    <w:rsid w:val="006B6000"/>
    <w:rsid w:val="006B6B14"/>
    <w:rsid w:val="006C09CB"/>
    <w:rsid w:val="006C1174"/>
    <w:rsid w:val="006C1348"/>
    <w:rsid w:val="006C1724"/>
    <w:rsid w:val="006C1E42"/>
    <w:rsid w:val="006C2C92"/>
    <w:rsid w:val="006C3C80"/>
    <w:rsid w:val="006C4267"/>
    <w:rsid w:val="006C4340"/>
    <w:rsid w:val="006C46C8"/>
    <w:rsid w:val="006C62EB"/>
    <w:rsid w:val="006C67D6"/>
    <w:rsid w:val="006D079D"/>
    <w:rsid w:val="006D0B91"/>
    <w:rsid w:val="006D0D95"/>
    <w:rsid w:val="006D0DAD"/>
    <w:rsid w:val="006D1782"/>
    <w:rsid w:val="006D2D80"/>
    <w:rsid w:val="006D3BAA"/>
    <w:rsid w:val="006D501A"/>
    <w:rsid w:val="006D5826"/>
    <w:rsid w:val="006D6BBE"/>
    <w:rsid w:val="006D7C0F"/>
    <w:rsid w:val="006E02F8"/>
    <w:rsid w:val="006E291F"/>
    <w:rsid w:val="006E3203"/>
    <w:rsid w:val="006E3F4D"/>
    <w:rsid w:val="006E3F52"/>
    <w:rsid w:val="006E4778"/>
    <w:rsid w:val="006E494E"/>
    <w:rsid w:val="006E5FB4"/>
    <w:rsid w:val="006F1282"/>
    <w:rsid w:val="006F1B36"/>
    <w:rsid w:val="006F2A73"/>
    <w:rsid w:val="006F5AA3"/>
    <w:rsid w:val="007007EB"/>
    <w:rsid w:val="0070151F"/>
    <w:rsid w:val="007030C9"/>
    <w:rsid w:val="007036BD"/>
    <w:rsid w:val="00704C06"/>
    <w:rsid w:val="00704F8B"/>
    <w:rsid w:val="00705004"/>
    <w:rsid w:val="00705BA1"/>
    <w:rsid w:val="007069CE"/>
    <w:rsid w:val="00706D27"/>
    <w:rsid w:val="00707C4C"/>
    <w:rsid w:val="007113CB"/>
    <w:rsid w:val="00712C90"/>
    <w:rsid w:val="007131AF"/>
    <w:rsid w:val="007146BC"/>
    <w:rsid w:val="00714C04"/>
    <w:rsid w:val="00716DCD"/>
    <w:rsid w:val="00720740"/>
    <w:rsid w:val="007217E1"/>
    <w:rsid w:val="00721A17"/>
    <w:rsid w:val="00721C3D"/>
    <w:rsid w:val="007223A3"/>
    <w:rsid w:val="00723712"/>
    <w:rsid w:val="00723F94"/>
    <w:rsid w:val="00724891"/>
    <w:rsid w:val="00724CC5"/>
    <w:rsid w:val="00725B57"/>
    <w:rsid w:val="00725D51"/>
    <w:rsid w:val="00725E09"/>
    <w:rsid w:val="0073084B"/>
    <w:rsid w:val="00730A67"/>
    <w:rsid w:val="00730F8B"/>
    <w:rsid w:val="0073261D"/>
    <w:rsid w:val="00732916"/>
    <w:rsid w:val="007333B6"/>
    <w:rsid w:val="00733FB5"/>
    <w:rsid w:val="00733FFB"/>
    <w:rsid w:val="00736D3D"/>
    <w:rsid w:val="00737073"/>
    <w:rsid w:val="007432C5"/>
    <w:rsid w:val="00744E98"/>
    <w:rsid w:val="007450DF"/>
    <w:rsid w:val="00745567"/>
    <w:rsid w:val="0074763A"/>
    <w:rsid w:val="0074774A"/>
    <w:rsid w:val="0075145A"/>
    <w:rsid w:val="00751792"/>
    <w:rsid w:val="007531E9"/>
    <w:rsid w:val="007536F7"/>
    <w:rsid w:val="0075512E"/>
    <w:rsid w:val="00756CDD"/>
    <w:rsid w:val="0075756B"/>
    <w:rsid w:val="00757AE3"/>
    <w:rsid w:val="00760AEA"/>
    <w:rsid w:val="0076160C"/>
    <w:rsid w:val="00762149"/>
    <w:rsid w:val="0076241A"/>
    <w:rsid w:val="007632D5"/>
    <w:rsid w:val="0076569F"/>
    <w:rsid w:val="007664A3"/>
    <w:rsid w:val="00766FBA"/>
    <w:rsid w:val="0076736E"/>
    <w:rsid w:val="00770BB1"/>
    <w:rsid w:val="00770E2D"/>
    <w:rsid w:val="00771887"/>
    <w:rsid w:val="007723C1"/>
    <w:rsid w:val="007729A4"/>
    <w:rsid w:val="007733EB"/>
    <w:rsid w:val="00773B4A"/>
    <w:rsid w:val="007741C0"/>
    <w:rsid w:val="0077452A"/>
    <w:rsid w:val="0077506F"/>
    <w:rsid w:val="007762B1"/>
    <w:rsid w:val="00777171"/>
    <w:rsid w:val="007777C3"/>
    <w:rsid w:val="0078000C"/>
    <w:rsid w:val="0078075E"/>
    <w:rsid w:val="00781903"/>
    <w:rsid w:val="0078208C"/>
    <w:rsid w:val="00782BB1"/>
    <w:rsid w:val="00785F4C"/>
    <w:rsid w:val="00786983"/>
    <w:rsid w:val="00786F76"/>
    <w:rsid w:val="0079143E"/>
    <w:rsid w:val="00791B14"/>
    <w:rsid w:val="00792F49"/>
    <w:rsid w:val="0079374C"/>
    <w:rsid w:val="00793AF8"/>
    <w:rsid w:val="00794EAA"/>
    <w:rsid w:val="0079522F"/>
    <w:rsid w:val="00795CC4"/>
    <w:rsid w:val="00795E0A"/>
    <w:rsid w:val="0079647E"/>
    <w:rsid w:val="007967F3"/>
    <w:rsid w:val="00796F0E"/>
    <w:rsid w:val="007978EA"/>
    <w:rsid w:val="007A163F"/>
    <w:rsid w:val="007A1B47"/>
    <w:rsid w:val="007A1C24"/>
    <w:rsid w:val="007A638E"/>
    <w:rsid w:val="007A657D"/>
    <w:rsid w:val="007A7A9A"/>
    <w:rsid w:val="007A7CA3"/>
    <w:rsid w:val="007A7EEC"/>
    <w:rsid w:val="007B1153"/>
    <w:rsid w:val="007B12F2"/>
    <w:rsid w:val="007B2C16"/>
    <w:rsid w:val="007B3447"/>
    <w:rsid w:val="007B347A"/>
    <w:rsid w:val="007B3849"/>
    <w:rsid w:val="007B4ED9"/>
    <w:rsid w:val="007B63DE"/>
    <w:rsid w:val="007B6DBB"/>
    <w:rsid w:val="007B74DA"/>
    <w:rsid w:val="007C0074"/>
    <w:rsid w:val="007C0A94"/>
    <w:rsid w:val="007C0D09"/>
    <w:rsid w:val="007C3E99"/>
    <w:rsid w:val="007C5461"/>
    <w:rsid w:val="007C54F0"/>
    <w:rsid w:val="007C6358"/>
    <w:rsid w:val="007C6C4B"/>
    <w:rsid w:val="007C738B"/>
    <w:rsid w:val="007D0483"/>
    <w:rsid w:val="007D1C99"/>
    <w:rsid w:val="007D37D6"/>
    <w:rsid w:val="007D3DBF"/>
    <w:rsid w:val="007D5F5D"/>
    <w:rsid w:val="007D613B"/>
    <w:rsid w:val="007D6785"/>
    <w:rsid w:val="007D6F80"/>
    <w:rsid w:val="007D75E0"/>
    <w:rsid w:val="007D7F37"/>
    <w:rsid w:val="007E04F3"/>
    <w:rsid w:val="007E08C3"/>
    <w:rsid w:val="007E0A37"/>
    <w:rsid w:val="007E0D06"/>
    <w:rsid w:val="007E0D8D"/>
    <w:rsid w:val="007E1328"/>
    <w:rsid w:val="007E1894"/>
    <w:rsid w:val="007E1C92"/>
    <w:rsid w:val="007E324E"/>
    <w:rsid w:val="007E375D"/>
    <w:rsid w:val="007E4393"/>
    <w:rsid w:val="007E4657"/>
    <w:rsid w:val="007E5189"/>
    <w:rsid w:val="007E5FC9"/>
    <w:rsid w:val="007E6DB0"/>
    <w:rsid w:val="007E73A2"/>
    <w:rsid w:val="007E7475"/>
    <w:rsid w:val="007E7FC8"/>
    <w:rsid w:val="007F0771"/>
    <w:rsid w:val="007F1BEC"/>
    <w:rsid w:val="007F2006"/>
    <w:rsid w:val="007F29C7"/>
    <w:rsid w:val="007F4625"/>
    <w:rsid w:val="007F5236"/>
    <w:rsid w:val="007F553B"/>
    <w:rsid w:val="007F5AF4"/>
    <w:rsid w:val="007F6570"/>
    <w:rsid w:val="007F6B94"/>
    <w:rsid w:val="007F753A"/>
    <w:rsid w:val="00800596"/>
    <w:rsid w:val="008009B7"/>
    <w:rsid w:val="00802702"/>
    <w:rsid w:val="0080271C"/>
    <w:rsid w:val="00804339"/>
    <w:rsid w:val="00805202"/>
    <w:rsid w:val="00805512"/>
    <w:rsid w:val="0080644B"/>
    <w:rsid w:val="00806BA0"/>
    <w:rsid w:val="0081088B"/>
    <w:rsid w:val="00811C33"/>
    <w:rsid w:val="00812C9F"/>
    <w:rsid w:val="00812F30"/>
    <w:rsid w:val="008133EA"/>
    <w:rsid w:val="00814A56"/>
    <w:rsid w:val="00815D01"/>
    <w:rsid w:val="00816658"/>
    <w:rsid w:val="00816B3D"/>
    <w:rsid w:val="00817319"/>
    <w:rsid w:val="00817F9B"/>
    <w:rsid w:val="00820C35"/>
    <w:rsid w:val="0082159B"/>
    <w:rsid w:val="00821CAA"/>
    <w:rsid w:val="0082217D"/>
    <w:rsid w:val="00822515"/>
    <w:rsid w:val="0082463E"/>
    <w:rsid w:val="00825864"/>
    <w:rsid w:val="00825D1C"/>
    <w:rsid w:val="00830AC4"/>
    <w:rsid w:val="0083117D"/>
    <w:rsid w:val="00833298"/>
    <w:rsid w:val="008338C4"/>
    <w:rsid w:val="00833FC8"/>
    <w:rsid w:val="00834EF5"/>
    <w:rsid w:val="00835620"/>
    <w:rsid w:val="00842B1D"/>
    <w:rsid w:val="00842E55"/>
    <w:rsid w:val="0084308B"/>
    <w:rsid w:val="0084353A"/>
    <w:rsid w:val="00844EB1"/>
    <w:rsid w:val="00845ED4"/>
    <w:rsid w:val="008463EB"/>
    <w:rsid w:val="00846C6C"/>
    <w:rsid w:val="008476DF"/>
    <w:rsid w:val="00847CFF"/>
    <w:rsid w:val="008501DB"/>
    <w:rsid w:val="00851238"/>
    <w:rsid w:val="008515AA"/>
    <w:rsid w:val="00851C99"/>
    <w:rsid w:val="00853022"/>
    <w:rsid w:val="00854365"/>
    <w:rsid w:val="0085458D"/>
    <w:rsid w:val="008552E0"/>
    <w:rsid w:val="00856EE1"/>
    <w:rsid w:val="00860149"/>
    <w:rsid w:val="0086145A"/>
    <w:rsid w:val="0086228E"/>
    <w:rsid w:val="00863158"/>
    <w:rsid w:val="00863C48"/>
    <w:rsid w:val="00864246"/>
    <w:rsid w:val="008648E4"/>
    <w:rsid w:val="00866025"/>
    <w:rsid w:val="00866BD0"/>
    <w:rsid w:val="008671B0"/>
    <w:rsid w:val="008678CF"/>
    <w:rsid w:val="0087005C"/>
    <w:rsid w:val="0087070A"/>
    <w:rsid w:val="00870E4D"/>
    <w:rsid w:val="00872E7E"/>
    <w:rsid w:val="00874309"/>
    <w:rsid w:val="00875398"/>
    <w:rsid w:val="0087550A"/>
    <w:rsid w:val="00876341"/>
    <w:rsid w:val="00876CF6"/>
    <w:rsid w:val="00877651"/>
    <w:rsid w:val="008807FF"/>
    <w:rsid w:val="00880A0F"/>
    <w:rsid w:val="008810D3"/>
    <w:rsid w:val="008816BE"/>
    <w:rsid w:val="008819EA"/>
    <w:rsid w:val="00881B0E"/>
    <w:rsid w:val="0088242D"/>
    <w:rsid w:val="00882F9C"/>
    <w:rsid w:val="00883815"/>
    <w:rsid w:val="008876C0"/>
    <w:rsid w:val="008878CA"/>
    <w:rsid w:val="008909FE"/>
    <w:rsid w:val="00891878"/>
    <w:rsid w:val="00892C2E"/>
    <w:rsid w:val="00892D26"/>
    <w:rsid w:val="00892E2B"/>
    <w:rsid w:val="008930A6"/>
    <w:rsid w:val="00893AF5"/>
    <w:rsid w:val="00895F29"/>
    <w:rsid w:val="008965B8"/>
    <w:rsid w:val="008973D3"/>
    <w:rsid w:val="008974F2"/>
    <w:rsid w:val="008977A2"/>
    <w:rsid w:val="008977E3"/>
    <w:rsid w:val="00897C3A"/>
    <w:rsid w:val="008A0AE4"/>
    <w:rsid w:val="008A2C74"/>
    <w:rsid w:val="008A4AB7"/>
    <w:rsid w:val="008A5110"/>
    <w:rsid w:val="008B02A4"/>
    <w:rsid w:val="008B0580"/>
    <w:rsid w:val="008B0627"/>
    <w:rsid w:val="008B0E94"/>
    <w:rsid w:val="008B20BA"/>
    <w:rsid w:val="008B2112"/>
    <w:rsid w:val="008B369E"/>
    <w:rsid w:val="008B3EC7"/>
    <w:rsid w:val="008B416F"/>
    <w:rsid w:val="008B46A8"/>
    <w:rsid w:val="008B6F4E"/>
    <w:rsid w:val="008B728E"/>
    <w:rsid w:val="008B7631"/>
    <w:rsid w:val="008C00EC"/>
    <w:rsid w:val="008C02F0"/>
    <w:rsid w:val="008C1781"/>
    <w:rsid w:val="008C2025"/>
    <w:rsid w:val="008C26AF"/>
    <w:rsid w:val="008C2732"/>
    <w:rsid w:val="008C3FF5"/>
    <w:rsid w:val="008C4103"/>
    <w:rsid w:val="008C5427"/>
    <w:rsid w:val="008C5691"/>
    <w:rsid w:val="008C7598"/>
    <w:rsid w:val="008C7A4C"/>
    <w:rsid w:val="008C7E3D"/>
    <w:rsid w:val="008D0D17"/>
    <w:rsid w:val="008D10A3"/>
    <w:rsid w:val="008D1F71"/>
    <w:rsid w:val="008D2D9B"/>
    <w:rsid w:val="008D34CA"/>
    <w:rsid w:val="008D4763"/>
    <w:rsid w:val="008D4E37"/>
    <w:rsid w:val="008D5201"/>
    <w:rsid w:val="008D6757"/>
    <w:rsid w:val="008D75F1"/>
    <w:rsid w:val="008E306A"/>
    <w:rsid w:val="008E3760"/>
    <w:rsid w:val="008E5317"/>
    <w:rsid w:val="008E5EB1"/>
    <w:rsid w:val="008E6E9A"/>
    <w:rsid w:val="008E7FCC"/>
    <w:rsid w:val="008F02B4"/>
    <w:rsid w:val="008F0364"/>
    <w:rsid w:val="008F092D"/>
    <w:rsid w:val="008F0C66"/>
    <w:rsid w:val="008F0F44"/>
    <w:rsid w:val="008F264C"/>
    <w:rsid w:val="008F320D"/>
    <w:rsid w:val="008F4E67"/>
    <w:rsid w:val="008F5A03"/>
    <w:rsid w:val="008F6CB8"/>
    <w:rsid w:val="00900690"/>
    <w:rsid w:val="00900AA3"/>
    <w:rsid w:val="00900B48"/>
    <w:rsid w:val="0090152A"/>
    <w:rsid w:val="0090163A"/>
    <w:rsid w:val="0090321A"/>
    <w:rsid w:val="009055F0"/>
    <w:rsid w:val="009065C9"/>
    <w:rsid w:val="00906F81"/>
    <w:rsid w:val="00906FD2"/>
    <w:rsid w:val="00907DD1"/>
    <w:rsid w:val="00910953"/>
    <w:rsid w:val="009111CF"/>
    <w:rsid w:val="0091280D"/>
    <w:rsid w:val="00913031"/>
    <w:rsid w:val="00913CD1"/>
    <w:rsid w:val="00913EB2"/>
    <w:rsid w:val="00913F59"/>
    <w:rsid w:val="0091498C"/>
    <w:rsid w:val="00914F51"/>
    <w:rsid w:val="00915061"/>
    <w:rsid w:val="009168BA"/>
    <w:rsid w:val="00916F12"/>
    <w:rsid w:val="00917460"/>
    <w:rsid w:val="0091781E"/>
    <w:rsid w:val="00920186"/>
    <w:rsid w:val="0092193A"/>
    <w:rsid w:val="00922F7D"/>
    <w:rsid w:val="00923FBA"/>
    <w:rsid w:val="00924E6C"/>
    <w:rsid w:val="009252C3"/>
    <w:rsid w:val="00925B04"/>
    <w:rsid w:val="00927938"/>
    <w:rsid w:val="00927C5A"/>
    <w:rsid w:val="00931974"/>
    <w:rsid w:val="00931C1A"/>
    <w:rsid w:val="0093201B"/>
    <w:rsid w:val="0093249F"/>
    <w:rsid w:val="00934222"/>
    <w:rsid w:val="009376B3"/>
    <w:rsid w:val="00937CD6"/>
    <w:rsid w:val="009408BE"/>
    <w:rsid w:val="00942436"/>
    <w:rsid w:val="00942826"/>
    <w:rsid w:val="009428F6"/>
    <w:rsid w:val="00942B49"/>
    <w:rsid w:val="009462E8"/>
    <w:rsid w:val="00946D29"/>
    <w:rsid w:val="00947997"/>
    <w:rsid w:val="00947FC0"/>
    <w:rsid w:val="00950F49"/>
    <w:rsid w:val="009517C1"/>
    <w:rsid w:val="00953BDA"/>
    <w:rsid w:val="00955160"/>
    <w:rsid w:val="00956D78"/>
    <w:rsid w:val="00957042"/>
    <w:rsid w:val="0095754C"/>
    <w:rsid w:val="00957C1E"/>
    <w:rsid w:val="009607D8"/>
    <w:rsid w:val="00961070"/>
    <w:rsid w:val="009610A8"/>
    <w:rsid w:val="00962590"/>
    <w:rsid w:val="00962B95"/>
    <w:rsid w:val="00963789"/>
    <w:rsid w:val="00963CF6"/>
    <w:rsid w:val="0096599E"/>
    <w:rsid w:val="00965BBE"/>
    <w:rsid w:val="0096619D"/>
    <w:rsid w:val="0096693B"/>
    <w:rsid w:val="009678AF"/>
    <w:rsid w:val="009709A1"/>
    <w:rsid w:val="00970F8F"/>
    <w:rsid w:val="00971566"/>
    <w:rsid w:val="00971C64"/>
    <w:rsid w:val="00976560"/>
    <w:rsid w:val="00976D5F"/>
    <w:rsid w:val="00977838"/>
    <w:rsid w:val="00977D4D"/>
    <w:rsid w:val="00977E24"/>
    <w:rsid w:val="00981C22"/>
    <w:rsid w:val="00982116"/>
    <w:rsid w:val="00982FE3"/>
    <w:rsid w:val="00983B33"/>
    <w:rsid w:val="0098430E"/>
    <w:rsid w:val="00986A50"/>
    <w:rsid w:val="00986FC9"/>
    <w:rsid w:val="009876DB"/>
    <w:rsid w:val="00987C10"/>
    <w:rsid w:val="00990586"/>
    <w:rsid w:val="009907EE"/>
    <w:rsid w:val="0099116A"/>
    <w:rsid w:val="00991502"/>
    <w:rsid w:val="00991511"/>
    <w:rsid w:val="00992B56"/>
    <w:rsid w:val="00993012"/>
    <w:rsid w:val="009933FB"/>
    <w:rsid w:val="0099462F"/>
    <w:rsid w:val="00994B63"/>
    <w:rsid w:val="0099585C"/>
    <w:rsid w:val="009968F1"/>
    <w:rsid w:val="00996D24"/>
    <w:rsid w:val="009A068A"/>
    <w:rsid w:val="009A0874"/>
    <w:rsid w:val="009A2496"/>
    <w:rsid w:val="009A24CC"/>
    <w:rsid w:val="009A2E56"/>
    <w:rsid w:val="009A34C9"/>
    <w:rsid w:val="009A5A08"/>
    <w:rsid w:val="009A7699"/>
    <w:rsid w:val="009A7A61"/>
    <w:rsid w:val="009B0378"/>
    <w:rsid w:val="009B0871"/>
    <w:rsid w:val="009B097A"/>
    <w:rsid w:val="009B1ECA"/>
    <w:rsid w:val="009B201A"/>
    <w:rsid w:val="009B379C"/>
    <w:rsid w:val="009B3E84"/>
    <w:rsid w:val="009B4CD5"/>
    <w:rsid w:val="009B5C88"/>
    <w:rsid w:val="009B6FC4"/>
    <w:rsid w:val="009B7F8E"/>
    <w:rsid w:val="009C01B3"/>
    <w:rsid w:val="009C1063"/>
    <w:rsid w:val="009C123A"/>
    <w:rsid w:val="009C14D6"/>
    <w:rsid w:val="009C2154"/>
    <w:rsid w:val="009C28EA"/>
    <w:rsid w:val="009C47EE"/>
    <w:rsid w:val="009C5246"/>
    <w:rsid w:val="009C592A"/>
    <w:rsid w:val="009C5C39"/>
    <w:rsid w:val="009C69C1"/>
    <w:rsid w:val="009C7E70"/>
    <w:rsid w:val="009D1892"/>
    <w:rsid w:val="009D2229"/>
    <w:rsid w:val="009D4616"/>
    <w:rsid w:val="009D6F24"/>
    <w:rsid w:val="009E1073"/>
    <w:rsid w:val="009E1DA3"/>
    <w:rsid w:val="009E2201"/>
    <w:rsid w:val="009E2850"/>
    <w:rsid w:val="009E2F8B"/>
    <w:rsid w:val="009E3D51"/>
    <w:rsid w:val="009E46E7"/>
    <w:rsid w:val="009E4799"/>
    <w:rsid w:val="009E514D"/>
    <w:rsid w:val="009E54E9"/>
    <w:rsid w:val="009E58C5"/>
    <w:rsid w:val="009E62C6"/>
    <w:rsid w:val="009F0D9A"/>
    <w:rsid w:val="009F10B8"/>
    <w:rsid w:val="009F2713"/>
    <w:rsid w:val="009F3012"/>
    <w:rsid w:val="009F32C8"/>
    <w:rsid w:val="009F6EB2"/>
    <w:rsid w:val="009F7C78"/>
    <w:rsid w:val="00A009AD"/>
    <w:rsid w:val="00A00B34"/>
    <w:rsid w:val="00A01CB4"/>
    <w:rsid w:val="00A02F39"/>
    <w:rsid w:val="00A03914"/>
    <w:rsid w:val="00A03CAE"/>
    <w:rsid w:val="00A04AF6"/>
    <w:rsid w:val="00A0650D"/>
    <w:rsid w:val="00A0784F"/>
    <w:rsid w:val="00A1090D"/>
    <w:rsid w:val="00A11017"/>
    <w:rsid w:val="00A11DAE"/>
    <w:rsid w:val="00A12763"/>
    <w:rsid w:val="00A1452C"/>
    <w:rsid w:val="00A149AD"/>
    <w:rsid w:val="00A16BFE"/>
    <w:rsid w:val="00A2018B"/>
    <w:rsid w:val="00A2354C"/>
    <w:rsid w:val="00A2436F"/>
    <w:rsid w:val="00A24A77"/>
    <w:rsid w:val="00A25599"/>
    <w:rsid w:val="00A2708F"/>
    <w:rsid w:val="00A31F09"/>
    <w:rsid w:val="00A33770"/>
    <w:rsid w:val="00A348DA"/>
    <w:rsid w:val="00A35454"/>
    <w:rsid w:val="00A363F1"/>
    <w:rsid w:val="00A36CC6"/>
    <w:rsid w:val="00A37574"/>
    <w:rsid w:val="00A40359"/>
    <w:rsid w:val="00A40712"/>
    <w:rsid w:val="00A4636C"/>
    <w:rsid w:val="00A46A94"/>
    <w:rsid w:val="00A47B19"/>
    <w:rsid w:val="00A50B6E"/>
    <w:rsid w:val="00A51351"/>
    <w:rsid w:val="00A52746"/>
    <w:rsid w:val="00A52B0D"/>
    <w:rsid w:val="00A53A3B"/>
    <w:rsid w:val="00A53CA7"/>
    <w:rsid w:val="00A54E8D"/>
    <w:rsid w:val="00A5667B"/>
    <w:rsid w:val="00A56CCA"/>
    <w:rsid w:val="00A57B1C"/>
    <w:rsid w:val="00A60934"/>
    <w:rsid w:val="00A619FB"/>
    <w:rsid w:val="00A62B8B"/>
    <w:rsid w:val="00A63DC3"/>
    <w:rsid w:val="00A63F6F"/>
    <w:rsid w:val="00A63FD1"/>
    <w:rsid w:val="00A6440A"/>
    <w:rsid w:val="00A646DE"/>
    <w:rsid w:val="00A65B9F"/>
    <w:rsid w:val="00A6603A"/>
    <w:rsid w:val="00A66E83"/>
    <w:rsid w:val="00A67249"/>
    <w:rsid w:val="00A672B5"/>
    <w:rsid w:val="00A678BF"/>
    <w:rsid w:val="00A70795"/>
    <w:rsid w:val="00A70927"/>
    <w:rsid w:val="00A71F0A"/>
    <w:rsid w:val="00A73E77"/>
    <w:rsid w:val="00A74B2B"/>
    <w:rsid w:val="00A75553"/>
    <w:rsid w:val="00A77C0D"/>
    <w:rsid w:val="00A80371"/>
    <w:rsid w:val="00A80783"/>
    <w:rsid w:val="00A83095"/>
    <w:rsid w:val="00A8541E"/>
    <w:rsid w:val="00A863A0"/>
    <w:rsid w:val="00A86472"/>
    <w:rsid w:val="00A86EA7"/>
    <w:rsid w:val="00A8735C"/>
    <w:rsid w:val="00A87BCB"/>
    <w:rsid w:val="00A912CC"/>
    <w:rsid w:val="00A918AD"/>
    <w:rsid w:val="00A91ED5"/>
    <w:rsid w:val="00A924EB"/>
    <w:rsid w:val="00A92C88"/>
    <w:rsid w:val="00A9502E"/>
    <w:rsid w:val="00A95F39"/>
    <w:rsid w:val="00A9630A"/>
    <w:rsid w:val="00A97017"/>
    <w:rsid w:val="00A97237"/>
    <w:rsid w:val="00A97A5F"/>
    <w:rsid w:val="00AA0440"/>
    <w:rsid w:val="00AA06AD"/>
    <w:rsid w:val="00AA0DBC"/>
    <w:rsid w:val="00AA10C0"/>
    <w:rsid w:val="00AA23AC"/>
    <w:rsid w:val="00AA3BAE"/>
    <w:rsid w:val="00AA48AA"/>
    <w:rsid w:val="00AA4E4F"/>
    <w:rsid w:val="00AA65CD"/>
    <w:rsid w:val="00AA65F6"/>
    <w:rsid w:val="00AA6B59"/>
    <w:rsid w:val="00AB0B97"/>
    <w:rsid w:val="00AB0CF4"/>
    <w:rsid w:val="00AB0F93"/>
    <w:rsid w:val="00AB121A"/>
    <w:rsid w:val="00AB1622"/>
    <w:rsid w:val="00AB1973"/>
    <w:rsid w:val="00AB49E6"/>
    <w:rsid w:val="00AB501F"/>
    <w:rsid w:val="00AB66A6"/>
    <w:rsid w:val="00AB794A"/>
    <w:rsid w:val="00AC021C"/>
    <w:rsid w:val="00AC0BF9"/>
    <w:rsid w:val="00AC0DD1"/>
    <w:rsid w:val="00AC0F48"/>
    <w:rsid w:val="00AC1894"/>
    <w:rsid w:val="00AC206A"/>
    <w:rsid w:val="00AC3594"/>
    <w:rsid w:val="00AC35EB"/>
    <w:rsid w:val="00AC4FCB"/>
    <w:rsid w:val="00AC58E1"/>
    <w:rsid w:val="00AC74CE"/>
    <w:rsid w:val="00AD0CAB"/>
    <w:rsid w:val="00AD0EA8"/>
    <w:rsid w:val="00AD0EBA"/>
    <w:rsid w:val="00AD1680"/>
    <w:rsid w:val="00AD1C7A"/>
    <w:rsid w:val="00AD31A4"/>
    <w:rsid w:val="00AD3C1E"/>
    <w:rsid w:val="00AD3FF1"/>
    <w:rsid w:val="00AD4663"/>
    <w:rsid w:val="00AD6996"/>
    <w:rsid w:val="00AD7E33"/>
    <w:rsid w:val="00AD7EE2"/>
    <w:rsid w:val="00AD7FDF"/>
    <w:rsid w:val="00AE03A9"/>
    <w:rsid w:val="00AE06AF"/>
    <w:rsid w:val="00AE3E37"/>
    <w:rsid w:val="00AE4983"/>
    <w:rsid w:val="00AE51EF"/>
    <w:rsid w:val="00AE5C54"/>
    <w:rsid w:val="00AE62CF"/>
    <w:rsid w:val="00AF0AEE"/>
    <w:rsid w:val="00AF13C7"/>
    <w:rsid w:val="00AF1C57"/>
    <w:rsid w:val="00AF2136"/>
    <w:rsid w:val="00AF2502"/>
    <w:rsid w:val="00AF2DF3"/>
    <w:rsid w:val="00AF357A"/>
    <w:rsid w:val="00AF494F"/>
    <w:rsid w:val="00AF5284"/>
    <w:rsid w:val="00AF6C11"/>
    <w:rsid w:val="00AF74D7"/>
    <w:rsid w:val="00B01673"/>
    <w:rsid w:val="00B01F18"/>
    <w:rsid w:val="00B028ED"/>
    <w:rsid w:val="00B03D14"/>
    <w:rsid w:val="00B042C5"/>
    <w:rsid w:val="00B0506B"/>
    <w:rsid w:val="00B06A21"/>
    <w:rsid w:val="00B101C6"/>
    <w:rsid w:val="00B10BA6"/>
    <w:rsid w:val="00B12861"/>
    <w:rsid w:val="00B17095"/>
    <w:rsid w:val="00B170AA"/>
    <w:rsid w:val="00B21163"/>
    <w:rsid w:val="00B2116D"/>
    <w:rsid w:val="00B2138D"/>
    <w:rsid w:val="00B231DA"/>
    <w:rsid w:val="00B2336C"/>
    <w:rsid w:val="00B234E1"/>
    <w:rsid w:val="00B23764"/>
    <w:rsid w:val="00B247B3"/>
    <w:rsid w:val="00B249BC"/>
    <w:rsid w:val="00B25382"/>
    <w:rsid w:val="00B26813"/>
    <w:rsid w:val="00B3086E"/>
    <w:rsid w:val="00B3090F"/>
    <w:rsid w:val="00B314D0"/>
    <w:rsid w:val="00B31A08"/>
    <w:rsid w:val="00B327AA"/>
    <w:rsid w:val="00B3373C"/>
    <w:rsid w:val="00B33B2B"/>
    <w:rsid w:val="00B341B5"/>
    <w:rsid w:val="00B36DF8"/>
    <w:rsid w:val="00B3738B"/>
    <w:rsid w:val="00B40326"/>
    <w:rsid w:val="00B413FA"/>
    <w:rsid w:val="00B42867"/>
    <w:rsid w:val="00B42A9C"/>
    <w:rsid w:val="00B43E70"/>
    <w:rsid w:val="00B4406B"/>
    <w:rsid w:val="00B44112"/>
    <w:rsid w:val="00B444AF"/>
    <w:rsid w:val="00B45282"/>
    <w:rsid w:val="00B452BF"/>
    <w:rsid w:val="00B45448"/>
    <w:rsid w:val="00B468EE"/>
    <w:rsid w:val="00B46DE8"/>
    <w:rsid w:val="00B472B6"/>
    <w:rsid w:val="00B50850"/>
    <w:rsid w:val="00B512A1"/>
    <w:rsid w:val="00B5143B"/>
    <w:rsid w:val="00B5185A"/>
    <w:rsid w:val="00B51C70"/>
    <w:rsid w:val="00B52970"/>
    <w:rsid w:val="00B52C06"/>
    <w:rsid w:val="00B52DE2"/>
    <w:rsid w:val="00B53CA8"/>
    <w:rsid w:val="00B5440A"/>
    <w:rsid w:val="00B54B4B"/>
    <w:rsid w:val="00B54B55"/>
    <w:rsid w:val="00B55514"/>
    <w:rsid w:val="00B575A0"/>
    <w:rsid w:val="00B57A6A"/>
    <w:rsid w:val="00B61FB3"/>
    <w:rsid w:val="00B622CD"/>
    <w:rsid w:val="00B6336C"/>
    <w:rsid w:val="00B64561"/>
    <w:rsid w:val="00B6573E"/>
    <w:rsid w:val="00B679ED"/>
    <w:rsid w:val="00B703A7"/>
    <w:rsid w:val="00B707CD"/>
    <w:rsid w:val="00B70828"/>
    <w:rsid w:val="00B70888"/>
    <w:rsid w:val="00B716A7"/>
    <w:rsid w:val="00B74666"/>
    <w:rsid w:val="00B75226"/>
    <w:rsid w:val="00B7585C"/>
    <w:rsid w:val="00B7713A"/>
    <w:rsid w:val="00B7719A"/>
    <w:rsid w:val="00B777B9"/>
    <w:rsid w:val="00B779FD"/>
    <w:rsid w:val="00B80155"/>
    <w:rsid w:val="00B810C4"/>
    <w:rsid w:val="00B812A9"/>
    <w:rsid w:val="00B813B0"/>
    <w:rsid w:val="00B8313B"/>
    <w:rsid w:val="00B86139"/>
    <w:rsid w:val="00B86887"/>
    <w:rsid w:val="00B90781"/>
    <w:rsid w:val="00B9288C"/>
    <w:rsid w:val="00B92D38"/>
    <w:rsid w:val="00B9306C"/>
    <w:rsid w:val="00B93077"/>
    <w:rsid w:val="00B93C41"/>
    <w:rsid w:val="00B946FF"/>
    <w:rsid w:val="00B94DEE"/>
    <w:rsid w:val="00B96376"/>
    <w:rsid w:val="00B96EF9"/>
    <w:rsid w:val="00B97CF8"/>
    <w:rsid w:val="00BA0229"/>
    <w:rsid w:val="00BA0ECC"/>
    <w:rsid w:val="00BA1E37"/>
    <w:rsid w:val="00BA4996"/>
    <w:rsid w:val="00BA5D39"/>
    <w:rsid w:val="00BA7A4E"/>
    <w:rsid w:val="00BB010B"/>
    <w:rsid w:val="00BB0209"/>
    <w:rsid w:val="00BB16B6"/>
    <w:rsid w:val="00BB1D41"/>
    <w:rsid w:val="00BB2D1D"/>
    <w:rsid w:val="00BB2EB3"/>
    <w:rsid w:val="00BB54DA"/>
    <w:rsid w:val="00BB688C"/>
    <w:rsid w:val="00BB7159"/>
    <w:rsid w:val="00BB73C5"/>
    <w:rsid w:val="00BB73DA"/>
    <w:rsid w:val="00BC0AD9"/>
    <w:rsid w:val="00BC3EDF"/>
    <w:rsid w:val="00BC46F0"/>
    <w:rsid w:val="00BC58E2"/>
    <w:rsid w:val="00BC59A2"/>
    <w:rsid w:val="00BC5B0F"/>
    <w:rsid w:val="00BC7B33"/>
    <w:rsid w:val="00BD01E1"/>
    <w:rsid w:val="00BD1318"/>
    <w:rsid w:val="00BD21A3"/>
    <w:rsid w:val="00BD224D"/>
    <w:rsid w:val="00BD2533"/>
    <w:rsid w:val="00BD48AF"/>
    <w:rsid w:val="00BD4BBC"/>
    <w:rsid w:val="00BD4BEB"/>
    <w:rsid w:val="00BD4C12"/>
    <w:rsid w:val="00BD51EA"/>
    <w:rsid w:val="00BD63B3"/>
    <w:rsid w:val="00BD74AC"/>
    <w:rsid w:val="00BD7C7F"/>
    <w:rsid w:val="00BE07FE"/>
    <w:rsid w:val="00BE1400"/>
    <w:rsid w:val="00BE265A"/>
    <w:rsid w:val="00BE297F"/>
    <w:rsid w:val="00BE4B54"/>
    <w:rsid w:val="00BF1235"/>
    <w:rsid w:val="00BF1612"/>
    <w:rsid w:val="00BF1D9E"/>
    <w:rsid w:val="00BF26B0"/>
    <w:rsid w:val="00BF3144"/>
    <w:rsid w:val="00BF487C"/>
    <w:rsid w:val="00BF5144"/>
    <w:rsid w:val="00BF5F7B"/>
    <w:rsid w:val="00BF793F"/>
    <w:rsid w:val="00C00D9B"/>
    <w:rsid w:val="00C0147F"/>
    <w:rsid w:val="00C01DD8"/>
    <w:rsid w:val="00C020ED"/>
    <w:rsid w:val="00C065D6"/>
    <w:rsid w:val="00C070A9"/>
    <w:rsid w:val="00C1163C"/>
    <w:rsid w:val="00C13847"/>
    <w:rsid w:val="00C13A19"/>
    <w:rsid w:val="00C13F9A"/>
    <w:rsid w:val="00C14351"/>
    <w:rsid w:val="00C143A9"/>
    <w:rsid w:val="00C144DC"/>
    <w:rsid w:val="00C147F0"/>
    <w:rsid w:val="00C14F90"/>
    <w:rsid w:val="00C156C9"/>
    <w:rsid w:val="00C16334"/>
    <w:rsid w:val="00C16F26"/>
    <w:rsid w:val="00C2031E"/>
    <w:rsid w:val="00C2097D"/>
    <w:rsid w:val="00C217F8"/>
    <w:rsid w:val="00C21BCD"/>
    <w:rsid w:val="00C21F2A"/>
    <w:rsid w:val="00C2530A"/>
    <w:rsid w:val="00C259C5"/>
    <w:rsid w:val="00C31F9B"/>
    <w:rsid w:val="00C32765"/>
    <w:rsid w:val="00C32CAA"/>
    <w:rsid w:val="00C32E7B"/>
    <w:rsid w:val="00C33384"/>
    <w:rsid w:val="00C40D26"/>
    <w:rsid w:val="00C41400"/>
    <w:rsid w:val="00C4195D"/>
    <w:rsid w:val="00C424E5"/>
    <w:rsid w:val="00C42FAF"/>
    <w:rsid w:val="00C43CA0"/>
    <w:rsid w:val="00C4469E"/>
    <w:rsid w:val="00C46156"/>
    <w:rsid w:val="00C467A3"/>
    <w:rsid w:val="00C46A3C"/>
    <w:rsid w:val="00C50229"/>
    <w:rsid w:val="00C507F3"/>
    <w:rsid w:val="00C51250"/>
    <w:rsid w:val="00C5269C"/>
    <w:rsid w:val="00C53406"/>
    <w:rsid w:val="00C53599"/>
    <w:rsid w:val="00C53683"/>
    <w:rsid w:val="00C5393D"/>
    <w:rsid w:val="00C53CF9"/>
    <w:rsid w:val="00C54348"/>
    <w:rsid w:val="00C543B1"/>
    <w:rsid w:val="00C545E4"/>
    <w:rsid w:val="00C557DB"/>
    <w:rsid w:val="00C55CDD"/>
    <w:rsid w:val="00C56594"/>
    <w:rsid w:val="00C574EA"/>
    <w:rsid w:val="00C620B4"/>
    <w:rsid w:val="00C62535"/>
    <w:rsid w:val="00C62CF0"/>
    <w:rsid w:val="00C636E6"/>
    <w:rsid w:val="00C638CF"/>
    <w:rsid w:val="00C64DA8"/>
    <w:rsid w:val="00C65F27"/>
    <w:rsid w:val="00C66193"/>
    <w:rsid w:val="00C66D0F"/>
    <w:rsid w:val="00C66FEE"/>
    <w:rsid w:val="00C67DB9"/>
    <w:rsid w:val="00C705E6"/>
    <w:rsid w:val="00C70BDC"/>
    <w:rsid w:val="00C71889"/>
    <w:rsid w:val="00C72095"/>
    <w:rsid w:val="00C74189"/>
    <w:rsid w:val="00C744EF"/>
    <w:rsid w:val="00C75282"/>
    <w:rsid w:val="00C7603B"/>
    <w:rsid w:val="00C8043C"/>
    <w:rsid w:val="00C8069E"/>
    <w:rsid w:val="00C806C5"/>
    <w:rsid w:val="00C809F3"/>
    <w:rsid w:val="00C812FB"/>
    <w:rsid w:val="00C82BA4"/>
    <w:rsid w:val="00C83670"/>
    <w:rsid w:val="00C8479A"/>
    <w:rsid w:val="00C84990"/>
    <w:rsid w:val="00C84A09"/>
    <w:rsid w:val="00C8562D"/>
    <w:rsid w:val="00C85963"/>
    <w:rsid w:val="00C911F3"/>
    <w:rsid w:val="00C91A66"/>
    <w:rsid w:val="00C91AE9"/>
    <w:rsid w:val="00C91E5D"/>
    <w:rsid w:val="00C928E3"/>
    <w:rsid w:val="00C92920"/>
    <w:rsid w:val="00C92CB1"/>
    <w:rsid w:val="00C94698"/>
    <w:rsid w:val="00CA043F"/>
    <w:rsid w:val="00CA105D"/>
    <w:rsid w:val="00CA15D6"/>
    <w:rsid w:val="00CA1BED"/>
    <w:rsid w:val="00CA1E10"/>
    <w:rsid w:val="00CA38FA"/>
    <w:rsid w:val="00CA3C3B"/>
    <w:rsid w:val="00CA3FAC"/>
    <w:rsid w:val="00CA5E45"/>
    <w:rsid w:val="00CB0715"/>
    <w:rsid w:val="00CB2175"/>
    <w:rsid w:val="00CB21F2"/>
    <w:rsid w:val="00CB241E"/>
    <w:rsid w:val="00CB27B8"/>
    <w:rsid w:val="00CB2B88"/>
    <w:rsid w:val="00CB2BD8"/>
    <w:rsid w:val="00CB523C"/>
    <w:rsid w:val="00CB5AC4"/>
    <w:rsid w:val="00CB6570"/>
    <w:rsid w:val="00CB6938"/>
    <w:rsid w:val="00CB6A97"/>
    <w:rsid w:val="00CB7485"/>
    <w:rsid w:val="00CB7D3A"/>
    <w:rsid w:val="00CC121C"/>
    <w:rsid w:val="00CC171E"/>
    <w:rsid w:val="00CC2BAB"/>
    <w:rsid w:val="00CC30D2"/>
    <w:rsid w:val="00CC3212"/>
    <w:rsid w:val="00CC4450"/>
    <w:rsid w:val="00CC56EF"/>
    <w:rsid w:val="00CC5AA8"/>
    <w:rsid w:val="00CC7428"/>
    <w:rsid w:val="00CC7ACA"/>
    <w:rsid w:val="00CD04FF"/>
    <w:rsid w:val="00CD0A0F"/>
    <w:rsid w:val="00CD0F17"/>
    <w:rsid w:val="00CD0F85"/>
    <w:rsid w:val="00CD122E"/>
    <w:rsid w:val="00CD12CC"/>
    <w:rsid w:val="00CD1780"/>
    <w:rsid w:val="00CD2557"/>
    <w:rsid w:val="00CD322D"/>
    <w:rsid w:val="00CD33EC"/>
    <w:rsid w:val="00CD41F7"/>
    <w:rsid w:val="00CD45B6"/>
    <w:rsid w:val="00CD4B13"/>
    <w:rsid w:val="00CD55EF"/>
    <w:rsid w:val="00CD6BF9"/>
    <w:rsid w:val="00CD70EE"/>
    <w:rsid w:val="00CD7375"/>
    <w:rsid w:val="00CD7954"/>
    <w:rsid w:val="00CE0257"/>
    <w:rsid w:val="00CE03E6"/>
    <w:rsid w:val="00CE0D89"/>
    <w:rsid w:val="00CE2FA8"/>
    <w:rsid w:val="00CE45D7"/>
    <w:rsid w:val="00CE6630"/>
    <w:rsid w:val="00CE739E"/>
    <w:rsid w:val="00CF24F1"/>
    <w:rsid w:val="00CF3432"/>
    <w:rsid w:val="00CF55D2"/>
    <w:rsid w:val="00CF6693"/>
    <w:rsid w:val="00CF7293"/>
    <w:rsid w:val="00CF7398"/>
    <w:rsid w:val="00D01250"/>
    <w:rsid w:val="00D01C3A"/>
    <w:rsid w:val="00D03855"/>
    <w:rsid w:val="00D03F9B"/>
    <w:rsid w:val="00D0487B"/>
    <w:rsid w:val="00D04E1D"/>
    <w:rsid w:val="00D05DA3"/>
    <w:rsid w:val="00D07BBC"/>
    <w:rsid w:val="00D07D42"/>
    <w:rsid w:val="00D10199"/>
    <w:rsid w:val="00D106E9"/>
    <w:rsid w:val="00D11DFC"/>
    <w:rsid w:val="00D124A9"/>
    <w:rsid w:val="00D12B76"/>
    <w:rsid w:val="00D13372"/>
    <w:rsid w:val="00D15651"/>
    <w:rsid w:val="00D2003C"/>
    <w:rsid w:val="00D21B88"/>
    <w:rsid w:val="00D21DF2"/>
    <w:rsid w:val="00D23B2E"/>
    <w:rsid w:val="00D23EB9"/>
    <w:rsid w:val="00D25367"/>
    <w:rsid w:val="00D25D4A"/>
    <w:rsid w:val="00D266DF"/>
    <w:rsid w:val="00D273E0"/>
    <w:rsid w:val="00D30C9A"/>
    <w:rsid w:val="00D31A47"/>
    <w:rsid w:val="00D32EC2"/>
    <w:rsid w:val="00D34115"/>
    <w:rsid w:val="00D345F7"/>
    <w:rsid w:val="00D369C7"/>
    <w:rsid w:val="00D36FDC"/>
    <w:rsid w:val="00D370A7"/>
    <w:rsid w:val="00D375BF"/>
    <w:rsid w:val="00D41210"/>
    <w:rsid w:val="00D42010"/>
    <w:rsid w:val="00D42585"/>
    <w:rsid w:val="00D44406"/>
    <w:rsid w:val="00D461DD"/>
    <w:rsid w:val="00D46628"/>
    <w:rsid w:val="00D47460"/>
    <w:rsid w:val="00D47B4C"/>
    <w:rsid w:val="00D53787"/>
    <w:rsid w:val="00D54D37"/>
    <w:rsid w:val="00D55CE8"/>
    <w:rsid w:val="00D56A8B"/>
    <w:rsid w:val="00D630B3"/>
    <w:rsid w:val="00D66287"/>
    <w:rsid w:val="00D662C1"/>
    <w:rsid w:val="00D672BF"/>
    <w:rsid w:val="00D7191D"/>
    <w:rsid w:val="00D71A80"/>
    <w:rsid w:val="00D72151"/>
    <w:rsid w:val="00D72C44"/>
    <w:rsid w:val="00D730A8"/>
    <w:rsid w:val="00D74E04"/>
    <w:rsid w:val="00D76330"/>
    <w:rsid w:val="00D7776F"/>
    <w:rsid w:val="00D823FE"/>
    <w:rsid w:val="00D82BB2"/>
    <w:rsid w:val="00D83334"/>
    <w:rsid w:val="00D8490D"/>
    <w:rsid w:val="00D85215"/>
    <w:rsid w:val="00D857B3"/>
    <w:rsid w:val="00D85A07"/>
    <w:rsid w:val="00D85A0D"/>
    <w:rsid w:val="00D8640C"/>
    <w:rsid w:val="00D872ED"/>
    <w:rsid w:val="00D87693"/>
    <w:rsid w:val="00D87B82"/>
    <w:rsid w:val="00D87E96"/>
    <w:rsid w:val="00D90035"/>
    <w:rsid w:val="00D9083F"/>
    <w:rsid w:val="00D90B65"/>
    <w:rsid w:val="00D91D97"/>
    <w:rsid w:val="00D91FF1"/>
    <w:rsid w:val="00D929C0"/>
    <w:rsid w:val="00D93045"/>
    <w:rsid w:val="00D93B78"/>
    <w:rsid w:val="00D9408F"/>
    <w:rsid w:val="00D9454B"/>
    <w:rsid w:val="00D960C5"/>
    <w:rsid w:val="00D963E9"/>
    <w:rsid w:val="00D979DC"/>
    <w:rsid w:val="00DA05A5"/>
    <w:rsid w:val="00DA0892"/>
    <w:rsid w:val="00DA22EE"/>
    <w:rsid w:val="00DA3D55"/>
    <w:rsid w:val="00DA3DF4"/>
    <w:rsid w:val="00DA4907"/>
    <w:rsid w:val="00DA6860"/>
    <w:rsid w:val="00DA6B0E"/>
    <w:rsid w:val="00DB008A"/>
    <w:rsid w:val="00DB0289"/>
    <w:rsid w:val="00DB092C"/>
    <w:rsid w:val="00DB1E16"/>
    <w:rsid w:val="00DB2B90"/>
    <w:rsid w:val="00DB32A6"/>
    <w:rsid w:val="00DB407B"/>
    <w:rsid w:val="00DB5D3D"/>
    <w:rsid w:val="00DB6ADC"/>
    <w:rsid w:val="00DB7AA4"/>
    <w:rsid w:val="00DC1E4A"/>
    <w:rsid w:val="00DC351B"/>
    <w:rsid w:val="00DC4D94"/>
    <w:rsid w:val="00DC7782"/>
    <w:rsid w:val="00DD0BA7"/>
    <w:rsid w:val="00DD3A55"/>
    <w:rsid w:val="00DD4852"/>
    <w:rsid w:val="00DD620D"/>
    <w:rsid w:val="00DD6317"/>
    <w:rsid w:val="00DD67AE"/>
    <w:rsid w:val="00DE11D5"/>
    <w:rsid w:val="00DE21D0"/>
    <w:rsid w:val="00DE234E"/>
    <w:rsid w:val="00DE24C5"/>
    <w:rsid w:val="00DE2D0E"/>
    <w:rsid w:val="00DE30ED"/>
    <w:rsid w:val="00DE3960"/>
    <w:rsid w:val="00DE50C5"/>
    <w:rsid w:val="00DE5728"/>
    <w:rsid w:val="00DE6BD9"/>
    <w:rsid w:val="00DE7235"/>
    <w:rsid w:val="00DF021F"/>
    <w:rsid w:val="00DF0D64"/>
    <w:rsid w:val="00DF0F68"/>
    <w:rsid w:val="00DF1DFC"/>
    <w:rsid w:val="00DF2685"/>
    <w:rsid w:val="00DF737A"/>
    <w:rsid w:val="00E00BA6"/>
    <w:rsid w:val="00E04C47"/>
    <w:rsid w:val="00E04E6E"/>
    <w:rsid w:val="00E05026"/>
    <w:rsid w:val="00E055CA"/>
    <w:rsid w:val="00E0565E"/>
    <w:rsid w:val="00E06E45"/>
    <w:rsid w:val="00E0707D"/>
    <w:rsid w:val="00E07EFE"/>
    <w:rsid w:val="00E1019E"/>
    <w:rsid w:val="00E10F22"/>
    <w:rsid w:val="00E12F0B"/>
    <w:rsid w:val="00E161BD"/>
    <w:rsid w:val="00E17073"/>
    <w:rsid w:val="00E17BF6"/>
    <w:rsid w:val="00E20B9E"/>
    <w:rsid w:val="00E20CE7"/>
    <w:rsid w:val="00E22895"/>
    <w:rsid w:val="00E22EC9"/>
    <w:rsid w:val="00E237A4"/>
    <w:rsid w:val="00E24044"/>
    <w:rsid w:val="00E255DE"/>
    <w:rsid w:val="00E25CF6"/>
    <w:rsid w:val="00E26D5F"/>
    <w:rsid w:val="00E26E1E"/>
    <w:rsid w:val="00E2735F"/>
    <w:rsid w:val="00E31BCA"/>
    <w:rsid w:val="00E33424"/>
    <w:rsid w:val="00E33AC7"/>
    <w:rsid w:val="00E33E9A"/>
    <w:rsid w:val="00E33F87"/>
    <w:rsid w:val="00E34D87"/>
    <w:rsid w:val="00E36692"/>
    <w:rsid w:val="00E36BC1"/>
    <w:rsid w:val="00E36E77"/>
    <w:rsid w:val="00E36FBD"/>
    <w:rsid w:val="00E40E95"/>
    <w:rsid w:val="00E41025"/>
    <w:rsid w:val="00E41C25"/>
    <w:rsid w:val="00E421C2"/>
    <w:rsid w:val="00E42FB5"/>
    <w:rsid w:val="00E43070"/>
    <w:rsid w:val="00E43A51"/>
    <w:rsid w:val="00E4768B"/>
    <w:rsid w:val="00E509B5"/>
    <w:rsid w:val="00E50A98"/>
    <w:rsid w:val="00E50C48"/>
    <w:rsid w:val="00E51650"/>
    <w:rsid w:val="00E519B9"/>
    <w:rsid w:val="00E52010"/>
    <w:rsid w:val="00E5276C"/>
    <w:rsid w:val="00E54CA7"/>
    <w:rsid w:val="00E55C01"/>
    <w:rsid w:val="00E56140"/>
    <w:rsid w:val="00E562AD"/>
    <w:rsid w:val="00E5665C"/>
    <w:rsid w:val="00E57CB7"/>
    <w:rsid w:val="00E61735"/>
    <w:rsid w:val="00E61750"/>
    <w:rsid w:val="00E63AAA"/>
    <w:rsid w:val="00E63BEF"/>
    <w:rsid w:val="00E63F69"/>
    <w:rsid w:val="00E649FB"/>
    <w:rsid w:val="00E656BE"/>
    <w:rsid w:val="00E66117"/>
    <w:rsid w:val="00E67F40"/>
    <w:rsid w:val="00E701F1"/>
    <w:rsid w:val="00E702FA"/>
    <w:rsid w:val="00E70711"/>
    <w:rsid w:val="00E73E40"/>
    <w:rsid w:val="00E74560"/>
    <w:rsid w:val="00E77628"/>
    <w:rsid w:val="00E77C3C"/>
    <w:rsid w:val="00E8126D"/>
    <w:rsid w:val="00E83F2D"/>
    <w:rsid w:val="00E843B3"/>
    <w:rsid w:val="00E901B7"/>
    <w:rsid w:val="00E909D9"/>
    <w:rsid w:val="00E90D6F"/>
    <w:rsid w:val="00E90F84"/>
    <w:rsid w:val="00E91A6E"/>
    <w:rsid w:val="00E942DB"/>
    <w:rsid w:val="00E94F06"/>
    <w:rsid w:val="00E9580A"/>
    <w:rsid w:val="00E96915"/>
    <w:rsid w:val="00E96938"/>
    <w:rsid w:val="00E971DD"/>
    <w:rsid w:val="00E975E4"/>
    <w:rsid w:val="00EA1A1F"/>
    <w:rsid w:val="00EA1C6A"/>
    <w:rsid w:val="00EA35BA"/>
    <w:rsid w:val="00EA457D"/>
    <w:rsid w:val="00EA5183"/>
    <w:rsid w:val="00EA6324"/>
    <w:rsid w:val="00EA63DA"/>
    <w:rsid w:val="00EA7521"/>
    <w:rsid w:val="00EA75F6"/>
    <w:rsid w:val="00EB2DC9"/>
    <w:rsid w:val="00EB3267"/>
    <w:rsid w:val="00EB4159"/>
    <w:rsid w:val="00EB5F71"/>
    <w:rsid w:val="00EB7559"/>
    <w:rsid w:val="00EB7997"/>
    <w:rsid w:val="00EC05CB"/>
    <w:rsid w:val="00EC106B"/>
    <w:rsid w:val="00EC14E0"/>
    <w:rsid w:val="00EC565C"/>
    <w:rsid w:val="00EC6B83"/>
    <w:rsid w:val="00EC703A"/>
    <w:rsid w:val="00EC750B"/>
    <w:rsid w:val="00EC7B95"/>
    <w:rsid w:val="00ED0160"/>
    <w:rsid w:val="00ED0D67"/>
    <w:rsid w:val="00ED1988"/>
    <w:rsid w:val="00ED3622"/>
    <w:rsid w:val="00ED3D1A"/>
    <w:rsid w:val="00ED704D"/>
    <w:rsid w:val="00ED77DB"/>
    <w:rsid w:val="00EE0939"/>
    <w:rsid w:val="00EE0971"/>
    <w:rsid w:val="00EE3F13"/>
    <w:rsid w:val="00EE54E3"/>
    <w:rsid w:val="00EE5A5E"/>
    <w:rsid w:val="00EE7C87"/>
    <w:rsid w:val="00EF0130"/>
    <w:rsid w:val="00EF17C1"/>
    <w:rsid w:val="00EF284C"/>
    <w:rsid w:val="00EF36AB"/>
    <w:rsid w:val="00EF6179"/>
    <w:rsid w:val="00EF75DF"/>
    <w:rsid w:val="00F008EB"/>
    <w:rsid w:val="00F00919"/>
    <w:rsid w:val="00F0235F"/>
    <w:rsid w:val="00F04B9D"/>
    <w:rsid w:val="00F05F0B"/>
    <w:rsid w:val="00F06BF7"/>
    <w:rsid w:val="00F07212"/>
    <w:rsid w:val="00F114DB"/>
    <w:rsid w:val="00F118EC"/>
    <w:rsid w:val="00F11B23"/>
    <w:rsid w:val="00F13E9A"/>
    <w:rsid w:val="00F13FC6"/>
    <w:rsid w:val="00F17326"/>
    <w:rsid w:val="00F20FC0"/>
    <w:rsid w:val="00F21422"/>
    <w:rsid w:val="00F2227A"/>
    <w:rsid w:val="00F22B98"/>
    <w:rsid w:val="00F248AB"/>
    <w:rsid w:val="00F24C39"/>
    <w:rsid w:val="00F25644"/>
    <w:rsid w:val="00F27766"/>
    <w:rsid w:val="00F27E77"/>
    <w:rsid w:val="00F30595"/>
    <w:rsid w:val="00F31CAA"/>
    <w:rsid w:val="00F32C71"/>
    <w:rsid w:val="00F33FD8"/>
    <w:rsid w:val="00F378FE"/>
    <w:rsid w:val="00F37E88"/>
    <w:rsid w:val="00F407E7"/>
    <w:rsid w:val="00F40974"/>
    <w:rsid w:val="00F411E3"/>
    <w:rsid w:val="00F4285E"/>
    <w:rsid w:val="00F4490D"/>
    <w:rsid w:val="00F454FB"/>
    <w:rsid w:val="00F47565"/>
    <w:rsid w:val="00F475BA"/>
    <w:rsid w:val="00F47F93"/>
    <w:rsid w:val="00F5069A"/>
    <w:rsid w:val="00F520CF"/>
    <w:rsid w:val="00F5335A"/>
    <w:rsid w:val="00F5358C"/>
    <w:rsid w:val="00F55384"/>
    <w:rsid w:val="00F554EF"/>
    <w:rsid w:val="00F5595A"/>
    <w:rsid w:val="00F55A2D"/>
    <w:rsid w:val="00F567FA"/>
    <w:rsid w:val="00F60F69"/>
    <w:rsid w:val="00F615F7"/>
    <w:rsid w:val="00F62C1D"/>
    <w:rsid w:val="00F63A46"/>
    <w:rsid w:val="00F63B6A"/>
    <w:rsid w:val="00F63DEE"/>
    <w:rsid w:val="00F64960"/>
    <w:rsid w:val="00F65800"/>
    <w:rsid w:val="00F65A9B"/>
    <w:rsid w:val="00F66411"/>
    <w:rsid w:val="00F670E4"/>
    <w:rsid w:val="00F73D8F"/>
    <w:rsid w:val="00F746A2"/>
    <w:rsid w:val="00F75EAE"/>
    <w:rsid w:val="00F762D7"/>
    <w:rsid w:val="00F76850"/>
    <w:rsid w:val="00F82E55"/>
    <w:rsid w:val="00F83CF9"/>
    <w:rsid w:val="00F847BE"/>
    <w:rsid w:val="00F84809"/>
    <w:rsid w:val="00F8482D"/>
    <w:rsid w:val="00F86660"/>
    <w:rsid w:val="00F86954"/>
    <w:rsid w:val="00F90F80"/>
    <w:rsid w:val="00F91042"/>
    <w:rsid w:val="00F914FA"/>
    <w:rsid w:val="00F91763"/>
    <w:rsid w:val="00F91A14"/>
    <w:rsid w:val="00F925FE"/>
    <w:rsid w:val="00F93104"/>
    <w:rsid w:val="00F935CE"/>
    <w:rsid w:val="00F94D38"/>
    <w:rsid w:val="00F950A2"/>
    <w:rsid w:val="00F964CE"/>
    <w:rsid w:val="00F96FF8"/>
    <w:rsid w:val="00F9742F"/>
    <w:rsid w:val="00F97B2C"/>
    <w:rsid w:val="00FA019D"/>
    <w:rsid w:val="00FA06BF"/>
    <w:rsid w:val="00FA085E"/>
    <w:rsid w:val="00FA0F73"/>
    <w:rsid w:val="00FA172B"/>
    <w:rsid w:val="00FA1E50"/>
    <w:rsid w:val="00FA4C3D"/>
    <w:rsid w:val="00FA506F"/>
    <w:rsid w:val="00FA50AA"/>
    <w:rsid w:val="00FA698A"/>
    <w:rsid w:val="00FA7868"/>
    <w:rsid w:val="00FA7912"/>
    <w:rsid w:val="00FB0D97"/>
    <w:rsid w:val="00FB10CD"/>
    <w:rsid w:val="00FB1738"/>
    <w:rsid w:val="00FB24E3"/>
    <w:rsid w:val="00FB3129"/>
    <w:rsid w:val="00FB4500"/>
    <w:rsid w:val="00FB4505"/>
    <w:rsid w:val="00FB4DD2"/>
    <w:rsid w:val="00FB5176"/>
    <w:rsid w:val="00FB51F7"/>
    <w:rsid w:val="00FB588A"/>
    <w:rsid w:val="00FB6D9D"/>
    <w:rsid w:val="00FB70B4"/>
    <w:rsid w:val="00FC0748"/>
    <w:rsid w:val="00FC0F60"/>
    <w:rsid w:val="00FC1711"/>
    <w:rsid w:val="00FC4160"/>
    <w:rsid w:val="00FC4721"/>
    <w:rsid w:val="00FC5AEF"/>
    <w:rsid w:val="00FC5B3A"/>
    <w:rsid w:val="00FC6352"/>
    <w:rsid w:val="00FC78C0"/>
    <w:rsid w:val="00FC7985"/>
    <w:rsid w:val="00FC7CB4"/>
    <w:rsid w:val="00FC7DAA"/>
    <w:rsid w:val="00FD00F9"/>
    <w:rsid w:val="00FD321A"/>
    <w:rsid w:val="00FD4869"/>
    <w:rsid w:val="00FD5D50"/>
    <w:rsid w:val="00FD5E93"/>
    <w:rsid w:val="00FD7164"/>
    <w:rsid w:val="00FE0589"/>
    <w:rsid w:val="00FE216D"/>
    <w:rsid w:val="00FE2381"/>
    <w:rsid w:val="00FE2CD2"/>
    <w:rsid w:val="00FE53B1"/>
    <w:rsid w:val="00FE57FC"/>
    <w:rsid w:val="00FF2498"/>
    <w:rsid w:val="00FF3704"/>
    <w:rsid w:val="00FF415E"/>
    <w:rsid w:val="00FF59C4"/>
    <w:rsid w:val="00FF64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CE7B8F"/>
  <w15:chartTrackingRefBased/>
  <w15:docId w15:val="{440805F1-947D-42C0-912D-9045E969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rsid w:val="00505D99"/>
    <w:pPr>
      <w:widowControl w:val="0"/>
    </w:pPr>
    <w:rPr>
      <w:rFonts w:ascii="Microsoft JhengHei" w:hAnsi="Microsoft JhengHei" w:eastAsia="Microsoft JhengHei"/>
      <w:kern w:val="2"/>
      <w:sz w:val="22"/>
      <w:szCs w:val="24"/>
    </w:rPr>
  </w:style>
  <w:style w:type="paragraph" w:styleId="1">
    <w:name w:val="heading 1"/>
    <w:basedOn w:val="a2"/>
    <w:next w:val="a2"/>
    <w:link w:val="10"/>
    <w:qFormat/>
    <w:rsid w:val="00851C99"/>
    <w:pPr>
      <w:keepNext/>
      <w:outlineLvl w:val="0"/>
    </w:pPr>
    <w:rPr>
      <w:rFonts w:ascii="Microsoft JhengHei" w:hAnsi="Microsoft JhengHei" w:eastAsia="Microsoft JhengHei"/>
      <w:sz w:val="28"/>
    </w:rPr>
  </w:style>
  <w:style w:type="paragraph" w:styleId="2">
    <w:name w:val="heading 2"/>
    <w:basedOn w:val="a2"/>
    <w:next w:val="a2"/>
    <w:link w:val="20"/>
    <w:qFormat/>
    <w:rsid w:val="00851C99"/>
    <w:pPr>
      <w:keepNext/>
      <w:numPr>
        <w:ilvl w:val="1"/>
        <w:numId w:val="5"/>
      </w:numPr>
      <w:adjustRightInd w:val="0"/>
      <w:spacing w:before="240" w:after="120" w:line="400" w:lineRule="atLeast"/>
      <w:textAlignment w:val="baseline"/>
      <w:outlineLvl w:val="1"/>
    </w:pPr>
    <w:rPr>
      <w:rFonts w:ascii="Microsoft JhengHei" w:eastAsia="Microsoft JhengHei" w:hAnsi="Microsoft JhengHei"/>
      <w:kern w:val="0"/>
      <w:sz w:val="28"/>
      <w:szCs w:val="28"/>
    </w:rPr>
  </w:style>
  <w:style w:type="paragraph" w:styleId="3">
    <w:name w:val="heading 3"/>
    <w:basedOn w:val="a2"/>
    <w:next w:val="a2"/>
    <w:link w:val="31"/>
    <w:qFormat/>
    <w:rsid w:val="00851C99"/>
    <w:pPr>
      <w:keepNext/>
      <w:numPr>
        <w:ilvl w:val="2"/>
        <w:numId w:val="5"/>
      </w:numPr>
      <w:adjustRightInd w:val="0"/>
      <w:spacing w:line="720" w:lineRule="atLeast"/>
      <w:textAlignment w:val="baseline"/>
      <w:outlineLvl w:val="2"/>
    </w:pPr>
    <w:rPr>
      <w:rFonts w:ascii="Microsoft JhengHei" w:eastAsia="Microsoft JhengHei" w:hAnsi="Microsoft JhengHei"/>
      <w:b/>
      <w:kern w:val="0"/>
      <w:sz w:val="36"/>
      <w:szCs w:val="28"/>
    </w:rPr>
  </w:style>
  <w:style w:type="paragraph" w:styleId="4">
    <w:name w:val="heading 4"/>
    <w:basedOn w:val="a2"/>
    <w:next w:val="a2"/>
    <w:link w:val="40"/>
    <w:qFormat/>
    <w:rsid w:val="00851C99"/>
    <w:pPr>
      <w:keepNext/>
      <w:numPr>
        <w:ilvl w:val="3"/>
        <w:numId w:val="5"/>
      </w:numPr>
      <w:adjustRightInd w:val="0"/>
      <w:spacing w:line="720" w:lineRule="atLeast"/>
      <w:textAlignment w:val="baseline"/>
      <w:outlineLvl w:val="3"/>
    </w:pPr>
    <w:rPr>
      <w:rFonts w:ascii="Arial" w:eastAsia="標楷體" w:hAnsi="Arial"/>
      <w:kern w:val="0"/>
      <w:sz w:val="36"/>
      <w:szCs w:val="28"/>
    </w:rPr>
  </w:style>
  <w:style w:type="paragraph" w:styleId="5">
    <w:name w:val="heading 5"/>
    <w:basedOn w:val="a2"/>
    <w:next w:val="a2"/>
    <w:link w:val="50"/>
    <w:qFormat/>
    <w:rsid w:val="00851C99"/>
    <w:pPr>
      <w:keepNext/>
      <w:numPr>
        <w:ilvl w:val="4"/>
        <w:numId w:val="5"/>
      </w:numPr>
      <w:adjustRightInd w:val="0"/>
      <w:spacing w:line="720" w:lineRule="atLeast"/>
      <w:textAlignment w:val="baseline"/>
      <w:outlineLvl w:val="4"/>
    </w:pPr>
    <w:rPr>
      <w:rFonts w:ascii="Arial" w:eastAsia="標楷體" w:hAnsi="Arial"/>
      <w:b/>
      <w:kern w:val="0"/>
      <w:sz w:val="36"/>
      <w:szCs w:val="28"/>
    </w:rPr>
  </w:style>
  <w:style w:type="paragraph" w:styleId="6">
    <w:name w:val="heading 6"/>
    <w:basedOn w:val="a2"/>
    <w:next w:val="a2"/>
    <w:link w:val="60"/>
    <w:qFormat/>
    <w:rsid w:val="00851C99"/>
    <w:pPr>
      <w:keepNext/>
      <w:numPr>
        <w:ilvl w:val="5"/>
        <w:numId w:val="5"/>
      </w:numPr>
      <w:adjustRightInd w:val="0"/>
      <w:spacing w:line="720" w:lineRule="atLeast"/>
      <w:textAlignment w:val="baseline"/>
      <w:outlineLvl w:val="5"/>
    </w:pPr>
    <w:rPr>
      <w:rFonts w:ascii="Arial" w:eastAsia="標楷體" w:hAnsi="Arial"/>
      <w:kern w:val="0"/>
      <w:sz w:val="36"/>
      <w:szCs w:val="28"/>
    </w:rPr>
  </w:style>
  <w:style w:type="paragraph" w:styleId="7">
    <w:name w:val="heading 7"/>
    <w:basedOn w:val="a2"/>
    <w:next w:val="a2"/>
    <w:link w:val="70"/>
    <w:qFormat/>
    <w:rsid w:val="00851C99"/>
    <w:pPr>
      <w:keepNext/>
      <w:numPr>
        <w:ilvl w:val="6"/>
        <w:numId w:val="5"/>
      </w:numPr>
      <w:adjustRightInd w:val="0"/>
      <w:spacing w:line="720" w:lineRule="atLeast"/>
      <w:textAlignment w:val="baseline"/>
      <w:outlineLvl w:val="6"/>
    </w:pPr>
    <w:rPr>
      <w:rFonts w:ascii="Arial" w:eastAsia="標楷體" w:hAnsi="Arial"/>
      <w:b/>
      <w:kern w:val="0"/>
      <w:sz w:val="36"/>
      <w:szCs w:val="28"/>
    </w:rPr>
  </w:style>
  <w:style w:type="paragraph" w:styleId="8">
    <w:name w:val="heading 8"/>
    <w:basedOn w:val="a2"/>
    <w:next w:val="a2"/>
    <w:link w:val="80"/>
    <w:qFormat/>
    <w:rsid w:val="00851C99"/>
    <w:pPr>
      <w:keepNext/>
      <w:numPr>
        <w:ilvl w:val="7"/>
        <w:numId w:val="5"/>
      </w:numPr>
      <w:adjustRightInd w:val="0"/>
      <w:spacing w:line="720" w:lineRule="atLeast"/>
      <w:textAlignment w:val="baseline"/>
      <w:outlineLvl w:val="7"/>
    </w:pPr>
    <w:rPr>
      <w:rFonts w:ascii="Arial" w:eastAsia="標楷體" w:hAnsi="Arial"/>
      <w:kern w:val="0"/>
      <w:sz w:val="36"/>
      <w:szCs w:val="28"/>
    </w:rPr>
  </w:style>
  <w:style w:type="paragraph" w:styleId="9">
    <w:name w:val="heading 9"/>
    <w:basedOn w:val="a2"/>
    <w:next w:val="a2"/>
    <w:link w:val="90"/>
    <w:qFormat/>
    <w:rsid w:val="00851C99"/>
    <w:pPr>
      <w:keepNext/>
      <w:numPr>
        <w:ilvl w:val="8"/>
        <w:numId w:val="5"/>
      </w:numPr>
      <w:adjustRightInd w:val="0"/>
      <w:spacing w:line="720" w:lineRule="atLeast"/>
      <w:textAlignment w:val="baseline"/>
      <w:outlineLvl w:val="8"/>
    </w:pPr>
    <w:rPr>
      <w:rFonts w:ascii="Arial" w:eastAsia="標楷體" w:hAnsi="Arial"/>
      <w:kern w:val="0"/>
      <w:sz w:val="36"/>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uiPriority w:val="99"/>
    <w:rPr>
      <w:color w:val="0000FF"/>
      <w:u w:val="single"/>
    </w:rPr>
  </w:style>
  <w:style w:type="paragraph" w:styleId="a7">
    <w:name w:val="header"/>
    <w:basedOn w:val="a2"/>
    <w:link w:val="a8"/>
    <w:pPr>
      <w:tabs>
        <w:tab w:val="center" w:pos="4153"/>
        <w:tab w:val="right" w:pos="8306"/>
      </w:tabs>
      <w:snapToGrid w:val="0"/>
    </w:pPr>
    <w:rPr>
      <w:sz w:val="20"/>
      <w:szCs w:val="20"/>
    </w:rPr>
  </w:style>
  <w:style w:type="paragraph" w:styleId="a9">
    <w:name w:val="footer"/>
    <w:basedOn w:val="a2"/>
    <w:link w:val="aa"/>
    <w:uiPriority w:val="99"/>
    <w:pPr>
      <w:tabs>
        <w:tab w:val="center" w:pos="4153"/>
        <w:tab w:val="right" w:pos="8306"/>
      </w:tabs>
      <w:snapToGrid w:val="0"/>
    </w:pPr>
    <w:rPr>
      <w:sz w:val="20"/>
      <w:szCs w:val="20"/>
    </w:rPr>
  </w:style>
  <w:style w:type="character" w:styleId="ab">
    <w:name w:val="FollowedHyperlink"/>
    <w:rPr>
      <w:color w:val="800080"/>
      <w:u w:val="single"/>
    </w:rPr>
  </w:style>
  <w:style w:type="paragraph" w:styleId="ac">
    <w:name w:val="Body Text Indent"/>
    <w:basedOn w:val="a2"/>
    <w:pPr>
      <w:snapToGrid w:val="0"/>
      <w:spacing w:beforeLines="25" w:before="90"/>
      <w:ind w:leftChars="186" w:left="446" w:firstLineChars="103" w:firstLine="288"/>
    </w:pPr>
    <w:rPr>
      <w:rFonts w:ascii="Arial" w:eastAsia="標楷體" w:hAnsi="Arial"/>
      <w:sz w:val="28"/>
    </w:rPr>
  </w:style>
  <w:style w:type="character" w:styleId="ad">
    <w:name w:val="page number"/>
    <w:basedOn w:val="a3"/>
  </w:style>
  <w:style w:type="paragraph" w:styleId="21">
    <w:name w:val="Body Text Indent 2"/>
    <w:basedOn w:val="a2"/>
    <w:link w:val="22"/>
    <w:pPr>
      <w:snapToGrid w:val="0"/>
      <w:ind w:left="720" w:hangingChars="300" w:hanging="720"/>
    </w:pPr>
  </w:style>
  <w:style w:type="paragraph" w:styleId="ae">
    <w:name w:val="annotation text"/>
    <w:basedOn w:val="a2"/>
    <w:link w:val="11"/>
    <w:pPr>
      <w:adjustRightInd w:val="0"/>
      <w:spacing w:line="360" w:lineRule="atLeast"/>
      <w:textAlignment w:val="baseline"/>
    </w:pPr>
    <w:rPr>
      <w:kern w:val="0"/>
      <w:szCs w:val="20"/>
    </w:rPr>
  </w:style>
  <w:style w:type="paragraph" w:styleId="32">
    <w:name w:val="Body Text 3"/>
    <w:basedOn w:val="a2"/>
    <w:link w:val="33"/>
    <w:rPr>
      <w:rFonts w:eastAsia="標楷體"/>
      <w:sz w:val="18"/>
    </w:rPr>
  </w:style>
  <w:style w:type="paragraph" w:customStyle="1" w:styleId="12">
    <w:name w:val="純文字1"/>
    <w:basedOn w:val="a2"/>
    <w:pPr>
      <w:adjustRightInd w:val="0"/>
      <w:textAlignment w:val="baseline"/>
    </w:pPr>
    <w:rPr>
      <w:rFonts w:ascii="細明體" w:eastAsia="細明體" w:hAnsi="Courier New"/>
      <w:szCs w:val="20"/>
    </w:rPr>
  </w:style>
  <w:style w:type="paragraph" w:styleId="23">
    <w:name w:val="Body Text 2"/>
    <w:basedOn w:val="a2"/>
    <w:link w:val="24"/>
    <w:rsid w:val="00554B01"/>
    <w:pPr>
      <w:spacing w:after="120" w:line="480" w:lineRule="auto"/>
    </w:pPr>
  </w:style>
  <w:style w:type="paragraph" w:customStyle="1" w:styleId="Default">
    <w:name w:val="Default"/>
    <w:link w:val="Default0"/>
    <w:rsid w:val="007B1153"/>
    <w:pPr>
      <w:widowControl w:val="0"/>
      <w:autoSpaceDE w:val="0"/>
      <w:autoSpaceDN w:val="0"/>
      <w:adjustRightInd w:val="0"/>
    </w:pPr>
    <w:rPr>
      <w:rFonts w:ascii="標楷體" w:eastAsia="標楷體" w:cs="標楷體"/>
      <w:color w:val="000000"/>
      <w:sz w:val="24"/>
      <w:szCs w:val="24"/>
    </w:rPr>
  </w:style>
  <w:style w:type="character" w:customStyle="1" w:styleId="Default0">
    <w:name w:val="Default 字元"/>
    <w:link w:val="Default"/>
    <w:rsid w:val="007B1153"/>
    <w:rPr>
      <w:rFonts w:ascii="標楷體" w:eastAsia="標楷體" w:cs="標楷體"/>
      <w:color w:val="000000"/>
      <w:sz w:val="24"/>
      <w:szCs w:val="24"/>
      <w:lang w:val="en-US" w:eastAsia="zh-TW" w:bidi="ar-SA"/>
    </w:rPr>
  </w:style>
  <w:style w:type="character" w:customStyle="1" w:styleId="10">
    <w:name w:val="標題 1 字元"/>
    <w:link w:val="1"/>
    <w:rsid w:val="00851C99"/>
    <w:rPr>
      <w:kern w:val="2"/>
      <w:sz w:val="28"/>
      <w:szCs w:val="24"/>
    </w:rPr>
  </w:style>
  <w:style w:type="character" w:customStyle="1" w:styleId="20">
    <w:name w:val="標題 2 字元"/>
    <w:link w:val="2"/>
    <w:rsid w:val="00851C99"/>
    <w:rPr>
      <w:rFonts w:ascii="Arial" w:eastAsia="標楷體" w:hAnsi="Arial"/>
      <w:sz w:val="28"/>
      <w:szCs w:val="28"/>
    </w:rPr>
  </w:style>
  <w:style w:type="character" w:customStyle="1" w:styleId="31">
    <w:name w:val="標題 3 字元"/>
    <w:link w:val="3"/>
    <w:rsid w:val="00851C99"/>
    <w:rPr>
      <w:rFonts w:ascii="Arial" w:eastAsia="細明體" w:hAnsi="Arial"/>
      <w:b/>
      <w:sz w:val="36"/>
      <w:szCs w:val="28"/>
    </w:rPr>
  </w:style>
  <w:style w:type="character" w:customStyle="1" w:styleId="40">
    <w:name w:val="標題 4 字元"/>
    <w:link w:val="4"/>
    <w:rsid w:val="00851C99"/>
    <w:rPr>
      <w:rFonts w:ascii="Arial" w:eastAsia="標楷體" w:hAnsi="Arial"/>
      <w:sz w:val="36"/>
      <w:szCs w:val="28"/>
    </w:rPr>
  </w:style>
  <w:style w:type="character" w:customStyle="1" w:styleId="50">
    <w:name w:val="標題 5 字元"/>
    <w:link w:val="5"/>
    <w:rsid w:val="00851C99"/>
    <w:rPr>
      <w:rFonts w:ascii="Arial" w:eastAsia="標楷體" w:hAnsi="Arial"/>
      <w:b/>
      <w:sz w:val="36"/>
      <w:szCs w:val="28"/>
    </w:rPr>
  </w:style>
  <w:style w:type="character" w:customStyle="1" w:styleId="60">
    <w:name w:val="標題 6 字元"/>
    <w:link w:val="6"/>
    <w:rsid w:val="00851C99"/>
    <w:rPr>
      <w:rFonts w:ascii="Arial" w:eastAsia="標楷體" w:hAnsi="Arial"/>
      <w:sz w:val="36"/>
      <w:szCs w:val="28"/>
    </w:rPr>
  </w:style>
  <w:style w:type="character" w:customStyle="1" w:styleId="70">
    <w:name w:val="標題 7 字元"/>
    <w:link w:val="7"/>
    <w:rsid w:val="00851C99"/>
    <w:rPr>
      <w:rFonts w:ascii="Arial" w:eastAsia="標楷體" w:hAnsi="Arial"/>
      <w:b/>
      <w:sz w:val="36"/>
      <w:szCs w:val="28"/>
    </w:rPr>
  </w:style>
  <w:style w:type="character" w:customStyle="1" w:styleId="80">
    <w:name w:val="標題 8 字元"/>
    <w:link w:val="8"/>
    <w:rsid w:val="00851C99"/>
    <w:rPr>
      <w:rFonts w:ascii="Arial" w:eastAsia="標楷體" w:hAnsi="Arial"/>
      <w:sz w:val="36"/>
      <w:szCs w:val="28"/>
    </w:rPr>
  </w:style>
  <w:style w:type="character" w:customStyle="1" w:styleId="90">
    <w:name w:val="標題 9 字元"/>
    <w:link w:val="9"/>
    <w:rsid w:val="00851C99"/>
    <w:rPr>
      <w:rFonts w:ascii="Arial" w:eastAsia="標楷體" w:hAnsi="Arial"/>
      <w:sz w:val="36"/>
      <w:szCs w:val="28"/>
    </w:rPr>
  </w:style>
  <w:style w:type="character" w:customStyle="1" w:styleId="af">
    <w:name w:val="註解文字 字元"/>
    <w:semiHidden/>
    <w:rsid w:val="00851C99"/>
    <w:rPr>
      <w:rFonts w:eastAsia="新細明體"/>
      <w:sz w:val="24"/>
      <w:lang w:val="en-US" w:eastAsia="zh-TW" w:bidi="ar-SA"/>
    </w:rPr>
  </w:style>
  <w:style w:type="paragraph" w:styleId="af0">
    <w:name w:val="Block Text"/>
    <w:basedOn w:val="a2"/>
    <w:rsid w:val="00851C99"/>
    <w:pPr>
      <w:adjustRightInd w:val="0"/>
      <w:spacing w:line="360" w:lineRule="auto"/>
      <w:ind w:left="840" w:right="-214" w:hanging="840"/>
      <w:jc w:val="both"/>
      <w:textAlignment w:val="baseline"/>
    </w:pPr>
    <w:rPr>
      <w:rFonts w:ascii="標楷體" w:eastAsia="標楷體"/>
      <w:kern w:val="0"/>
      <w:sz w:val="28"/>
      <w:szCs w:val="20"/>
    </w:rPr>
  </w:style>
  <w:style w:type="paragraph" w:customStyle="1" w:styleId="13">
    <w:name w:val="純文字1"/>
    <w:basedOn w:val="a2"/>
    <w:rsid w:val="00851C99"/>
    <w:pPr>
      <w:adjustRightInd w:val="0"/>
      <w:textAlignment w:val="baseline"/>
    </w:pPr>
    <w:rPr>
      <w:rFonts w:ascii="細明體" w:eastAsia="細明體" w:hAnsi="Courier New"/>
      <w:szCs w:val="20"/>
    </w:rPr>
  </w:style>
  <w:style w:type="paragraph" w:styleId="af1">
    <w:name w:val="Plain Text"/>
    <w:basedOn w:val="a2"/>
    <w:link w:val="af2"/>
    <w:rsid w:val="00851C99"/>
    <w:pPr>
      <w:adjustRightInd w:val="0"/>
      <w:textAlignment w:val="baseline"/>
    </w:pPr>
    <w:rPr>
      <w:rFonts w:ascii="細明體" w:eastAsia="細明體" w:hAnsi="Courier New"/>
      <w:szCs w:val="20"/>
    </w:rPr>
  </w:style>
  <w:style w:type="character" w:customStyle="1" w:styleId="af2">
    <w:name w:val="純文字 字元"/>
    <w:link w:val="af1"/>
    <w:rsid w:val="00851C99"/>
    <w:rPr>
      <w:rFonts w:ascii="細明體" w:eastAsia="細明體" w:hAnsi="Courier New"/>
      <w:kern w:val="2"/>
      <w:sz w:val="24"/>
    </w:rPr>
  </w:style>
  <w:style w:type="paragraph" w:customStyle="1" w:styleId="100">
    <w:name w:val="100"/>
    <w:basedOn w:val="a2"/>
    <w:rsid w:val="00851C99"/>
    <w:pPr>
      <w:tabs>
        <w:tab w:val="num" w:pos="1120"/>
      </w:tabs>
      <w:spacing w:line="420" w:lineRule="exact"/>
      <w:ind w:left="1120" w:hanging="660"/>
      <w:jc w:val="both"/>
    </w:pPr>
    <w:rPr>
      <w:rFonts w:ascii="標楷體" w:eastAsia="標楷體"/>
      <w:sz w:val="28"/>
      <w:szCs w:val="20"/>
    </w:rPr>
  </w:style>
  <w:style w:type="paragraph" w:customStyle="1" w:styleId="af3">
    <w:name w:val="條文三"/>
    <w:basedOn w:val="a2"/>
    <w:rsid w:val="00851C99"/>
    <w:pPr>
      <w:tabs>
        <w:tab w:val="num" w:pos="720"/>
      </w:tabs>
      <w:adjustRightInd w:val="0"/>
      <w:ind w:right="57"/>
      <w:jc w:val="both"/>
      <w:textAlignment w:val="baseline"/>
    </w:pPr>
    <w:rPr>
      <w:rFonts w:ascii="全真楷書" w:eastAsia="全真楷書"/>
      <w:sz w:val="28"/>
      <w:szCs w:val="20"/>
    </w:rPr>
  </w:style>
  <w:style w:type="paragraph" w:customStyle="1" w:styleId="71">
    <w:name w:val="樣式7"/>
    <w:basedOn w:val="25"/>
    <w:rsid w:val="00851C99"/>
    <w:pPr>
      <w:ind w:left="1361" w:hanging="1361"/>
    </w:pPr>
  </w:style>
  <w:style w:type="paragraph" w:customStyle="1" w:styleId="25">
    <w:name w:val="樣式2"/>
    <w:basedOn w:val="a2"/>
    <w:rsid w:val="00851C99"/>
    <w:pPr>
      <w:kinsoku w:val="0"/>
      <w:adjustRightInd w:val="0"/>
      <w:spacing w:line="360" w:lineRule="exact"/>
      <w:ind w:left="1077" w:hanging="1077"/>
      <w:textAlignment w:val="baseline"/>
    </w:pPr>
    <w:rPr>
      <w:rFonts w:eastAsia="全真楷書"/>
      <w:spacing w:val="14"/>
      <w:kern w:val="0"/>
      <w:szCs w:val="20"/>
    </w:rPr>
  </w:style>
  <w:style w:type="paragraph" w:customStyle="1" w:styleId="34">
    <w:name w:val="樣式3"/>
    <w:basedOn w:val="a2"/>
    <w:rsid w:val="00851C99"/>
    <w:pPr>
      <w:kinsoku w:val="0"/>
      <w:adjustRightInd w:val="0"/>
      <w:spacing w:line="360" w:lineRule="exact"/>
      <w:ind w:left="2098" w:hanging="510"/>
      <w:textAlignment w:val="baseline"/>
    </w:pPr>
    <w:rPr>
      <w:rFonts w:ascii="全真楷書" w:eastAsia="全真楷書"/>
      <w:spacing w:val="14"/>
      <w:kern w:val="0"/>
      <w:szCs w:val="20"/>
    </w:rPr>
  </w:style>
  <w:style w:type="paragraph" w:customStyle="1" w:styleId="19">
    <w:name w:val="樣式19"/>
    <w:basedOn w:val="a2"/>
    <w:rsid w:val="00851C99"/>
    <w:pPr>
      <w:adjustRightInd w:val="0"/>
      <w:spacing w:line="240" w:lineRule="atLeast"/>
      <w:ind w:left="2552" w:hanging="567"/>
      <w:jc w:val="both"/>
      <w:textDirection w:val="lrTbV"/>
      <w:textAlignment w:val="baseline"/>
    </w:pPr>
    <w:rPr>
      <w:rFonts w:ascii="全真楷書" w:eastAsia="全真楷書"/>
      <w:kern w:val="0"/>
      <w:sz w:val="28"/>
      <w:szCs w:val="20"/>
    </w:rPr>
  </w:style>
  <w:style w:type="paragraph" w:styleId="35">
    <w:name w:val="Body Text Indent 3"/>
    <w:basedOn w:val="a2"/>
    <w:link w:val="36"/>
    <w:rsid w:val="00851C99"/>
    <w:pPr>
      <w:spacing w:line="0" w:lineRule="atLeast"/>
      <w:ind w:left="720" w:hanging="720"/>
    </w:pPr>
    <w:rPr>
      <w:rFonts w:ascii="標楷體" w:eastAsia="標楷體"/>
      <w:sz w:val="28"/>
      <w:szCs w:val="20"/>
    </w:rPr>
  </w:style>
  <w:style w:type="character" w:customStyle="1" w:styleId="36">
    <w:name w:val="本文縮排 3 字元"/>
    <w:link w:val="35"/>
    <w:rsid w:val="00851C99"/>
    <w:rPr>
      <w:rFonts w:ascii="標楷體" w:eastAsia="標楷體"/>
      <w:kern w:val="2"/>
      <w:sz w:val="28"/>
    </w:rPr>
  </w:style>
  <w:style w:type="paragraph" w:styleId="af4">
    <w:name w:val="Date"/>
    <w:basedOn w:val="a2"/>
    <w:next w:val="a2"/>
    <w:link w:val="af5"/>
    <w:rsid w:val="00851C99"/>
    <w:pPr>
      <w:jc w:val="right"/>
    </w:pPr>
    <w:rPr>
      <w:rFonts w:ascii="標楷體" w:eastAsia="標楷體"/>
      <w:sz w:val="28"/>
    </w:rPr>
  </w:style>
  <w:style w:type="character" w:customStyle="1" w:styleId="af5">
    <w:name w:val="日期 字元"/>
    <w:link w:val="af4"/>
    <w:rsid w:val="00851C99"/>
    <w:rPr>
      <w:rFonts w:ascii="標楷體" w:eastAsia="標楷體"/>
      <w:kern w:val="2"/>
      <w:sz w:val="28"/>
      <w:szCs w:val="24"/>
    </w:rPr>
  </w:style>
  <w:style w:type="paragraph" w:styleId="af6">
    <w:name w:val="Body Text"/>
    <w:basedOn w:val="a2"/>
    <w:link w:val="af7"/>
    <w:rsid w:val="00851C99"/>
    <w:pPr>
      <w:adjustRightInd w:val="0"/>
      <w:spacing w:line="360" w:lineRule="atLeast"/>
      <w:jc w:val="both"/>
      <w:textAlignment w:val="baseline"/>
    </w:pPr>
    <w:rPr>
      <w:rFonts w:eastAsia="標楷體"/>
      <w:kern w:val="0"/>
      <w:sz w:val="30"/>
      <w:szCs w:val="20"/>
    </w:rPr>
  </w:style>
  <w:style w:type="character" w:customStyle="1" w:styleId="af7">
    <w:name w:val="本文 字元"/>
    <w:link w:val="af6"/>
    <w:rsid w:val="00851C99"/>
    <w:rPr>
      <w:rFonts w:eastAsia="標楷體"/>
      <w:sz w:val="30"/>
    </w:rPr>
  </w:style>
  <w:style w:type="paragraph" w:styleId="HTML">
    <w:name w:val="HTML Preformatted"/>
    <w:basedOn w:val="a2"/>
    <w:link w:val="HTML0"/>
    <w:rsid w:val="00851C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Courier New"/>
      <w:kern w:val="0"/>
      <w:sz w:val="20"/>
      <w:szCs w:val="20"/>
    </w:rPr>
  </w:style>
  <w:style w:type="character" w:customStyle="1" w:styleId="HTML0">
    <w:name w:val="HTML 預設格式 字元"/>
    <w:link w:val="HTML"/>
    <w:rsid w:val="00851C99"/>
    <w:rPr>
      <w:rFonts w:ascii="細明體" w:eastAsia="細明體" w:hAnsi="細明體" w:cs="Courier New"/>
    </w:rPr>
  </w:style>
  <w:style w:type="character" w:styleId="af8">
    <w:name w:val="Strong"/>
    <w:qFormat/>
    <w:rsid w:val="00851C99"/>
    <w:rPr>
      <w:b/>
      <w:bCs/>
    </w:rPr>
  </w:style>
  <w:style w:type="paragraph" w:customStyle="1" w:styleId="af9">
    <w:name w:val="備註"/>
    <w:basedOn w:val="a2"/>
    <w:rsid w:val="00851C99"/>
    <w:pPr>
      <w:adjustRightInd w:val="0"/>
      <w:textAlignment w:val="baseline"/>
    </w:pPr>
    <w:rPr>
      <w:rFonts w:eastAsia="細明體"/>
      <w:kern w:val="0"/>
      <w:position w:val="-24"/>
      <w:sz w:val="20"/>
      <w:szCs w:val="20"/>
    </w:rPr>
  </w:style>
  <w:style w:type="paragraph" w:styleId="Web">
    <w:name w:val="Normal (Web)"/>
    <w:basedOn w:val="a2"/>
    <w:uiPriority w:val="99"/>
    <w:rsid w:val="00851C99"/>
    <w:pPr>
      <w:widowControl/>
      <w:spacing w:before="100" w:beforeAutospacing="1" w:after="100" w:afterAutospacing="1"/>
    </w:pPr>
    <w:rPr>
      <w:rFonts w:ascii="Arial Unicode MS" w:eastAsia="Arial Unicode MS" w:hAnsi="Arial Unicode MS" w:cs="Arial Unicode MS"/>
      <w:kern w:val="0"/>
    </w:rPr>
  </w:style>
  <w:style w:type="paragraph" w:customStyle="1" w:styleId="a1">
    <w:name w:val="項目點縮"/>
    <w:basedOn w:val="a2"/>
    <w:rsid w:val="00851C99"/>
    <w:pPr>
      <w:numPr>
        <w:numId w:val="3"/>
      </w:numPr>
    </w:pPr>
    <w:rPr>
      <w:szCs w:val="20"/>
    </w:rPr>
  </w:style>
  <w:style w:type="character" w:customStyle="1" w:styleId="EmailStyle441">
    <w:name w:val="EmailStyle441"/>
    <w:rsid w:val="00851C99"/>
    <w:rPr>
      <w:rFonts w:ascii="Arial" w:eastAsia="新細明體" w:hAnsi="Arial" w:cs="Arial"/>
      <w:color w:val="000080"/>
      <w:sz w:val="18"/>
    </w:rPr>
  </w:style>
  <w:style w:type="paragraph" w:customStyle="1" w:styleId="30">
    <w:name w:val="第3層標題"/>
    <w:autoRedefine/>
    <w:rsid w:val="00851C99"/>
    <w:pPr>
      <w:numPr>
        <w:numId w:val="4"/>
      </w:numPr>
      <w:tabs>
        <w:tab w:val="left" w:pos="720"/>
      </w:tabs>
      <w:snapToGrid w:val="0"/>
      <w:spacing w:afterLines="50"/>
    </w:pPr>
    <w:rPr>
      <w:rFonts w:eastAsia="標楷體"/>
      <w:b/>
      <w:sz w:val="28"/>
    </w:rPr>
  </w:style>
  <w:style w:type="paragraph" w:customStyle="1" w:styleId="a0">
    <w:name w:val="年報內文"/>
    <w:basedOn w:val="a2"/>
    <w:autoRedefine/>
    <w:rsid w:val="00851C99"/>
    <w:pPr>
      <w:numPr>
        <w:ilvl w:val="1"/>
        <w:numId w:val="4"/>
      </w:numPr>
      <w:snapToGrid w:val="0"/>
    </w:pPr>
    <w:rPr>
      <w:rFonts w:eastAsia="標楷體" w:cs="Arial Unicode MS"/>
      <w:color w:val="000000"/>
      <w:sz w:val="22"/>
    </w:rPr>
  </w:style>
  <w:style w:type="paragraph" w:customStyle="1" w:styleId="afa">
    <w:name w:val="７２９－１"/>
    <w:basedOn w:val="a2"/>
    <w:rsid w:val="00851C99"/>
    <w:pPr>
      <w:autoSpaceDE w:val="0"/>
      <w:autoSpaceDN w:val="0"/>
      <w:adjustRightInd w:val="0"/>
      <w:ind w:left="244" w:hanging="244"/>
      <w:jc w:val="both"/>
    </w:pPr>
    <w:rPr>
      <w:rFonts w:eastAsia="標楷體"/>
      <w:color w:val="000000"/>
      <w:sz w:val="28"/>
      <w:szCs w:val="20"/>
    </w:rPr>
  </w:style>
  <w:style w:type="paragraph" w:customStyle="1" w:styleId="afb">
    <w:name w:val="第二層"/>
    <w:basedOn w:val="2"/>
    <w:rsid w:val="00851C99"/>
    <w:pPr>
      <w:numPr>
        <w:ilvl w:val="0"/>
        <w:numId w:val="0"/>
      </w:numPr>
      <w:tabs>
        <w:tab w:val="num" w:pos="1200"/>
      </w:tabs>
      <w:spacing w:before="0" w:after="0" w:line="240" w:lineRule="auto"/>
      <w:ind w:left="1200" w:hanging="720"/>
      <w:jc w:val="both"/>
    </w:pPr>
    <w:rPr>
      <w:bCs/>
      <w:kern w:val="2"/>
    </w:rPr>
  </w:style>
  <w:style w:type="paragraph" w:customStyle="1" w:styleId="14">
    <w:name w:val="表格文字1"/>
    <w:basedOn w:val="a2"/>
    <w:rsid w:val="00851C99"/>
    <w:pPr>
      <w:adjustRightInd w:val="0"/>
      <w:spacing w:after="120"/>
      <w:jc w:val="both"/>
      <w:textAlignment w:val="baseline"/>
    </w:pPr>
    <w:rPr>
      <w:rFonts w:ascii="標楷體" w:eastAsia="標楷體"/>
      <w:kern w:val="0"/>
      <w:sz w:val="28"/>
      <w:szCs w:val="20"/>
    </w:rPr>
  </w:style>
  <w:style w:type="paragraph" w:customStyle="1" w:styleId="afc">
    <w:name w:val="表格文字"/>
    <w:basedOn w:val="a2"/>
    <w:rsid w:val="00851C99"/>
    <w:pPr>
      <w:tabs>
        <w:tab w:val="left" w:pos="960"/>
        <w:tab w:val="left" w:pos="1920"/>
        <w:tab w:val="left" w:pos="2880"/>
        <w:tab w:val="left" w:pos="3840"/>
        <w:tab w:val="left" w:pos="4800"/>
        <w:tab w:val="left" w:pos="5760"/>
        <w:tab w:val="left" w:pos="6720"/>
        <w:tab w:val="left" w:pos="7680"/>
      </w:tabs>
      <w:autoSpaceDE w:val="0"/>
      <w:autoSpaceDN w:val="0"/>
      <w:adjustRightInd w:val="0"/>
      <w:jc w:val="center"/>
      <w:textAlignment w:val="baseline"/>
    </w:pPr>
    <w:rPr>
      <w:rFonts w:ascii="標楷體" w:eastAsia="華康中楷體" w:hAnsi="標楷體"/>
      <w:kern w:val="0"/>
      <w:sz w:val="28"/>
      <w:szCs w:val="28"/>
    </w:rPr>
  </w:style>
  <w:style w:type="paragraph" w:customStyle="1" w:styleId="xl44">
    <w:name w:val="xl44"/>
    <w:basedOn w:val="a2"/>
    <w:rsid w:val="00851C99"/>
    <w:pPr>
      <w:widowControl/>
      <w:pBdr>
        <w:left w:val="dotted" w:sz="4" w:space="0" w:color="auto"/>
        <w:bottom w:val="dotted" w:sz="4" w:space="0" w:color="auto"/>
      </w:pBdr>
      <w:spacing w:before="100" w:beforeAutospacing="1" w:after="100" w:afterAutospacing="1"/>
      <w:jc w:val="center"/>
      <w:textAlignment w:val="center"/>
    </w:pPr>
    <w:rPr>
      <w:rFonts w:ascii="Arial Unicode MS" w:eastAsia="Arial Unicode MS" w:hAnsi="Arial Unicode MS" w:cs="Arial Unicode MS"/>
      <w:kern w:val="0"/>
    </w:rPr>
  </w:style>
  <w:style w:type="paragraph" w:customStyle="1" w:styleId="afd">
    <w:name w:val="目錄一"/>
    <w:basedOn w:val="a2"/>
    <w:rsid w:val="00851C99"/>
    <w:pPr>
      <w:spacing w:line="360" w:lineRule="auto"/>
      <w:jc w:val="center"/>
    </w:pPr>
    <w:rPr>
      <w:rFonts w:ascii="標楷體" w:eastAsia="標楷體"/>
      <w:sz w:val="32"/>
      <w:szCs w:val="20"/>
      <w:shd w:val="pct15" w:color="auto" w:fill="FFFFFF"/>
    </w:rPr>
  </w:style>
  <w:style w:type="character" w:customStyle="1" w:styleId="EmailStyle531">
    <w:name w:val="EmailStyle531"/>
    <w:rsid w:val="00851C99"/>
    <w:rPr>
      <w:rFonts w:ascii="Arial" w:eastAsia="新細明體" w:hAnsi="Arial" w:cs="Arial"/>
      <w:color w:val="000000"/>
      <w:sz w:val="18"/>
    </w:rPr>
  </w:style>
  <w:style w:type="paragraph" w:customStyle="1" w:styleId="afe">
    <w:name w:val="條文一"/>
    <w:basedOn w:val="a2"/>
    <w:rsid w:val="00851C99"/>
    <w:pPr>
      <w:adjustRightInd w:val="0"/>
      <w:ind w:left="512" w:right="57" w:hanging="540"/>
      <w:jc w:val="both"/>
      <w:textAlignment w:val="baseline"/>
    </w:pPr>
    <w:rPr>
      <w:rFonts w:ascii="全真楷書" w:eastAsia="全真楷書"/>
      <w:sz w:val="28"/>
      <w:szCs w:val="20"/>
    </w:rPr>
  </w:style>
  <w:style w:type="paragraph" w:customStyle="1" w:styleId="aff">
    <w:name w:val="(一)"/>
    <w:basedOn w:val="a2"/>
    <w:rsid w:val="00851C99"/>
    <w:pPr>
      <w:adjustRightInd w:val="0"/>
      <w:ind w:left="1361" w:right="57" w:hanging="794"/>
      <w:jc w:val="both"/>
      <w:textAlignment w:val="baseline"/>
    </w:pPr>
    <w:rPr>
      <w:rFonts w:ascii="全真楷書" w:eastAsia="全真楷書"/>
      <w:sz w:val="28"/>
      <w:szCs w:val="20"/>
    </w:rPr>
  </w:style>
  <w:style w:type="paragraph" w:customStyle="1" w:styleId="aff0">
    <w:name w:val="條文二"/>
    <w:basedOn w:val="a2"/>
    <w:rsid w:val="00851C99"/>
    <w:pPr>
      <w:adjustRightInd w:val="0"/>
      <w:ind w:left="512" w:right="57"/>
      <w:jc w:val="both"/>
      <w:textAlignment w:val="baseline"/>
    </w:pPr>
    <w:rPr>
      <w:rFonts w:ascii="全真楷書" w:eastAsia="全真楷書"/>
      <w:sz w:val="28"/>
      <w:szCs w:val="20"/>
    </w:rPr>
  </w:style>
  <w:style w:type="paragraph" w:customStyle="1" w:styleId="aff1">
    <w:name w:val="一’"/>
    <w:basedOn w:val="a2"/>
    <w:rsid w:val="00851C99"/>
    <w:pPr>
      <w:spacing w:line="400" w:lineRule="exact"/>
      <w:ind w:left="839" w:hanging="561"/>
      <w:jc w:val="both"/>
    </w:pPr>
    <w:rPr>
      <w:rFonts w:ascii="標楷體" w:eastAsia="標楷體"/>
      <w:sz w:val="28"/>
      <w:szCs w:val="20"/>
    </w:rPr>
  </w:style>
  <w:style w:type="paragraph" w:customStyle="1" w:styleId="aff2">
    <w:name w:val="(一）"/>
    <w:basedOn w:val="a2"/>
    <w:rsid w:val="00851C99"/>
    <w:pPr>
      <w:spacing w:line="400" w:lineRule="exact"/>
      <w:ind w:left="1354" w:hanging="794"/>
      <w:jc w:val="both"/>
    </w:pPr>
    <w:rPr>
      <w:rFonts w:ascii="標楷體" w:eastAsia="標楷體"/>
      <w:sz w:val="28"/>
      <w:szCs w:val="20"/>
    </w:rPr>
  </w:style>
  <w:style w:type="paragraph" w:customStyle="1" w:styleId="aff3">
    <w:name w:val="１"/>
    <w:basedOn w:val="aff2"/>
    <w:rsid w:val="00851C99"/>
    <w:pPr>
      <w:ind w:left="1350" w:hanging="510"/>
    </w:pPr>
  </w:style>
  <w:style w:type="paragraph" w:customStyle="1" w:styleId="101">
    <w:name w:val="10"/>
    <w:basedOn w:val="aff3"/>
    <w:rsid w:val="00851C99"/>
    <w:pPr>
      <w:ind w:left="1679" w:hanging="839"/>
    </w:pPr>
  </w:style>
  <w:style w:type="paragraph" w:customStyle="1" w:styleId="15">
    <w:name w:val="內文1"/>
    <w:basedOn w:val="a2"/>
    <w:rsid w:val="00851C99"/>
    <w:pPr>
      <w:snapToGrid w:val="0"/>
      <w:spacing w:beforeLines="50" w:afterLines="50"/>
      <w:ind w:leftChars="150" w:left="360"/>
    </w:pPr>
    <w:rPr>
      <w:rFonts w:eastAsia="標楷體"/>
      <w:sz w:val="26"/>
      <w:szCs w:val="32"/>
    </w:rPr>
  </w:style>
  <w:style w:type="paragraph" w:customStyle="1" w:styleId="26">
    <w:name w:val="內文2"/>
    <w:basedOn w:val="35"/>
    <w:rsid w:val="00851C99"/>
    <w:pPr>
      <w:tabs>
        <w:tab w:val="num" w:pos="720"/>
      </w:tabs>
      <w:spacing w:beforeLines="50" w:afterLines="50" w:line="240" w:lineRule="auto"/>
      <w:ind w:hanging="330"/>
      <w:jc w:val="both"/>
    </w:pPr>
    <w:rPr>
      <w:rFonts w:ascii="Times New Roman"/>
      <w:sz w:val="26"/>
      <w:szCs w:val="32"/>
    </w:rPr>
  </w:style>
  <w:style w:type="paragraph" w:customStyle="1" w:styleId="16">
    <w:name w:val="標題1"/>
    <w:autoRedefine/>
    <w:rsid w:val="00851C99"/>
    <w:pPr>
      <w:spacing w:beforeLines="50" w:afterLines="50"/>
      <w:ind w:left="1200" w:hangingChars="461" w:hanging="1200"/>
      <w:jc w:val="both"/>
    </w:pPr>
    <w:rPr>
      <w:rFonts w:eastAsia="標楷體"/>
      <w:b/>
      <w:bCs/>
      <w:caps/>
      <w:noProof/>
      <w:snapToGrid w:val="0"/>
      <w:kern w:val="2"/>
      <w:sz w:val="26"/>
    </w:rPr>
  </w:style>
  <w:style w:type="paragraph" w:customStyle="1" w:styleId="aff4">
    <w:name w:val="研究目標"/>
    <w:basedOn w:val="a2"/>
    <w:rsid w:val="00851C99"/>
    <w:pPr>
      <w:snapToGrid w:val="0"/>
      <w:spacing w:beforeLines="50" w:afterLines="50"/>
      <w:ind w:left="760" w:hangingChars="292" w:hanging="760"/>
    </w:pPr>
    <w:rPr>
      <w:rFonts w:eastAsia="標楷體"/>
      <w:b/>
      <w:bCs/>
      <w:sz w:val="26"/>
      <w:szCs w:val="32"/>
    </w:rPr>
  </w:style>
  <w:style w:type="character" w:customStyle="1" w:styleId="EmailStyle661">
    <w:name w:val="EmailStyle661"/>
    <w:rsid w:val="00851C99"/>
    <w:rPr>
      <w:rFonts w:ascii="Arial" w:eastAsia="新細明體" w:hAnsi="Arial" w:cs="Arial"/>
      <w:color w:val="000080"/>
      <w:sz w:val="18"/>
    </w:rPr>
  </w:style>
  <w:style w:type="paragraph" w:customStyle="1" w:styleId="710">
    <w:name w:val="樣式71"/>
    <w:basedOn w:val="a2"/>
    <w:rsid w:val="00851C99"/>
    <w:pPr>
      <w:kinsoku w:val="0"/>
      <w:adjustRightInd w:val="0"/>
      <w:spacing w:line="360" w:lineRule="exact"/>
      <w:ind w:left="1599" w:hanging="1599"/>
      <w:textAlignment w:val="baseline"/>
    </w:pPr>
    <w:rPr>
      <w:rFonts w:eastAsia="全真楷書"/>
      <w:spacing w:val="14"/>
      <w:kern w:val="0"/>
      <w:szCs w:val="20"/>
    </w:rPr>
  </w:style>
  <w:style w:type="paragraph" w:customStyle="1" w:styleId="aff5">
    <w:name w:val="表格"/>
    <w:basedOn w:val="a2"/>
    <w:rsid w:val="00851C99"/>
    <w:pPr>
      <w:snapToGrid w:val="0"/>
      <w:jc w:val="center"/>
    </w:pPr>
    <w:rPr>
      <w:rFonts w:eastAsia="標楷體"/>
      <w:color w:val="000000"/>
    </w:rPr>
  </w:style>
  <w:style w:type="paragraph" w:styleId="aff6">
    <w:name w:val="Balloon Text"/>
    <w:basedOn w:val="a2"/>
    <w:link w:val="aff7"/>
    <w:uiPriority w:val="99"/>
    <w:rsid w:val="00851C99"/>
    <w:rPr>
      <w:rFonts w:ascii="Arial" w:hAnsi="Arial"/>
      <w:sz w:val="18"/>
      <w:szCs w:val="18"/>
    </w:rPr>
  </w:style>
  <w:style w:type="character" w:customStyle="1" w:styleId="aff7">
    <w:name w:val="註解方塊文字 字元"/>
    <w:link w:val="aff6"/>
    <w:uiPriority w:val="99"/>
    <w:rsid w:val="00851C99"/>
    <w:rPr>
      <w:rFonts w:ascii="Arial" w:hAnsi="Arial"/>
      <w:kern w:val="2"/>
      <w:sz w:val="18"/>
      <w:szCs w:val="18"/>
    </w:rPr>
  </w:style>
  <w:style w:type="paragraph" w:customStyle="1" w:styleId="0">
    <w:name w:val="樣式0"/>
    <w:basedOn w:val="a2"/>
    <w:rsid w:val="00851C99"/>
    <w:pPr>
      <w:adjustRightInd w:val="0"/>
      <w:spacing w:before="120" w:line="240" w:lineRule="atLeast"/>
      <w:ind w:left="567" w:hanging="567"/>
      <w:jc w:val="both"/>
      <w:textAlignment w:val="baseline"/>
    </w:pPr>
    <w:rPr>
      <w:rFonts w:eastAsia="全真楷書"/>
      <w:kern w:val="0"/>
      <w:sz w:val="28"/>
      <w:szCs w:val="20"/>
    </w:rPr>
  </w:style>
  <w:style w:type="paragraph" w:customStyle="1" w:styleId="442">
    <w:name w:val="樣式 標題 4 + 左:  4 字元 凸出:  2 字元"/>
    <w:basedOn w:val="a2"/>
    <w:rsid w:val="00851C99"/>
  </w:style>
  <w:style w:type="paragraph" w:styleId="aff8">
    <w:name w:val="Normal Indent"/>
    <w:basedOn w:val="a2"/>
    <w:rsid w:val="00851C99"/>
    <w:pPr>
      <w:ind w:left="480"/>
    </w:pPr>
    <w:rPr>
      <w:szCs w:val="20"/>
    </w:rPr>
  </w:style>
  <w:style w:type="table" w:styleId="aff9">
    <w:name w:val="Table Grid"/>
    <w:basedOn w:val="a4"/>
    <w:uiPriority w:val="39"/>
    <w:rsid w:val="00851C9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741">
    <w:name w:val="EmailStyle741"/>
    <w:rsid w:val="00851C99"/>
    <w:rPr>
      <w:rFonts w:ascii="Arial" w:eastAsia="新細明體" w:hAnsi="Arial" w:cs="Arial"/>
      <w:color w:val="000000"/>
      <w:sz w:val="18"/>
    </w:rPr>
  </w:style>
  <w:style w:type="paragraph" w:styleId="affa">
    <w:name w:val="Note Heading"/>
    <w:basedOn w:val="a2"/>
    <w:next w:val="a2"/>
    <w:link w:val="affb"/>
    <w:rsid w:val="00851C99"/>
    <w:pPr>
      <w:jc w:val="center"/>
    </w:pPr>
    <w:rPr>
      <w:rFonts w:eastAsia="標楷體"/>
      <w:color w:val="000000"/>
    </w:rPr>
  </w:style>
  <w:style w:type="character" w:customStyle="1" w:styleId="affb">
    <w:name w:val="註釋標題 字元"/>
    <w:link w:val="affa"/>
    <w:rsid w:val="00851C99"/>
    <w:rPr>
      <w:rFonts w:eastAsia="標楷體"/>
      <w:color w:val="000000"/>
      <w:kern w:val="2"/>
      <w:sz w:val="24"/>
      <w:szCs w:val="24"/>
    </w:rPr>
  </w:style>
  <w:style w:type="paragraph" w:styleId="affc">
    <w:name w:val="Closing"/>
    <w:basedOn w:val="a2"/>
    <w:link w:val="affd"/>
    <w:rsid w:val="00851C99"/>
    <w:pPr>
      <w:ind w:leftChars="1800" w:left="100"/>
    </w:pPr>
    <w:rPr>
      <w:rFonts w:eastAsia="標楷體"/>
      <w:color w:val="000000"/>
    </w:rPr>
  </w:style>
  <w:style w:type="character" w:customStyle="1" w:styleId="affd">
    <w:name w:val="結語 字元"/>
    <w:link w:val="affc"/>
    <w:rsid w:val="00851C99"/>
    <w:rPr>
      <w:rFonts w:eastAsia="標楷體"/>
      <w:color w:val="000000"/>
      <w:kern w:val="2"/>
      <w:sz w:val="24"/>
      <w:szCs w:val="24"/>
    </w:rPr>
  </w:style>
  <w:style w:type="character" w:customStyle="1" w:styleId="EmailStyle77">
    <w:name w:val="EmailStyle77"/>
    <w:rsid w:val="00851C99"/>
    <w:rPr>
      <w:rFonts w:ascii="Arial" w:eastAsia="新細明體" w:hAnsi="Arial" w:cs="Arial"/>
      <w:color w:val="000000"/>
      <w:sz w:val="18"/>
    </w:rPr>
  </w:style>
  <w:style w:type="character" w:customStyle="1" w:styleId="EmailStyle78">
    <w:name w:val="EmailStyle78"/>
    <w:rsid w:val="00851C99"/>
    <w:rPr>
      <w:rFonts w:ascii="Arial" w:eastAsia="新細明體" w:hAnsi="Arial" w:cs="Arial"/>
      <w:color w:val="000000"/>
      <w:sz w:val="18"/>
    </w:rPr>
  </w:style>
  <w:style w:type="paragraph" w:styleId="affe">
    <w:name w:val="List Paragraph"/>
    <w:aliases w:val="01章名,表格清單,樣式A,圖標,lp1,FooterText,numbered,List Paragraph1,Paragraphe de liste1,1.1.1.1清單段落,列點,(二),附錄,表名,清單段落2,標題 (4),圖標號,1.1,參考文獻,標題(一),標題一,picture,標1,Recommendation,Footnote Sam,List Paragraph (numbered (a)),Text,Noise heading,List Paragraph,卑南壹,詳細"/>
    <w:basedOn w:val="a2"/>
    <w:link w:val="afff"/>
    <w:uiPriority w:val="34"/>
    <w:qFormat/>
    <w:rsid w:val="00851C99"/>
    <w:pPr>
      <w:ind w:leftChars="200" w:left="480"/>
    </w:pPr>
  </w:style>
  <w:style w:type="character" w:customStyle="1" w:styleId="st1">
    <w:name w:val="st1"/>
    <w:basedOn w:val="a3"/>
    <w:rsid w:val="00851C99"/>
  </w:style>
  <w:style w:type="character" w:styleId="afff0">
    <w:name w:val="Emphasis"/>
    <w:qFormat/>
    <w:rsid w:val="00851C99"/>
    <w:rPr>
      <w:b w:val="0"/>
      <w:bCs w:val="0"/>
      <w:i w:val="0"/>
      <w:iCs w:val="0"/>
      <w:color w:val="DD4B39"/>
    </w:rPr>
  </w:style>
  <w:style w:type="character" w:customStyle="1" w:styleId="googqs-tidbitgoogqs-tidbit-0">
    <w:name w:val="goog_qs-tidbit goog_qs-tidbit-0"/>
    <w:basedOn w:val="a3"/>
    <w:rsid w:val="00851C99"/>
  </w:style>
  <w:style w:type="character" w:styleId="afff1">
    <w:name w:val="annotation reference"/>
    <w:rsid w:val="00851C99"/>
    <w:rPr>
      <w:sz w:val="18"/>
      <w:szCs w:val="18"/>
    </w:rPr>
  </w:style>
  <w:style w:type="paragraph" w:styleId="afff2">
    <w:name w:val="annotation subject"/>
    <w:basedOn w:val="ae"/>
    <w:next w:val="ae"/>
    <w:link w:val="afff3"/>
    <w:rsid w:val="00851C99"/>
    <w:pPr>
      <w:adjustRightInd/>
      <w:spacing w:line="240" w:lineRule="auto"/>
      <w:textAlignment w:val="auto"/>
    </w:pPr>
    <w:rPr>
      <w:b/>
      <w:bCs/>
      <w:kern w:val="2"/>
      <w:szCs w:val="24"/>
    </w:rPr>
  </w:style>
  <w:style w:type="character" w:customStyle="1" w:styleId="11">
    <w:name w:val="註解文字 字元1"/>
    <w:link w:val="ae"/>
    <w:semiHidden/>
    <w:rsid w:val="00851C99"/>
    <w:rPr>
      <w:sz w:val="24"/>
    </w:rPr>
  </w:style>
  <w:style w:type="character" w:customStyle="1" w:styleId="afff3">
    <w:name w:val="註解主旨 字元"/>
    <w:link w:val="afff2"/>
    <w:rsid w:val="00851C99"/>
    <w:rPr>
      <w:b/>
      <w:bCs/>
      <w:kern w:val="2"/>
      <w:sz w:val="24"/>
      <w:szCs w:val="24"/>
    </w:rPr>
  </w:style>
  <w:style w:type="paragraph" w:customStyle="1" w:styleId="17">
    <w:name w:val="1"/>
    <w:basedOn w:val="a2"/>
    <w:rsid w:val="00851C99"/>
    <w:pPr>
      <w:kinsoku w:val="0"/>
      <w:autoSpaceDE w:val="0"/>
      <w:autoSpaceDN w:val="0"/>
      <w:spacing w:before="240" w:line="0" w:lineRule="atLeast"/>
      <w:ind w:left="840" w:hanging="840"/>
    </w:pPr>
    <w:rPr>
      <w:rFonts w:ascii="標楷體" w:eastAsia="標楷體"/>
      <w:sz w:val="32"/>
      <w:szCs w:val="20"/>
    </w:rPr>
  </w:style>
  <w:style w:type="paragraph" w:styleId="afff4">
    <w:name w:val="Subtitle"/>
    <w:basedOn w:val="a2"/>
    <w:next w:val="a2"/>
    <w:link w:val="afff5"/>
    <w:qFormat/>
    <w:rsid w:val="00851C99"/>
    <w:pPr>
      <w:spacing w:after="60"/>
      <w:jc w:val="center"/>
      <w:outlineLvl w:val="1"/>
    </w:pPr>
    <w:rPr>
      <w:rFonts w:ascii="Cambria" w:hAnsi="Cambria"/>
      <w:i/>
      <w:iCs/>
    </w:rPr>
  </w:style>
  <w:style w:type="character" w:customStyle="1" w:styleId="afff5">
    <w:name w:val="副標題 字元"/>
    <w:link w:val="afff4"/>
    <w:rsid w:val="00851C99"/>
    <w:rPr>
      <w:rFonts w:ascii="Cambria" w:hAnsi="Cambria"/>
      <w:i/>
      <w:iCs/>
      <w:kern w:val="2"/>
      <w:sz w:val="24"/>
      <w:szCs w:val="24"/>
    </w:rPr>
  </w:style>
  <w:style w:type="character" w:customStyle="1" w:styleId="aa">
    <w:name w:val="頁尾 字元"/>
    <w:link w:val="a9"/>
    <w:uiPriority w:val="99"/>
    <w:rsid w:val="00A9502E"/>
    <w:rPr>
      <w:kern w:val="2"/>
    </w:rPr>
  </w:style>
  <w:style w:type="character" w:customStyle="1" w:styleId="33">
    <w:name w:val="本文 3 字元"/>
    <w:link w:val="32"/>
    <w:rsid w:val="00A9502E"/>
    <w:rPr>
      <w:rFonts w:eastAsia="標楷體"/>
      <w:kern w:val="2"/>
      <w:sz w:val="18"/>
      <w:szCs w:val="24"/>
    </w:rPr>
  </w:style>
  <w:style w:type="character" w:customStyle="1" w:styleId="22">
    <w:name w:val="本文縮排 2 字元"/>
    <w:link w:val="21"/>
    <w:rsid w:val="00914F51"/>
    <w:rPr>
      <w:kern w:val="2"/>
      <w:sz w:val="24"/>
      <w:szCs w:val="24"/>
    </w:rPr>
  </w:style>
  <w:style w:type="character" w:customStyle="1" w:styleId="a8">
    <w:name w:val="頁首 字元"/>
    <w:link w:val="a7"/>
    <w:rsid w:val="00536B7A"/>
    <w:rPr>
      <w:kern w:val="2"/>
    </w:rPr>
  </w:style>
  <w:style w:type="character" w:customStyle="1" w:styleId="18">
    <w:name w:val="未解析的提及1"/>
    <w:uiPriority w:val="99"/>
    <w:semiHidden/>
    <w:unhideWhenUsed/>
    <w:rsid w:val="00C574EA"/>
    <w:rPr>
      <w:color w:val="605E5C"/>
      <w:shd w:val="clear" w:color="auto" w:fill="E1DFDD"/>
    </w:rPr>
  </w:style>
  <w:style w:type="paragraph" w:styleId="a">
    <w:name w:val="List Bullet"/>
    <w:basedOn w:val="a2"/>
    <w:autoRedefine/>
    <w:rsid w:val="00DE50C5"/>
    <w:pPr>
      <w:numPr>
        <w:numId w:val="7"/>
      </w:numPr>
    </w:pPr>
  </w:style>
  <w:style w:type="character" w:customStyle="1" w:styleId="sub20">
    <w:name w:val="sub20"/>
    <w:basedOn w:val="a3"/>
    <w:rsid w:val="00DE50C5"/>
  </w:style>
  <w:style w:type="character" w:customStyle="1" w:styleId="sub15h1">
    <w:name w:val="sub15h1"/>
    <w:rsid w:val="00DE50C5"/>
    <w:rPr>
      <w:rFonts w:ascii="sө" w:hAnsi="sө" w:hint="default"/>
      <w:b/>
      <w:bCs/>
      <w:strike w:val="0"/>
      <w:dstrike w:val="0"/>
      <w:color w:val="CC3333"/>
      <w:sz w:val="15"/>
      <w:szCs w:val="15"/>
      <w:u w:val="none"/>
      <w:effect w:val="none"/>
    </w:rPr>
  </w:style>
  <w:style w:type="paragraph" w:styleId="afff6">
    <w:name w:val="caption"/>
    <w:basedOn w:val="a2"/>
    <w:next w:val="a2"/>
    <w:qFormat/>
    <w:rsid w:val="00DE50C5"/>
    <w:pPr>
      <w:spacing w:before="120" w:after="120"/>
    </w:pPr>
    <w:rPr>
      <w:sz w:val="20"/>
      <w:szCs w:val="20"/>
    </w:rPr>
  </w:style>
  <w:style w:type="paragraph" w:customStyle="1" w:styleId="27">
    <w:name w:val="2."/>
    <w:basedOn w:val="a2"/>
    <w:rsid w:val="00DE50C5"/>
    <w:pPr>
      <w:adjustRightInd w:val="0"/>
      <w:snapToGrid w:val="0"/>
      <w:ind w:leftChars="-1" w:left="-2" w:firstLineChars="400" w:firstLine="1120"/>
      <w:jc w:val="both"/>
    </w:pPr>
    <w:rPr>
      <w:rFonts w:ascii="標楷體" w:eastAsia="標楷體" w:hAnsi="標楷體"/>
      <w:color w:val="000000"/>
      <w:sz w:val="28"/>
      <w:szCs w:val="30"/>
    </w:rPr>
  </w:style>
  <w:style w:type="character" w:customStyle="1" w:styleId="1a">
    <w:name w:val="未解析的提及項目1"/>
    <w:uiPriority w:val="99"/>
    <w:semiHidden/>
    <w:unhideWhenUsed/>
    <w:rsid w:val="00DE50C5"/>
    <w:rPr>
      <w:color w:val="605E5C"/>
      <w:shd w:val="clear" w:color="auto" w:fill="E1DFDD"/>
    </w:rPr>
  </w:style>
  <w:style w:type="character" w:customStyle="1" w:styleId="24">
    <w:name w:val="本文 2 字元"/>
    <w:link w:val="23"/>
    <w:rsid w:val="00DE50C5"/>
    <w:rPr>
      <w:kern w:val="2"/>
      <w:sz w:val="24"/>
      <w:szCs w:val="24"/>
    </w:rPr>
  </w:style>
  <w:style w:type="paragraph" w:styleId="afff7">
    <w:name w:val="footnote text"/>
    <w:basedOn w:val="a2"/>
    <w:link w:val="afff8"/>
    <w:rsid w:val="00DE50C5"/>
    <w:pPr>
      <w:snapToGrid w:val="0"/>
    </w:pPr>
    <w:rPr>
      <w:sz w:val="20"/>
      <w:szCs w:val="20"/>
    </w:rPr>
  </w:style>
  <w:style w:type="character" w:customStyle="1" w:styleId="afff8">
    <w:name w:val="註腳文字 字元"/>
    <w:link w:val="afff7"/>
    <w:rsid w:val="00DE50C5"/>
    <w:rPr>
      <w:kern w:val="2"/>
    </w:rPr>
  </w:style>
  <w:style w:type="character" w:styleId="afff9">
    <w:name w:val="footnote reference"/>
    <w:rsid w:val="00DE50C5"/>
    <w:rPr>
      <w:vertAlign w:val="superscript"/>
    </w:rPr>
  </w:style>
  <w:style w:type="character" w:customStyle="1" w:styleId="afff">
    <w:name w:val="清單段落 字元"/>
    <w:aliases w:val="01章名 字元,表格清單 字元,樣式A 字元,圖標 字元,lp1 字元,FooterText 字元,numbered 字元,List Paragraph1 字元,Paragraphe de liste1 字元,1.1.1.1清單段落 字元,列點 字元,(二) 字元,附錄 字元,表名 字元,清單段落2 字元,標題 (4) 字元,圖標號 字元,1.1 字元,參考文獻 字元,標題(一) 字元,標題一 字元,picture 字元,標1 字元,Recommendation 字元,Text 字元"/>
    <w:link w:val="affe"/>
    <w:uiPriority w:val="34"/>
    <w:qFormat/>
    <w:rsid w:val="005362FE"/>
    <w:rPr>
      <w:kern w:val="2"/>
      <w:sz w:val="24"/>
      <w:szCs w:val="24"/>
    </w:rPr>
  </w:style>
  <w:style w:type="character" w:styleId="afffa">
    <w:name w:val="Placeholder Text"/>
    <w:uiPriority w:val="99"/>
    <w:semiHidden/>
    <w:rsid w:val="003B50E2"/>
    <w:rPr>
      <w:color w:val="808080"/>
    </w:rPr>
  </w:style>
  <w:style w:type="numbering" w:customStyle="1" w:styleId="1b">
    <w:name w:val="無清單1"/>
    <w:next w:val="a5"/>
    <w:uiPriority w:val="99"/>
    <w:semiHidden/>
    <w:unhideWhenUsed/>
    <w:rsid w:val="003B50E2"/>
  </w:style>
  <w:style w:type="table" w:customStyle="1" w:styleId="1c">
    <w:name w:val="表格格線1"/>
    <w:basedOn w:val="a4"/>
    <w:next w:val="aff9"/>
    <w:uiPriority w:val="39"/>
    <w:rsid w:val="003B50E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C Heading"/>
    <w:basedOn w:val="1"/>
    <w:next w:val="a2"/>
    <w:uiPriority w:val="39"/>
    <w:unhideWhenUsed/>
    <w:qFormat/>
    <w:rsid w:val="008876C0"/>
    <w:pPr>
      <w:keepLines/>
      <w:widowControl/>
      <w:spacing w:before="240" w:line="259" w:lineRule="auto"/>
      <w:outlineLvl w:val="9"/>
    </w:pPr>
    <w:rPr>
      <w:rFonts w:ascii="Calibri Light" w:hAnsi="Calibri Light"/>
      <w:color w:val="2F5496"/>
      <w:kern w:val="0"/>
      <w:sz w:val="32"/>
      <w:szCs w:val="32"/>
    </w:rPr>
  </w:style>
  <w:style w:type="paragraph" w:styleId="28">
    <w:name w:val="toc 2"/>
    <w:basedOn w:val="a2"/>
    <w:next w:val="a2"/>
    <w:autoRedefine/>
    <w:uiPriority w:val="39"/>
    <w:unhideWhenUsed/>
    <w:rsid w:val="00CD0F85"/>
    <w:pPr>
      <w:widowControl/>
      <w:tabs>
        <w:tab w:val="left" w:pos="851"/>
        <w:tab w:val="right" w:leader="dot" w:pos="9628"/>
      </w:tabs>
      <w:spacing w:line="600" w:lineRule="exact"/>
      <w:ind w:left="220"/>
      <w:jc w:val="both"/>
    </w:pPr>
    <w:rPr>
      <w:rFonts w:ascii="Calibri" w:hAnsi="Calibri"/>
      <w:kern w:val="0"/>
      <w:sz w:val="22"/>
      <w:szCs w:val="22"/>
    </w:rPr>
  </w:style>
  <w:style w:type="paragraph" w:styleId="1d">
    <w:name w:val="toc 1"/>
    <w:basedOn w:val="a2"/>
    <w:next w:val="a2"/>
    <w:autoRedefine/>
    <w:uiPriority w:val="39"/>
    <w:unhideWhenUsed/>
    <w:rsid w:val="003A1C82"/>
    <w:pPr>
      <w:widowControl/>
      <w:tabs>
        <w:tab w:val="right" w:leader="dot" w:pos="9120"/>
      </w:tabs>
      <w:spacing w:line="360" w:lineRule="auto"/>
      <w:jc w:val="center"/>
    </w:pPr>
    <w:rPr>
      <w:rFonts w:eastAsia="標楷體"/>
      <w:kern w:val="0"/>
      <w:sz w:val="28"/>
      <w:szCs w:val="22"/>
    </w:rPr>
  </w:style>
  <w:style w:type="paragraph" w:styleId="37">
    <w:name w:val="toc 3"/>
    <w:basedOn w:val="a2"/>
    <w:next w:val="a2"/>
    <w:autoRedefine/>
    <w:uiPriority w:val="39"/>
    <w:unhideWhenUsed/>
    <w:rsid w:val="008876C0"/>
    <w:pPr>
      <w:widowControl/>
      <w:spacing w:after="100" w:line="259" w:lineRule="auto"/>
      <w:ind w:left="440"/>
    </w:pPr>
    <w:rPr>
      <w:rFonts w:ascii="Calibri" w:hAnsi="Calibri"/>
      <w:kern w:val="0"/>
      <w:sz w:val="22"/>
      <w:szCs w:val="22"/>
    </w:rPr>
  </w:style>
  <w:style w:type="table" w:customStyle="1" w:styleId="41">
    <w:name w:val="表格格線4"/>
    <w:basedOn w:val="a4"/>
    <w:next w:val="aff9"/>
    <w:uiPriority w:val="39"/>
    <w:rsid w:val="00080B65"/>
    <w:rPr>
      <w:rFonts w:ascii="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3"/>
    <w:rsid w:val="00285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1564">
      <w:bodyDiv w:val="1"/>
      <w:marLeft w:val="0"/>
      <w:marRight w:val="0"/>
      <w:marTop w:val="0"/>
      <w:marBottom w:val="0"/>
      <w:divBdr>
        <w:top w:val="none" w:sz="0" w:space="0" w:color="auto"/>
        <w:left w:val="none" w:sz="0" w:space="0" w:color="auto"/>
        <w:bottom w:val="none" w:sz="0" w:space="0" w:color="auto"/>
        <w:right w:val="none" w:sz="0" w:space="0" w:color="auto"/>
      </w:divBdr>
    </w:div>
    <w:div w:id="103038606">
      <w:bodyDiv w:val="1"/>
      <w:marLeft w:val="0"/>
      <w:marRight w:val="0"/>
      <w:marTop w:val="0"/>
      <w:marBottom w:val="0"/>
      <w:divBdr>
        <w:top w:val="none" w:sz="0" w:space="0" w:color="auto"/>
        <w:left w:val="none" w:sz="0" w:space="0" w:color="auto"/>
        <w:bottom w:val="none" w:sz="0" w:space="0" w:color="auto"/>
        <w:right w:val="none" w:sz="0" w:space="0" w:color="auto"/>
      </w:divBdr>
      <w:divsChild>
        <w:div w:id="1081682130">
          <w:marLeft w:val="720"/>
          <w:marRight w:val="0"/>
          <w:marTop w:val="0"/>
          <w:marBottom w:val="0"/>
          <w:divBdr>
            <w:top w:val="none" w:sz="0" w:space="0" w:color="auto"/>
            <w:left w:val="none" w:sz="0" w:space="0" w:color="auto"/>
            <w:bottom w:val="none" w:sz="0" w:space="0" w:color="auto"/>
            <w:right w:val="none" w:sz="0" w:space="0" w:color="auto"/>
          </w:divBdr>
        </w:div>
      </w:divsChild>
    </w:div>
    <w:div w:id="238368053">
      <w:bodyDiv w:val="1"/>
      <w:marLeft w:val="0"/>
      <w:marRight w:val="0"/>
      <w:marTop w:val="0"/>
      <w:marBottom w:val="0"/>
      <w:divBdr>
        <w:top w:val="none" w:sz="0" w:space="0" w:color="auto"/>
        <w:left w:val="none" w:sz="0" w:space="0" w:color="auto"/>
        <w:bottom w:val="none" w:sz="0" w:space="0" w:color="auto"/>
        <w:right w:val="none" w:sz="0" w:space="0" w:color="auto"/>
      </w:divBdr>
    </w:div>
    <w:div w:id="304625901">
      <w:bodyDiv w:val="1"/>
      <w:marLeft w:val="0"/>
      <w:marRight w:val="0"/>
      <w:marTop w:val="0"/>
      <w:marBottom w:val="0"/>
      <w:divBdr>
        <w:top w:val="none" w:sz="0" w:space="0" w:color="auto"/>
        <w:left w:val="none" w:sz="0" w:space="0" w:color="auto"/>
        <w:bottom w:val="none" w:sz="0" w:space="0" w:color="auto"/>
        <w:right w:val="none" w:sz="0" w:space="0" w:color="auto"/>
      </w:divBdr>
    </w:div>
    <w:div w:id="312611373">
      <w:bodyDiv w:val="1"/>
      <w:marLeft w:val="0"/>
      <w:marRight w:val="0"/>
      <w:marTop w:val="0"/>
      <w:marBottom w:val="0"/>
      <w:divBdr>
        <w:top w:val="none" w:sz="0" w:space="0" w:color="auto"/>
        <w:left w:val="none" w:sz="0" w:space="0" w:color="auto"/>
        <w:bottom w:val="none" w:sz="0" w:space="0" w:color="auto"/>
        <w:right w:val="none" w:sz="0" w:space="0" w:color="auto"/>
      </w:divBdr>
    </w:div>
    <w:div w:id="335311251">
      <w:bodyDiv w:val="1"/>
      <w:marLeft w:val="0"/>
      <w:marRight w:val="0"/>
      <w:marTop w:val="0"/>
      <w:marBottom w:val="0"/>
      <w:divBdr>
        <w:top w:val="none" w:sz="0" w:space="0" w:color="auto"/>
        <w:left w:val="none" w:sz="0" w:space="0" w:color="auto"/>
        <w:bottom w:val="none" w:sz="0" w:space="0" w:color="auto"/>
        <w:right w:val="none" w:sz="0" w:space="0" w:color="auto"/>
      </w:divBdr>
    </w:div>
    <w:div w:id="596838340">
      <w:bodyDiv w:val="1"/>
      <w:marLeft w:val="0"/>
      <w:marRight w:val="0"/>
      <w:marTop w:val="0"/>
      <w:marBottom w:val="0"/>
      <w:divBdr>
        <w:top w:val="none" w:sz="0" w:space="0" w:color="auto"/>
        <w:left w:val="none" w:sz="0" w:space="0" w:color="auto"/>
        <w:bottom w:val="none" w:sz="0" w:space="0" w:color="auto"/>
        <w:right w:val="none" w:sz="0" w:space="0" w:color="auto"/>
      </w:divBdr>
    </w:div>
    <w:div w:id="667175241">
      <w:bodyDiv w:val="1"/>
      <w:marLeft w:val="0"/>
      <w:marRight w:val="0"/>
      <w:marTop w:val="0"/>
      <w:marBottom w:val="0"/>
      <w:divBdr>
        <w:top w:val="none" w:sz="0" w:space="0" w:color="auto"/>
        <w:left w:val="none" w:sz="0" w:space="0" w:color="auto"/>
        <w:bottom w:val="none" w:sz="0" w:space="0" w:color="auto"/>
        <w:right w:val="none" w:sz="0" w:space="0" w:color="auto"/>
      </w:divBdr>
    </w:div>
    <w:div w:id="674722552">
      <w:bodyDiv w:val="1"/>
      <w:marLeft w:val="0"/>
      <w:marRight w:val="0"/>
      <w:marTop w:val="0"/>
      <w:marBottom w:val="0"/>
      <w:divBdr>
        <w:top w:val="none" w:sz="0" w:space="0" w:color="auto"/>
        <w:left w:val="none" w:sz="0" w:space="0" w:color="auto"/>
        <w:bottom w:val="none" w:sz="0" w:space="0" w:color="auto"/>
        <w:right w:val="none" w:sz="0" w:space="0" w:color="auto"/>
      </w:divBdr>
      <w:divsChild>
        <w:div w:id="58555652">
          <w:marLeft w:val="850"/>
          <w:marRight w:val="0"/>
          <w:marTop w:val="0"/>
          <w:marBottom w:val="0"/>
          <w:divBdr>
            <w:top w:val="none" w:sz="0" w:space="0" w:color="auto"/>
            <w:left w:val="none" w:sz="0" w:space="0" w:color="auto"/>
            <w:bottom w:val="none" w:sz="0" w:space="0" w:color="auto"/>
            <w:right w:val="none" w:sz="0" w:space="0" w:color="auto"/>
          </w:divBdr>
        </w:div>
      </w:divsChild>
    </w:div>
    <w:div w:id="704185017">
      <w:bodyDiv w:val="1"/>
      <w:marLeft w:val="0"/>
      <w:marRight w:val="0"/>
      <w:marTop w:val="0"/>
      <w:marBottom w:val="0"/>
      <w:divBdr>
        <w:top w:val="none" w:sz="0" w:space="0" w:color="auto"/>
        <w:left w:val="none" w:sz="0" w:space="0" w:color="auto"/>
        <w:bottom w:val="none" w:sz="0" w:space="0" w:color="auto"/>
        <w:right w:val="none" w:sz="0" w:space="0" w:color="auto"/>
      </w:divBdr>
      <w:divsChild>
        <w:div w:id="1310523683">
          <w:marLeft w:val="850"/>
          <w:marRight w:val="0"/>
          <w:marTop w:val="0"/>
          <w:marBottom w:val="0"/>
          <w:divBdr>
            <w:top w:val="none" w:sz="0" w:space="0" w:color="auto"/>
            <w:left w:val="none" w:sz="0" w:space="0" w:color="auto"/>
            <w:bottom w:val="none" w:sz="0" w:space="0" w:color="auto"/>
            <w:right w:val="none" w:sz="0" w:space="0" w:color="auto"/>
          </w:divBdr>
        </w:div>
      </w:divsChild>
    </w:div>
    <w:div w:id="867641716">
      <w:bodyDiv w:val="1"/>
      <w:marLeft w:val="0"/>
      <w:marRight w:val="0"/>
      <w:marTop w:val="0"/>
      <w:marBottom w:val="0"/>
      <w:divBdr>
        <w:top w:val="none" w:sz="0" w:space="0" w:color="auto"/>
        <w:left w:val="none" w:sz="0" w:space="0" w:color="auto"/>
        <w:bottom w:val="none" w:sz="0" w:space="0" w:color="auto"/>
        <w:right w:val="none" w:sz="0" w:space="0" w:color="auto"/>
      </w:divBdr>
      <w:divsChild>
        <w:div w:id="1677613497">
          <w:marLeft w:val="850"/>
          <w:marRight w:val="0"/>
          <w:marTop w:val="0"/>
          <w:marBottom w:val="0"/>
          <w:divBdr>
            <w:top w:val="none" w:sz="0" w:space="0" w:color="auto"/>
            <w:left w:val="none" w:sz="0" w:space="0" w:color="auto"/>
            <w:bottom w:val="none" w:sz="0" w:space="0" w:color="auto"/>
            <w:right w:val="none" w:sz="0" w:space="0" w:color="auto"/>
          </w:divBdr>
        </w:div>
      </w:divsChild>
    </w:div>
    <w:div w:id="918322133">
      <w:bodyDiv w:val="1"/>
      <w:marLeft w:val="0"/>
      <w:marRight w:val="0"/>
      <w:marTop w:val="0"/>
      <w:marBottom w:val="0"/>
      <w:divBdr>
        <w:top w:val="none" w:sz="0" w:space="0" w:color="auto"/>
        <w:left w:val="none" w:sz="0" w:space="0" w:color="auto"/>
        <w:bottom w:val="none" w:sz="0" w:space="0" w:color="auto"/>
        <w:right w:val="none" w:sz="0" w:space="0" w:color="auto"/>
      </w:divBdr>
    </w:div>
    <w:div w:id="958801805">
      <w:bodyDiv w:val="1"/>
      <w:marLeft w:val="0"/>
      <w:marRight w:val="0"/>
      <w:marTop w:val="0"/>
      <w:marBottom w:val="0"/>
      <w:divBdr>
        <w:top w:val="none" w:sz="0" w:space="0" w:color="auto"/>
        <w:left w:val="none" w:sz="0" w:space="0" w:color="auto"/>
        <w:bottom w:val="none" w:sz="0" w:space="0" w:color="auto"/>
        <w:right w:val="none" w:sz="0" w:space="0" w:color="auto"/>
      </w:divBdr>
    </w:div>
    <w:div w:id="964625621">
      <w:bodyDiv w:val="1"/>
      <w:marLeft w:val="0"/>
      <w:marRight w:val="0"/>
      <w:marTop w:val="0"/>
      <w:marBottom w:val="0"/>
      <w:divBdr>
        <w:top w:val="none" w:sz="0" w:space="0" w:color="auto"/>
        <w:left w:val="none" w:sz="0" w:space="0" w:color="auto"/>
        <w:bottom w:val="none" w:sz="0" w:space="0" w:color="auto"/>
        <w:right w:val="none" w:sz="0" w:space="0" w:color="auto"/>
      </w:divBdr>
    </w:div>
    <w:div w:id="1004942519">
      <w:bodyDiv w:val="1"/>
      <w:marLeft w:val="0"/>
      <w:marRight w:val="0"/>
      <w:marTop w:val="0"/>
      <w:marBottom w:val="0"/>
      <w:divBdr>
        <w:top w:val="none" w:sz="0" w:space="0" w:color="auto"/>
        <w:left w:val="none" w:sz="0" w:space="0" w:color="auto"/>
        <w:bottom w:val="none" w:sz="0" w:space="0" w:color="auto"/>
        <w:right w:val="none" w:sz="0" w:space="0" w:color="auto"/>
      </w:divBdr>
      <w:divsChild>
        <w:div w:id="770273016">
          <w:marLeft w:val="720"/>
          <w:marRight w:val="0"/>
          <w:marTop w:val="0"/>
          <w:marBottom w:val="0"/>
          <w:divBdr>
            <w:top w:val="none" w:sz="0" w:space="0" w:color="auto"/>
            <w:left w:val="none" w:sz="0" w:space="0" w:color="auto"/>
            <w:bottom w:val="none" w:sz="0" w:space="0" w:color="auto"/>
            <w:right w:val="none" w:sz="0" w:space="0" w:color="auto"/>
          </w:divBdr>
        </w:div>
      </w:divsChild>
    </w:div>
    <w:div w:id="1151749997">
      <w:bodyDiv w:val="1"/>
      <w:marLeft w:val="0"/>
      <w:marRight w:val="0"/>
      <w:marTop w:val="0"/>
      <w:marBottom w:val="0"/>
      <w:divBdr>
        <w:top w:val="none" w:sz="0" w:space="0" w:color="auto"/>
        <w:left w:val="none" w:sz="0" w:space="0" w:color="auto"/>
        <w:bottom w:val="none" w:sz="0" w:space="0" w:color="auto"/>
        <w:right w:val="none" w:sz="0" w:space="0" w:color="auto"/>
      </w:divBdr>
    </w:div>
    <w:div w:id="1218012264">
      <w:bodyDiv w:val="1"/>
      <w:marLeft w:val="0"/>
      <w:marRight w:val="0"/>
      <w:marTop w:val="0"/>
      <w:marBottom w:val="0"/>
      <w:divBdr>
        <w:top w:val="none" w:sz="0" w:space="0" w:color="auto"/>
        <w:left w:val="none" w:sz="0" w:space="0" w:color="auto"/>
        <w:bottom w:val="none" w:sz="0" w:space="0" w:color="auto"/>
        <w:right w:val="none" w:sz="0" w:space="0" w:color="auto"/>
      </w:divBdr>
    </w:div>
    <w:div w:id="1255020188">
      <w:bodyDiv w:val="1"/>
      <w:marLeft w:val="0"/>
      <w:marRight w:val="0"/>
      <w:marTop w:val="0"/>
      <w:marBottom w:val="0"/>
      <w:divBdr>
        <w:top w:val="none" w:sz="0" w:space="0" w:color="auto"/>
        <w:left w:val="none" w:sz="0" w:space="0" w:color="auto"/>
        <w:bottom w:val="none" w:sz="0" w:space="0" w:color="auto"/>
        <w:right w:val="none" w:sz="0" w:space="0" w:color="auto"/>
      </w:divBdr>
    </w:div>
    <w:div w:id="1264416802">
      <w:bodyDiv w:val="1"/>
      <w:marLeft w:val="0"/>
      <w:marRight w:val="0"/>
      <w:marTop w:val="0"/>
      <w:marBottom w:val="0"/>
      <w:divBdr>
        <w:top w:val="none" w:sz="0" w:space="0" w:color="auto"/>
        <w:left w:val="none" w:sz="0" w:space="0" w:color="auto"/>
        <w:bottom w:val="none" w:sz="0" w:space="0" w:color="auto"/>
        <w:right w:val="none" w:sz="0" w:space="0" w:color="auto"/>
      </w:divBdr>
      <w:divsChild>
        <w:div w:id="1316488701">
          <w:marLeft w:val="1382"/>
          <w:marRight w:val="0"/>
          <w:marTop w:val="101"/>
          <w:marBottom w:val="0"/>
          <w:divBdr>
            <w:top w:val="none" w:sz="0" w:space="0" w:color="auto"/>
            <w:left w:val="none" w:sz="0" w:space="0" w:color="auto"/>
            <w:bottom w:val="none" w:sz="0" w:space="0" w:color="auto"/>
            <w:right w:val="none" w:sz="0" w:space="0" w:color="auto"/>
          </w:divBdr>
        </w:div>
      </w:divsChild>
    </w:div>
    <w:div w:id="1350253140">
      <w:bodyDiv w:val="1"/>
      <w:marLeft w:val="0"/>
      <w:marRight w:val="0"/>
      <w:marTop w:val="0"/>
      <w:marBottom w:val="0"/>
      <w:divBdr>
        <w:top w:val="none" w:sz="0" w:space="0" w:color="auto"/>
        <w:left w:val="none" w:sz="0" w:space="0" w:color="auto"/>
        <w:bottom w:val="none" w:sz="0" w:space="0" w:color="auto"/>
        <w:right w:val="none" w:sz="0" w:space="0" w:color="auto"/>
      </w:divBdr>
    </w:div>
    <w:div w:id="1485273501">
      <w:bodyDiv w:val="1"/>
      <w:marLeft w:val="0"/>
      <w:marRight w:val="0"/>
      <w:marTop w:val="0"/>
      <w:marBottom w:val="0"/>
      <w:divBdr>
        <w:top w:val="none" w:sz="0" w:space="0" w:color="auto"/>
        <w:left w:val="none" w:sz="0" w:space="0" w:color="auto"/>
        <w:bottom w:val="none" w:sz="0" w:space="0" w:color="auto"/>
        <w:right w:val="none" w:sz="0" w:space="0" w:color="auto"/>
      </w:divBdr>
    </w:div>
    <w:div w:id="1561092139">
      <w:bodyDiv w:val="1"/>
      <w:marLeft w:val="0"/>
      <w:marRight w:val="0"/>
      <w:marTop w:val="0"/>
      <w:marBottom w:val="0"/>
      <w:divBdr>
        <w:top w:val="none" w:sz="0" w:space="0" w:color="auto"/>
        <w:left w:val="none" w:sz="0" w:space="0" w:color="auto"/>
        <w:bottom w:val="none" w:sz="0" w:space="0" w:color="auto"/>
        <w:right w:val="none" w:sz="0" w:space="0" w:color="auto"/>
      </w:divBdr>
    </w:div>
    <w:div w:id="1616865316">
      <w:bodyDiv w:val="1"/>
      <w:marLeft w:val="0"/>
      <w:marRight w:val="0"/>
      <w:marTop w:val="0"/>
      <w:marBottom w:val="0"/>
      <w:divBdr>
        <w:top w:val="none" w:sz="0" w:space="0" w:color="auto"/>
        <w:left w:val="none" w:sz="0" w:space="0" w:color="auto"/>
        <w:bottom w:val="none" w:sz="0" w:space="0" w:color="auto"/>
        <w:right w:val="none" w:sz="0" w:space="0" w:color="auto"/>
      </w:divBdr>
      <w:divsChild>
        <w:div w:id="1872303501">
          <w:marLeft w:val="850"/>
          <w:marRight w:val="0"/>
          <w:marTop w:val="0"/>
          <w:marBottom w:val="0"/>
          <w:divBdr>
            <w:top w:val="none" w:sz="0" w:space="0" w:color="auto"/>
            <w:left w:val="none" w:sz="0" w:space="0" w:color="auto"/>
            <w:bottom w:val="none" w:sz="0" w:space="0" w:color="auto"/>
            <w:right w:val="none" w:sz="0" w:space="0" w:color="auto"/>
          </w:divBdr>
        </w:div>
      </w:divsChild>
    </w:div>
    <w:div w:id="1645622447">
      <w:bodyDiv w:val="1"/>
      <w:marLeft w:val="0"/>
      <w:marRight w:val="0"/>
      <w:marTop w:val="0"/>
      <w:marBottom w:val="0"/>
      <w:divBdr>
        <w:top w:val="none" w:sz="0" w:space="0" w:color="auto"/>
        <w:left w:val="none" w:sz="0" w:space="0" w:color="auto"/>
        <w:bottom w:val="none" w:sz="0" w:space="0" w:color="auto"/>
        <w:right w:val="none" w:sz="0" w:space="0" w:color="auto"/>
      </w:divBdr>
    </w:div>
    <w:div w:id="1673677313">
      <w:bodyDiv w:val="1"/>
      <w:marLeft w:val="0"/>
      <w:marRight w:val="0"/>
      <w:marTop w:val="0"/>
      <w:marBottom w:val="0"/>
      <w:divBdr>
        <w:top w:val="none" w:sz="0" w:space="0" w:color="auto"/>
        <w:left w:val="none" w:sz="0" w:space="0" w:color="auto"/>
        <w:bottom w:val="none" w:sz="0" w:space="0" w:color="auto"/>
        <w:right w:val="none" w:sz="0" w:space="0" w:color="auto"/>
      </w:divBdr>
    </w:div>
    <w:div w:id="1760129744">
      <w:bodyDiv w:val="1"/>
      <w:marLeft w:val="0"/>
      <w:marRight w:val="0"/>
      <w:marTop w:val="0"/>
      <w:marBottom w:val="0"/>
      <w:divBdr>
        <w:top w:val="none" w:sz="0" w:space="0" w:color="auto"/>
        <w:left w:val="none" w:sz="0" w:space="0" w:color="auto"/>
        <w:bottom w:val="none" w:sz="0" w:space="0" w:color="auto"/>
        <w:right w:val="none" w:sz="0" w:space="0" w:color="auto"/>
      </w:divBdr>
      <w:divsChild>
        <w:div w:id="1879513212">
          <w:marLeft w:val="1382"/>
          <w:marRight w:val="0"/>
          <w:marTop w:val="101"/>
          <w:marBottom w:val="0"/>
          <w:divBdr>
            <w:top w:val="none" w:sz="0" w:space="0" w:color="auto"/>
            <w:left w:val="none" w:sz="0" w:space="0" w:color="auto"/>
            <w:bottom w:val="none" w:sz="0" w:space="0" w:color="auto"/>
            <w:right w:val="none" w:sz="0" w:space="0" w:color="auto"/>
          </w:divBdr>
        </w:div>
      </w:divsChild>
    </w:div>
    <w:div w:id="1807238364">
      <w:bodyDiv w:val="1"/>
      <w:marLeft w:val="0"/>
      <w:marRight w:val="0"/>
      <w:marTop w:val="0"/>
      <w:marBottom w:val="0"/>
      <w:divBdr>
        <w:top w:val="none" w:sz="0" w:space="0" w:color="auto"/>
        <w:left w:val="none" w:sz="0" w:space="0" w:color="auto"/>
        <w:bottom w:val="none" w:sz="0" w:space="0" w:color="auto"/>
        <w:right w:val="none" w:sz="0" w:space="0" w:color="auto"/>
      </w:divBdr>
    </w:div>
    <w:div w:id="1822498981">
      <w:bodyDiv w:val="1"/>
      <w:marLeft w:val="0"/>
      <w:marRight w:val="0"/>
      <w:marTop w:val="0"/>
      <w:marBottom w:val="0"/>
      <w:divBdr>
        <w:top w:val="none" w:sz="0" w:space="0" w:color="auto"/>
        <w:left w:val="none" w:sz="0" w:space="0" w:color="auto"/>
        <w:bottom w:val="none" w:sz="0" w:space="0" w:color="auto"/>
        <w:right w:val="none" w:sz="0" w:space="0" w:color="auto"/>
      </w:divBdr>
    </w:div>
    <w:div w:id="1823958780">
      <w:bodyDiv w:val="1"/>
      <w:marLeft w:val="0"/>
      <w:marRight w:val="0"/>
      <w:marTop w:val="0"/>
      <w:marBottom w:val="0"/>
      <w:divBdr>
        <w:top w:val="none" w:sz="0" w:space="0" w:color="auto"/>
        <w:left w:val="none" w:sz="0" w:space="0" w:color="auto"/>
        <w:bottom w:val="none" w:sz="0" w:space="0" w:color="auto"/>
        <w:right w:val="none" w:sz="0" w:space="0" w:color="auto"/>
      </w:divBdr>
    </w:div>
    <w:div w:id="1836875331">
      <w:bodyDiv w:val="1"/>
      <w:marLeft w:val="0"/>
      <w:marRight w:val="0"/>
      <w:marTop w:val="0"/>
      <w:marBottom w:val="0"/>
      <w:divBdr>
        <w:top w:val="none" w:sz="0" w:space="0" w:color="auto"/>
        <w:left w:val="none" w:sz="0" w:space="0" w:color="auto"/>
        <w:bottom w:val="none" w:sz="0" w:space="0" w:color="auto"/>
        <w:right w:val="none" w:sz="0" w:space="0" w:color="auto"/>
      </w:divBdr>
    </w:div>
    <w:div w:id="1989170035">
      <w:bodyDiv w:val="1"/>
      <w:marLeft w:val="0"/>
      <w:marRight w:val="0"/>
      <w:marTop w:val="0"/>
      <w:marBottom w:val="0"/>
      <w:divBdr>
        <w:top w:val="none" w:sz="0" w:space="0" w:color="auto"/>
        <w:left w:val="none" w:sz="0" w:space="0" w:color="auto"/>
        <w:bottom w:val="none" w:sz="0" w:space="0" w:color="auto"/>
        <w:right w:val="none" w:sz="0" w:space="0" w:color="auto"/>
      </w:divBdr>
    </w:div>
    <w:div w:id="2004892456">
      <w:bodyDiv w:val="1"/>
      <w:marLeft w:val="0"/>
      <w:marRight w:val="0"/>
      <w:marTop w:val="0"/>
      <w:marBottom w:val="0"/>
      <w:divBdr>
        <w:top w:val="none" w:sz="0" w:space="0" w:color="auto"/>
        <w:left w:val="none" w:sz="0" w:space="0" w:color="auto"/>
        <w:bottom w:val="none" w:sz="0" w:space="0" w:color="auto"/>
        <w:right w:val="none" w:sz="0" w:space="0" w:color="auto"/>
      </w:divBdr>
      <w:divsChild>
        <w:div w:id="1564218950">
          <w:marLeft w:val="720"/>
          <w:marRight w:val="0"/>
          <w:marTop w:val="0"/>
          <w:marBottom w:val="0"/>
          <w:divBdr>
            <w:top w:val="none" w:sz="0" w:space="0" w:color="auto"/>
            <w:left w:val="none" w:sz="0" w:space="0" w:color="auto"/>
            <w:bottom w:val="none" w:sz="0" w:space="0" w:color="auto"/>
            <w:right w:val="none" w:sz="0" w:space="0" w:color="auto"/>
          </w:divBdr>
        </w:div>
      </w:divsChild>
    </w:div>
    <w:div w:id="2040081184">
      <w:bodyDiv w:val="1"/>
      <w:marLeft w:val="0"/>
      <w:marRight w:val="0"/>
      <w:marTop w:val="0"/>
      <w:marBottom w:val="0"/>
      <w:divBdr>
        <w:top w:val="none" w:sz="0" w:space="0" w:color="auto"/>
        <w:left w:val="none" w:sz="0" w:space="0" w:color="auto"/>
        <w:bottom w:val="none" w:sz="0" w:space="0" w:color="auto"/>
        <w:right w:val="none" w:sz="0" w:space="0" w:color="auto"/>
      </w:divBdr>
    </w:div>
    <w:div w:id="2047900958">
      <w:bodyDiv w:val="1"/>
      <w:marLeft w:val="0"/>
      <w:marRight w:val="0"/>
      <w:marTop w:val="0"/>
      <w:marBottom w:val="0"/>
      <w:divBdr>
        <w:top w:val="none" w:sz="0" w:space="0" w:color="auto"/>
        <w:left w:val="none" w:sz="0" w:space="0" w:color="auto"/>
        <w:bottom w:val="none" w:sz="0" w:space="0" w:color="auto"/>
        <w:right w:val="none" w:sz="0" w:space="0" w:color="auto"/>
      </w:divBdr>
    </w:div>
    <w:div w:id="207056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6B7F8-F3DE-4EAB-99CB-46C17DB24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20</Pages>
  <Words>1583</Words>
  <Characters>9028</Characters>
  <Application>Microsoft Office Word</Application>
  <DocSecurity>0</DocSecurity>
  <Lines>75</Lines>
  <Paragraphs>21</Paragraphs>
  <ScaleCrop>false</ScaleCrop>
  <Company>DOH</Company>
  <LinksUpToDate>false</LinksUpToDate>
  <CharactersWithSpaces>10590</CharactersWithSpaces>
  <SharedDoc>false</SharedDoc>
  <HLinks>
    <vt:vector size="102" baseType="variant">
      <vt:variant>
        <vt:i4>4063357</vt:i4>
      </vt:variant>
      <vt:variant>
        <vt:i4>99</vt:i4>
      </vt:variant>
      <vt:variant>
        <vt:i4>0</vt:i4>
      </vt:variant>
      <vt:variant>
        <vt:i4>5</vt:i4>
      </vt:variant>
      <vt:variant>
        <vt:lpwstr>https://dep.mohw.gov.tw/DOA/lp-666-112.html</vt:lpwstr>
      </vt:variant>
      <vt:variant>
        <vt:lpwstr/>
      </vt:variant>
      <vt:variant>
        <vt:i4>2031664</vt:i4>
      </vt:variant>
      <vt:variant>
        <vt:i4>92</vt:i4>
      </vt:variant>
      <vt:variant>
        <vt:i4>0</vt:i4>
      </vt:variant>
      <vt:variant>
        <vt:i4>5</vt:i4>
      </vt:variant>
      <vt:variant>
        <vt:lpwstr/>
      </vt:variant>
      <vt:variant>
        <vt:lpwstr>_Toc195100406</vt:lpwstr>
      </vt:variant>
      <vt:variant>
        <vt:i4>2031664</vt:i4>
      </vt:variant>
      <vt:variant>
        <vt:i4>86</vt:i4>
      </vt:variant>
      <vt:variant>
        <vt:i4>0</vt:i4>
      </vt:variant>
      <vt:variant>
        <vt:i4>5</vt:i4>
      </vt:variant>
      <vt:variant>
        <vt:lpwstr/>
      </vt:variant>
      <vt:variant>
        <vt:lpwstr>_Toc195100405</vt:lpwstr>
      </vt:variant>
      <vt:variant>
        <vt:i4>2031664</vt:i4>
      </vt:variant>
      <vt:variant>
        <vt:i4>80</vt:i4>
      </vt:variant>
      <vt:variant>
        <vt:i4>0</vt:i4>
      </vt:variant>
      <vt:variant>
        <vt:i4>5</vt:i4>
      </vt:variant>
      <vt:variant>
        <vt:lpwstr/>
      </vt:variant>
      <vt:variant>
        <vt:lpwstr>_Toc195100404</vt:lpwstr>
      </vt:variant>
      <vt:variant>
        <vt:i4>2031664</vt:i4>
      </vt:variant>
      <vt:variant>
        <vt:i4>74</vt:i4>
      </vt:variant>
      <vt:variant>
        <vt:i4>0</vt:i4>
      </vt:variant>
      <vt:variant>
        <vt:i4>5</vt:i4>
      </vt:variant>
      <vt:variant>
        <vt:lpwstr/>
      </vt:variant>
      <vt:variant>
        <vt:lpwstr>_Toc195100403</vt:lpwstr>
      </vt:variant>
      <vt:variant>
        <vt:i4>2031664</vt:i4>
      </vt:variant>
      <vt:variant>
        <vt:i4>68</vt:i4>
      </vt:variant>
      <vt:variant>
        <vt:i4>0</vt:i4>
      </vt:variant>
      <vt:variant>
        <vt:i4>5</vt:i4>
      </vt:variant>
      <vt:variant>
        <vt:lpwstr/>
      </vt:variant>
      <vt:variant>
        <vt:lpwstr>_Toc195100402</vt:lpwstr>
      </vt:variant>
      <vt:variant>
        <vt:i4>2031664</vt:i4>
      </vt:variant>
      <vt:variant>
        <vt:i4>62</vt:i4>
      </vt:variant>
      <vt:variant>
        <vt:i4>0</vt:i4>
      </vt:variant>
      <vt:variant>
        <vt:i4>5</vt:i4>
      </vt:variant>
      <vt:variant>
        <vt:lpwstr/>
      </vt:variant>
      <vt:variant>
        <vt:lpwstr>_Toc195100401</vt:lpwstr>
      </vt:variant>
      <vt:variant>
        <vt:i4>2031664</vt:i4>
      </vt:variant>
      <vt:variant>
        <vt:i4>56</vt:i4>
      </vt:variant>
      <vt:variant>
        <vt:i4>0</vt:i4>
      </vt:variant>
      <vt:variant>
        <vt:i4>5</vt:i4>
      </vt:variant>
      <vt:variant>
        <vt:lpwstr/>
      </vt:variant>
      <vt:variant>
        <vt:lpwstr>_Toc195100400</vt:lpwstr>
      </vt:variant>
      <vt:variant>
        <vt:i4>1441847</vt:i4>
      </vt:variant>
      <vt:variant>
        <vt:i4>50</vt:i4>
      </vt:variant>
      <vt:variant>
        <vt:i4>0</vt:i4>
      </vt:variant>
      <vt:variant>
        <vt:i4>5</vt:i4>
      </vt:variant>
      <vt:variant>
        <vt:lpwstr/>
      </vt:variant>
      <vt:variant>
        <vt:lpwstr>_Toc195100399</vt:lpwstr>
      </vt:variant>
      <vt:variant>
        <vt:i4>1441847</vt:i4>
      </vt:variant>
      <vt:variant>
        <vt:i4>44</vt:i4>
      </vt:variant>
      <vt:variant>
        <vt:i4>0</vt:i4>
      </vt:variant>
      <vt:variant>
        <vt:i4>5</vt:i4>
      </vt:variant>
      <vt:variant>
        <vt:lpwstr/>
      </vt:variant>
      <vt:variant>
        <vt:lpwstr>_Toc195100398</vt:lpwstr>
      </vt:variant>
      <vt:variant>
        <vt:i4>1441847</vt:i4>
      </vt:variant>
      <vt:variant>
        <vt:i4>38</vt:i4>
      </vt:variant>
      <vt:variant>
        <vt:i4>0</vt:i4>
      </vt:variant>
      <vt:variant>
        <vt:i4>5</vt:i4>
      </vt:variant>
      <vt:variant>
        <vt:lpwstr/>
      </vt:variant>
      <vt:variant>
        <vt:lpwstr>_Toc195100397</vt:lpwstr>
      </vt:variant>
      <vt:variant>
        <vt:i4>1441847</vt:i4>
      </vt:variant>
      <vt:variant>
        <vt:i4>32</vt:i4>
      </vt:variant>
      <vt:variant>
        <vt:i4>0</vt:i4>
      </vt:variant>
      <vt:variant>
        <vt:i4>5</vt:i4>
      </vt:variant>
      <vt:variant>
        <vt:lpwstr/>
      </vt:variant>
      <vt:variant>
        <vt:lpwstr>_Toc195100396</vt:lpwstr>
      </vt:variant>
      <vt:variant>
        <vt:i4>1441847</vt:i4>
      </vt:variant>
      <vt:variant>
        <vt:i4>26</vt:i4>
      </vt:variant>
      <vt:variant>
        <vt:i4>0</vt:i4>
      </vt:variant>
      <vt:variant>
        <vt:i4>5</vt:i4>
      </vt:variant>
      <vt:variant>
        <vt:lpwstr/>
      </vt:variant>
      <vt:variant>
        <vt:lpwstr>_Toc195100395</vt:lpwstr>
      </vt:variant>
      <vt:variant>
        <vt:i4>1441847</vt:i4>
      </vt:variant>
      <vt:variant>
        <vt:i4>20</vt:i4>
      </vt:variant>
      <vt:variant>
        <vt:i4>0</vt:i4>
      </vt:variant>
      <vt:variant>
        <vt:i4>5</vt:i4>
      </vt:variant>
      <vt:variant>
        <vt:lpwstr/>
      </vt:variant>
      <vt:variant>
        <vt:lpwstr>_Toc195100394</vt:lpwstr>
      </vt:variant>
      <vt:variant>
        <vt:i4>1441847</vt:i4>
      </vt:variant>
      <vt:variant>
        <vt:i4>14</vt:i4>
      </vt:variant>
      <vt:variant>
        <vt:i4>0</vt:i4>
      </vt:variant>
      <vt:variant>
        <vt:i4>5</vt:i4>
      </vt:variant>
      <vt:variant>
        <vt:lpwstr/>
      </vt:variant>
      <vt:variant>
        <vt:lpwstr>_Toc195100393</vt:lpwstr>
      </vt:variant>
      <vt:variant>
        <vt:i4>1441847</vt:i4>
      </vt:variant>
      <vt:variant>
        <vt:i4>8</vt:i4>
      </vt:variant>
      <vt:variant>
        <vt:i4>0</vt:i4>
      </vt:variant>
      <vt:variant>
        <vt:i4>5</vt:i4>
      </vt:variant>
      <vt:variant>
        <vt:lpwstr/>
      </vt:variant>
      <vt:variant>
        <vt:lpwstr>_Toc195100392</vt:lpwstr>
      </vt:variant>
      <vt:variant>
        <vt:i4>1441847</vt:i4>
      </vt:variant>
      <vt:variant>
        <vt:i4>2</vt:i4>
      </vt:variant>
      <vt:variant>
        <vt:i4>0</vt:i4>
      </vt:variant>
      <vt:variant>
        <vt:i4>5</vt:i4>
      </vt:variant>
      <vt:variant>
        <vt:lpwstr/>
      </vt:variant>
      <vt:variant>
        <vt:lpwstr>_Toc195100391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健康台灣深耕計畫</dc:title>
  <dc:subject/>
  <dc:creator>科技發展組楊堯智</dc:creator>
  <cp:keywords/>
  <cp:lastModifiedBy>廖偉創</cp:lastModifiedBy>
  <cp:revision>28</cp:revision>
  <cp:lastPrinted>2025-09-05T08:38:00Z</cp:lastPrinted>
  <dcterms:created xsi:type="dcterms:W3CDTF">2026-06-02T07:39:00Z</dcterms:created>
  <dcterms:modified xsi:type="dcterms:W3CDTF">2026-06-18T06:59:00Z</dcterms:modified>
</cp:coreProperties>
</file>