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52"/>
        </w:rPr>
        <w:t>Straddle Breakeven Probability Lab</w:t>
      </w:r>
    </w:p>
    <w:p>
      <w:pPr>
        <w:jc w:val="center"/>
      </w:pPr>
      <w:r>
        <w:rPr>
          <w:rFonts w:ascii="Microsoft JhengHei" w:hAnsi="Microsoft JhengHei" w:eastAsia="Microsoft JhengHei"/>
          <w:sz w:val="30"/>
        </w:rPr>
        <w:t>跨式策略損益兩平機率研究：以波動率壓縮與機率校準模型為核心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404040"/>
          <w:sz w:val="36"/>
        </w:rPr>
        <w:t>Phase 1-3 研究報告：市場事件、Breakeven 資料集與機率模型</w:t>
      </w:r>
    </w:p>
    <w:p/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重要聲明 (Data Tier Disclaimer)</w:t>
      </w:r>
    </w:p>
    <w:p>
      <w:r>
        <w:rPr>
          <w:rFonts w:ascii="Microsoft JhengHei" w:hAnsi="Microsoft JhengHei" w:eastAsia="Microsoft JhengHei"/>
          <w:sz w:val="22"/>
        </w:rPr>
        <w:t>本報告為 Phase 1（市場事件研究）成果，僅使用標的股價資料（SPY, QQQ），完全未使用選擇權資料。因此本報告不構成、也不宣稱驗證了 Long Straddle 策略的真實獲利能力，正確定位為：Breakeven-event research under estimated conditions (price-only stage), 尚未涉及 option premium。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1. 資料與方法</w:t>
      </w:r>
    </w:p>
    <w:p>
      <w:r>
        <w:rPr>
          <w:rFonts w:ascii="Microsoft JhengHei" w:hAnsi="Microsoft JhengHei" w:eastAsia="Microsoft JhengHei"/>
          <w:sz w:val="22"/>
        </w:rPr>
        <w:t>• 標的：SPY, QQQ</w:t>
      </w:r>
    </w:p>
    <w:p>
      <w:r>
        <w:rPr>
          <w:rFonts w:ascii="Microsoft JhengHei" w:hAnsi="Microsoft JhengHei" w:eastAsia="Microsoft JhengHei"/>
          <w:sz w:val="22"/>
        </w:rPr>
        <w:t>• 資料來源：Yahoo Finance (yfinance)，日線 OHLCV + Adjusted Close</w:t>
      </w:r>
    </w:p>
    <w:p>
      <w:r>
        <w:rPr>
          <w:rFonts w:ascii="Microsoft JhengHei" w:hAnsi="Microsoft JhengHei" w:eastAsia="Microsoft JhengHei"/>
          <w:sz w:val="22"/>
        </w:rPr>
        <w:t>• 資料期間：2005-01-03 至 2026-08-07（5,433 個交易日）</w:t>
      </w:r>
    </w:p>
    <w:p>
      <w:r>
        <w:rPr>
          <w:rFonts w:ascii="Microsoft JhengHei" w:hAnsi="Microsoft JhengHei" w:eastAsia="Microsoft JhengHei"/>
          <w:sz w:val="22"/>
        </w:rPr>
        <w:t>• 資料層級：MVP tier — 僅標的價格資料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2. 研究假說 H1</w:t>
      </w:r>
    </w:p>
    <w:p>
      <w:r>
        <w:rPr>
          <w:rFonts w:ascii="Microsoft JhengHei" w:hAnsi="Microsoft JhengHei" w:eastAsia="Microsoft JhengHei"/>
          <w:sz w:val="22"/>
        </w:rPr>
        <w:t>H1：當過去 20 日 realized volatility 位於歷史低分位，且 Bollinger Band width 較低時，未來 10 日或 20 日的絕對報酬較高。</w:t>
      </w:r>
    </w:p>
    <w:p>
      <w:r>
        <w:rPr>
          <w:rFonts w:ascii="Microsoft JhengHei" w:hAnsi="Microsoft JhengHei" w:eastAsia="Microsoft JhengHei"/>
          <w:sz w:val="22"/>
        </w:rPr>
        <w:t>Compression regime 定義：rv_20_percentile &lt;= threshold 且 bb_width_percentile &lt;= threshold（主要設定 threshold = 20th percentile，10th / 30th percentile 作為穩健性檢查）。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3. 主要結果 (Primary spec: SPY, 20th percentile, 20D horizon)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</w:rPr>
              <w:t>統計量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</w:rPr>
              <w:t>數值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觀察數（compression / normal）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606 / 4,536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平均未來 20 日絕對報酬 (compression)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2.90%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平均未來 20 日絕對報酬 (normal)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3.52%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平均差異 (compression - normal)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-0.63%  (95% bootstrap CI: [-0.81%, -0.44%])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Welch's t-test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t = -6.64, p = 4.85e-11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Mann-Whitney U test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p = 0.018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Benjamini-Hochberg (12 規格聯合檢定)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拒絕虛無假設 (reject)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P(大幅波動 | compression)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17.3%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P(大幅波動) 無條件機率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26.1%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Probability ratio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0.66</w:t>
            </w:r>
          </w:p>
        </w:tc>
      </w:tr>
    </w:tbl>
    <w:p/>
    <w:p>
      <w:r>
        <w:rPr>
          <w:rFonts w:ascii="Microsoft JhengHei" w:hAnsi="Microsoft JhengHei" w:eastAsia="Microsoft JhengHei"/>
          <w:sz w:val="22"/>
        </w:rPr>
        <w:t>結論：H1 在本樣本中被拒絕，且方向與假說相反。波動壓縮狀態下，未來 20 日絕對報酬不僅沒有變大，反而顯著更小；壓縮狀態下出現大幅波動的機率只有無條件機率的66%，而非更高。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4. 穩健性分析（12 規格全部同方向）</w:t>
      </w:r>
    </w:p>
    <w:p>
      <w:r>
        <w:rPr>
          <w:rFonts w:ascii="Microsoft JhengHei" w:hAnsi="Microsoft JhengHei" w:eastAsia="Microsoft JhengHei"/>
          <w:sz w:val="22"/>
        </w:rPr>
        <w:t>對 2 個標的 x 2 個預測期間 x 3 個 compression 門檻，共 12 個規格全部執行相同檢定。全部 12 個規格中，compression regime 的平均未來絕對報酬皆低於 normal regime（差異介於 -0.30% 至 -0.89% 之間），且經 Benjamini-Hochberg 校正後全部達統計顯著。方向一致，不是單一門檻或單一標的的偶然結果。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Ticker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Horizon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Threshold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Mean diff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Welch p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P(large|comp)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P(large) uncond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SPY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10D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-0.67%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8.13e-13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12.8%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26.0%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SPY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10D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-0.59%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8.24e-18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16.5%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26.0%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SPY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10D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-0.57%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2.83e-20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18.1%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26.0%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SPY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20D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-0.89%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6.81e-13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12.8%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26.1%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SPY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20D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-0.63%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4.85e-11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17.3%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26.1%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SPY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20D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-0.67%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8.87e-16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17.9%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26.1%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QQQ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10D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-0.59%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2.00e-06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18.9%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25.6%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QQQ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10D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-0.30%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2.95e-03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23.1%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25.6%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QQQ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10D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-0.40%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3.25e-07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20.9%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25.6%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QQQ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20D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10%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-0.58%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1.57e-03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23.5%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25.6%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QQQ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20D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20%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-0.63%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1.73e-06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21.4%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25.6%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QQQ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20D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30%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-0.70%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2.75e-11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19.5%</w:t>
            </w:r>
          </w:p>
        </w:tc>
        <w:tc>
          <w:tcPr>
            <w:tcW w:type="dxa" w:w="1234"/>
          </w:tcPr>
          <w:p>
            <w:r>
              <w:rPr>
                <w:rFonts w:ascii="Microsoft JhengHei" w:hAnsi="Microsoft JhengHei" w:eastAsia="Microsoft JhengHei"/>
                <w:sz w:val="18"/>
              </w:rPr>
              <w:t>25.6%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5. 圖表</w:t>
      </w:r>
    </w:p>
    <w:p>
      <w:r>
        <w:drawing>
          <wp:inline xmlns:a="http://schemas.openxmlformats.org/drawingml/2006/main" xmlns:pic="http://schemas.openxmlformats.org/drawingml/2006/picture">
            <wp:extent cx="54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forward_return_by_reg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sz w:val="18"/>
        </w:rPr>
        <w:t>圖 1：Compression vs normal regime 未來 20 日絕對報酬分布</w:t>
      </w:r>
    </w:p>
    <w:p/>
    <w:p>
      <w:r>
        <w:drawing>
          <wp:inline xmlns:a="http://schemas.openxmlformats.org/drawingml/2006/main" xmlns:pic="http://schemas.openxmlformats.org/drawingml/2006/picture">
            <wp:extent cx="540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ion_regime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sz w:val="18"/>
        </w:rPr>
        <w:t>圖 2：SPY 價格走勢與 compression regime 標記</w:t>
      </w:r>
    </w:p>
    <w:p/>
    <w:p>
      <w:r>
        <w:drawing>
          <wp:inline xmlns:a="http://schemas.openxmlformats.org/drawingml/2006/main" xmlns:pic="http://schemas.openxmlformats.org/drawingml/2006/picture">
            <wp:extent cx="540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al_probability_by_thresho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sz w:val="18"/>
        </w:rPr>
        <w:t>圖 3：三種門檻下條件機率 vs 無條件機率</w:t>
      </w:r>
    </w:p>
    <w:p/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6. 解讀</w:t>
      </w:r>
    </w:p>
    <w:p>
      <w:r>
        <w:rPr>
          <w:rFonts w:ascii="Microsoft JhengHei" w:hAnsi="Microsoft JhengHei" w:eastAsia="Microsoft JhengHei"/>
          <w:sz w:val="22"/>
        </w:rPr>
        <w:t>低波動狀態在統計上具有相當的持續性（volatility clustering / persistence）：波動率低的時期，後續一段時間的波動率傾向於維持偏低，而非立即反轉為大幅波動，這與GARCH 類波動率聚集現象一致，但與「壓縮後必噴出」的交易直覺相反。</w:t>
      </w:r>
    </w:p>
    <w:p>
      <w:r>
        <w:rPr>
          <w:rFonts w:ascii="Microsoft JhengHei" w:hAnsi="Microsoft JhengHei" w:eastAsia="Microsoft JhengHei"/>
          <w:sz w:val="22"/>
        </w:rPr>
        <w:t>這不代表整條研究鏈失敗：真正與策略有關的是 H2（能否突破選擇權隱含的 breakeven 門檻），因為門檻本身由目前已支付的權利金（隱含波動率）決定——若壓縮狀態下 IV 同步偏低，即使未來絕對報酬較小，仍可能相對於便宜的權利金更容易突破。此問題須留到 Phase 2（取得真實選擇權資料後）才能檢驗。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Part B: Phase 2 — Breakeven Dataset（真實選擇權資料）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1. 資料與方法</w:t>
      </w:r>
    </w:p>
    <w:p>
      <w:r>
        <w:rPr>
          <w:rFonts w:ascii="Microsoft JhengHei" w:hAnsi="Microsoft JhengHei" w:eastAsia="Microsoft JhengHei"/>
          <w:sz w:val="22"/>
        </w:rPr>
        <w:t>• 資料來源：ORATS Data API, History (EOD) 方案</w:t>
      </w:r>
    </w:p>
    <w:p>
      <w:r>
        <w:rPr>
          <w:rFonts w:ascii="Microsoft JhengHei" w:hAnsi="Microsoft JhengHei" w:eastAsia="Microsoft JhengHei"/>
          <w:sz w:val="22"/>
        </w:rPr>
        <w:t>• 資料層級：Full-research tier — 真實 bid/ask, IV, delta, open interest</w:t>
      </w:r>
    </w:p>
    <w:p>
      <w:r>
        <w:rPr>
          <w:rFonts w:ascii="Microsoft JhengHei" w:hAnsi="Microsoft JhengHei" w:eastAsia="Microsoft JhengHei"/>
          <w:sz w:val="22"/>
        </w:rPr>
        <w:t>• 回測期間：2013-01-01 至 2026-08-07（實測驗證：2013 年前 20-40 DTE 合約覆蓋率過低）</w:t>
      </w:r>
    </w:p>
    <w:p>
      <w:r>
        <w:rPr>
          <w:rFonts w:ascii="Microsoft JhengHei" w:hAnsi="Microsoft JhengHei" w:eastAsia="Microsoft JhengHei"/>
          <w:sz w:val="22"/>
        </w:rPr>
        <w:t>• 進場規則：每週五，最接近 ATM strike，20-40 DTE 中最接近 30 DTE 的到期日，持有至到期</w:t>
      </w:r>
    </w:p>
    <w:p>
      <w:r>
        <w:rPr>
          <w:rFonts w:ascii="Microsoft JhengHei" w:hAnsi="Microsoft JhengHei" w:eastAsia="Microsoft JhengHei"/>
          <w:sz w:val="22"/>
        </w:rPr>
        <w:t>開發過程中發現並修正兩個資料正確性問題：(1) ORATS 到期日採 OCC 慣例標示為結算星期六而非實際交易日星期五，已修正為自動回溯最近交易日；(2) 到期損益計算原本誤用股息調整後價格（adj_close），造成長年股息調整累積的假性大幅跳空，已修正為使用未調整實際成交價（close）。詳見 reports/limitations.md。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2. 主要結果：H2（SPY, 20th percentile threshold）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</w:rPr>
              <w:t>統計量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</w:rPr>
              <w:t>數值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有效交易週數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681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Compression 週數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74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P(breakeven | compression)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41.9%  (95% bootstrap CI: [31.1%, 52.7%])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P(breakeven) 無條件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41.6%  (95% bootstrap CI: [37.7%, 45.4%])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Probability ratio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1.008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平均 net PnL (compression)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-$195.56 / 口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平均 net PnL (normal)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-$38.89 / 口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Welch's t-test (PnL 差異)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p = 0.088</w:t>
            </w:r>
          </w:p>
        </w:tc>
      </w:tr>
    </w:tbl>
    <w:p/>
    <w:p>
      <w:r>
        <w:rPr>
          <w:rFonts w:ascii="Microsoft JhengHei" w:hAnsi="Microsoft JhengHei" w:eastAsia="Microsoft JhengHei"/>
          <w:sz w:val="22"/>
        </w:rPr>
        <w:t>結論：H2 沒有被支持，是乾淨的虛無結果。Compression 下的條件 breakeven 機率（41.9%）與無條件機率（41.6%）幾乎相同，95% bootstrap 信賴區間高度重疊。這與H1（未來絕對報酬顯著更小）形成對比：compression 狀態下 IV／權利金通常也同步偏低，breakeven 門檻跟著收窄，兩個效應大致互相抵銷。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3. 穩健性分析（6 規格皆無顯著差異，但方向一致偏負）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Ticker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Thresh.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n(comp)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P(be|comp)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P(be) uncond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Ratio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PnL(comp)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PnL(normal)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Welch p</w:t>
            </w:r>
          </w:p>
        </w:tc>
      </w:tr>
      <w:tr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SPY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10%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26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46.2%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41.6%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1.11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$-223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$-49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0.201</w:t>
            </w:r>
          </w:p>
        </w:tc>
      </w:tr>
      <w:tr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SPY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20%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74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41.9%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41.6%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1.01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$-196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$-39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0.088</w:t>
            </w:r>
          </w:p>
        </w:tc>
      </w:tr>
      <w:tr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SPY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30%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145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43.5%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41.6%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1.05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$-82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$-49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0.633</w:t>
            </w:r>
          </w:p>
        </w:tc>
      </w:tr>
      <w:tr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QQQ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10%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33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42.4%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44.0%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0.96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$-92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$-57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0.834</w:t>
            </w:r>
          </w:p>
        </w:tc>
      </w:tr>
      <w:tr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QQQ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20%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72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41.7%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44.0%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0.95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$-149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$-48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0.343</w:t>
            </w:r>
          </w:p>
        </w:tc>
      </w:tr>
      <w:tr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QQQ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30%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126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41.3%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44.0%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0.94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$-161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$-36</w:t>
            </w:r>
          </w:p>
        </w:tc>
        <w:tc>
          <w:tcPr>
            <w:tcW w:type="dxa" w:w="960"/>
          </w:tcPr>
          <w:p>
            <w:r>
              <w:rPr>
                <w:rFonts w:ascii="Microsoft JhengHei" w:hAnsi="Microsoft JhengHei" w:eastAsia="Microsoft JhengHei"/>
                <w:sz w:val="18"/>
              </w:rPr>
              <w:t>0.137</w:t>
            </w:r>
          </w:p>
        </w:tc>
      </w:tr>
    </w:tbl>
    <w:p/>
    <w:p>
      <w:r>
        <w:rPr>
          <w:rFonts w:ascii="Microsoft JhengHei" w:hAnsi="Microsoft JhengHei" w:eastAsia="Microsoft JhengHei"/>
          <w:sz w:val="22"/>
        </w:rPr>
        <w:t>有一個值得留意但未達顯著的一致方向：6 個規格中，compression 狀態下的平均 net PnL 全部比 normal 狀態更差。沒有任何一個單獨達到 5% 顯著水準且未經多重檢定校正，樣本數也偏小（compression 子樣本僅 26-145 筆），應留待 Phase 3/4 用更大樣本或更精細的模型重新檢驗，不應直接當作可交易訊號。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4. 圖表</w:t>
      </w:r>
    </w:p>
    <w:p>
      <w:r>
        <w:drawing>
          <wp:inline xmlns:a="http://schemas.openxmlformats.org/drawingml/2006/main" xmlns:pic="http://schemas.openxmlformats.org/drawingml/2006/picture">
            <wp:extent cx="5040000" cy="3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breakeven_prob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sz w:val="18"/>
        </w:rPr>
        <w:t>圖 4：Compression vs normal regime 的真實 breakeven 機率</w:t>
      </w:r>
    </w:p>
    <w:p/>
    <w:p>
      <w:r>
        <w:drawing>
          <wp:inline xmlns:a="http://schemas.openxmlformats.org/drawingml/2006/main" xmlns:pic="http://schemas.openxmlformats.org/drawingml/2006/picture">
            <wp:extent cx="5040000" cy="3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net_pnl_by_reg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sz w:val="18"/>
        </w:rPr>
        <w:t>圖 5：兩種 regime 下的真實 net PnL 分布</w:t>
      </w:r>
    </w:p>
    <w:p/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5. 下一步</w:t>
      </w:r>
    </w:p>
    <w:p>
      <w:r>
        <w:rPr>
          <w:rFonts w:ascii="Microsoft JhengHei" w:hAnsi="Microsoft JhengHei" w:eastAsia="Microsoft JhengHei"/>
          <w:sz w:val="22"/>
        </w:rPr>
        <w:t>Phase 3 的多變量機率模型必須納入 option-cost features（iv_minus_rv、straddle_premium_pct 等），不能只用價格壓縮特徵，因為 H2 已證明單一 compression 規則對真實 breakeven 機率沒有單變量預測力。Compression 下 PnL 偏負但未顯著的觀察，可作為 Phase 3 模型是否真的捕捉到交互作用的檢查點。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6"/>
        </w:rPr>
        <w:t>Part C: Phase 3 — Probability Model（H3-H5）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1. 資料與方法</w:t>
      </w:r>
    </w:p>
    <w:p>
      <w:r>
        <w:rPr>
          <w:rFonts w:ascii="Microsoft JhengHei" w:hAnsi="Microsoft JhengHei" w:eastAsia="Microsoft JhengHei"/>
          <w:sz w:val="22"/>
        </w:rPr>
        <w:t>• 特徵：22 個變數：波動率、壓縮、動能、選擇權成本四大類（見 configs/model.yaml）</w:t>
      </w:r>
    </w:p>
    <w:p>
      <w:r>
        <w:rPr>
          <w:rFonts w:ascii="Microsoft JhengHei" w:hAnsi="Microsoft JhengHei" w:eastAsia="Microsoft JhengHei"/>
          <w:sz w:val="22"/>
        </w:rPr>
        <w:t>• 標籤：target_expiry（Phase 2 的真實 breakeven 事件）</w:t>
      </w:r>
    </w:p>
    <w:p>
      <w:r>
        <w:rPr>
          <w:rFonts w:ascii="Microsoft JhengHei" w:hAnsi="Microsoft JhengHei" w:eastAsia="Microsoft JhengHei"/>
          <w:sz w:val="22"/>
        </w:rPr>
        <w:t>• 驗證方式：Walk-forward expanding window：初始訓練 6 年，之後每次測試 1 年，共 8 個 fold（2019-2026 上半年）</w:t>
      </w:r>
    </w:p>
    <w:p>
      <w:r>
        <w:rPr>
          <w:rFonts w:ascii="Microsoft JhengHei" w:hAnsi="Microsoft JhengHei" w:eastAsia="Microsoft JhengHei"/>
          <w:sz w:val="22"/>
        </w:rPr>
        <w:t>• 模型：dummy_prior、compression_rule、logistic_regression（22 特徵）、random_forest（300 棵淺樹）</w:t>
      </w:r>
    </w:p>
    <w:p>
      <w:r>
        <w:rPr>
          <w:rFonts w:ascii="Microsoft JhengHei" w:hAnsi="Microsoft JhengHei" w:eastAsia="Microsoft JhengHei"/>
          <w:sz w:val="22"/>
        </w:rPr>
        <w:t>• 校準：Sigmoid (Platt) 為主，isotonic 為對照（樣本量小，isotonic 較不穩定）</w:t>
      </w:r>
    </w:p>
    <w:p>
      <w:r>
        <w:rPr>
          <w:rFonts w:ascii="Microsoft JhengHei" w:hAnsi="Microsoft JhengHei" w:eastAsia="Microsoft JhengHei"/>
          <w:sz w:val="22"/>
        </w:rPr>
        <w:t>• 超參數：事先固定於 configs/model.yaml，不在 fold 內調參，避免疊加資料窺探風險</w:t>
      </w:r>
    </w:p>
    <w:p>
      <w:r>
        <w:rPr>
          <w:rFonts w:ascii="Microsoft JhengHei" w:hAnsi="Microsoft JhengHei" w:eastAsia="Microsoft JhengHei"/>
          <w:sz w:val="22"/>
        </w:rPr>
        <w:t>所有 scaling、calibration（內部 5-fold CV）與模型訓練，都嚴格限制在該 fold 的訓練窗口內完成，測試窗口的任何一筆資料都不會被用於挑選特徵、校準或調參。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2. 主要結果（SPY, pooled OOS, n=378）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</w:rPr>
              <w:t>模型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</w:rPr>
              <w:t>結果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dummy_prior（無條件歷史發生率）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ROC-AUC 0.437, Brier 0.2508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compression_rule（單一 compression 規則）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ROC-AUC 0.437, Brier 0.2527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logistic_regression（22 特徵）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ROC-AUC 0.502, Brier 0.2521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random_forest（22 特徵，300 棵樹）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</w:rPr>
              <w:t>ROC-AUC 0.516, Brier 0.2533</w:t>
            </w:r>
          </w:p>
        </w:tc>
      </w:tr>
    </w:tbl>
    <w:p/>
    <w:p>
      <w:r>
        <w:rPr>
          <w:rFonts w:ascii="Microsoft JhengHei" w:hAnsi="Microsoft JhengHei" w:eastAsia="Microsoft JhengHei"/>
          <w:sz w:val="22"/>
        </w:rPr>
        <w:t>結論：四個模型的樣本外判別力都接近隨機猜測（ROC-AUC 0.50 為隨機基準），沒有一個模型展現出可靠的預測力。Random Forest 名目最高但差距極小，且 Brier score 幾乎與最無資訊量的 dummy_prior 基準相同。這與 Phase 2 的 H2 結果完全一致：增加模型複雜度並不能無中生有創造出資料本身不存在的訊號。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3. 圖表</w:t>
      </w:r>
    </w:p>
    <w:p>
      <w:r>
        <w:drawing>
          <wp:inline xmlns:a="http://schemas.openxmlformats.org/drawingml/2006/main" xmlns:pic="http://schemas.openxmlformats.org/drawingml/2006/picture">
            <wp:extent cx="5400000" cy="54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calibration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sz w:val="18"/>
        </w:rPr>
        <w:t>圖 6：四個模型（SPY, sigmoid 校準）的 calibration curve</w:t>
      </w:r>
    </w:p>
    <w:p/>
    <w:p>
      <w:r>
        <w:drawing>
          <wp:inline xmlns:a="http://schemas.openxmlformats.org/drawingml/2006/main" xmlns:pic="http://schemas.openxmlformats.org/drawingml/2006/picture">
            <wp:extent cx="5400000" cy="54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roc_cur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sz w:val="18"/>
        </w:rPr>
        <w:t>圖 7：四個模型的 ROC curve（pooled OOS）</w:t>
      </w:r>
    </w:p>
    <w:p/>
    <w:p>
      <w:r>
        <w:drawing>
          <wp:inline xmlns:a="http://schemas.openxmlformats.org/drawingml/2006/main" xmlns:pic="http://schemas.openxmlformats.org/drawingml/2006/picture">
            <wp:extent cx="5400000" cy="24923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feature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sz w:val="18"/>
        </w:rPr>
        <w:t>圖 8：Logistic Regression 係數與 Random Forest feature importance</w:t>
      </w:r>
    </w:p>
    <w:p/>
    <w:p>
      <w:pPr>
        <w:pStyle w:val="Heading2"/>
      </w:pPr>
      <w:r>
        <w:rPr>
          <w:rFonts w:ascii="Microsoft JhengHei" w:hAnsi="Microsoft JhengHei" w:eastAsia="Microsoft JhengHei"/>
          <w:b/>
          <w:sz w:val="28"/>
        </w:rPr>
        <w:t>4. 下一步</w:t>
      </w:r>
    </w:p>
    <w:p>
      <w:r>
        <w:rPr>
          <w:rFonts w:ascii="Microsoft JhengHei" w:hAnsi="Microsoft JhengHei" w:eastAsia="Microsoft JhengHei"/>
          <w:sz w:val="22"/>
        </w:rPr>
        <w:t>既然 Phase 3 沒有找到可靠的機率判別力，Phase 4 的 probability-filtered strategy 預期不會顯著優於無條件買進或 compression 規則。但仍值得執行 Phase 4：策略績效與機率判別力是不同的評估維度，門檻篩選仍可能透過避開少數極端虧損交易而改善風險調整後績效，需要實際跑過回測才能確認或證偽。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