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38FB" w14:textId="77777777" w:rsidR="009303D9" w:rsidRPr="005B5923" w:rsidRDefault="009303D9" w:rsidP="005B5923">
      <w:pPr>
        <w:pStyle w:val="NoSpacing"/>
        <w:rPr>
          <w:sz w:val="28"/>
          <w:szCs w:val="28"/>
        </w:rPr>
      </w:pPr>
      <w:r>
        <w:rPr>
          <w:rFonts w:ascii="Times New Roman" w:hAnsi="Times New Roman"/>
          <w:b/>
          <w:i w:val="0"/>
          <w:sz w:val="28"/>
        </w:rPr>
        <w:t>MamNet-6: Multi-View Fusion, CrossView Transformer, and Uncertainty-Aware Triage for Breast Cancer Detection on VinDr-Mammo</w:t>
      </w:r>
    </w:p>
    <w:p w14:paraId="5FD4C13C" w14:textId="77777777" w:rsidR="005B5923" w:rsidRPr="005B5923" w:rsidRDefault="005B5923" w:rsidP="005B5923">
      <w:pPr>
        <w:pStyle w:val="NoSpacing"/>
      </w:pPr>
    </w:p>
    <w:p w14:paraId="000602A7" w14:textId="77777777" w:rsidR="009303D9" w:rsidRPr="005B520E" w:rsidRDefault="009303D9" w:rsidP="005B5923">
      <w:pPr>
        <w:pStyle w:val="NoSpacing"/>
        <w:sectPr w:rsidR="009303D9" w:rsidRPr="005B520E">
          <w:headerReference w:type="default" r:id="rId7"/>
          <w:footerReference w:type="default" r:id="rId8"/>
          <w:pgSz w:w="12240" w:h="15840" w:code="1"/>
          <w:pgMar w:top="1080" w:right="893" w:bottom="1440" w:left="893" w:header="720" w:footer="720" w:gutter="0"/>
          <w:cols w:space="720"/>
          <w:docGrid w:linePitch="360"/>
        </w:sectPr>
      </w:pPr>
    </w:p>
    <w:p w14:paraId="01A06AB5" w14:textId="77777777" w:rsidR="009303D9" w:rsidRDefault="005B5923" w:rsidP="005B5923">
      <w:pPr>
        <w:pStyle w:val="NoSpacing"/>
      </w:pPr>
      <w:r>
        <w:rPr>
          <w:rFonts w:ascii="Times New Roman" w:hAnsi="Times New Roman"/>
          <w:b w:val="0"/>
          <w:i w:val="0"/>
          <w:sz w:val="20"/>
        </w:rPr>
        <w:t>Haoming Luo, Matthew Hamilton, Oscar Meruvia-Pastor, Edward Kendall</w:t>
        <w:br/>
        <w:t>Department of Computer Science, Memorial University, St. John's, NL, Canada</w:t>
      </w:r>
    </w:p>
    <w:p w14:paraId="022A516A" w14:textId="77777777" w:rsidR="009303D9" w:rsidRPr="005B520E" w:rsidRDefault="009303D9" w:rsidP="005B5923">
      <w:pPr>
        <w:pStyle w:val="NoSpacing"/>
      </w:pPr>
      <w:r>
        <w:rPr>
          <w:rFonts w:ascii="Times New Roman" w:hAnsi="Times New Roman"/>
          <w:b w:val="0"/>
          <w:i w:val="0"/>
          <w:sz w:val="20"/>
        </w:rPr>
        <w:t>hluo@mun.ca</w:t>
      </w:r>
    </w:p>
    <w:p w14:paraId="2C81FE5C" w14:textId="77777777" w:rsidR="009303D9" w:rsidRDefault="005B5923" w:rsidP="005B5923">
      <w:pPr>
        <w:pStyle w:val="NoSpacing"/>
      </w:pPr>
    </w:p>
    <w:p w14:paraId="1207CF36" w14:textId="77777777" w:rsidR="009303D9" w:rsidRPr="005B520E" w:rsidRDefault="009303D9" w:rsidP="005B5923">
      <w:pPr>
        <w:pStyle w:val="NoSpacing"/>
        <w:sectPr w:rsidR="009303D9" w:rsidRPr="005B520E" w:rsidSect="005B5923">
          <w:type w:val="continuous"/>
          <w:pgSz w:w="12240" w:h="15840" w:code="1"/>
          <w:pgMar w:top="1080" w:right="893" w:bottom="1440" w:left="893" w:header="720" w:footer="720" w:gutter="0"/>
          <w:cols w:space="720"/>
          <w:docGrid w:linePitch="360"/>
        </w:sectPr>
      </w:pPr>
    </w:p>
    <w:p w14:paraId="50A4FCF8" w14:textId="77777777" w:rsidR="005B5923" w:rsidRDefault="005B5923" w:rsidP="005B5923">
      <w:pPr>
        <w:pStyle w:val="NoSpacing"/>
        <w:rPr>
          <w:i/>
          <w:iCs/>
        </w:rPr>
        <w:sectPr w:rsidR="005B5923" w:rsidSect="005B5923">
          <w:type w:val="continuous"/>
          <w:pgSz w:w="12240" w:h="15840" w:code="1"/>
          <w:pgMar w:top="1080" w:right="893" w:bottom="1440" w:left="893" w:header="720" w:footer="720" w:gutter="0"/>
          <w:cols w:space="360"/>
          <w:rtlGutter/>
          <w:docGrid w:linePitch="360"/>
        </w:sectPr>
      </w:pPr>
    </w:p>
    <w:p w14:paraId="64899254" w14:textId="77777777" w:rsidR="005B5923" w:rsidRDefault="005B5923" w:rsidP="005B5923">
      <w:pPr>
        <w:pStyle w:val="NoSpacing"/>
        <w:jc w:val="left"/>
        <w:rPr>
          <w:i/>
          <w:iCs/>
        </w:rPr>
      </w:pPr>
      <w:r>
        <w:rPr>
          <w:rFonts w:ascii="Times New Roman" w:hAnsi="Times New Roman"/>
          <w:b w:val="0"/>
          <w:i w:val="0"/>
          <w:sz w:val="20"/>
        </w:rPr>
        <w:t>Keywords: breast cancer detection, mammography, multi-view learning, uncertainty quantification, triage</w:t>
      </w:r>
    </w:p>
    <w:p w14:paraId="0CBF915C" w14:textId="77777777" w:rsidR="00C75A11" w:rsidRDefault="00C75A11" w:rsidP="00C6301B">
      <w:pPr>
        <w:pStyle w:val="NoSpacing"/>
        <w:jc w:val="both"/>
        <w:rPr>
          <w:i/>
          <w:iCs/>
        </w:rPr>
      </w:pPr>
    </w:p>
    <w:p w14:paraId="2C383F07" w14:textId="52A0771F" w:rsidR="00EC2F4B" w:rsidRDefault="00C6301B" w:rsidP="00C6301B">
      <w:pPr>
        <w:pStyle w:val="NoSpacing"/>
        <w:spacing w:before="80" w:after="80"/>
        <w:jc w:val="both"/>
      </w:pPr>
      <w:r>
        <w:rPr>
          <w:rFonts w:ascii="Times New Roman" w:hAnsi="Times New Roman"/>
          <w:b/>
          <w:sz w:val="20"/>
        </w:rPr>
        <w:t>Extended Abstract—</w:t>
      </w:r>
      <w:r>
        <w:rPr>
          <w:rFonts w:ascii="Times New Roman" w:hAnsi="Times New Roman"/>
          <w:sz w:val="20"/>
        </w:rPr>
        <w:t xml:space="preserve"> Breast cancer is the most commonly diagnosed cancer worldwide. Population screening with full-field digital mammography (FFDM) reduces mortality but places a heavy radiologist workload and substantial inter-reader variability of 10–30 percentage points (Lehman et al., 2017). Meta-analyses report pooled AUC of 0.87 for deep learning AI versus 0.81 for radiologists on digital mammography (Dembrower et al., 2020). Three gaps motivate this work: single-view dominance in published VinDr-Mammo results, underexplored spatial cross-view attention, and the absence of uncertainty-aware triage simulation on this dataset.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0"/>
        </w:rPr>
        <w:t>We developed MamNet-6, a six-stage pipeline evaluated on VinDr-Mammo (Nguyen et al., 2023), a 20,000-image Vietnamese FFDM benchmark. Each stage extends the previous: Stage 1 establishes CNN baselines across five backbones; Stage 2 introduces BreastPairNet, a shared-backbone multi-view network fusing CC and MLO views across twelve backbone×fusion×resolution variants; Stage 3 adds a CrossView Transformer with spatial cross-attention between view feature maps before global average pooling; Stage 3b tests whether coarse bounding-box annotations help or hurt; Stage 4 applies Monte Carlo (MC) Dropout (N = 20 stochastic passes) for predictive uncertainty quantification; and Stage 5 assembles a 16-model ensemble with test-time augmentation (TTA×5). Stage 6 simulates a Verboom-style hybrid triage policy (Verboom et al., 2021), routing high-confidence AI reads autonomously and referring uncertain cases to a radiologist. External zero-shot validation is performed on the RSNA 2022 dataset.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0"/>
        </w:rPr>
        <w:t>DenseNet-121 achieved AUROC = 0.756 at Stage 1. BreastPairNet improved to AUROC = 0.826 [95 % CI 0.776–0.871] (+9.1 %), and the CrossView Transformer reached AUROC = 0.832 [0.783–0.875] (+10.0 %). Adjacent-stage differences lie within overlapping confidence intervals; the cumulative Stage 1→5 gain is the most statistically robust comparison. Bounding-box annotations consistently degraded AUROC by 0.12–0.20, indicating shortcut learning from coarse localisation labels. The 16-model ensemble achieved AUROC = 0.846 (+11.8 % vs. Stage 1) with sensitivity at 90 % specificity (S@90 spec) = 0.657 and positive predictive value (PPV) = 0.184 at the triage threshold. Hybrid triage at 50 % AI reads preserved 87.9 % sensitivity under oracle conditions. Zero-shot transfer to RSNA 2022 yielded AUROC = 0.601, highlighting a large domain gap between Vietnamese and North American screening populations.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0"/>
        </w:rPr>
        <w:t>MamNet-6 contributes a systematic ablation across six design decisions—backbone, multi-view fusion, spatial cross-attention, uncertainty quantification, ensemble construction, and clinical triage simulation—on a single large FFDM benchmark, delivering a cumulative 11.8 % AUROC gain over single-view CNN. Two key negative findings emerge: bounding-box shortcut learning degrades performance, and domain generalisation to unseen screening populations remains an open challenge.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References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0"/>
        </w:rPr>
        <w:t>Dembrower, K. et al. (2020). Effect of AI-supported screening on interval cancers in mammography. Lancet Oncology.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0"/>
        </w:rPr>
        <w:t>Lehman, C. et al. (2017). National performance benchmarks for modern screening digital mammography. Radiology.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0"/>
        </w:rPr>
        <w:t>Nguyen, H. et al. (2023). VinDr-Mammo: A large-scale benchmark dataset for computer-aided detection and diagnosis in full-field digital mammography. Scientific Data.</w:t>
      </w:r>
    </w:p>
    <w:p>
      <w:pPr>
        <w:spacing w:before="80" w:after="40"/>
      </w:pPr>
      <w:r>
        <w:rPr>
          <w:rFonts w:ascii="Times New Roman" w:hAnsi="Times New Roman"/>
          <w:b w:val="0"/>
          <w:i w:val="0"/>
          <w:sz w:val="20"/>
        </w:rPr>
        <w:t>Verboom, P. et al. (2021). Standalone AI for triage in breast cancer screening. Radiology.</w:t>
      </w:r>
    </w:p>
    <w:p w14:paraId="04D6C9C3" w14:textId="77777777" w:rsidR="0062536D" w:rsidRDefault="0062536D" w:rsidP="00C6301B">
      <w:pPr>
        <w:pStyle w:val="NoSpacing"/>
        <w:jc w:val="both"/>
      </w:pPr>
    </w:p>
    <w:p w14:paraId="3F06E5A1" w14:textId="72816E55" w:rsidR="00EC2F4B" w:rsidRDefault="00EC2F4B" w:rsidP="00C6301B">
      <w:pPr>
        <w:pStyle w:val="NoSpacing"/>
        <w:jc w:val="both"/>
      </w:pPr>
    </w:p>
    <w:p w14:paraId="06A41647" w14:textId="77777777" w:rsidR="00EC2F4B" w:rsidRDefault="00BF0B46" w:rsidP="00C6301B">
      <w:pPr>
        <w:pStyle w:val="NoSpacing"/>
        <w:jc w:val="both"/>
      </w:pPr>
    </w:p>
    <w:p w14:paraId="5FF74B87" w14:textId="77777777" w:rsidR="00EC2F4B" w:rsidRDefault="00EC2F4B" w:rsidP="00C6301B">
      <w:pPr>
        <w:pStyle w:val="NoSpacing"/>
        <w:jc w:val="both"/>
      </w:pPr>
    </w:p>
    <w:p w14:paraId="2D195A8D" w14:textId="77777777" w:rsidR="004905AA" w:rsidRDefault="004905AA" w:rsidP="00C6301B">
      <w:pPr>
        <w:pStyle w:val="NoSpacing"/>
        <w:jc w:val="both"/>
      </w:pPr>
    </w:p>
    <w:p w14:paraId="40B3AB44" w14:textId="4DD9D7F7" w:rsidR="004905AA" w:rsidRDefault="004905AA" w:rsidP="00C6301B">
      <w:pPr>
        <w:pStyle w:val="NoSpacing"/>
        <w:jc w:val="both"/>
      </w:pPr>
    </w:p>
    <w:p w14:paraId="47BE1397" w14:textId="77777777" w:rsidR="0085517A" w:rsidRDefault="0085517A" w:rsidP="00C6301B">
      <w:pPr>
        <w:pStyle w:val="NoSpacing"/>
        <w:jc w:val="both"/>
      </w:pPr>
    </w:p>
    <w:p w14:paraId="6202510F" w14:textId="77777777" w:rsidR="0085517A" w:rsidRDefault="0085517A" w:rsidP="0085517A">
      <w:pPr>
        <w:pStyle w:val="BodyText"/>
        <w:ind w:firstLine="0"/>
      </w:pPr>
    </w:p>
    <w:p w14:paraId="0DEC980D" w14:textId="77777777" w:rsidR="0085517A" w:rsidRPr="005B520E" w:rsidRDefault="0085517A" w:rsidP="0085517A">
      <w:pPr>
        <w:pStyle w:val="bulletlist"/>
      </w:pPr>
    </w:p>
    <w:p w14:paraId="4891D7E7" w14:textId="77777777" w:rsidR="0085517A" w:rsidRPr="005B520E" w:rsidRDefault="0085517A" w:rsidP="0085517A">
      <w:pPr>
        <w:pStyle w:val="bulletlist"/>
      </w:pPr>
      <w:proofErr w:type="spellStart"/>
      <w:proofErr w:type="spellEnd"/>
    </w:p>
    <w:p w14:paraId="1E14A711" w14:textId="77777777" w:rsidR="0085517A" w:rsidRPr="005B520E" w:rsidRDefault="0085517A" w:rsidP="0085517A">
      <w:pPr>
        <w:pStyle w:val="bulletlist"/>
      </w:pPr>
      <w:proofErr w:type="spellStart"/>
      <w:proofErr w:type="spellEnd"/>
      <w:proofErr w:type="spellStart"/>
      <w:proofErr w:type="spellEnd"/>
      <w:proofErr w:type="spellStart"/>
      <w:proofErr w:type="spellEnd"/>
    </w:p>
    <w:p w14:paraId="1959EB1B" w14:textId="77777777" w:rsidR="0085517A" w:rsidRDefault="0085517A" w:rsidP="0085517A">
      <w:pPr>
        <w:pStyle w:val="bulletlist"/>
      </w:pPr>
    </w:p>
    <w:p w14:paraId="299D1991" w14:textId="77777777" w:rsidR="0085517A" w:rsidRDefault="0085517A" w:rsidP="0085517A">
      <w:pPr>
        <w:pStyle w:val="bulletlist"/>
        <w:numPr>
          <w:ilvl w:val="0"/>
          <w:numId w:val="0"/>
        </w:numPr>
      </w:pPr>
    </w:p>
    <w:p w14:paraId="0AEA9058" w14:textId="77777777" w:rsidR="0085517A" w:rsidRDefault="0085517A" w:rsidP="0085517A">
      <w:pPr>
        <w:pStyle w:val="bulletlist"/>
        <w:numPr>
          <w:ilvl w:val="0"/>
          <w:numId w:val="0"/>
        </w:numPr>
      </w:pPr>
    </w:p>
    <w:p w14:paraId="63B02A14" w14:textId="77777777" w:rsidR="009303D9" w:rsidRDefault="009303D9" w:rsidP="005B520E"/>
    <w:sectPr w:rsidR="009303D9">
      <w:type w:val="continuous"/>
      <w:pgSz w:w="12240" w:h="15840" w:code="1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603CE" w14:textId="77777777" w:rsidR="00771255" w:rsidRDefault="00771255" w:rsidP="00BA3FA0">
      <w:r>
        <w:separator/>
      </w:r>
    </w:p>
  </w:endnote>
  <w:endnote w:type="continuationSeparator" w:id="0">
    <w:p w14:paraId="43B8B069" w14:textId="77777777" w:rsidR="00771255" w:rsidRDefault="00771255" w:rsidP="00BA3FA0">
      <w:r>
        <w:continuationSeparator/>
      </w:r>
    </w:p>
  </w:endnote>
  <w:endnote w:type="continuationNotice" w:id="1">
    <w:p w14:paraId="0A65520C" w14:textId="77777777" w:rsidR="00771255" w:rsidRDefault="007712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18BA" w14:textId="77777777" w:rsidR="00D74ABB" w:rsidRDefault="00D74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574A4" w14:textId="77777777" w:rsidR="00771255" w:rsidRDefault="00771255" w:rsidP="00BA3FA0">
      <w:r>
        <w:separator/>
      </w:r>
    </w:p>
  </w:footnote>
  <w:footnote w:type="continuationSeparator" w:id="0">
    <w:p w14:paraId="2C0102D5" w14:textId="77777777" w:rsidR="00771255" w:rsidRDefault="00771255" w:rsidP="00BA3FA0">
      <w:r>
        <w:continuationSeparator/>
      </w:r>
    </w:p>
  </w:footnote>
  <w:footnote w:type="continuationNotice" w:id="1">
    <w:p w14:paraId="66DE8FE7" w14:textId="77777777" w:rsidR="00771255" w:rsidRDefault="007712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E2B0" w14:textId="77777777" w:rsidR="00D74ABB" w:rsidRDefault="00D74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4" w15:restartNumberingAfterBreak="0">
    <w:nsid w:val="4189603E"/>
    <w:multiLevelType w:val="multilevel"/>
    <w:tmpl w:val="F3FA876A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5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6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340590592">
    <w:abstractNumId w:val="2"/>
  </w:num>
  <w:num w:numId="2" w16cid:durableId="2031569825">
    <w:abstractNumId w:val="6"/>
  </w:num>
  <w:num w:numId="3" w16cid:durableId="1088886987">
    <w:abstractNumId w:val="1"/>
  </w:num>
  <w:num w:numId="4" w16cid:durableId="778256593">
    <w:abstractNumId w:val="4"/>
  </w:num>
  <w:num w:numId="5" w16cid:durableId="1228683978">
    <w:abstractNumId w:val="4"/>
  </w:num>
  <w:num w:numId="6" w16cid:durableId="1597980478">
    <w:abstractNumId w:val="4"/>
  </w:num>
  <w:num w:numId="7" w16cid:durableId="1831484499">
    <w:abstractNumId w:val="4"/>
  </w:num>
  <w:num w:numId="8" w16cid:durableId="1974090791">
    <w:abstractNumId w:val="5"/>
  </w:num>
  <w:num w:numId="9" w16cid:durableId="2043238913">
    <w:abstractNumId w:val="7"/>
  </w:num>
  <w:num w:numId="10" w16cid:durableId="1492133508">
    <w:abstractNumId w:val="3"/>
  </w:num>
  <w:num w:numId="11" w16cid:durableId="859662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85A"/>
    <w:rsid w:val="00026EBC"/>
    <w:rsid w:val="00031920"/>
    <w:rsid w:val="000A62DF"/>
    <w:rsid w:val="000C132E"/>
    <w:rsid w:val="00132BCE"/>
    <w:rsid w:val="00186A86"/>
    <w:rsid w:val="001A3339"/>
    <w:rsid w:val="002866D7"/>
    <w:rsid w:val="002F2566"/>
    <w:rsid w:val="0036673C"/>
    <w:rsid w:val="003F74D4"/>
    <w:rsid w:val="00463C92"/>
    <w:rsid w:val="004905AA"/>
    <w:rsid w:val="005A66FD"/>
    <w:rsid w:val="005B520E"/>
    <w:rsid w:val="005B5923"/>
    <w:rsid w:val="005F410A"/>
    <w:rsid w:val="0060764F"/>
    <w:rsid w:val="0062536D"/>
    <w:rsid w:val="006D0A72"/>
    <w:rsid w:val="00753104"/>
    <w:rsid w:val="00771255"/>
    <w:rsid w:val="0079748E"/>
    <w:rsid w:val="0085517A"/>
    <w:rsid w:val="00863F8F"/>
    <w:rsid w:val="00913DAD"/>
    <w:rsid w:val="00925EE6"/>
    <w:rsid w:val="009303D9"/>
    <w:rsid w:val="009337BB"/>
    <w:rsid w:val="009E5B90"/>
    <w:rsid w:val="00A348C3"/>
    <w:rsid w:val="00B11A60"/>
    <w:rsid w:val="00BA3FA0"/>
    <w:rsid w:val="00BF0B46"/>
    <w:rsid w:val="00C6301B"/>
    <w:rsid w:val="00C75A11"/>
    <w:rsid w:val="00D06852"/>
    <w:rsid w:val="00D52389"/>
    <w:rsid w:val="00D74ABB"/>
    <w:rsid w:val="00DB23A9"/>
    <w:rsid w:val="00DC4E24"/>
    <w:rsid w:val="00DD3C07"/>
    <w:rsid w:val="00E058CF"/>
    <w:rsid w:val="00EC2F4B"/>
    <w:rsid w:val="00EC485A"/>
    <w:rsid w:val="00F17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3E03E1"/>
  <w15:docId w15:val="{40D6000C-B32B-2E41-AFEA-45A47A68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center"/>
    </w:pPr>
    <w:rPr>
      <w:kern w:val="0"/>
      <w:sz w:val="20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uiPriority w:val="99"/>
    <w:qFormat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uiPriority w:val="99"/>
    <w:qFormat/>
    <w:pPr>
      <w:numPr>
        <w:ilvl w:val="3"/>
        <w:numId w:val="7"/>
      </w:numPr>
      <w:tabs>
        <w:tab w:val="clear" w:pos="630"/>
        <w:tab w:val="num" w:pos="720"/>
      </w:tabs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uiPriority w:val="99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b/>
      <w:bCs/>
      <w:kern w:val="44"/>
      <w:sz w:val="44"/>
      <w:szCs w:val="44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/>
      <w:b/>
      <w:bCs/>
      <w:kern w:val="0"/>
      <w:sz w:val="32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cs="Times New Roman"/>
      <w:b/>
      <w:bCs/>
      <w:kern w:val="0"/>
      <w:sz w:val="32"/>
      <w:szCs w:val="32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/>
      <w:b/>
      <w:bCs/>
      <w:kern w:val="0"/>
      <w:sz w:val="28"/>
      <w:szCs w:val="28"/>
      <w:lang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cs="Times New Roman"/>
      <w:b/>
      <w:bCs/>
      <w:kern w:val="0"/>
      <w:sz w:val="28"/>
      <w:szCs w:val="28"/>
      <w:lang w:eastAsia="en-US"/>
    </w:rPr>
  </w:style>
  <w:style w:type="paragraph" w:customStyle="1" w:styleId="Abstract">
    <w:name w:val="Abstract"/>
    <w:uiPriority w:val="99"/>
    <w:pPr>
      <w:spacing w:after="200"/>
      <w:jc w:val="both"/>
    </w:pPr>
    <w:rPr>
      <w:b/>
      <w:bCs/>
      <w:kern w:val="0"/>
      <w:sz w:val="18"/>
      <w:szCs w:val="18"/>
      <w:lang w:eastAsia="en-US"/>
    </w:rPr>
  </w:style>
  <w:style w:type="paragraph" w:customStyle="1" w:styleId="Affiliation">
    <w:name w:val="Affiliation"/>
    <w:uiPriority w:val="99"/>
    <w:pPr>
      <w:jc w:val="center"/>
    </w:pPr>
    <w:rPr>
      <w:kern w:val="0"/>
      <w:sz w:val="20"/>
      <w:szCs w:val="20"/>
      <w:lang w:eastAsia="en-US"/>
    </w:rPr>
  </w:style>
  <w:style w:type="paragraph" w:customStyle="1" w:styleId="Author">
    <w:name w:val="Author"/>
    <w:uiPriority w:val="99"/>
    <w:pPr>
      <w:spacing w:before="360" w:after="40"/>
      <w:jc w:val="center"/>
    </w:pPr>
    <w:rPr>
      <w:noProof/>
      <w:kern w:val="0"/>
      <w:sz w:val="22"/>
      <w:szCs w:val="22"/>
      <w:lang w:eastAsia="en-US"/>
    </w:rPr>
  </w:style>
  <w:style w:type="paragraph" w:styleId="BodyText">
    <w:name w:val="Body Text"/>
    <w:basedOn w:val="Normal"/>
    <w:link w:val="BodyTextChar"/>
    <w:uiPriority w:val="99"/>
    <w:pPr>
      <w:spacing w:after="120" w:line="228" w:lineRule="auto"/>
      <w:ind w:firstLine="288"/>
      <w:jc w:val="both"/>
    </w:pPr>
    <w:rPr>
      <w:spacing w:val="-1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kern w:val="0"/>
      <w:sz w:val="20"/>
      <w:szCs w:val="20"/>
      <w:lang w:eastAsia="en-US"/>
    </w:rPr>
  </w:style>
  <w:style w:type="paragraph" w:customStyle="1" w:styleId="bulletlist">
    <w:name w:val="bullet list"/>
    <w:basedOn w:val="BodyText"/>
    <w:uiPriority w:val="99"/>
    <w:pPr>
      <w:numPr>
        <w:numId w:val="1"/>
      </w:numPr>
    </w:pPr>
  </w:style>
  <w:style w:type="paragraph" w:customStyle="1" w:styleId="equation">
    <w:name w:val="equation"/>
    <w:basedOn w:val="Normal"/>
    <w:uiPriority w:val="99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uiPriority w:val="99"/>
    <w:pPr>
      <w:numPr>
        <w:numId w:val="2"/>
      </w:numPr>
      <w:tabs>
        <w:tab w:val="clear" w:pos="720"/>
      </w:tabs>
      <w:spacing w:before="80" w:after="200"/>
      <w:jc w:val="center"/>
    </w:pPr>
    <w:rPr>
      <w:noProof/>
      <w:kern w:val="0"/>
      <w:sz w:val="16"/>
      <w:szCs w:val="16"/>
      <w:lang w:eastAsia="en-US"/>
    </w:rPr>
  </w:style>
  <w:style w:type="paragraph" w:customStyle="1" w:styleId="footnote">
    <w:name w:val="footnote"/>
    <w:uiPriority w:val="99"/>
    <w:pPr>
      <w:framePr w:hSpace="187" w:vSpace="187" w:wrap="notBeside" w:vAnchor="text" w:hAnchor="page" w:x="6121" w:y="577"/>
      <w:numPr>
        <w:numId w:val="3"/>
      </w:numPr>
      <w:spacing w:after="40"/>
    </w:pPr>
    <w:rPr>
      <w:kern w:val="0"/>
      <w:sz w:val="16"/>
      <w:szCs w:val="16"/>
      <w:lang w:eastAsia="en-US"/>
    </w:rPr>
  </w:style>
  <w:style w:type="paragraph" w:customStyle="1" w:styleId="keywords">
    <w:name w:val="key words"/>
    <w:uiPriority w:val="99"/>
    <w:pPr>
      <w:spacing w:after="120"/>
      <w:ind w:firstLine="288"/>
      <w:jc w:val="both"/>
    </w:pPr>
    <w:rPr>
      <w:b/>
      <w:bCs/>
      <w:i/>
      <w:iCs/>
      <w:noProof/>
      <w:kern w:val="0"/>
      <w:sz w:val="18"/>
      <w:szCs w:val="18"/>
      <w:lang w:eastAsia="en-US"/>
    </w:rPr>
  </w:style>
  <w:style w:type="paragraph" w:customStyle="1" w:styleId="papersubtitle">
    <w:name w:val="paper subtitle"/>
    <w:uiPriority w:val="99"/>
    <w:pPr>
      <w:spacing w:after="120"/>
      <w:jc w:val="center"/>
    </w:pPr>
    <w:rPr>
      <w:rFonts w:eastAsia="MS Mincho"/>
      <w:noProof/>
      <w:kern w:val="0"/>
      <w:sz w:val="28"/>
      <w:szCs w:val="28"/>
      <w:lang w:eastAsia="en-US"/>
    </w:rPr>
  </w:style>
  <w:style w:type="paragraph" w:customStyle="1" w:styleId="papertitle">
    <w:name w:val="paper title"/>
    <w:uiPriority w:val="99"/>
    <w:pPr>
      <w:spacing w:after="120"/>
      <w:jc w:val="center"/>
    </w:pPr>
    <w:rPr>
      <w:rFonts w:eastAsia="MS Mincho"/>
      <w:noProof/>
      <w:kern w:val="0"/>
      <w:sz w:val="48"/>
      <w:szCs w:val="48"/>
      <w:lang w:eastAsia="en-US"/>
    </w:rPr>
  </w:style>
  <w:style w:type="paragraph" w:customStyle="1" w:styleId="references">
    <w:name w:val="references"/>
    <w:uiPriority w:val="99"/>
    <w:pPr>
      <w:numPr>
        <w:numId w:val="8"/>
      </w:numPr>
      <w:spacing w:after="50" w:line="180" w:lineRule="exact"/>
      <w:jc w:val="both"/>
    </w:pPr>
    <w:rPr>
      <w:rFonts w:eastAsia="MS Mincho"/>
      <w:noProof/>
      <w:kern w:val="0"/>
      <w:sz w:val="16"/>
      <w:szCs w:val="16"/>
      <w:lang w:eastAsia="en-US"/>
    </w:rPr>
  </w:style>
  <w:style w:type="paragraph" w:customStyle="1" w:styleId="sponsors">
    <w:name w:val="sponsors"/>
    <w:uiPriority w:val="99"/>
    <w:pPr>
      <w:framePr w:wrap="auto" w:hAnchor="text" w:x="615" w:y="2239"/>
      <w:pBdr>
        <w:top w:val="single" w:sz="4" w:space="2" w:color="auto"/>
      </w:pBdr>
      <w:ind w:firstLine="288"/>
    </w:pPr>
    <w:rPr>
      <w:kern w:val="0"/>
      <w:sz w:val="16"/>
      <w:szCs w:val="16"/>
      <w:lang w:eastAsia="en-US"/>
    </w:rPr>
  </w:style>
  <w:style w:type="paragraph" w:customStyle="1" w:styleId="tablecolhead">
    <w:name w:val="table col head"/>
    <w:basedOn w:val="Normal"/>
    <w:uiPriority w:val="99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uiPriority w:val="99"/>
    <w:rPr>
      <w:i/>
      <w:iCs/>
      <w:sz w:val="15"/>
      <w:szCs w:val="15"/>
    </w:rPr>
  </w:style>
  <w:style w:type="paragraph" w:customStyle="1" w:styleId="tablecopy">
    <w:name w:val="table copy"/>
    <w:uiPriority w:val="99"/>
    <w:pPr>
      <w:jc w:val="both"/>
    </w:pPr>
    <w:rPr>
      <w:noProof/>
      <w:kern w:val="0"/>
      <w:sz w:val="16"/>
      <w:szCs w:val="16"/>
      <w:lang w:eastAsia="en-US"/>
    </w:rPr>
  </w:style>
  <w:style w:type="paragraph" w:customStyle="1" w:styleId="tablefootnote">
    <w:name w:val="table footnote"/>
    <w:uiPriority w:val="99"/>
    <w:pPr>
      <w:spacing w:before="60" w:after="30"/>
      <w:jc w:val="right"/>
    </w:pPr>
    <w:rPr>
      <w:kern w:val="0"/>
      <w:sz w:val="12"/>
      <w:szCs w:val="12"/>
      <w:lang w:eastAsia="en-US"/>
    </w:rPr>
  </w:style>
  <w:style w:type="paragraph" w:customStyle="1" w:styleId="tablehead">
    <w:name w:val="table head"/>
    <w:uiPriority w:val="99"/>
    <w:pPr>
      <w:numPr>
        <w:numId w:val="9"/>
      </w:numPr>
      <w:spacing w:before="240" w:after="120" w:line="216" w:lineRule="auto"/>
      <w:jc w:val="center"/>
    </w:pPr>
    <w:rPr>
      <w:smallCaps/>
      <w:noProof/>
      <w:kern w:val="0"/>
      <w:sz w:val="16"/>
      <w:szCs w:val="16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A3FA0"/>
    <w:pPr>
      <w:pBdr>
        <w:bottom w:val="single" w:sz="6" w:space="1" w:color="auto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locked/>
    <w:rsid w:val="00BA3FA0"/>
    <w:rPr>
      <w:rFonts w:cs="Times New Roman"/>
      <w:kern w:val="0"/>
      <w:sz w:val="18"/>
      <w:szCs w:val="1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BA3F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locked/>
    <w:rsid w:val="00BA3FA0"/>
    <w:rPr>
      <w:rFonts w:cs="Times New Roman"/>
      <w:kern w:val="0"/>
      <w:sz w:val="18"/>
      <w:szCs w:val="18"/>
      <w:lang w:eastAsia="en-US"/>
    </w:rPr>
  </w:style>
  <w:style w:type="paragraph" w:styleId="NoSpacing">
    <w:name w:val="No Spacing"/>
    <w:uiPriority w:val="1"/>
    <w:qFormat/>
    <w:rsid w:val="005B5923"/>
    <w:pPr>
      <w:jc w:val="center"/>
    </w:pPr>
    <w:rPr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/Users/jingrongwang/Library/CloudStorage/Dropbox/MUN/4.%20Service/NECEC%202026/NECEC2024_Abstract_Template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NECEC2024_Abstract_Template.dotx</Template>
  <TotalTime>2</TotalTime>
  <Pages>1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Jingrong Wang</dc:creator>
  <cp:lastModifiedBy>Jingrong Wang</cp:lastModifiedBy>
  <cp:revision>2</cp:revision>
  <dcterms:created xsi:type="dcterms:W3CDTF">2026-05-31T05:26:00Z</dcterms:created>
  <dcterms:modified xsi:type="dcterms:W3CDTF">2026-05-31T05:28:00Z</dcterms:modified>
</cp:coreProperties>
</file>