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Variational Autoencoder (VAE) Experiments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contains a series of experiments to analyze the performance of Variational Autoencoders (VAEs) with different architectures and hyperparameters, using the MNIST dataset of handwritten digit images.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Summary of Findings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3.6 or higher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PyTorch 1.8.0 or higher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torchvision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main.py: The main script containing the code for data preparation, VAE model definition, training, and comparison.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samples: A directory for storing generated and reconstructed images from the models.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data: A directory for storing the MNIST dataset.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README.md: This readme file with an overview of the project and usage instructions.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Ensure you have all the required packages installed.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 the main.py script to perform the experiments and generate the results.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 the samples directory for generated and reconstructed images from the models.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project includes the following experiments: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Comparison of 3-layer and 4-layer VAE models based on optimal loss and visual inspection of generated and reconstructed images.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Comparison of 3-layer VAE models with different hidden and latent layer dimensions.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Comparison of a 3-layer VAE model with a 3-layer autoencoder model based on optimal loss and visual inspection of generated and reconstructed images.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Summary of Findings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4-layer VAE model performs slightly better than the 3-layer model in terms of optimal loss.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3-layer VAE models with different hidden and latent layer dimensions, models with larger hidden layers and more compact latent spaces perform better.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comparing the VAE and autoencoder models, the autoencoder has a lower optimal loss but produces less realistic generated images.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project is released under the MIT License.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