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1308fe9f499194d3aaffcfef0c16985e41b3b2d"/>
    <w:p>
      <w:pPr>
        <w:pStyle w:val="Heading3"/>
      </w:pPr>
      <w:r>
        <w:t xml:space="preserve">Flowki Studio — Clip-Studio (Teamprojekt, Aug.–Sep. 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Publikationsrechte unmittelbar vor dem Versand erneut geprüft.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f092b182176291c8102c1a9eeae6b3fc78035d"/>
    <w:p>
      <w:pPr>
        <w:pStyle w:val="Heading3"/>
      </w:pPr>
      <w:r>
        <w:t xml:space="preserve">Fallbeispiel Fehlersuche — hermes-studio (Beitrag zu fremdem Projekt, Sep. 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Kanalübergreifendes Hauptbuch für Erstbewerbungen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— Gestaltung, Mehrsprachigkeit, rechtliche Vorgaben,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(mobil per Geräteneigung); Vollbild-Kapitel mit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E-Mail: Search-Console-Auswertung automatisiert, Titel und Metadaten angepasst; 700 URLs auf Indexierung geprüft; Klaviyo-Abbruchmail auf wiederherstellbaren Checkout-Link korrigiert (duftkumpels.shop).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Mehrsprachigkeit: Übersetzungs-Pipeline für DE/EN/FR mit HTML-Extraktion, Strukturprüfung und Import per CSV bzw. GraphQL; Produktnamen und Kollektionstexte lokalisiert (duftkumpels.shop).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Canvas, WebGL-Fluidsimulation (adaptiert, MIT-Lizenz).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2026-09-29T04:25:34Z</dcterms:created>
  <dcterms:modified xsi:type="dcterms:W3CDTF">2026-09-29T04:25:34Z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