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82F3" w14:textId="77777777" w:rsidR="00C56AF5" w:rsidRDefault="00C56AF5">
      <w:pPr>
        <w:spacing w:after="2880"/>
      </w:pPr>
    </w:p>
    <w:p w14:paraId="20C65B21" w14:textId="77777777" w:rsidR="00C56AF5" w:rsidRDefault="00000000">
      <w:pPr>
        <w:jc w:val="center"/>
      </w:pPr>
      <w:r>
        <w:rPr>
          <w:b/>
          <w:bCs/>
          <w:color w:val="1F3864"/>
          <w:sz w:val="60"/>
          <w:szCs w:val="60"/>
        </w:rPr>
        <w:t>第七組　期末書面報告</w:t>
      </w:r>
    </w:p>
    <w:p w14:paraId="74A2B2F6" w14:textId="77777777" w:rsidR="00C56AF5" w:rsidRDefault="00C56AF5">
      <w:pPr>
        <w:spacing w:after="400"/>
      </w:pPr>
    </w:p>
    <w:p w14:paraId="20B88D7E" w14:textId="77777777" w:rsidR="00C56AF5" w:rsidRDefault="00000000">
      <w:pPr>
        <w:jc w:val="center"/>
      </w:pPr>
      <w:r>
        <w:rPr>
          <w:b/>
          <w:bCs/>
          <w:color w:val="2E75B6"/>
          <w:sz w:val="80"/>
          <w:szCs w:val="80"/>
        </w:rPr>
        <w:t>OptETF</w:t>
      </w:r>
    </w:p>
    <w:p w14:paraId="6318D3A4" w14:textId="77777777" w:rsidR="00C56AF5" w:rsidRDefault="00C56AF5">
      <w:pPr>
        <w:spacing w:after="120"/>
      </w:pPr>
    </w:p>
    <w:p w14:paraId="4A7C359C" w14:textId="77777777" w:rsidR="00C56AF5" w:rsidRDefault="00000000">
      <w:pPr>
        <w:jc w:val="center"/>
      </w:pPr>
      <w:r>
        <w:rPr>
          <w:b/>
          <w:bCs/>
          <w:color w:val="2E75B6"/>
          <w:sz w:val="40"/>
          <w:szCs w:val="40"/>
        </w:rPr>
        <w:t>偏好驅動之智能</w:t>
      </w:r>
      <w:r>
        <w:rPr>
          <w:b/>
          <w:bCs/>
          <w:color w:val="2E75B6"/>
          <w:sz w:val="40"/>
          <w:szCs w:val="40"/>
        </w:rPr>
        <w:t xml:space="preserve"> ETF </w:t>
      </w:r>
      <w:r>
        <w:rPr>
          <w:b/>
          <w:bCs/>
          <w:color w:val="2E75B6"/>
          <w:sz w:val="40"/>
          <w:szCs w:val="40"/>
        </w:rPr>
        <w:t>資產配置系統</w:t>
      </w:r>
    </w:p>
    <w:p w14:paraId="1A218541" w14:textId="77777777" w:rsidR="00C56AF5" w:rsidRDefault="00C56AF5">
      <w:pPr>
        <w:spacing w:after="800"/>
      </w:pPr>
    </w:p>
    <w:p w14:paraId="1301D174" w14:textId="77777777" w:rsidR="00C56AF5" w:rsidRDefault="00000000">
      <w:pPr>
        <w:jc w:val="center"/>
      </w:pPr>
      <w:r>
        <w:rPr>
          <w:color w:val="444444"/>
          <w:sz w:val="28"/>
          <w:szCs w:val="28"/>
        </w:rPr>
        <w:t>課程：金融科技</w:t>
      </w:r>
    </w:p>
    <w:p w14:paraId="2228639F" w14:textId="77777777" w:rsidR="00EF441A" w:rsidRDefault="00EF441A" w:rsidP="00292DE5">
      <w:pPr>
        <w:rPr>
          <w:color w:val="666666"/>
          <w:sz w:val="26"/>
          <w:szCs w:val="26"/>
        </w:rPr>
      </w:pPr>
    </w:p>
    <w:p w14:paraId="1C7AE3B6" w14:textId="08604AC0" w:rsidR="00292DE5" w:rsidRDefault="00EF441A">
      <w:pPr>
        <w:jc w:val="center"/>
        <w:rPr>
          <w:color w:val="666666"/>
          <w:sz w:val="26"/>
          <w:szCs w:val="26"/>
        </w:rPr>
      </w:pPr>
      <w:r>
        <w:rPr>
          <w:rFonts w:hint="eastAsia"/>
          <w:color w:val="666666"/>
          <w:sz w:val="26"/>
          <w:szCs w:val="26"/>
        </w:rPr>
        <w:t>組員</w:t>
      </w:r>
      <w:r>
        <w:rPr>
          <w:rFonts w:hint="eastAsia"/>
          <w:color w:val="666666"/>
          <w:sz w:val="26"/>
          <w:szCs w:val="26"/>
        </w:rPr>
        <w:t>:</w:t>
      </w:r>
      <w:r>
        <w:rPr>
          <w:color w:val="666666"/>
          <w:sz w:val="26"/>
          <w:szCs w:val="26"/>
        </w:rPr>
        <w:t xml:space="preserve">  </w:t>
      </w:r>
    </w:p>
    <w:p w14:paraId="5F9D503F" w14:textId="77777777" w:rsidR="00292DE5" w:rsidRDefault="00292DE5">
      <w:pPr>
        <w:jc w:val="center"/>
        <w:rPr>
          <w:color w:val="666666"/>
          <w:sz w:val="26"/>
          <w:szCs w:val="26"/>
        </w:rPr>
      </w:pPr>
      <w:r>
        <w:rPr>
          <w:color w:val="666666"/>
          <w:sz w:val="26"/>
          <w:szCs w:val="26"/>
        </w:rPr>
        <w:t xml:space="preserve">110011131 </w:t>
      </w:r>
      <w:r>
        <w:rPr>
          <w:color w:val="666666"/>
          <w:sz w:val="26"/>
          <w:szCs w:val="26"/>
        </w:rPr>
        <w:t>蔡妮軒</w:t>
      </w:r>
      <w:r>
        <w:rPr>
          <w:color w:val="666666"/>
          <w:sz w:val="26"/>
          <w:szCs w:val="26"/>
        </w:rPr>
        <w:t xml:space="preserve">  </w:t>
      </w:r>
    </w:p>
    <w:p w14:paraId="27756762" w14:textId="77777777" w:rsidR="00292DE5" w:rsidRDefault="00292DE5">
      <w:pPr>
        <w:jc w:val="center"/>
        <w:rPr>
          <w:color w:val="666666"/>
          <w:sz w:val="26"/>
          <w:szCs w:val="26"/>
        </w:rPr>
      </w:pPr>
      <w:r>
        <w:rPr>
          <w:color w:val="666666"/>
          <w:sz w:val="26"/>
          <w:szCs w:val="26"/>
        </w:rPr>
        <w:t xml:space="preserve">111034010 </w:t>
      </w:r>
      <w:r>
        <w:rPr>
          <w:color w:val="666666"/>
          <w:sz w:val="26"/>
          <w:szCs w:val="26"/>
        </w:rPr>
        <w:t>羅彥凱</w:t>
      </w:r>
      <w:r>
        <w:rPr>
          <w:color w:val="666666"/>
          <w:sz w:val="26"/>
          <w:szCs w:val="26"/>
        </w:rPr>
        <w:t xml:space="preserve">  </w:t>
      </w:r>
    </w:p>
    <w:p w14:paraId="66AFB39C" w14:textId="311C5854" w:rsidR="00EF441A" w:rsidRDefault="00292DE5">
      <w:pPr>
        <w:jc w:val="center"/>
        <w:rPr>
          <w:color w:val="666666"/>
          <w:sz w:val="26"/>
          <w:szCs w:val="26"/>
        </w:rPr>
      </w:pPr>
      <w:r>
        <w:rPr>
          <w:color w:val="666666"/>
          <w:sz w:val="26"/>
          <w:szCs w:val="26"/>
        </w:rPr>
        <w:t xml:space="preserve">111034058 </w:t>
      </w:r>
      <w:r>
        <w:rPr>
          <w:color w:val="666666"/>
          <w:sz w:val="26"/>
          <w:szCs w:val="26"/>
        </w:rPr>
        <w:t>林昱佑</w:t>
      </w:r>
    </w:p>
    <w:p w14:paraId="7EE02E31" w14:textId="7958FF9D" w:rsidR="00292DE5" w:rsidRDefault="00292DE5">
      <w:pPr>
        <w:jc w:val="center"/>
      </w:pPr>
      <w:r>
        <w:rPr>
          <w:color w:val="666666"/>
          <w:sz w:val="26"/>
          <w:szCs w:val="26"/>
        </w:rPr>
        <w:t xml:space="preserve">114071507 </w:t>
      </w:r>
      <w:r>
        <w:rPr>
          <w:color w:val="666666"/>
          <w:sz w:val="26"/>
          <w:szCs w:val="26"/>
        </w:rPr>
        <w:t>張立妍</w:t>
      </w:r>
    </w:p>
    <w:p w14:paraId="45E9379E" w14:textId="77777777" w:rsidR="00C56AF5" w:rsidRDefault="00000000">
      <w:r>
        <w:br w:type="page"/>
      </w:r>
    </w:p>
    <w:p w14:paraId="1F077B1F" w14:textId="77777777" w:rsidR="00C56AF5" w:rsidRDefault="00000000">
      <w:pPr>
        <w:pStyle w:val="1"/>
      </w:pPr>
      <w:r>
        <w:lastRenderedPageBreak/>
        <w:t>摘要</w:t>
      </w:r>
    </w:p>
    <w:p w14:paraId="7D0B1C1D" w14:textId="77777777" w:rsidR="00C56AF5" w:rsidRDefault="00000000">
      <w:pPr>
        <w:spacing w:after="160"/>
      </w:pPr>
      <w:r>
        <w:t xml:space="preserve">OptETF </w:t>
      </w:r>
      <w:r>
        <w:t>是一套結合作業研究（</w:t>
      </w:r>
      <w:r>
        <w:t>Operations Research</w:t>
      </w:r>
      <w:r>
        <w:t>）與金融科技（</w:t>
      </w:r>
      <w:r>
        <w:t>FinTech</w:t>
      </w:r>
      <w:r>
        <w:t>）的決策支援框架，以使用者偏好為核心驅動，自動建構個人化</w:t>
      </w:r>
      <w:r>
        <w:t xml:space="preserve"> ETF </w:t>
      </w:r>
      <w:r>
        <w:t>投資組合。系統採用五階段模組化管線：</w:t>
      </w:r>
      <w:r>
        <w:t xml:space="preserve">Stage 0 </w:t>
      </w:r>
      <w:r>
        <w:t>市場資料特徵工程、</w:t>
      </w:r>
      <w:r>
        <w:t xml:space="preserve">Stage 1 DEA </w:t>
      </w:r>
      <w:r>
        <w:t>效率篩選、</w:t>
      </w:r>
      <w:r>
        <w:t xml:space="preserve">Stage 2_1 </w:t>
      </w:r>
      <w:r>
        <w:t>雙路徑偏好萃取、</w:t>
      </w:r>
      <w:r>
        <w:t xml:space="preserve">Stage 2_2 </w:t>
      </w:r>
      <w:r>
        <w:t>相關性去重分群，以及</w:t>
      </w:r>
      <w:r>
        <w:t xml:space="preserve"> Stage 3 </w:t>
      </w:r>
      <w:r>
        <w:t>偏好驅動之</w:t>
      </w:r>
      <w:r>
        <w:t xml:space="preserve"> SLSQP </w:t>
      </w:r>
      <w:r>
        <w:t>最佳化。</w:t>
      </w:r>
    </w:p>
    <w:p w14:paraId="2E428C28" w14:textId="77777777" w:rsidR="00C56AF5" w:rsidRDefault="00000000">
      <w:pPr>
        <w:spacing w:after="160"/>
      </w:pPr>
      <w:r>
        <w:t>系統在</w:t>
      </w:r>
      <w:r>
        <w:t xml:space="preserve"> 2019–2026 </w:t>
      </w:r>
      <w:r>
        <w:t>年約七年的樣本外測試中，七種使用者原型的投組在偏好滿足度上均勝過</w:t>
      </w:r>
      <w:r>
        <w:t xml:space="preserve"> VT </w:t>
      </w:r>
      <w:r>
        <w:t>全球市場基準（勝率</w:t>
      </w:r>
      <w:r>
        <w:t xml:space="preserve"> 89–100%</w:t>
      </w:r>
      <w:r>
        <w:t>）。其中報酬導向型（採</w:t>
      </w:r>
      <w:r>
        <w:t xml:space="preserve"> beta </w:t>
      </w:r>
      <w:r>
        <w:t>核心）的年化報酬穩定達</w:t>
      </w:r>
      <w:r>
        <w:t xml:space="preserve"> 16.40–17.58%</w:t>
      </w:r>
      <w:r>
        <w:t>，優於</w:t>
      </w:r>
      <w:r>
        <w:t xml:space="preserve"> VT </w:t>
      </w:r>
      <w:r>
        <w:t>基準的</w:t>
      </w:r>
      <w:r>
        <w:t xml:space="preserve"> 14.32%</w:t>
      </w:r>
      <w:r>
        <w:t>。</w:t>
      </w:r>
    </w:p>
    <w:p w14:paraId="4A07ABAE" w14:textId="77777777" w:rsidR="00C56AF5" w:rsidRDefault="00000000">
      <w:pPr>
        <w:spacing w:after="160"/>
      </w:pPr>
      <w:r>
        <w:t>關鍵詞：</w:t>
      </w:r>
      <w:r>
        <w:t xml:space="preserve">ETF </w:t>
      </w:r>
      <w:r>
        <w:t>篩選、偏好驅動最佳化、</w:t>
      </w:r>
      <w:r>
        <w:t>DEA</w:t>
      </w:r>
      <w:r>
        <w:t>、</w:t>
      </w:r>
      <w:r>
        <w:t xml:space="preserve">Black-Litterman </w:t>
      </w:r>
      <w:r>
        <w:t>模型、貝氏類神經網路（</w:t>
      </w:r>
      <w:r>
        <w:t>BNN</w:t>
      </w:r>
      <w:r>
        <w:t>）、</w:t>
      </w:r>
      <w:r>
        <w:t xml:space="preserve">Ledoit-Wolf </w:t>
      </w:r>
      <w:r>
        <w:t>共變異數縮減、</w:t>
      </w:r>
      <w:r>
        <w:t xml:space="preserve">Walk-Forward </w:t>
      </w:r>
      <w:r>
        <w:t>驗證</w:t>
      </w:r>
    </w:p>
    <w:p w14:paraId="23520130" w14:textId="6443B1F7" w:rsidR="00C56AF5" w:rsidRDefault="00C56AF5"/>
    <w:p w14:paraId="1C045326" w14:textId="77777777" w:rsidR="00C56AF5" w:rsidRDefault="00000000">
      <w:pPr>
        <w:pStyle w:val="1"/>
      </w:pPr>
      <w:r>
        <w:t>一、研究動機與背景</w:t>
      </w:r>
    </w:p>
    <w:p w14:paraId="6CF6A1EF" w14:textId="77777777" w:rsidR="00C56AF5" w:rsidRDefault="00000000">
      <w:pPr>
        <w:pStyle w:val="2"/>
      </w:pPr>
      <w:r>
        <w:t>1.1 問題背景</w:t>
      </w:r>
    </w:p>
    <w:p w14:paraId="4CAF3274" w14:textId="77777777" w:rsidR="00C56AF5" w:rsidRDefault="00000000">
      <w:pPr>
        <w:spacing w:after="160"/>
      </w:pPr>
      <w:r>
        <w:t>台灣與全球</w:t>
      </w:r>
      <w:r>
        <w:t xml:space="preserve"> ETF </w:t>
      </w:r>
      <w:r>
        <w:t>市場近年高速成長，可投資標的已達數千檔，涵蓋股票、債券、主題型、槓桿</w:t>
      </w:r>
      <w:r>
        <w:t>/</w:t>
      </w:r>
      <w:r>
        <w:t>反向等多種類型。散戶投資者面臨兩大核心困境：</w:t>
      </w:r>
    </w:p>
    <w:p w14:paraId="782F63E1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資訊不對稱：面對海量</w:t>
      </w:r>
      <w:r>
        <w:t xml:space="preserve"> ETF </w:t>
      </w:r>
      <w:r>
        <w:t>難以有效篩選，缺乏客觀的多維效率評估工具</w:t>
      </w:r>
    </w:p>
    <w:p w14:paraId="4D17A37A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偏好量化困難：個人風險偏好、報酬期望往往停留在主觀描述，無法直接轉換為最佳化配置決策</w:t>
      </w:r>
    </w:p>
    <w:p w14:paraId="1EE75929" w14:textId="77777777" w:rsidR="00C56AF5" w:rsidRDefault="00000000">
      <w:pPr>
        <w:spacing w:after="160"/>
      </w:pPr>
      <w:r>
        <w:t>傳統</w:t>
      </w:r>
      <w:r>
        <w:t xml:space="preserve"> Robo-Advisor </w:t>
      </w:r>
      <w:r>
        <w:t>產品的兩大缺陷在於：（</w:t>
      </w:r>
      <w:r>
        <w:t>1</w:t>
      </w:r>
      <w:r>
        <w:t>）忽視</w:t>
      </w:r>
      <w:r>
        <w:t xml:space="preserve"> ETF </w:t>
      </w:r>
      <w:r>
        <w:t>市場的多維效率關係，未對標的進行客觀篩選；（</w:t>
      </w:r>
      <w:r>
        <w:t>2</w:t>
      </w:r>
      <w:r>
        <w:t>）偏好擷取方法過於靜態或不透明，難以反映投資者的真實決策邏輯。</w:t>
      </w:r>
    </w:p>
    <w:p w14:paraId="2C544B91" w14:textId="0237E2CF" w:rsidR="00C56AF5" w:rsidRDefault="00000000">
      <w:pPr>
        <w:pStyle w:val="2"/>
      </w:pPr>
      <w:r>
        <w:t>1.2 研究動機：</w:t>
      </w:r>
      <w:r>
        <w:rPr>
          <w:rFonts w:ascii="新細明體" w:eastAsia="新細明體" w:hAnsi="新細明體" w:cs="新細明體" w:hint="eastAsia"/>
        </w:rPr>
        <w:t>現有方法的侷限</w:t>
      </w:r>
    </w:p>
    <w:p w14:paraId="38E3D311" w14:textId="77777777" w:rsidR="00C56AF5" w:rsidRDefault="00000000">
      <w:pPr>
        <w:spacing w:after="160"/>
      </w:pPr>
      <w:r>
        <w:t xml:space="preserve">Markowitz </w:t>
      </w:r>
      <w:r>
        <w:t>均值</w:t>
      </w:r>
      <w:r>
        <w:t>-</w:t>
      </w:r>
      <w:r>
        <w:t>變異數模型雖理論嚴謹，但對預期報酬輸入高度敏感</w:t>
      </w:r>
      <w:r>
        <w:t>——</w:t>
      </w:r>
      <w:r>
        <w:t>樣本期望報酬的估計噪音會被最佳化器放大，導致「錯誤最佳化（</w:t>
      </w:r>
      <w:r>
        <w:t>error maximization</w:t>
      </w:r>
      <w:r>
        <w:t>）」問題。</w:t>
      </w:r>
      <w:r>
        <w:t xml:space="preserve">Black-Litterman </w:t>
      </w:r>
      <w:r>
        <w:t>模型雖引入主觀觀點以錨定市場先驗，但仍需投資者將模糊偏好手動量化為精確觀點向量，門檻極高。</w:t>
      </w:r>
    </w:p>
    <w:p w14:paraId="17250167" w14:textId="72286C72" w:rsidR="00C56AF5" w:rsidRDefault="007830F2">
      <w:pPr>
        <w:spacing w:after="160"/>
      </w:pPr>
      <w:r>
        <w:rPr>
          <w:rFonts w:hint="eastAsia"/>
        </w:rPr>
        <w:t>同時亦有幾項對報酬預測失準與傳統問卷的</w:t>
      </w:r>
      <w:r>
        <w:t>洞察：</w:t>
      </w:r>
    </w:p>
    <w:p w14:paraId="01B3982D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報酬預測的天花板：散點分析顯示過去</w:t>
      </w:r>
      <w:r>
        <w:t xml:space="preserve"> CAGR </w:t>
      </w:r>
      <w:r>
        <w:t>對未來</w:t>
      </w:r>
      <w:r>
        <w:t xml:space="preserve"> CAGR </w:t>
      </w:r>
      <w:r>
        <w:t>的預測能力近乎為零（</w:t>
      </w:r>
      <w:r>
        <w:t>r ≈ 0</w:t>
      </w:r>
      <w:r>
        <w:t>），應改以系統性風險（</w:t>
      </w:r>
      <w:r>
        <w:t>beta</w:t>
      </w:r>
      <w:r>
        <w:t>）作為報酬維度的代理指標</w:t>
      </w:r>
    </w:p>
    <w:p w14:paraId="61E19BF6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偏好萃取的多元性：不同使用者對互動介面的接受度差異顯著，應同時提供靜態問卷、自然語言對話兩條路徑</w:t>
      </w:r>
    </w:p>
    <w:p w14:paraId="27290D41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效率篩選的必要性：在最佳化前先透過</w:t>
      </w:r>
      <w:r>
        <w:t xml:space="preserve"> DEA </w:t>
      </w:r>
      <w:r>
        <w:t>剔除「投入多、產出少」的低效</w:t>
      </w:r>
      <w:r>
        <w:t xml:space="preserve"> ETF</w:t>
      </w:r>
      <w:r>
        <w:t>，可顯著提升候選池品質，減少最佳化過程中的雜訊</w:t>
      </w:r>
    </w:p>
    <w:p w14:paraId="6CEE3BC5" w14:textId="77777777" w:rsidR="00C56AF5" w:rsidRDefault="00000000">
      <w:pPr>
        <w:pStyle w:val="2"/>
      </w:pPr>
      <w:r>
        <w:t>1.3 研究目標</w:t>
      </w:r>
    </w:p>
    <w:p w14:paraId="0A77E783" w14:textId="77777777" w:rsidR="00C56AF5" w:rsidRDefault="00000000">
      <w:pPr>
        <w:spacing w:after="160"/>
      </w:pPr>
      <w:r>
        <w:t xml:space="preserve">OptETF </w:t>
      </w:r>
      <w:r>
        <w:t>的具體設計目標如下：</w:t>
      </w:r>
    </w:p>
    <w:p w14:paraId="34F93248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客觀篩選：以</w:t>
      </w:r>
      <w:r>
        <w:t xml:space="preserve"> DEA </w:t>
      </w:r>
      <w:r>
        <w:t>兩階段效率分析建立與主觀偏好解耦的</w:t>
      </w:r>
      <w:r>
        <w:t xml:space="preserve"> ETF </w:t>
      </w:r>
      <w:r>
        <w:t>候選池</w:t>
      </w:r>
    </w:p>
    <w:p w14:paraId="570AB5A4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多元偏好萃取：以靜態</w:t>
      </w:r>
      <w:r>
        <w:t xml:space="preserve"> AHP </w:t>
      </w:r>
      <w:r>
        <w:t>問卷與</w:t>
      </w:r>
      <w:r>
        <w:t xml:space="preserve"> BNN </w:t>
      </w:r>
      <w:r>
        <w:t>自然語言偏好引擎兩條主要路徑（另有</w:t>
      </w:r>
      <w:r>
        <w:t xml:space="preserve"> Gemini </w:t>
      </w:r>
      <w:r>
        <w:t>主動式訪談為實驗性／未來工作）統一輸出九維偏好向量</w:t>
      </w:r>
    </w:p>
    <w:p w14:paraId="50E74B57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穩健最佳化：結合</w:t>
      </w:r>
      <w:r>
        <w:t xml:space="preserve"> Ledoit-Wolf </w:t>
      </w:r>
      <w:r>
        <w:t>共變異數縮減與偏好驅動的</w:t>
      </w:r>
      <w:r>
        <w:t xml:space="preserve"> SLSQP </w:t>
      </w:r>
      <w:r>
        <w:t>求解，降低估計誤差</w:t>
      </w:r>
    </w:p>
    <w:p w14:paraId="54421E9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三核心架構（</w:t>
      </w:r>
      <w:r>
        <w:t>U-C2</w:t>
      </w:r>
      <w:r>
        <w:t>）：以連續映射函式</w:t>
      </w:r>
      <w:r>
        <w:t xml:space="preserve"> g(w) </w:t>
      </w:r>
      <w:r>
        <w:t>將九維偏好向量對應至</w:t>
      </w:r>
      <w:r>
        <w:t xml:space="preserve"> minvar / market / beta </w:t>
      </w:r>
      <w:r>
        <w:t>三個效率前沿位置</w:t>
      </w:r>
    </w:p>
    <w:p w14:paraId="079DA7A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嚴謹驗證：採用</w:t>
      </w:r>
      <w:r>
        <w:t xml:space="preserve"> Walk-Forward </w:t>
      </w:r>
      <w:r>
        <w:t>滾動視窗驗證，全程禁止未來資料洩漏</w:t>
      </w:r>
    </w:p>
    <w:p w14:paraId="4636A9F5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互動前端：提供</w:t>
      </w:r>
      <w:r>
        <w:t xml:space="preserve"> Web </w:t>
      </w:r>
      <w:r>
        <w:t>問卷介面，即時呈現投資組合分析結果</w:t>
      </w:r>
    </w:p>
    <w:p w14:paraId="3A22FD7C" w14:textId="140F4C71" w:rsidR="00C56AF5" w:rsidRDefault="00C56AF5"/>
    <w:p w14:paraId="6B6363F2" w14:textId="77777777" w:rsidR="00C56AF5" w:rsidRDefault="00000000">
      <w:pPr>
        <w:pStyle w:val="1"/>
      </w:pPr>
      <w:r>
        <w:t>二、方法論</w:t>
      </w:r>
    </w:p>
    <w:p w14:paraId="5EFE3C50" w14:textId="77777777" w:rsidR="00C56AF5" w:rsidRDefault="00000000">
      <w:pPr>
        <w:pStyle w:val="2"/>
      </w:pPr>
      <w:r>
        <w:t>2.1 系統整體架構</w:t>
      </w:r>
    </w:p>
    <w:p w14:paraId="5A5CBD93" w14:textId="3F86C7F7" w:rsidR="00C56AF5" w:rsidRDefault="00000000">
      <w:pPr>
        <w:spacing w:after="160"/>
      </w:pPr>
      <w:r>
        <w:t xml:space="preserve">OptETF </w:t>
      </w:r>
      <w:r>
        <w:t>採用五階段模組化管線設計（</w:t>
      </w:r>
      <w:r>
        <w:rPr>
          <w:rFonts w:hint="eastAsia"/>
        </w:rPr>
        <w:t>表</w:t>
      </w:r>
      <w:r>
        <w:t xml:space="preserve"> 2.1</w:t>
      </w:r>
      <w:r>
        <w:t>），各階段職責分明、可獨立升級，全部透過</w:t>
      </w:r>
      <w:r>
        <w:t xml:space="preserve"> pipeline_stages.py </w:t>
      </w:r>
      <w:r>
        <w:t>統一調度，以</w:t>
      </w:r>
      <w:r>
        <w:t xml:space="preserve"> main.py </w:t>
      </w:r>
      <w:r>
        <w:t>為入口：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5926"/>
      </w:tblGrid>
      <w:tr w:rsidR="00C56AF5" w14:paraId="5B8BBDA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9B8D" w14:textId="77777777" w:rsidR="00C56AF5" w:rsidRDefault="00000000">
            <w:r>
              <w:rPr>
                <w:b/>
                <w:bCs/>
                <w:sz w:val="20"/>
                <w:szCs w:val="20"/>
              </w:rPr>
              <w:t>階段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4053" w14:textId="77777777" w:rsidR="00C56AF5" w:rsidRDefault="00000000">
            <w:r>
              <w:rPr>
                <w:b/>
                <w:bCs/>
                <w:sz w:val="20"/>
                <w:szCs w:val="20"/>
              </w:rPr>
              <w:t>模組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6A4C" w14:textId="77777777" w:rsidR="00C56AF5" w:rsidRDefault="00000000">
            <w:r>
              <w:rPr>
                <w:b/>
                <w:bCs/>
                <w:sz w:val="20"/>
                <w:szCs w:val="20"/>
              </w:rPr>
              <w:t>核心功能</w:t>
            </w:r>
          </w:p>
        </w:tc>
      </w:tr>
      <w:tr w:rsidR="00C56AF5" w14:paraId="683EAFB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738E" w14:textId="77777777" w:rsidR="00C56AF5" w:rsidRDefault="00000000">
            <w:r>
              <w:rPr>
                <w:sz w:val="20"/>
                <w:szCs w:val="20"/>
              </w:rPr>
              <w:t>Stage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D7CB" w14:textId="77777777" w:rsidR="00C56AF5" w:rsidRDefault="00000000">
            <w:r>
              <w:rPr>
                <w:sz w:val="20"/>
                <w:szCs w:val="20"/>
              </w:rPr>
              <w:t>市場資料工程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4BFB" w14:textId="77777777" w:rsidR="00C56AF5" w:rsidRDefault="00000000">
            <w:r>
              <w:rPr>
                <w:sz w:val="20"/>
                <w:szCs w:val="20"/>
              </w:rPr>
              <w:t>透過</w:t>
            </w:r>
            <w:r>
              <w:rPr>
                <w:sz w:val="20"/>
                <w:szCs w:val="20"/>
              </w:rPr>
              <w:t xml:space="preserve"> YahooQuery / Alpha Vantage / Finnhub </w:t>
            </w:r>
            <w:r>
              <w:rPr>
                <w:sz w:val="20"/>
                <w:szCs w:val="20"/>
              </w:rPr>
              <w:t>擷取</w:t>
            </w:r>
            <w:r>
              <w:rPr>
                <w:sz w:val="20"/>
                <w:szCs w:val="20"/>
              </w:rPr>
              <w:t xml:space="preserve"> ETF </w:t>
            </w:r>
            <w:r>
              <w:rPr>
                <w:sz w:val="20"/>
                <w:szCs w:val="20"/>
              </w:rPr>
              <w:t>特徵；本地</w:t>
            </w:r>
            <w:r>
              <w:rPr>
                <w:sz w:val="20"/>
                <w:szCs w:val="20"/>
              </w:rPr>
              <w:t xml:space="preserve"> FinBERT </w:t>
            </w:r>
            <w:r>
              <w:rPr>
                <w:sz w:val="20"/>
                <w:szCs w:val="20"/>
              </w:rPr>
              <w:t>時間衰減情緒評分；</w:t>
            </w:r>
            <w:r>
              <w:rPr>
                <w:sz w:val="20"/>
                <w:szCs w:val="20"/>
              </w:rPr>
              <w:t xml:space="preserve">Robust Scaling </w:t>
            </w:r>
            <w:r>
              <w:rPr>
                <w:sz w:val="20"/>
                <w:szCs w:val="20"/>
              </w:rPr>
              <w:t>正規化，輸出</w:t>
            </w:r>
            <w:r>
              <w:rPr>
                <w:sz w:val="20"/>
                <w:szCs w:val="20"/>
              </w:rPr>
              <w:t xml:space="preserve"> DEA </w:t>
            </w:r>
            <w:r>
              <w:rPr>
                <w:sz w:val="20"/>
                <w:szCs w:val="20"/>
              </w:rPr>
              <w:t>前特徵矩陣</w:t>
            </w:r>
          </w:p>
        </w:tc>
      </w:tr>
      <w:tr w:rsidR="00C56AF5" w14:paraId="1DBCA89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60B7" w14:textId="77777777" w:rsidR="00C56AF5" w:rsidRDefault="00000000">
            <w:r>
              <w:rPr>
                <w:sz w:val="20"/>
                <w:szCs w:val="20"/>
              </w:rPr>
              <w:t>Stage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26C5" w14:textId="77777777" w:rsidR="00C56AF5" w:rsidRDefault="00000000">
            <w:r>
              <w:rPr>
                <w:sz w:val="20"/>
                <w:szCs w:val="20"/>
              </w:rPr>
              <w:t xml:space="preserve">DEA </w:t>
            </w:r>
            <w:r>
              <w:rPr>
                <w:sz w:val="20"/>
                <w:szCs w:val="20"/>
              </w:rPr>
              <w:t>效率篩選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28B0" w14:textId="77777777" w:rsidR="00C56AF5" w:rsidRDefault="00000000">
            <w:r>
              <w:rPr>
                <w:sz w:val="20"/>
                <w:szCs w:val="20"/>
              </w:rPr>
              <w:t>兩階段</w:t>
            </w:r>
            <w:r>
              <w:rPr>
                <w:sz w:val="20"/>
                <w:szCs w:val="20"/>
              </w:rPr>
              <w:t xml:space="preserve"> DEA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CCR </w:t>
            </w:r>
            <w:r>
              <w:rPr>
                <w:sz w:val="20"/>
                <w:szCs w:val="20"/>
              </w:rPr>
              <w:t>標準效率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交互效率）篩選前</w:t>
            </w:r>
            <w:r>
              <w:rPr>
                <w:sz w:val="20"/>
                <w:szCs w:val="20"/>
              </w:rPr>
              <w:t xml:space="preserve"> 25% </w:t>
            </w:r>
            <w:r>
              <w:rPr>
                <w:sz w:val="20"/>
                <w:szCs w:val="20"/>
              </w:rPr>
              <w:t>效率分位，輸出解耦於偏好的候選池</w:t>
            </w:r>
          </w:p>
        </w:tc>
      </w:tr>
      <w:tr w:rsidR="00C56AF5" w14:paraId="6AAAE72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C6B" w14:textId="77777777" w:rsidR="00C56AF5" w:rsidRDefault="00000000">
            <w:r>
              <w:rPr>
                <w:sz w:val="20"/>
                <w:szCs w:val="20"/>
              </w:rPr>
              <w:t>Stage 2_1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A1DB" w14:textId="77777777" w:rsidR="00C56AF5" w:rsidRDefault="00000000">
            <w:r>
              <w:rPr>
                <w:sz w:val="20"/>
                <w:szCs w:val="20"/>
              </w:rPr>
              <w:t>偏好萃取（雙路徑）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385C" w14:textId="77777777" w:rsidR="00C56AF5" w:rsidRDefault="00000000">
            <w:r>
              <w:rPr>
                <w:sz w:val="20"/>
                <w:szCs w:val="20"/>
              </w:rPr>
              <w:t>靜態</w:t>
            </w:r>
            <w:r>
              <w:rPr>
                <w:sz w:val="20"/>
                <w:szCs w:val="20"/>
              </w:rPr>
              <w:t xml:space="preserve"> AHP </w:t>
            </w:r>
            <w:r>
              <w:rPr>
                <w:sz w:val="20"/>
                <w:szCs w:val="20"/>
              </w:rPr>
              <w:t>問卷與</w:t>
            </w:r>
            <w:r>
              <w:rPr>
                <w:sz w:val="20"/>
                <w:szCs w:val="20"/>
              </w:rPr>
              <w:t xml:space="preserve"> BNN </w:t>
            </w:r>
            <w:r>
              <w:rPr>
                <w:sz w:val="20"/>
                <w:szCs w:val="20"/>
              </w:rPr>
              <w:t>自然語言偏好引擎兩條主要路徑（</w:t>
            </w:r>
            <w:r>
              <w:rPr>
                <w:sz w:val="20"/>
                <w:szCs w:val="20"/>
              </w:rPr>
              <w:t xml:space="preserve">Web </w:t>
            </w:r>
            <w:r>
              <w:rPr>
                <w:sz w:val="20"/>
                <w:szCs w:val="20"/>
              </w:rPr>
              <w:t>介面為</w:t>
            </w:r>
            <w:r>
              <w:rPr>
                <w:sz w:val="20"/>
                <w:szCs w:val="20"/>
              </w:rPr>
              <w:t xml:space="preserve"> BNN </w:t>
            </w:r>
            <w:r>
              <w:rPr>
                <w:sz w:val="20"/>
                <w:szCs w:val="20"/>
              </w:rPr>
              <w:t>引擎之前端；</w:t>
            </w:r>
            <w:r>
              <w:rPr>
                <w:sz w:val="20"/>
                <w:szCs w:val="20"/>
              </w:rPr>
              <w:t xml:space="preserve">Gemini </w:t>
            </w:r>
            <w:r>
              <w:rPr>
                <w:sz w:val="20"/>
                <w:szCs w:val="20"/>
              </w:rPr>
              <w:t>主動式訪談為實驗性／未來工作），統一輸出九維偏好向量（</w:t>
            </w:r>
            <w:r>
              <w:rPr>
                <w:sz w:val="20"/>
                <w:szCs w:val="20"/>
              </w:rPr>
              <w:t>JSON</w:t>
            </w:r>
            <w:r>
              <w:rPr>
                <w:sz w:val="20"/>
                <w:szCs w:val="20"/>
              </w:rPr>
              <w:t>）</w:t>
            </w:r>
          </w:p>
        </w:tc>
      </w:tr>
      <w:tr w:rsidR="00C56AF5" w14:paraId="6281EE8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ADAC" w14:textId="77777777" w:rsidR="00C56AF5" w:rsidRDefault="00000000">
            <w:r>
              <w:rPr>
                <w:sz w:val="20"/>
                <w:szCs w:val="20"/>
              </w:rPr>
              <w:t>Stage 2_2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70C9" w14:textId="77777777" w:rsidR="00C56AF5" w:rsidRDefault="00000000">
            <w:r>
              <w:rPr>
                <w:sz w:val="20"/>
                <w:szCs w:val="20"/>
              </w:rPr>
              <w:t>相關性去重分群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8591" w14:textId="77777777" w:rsidR="00C56AF5" w:rsidRDefault="00000000">
            <w:r>
              <w:rPr>
                <w:sz w:val="20"/>
                <w:szCs w:val="20"/>
              </w:rPr>
              <w:t>依偏好向量對</w:t>
            </w:r>
            <w:r>
              <w:rPr>
                <w:sz w:val="20"/>
                <w:szCs w:val="20"/>
              </w:rPr>
              <w:t xml:space="preserve"> ETF </w:t>
            </w:r>
            <w:r>
              <w:rPr>
                <w:sz w:val="20"/>
                <w:szCs w:val="20"/>
              </w:rPr>
              <w:t>進行相關性分群，每群選出最符合偏好的代表標的，降低投組集中風險</w:t>
            </w:r>
          </w:p>
        </w:tc>
      </w:tr>
      <w:tr w:rsidR="00C56AF5" w14:paraId="3D9DBFB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BB1B" w14:textId="77777777" w:rsidR="00C56AF5" w:rsidRDefault="00000000">
            <w:r>
              <w:rPr>
                <w:sz w:val="20"/>
                <w:szCs w:val="20"/>
              </w:rPr>
              <w:t>Stage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D866" w14:textId="77777777" w:rsidR="00C56AF5" w:rsidRDefault="00000000">
            <w:r>
              <w:rPr>
                <w:sz w:val="20"/>
                <w:szCs w:val="20"/>
              </w:rPr>
              <w:t xml:space="preserve">SLSQP </w:t>
            </w:r>
            <w:r>
              <w:rPr>
                <w:sz w:val="20"/>
                <w:szCs w:val="20"/>
              </w:rPr>
              <w:t>最佳化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6F83" w14:textId="77777777" w:rsidR="00C56AF5" w:rsidRDefault="00000000">
            <w:r>
              <w:rPr>
                <w:sz w:val="20"/>
                <w:szCs w:val="20"/>
              </w:rPr>
              <w:t>偏好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參數映射</w:t>
            </w:r>
            <w:r>
              <w:rPr>
                <w:sz w:val="20"/>
                <w:szCs w:val="20"/>
              </w:rPr>
              <w:t xml:space="preserve"> g(w) </w:t>
            </w:r>
            <w:r>
              <w:rPr>
                <w:sz w:val="20"/>
                <w:szCs w:val="20"/>
              </w:rPr>
              <w:t>選定</w:t>
            </w:r>
            <w:r>
              <w:rPr>
                <w:sz w:val="20"/>
                <w:szCs w:val="20"/>
              </w:rPr>
              <w:t xml:space="preserve"> U-C2 </w:t>
            </w:r>
            <w:r>
              <w:rPr>
                <w:sz w:val="20"/>
                <w:szCs w:val="20"/>
              </w:rPr>
              <w:t>核心，</w:t>
            </w:r>
            <w:r>
              <w:rPr>
                <w:sz w:val="20"/>
                <w:szCs w:val="20"/>
              </w:rPr>
              <w:t xml:space="preserve">Ledoit-Wolf </w:t>
            </w:r>
            <w:r>
              <w:rPr>
                <w:sz w:val="20"/>
                <w:szCs w:val="20"/>
              </w:rPr>
              <w:t>縮減共變異數矩陣，</w:t>
            </w:r>
            <w:r>
              <w:rPr>
                <w:sz w:val="20"/>
                <w:szCs w:val="20"/>
              </w:rPr>
              <w:t xml:space="preserve">SLSQP </w:t>
            </w:r>
            <w:r>
              <w:rPr>
                <w:sz w:val="20"/>
                <w:szCs w:val="20"/>
              </w:rPr>
              <w:t>求解帶約束投組；含選擇性</w:t>
            </w:r>
            <w:r>
              <w:rPr>
                <w:sz w:val="20"/>
                <w:szCs w:val="20"/>
              </w:rPr>
              <w:t xml:space="preserve"> Walk-Forward </w:t>
            </w:r>
            <w:r>
              <w:rPr>
                <w:sz w:val="20"/>
                <w:szCs w:val="20"/>
              </w:rPr>
              <w:t>回測（</w:t>
            </w:r>
            <w:r>
              <w:rPr>
                <w:sz w:val="20"/>
                <w:szCs w:val="20"/>
              </w:rPr>
              <w:t>Stage 3B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67D1BCFB" w14:textId="77777777" w:rsidR="00C56AF5" w:rsidRDefault="00C56AF5">
      <w:pPr>
        <w:spacing w:after="100"/>
      </w:pPr>
    </w:p>
    <w:p w14:paraId="744BC4AB" w14:textId="77777777" w:rsidR="00C56AF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2.1</w:t>
      </w:r>
      <w:r>
        <w:rPr>
          <w:i/>
          <w:iCs/>
          <w:color w:val="666666"/>
          <w:sz w:val="18"/>
          <w:szCs w:val="18"/>
        </w:rPr>
        <w:t xml:space="preserve">　</w:t>
      </w:r>
      <w:r>
        <w:rPr>
          <w:i/>
          <w:iCs/>
          <w:color w:val="666666"/>
          <w:sz w:val="18"/>
          <w:szCs w:val="18"/>
        </w:rPr>
        <w:t xml:space="preserve">OptETF </w:t>
      </w:r>
      <w:r>
        <w:rPr>
          <w:i/>
          <w:iCs/>
          <w:color w:val="666666"/>
          <w:sz w:val="18"/>
          <w:szCs w:val="18"/>
        </w:rPr>
        <w:t>五階段管線總覽</w:t>
      </w:r>
    </w:p>
    <w:p w14:paraId="19C4CC02" w14:textId="77777777" w:rsidR="00C56AF5" w:rsidRDefault="00000000">
      <w:pPr>
        <w:pStyle w:val="2"/>
      </w:pPr>
      <w:r>
        <w:lastRenderedPageBreak/>
        <w:t>2.2 資料擷取與特徵工程（Stage 0）</w:t>
      </w:r>
    </w:p>
    <w:p w14:paraId="2DD3342E" w14:textId="77777777" w:rsidR="00C56AF5" w:rsidRDefault="00000000">
      <w:pPr>
        <w:spacing w:after="160"/>
      </w:pPr>
      <w:r>
        <w:t>系統整合三大資料源，建構多維</w:t>
      </w:r>
      <w:r>
        <w:t xml:space="preserve"> ETF </w:t>
      </w:r>
      <w:r>
        <w:t>特徵矩陣：</w:t>
      </w:r>
    </w:p>
    <w:p w14:paraId="1A859F2E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YahooQuery</w:t>
      </w:r>
      <w:r>
        <w:t>（</w:t>
      </w:r>
      <w:r>
        <w:t>yfinance</w:t>
      </w:r>
      <w:r>
        <w:t>）：</w:t>
      </w:r>
      <w:r>
        <w:t xml:space="preserve">ETF </w:t>
      </w:r>
      <w:r>
        <w:t>每日收盤價、成交量、股息殖利率、費用率</w:t>
      </w:r>
    </w:p>
    <w:p w14:paraId="133872B8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Alpha Vantage</w:t>
      </w:r>
      <w:r>
        <w:t>：歷史基本面數據（本益比、市值、機構持股比例）</w:t>
      </w:r>
    </w:p>
    <w:p w14:paraId="7795A97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Finnhub</w:t>
      </w:r>
      <w:r>
        <w:t>：即時新聞與市場情緒流，供</w:t>
      </w:r>
      <w:r>
        <w:t xml:space="preserve"> FinBERT </w:t>
      </w:r>
      <w:r>
        <w:t>情緒分析使用</w:t>
      </w:r>
    </w:p>
    <w:p w14:paraId="4394773B" w14:textId="77777777" w:rsidR="00C56AF5" w:rsidRDefault="00000000">
      <w:pPr>
        <w:spacing w:after="160"/>
      </w:pPr>
      <w:r>
        <w:t>情緒分析採本地部署的</w:t>
      </w:r>
      <w:r>
        <w:t xml:space="preserve"> FinBERT </w:t>
      </w:r>
      <w:r>
        <w:t>模型，對財經新聞輸出</w:t>
      </w:r>
      <w:r>
        <w:t xml:space="preserve"> [-1, 1] </w:t>
      </w:r>
      <w:r>
        <w:t>情緒分數，並施加時間衰減加權</w:t>
      </w:r>
      <w:r>
        <w:t>——</w:t>
      </w:r>
      <w:r>
        <w:t>近期新聞賦予較高權重，反映市場情緒的時效性。特徵正規化採縮尾</w:t>
      </w:r>
      <w:r>
        <w:t xml:space="preserve"> min-max</w:t>
      </w:r>
      <w:r>
        <w:t>（</w:t>
      </w:r>
      <w:r>
        <w:t>robust_scale</w:t>
      </w:r>
      <w:r>
        <w:t>）：先以分位數</w:t>
      </w:r>
      <w:r>
        <w:t xml:space="preserve"> [Q₀.₀₁, Q₀.₉₅] </w:t>
      </w:r>
      <w:r>
        <w:t>縮尾，再線性壓縮至</w:t>
      </w:r>
      <w:r>
        <w:t xml:space="preserve"> [0, 1]</w:t>
      </w:r>
      <w:r>
        <w:t>，對金融時序的厚尾極端值具強魯棒性（風險／成本維度取</w:t>
      </w:r>
      <w:r>
        <w:t xml:space="preserve"> 1 − norm</w:t>
      </w:r>
      <w:r>
        <w:t>，使數值越低者得分越高）：</w:t>
      </w:r>
    </w:p>
    <w:p w14:paraId="137E973D" w14:textId="2A77C28D" w:rsidR="00321151" w:rsidRDefault="00000000">
      <w:pPr>
        <w:spacing w:after="160"/>
      </w:pPr>
      <m:oMathPara>
        <m:oMath>
          <m:r>
            <w:rPr>
              <w:rFonts w:ascii="Cambria Math" w:hAnsi="Cambria Math"/>
            </w:rPr>
            <m:t>norm(x) = ( clip(x; Q₀.₀₁, Q₀.₉₅) - x_min ) / ( x_max - x_min )</m:t>
          </m:r>
        </m:oMath>
      </m:oMathPara>
    </w:p>
    <w:p w14:paraId="1D521AA0" w14:textId="77777777" w:rsidR="00C56AF5" w:rsidRDefault="00000000">
      <w:pPr>
        <w:pStyle w:val="2"/>
      </w:pPr>
      <w:r>
        <w:t>2.3 DEA 兩階段效率篩選（Stage 1）</w:t>
      </w:r>
    </w:p>
    <w:p w14:paraId="71D41AF4" w14:textId="77777777" w:rsidR="00C56AF5" w:rsidRDefault="00000000">
      <w:pPr>
        <w:spacing w:after="160"/>
      </w:pPr>
      <w:r>
        <w:t>資料包絡分析（</w:t>
      </w:r>
      <w:r>
        <w:t>Data Envelopment Analysis, DEA</w:t>
      </w:r>
      <w:r>
        <w:t>）以非參數方式評估各</w:t>
      </w:r>
      <w:r>
        <w:t xml:space="preserve"> ETF </w:t>
      </w:r>
      <w:r>
        <w:t>的相對效率，優點在於無需指定生產函數形式，且完全基於客觀數據，與使用者偏好解耦。</w:t>
      </w:r>
    </w:p>
    <w:p w14:paraId="711AF0A2" w14:textId="77777777" w:rsidR="00C56AF5" w:rsidRDefault="00000000">
      <w:pPr>
        <w:pStyle w:val="3"/>
      </w:pPr>
      <w:r>
        <w:t>2.3.1 第一階段：CCR 標準效率</w:t>
      </w:r>
    </w:p>
    <w:p w14:paraId="318E6991" w14:textId="77777777" w:rsidR="00C56AF5" w:rsidRDefault="00000000">
      <w:pPr>
        <w:spacing w:after="160"/>
      </w:pPr>
      <w:r>
        <w:t>採輸入導向</w:t>
      </w:r>
      <w:r>
        <w:t xml:space="preserve"> CCR </w:t>
      </w:r>
      <w:r>
        <w:t>模型（</w:t>
      </w:r>
      <w:r>
        <w:t>Constant Returns to Scale</w:t>
      </w:r>
      <w:r>
        <w:t>），求解各</w:t>
      </w:r>
      <w:r>
        <w:t xml:space="preserve"> ETF </w:t>
      </w:r>
      <w:r>
        <w:t>的效率分數</w:t>
      </w:r>
      <w:r>
        <w:t xml:space="preserve"> θ</w:t>
      </w:r>
      <w:r>
        <w:t>：</w:t>
      </w:r>
    </w:p>
    <w:p w14:paraId="60947320" w14:textId="43C62901" w:rsidR="00B91D99" w:rsidRPr="00B91D99" w:rsidRDefault="00B91D99">
      <w:pPr>
        <w:spacing w:after="160"/>
      </w:pPr>
      <m:oMathPara>
        <m:oMath>
          <m:r>
            <w:rPr>
              <w:rFonts w:ascii="Cambria Math" w:hAnsi="Cambria Math"/>
            </w:rPr>
            <m:t xml:space="preserve">max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4E43ADE" w14:textId="2CC202EB" w:rsidR="00B91D99" w:rsidRPr="00B91D99" w:rsidRDefault="00B91D99">
      <w:pPr>
        <w:spacing w:after="160"/>
        <w:rPr>
          <w:i/>
        </w:rPr>
      </w:pPr>
      <m:oMathPara>
        <m:oMath>
          <m:r>
            <w:rPr>
              <w:rFonts w:ascii="Cambria Math" w:hAnsi="Cambria Math"/>
            </w:rPr>
            <m:t xml:space="preserve">s.t.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≤1,∀j </m:t>
          </m:r>
          <m:r>
            <m:rPr>
              <m:sty m:val="p"/>
            </m:rPr>
            <w:rPr>
              <w:rFonts w:ascii="Cambria Math" w:hAnsi="Cambria Math" w:hint="eastAsia"/>
            </w:rPr>
            <m:t>；</m:t>
          </m:r>
          <m:r>
            <w:rPr>
              <w:rFonts w:ascii="Cambria Math" w:hAnsi="Cambria Math"/>
            </w:rPr>
            <m:t>u,v≥0</m:t>
          </m:r>
        </m:oMath>
      </m:oMathPara>
    </w:p>
    <w:p w14:paraId="00208445" w14:textId="77777777" w:rsidR="00C56AF5" w:rsidRDefault="00000000">
      <w:pPr>
        <w:spacing w:after="160"/>
      </w:pPr>
      <w:r>
        <w:t>其中投入指標（</w:t>
      </w:r>
      <w:r>
        <w:t>x</w:t>
      </w:r>
      <w:r>
        <w:t>）包含費用率、年化波動度、最大回撤；產出指標（</w:t>
      </w:r>
      <w:r>
        <w:t>y</w:t>
      </w:r>
      <w:r>
        <w:t>）包含資本利得（</w:t>
      </w:r>
      <w:r>
        <w:t>Out_CAGR</w:t>
      </w:r>
      <w:r>
        <w:t>）、股息殖利率（</w:t>
      </w:r>
      <w:r>
        <w:t>Out_Div</w:t>
      </w:r>
      <w:r>
        <w:t>）、流動性（</w:t>
      </w:r>
      <w:r>
        <w:t>Out_Liquidity</w:t>
      </w:r>
      <w:r>
        <w:t>）、多角化程度（</w:t>
      </w:r>
      <w:r>
        <w:t>Out_Diversity</w:t>
      </w:r>
      <w:r>
        <w:t>）</w:t>
      </w:r>
      <w:r>
        <w:t>——</w:t>
      </w:r>
      <w:r>
        <w:t>資本利得與股息刻意拆成兩個獨立產出，避免高成長零股息</w:t>
      </w:r>
      <w:r>
        <w:t xml:space="preserve"> ETF </w:t>
      </w:r>
      <w:r>
        <w:t>被股息平均稀釋。</w:t>
      </w:r>
      <w:r>
        <w:t xml:space="preserve">θ = 1 </w:t>
      </w:r>
      <w:r>
        <w:t>表示位於效率前沿。</w:t>
      </w:r>
    </w:p>
    <w:p w14:paraId="7A7F04FC" w14:textId="77777777" w:rsidR="00C56AF5" w:rsidRDefault="00000000">
      <w:pPr>
        <w:pStyle w:val="3"/>
      </w:pPr>
      <w:r>
        <w:t>2.3.2 第二階段：交互效率（Cross-Efficiency）</w:t>
      </w:r>
    </w:p>
    <w:p w14:paraId="75EF210B" w14:textId="77777777" w:rsidR="00C56AF5" w:rsidRDefault="00000000">
      <w:pPr>
        <w:spacing w:after="160"/>
      </w:pPr>
      <w:r>
        <w:t>交互效率矩陣解決</w:t>
      </w:r>
      <w:r>
        <w:t xml:space="preserve"> CCR </w:t>
      </w:r>
      <w:r>
        <w:t>結果中多個</w:t>
      </w:r>
      <w:r>
        <w:t xml:space="preserve"> DMU </w:t>
      </w:r>
      <w:r>
        <w:t>同時達到</w:t>
      </w:r>
      <w:r>
        <w:t xml:space="preserve"> θ = 1 </w:t>
      </w:r>
      <w:r>
        <w:t>的鑑別力不足問題。以每個</w:t>
      </w:r>
      <w:r>
        <w:t xml:space="preserve"> ETF </w:t>
      </w:r>
      <w:r>
        <w:t>在自身最優權重下評估所有其他</w:t>
      </w:r>
      <w:r>
        <w:t xml:space="preserve"> ETF</w:t>
      </w:r>
      <w:r>
        <w:t>，建構</w:t>
      </w:r>
      <w:r>
        <w:t xml:space="preserve"> n×n </w:t>
      </w:r>
      <w:r>
        <w:t>矩陣，取列均值作為最終效率排名分數。最終保留前</w:t>
      </w:r>
      <w:r>
        <w:t xml:space="preserve"> 25% </w:t>
      </w:r>
      <w:r>
        <w:t>效率分位的</w:t>
      </w:r>
      <w:r>
        <w:t xml:space="preserve"> ETF </w:t>
      </w:r>
      <w:r>
        <w:t>進入偏好萃取階段。</w:t>
      </w:r>
    </w:p>
    <w:p w14:paraId="71D3A7FE" w14:textId="77777777" w:rsidR="00C56AF5" w:rsidRDefault="00000000">
      <w:pPr>
        <w:pStyle w:val="2"/>
      </w:pPr>
      <w:r>
        <w:t>2.4 兩路徑偏好萃取（Stage 2_1）</w:t>
      </w:r>
    </w:p>
    <w:p w14:paraId="5FE0A4FF" w14:textId="77777777" w:rsidR="00C56AF5" w:rsidRDefault="00000000">
      <w:pPr>
        <w:spacing w:after="160"/>
      </w:pPr>
      <w:r>
        <w:t>系統的核心設計亮點在於兩條平行偏好路徑（靜態</w:t>
      </w:r>
      <w:r>
        <w:t xml:space="preserve"> AHP </w:t>
      </w:r>
      <w:r>
        <w:t>問卷與</w:t>
      </w:r>
      <w:r>
        <w:t xml:space="preserve"> BNN </w:t>
      </w:r>
      <w:r>
        <w:t>自然語言偏好引擎）統一輸出至相同介面，後續最佳化無需改寫；另提供一條實驗性的</w:t>
      </w:r>
      <w:r>
        <w:t xml:space="preserve"> Gemini </w:t>
      </w:r>
      <w:r>
        <w:t>主動式自然語言訪談（列為未來工作）。九個偏好維度涵蓋：資本增值</w:t>
      </w:r>
      <w:r>
        <w:lastRenderedPageBreak/>
        <w:t>（</w:t>
      </w:r>
      <w:r>
        <w:t xml:space="preserve">CAGR </w:t>
      </w:r>
      <w:r>
        <w:t>代理）、股息殖利率、波動穩定性、最大回撤韌性、費用率、交易量、基金規模、多角化程度、市場情緒。</w:t>
      </w:r>
    </w:p>
    <w:p w14:paraId="4826AFDD" w14:textId="77777777" w:rsidR="00C56AF5" w:rsidRDefault="00000000">
      <w:pPr>
        <w:pStyle w:val="3"/>
      </w:pPr>
      <w:r>
        <w:t>2.4.1 靜態 AHP 問卷（Static AHP）</w:t>
      </w:r>
    </w:p>
    <w:p w14:paraId="0F359A57" w14:textId="77777777" w:rsidR="00C56AF5" w:rsidRDefault="00000000">
      <w:pPr>
        <w:spacing w:after="160"/>
      </w:pPr>
      <w:r>
        <w:t>以分析層級程序法（</w:t>
      </w:r>
      <w:r>
        <w:t>Analytic Hierarchy Process</w:t>
      </w:r>
      <w:r>
        <w:t>）透過成對比較矩陣量化使用者對九個維度的相對重視程度。系統採用兩層</w:t>
      </w:r>
      <w:r>
        <w:t xml:space="preserve"> AHP </w:t>
      </w:r>
      <w:r>
        <w:t>架構：先對大類（報酬、風險、成本、流動性、情緒）進行比較，再對大類內的子維度比較，最後整合為九維優先向量。一致性檢驗確保</w:t>
      </w:r>
      <w:r>
        <w:t xml:space="preserve"> CR &lt; 0.1</w:t>
      </w:r>
      <w:r>
        <w:t>：</w:t>
      </w:r>
    </w:p>
    <w:p w14:paraId="0216A381" w14:textId="29F1AC40" w:rsidR="00B91D99" w:rsidRPr="00B91D99" w:rsidRDefault="00B91D99">
      <w:pPr>
        <w:spacing w:after="160"/>
      </w:pPr>
      <m:oMathPara>
        <m:oMath>
          <m:r>
            <w:rPr>
              <w:rFonts w:ascii="Cambria Math" w:hAnsi="Cambria Math"/>
            </w:rPr>
            <m:t>A·w=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·w</m:t>
          </m:r>
        </m:oMath>
      </m:oMathPara>
    </w:p>
    <w:p w14:paraId="747D2B40" w14:textId="3DEBE528" w:rsidR="00B91D99" w:rsidRPr="00B91D99" w:rsidRDefault="00B91D99">
      <w:pPr>
        <w:spacing w:after="160"/>
      </w:pPr>
      <m:oMathPara>
        <m:oMath>
          <m:r>
            <w:rPr>
              <w:rFonts w:ascii="Cambria Math" w:hAnsi="Cambria Math"/>
            </w:rPr>
            <m:t>CI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-n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 - 1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/>
            </w:rPr>
            <m:t xml:space="preserve">CR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CI</m:t>
              </m:r>
            </m:num>
            <m:den>
              <m:r>
                <w:rPr>
                  <w:rFonts w:ascii="Cambria Math" w:hAnsi="Cambria Math"/>
                </w:rPr>
                <m:t>RI</m:t>
              </m:r>
            </m:den>
          </m:f>
          <m:r>
            <w:rPr>
              <w:rFonts w:ascii="Cambria Math" w:hAnsi="Cambria Math"/>
            </w:rPr>
            <m:t xml:space="preserve"> &lt; 0.10</m:t>
          </m:r>
        </m:oMath>
      </m:oMathPara>
    </w:p>
    <w:p w14:paraId="3FCD8C63" w14:textId="77777777" w:rsidR="00C56AF5" w:rsidRDefault="00000000">
      <w:pPr>
        <w:pStyle w:val="3"/>
      </w:pPr>
      <w:r>
        <w:t>2.4.2 Active Bayesian LLM 訪談（實驗性／未來工作）</w:t>
      </w:r>
    </w:p>
    <w:p w14:paraId="4B8F8BBB" w14:textId="77777777" w:rsidR="00C56AF5" w:rsidRDefault="00000000">
      <w:pPr>
        <w:spacing w:after="160"/>
      </w:pPr>
      <w:r>
        <w:t>（本路徑為實驗性，目前以可選模組形式存在於</w:t>
      </w:r>
      <w:r>
        <w:t xml:space="preserve"> active_preference </w:t>
      </w:r>
      <w:r>
        <w:t>套件、尚未整合為主要交付路徑，故列為未來工作；前述兩條主要路徑為靜態</w:t>
      </w:r>
      <w:r>
        <w:t xml:space="preserve"> AHP </w:t>
      </w:r>
      <w:r>
        <w:t>與</w:t>
      </w:r>
      <w:r>
        <w:t xml:space="preserve"> BNN </w:t>
      </w:r>
      <w:r>
        <w:t>偏好引擎。）整合</w:t>
      </w:r>
      <w:r>
        <w:t xml:space="preserve"> Gemini LLM </w:t>
      </w:r>
      <w:r>
        <w:t>作為自然語言偏好訪談代理，透過六個微階段（初始化</w:t>
      </w:r>
      <w:r>
        <w:t xml:space="preserve"> → </w:t>
      </w:r>
      <w:r>
        <w:t>選定目標維度</w:t>
      </w:r>
      <w:r>
        <w:t xml:space="preserve"> → </w:t>
      </w:r>
      <w:r>
        <w:t>提問</w:t>
      </w:r>
      <w:r>
        <w:t xml:space="preserve"> → </w:t>
      </w:r>
      <w:r>
        <w:t>擷取證據</w:t>
      </w:r>
      <w:r>
        <w:t xml:space="preserve"> → </w:t>
      </w:r>
      <w:r>
        <w:t>更新信念</w:t>
      </w:r>
      <w:r>
        <w:t xml:space="preserve"> → </w:t>
      </w:r>
      <w:r>
        <w:t>匯出權重）逐步精煉使用者偏好。每輪對話後以貝氏更新調整</w:t>
      </w:r>
      <w:r>
        <w:t xml:space="preserve"> Dirichlet </w:t>
      </w:r>
      <w:r>
        <w:t>後驗分佈：</w:t>
      </w:r>
    </w:p>
    <w:p w14:paraId="7019CB31" w14:textId="7FFDA96E" w:rsidR="00D34EEB" w:rsidRPr="00D34EEB" w:rsidRDefault="00D34EEB" w:rsidP="00D34EEB">
      <w:pPr>
        <w:spacing w:before="140" w:after="140"/>
        <w:jc w:val="center"/>
        <w:rPr>
          <w:sz w:val="22"/>
          <w:szCs w:val="22"/>
        </w:rPr>
      </w:pPr>
      <m:oMathPara>
        <m:oMath>
          <m:r>
            <w:rPr>
              <w:rFonts w:ascii="Cambria Math" w:hAnsi="Cambria Math" w:cs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w|data</m:t>
              </m:r>
            </m:e>
          </m:d>
          <m:r>
            <w:rPr>
              <w:rFonts w:ascii="Cambria Math" w:eastAsia="Cambria Math" w:hAnsi="Cambria Math" w:cs="Cambria Math"/>
              <w:sz w:val="22"/>
              <w:szCs w:val="22"/>
            </w:rPr>
            <m:t>∝</m:t>
          </m:r>
          <m:r>
            <w:rPr>
              <w:rFonts w:ascii="Cambria Math" w:hAnsi="Cambria Math" w:cs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data|w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·P</m:t>
          </m:r>
          <m:d>
            <m:dPr>
              <m:ctrlPr>
                <w:rPr>
                  <w:rFonts w:ascii="Cambria Math" w:hAnsi="Cambria Math" w:cs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w</m:t>
              </m:r>
            </m:e>
          </m:d>
        </m:oMath>
      </m:oMathPara>
    </w:p>
    <w:p w14:paraId="0A2BFDBB" w14:textId="77777777" w:rsidR="00C56AF5" w:rsidRDefault="00000000">
      <w:pPr>
        <w:spacing w:after="160"/>
      </w:pPr>
      <w:r>
        <w:t xml:space="preserve">LLM </w:t>
      </w:r>
      <w:r>
        <w:t>負責將模糊的口語描述（如「我希望收益穩定，不怕少賺但要少賠」）轉換為結構化的偏好置信度更新，最終輸出與靜態</w:t>
      </w:r>
      <w:r>
        <w:t xml:space="preserve"> AHP </w:t>
      </w:r>
      <w:r>
        <w:t>相同格式的九維權重向量。</w:t>
      </w:r>
    </w:p>
    <w:p w14:paraId="54B1966B" w14:textId="77777777" w:rsidR="00C56AF5" w:rsidRDefault="00000000">
      <w:pPr>
        <w:pStyle w:val="3"/>
      </w:pPr>
      <w:r>
        <w:t>2.4.3 BNN 偏好引擎（Preference Engine）</w:t>
      </w:r>
    </w:p>
    <w:p w14:paraId="3BE47C82" w14:textId="77777777" w:rsidR="00C56AF5" w:rsidRDefault="00000000">
      <w:pPr>
        <w:spacing w:after="160"/>
      </w:pPr>
      <w:r>
        <w:t>本路徑採用投資理念描述（</w:t>
      </w:r>
      <w:r>
        <w:t>philosophy input</w:t>
      </w:r>
      <w:r>
        <w:t>）加上逐輪問答的深度學習方案。</w:t>
      </w:r>
      <w:r>
        <w:t xml:space="preserve">BGE-M3 </w:t>
      </w:r>
      <w:r>
        <w:t>多語言向量模型將使用者文字描述嵌入為語義向量，輸入</w:t>
      </w:r>
      <w:r>
        <w:t xml:space="preserve"> 9 </w:t>
      </w:r>
      <w:r>
        <w:t>個各維一維貝氏類神經網路（</w:t>
      </w:r>
      <w:r>
        <w:t>Bayesian Neural Network</w:t>
      </w:r>
      <w:r>
        <w:t>，每個偏好維度各一個，外加一個理念向量頭</w:t>
      </w:r>
      <w:r>
        <w:t xml:space="preserve"> philhead</w:t>
      </w:r>
      <w:r>
        <w:t>，共</w:t>
      </w:r>
      <w:r>
        <w:t xml:space="preserve"> 10 </w:t>
      </w:r>
      <w:r>
        <w:t>個</w:t>
      </w:r>
      <w:r>
        <w:t xml:space="preserve"> .pt </w:t>
      </w:r>
      <w:r>
        <w:t>權重檔）；不確定性由</w:t>
      </w:r>
      <w:r>
        <w:t xml:space="preserve"> MC-dropout </w:t>
      </w:r>
      <w:r>
        <w:t>多次取樣估計（非模型集成），輸出九維偏好向量的均值與信心區間：</w:t>
      </w:r>
    </w:p>
    <w:p w14:paraId="1F999205" w14:textId="283EE9C2" w:rsidR="00D34EEB" w:rsidRPr="00D34EEB" w:rsidRDefault="00000000">
      <w:pPr>
        <w:spacing w:after="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BNN_ensemble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BGE-M3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query</m:t>
                  </m:r>
                </m:e>
              </m:d>
            </m:e>
          </m:d>
        </m:oMath>
      </m:oMathPara>
    </w:p>
    <w:p w14:paraId="7D604F34" w14:textId="77777777" w:rsidR="00C56AF5" w:rsidRDefault="00000000">
      <w:pPr>
        <w:spacing w:after="160"/>
      </w:pPr>
      <w:r>
        <w:t xml:space="preserve">BNN </w:t>
      </w:r>
      <w:r>
        <w:t>的不確定性輸出</w:t>
      </w:r>
      <w:r>
        <w:t xml:space="preserve"> σ²_w </w:t>
      </w:r>
      <w:r>
        <w:t>用於偏好問答過程的即時回饋與收斂／穩定性判斷；系統最佳化採</w:t>
      </w:r>
      <w:r>
        <w:t xml:space="preserve"> μ-free </w:t>
      </w:r>
      <w:r>
        <w:t>的三核心</w:t>
      </w:r>
      <w:r>
        <w:t xml:space="preserve"> C2</w:t>
      </w:r>
      <w:r>
        <w:t>，並不把</w:t>
      </w:r>
      <w:r>
        <w:t xml:space="preserve"> σ² </w:t>
      </w:r>
      <w:r>
        <w:t>送入</w:t>
      </w:r>
      <w:r>
        <w:t xml:space="preserve"> Black-Litterman </w:t>
      </w:r>
      <w:r>
        <w:t>的觀點不確定性矩陣</w:t>
      </w:r>
      <w:r>
        <w:t xml:space="preserve"> Ω</w:t>
      </w:r>
      <w:r>
        <w:t>（將</w:t>
      </w:r>
      <w:r>
        <w:t xml:space="preserve"> σ² </w:t>
      </w:r>
      <w:r>
        <w:t>接入統一</w:t>
      </w:r>
      <w:r>
        <w:t xml:space="preserve"> BL </w:t>
      </w:r>
      <w:r>
        <w:t>的構想經</w:t>
      </w:r>
      <w:r>
        <w:t xml:space="preserve"> A/B </w:t>
      </w:r>
      <w:r>
        <w:t>測試後未採用，詳見成果報告</w:t>
      </w:r>
      <w:r>
        <w:t xml:space="preserve"> §3.3</w:t>
      </w:r>
      <w:r>
        <w:t>）。</w:t>
      </w:r>
    </w:p>
    <w:p w14:paraId="72CB8A61" w14:textId="77777777" w:rsidR="00C56AF5" w:rsidRDefault="00000000">
      <w:pPr>
        <w:pStyle w:val="2"/>
      </w:pPr>
      <w:r>
        <w:t>2.5 相關性去重分群（Stage 2_2）</w:t>
      </w:r>
    </w:p>
    <w:p w14:paraId="05889B43" w14:textId="77777777" w:rsidR="00C56AF5" w:rsidRDefault="00000000">
      <w:pPr>
        <w:spacing w:after="160"/>
      </w:pPr>
      <w:r>
        <w:t xml:space="preserve">DEA </w:t>
      </w:r>
      <w:r>
        <w:t>候選池內的</w:t>
      </w:r>
      <w:r>
        <w:t xml:space="preserve"> ETF </w:t>
      </w:r>
      <w:r>
        <w:t>可能存在高度相關性（如同類型的</w:t>
      </w:r>
      <w:r>
        <w:t xml:space="preserve"> S&amp;P 500 ETF</w:t>
      </w:r>
      <w:r>
        <w:t>），若直接最佳化易導致集中於相關資產。</w:t>
      </w:r>
      <w:r>
        <w:t xml:space="preserve">Stage 2_2 </w:t>
      </w:r>
      <w:r>
        <w:t>依相關性矩陣對候選</w:t>
      </w:r>
      <w:r>
        <w:t xml:space="preserve"> ETF </w:t>
      </w:r>
      <w:r>
        <w:t>進行分群，每群選出與使用者九維偏好點積最高的代表標的，確保最終候選池的多角化品質。</w:t>
      </w:r>
    </w:p>
    <w:p w14:paraId="5A38339D" w14:textId="77777777" w:rsidR="00FD2F9E" w:rsidRDefault="00FD2F9E">
      <w:pPr>
        <w:spacing w:after="160"/>
      </w:pPr>
    </w:p>
    <w:p w14:paraId="64B8FBBB" w14:textId="77777777" w:rsidR="00C56AF5" w:rsidRDefault="00000000">
      <w:pPr>
        <w:pStyle w:val="2"/>
      </w:pPr>
      <w:r>
        <w:lastRenderedPageBreak/>
        <w:t>2.6 偏好驅動最佳化：U-C2 三核心模型（Stage 3）</w:t>
      </w:r>
    </w:p>
    <w:p w14:paraId="279E1D16" w14:textId="77777777" w:rsidR="00C56AF5" w:rsidRDefault="00000000">
      <w:pPr>
        <w:pStyle w:val="3"/>
      </w:pPr>
      <w:r>
        <w:t>2.6.1 偏好→參數連續映射 g(w)</w:t>
      </w:r>
    </w:p>
    <w:p w14:paraId="77CE9AE6" w14:textId="77777777" w:rsidR="00C56AF5" w:rsidRDefault="00000000">
      <w:pPr>
        <w:spacing w:after="160"/>
      </w:pPr>
      <w:r>
        <w:t>系統最重要的設計決策是採用「連續映射函式</w:t>
      </w:r>
      <w:r>
        <w:t xml:space="preserve"> g(w)</w:t>
      </w:r>
      <w:r>
        <w:t>」而非查表法，將九維偏好向量轉換為最佳化參數。核心切換指數</w:t>
      </w:r>
      <w:r>
        <w:t xml:space="preserve"> T_growth </w:t>
      </w:r>
      <w:r>
        <w:t>由報酬類偏好權重比例決定：</w:t>
      </w:r>
    </w:p>
    <w:p w14:paraId="00972C57" w14:textId="3050ADBE" w:rsidR="00EB1CA7" w:rsidRDefault="00000000">
      <w:pPr>
        <w:spacing w:after="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growth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CAGR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CAGR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vol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mdd</m:t>
                  </m:r>
                </m:sub>
              </m:sSub>
            </m:den>
          </m:f>
        </m:oMath>
      </m:oMathPara>
    </w:p>
    <w:p w14:paraId="02F00C33" w14:textId="44E7BE9E" w:rsidR="00C56AF5" w:rsidRDefault="00000000">
      <w:pPr>
        <w:spacing w:after="160"/>
      </w:pPr>
      <w:r>
        <w:t>根據</w:t>
      </w:r>
      <w:r>
        <w:t xml:space="preserve"> T_growth </w:t>
      </w:r>
      <w:r>
        <w:t>連續映射至三個效率前沿位置：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2726"/>
      </w:tblGrid>
      <w:tr w:rsidR="00C56AF5" w14:paraId="3D826E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B7D3" w14:textId="77777777" w:rsidR="00C56AF5" w:rsidRDefault="00000000">
            <w:r>
              <w:rPr>
                <w:b/>
                <w:bCs/>
                <w:sz w:val="20"/>
                <w:szCs w:val="20"/>
              </w:rPr>
              <w:t xml:space="preserve">T_growth </w:t>
            </w:r>
            <w:r>
              <w:rPr>
                <w:b/>
                <w:bCs/>
                <w:sz w:val="20"/>
                <w:szCs w:val="20"/>
              </w:rPr>
              <w:t>區間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F570" w14:textId="77777777" w:rsidR="00C56AF5" w:rsidRDefault="00000000">
            <w:r>
              <w:rPr>
                <w:b/>
                <w:bCs/>
                <w:sz w:val="20"/>
                <w:szCs w:val="20"/>
              </w:rPr>
              <w:t>核心模式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CE16" w14:textId="77777777" w:rsidR="00C56AF5" w:rsidRDefault="00000000">
            <w:r>
              <w:rPr>
                <w:b/>
                <w:bCs/>
                <w:sz w:val="20"/>
                <w:szCs w:val="20"/>
              </w:rPr>
              <w:t>目標函數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FA54" w14:textId="77777777" w:rsidR="00C56AF5" w:rsidRDefault="00000000">
            <w:r>
              <w:rPr>
                <w:b/>
                <w:bCs/>
                <w:sz w:val="20"/>
                <w:szCs w:val="20"/>
              </w:rPr>
              <w:t>投資人屬性</w:t>
            </w:r>
          </w:p>
        </w:tc>
      </w:tr>
      <w:tr w:rsidR="00C56AF5" w14:paraId="5DDE5B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4273" w14:textId="77777777" w:rsidR="00C56AF5" w:rsidRDefault="00000000">
            <w:r>
              <w:rPr>
                <w:sz w:val="20"/>
                <w:szCs w:val="20"/>
              </w:rPr>
              <w:t>&lt; 0.40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0A73" w14:textId="77777777" w:rsidR="00C56AF5" w:rsidRDefault="00000000">
            <w:r>
              <w:rPr>
                <w:b/>
                <w:bCs/>
                <w:sz w:val="20"/>
                <w:szCs w:val="20"/>
              </w:rPr>
              <w:t>minvar</w:t>
            </w:r>
            <w:r>
              <w:rPr>
                <w:b/>
                <w:bCs/>
                <w:sz w:val="20"/>
                <w:szCs w:val="20"/>
              </w:rPr>
              <w:t>（保守）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9AFF" w14:textId="77777777" w:rsidR="00C56AF5" w:rsidRDefault="00000000">
            <w:r>
              <w:rPr>
                <w:sz w:val="20"/>
                <w:szCs w:val="20"/>
              </w:rPr>
              <w:t>min w⊤Σw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EB7A" w14:textId="77777777" w:rsidR="00C56AF5" w:rsidRDefault="00000000">
            <w:r>
              <w:rPr>
                <w:sz w:val="20"/>
                <w:szCs w:val="20"/>
              </w:rPr>
              <w:t>退休族、高波動厭惡</w:t>
            </w:r>
          </w:p>
        </w:tc>
      </w:tr>
      <w:tr w:rsidR="00C56AF5" w14:paraId="7656F6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943B" w14:textId="77777777" w:rsidR="00C56AF5" w:rsidRDefault="00000000">
            <w:r>
              <w:rPr>
                <w:sz w:val="20"/>
                <w:szCs w:val="20"/>
              </w:rPr>
              <w:t>0.40 – 0.65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69BD" w14:textId="77777777" w:rsidR="00C56AF5" w:rsidRDefault="00000000">
            <w:r>
              <w:rPr>
                <w:b/>
                <w:bCs/>
                <w:sz w:val="20"/>
                <w:szCs w:val="20"/>
              </w:rPr>
              <w:t>market</w:t>
            </w:r>
            <w:r>
              <w:rPr>
                <w:b/>
                <w:bCs/>
                <w:sz w:val="20"/>
                <w:szCs w:val="20"/>
              </w:rPr>
              <w:t>（均衡）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2404" w14:textId="77777777" w:rsidR="00C56AF5" w:rsidRDefault="00000000">
            <w:r>
              <w:rPr>
                <w:sz w:val="20"/>
                <w:szCs w:val="20"/>
              </w:rPr>
              <w:t>track market (β≈1)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9BAC" w14:textId="77777777" w:rsidR="00C56AF5" w:rsidRDefault="00000000">
            <w:r>
              <w:rPr>
                <w:sz w:val="20"/>
                <w:szCs w:val="20"/>
              </w:rPr>
              <w:t>長期指數投資人</w:t>
            </w:r>
          </w:p>
        </w:tc>
      </w:tr>
      <w:tr w:rsidR="00C56AF5" w14:paraId="514678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87E5" w14:textId="77777777" w:rsidR="00C56AF5" w:rsidRDefault="00000000">
            <w:r>
              <w:rPr>
                <w:sz w:val="20"/>
                <w:szCs w:val="20"/>
              </w:rPr>
              <w:t>≥ 0.65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1942" w14:textId="77777777" w:rsidR="00C56AF5" w:rsidRDefault="00000000">
            <w:r>
              <w:rPr>
                <w:b/>
                <w:bCs/>
                <w:sz w:val="20"/>
                <w:szCs w:val="20"/>
              </w:rPr>
              <w:t>beta</w:t>
            </w:r>
            <w:r>
              <w:rPr>
                <w:b/>
                <w:bCs/>
                <w:sz w:val="20"/>
                <w:szCs w:val="20"/>
              </w:rPr>
              <w:t>（積極）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D43F" w14:textId="77777777" w:rsidR="00C56AF5" w:rsidRDefault="00000000">
            <w:r>
              <w:rPr>
                <w:sz w:val="20"/>
                <w:szCs w:val="20"/>
              </w:rPr>
              <w:t>max β within budget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16A5" w14:textId="77777777" w:rsidR="00C56AF5" w:rsidRDefault="00000000">
            <w:r>
              <w:rPr>
                <w:sz w:val="20"/>
                <w:szCs w:val="20"/>
              </w:rPr>
              <w:t>積極成長、高風險承受</w:t>
            </w:r>
          </w:p>
        </w:tc>
      </w:tr>
    </w:tbl>
    <w:p w14:paraId="76A675E9" w14:textId="77777777" w:rsidR="00C56AF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2.2</w:t>
      </w:r>
      <w:r>
        <w:rPr>
          <w:i/>
          <w:iCs/>
          <w:color w:val="666666"/>
          <w:sz w:val="18"/>
          <w:szCs w:val="18"/>
        </w:rPr>
        <w:t xml:space="preserve">　</w:t>
      </w:r>
      <w:r>
        <w:rPr>
          <w:i/>
          <w:iCs/>
          <w:color w:val="666666"/>
          <w:sz w:val="18"/>
          <w:szCs w:val="18"/>
        </w:rPr>
        <w:t xml:space="preserve">U-C2 </w:t>
      </w:r>
      <w:r>
        <w:rPr>
          <w:i/>
          <w:iCs/>
          <w:color w:val="666666"/>
          <w:sz w:val="18"/>
          <w:szCs w:val="18"/>
        </w:rPr>
        <w:t>三核心模型對應關係</w:t>
      </w:r>
    </w:p>
    <w:p w14:paraId="6B065165" w14:textId="566A08B7" w:rsidR="00C56AF5" w:rsidRDefault="00000000">
      <w:pPr>
        <w:spacing w:after="160"/>
      </w:pPr>
      <w:r>
        <w:t>映射函式同時決定風險分數（</w:t>
      </w:r>
      <m:oMath>
        <m:r>
          <m:rPr>
            <m:sty m:val="p"/>
          </m:rPr>
          <w:rPr>
            <w:rFonts w:ascii="Cambria Math" w:hAnsi="Cambria Math"/>
          </w:rPr>
          <m:t>risk_fraction</m:t>
        </m:r>
      </m:oMath>
      <w:r>
        <w:t>）、波動預算（</w:t>
      </w:r>
      <m:oMath>
        <m:r>
          <m:rPr>
            <m:sty m:val="p"/>
          </m:rPr>
          <w:rPr>
            <w:rFonts w:ascii="Cambria Math" w:hAnsi="Cambria Math"/>
          </w:rPr>
          <m:t>vol_budget</m:t>
        </m:r>
      </m:oMath>
      <w:r>
        <w:t>，於候選池可行波動範圍內線性內插，</w:t>
      </w:r>
      <m:oMath>
        <m:r>
          <m:rPr>
            <m:sty m:val="p"/>
          </m:rPr>
          <w:rPr>
            <w:rFonts w:ascii="Cambria Math" w:hAnsi="Cambria Math"/>
          </w:rPr>
          <m:t>v_min</m:t>
        </m:r>
      </m:oMath>
      <w:r>
        <w:t>／</w:t>
      </w:r>
      <m:oMath>
        <m:r>
          <m:rPr>
            <m:sty m:val="p"/>
          </m:rPr>
          <w:rPr>
            <w:rFonts w:ascii="Cambria Math" w:hAnsi="Cambria Math"/>
          </w:rPr>
          <m:t>v_max</m:t>
        </m:r>
      </m:oMath>
      <w:r>
        <w:t xml:space="preserve"> </w:t>
      </w:r>
      <w:r>
        <w:t>為候選池最小／最大變異組合波動，故恆可行）及</w:t>
      </w:r>
      <w:r>
        <w:t xml:space="preserve"> τ</w:t>
      </w:r>
      <w:r>
        <w:t>（股息傾斜強度，高成長偏好者獲低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t>、以</w:t>
      </w:r>
      <w:r>
        <w:t xml:space="preserve"> beta </w:t>
      </w:r>
      <w:r>
        <w:t>為主；收息導向者獲高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t>）。此設計確保任意使用者偏好向量均可無縫進入同一最佳化管線。</w:t>
      </w:r>
    </w:p>
    <w:p w14:paraId="37A373F3" w14:textId="124EFDDF" w:rsidR="00093B39" w:rsidRPr="00093B39" w:rsidRDefault="0020552E">
      <w:pPr>
        <w:spacing w:after="160"/>
      </w:pPr>
      <m:oMathPara>
        <m:oMath>
          <m:r>
            <w:rPr>
              <w:rFonts w:ascii="Cambria Math" w:hAnsi="Cambria Math"/>
            </w:rPr>
            <m:t>risk_fraction</m:t>
          </m:r>
          <m:r>
            <m:rPr>
              <m:sty m:val="p"/>
            </m:rPr>
            <w:rPr>
              <w:rFonts w:ascii="Cambria Math" w:hAnsi="Cambria Math"/>
            </w:rPr>
            <m:t>= clip(T_growth, 0.05, 0.95)</m:t>
          </m:r>
        </m:oMath>
      </m:oMathPara>
    </w:p>
    <w:p w14:paraId="14D3AEBF" w14:textId="0E6A4E2B" w:rsidR="003517F4" w:rsidRPr="00093B39" w:rsidRDefault="001D3544">
      <w:pPr>
        <w:spacing w:after="16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vol_budget = v_min + </m:t>
          </m:r>
          <m:r>
            <w:rPr>
              <w:rFonts w:ascii="Cambria Math" w:hAnsi="Cambria Math"/>
            </w:rPr>
            <m:t>risk_fraction</m:t>
          </m:r>
          <m:r>
            <m:rPr>
              <m:sty m:val="p"/>
            </m:rPr>
            <w:rPr>
              <w:rFonts w:ascii="Cambria Math" w:hAnsi="Cambria Math"/>
            </w:rPr>
            <m:t>·(v_max - v_min)</m:t>
          </m:r>
        </m:oMath>
      </m:oMathPara>
    </w:p>
    <w:p w14:paraId="177370CD" w14:textId="5439F0EE" w:rsidR="001D3544" w:rsidRPr="003517F4" w:rsidRDefault="00093B39">
      <w:pPr>
        <w:spacing w:after="160"/>
      </w:pPr>
      <m:oMathPara>
        <m:oMath>
          <m:r>
            <m:rPr>
              <m:sty m:val="p"/>
            </m:rPr>
            <w:rPr>
              <w:rFonts w:ascii="Cambria Math" w:hAnsi="Cambria Math"/>
            </w:rPr>
            <m:t>τ = 0.3·(1 - T_growth)·R̂</m:t>
          </m:r>
        </m:oMath>
      </m:oMathPara>
    </w:p>
    <w:p w14:paraId="6C6D834E" w14:textId="77777777" w:rsidR="00C56AF5" w:rsidRDefault="00000000">
      <w:pPr>
        <w:pStyle w:val="3"/>
      </w:pPr>
      <w:r>
        <w:t xml:space="preserve">2.6.2 </w:t>
      </w:r>
      <w:r>
        <w:rPr>
          <w:rFonts w:ascii="新細明體" w:eastAsia="新細明體" w:hAnsi="新細明體" w:cs="新細明體" w:hint="eastAsia"/>
        </w:rPr>
        <w:t>三核心</w:t>
      </w:r>
      <w:r>
        <w:t xml:space="preserve"> C2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SLSQP </w:t>
      </w:r>
      <w:r>
        <w:rPr>
          <w:rFonts w:ascii="新細明體" w:eastAsia="新細明體" w:hAnsi="新細明體" w:cs="新細明體" w:hint="eastAsia"/>
        </w:rPr>
        <w:t>求解（</w:t>
      </w:r>
      <w:r>
        <w:t>Black-Litterman</w:t>
      </w:r>
      <w:r>
        <w:rPr>
          <w:rFonts w:ascii="新細明體" w:eastAsia="新細明體" w:hAnsi="新細明體" w:cs="新細明體" w:hint="eastAsia"/>
        </w:rPr>
        <w:t>／</w:t>
      </w:r>
      <w:r>
        <w:t xml:space="preserve">CAPM </w:t>
      </w:r>
      <w:r>
        <w:rPr>
          <w:rFonts w:ascii="新細明體" w:eastAsia="新細明體" w:hAnsi="新細明體" w:cs="新細明體" w:hint="eastAsia"/>
        </w:rPr>
        <w:t>為理論地基）</w:t>
      </w:r>
    </w:p>
    <w:p w14:paraId="40532BAA" w14:textId="77777777" w:rsidR="00C56AF5" w:rsidRDefault="00000000">
      <w:pPr>
        <w:spacing w:after="160"/>
      </w:pPr>
      <w:r>
        <w:t>系統最佳化採</w:t>
      </w:r>
      <w:r>
        <w:t xml:space="preserve"> μ-free </w:t>
      </w:r>
      <w:r>
        <w:t>的</w:t>
      </w:r>
      <w:r>
        <w:t xml:space="preserve"> U-C2 </w:t>
      </w:r>
      <w:r>
        <w:t>三核心：完全不估計樣本期望報酬</w:t>
      </w:r>
      <w:r>
        <w:t xml:space="preserve"> μ</w:t>
      </w:r>
      <w:r>
        <w:t>，從根本避開估計誤差被最佳化器放大的問題（</w:t>
      </w:r>
      <w:r>
        <w:t xml:space="preserve">1/N </w:t>
      </w:r>
      <w:r>
        <w:t>之謎）。其理論地基為</w:t>
      </w:r>
      <w:r>
        <w:t xml:space="preserve"> Black-Litterman</w:t>
      </w:r>
      <w:r>
        <w:t>／</w:t>
      </w:r>
      <w:r>
        <w:t>CAPM——</w:t>
      </w:r>
      <w:r>
        <w:t>市場均衡隱含報酬</w:t>
      </w:r>
      <w:r>
        <w:t xml:space="preserve"> Π = λΣw_mkt ∝ β</w:t>
      </w:r>
      <w:r>
        <w:t>（</w:t>
      </w:r>
      <w:r>
        <w:t>CAPM</w:t>
      </w:r>
      <w:r>
        <w:t>），故三核心恰為</w:t>
      </w:r>
      <w:r>
        <w:t xml:space="preserve"> BL </w:t>
      </w:r>
      <w:r>
        <w:t>效率前緣上不同風險趨避的點。下式為</w:t>
      </w:r>
      <w:r>
        <w:t xml:space="preserve"> Black-Litterman </w:t>
      </w:r>
      <w:r>
        <w:t>的一般後驗報酬形式（混合均衡</w:t>
      </w:r>
      <w:r>
        <w:t xml:space="preserve"> Π </w:t>
      </w:r>
      <w:r>
        <w:t>與觀點</w:t>
      </w:r>
      <w:r>
        <w:t xml:space="preserve"> P</w:t>
      </w:r>
      <w:r>
        <w:t>、</w:t>
      </w:r>
      <w:r>
        <w:t>Q</w:t>
      </w:r>
      <w:r>
        <w:t>、不確定性</w:t>
      </w:r>
      <w:r>
        <w:t xml:space="preserve"> Ω</w:t>
      </w:r>
      <w:r>
        <w:t>），僅作為理論對照；本系統並不組裝</w:t>
      </w:r>
      <w:r>
        <w:t xml:space="preserve"> P</w:t>
      </w:r>
      <w:r>
        <w:t>／</w:t>
      </w:r>
      <w:r>
        <w:t>Q</w:t>
      </w:r>
      <w:r>
        <w:t>／</w:t>
      </w:r>
      <w:r>
        <w:t>Ω</w:t>
      </w:r>
      <w:r>
        <w:t>、也不以此後驗作為求解輸入，而是依</w:t>
      </w:r>
      <w:r>
        <w:t xml:space="preserve"> g(w) </w:t>
      </w:r>
      <w:r>
        <w:t>選定的核心直接求解（見後）。注意：此一般式中的</w:t>
      </w:r>
      <w:r>
        <w:t xml:space="preserve"> τ </w:t>
      </w:r>
      <w:r>
        <w:t>為</w:t>
      </w:r>
      <w:r>
        <w:t xml:space="preserve"> BL </w:t>
      </w:r>
      <w:r>
        <w:t>先驗不確定性純量，與後文三核心目標式中的偏好傾斜強度</w:t>
      </w:r>
      <w:r>
        <w:t xml:space="preserve"> τ </w:t>
      </w:r>
      <w:r>
        <w:t>為不同用途。</w:t>
      </w:r>
    </w:p>
    <w:p w14:paraId="316E54E0" w14:textId="70BAD55C" w:rsidR="00D34EEB" w:rsidRPr="00D34EEB" w:rsidRDefault="00D34EEB" w:rsidP="00D34EEB">
      <w:pPr>
        <w:spacing w:before="140" w:after="140"/>
        <w:jc w:val="center"/>
        <w:rPr>
          <w:rFonts w:ascii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τΣ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τΣ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Π+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26AF9AC5" w14:textId="77777777" w:rsidR="00C56AF5" w:rsidRDefault="00000000">
      <w:pPr>
        <w:spacing w:after="160"/>
      </w:pPr>
      <w:r>
        <w:t>共變異數矩陣採</w:t>
      </w:r>
      <w:r>
        <w:t xml:space="preserve"> Ledoit-Wolf </w:t>
      </w:r>
      <w:r>
        <w:t>縮減（</w:t>
      </w:r>
      <w:r>
        <w:t xml:space="preserve">sklearn </w:t>
      </w:r>
      <w:r>
        <w:t>之</w:t>
      </w:r>
      <w:r>
        <w:t xml:space="preserve"> LedoitWolf </w:t>
      </w:r>
      <w:r>
        <w:t>估計器，依資料自動決定最優縮減強度</w:t>
      </w:r>
      <w:r>
        <w:t xml:space="preserve"> δ*</w:t>
      </w:r>
      <w:r>
        <w:t>）：</w:t>
      </w:r>
    </w:p>
    <w:p w14:paraId="4CDEF758" w14:textId="43F9DD09" w:rsidR="00D34EEB" w:rsidRPr="00D34EEB" w:rsidRDefault="00000000">
      <w:pPr>
        <w:spacing w:after="160"/>
      </w:pPr>
      <m:oMathPara>
        <m:oMath>
          <m:r>
            <w:rPr>
              <w:rFonts w:ascii="Cambria Math" w:hAnsi="Cambria Math"/>
            </w:rPr>
            <m:t xml:space="preserve">Σ̂_LW = (1 - δ) · S + δ · μI 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μ = tr(S) / p</m:t>
          </m:r>
        </m:oMath>
      </m:oMathPara>
    </w:p>
    <w:p w14:paraId="44906EC6" w14:textId="77777777" w:rsidR="00E97D3C" w:rsidRDefault="00000000">
      <w:pPr>
        <w:spacing w:after="160"/>
      </w:pPr>
      <w:r>
        <w:t>最終以</w:t>
      </w:r>
      <w:r>
        <w:t xml:space="preserve"> SLSQP </w:t>
      </w:r>
      <w:r>
        <w:t>求解帶約束最佳化。三個核心的目標式皆為</w:t>
      </w:r>
      <w:r>
        <w:t xml:space="preserve"> μ-free</w:t>
      </w:r>
      <w:r>
        <w:t>，且都含偏好傾</w:t>
      </w:r>
      <w:r>
        <w:lastRenderedPageBreak/>
        <w:t>斜項</w:t>
      </w:r>
      <w:r>
        <w:t xml:space="preserve"> −τ·w⊤s</w:t>
      </w:r>
      <w:r>
        <w:t>（</w:t>
      </w:r>
      <w:r>
        <w:t xml:space="preserve">s </w:t>
      </w:r>
      <w:r>
        <w:t>為九維偏好分數向量、</w:t>
      </w:r>
      <w:r>
        <w:t xml:space="preserve">τ </w:t>
      </w:r>
      <w:r>
        <w:t>為偏好傾斜強度）；其中</w:t>
      </w:r>
      <w:r>
        <w:t xml:space="preserve"> Σ </w:t>
      </w:r>
      <w:r>
        <w:t>為</w:t>
      </w:r>
      <w:r>
        <w:t xml:space="preserve"> Ledoit-Wolf </w:t>
      </w:r>
      <w:r>
        <w:t>收縮共變異、</w:t>
      </w:r>
      <w:r>
        <w:t>c = Cov(r, r_VT)</w:t>
      </w:r>
      <w:r>
        <w:t>（對</w:t>
      </w:r>
      <w:r>
        <w:t xml:space="preserve"> VT </w:t>
      </w:r>
      <w:r>
        <w:t>之共變異）、</w:t>
      </w:r>
      <w:r>
        <w:t>β = c / Var(r_VT)</w:t>
      </w:r>
      <w:r>
        <w:t>（系統性風險曝險）、</w:t>
      </w:r>
      <w:r>
        <w:t>cap = 0.40</w:t>
      </w:r>
      <w:r>
        <w:t>：</w:t>
      </w:r>
    </w:p>
    <w:p w14:paraId="73F67792" w14:textId="77777777" w:rsidR="00E97D3C" w:rsidRDefault="00000000">
      <w:pPr>
        <w:spacing w:before="120" w:after="120"/>
        <w:jc w:val="center"/>
        <w:rPr>
          <w:rFonts w:ascii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>minvar</m:t>
          </m:r>
          <m:r>
            <w:rPr>
              <w:rFonts w:ascii="Cambria Math" w:hAnsi="Cambria Math"/>
            </w:rPr>
            <m:t>：</m:t>
          </m:r>
          <m:r>
            <w:rPr>
              <w:rFonts w:ascii="Cambria Math" w:hAnsi="Cambria Math"/>
            </w:rPr>
            <m:t xml:space="preserve">   min_w   ½ · w⊤Σw - τ · w⊤s</m:t>
          </m:r>
        </m:oMath>
      </m:oMathPara>
    </w:p>
    <w:p w14:paraId="51560D7B" w14:textId="77777777" w:rsidR="00E97D3C" w:rsidRDefault="00000000">
      <w:pPr>
        <w:spacing w:before="120" w:after="120"/>
        <w:jc w:val="center"/>
        <w:rPr>
          <w:rFonts w:ascii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>market</m:t>
          </m:r>
          <m:r>
            <w:rPr>
              <w:rFonts w:ascii="Cambria Math" w:hAnsi="Cambria Math"/>
            </w:rPr>
            <m:t>：</m:t>
          </m:r>
          <m:r>
            <w:rPr>
              <w:rFonts w:ascii="Cambria Math" w:hAnsi="Cambria Math"/>
            </w:rPr>
            <m:t xml:space="preserve">   min_w   ½ · w⊤Σw - w⊤c - τ · w⊤s</m:t>
          </m:r>
        </m:oMath>
      </m:oMathPara>
    </w:p>
    <w:p w14:paraId="6D5001D2" w14:textId="77777777" w:rsidR="00E97D3C" w:rsidRDefault="00000000">
      <w:pPr>
        <w:spacing w:before="120" w:after="120"/>
        <w:jc w:val="center"/>
        <w:rPr>
          <w:rFonts w:ascii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>beta</m:t>
          </m:r>
          <m:r>
            <w:rPr>
              <w:rFonts w:ascii="Cambria Math" w:hAnsi="Cambria Math"/>
            </w:rPr>
            <m:t>：</m:t>
          </m:r>
          <m:r>
            <w:rPr>
              <w:rFonts w:ascii="Cambria Math" w:hAnsi="Cambria Math"/>
            </w:rPr>
            <m:t xml:space="preserve">   max_w   w⊤β + τ · w⊤s</m:t>
          </m:r>
        </m:oMath>
      </m:oMathPara>
    </w:p>
    <w:p w14:paraId="3162C2D6" w14:textId="77777777" w:rsidR="00E97D3C" w:rsidRDefault="00000000">
      <w:pPr>
        <w:spacing w:before="120" w:after="120"/>
        <w:jc w:val="center"/>
        <w:rPr>
          <w:rFonts w:ascii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 xml:space="preserve">s.t.   1⊤w = 1 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0 ≤ wᵢ ≤ cap = 0.40 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√(w⊤Σw) ≤ vol_budget</m:t>
          </m:r>
        </m:oMath>
      </m:oMathPara>
    </w:p>
    <w:p w14:paraId="1B261A7D" w14:textId="77777777" w:rsidR="00C56AF5" w:rsidRDefault="00000000">
      <w:pPr>
        <w:spacing w:after="160"/>
      </w:pPr>
      <w:r>
        <w:t>系統另建有品質硬約束框架（費用率上限、</w:t>
      </w:r>
      <w:r>
        <w:t xml:space="preserve">HHI </w:t>
      </w:r>
      <w:r>
        <w:t>集中度、流動性門檻、情緒分數），但</w:t>
      </w:r>
      <w:r>
        <w:t xml:space="preserve"> OAT </w:t>
      </w:r>
      <w:r>
        <w:t>一次開一個的消融實驗顯示其無益（成本約束一旦咬到即傷</w:t>
      </w:r>
      <w:r>
        <w:t xml:space="preserve"> Sharpe</w:t>
      </w:r>
      <w:r>
        <w:t>／</w:t>
      </w:r>
      <w:r>
        <w:t>win_VT</w:t>
      </w:r>
      <w:r>
        <w:t>，</w:t>
      </w:r>
      <w:r>
        <w:t xml:space="preserve">HHI </w:t>
      </w:r>
      <w:r>
        <w:t>與流動性則完全</w:t>
      </w:r>
      <w:r>
        <w:t xml:space="preserve"> inert</w:t>
      </w:r>
      <w:r>
        <w:t>，因投組本已夠分散、夠低成本），故現預設全部關閉（</w:t>
      </w:r>
      <w:r>
        <w:t>QC_ENABLE_* = False</w:t>
      </w:r>
      <w:r>
        <w:t>）；品質改由軟偏好傾斜＋</w:t>
      </w:r>
      <w:r>
        <w:t xml:space="preserve">DEA </w:t>
      </w:r>
      <w:r>
        <w:t>篩選＋核心類型處理（奧坎剃刀，詳見成果報告</w:t>
      </w:r>
      <w:r>
        <w:t xml:space="preserve"> §3.4</w:t>
      </w:r>
      <w:r>
        <w:t>）。</w:t>
      </w:r>
    </w:p>
    <w:p w14:paraId="1FD2F259" w14:textId="77777777" w:rsidR="00C56AF5" w:rsidRDefault="00000000">
      <w:pPr>
        <w:pStyle w:val="2"/>
      </w:pPr>
      <w:r>
        <w:t>2.7 Web 前端介面</w:t>
      </w:r>
    </w:p>
    <w:p w14:paraId="7AA7F800" w14:textId="77777777" w:rsidR="00C56AF5" w:rsidRDefault="00000000">
      <w:pPr>
        <w:spacing w:after="160"/>
      </w:pPr>
      <w:r>
        <w:t>系統提供</w:t>
      </w:r>
      <w:r>
        <w:t xml:space="preserve"> Flask </w:t>
      </w:r>
      <w:r>
        <w:t>架構的</w:t>
      </w:r>
      <w:r>
        <w:t xml:space="preserve"> Web </w:t>
      </w:r>
      <w:r>
        <w:t>應用（</w:t>
      </w:r>
      <w:r>
        <w:t>etf_web/app.py</w:t>
      </w:r>
      <w:r>
        <w:t>），支援從瀏覽器完成完整分析流程：</w:t>
      </w:r>
    </w:p>
    <w:p w14:paraId="18E216A2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偏好輸入：使用者透過結構化問卷或自然語言對話輸入偏好，系統追蹤回答信心度，對矛盾偏好發出釐清請求</w:t>
      </w:r>
    </w:p>
    <w:p w14:paraId="348AF76E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管線執行：後台非同步執行五階段管線（含可選資料重抓與回測），前端以</w:t>
      </w:r>
      <w:r>
        <w:t xml:space="preserve"> polling </w:t>
      </w:r>
      <w:r>
        <w:t>追蹤進度</w:t>
      </w:r>
    </w:p>
    <w:p w14:paraId="524301BD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結果呈現：互動式雷達圖（九維偏好</w:t>
      </w:r>
      <w:r>
        <w:t xml:space="preserve"> vs </w:t>
      </w:r>
      <w:r>
        <w:t>投組特徵）、投資組合圓餅圖、績效走勢圖表、</w:t>
      </w:r>
      <w:r>
        <w:t xml:space="preserve">vs </w:t>
      </w:r>
      <w:r>
        <w:t>基準比較（</w:t>
      </w:r>
      <w:r>
        <w:t>VT / VOO</w:t>
      </w:r>
      <w:r>
        <w:t>）</w:t>
      </w:r>
    </w:p>
    <w:p w14:paraId="648DF2CE" w14:textId="48B8742A" w:rsidR="00C56AF5" w:rsidRDefault="00000000" w:rsidP="00417B06">
      <w:pPr>
        <w:pStyle w:val="a4"/>
        <w:numPr>
          <w:ilvl w:val="0"/>
          <w:numId w:val="2"/>
        </w:numPr>
        <w:spacing w:after="80"/>
      </w:pPr>
      <w:r>
        <w:t>報告下載：自動生成文字版投資分析報告與回測摘要，支援下載</w:t>
      </w:r>
    </w:p>
    <w:p w14:paraId="34A8BED9" w14:textId="77777777" w:rsidR="00C56AF5" w:rsidRDefault="00000000">
      <w:pPr>
        <w:pStyle w:val="1"/>
      </w:pPr>
      <w:r>
        <w:rPr>
          <w:rFonts w:ascii="新細明體" w:eastAsia="新細明體" w:hAnsi="新細明體" w:cs="新細明體" w:hint="eastAsia"/>
        </w:rPr>
        <w:t>三</w:t>
      </w:r>
      <w:r>
        <w:t>、驗證設計</w:t>
      </w:r>
    </w:p>
    <w:p w14:paraId="48AE67E5" w14:textId="77777777" w:rsidR="00C56AF5" w:rsidRDefault="00000000">
      <w:pPr>
        <w:pStyle w:val="2"/>
      </w:pPr>
      <w:r>
        <w:t>3.1 Walk-Forward 滾動視窗驗證</w:t>
      </w:r>
    </w:p>
    <w:p w14:paraId="65D48698" w14:textId="77777777" w:rsidR="00C56AF5" w:rsidRDefault="00000000">
      <w:pPr>
        <w:spacing w:after="160"/>
      </w:pPr>
      <w:r>
        <w:t>為確保策略的實際可部署性，</w:t>
      </w:r>
      <w:r>
        <w:t xml:space="preserve">OptETF </w:t>
      </w:r>
      <w:r>
        <w:t>採用</w:t>
      </w:r>
      <w:r>
        <w:t xml:space="preserve"> Walk-Forward Validation </w:t>
      </w:r>
      <w:r>
        <w:t>作為核心驗證框架，每個再平衡日僅使用該日期以前的歷史資料，嚴格禁止未來資訊洩漏（</w:t>
      </w:r>
      <w:r>
        <w:t>Look-Ahead Bias</w:t>
      </w:r>
      <w:r>
        <w:t>）。</w:t>
      </w:r>
    </w:p>
    <w:p w14:paraId="253C5D39" w14:textId="77777777" w:rsidR="00C56AF5" w:rsidRDefault="00000000">
      <w:pPr>
        <w:spacing w:after="160"/>
      </w:pPr>
      <w:r>
        <w:t>驗證設定：</w:t>
      </w:r>
      <w:r>
        <w:t xml:space="preserve">2016–2026 </w:t>
      </w:r>
      <w:r>
        <w:t>年共約十年數據（最低歷史需求</w:t>
      </w:r>
      <w:r>
        <w:t xml:space="preserve"> 8 </w:t>
      </w:r>
      <w:r>
        <w:t>年），回望視窗</w:t>
      </w:r>
      <w:r>
        <w:t xml:space="preserve"> 3 </w:t>
      </w:r>
      <w:r>
        <w:t>年，支援月（</w:t>
      </w:r>
      <w:r>
        <w:t>M</w:t>
      </w:r>
      <w:r>
        <w:t>）、季（</w:t>
      </w:r>
      <w:r>
        <w:t>Q</w:t>
      </w:r>
      <w:r>
        <w:t>）、半年（</w:t>
      </w:r>
      <w:r>
        <w:t>6M</w:t>
      </w:r>
      <w:r>
        <w:t>）、年（</w:t>
      </w:r>
      <w:r>
        <w:t>Y</w:t>
      </w:r>
      <w:r>
        <w:t>）四種再平衡頻率。每個再平衡日的執行流程：</w:t>
      </w:r>
    </w:p>
    <w:p w14:paraId="17D10BAE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在回望視窗內計算特徵矩陣（報酬、波動度、</w:t>
      </w:r>
      <w:r>
        <w:t xml:space="preserve">Sharpe </w:t>
      </w:r>
      <w:r>
        <w:t>比率、情緒分數）</w:t>
      </w:r>
    </w:p>
    <w:p w14:paraId="49B9DFFC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執行</w:t>
      </w:r>
      <w:r>
        <w:t xml:space="preserve"> DEA </w:t>
      </w:r>
      <w:r>
        <w:t>篩選（前</w:t>
      </w:r>
      <w:r>
        <w:t xml:space="preserve"> 25% </w:t>
      </w:r>
      <w:r>
        <w:t>效率分位），取得候選</w:t>
      </w:r>
      <w:r>
        <w:t xml:space="preserve"> ETF</w:t>
      </w:r>
    </w:p>
    <w:p w14:paraId="7AD2B536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套用當前偏好向量執行</w:t>
      </w:r>
      <w:r>
        <w:t xml:space="preserve"> Stage 2_2 → Stage 3 </w:t>
      </w:r>
      <w:r>
        <w:t>最佳化</w:t>
      </w:r>
    </w:p>
    <w:p w14:paraId="007EE3B0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持有至下一再平衡日，累積股息與資本利得分開追蹤</w:t>
      </w:r>
    </w:p>
    <w:p w14:paraId="1EF18F36" w14:textId="77777777" w:rsidR="00C56AF5" w:rsidRDefault="00000000">
      <w:pPr>
        <w:pStyle w:val="2"/>
      </w:pPr>
      <w:r>
        <w:t>3.2 七種使用者原型測試</w:t>
      </w:r>
    </w:p>
    <w:p w14:paraId="340FCDE8" w14:textId="77777777" w:rsidR="00C56AF5" w:rsidRDefault="00000000">
      <w:pPr>
        <w:spacing w:after="160"/>
      </w:pPr>
      <w:r>
        <w:t>系統預設七種使用者原型（</w:t>
      </w:r>
      <w:r>
        <w:t>User Profiles</w:t>
      </w:r>
      <w:r>
        <w:t>），涵蓋從極度保守到高度積極的偏好分布，作為系統性驗證的標準測試集：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26"/>
        <w:gridCol w:w="3200"/>
      </w:tblGrid>
      <w:tr w:rsidR="00C56AF5" w14:paraId="367C52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009A" w14:textId="77777777" w:rsidR="00C56AF5" w:rsidRDefault="00000000">
            <w:r>
              <w:rPr>
                <w:b/>
                <w:bCs/>
                <w:sz w:val="20"/>
                <w:szCs w:val="20"/>
              </w:rPr>
              <w:t>原型名稱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08CD" w14:textId="77777777" w:rsidR="00C56AF5" w:rsidRDefault="00000000">
            <w:r>
              <w:rPr>
                <w:b/>
                <w:bCs/>
                <w:sz w:val="20"/>
                <w:szCs w:val="20"/>
              </w:rPr>
              <w:t>偏好描述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4B08" w14:textId="77777777" w:rsidR="00C56AF5" w:rsidRDefault="00000000">
            <w:r>
              <w:rPr>
                <w:b/>
                <w:bCs/>
                <w:sz w:val="20"/>
                <w:szCs w:val="20"/>
              </w:rPr>
              <w:t>對應核心</w:t>
            </w:r>
          </w:p>
        </w:tc>
      </w:tr>
      <w:tr w:rsidR="00C56AF5" w14:paraId="24F207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4AD" w14:textId="77777777" w:rsidR="00C56AF5" w:rsidRDefault="00000000">
            <w:r>
              <w:rPr>
                <w:sz w:val="20"/>
                <w:szCs w:val="20"/>
              </w:rPr>
              <w:t>aggressive_growth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6F39" w14:textId="77777777" w:rsidR="00C56AF5" w:rsidRDefault="00000000">
            <w:r>
              <w:rPr>
                <w:sz w:val="20"/>
                <w:szCs w:val="20"/>
              </w:rPr>
              <w:t>最大化長期資本增值，忽略短期波動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802E" w14:textId="77777777" w:rsidR="00C56AF5" w:rsidRDefault="00000000">
            <w:r>
              <w:rPr>
                <w:sz w:val="20"/>
                <w:szCs w:val="20"/>
              </w:rPr>
              <w:t>beta</w:t>
            </w:r>
          </w:p>
        </w:tc>
      </w:tr>
      <w:tr w:rsidR="00C56AF5" w14:paraId="68786D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5898" w14:textId="77777777" w:rsidR="00C56AF5" w:rsidRDefault="00000000">
            <w:r>
              <w:rPr>
                <w:sz w:val="20"/>
                <w:szCs w:val="20"/>
              </w:rPr>
              <w:t>return_leaning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AB7D" w14:textId="77777777" w:rsidR="00C56AF5" w:rsidRDefault="00000000">
            <w:r>
              <w:rPr>
                <w:sz w:val="20"/>
                <w:szCs w:val="20"/>
              </w:rPr>
              <w:t>追求報酬但接受一定風險管理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C661" w14:textId="77777777" w:rsidR="00C56AF5" w:rsidRDefault="00000000">
            <w:r>
              <w:rPr>
                <w:sz w:val="20"/>
                <w:szCs w:val="20"/>
              </w:rPr>
              <w:t>beta</w:t>
            </w:r>
          </w:p>
        </w:tc>
      </w:tr>
      <w:tr w:rsidR="00C56AF5" w14:paraId="3D13D3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6CA9" w14:textId="77777777" w:rsidR="00C56AF5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91EC" w14:textId="77777777" w:rsidR="00C56AF5" w:rsidRDefault="00000000">
            <w:r>
              <w:rPr>
                <w:sz w:val="20"/>
                <w:szCs w:val="20"/>
              </w:rPr>
              <w:t>均衡報酬與風險，長期穩定增長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CE66" w14:textId="77777777" w:rsidR="00C56AF5" w:rsidRDefault="00000000">
            <w:r>
              <w:rPr>
                <w:sz w:val="20"/>
                <w:szCs w:val="20"/>
              </w:rPr>
              <w:t>market</w:t>
            </w:r>
          </w:p>
        </w:tc>
      </w:tr>
      <w:tr w:rsidR="00C56AF5" w14:paraId="152128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1BA8" w14:textId="77777777" w:rsidR="00C56AF5" w:rsidRDefault="00000000">
            <w:r>
              <w:rPr>
                <w:sz w:val="20"/>
                <w:szCs w:val="20"/>
              </w:rPr>
              <w:t>conservative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CE73" w14:textId="77777777" w:rsidR="00C56AF5" w:rsidRDefault="00000000">
            <w:r>
              <w:rPr>
                <w:sz w:val="20"/>
                <w:szCs w:val="20"/>
              </w:rPr>
              <w:t>資本保全優先，最低波動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0A7D" w14:textId="77777777" w:rsidR="00C56AF5" w:rsidRDefault="00000000">
            <w:r>
              <w:rPr>
                <w:sz w:val="20"/>
                <w:szCs w:val="20"/>
              </w:rPr>
              <w:t>minvar</w:t>
            </w:r>
          </w:p>
        </w:tc>
      </w:tr>
      <w:tr w:rsidR="00C56AF5" w14:paraId="466ACB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9CE2" w14:textId="77777777" w:rsidR="00C56AF5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593A" w14:textId="77777777" w:rsidR="00C56AF5" w:rsidRDefault="00000000">
            <w:r>
              <w:rPr>
                <w:sz w:val="20"/>
                <w:szCs w:val="20"/>
              </w:rPr>
              <w:t>高股息殖利率為主要目標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D8B7" w14:textId="77777777" w:rsidR="00C56AF5" w:rsidRDefault="00000000">
            <w:r>
              <w:rPr>
                <w:sz w:val="20"/>
                <w:szCs w:val="20"/>
              </w:rPr>
              <w:t>minvar</w:t>
            </w:r>
            <w:r>
              <w:rPr>
                <w:sz w:val="20"/>
                <w:szCs w:val="20"/>
              </w:rPr>
              <w:t>（高</w:t>
            </w:r>
            <w:r>
              <w:rPr>
                <w:sz w:val="20"/>
                <w:szCs w:val="20"/>
              </w:rPr>
              <w:t xml:space="preserve"> τ </w:t>
            </w:r>
            <w:r>
              <w:rPr>
                <w:sz w:val="20"/>
                <w:szCs w:val="20"/>
              </w:rPr>
              <w:t>股息偏斜）</w:t>
            </w:r>
          </w:p>
        </w:tc>
      </w:tr>
      <w:tr w:rsidR="00C56AF5" w14:paraId="55C34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AA51" w14:textId="77777777" w:rsidR="00C56AF5" w:rsidRDefault="00000000">
            <w:r>
              <w:rPr>
                <w:sz w:val="20"/>
                <w:szCs w:val="20"/>
              </w:rPr>
              <w:t>cost_liquidity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8FB0" w14:textId="77777777" w:rsidR="00C56AF5" w:rsidRDefault="00000000">
            <w:r>
              <w:rPr>
                <w:sz w:val="20"/>
                <w:szCs w:val="20"/>
              </w:rPr>
              <w:t>低費用率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高流動性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1780" w14:textId="77777777" w:rsidR="00C56AF5" w:rsidRDefault="00000000">
            <w:r>
              <w:rPr>
                <w:sz w:val="20"/>
                <w:szCs w:val="20"/>
              </w:rPr>
              <w:t>market</w:t>
            </w:r>
          </w:p>
        </w:tc>
      </w:tr>
      <w:tr w:rsidR="00C56AF5" w14:paraId="693853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272C" w14:textId="77777777" w:rsidR="00C56AF5" w:rsidRDefault="00000000">
            <w:r>
              <w:rPr>
                <w:sz w:val="20"/>
                <w:szCs w:val="20"/>
              </w:rPr>
              <w:t>diversified_quality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9E8" w14:textId="77777777" w:rsidR="00C56AF5" w:rsidRDefault="00000000">
            <w:r>
              <w:rPr>
                <w:sz w:val="20"/>
                <w:szCs w:val="20"/>
              </w:rPr>
              <w:t>多角化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高品質篩選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015E" w14:textId="77777777" w:rsidR="00C56AF5" w:rsidRDefault="00000000">
            <w:r>
              <w:rPr>
                <w:sz w:val="20"/>
                <w:szCs w:val="20"/>
              </w:rPr>
              <w:t>market</w:t>
            </w:r>
          </w:p>
        </w:tc>
      </w:tr>
    </w:tbl>
    <w:p w14:paraId="18AA6C92" w14:textId="77777777" w:rsidR="00C56AF5" w:rsidRDefault="00000000">
      <w:pPr>
        <w:spacing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3.1</w:t>
      </w:r>
      <w:r>
        <w:rPr>
          <w:i/>
          <w:iCs/>
          <w:color w:val="666666"/>
          <w:sz w:val="18"/>
          <w:szCs w:val="18"/>
        </w:rPr>
        <w:t xml:space="preserve">　七種標準使用者原型</w:t>
      </w:r>
    </w:p>
    <w:p w14:paraId="2D35AA3A" w14:textId="796E1F4B" w:rsidR="00327661" w:rsidRDefault="00327661" w:rsidP="00327661">
      <w:pPr>
        <w:spacing w:after="200"/>
      </w:pPr>
      <w:r w:rsidRPr="00327661">
        <w:drawing>
          <wp:inline distT="0" distB="0" distL="0" distR="0" wp14:anchorId="10B37BCE" wp14:editId="404ABD44">
            <wp:extent cx="5528310" cy="1923415"/>
            <wp:effectExtent l="0" t="0" r="0" b="635"/>
            <wp:docPr id="12315919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1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883" cy="19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3878" w14:textId="13DCA2AB" w:rsidR="00327661" w:rsidRDefault="00327661" w:rsidP="00327661">
      <w:pPr>
        <w:spacing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</w:t>
      </w:r>
      <w:r>
        <w:rPr>
          <w:rFonts w:hint="eastAsia"/>
          <w:i/>
          <w:iCs/>
          <w:color w:val="666666"/>
          <w:sz w:val="18"/>
          <w:szCs w:val="18"/>
        </w:rPr>
        <w:t>2</w:t>
      </w:r>
      <w:r>
        <w:rPr>
          <w:i/>
          <w:iCs/>
          <w:color w:val="666666"/>
          <w:sz w:val="18"/>
          <w:szCs w:val="18"/>
        </w:rPr>
        <w:t xml:space="preserve">　七種標準使用者</w:t>
      </w:r>
      <w:r>
        <w:rPr>
          <w:rFonts w:hint="eastAsia"/>
          <w:i/>
          <w:iCs/>
          <w:color w:val="666666"/>
          <w:sz w:val="18"/>
          <w:szCs w:val="18"/>
        </w:rPr>
        <w:t>真實權重</w:t>
      </w:r>
    </w:p>
    <w:p w14:paraId="23983532" w14:textId="15F33F06" w:rsidR="000C4588" w:rsidRDefault="000C4588" w:rsidP="00327661">
      <w:pPr>
        <w:spacing w:after="200"/>
        <w:jc w:val="center"/>
        <w:rPr>
          <w:i/>
          <w:iCs/>
          <w:color w:val="666666"/>
          <w:sz w:val="18"/>
          <w:szCs w:val="18"/>
        </w:rPr>
      </w:pPr>
      <w:r w:rsidRPr="000C4588">
        <w:rPr>
          <w:i/>
          <w:iCs/>
          <w:color w:val="666666"/>
          <w:sz w:val="18"/>
          <w:szCs w:val="18"/>
        </w:rPr>
        <w:drawing>
          <wp:inline distT="0" distB="0" distL="0" distR="0" wp14:anchorId="2FC580C7" wp14:editId="48907B17">
            <wp:extent cx="4581525" cy="1903970"/>
            <wp:effectExtent l="0" t="0" r="0" b="1270"/>
            <wp:docPr id="12120383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7212" cy="192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87BB" w14:textId="7E72D170" w:rsidR="000C4588" w:rsidRPr="000C4588" w:rsidRDefault="000C4588" w:rsidP="00FD2F9E">
      <w:pPr>
        <w:spacing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</w:t>
      </w:r>
      <w:r>
        <w:rPr>
          <w:rFonts w:hint="eastAsia"/>
          <w:i/>
          <w:iCs/>
          <w:color w:val="666666"/>
          <w:sz w:val="18"/>
          <w:szCs w:val="18"/>
        </w:rPr>
        <w:t>3</w:t>
      </w:r>
      <w:r>
        <w:rPr>
          <w:i/>
          <w:iCs/>
          <w:color w:val="666666"/>
          <w:sz w:val="18"/>
          <w:szCs w:val="18"/>
        </w:rPr>
        <w:t xml:space="preserve">　七種標準使用者</w:t>
      </w:r>
      <w:r w:rsidR="003E2C27">
        <w:rPr>
          <w:rFonts w:hint="eastAsia"/>
          <w:i/>
          <w:iCs/>
          <w:color w:val="666666"/>
          <w:sz w:val="18"/>
          <w:szCs w:val="18"/>
        </w:rPr>
        <w:t>報酬與風險偏好映射</w:t>
      </w:r>
    </w:p>
    <w:p w14:paraId="5D13E6FE" w14:textId="77777777" w:rsidR="00C56AF5" w:rsidRDefault="00000000">
      <w:pPr>
        <w:pStyle w:val="2"/>
      </w:pPr>
      <w:r>
        <w:lastRenderedPageBreak/>
        <w:t>3.3 績效評估指標</w:t>
      </w:r>
    </w:p>
    <w:p w14:paraId="5F9182D3" w14:textId="77777777" w:rsidR="00C56AF5" w:rsidRDefault="00000000">
      <w:pPr>
        <w:spacing w:after="160"/>
      </w:pPr>
      <w:r>
        <w:t>各再平衡期計算以下績效指標，並跨期加權平均：</w:t>
      </w:r>
    </w:p>
    <w:p w14:paraId="6C54CFB6" w14:textId="557F63F9" w:rsidR="00C56AF5" w:rsidRDefault="00000000">
      <w:pPr>
        <w:pStyle w:val="a4"/>
        <w:numPr>
          <w:ilvl w:val="0"/>
          <w:numId w:val="2"/>
        </w:numPr>
        <w:spacing w:after="80"/>
      </w:pPr>
      <w:r>
        <w:t>年化報酬率（</w:t>
      </w:r>
      <w:r>
        <w:t>CAGR</w:t>
      </w:r>
      <w:r>
        <w:t>）：資本利得與股息分開計算後合併</w:t>
      </w:r>
    </w:p>
    <w:p w14:paraId="0CB16B03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年化波動度（</w:t>
      </w:r>
      <w:r>
        <w:t>Annualized Volatility</w:t>
      </w:r>
      <w:r>
        <w:t>）</w:t>
      </w:r>
    </w:p>
    <w:p w14:paraId="0D63092A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Sharpe </w:t>
      </w:r>
      <w:r>
        <w:t>比率（</w:t>
      </w:r>
      <w:r>
        <w:t xml:space="preserve">Risk-Free Rate </w:t>
      </w:r>
      <w:r>
        <w:t>以當期短期國債利率為準）</w:t>
      </w:r>
    </w:p>
    <w:p w14:paraId="2B635724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最大回撤（</w:t>
      </w:r>
      <w:r>
        <w:t>MDD</w:t>
      </w:r>
      <w:r>
        <w:t>）：同時提供代理值與真實值兩種計算</w:t>
      </w:r>
    </w:p>
    <w:p w14:paraId="1D12D37A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Calmar </w:t>
      </w:r>
      <w:r>
        <w:t>比率</w:t>
      </w:r>
      <w:r>
        <w:t xml:space="preserve"> = CAGR / |MDD|</w:t>
      </w:r>
    </w:p>
    <w:p w14:paraId="7647A929" w14:textId="32B3C2DF" w:rsidR="00C56AF5" w:rsidRDefault="00000000">
      <w:pPr>
        <w:pStyle w:val="a4"/>
        <w:numPr>
          <w:ilvl w:val="0"/>
          <w:numId w:val="2"/>
        </w:numPr>
        <w:spacing w:after="80"/>
      </w:pPr>
      <w:r>
        <w:t>Turnover Rate</w:t>
      </w:r>
      <w:r>
        <w:t>：換手率，評估交易成本影響</w:t>
      </w:r>
      <w:r w:rsidR="00327661">
        <w:rPr>
          <w:rFonts w:hint="eastAsia"/>
        </w:rPr>
        <w:t>(</w:t>
      </w:r>
      <w:r w:rsidR="00327661">
        <w:rPr>
          <w:rFonts w:hint="eastAsia"/>
        </w:rPr>
        <w:t>本系統將換手摩擦設定為</w:t>
      </w:r>
      <w:r w:rsidR="00327661">
        <w:rPr>
          <w:rFonts w:hint="eastAsia"/>
        </w:rPr>
        <w:t>0)</w:t>
      </w:r>
    </w:p>
    <w:p w14:paraId="363192CA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偏好滿足度分數：九維投組特徵與使用者偏好向量的加權點積</w:t>
      </w:r>
    </w:p>
    <w:p w14:paraId="26D923D4" w14:textId="77777777" w:rsidR="00C56AF5" w:rsidRDefault="00000000">
      <w:pPr>
        <w:pStyle w:val="2"/>
      </w:pPr>
      <w:r>
        <w:t>3.4 樣本外驗證結果</w:t>
      </w:r>
    </w:p>
    <w:p w14:paraId="73404AB0" w14:textId="77777777" w:rsidR="00C56AF5" w:rsidRDefault="00000000">
      <w:pPr>
        <w:spacing w:after="160"/>
      </w:pPr>
      <w:r>
        <w:t>以下為</w:t>
      </w:r>
      <w:r>
        <w:t xml:space="preserve"> 2019–2026 </w:t>
      </w:r>
      <w:r>
        <w:t>年樣本外測試的核心結果摘要（季度再平衡，回望視窗</w:t>
      </w:r>
      <w:r>
        <w:t xml:space="preserve"> 3 </w:t>
      </w:r>
      <w:r>
        <w:t>年），基準為</w:t>
      </w:r>
      <w:r>
        <w:t xml:space="preserve"> VT </w:t>
      </w:r>
      <w:r>
        <w:t>全球市場</w:t>
      </w:r>
      <w:r>
        <w:t xml:space="preserve"> ETF</w:t>
      </w:r>
      <w:r>
        <w:t>：</w:t>
      </w:r>
    </w:p>
    <w:p w14:paraId="38DB5019" w14:textId="538EB32D" w:rsidR="00C56AF5" w:rsidRDefault="00441922">
      <w:pPr>
        <w:spacing w:after="100"/>
      </w:pPr>
      <w:r w:rsidRPr="00441922">
        <w:drawing>
          <wp:inline distT="0" distB="0" distL="0" distR="0" wp14:anchorId="247CB298" wp14:editId="4BB84536">
            <wp:extent cx="5528310" cy="1760220"/>
            <wp:effectExtent l="0" t="0" r="0" b="0"/>
            <wp:docPr id="233815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A061" w14:textId="409AC1E4" w:rsidR="00C56AF5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</w:t>
      </w:r>
      <w:r w:rsidR="003E2C27">
        <w:rPr>
          <w:rFonts w:hint="eastAsia"/>
          <w:i/>
          <w:iCs/>
          <w:color w:val="666666"/>
          <w:sz w:val="18"/>
          <w:szCs w:val="18"/>
        </w:rPr>
        <w:t>4</w:t>
      </w:r>
      <w:r>
        <w:rPr>
          <w:i/>
          <w:iCs/>
          <w:color w:val="666666"/>
          <w:sz w:val="18"/>
          <w:szCs w:val="18"/>
        </w:rPr>
        <w:t xml:space="preserve">　各原型樣本外績效摘要（</w:t>
      </w:r>
      <w:r>
        <w:rPr>
          <w:i/>
          <w:iCs/>
          <w:color w:val="666666"/>
          <w:sz w:val="18"/>
          <w:szCs w:val="18"/>
        </w:rPr>
        <w:t>2019–2026</w:t>
      </w:r>
      <w:r>
        <w:rPr>
          <w:i/>
          <w:iCs/>
          <w:color w:val="666666"/>
          <w:sz w:val="18"/>
          <w:szCs w:val="18"/>
        </w:rPr>
        <w:t>，季度再平衡）</w:t>
      </w:r>
    </w:p>
    <w:p w14:paraId="524442A2" w14:textId="4E571BA0" w:rsidR="00C56AF5" w:rsidRDefault="00000000" w:rsidP="008C6130">
      <w:pPr>
        <w:spacing w:after="160"/>
        <w:rPr>
          <w:rFonts w:hint="eastAsia"/>
        </w:rPr>
      </w:pPr>
      <w:r>
        <w:t>偏好勝率定義為：在所有再平衡測試期中，</w:t>
      </w:r>
      <w:proofErr w:type="spellStart"/>
      <w:r>
        <w:t>OptETF</w:t>
      </w:r>
      <w:proofErr w:type="spellEnd"/>
      <w:r>
        <w:t xml:space="preserve"> </w:t>
      </w:r>
      <w:r>
        <w:t>投組的偏好滿足度分數高於</w:t>
      </w:r>
      <w:r>
        <w:t xml:space="preserve"> VT </w:t>
      </w:r>
      <w:r>
        <w:t>基準的比例。結果顯示系統在「滿足使用者偏好」層面具高度一致性，符合「決策支援工具」而非「追求絕對報酬」的定位。</w:t>
      </w:r>
    </w:p>
    <w:p w14:paraId="34D954CC" w14:textId="77777777" w:rsidR="00E97D3C" w:rsidRDefault="00000000">
      <w:pPr>
        <w:pStyle w:val="2"/>
      </w:pPr>
      <w:r>
        <w:t>3.5 結果分析</w:t>
      </w:r>
    </w:p>
    <w:p w14:paraId="1096F3C6" w14:textId="77777777" w:rsidR="00E97D3C" w:rsidRDefault="00000000">
      <w:pPr>
        <w:spacing w:after="160"/>
      </w:pPr>
      <w:r>
        <w:t>綜合表</w:t>
      </w:r>
      <w:r>
        <w:t xml:space="preserve"> 3.2 </w:t>
      </w:r>
      <w:r>
        <w:t>與七種原型的逐維度實測（完整對照見</w:t>
      </w:r>
      <w:r>
        <w:t xml:space="preserve"> user_results/showcase_7_profiles/</w:t>
      </w:r>
      <w:r>
        <w:t>對照分析報告</w:t>
      </w:r>
      <w:r>
        <w:t>.md</w:t>
      </w:r>
      <w:r>
        <w:t>），可歸納以下重點：</w:t>
      </w:r>
    </w:p>
    <w:p w14:paraId="0A12A85B" w14:textId="77777777" w:rsidR="00E97D3C" w:rsidRDefault="00000000">
      <w:pPr>
        <w:spacing w:after="160"/>
      </w:pPr>
      <w:r>
        <w:t>（</w:t>
      </w:r>
      <w:r>
        <w:t>1</w:t>
      </w:r>
      <w:r>
        <w:t>）只有</w:t>
      </w:r>
      <w:r>
        <w:t xml:space="preserve"> beta </w:t>
      </w:r>
      <w:r>
        <w:t>核心（報酬導向）真正贏過</w:t>
      </w:r>
      <w:r>
        <w:t xml:space="preserve"> VT </w:t>
      </w:r>
      <w:r>
        <w:t>的「絕對報酬」。</w:t>
      </w:r>
      <w:r>
        <w:t>aggressive_growth</w:t>
      </w:r>
      <w:r>
        <w:t>（</w:t>
      </w:r>
      <w:r>
        <w:t>CAGR 17.58%</w:t>
      </w:r>
      <w:r>
        <w:t>）與</w:t>
      </w:r>
      <w:r>
        <w:t xml:space="preserve"> return_leaning</w:t>
      </w:r>
      <w:r>
        <w:t>（</w:t>
      </w:r>
      <w:r>
        <w:t>16.40%</w:t>
      </w:r>
      <w:r>
        <w:t>）是七人中唯二</w:t>
      </w:r>
      <w:r>
        <w:t xml:space="preserve"> CAGR </w:t>
      </w:r>
      <w:r>
        <w:t>高於</w:t>
      </w:r>
      <w:r>
        <w:t xml:space="preserve"> VT</w:t>
      </w:r>
      <w:r>
        <w:t>（</w:t>
      </w:r>
      <w:r>
        <w:t>14.32%</w:t>
      </w:r>
      <w:r>
        <w:t>）者，且</w:t>
      </w:r>
      <w:r>
        <w:t xml:space="preserve"> Sharpe</w:t>
      </w:r>
      <w:r>
        <w:t>（</w:t>
      </w:r>
      <w:r>
        <w:t>0.675</w:t>
      </w:r>
      <w:r>
        <w:t>／</w:t>
      </w:r>
      <w:r>
        <w:t>0.668</w:t>
      </w:r>
      <w:r>
        <w:t>）亦高於</w:t>
      </w:r>
      <w:r>
        <w:t xml:space="preserve"> VT</w:t>
      </w:r>
      <w:r>
        <w:t>（</w:t>
      </w:r>
      <w:r>
        <w:t>0.606</w:t>
      </w:r>
      <w:r>
        <w:t>），代價是更高波動（</w:t>
      </w:r>
      <w:r>
        <w:t>21.59%</w:t>
      </w:r>
      <w:r>
        <w:t>／</w:t>
      </w:r>
      <w:r>
        <w:t>19.74% vs 18.30%</w:t>
      </w:r>
      <w:r>
        <w:t>）。</w:t>
      </w:r>
      <w:r>
        <w:t xml:space="preserve">aggressive_growth </w:t>
      </w:r>
      <w:r>
        <w:t>的</w:t>
      </w:r>
      <w:r>
        <w:t xml:space="preserve"> risk_fraction</w:t>
      </w:r>
      <w:r>
        <w:t>（</w:t>
      </w:r>
      <w:r>
        <w:t>0.85</w:t>
      </w:r>
      <w:r>
        <w:t>）高於</w:t>
      </w:r>
      <w:r>
        <w:t xml:space="preserve"> return_leaning</w:t>
      </w:r>
      <w:r>
        <w:t>（</w:t>
      </w:r>
      <w:r>
        <w:t>0.67</w:t>
      </w:r>
      <w:r>
        <w:t>），以更高波動換更高報酬，「風險</w:t>
      </w:r>
      <w:r>
        <w:t>→</w:t>
      </w:r>
      <w:r>
        <w:t>報酬」階梯乾淨。此即</w:t>
      </w:r>
      <w:r>
        <w:t xml:space="preserve"> U-C2 </w:t>
      </w:r>
      <w:r>
        <w:t>的存在理由：報酬不來自預測個股，而來自承擔更多系統性風險（</w:t>
      </w:r>
      <w:r>
        <w:t>beta</w:t>
      </w:r>
      <w:r>
        <w:t>）。</w:t>
      </w:r>
    </w:p>
    <w:p w14:paraId="08D17218" w14:textId="77777777" w:rsidR="00E97D3C" w:rsidRDefault="00000000">
      <w:pPr>
        <w:spacing w:after="160"/>
      </w:pPr>
      <w:r>
        <w:lastRenderedPageBreak/>
        <w:t>（</w:t>
      </w:r>
      <w:r>
        <w:t>2</w:t>
      </w:r>
      <w:r>
        <w:t>）</w:t>
      </w:r>
      <w:r>
        <w:t>market</w:t>
      </w:r>
      <w:r>
        <w:t>／</w:t>
      </w:r>
      <w:r>
        <w:t xml:space="preserve">minvar </w:t>
      </w:r>
      <w:r>
        <w:t>核心換到的是「風險效率」與「偏好滿足」，而非絕對報酬。</w:t>
      </w:r>
      <w:r>
        <w:t>balanced</w:t>
      </w:r>
      <w:r>
        <w:t>、</w:t>
      </w:r>
      <w:r>
        <w:t>cost_liquidity</w:t>
      </w:r>
      <w:r>
        <w:t>、</w:t>
      </w:r>
      <w:r>
        <w:t>diversified_quality</w:t>
      </w:r>
      <w:r>
        <w:t>、</w:t>
      </w:r>
      <w:r>
        <w:t>income</w:t>
      </w:r>
      <w:r>
        <w:t>、</w:t>
      </w:r>
      <w:r>
        <w:t xml:space="preserve">conservative </w:t>
      </w:r>
      <w:r>
        <w:t>的</w:t>
      </w:r>
      <w:r>
        <w:t xml:space="preserve"> CAGR </w:t>
      </w:r>
      <w:r>
        <w:t>皆低於</w:t>
      </w:r>
      <w:r>
        <w:t xml:space="preserve"> VT</w:t>
      </w:r>
      <w:r>
        <w:t>，但波動全部低於</w:t>
      </w:r>
      <w:r>
        <w:t xml:space="preserve"> VT</w:t>
      </w:r>
      <w:r>
        <w:t>（</w:t>
      </w:r>
      <w:r>
        <w:t>14–17% vs 18.30%</w:t>
      </w:r>
      <w:r>
        <w:t>）；其中</w:t>
      </w:r>
      <w:r>
        <w:t xml:space="preserve"> cost_liquidity </w:t>
      </w:r>
      <w:r>
        <w:t>的</w:t>
      </w:r>
      <w:r>
        <w:t xml:space="preserve"> Sharpe</w:t>
      </w:r>
      <w:r>
        <w:t>（</w:t>
      </w:r>
      <w:r>
        <w:t>0.630</w:t>
      </w:r>
      <w:r>
        <w:t>）甚至高於</w:t>
      </w:r>
      <w:r>
        <w:t xml:space="preserve"> VT</w:t>
      </w:r>
      <w:r>
        <w:t>，</w:t>
      </w:r>
      <w:r>
        <w:t xml:space="preserve">conservative </w:t>
      </w:r>
      <w:r>
        <w:t>波動最低（</w:t>
      </w:r>
      <w:r>
        <w:t>14.02%</w:t>
      </w:r>
      <w:r>
        <w:t>）。這是系統誠實的定位</w:t>
      </w:r>
      <w:r>
        <w:t>——</w:t>
      </w:r>
      <w:r>
        <w:t>不是打敗市場報酬，而是更安全、更貼合偏好。</w:t>
      </w:r>
    </w:p>
    <w:p w14:paraId="6612BDAF" w14:textId="77777777" w:rsidR="00E97D3C" w:rsidRDefault="00000000">
      <w:pPr>
        <w:spacing w:after="160"/>
      </w:pPr>
      <w:r>
        <w:t>（</w:t>
      </w:r>
      <w:r>
        <w:t>3</w:t>
      </w:r>
      <w:r>
        <w:t>）每個原型都在自己最重視的維度上明顯勝出（「招牌」被滿足），如表</w:t>
      </w:r>
      <w:r>
        <w:t xml:space="preserve"> 3.3</w:t>
      </w:r>
      <w:r>
        <w:t>。例如</w:t>
      </w:r>
      <w:r>
        <w:t xml:space="preserve"> income </w:t>
      </w:r>
      <w:r>
        <w:t>的平均殖利率</w:t>
      </w:r>
      <w:r>
        <w:t xml:space="preserve"> 4.83%</w:t>
      </w:r>
      <w:r>
        <w:t>（</w:t>
      </w:r>
      <w:r>
        <w:t xml:space="preserve">VT </w:t>
      </w:r>
      <w:r>
        <w:t>的</w:t>
      </w:r>
      <w:r>
        <w:t xml:space="preserve"> 2.7 </w:t>
      </w:r>
      <w:r>
        <w:t>倍、全場最高），累積股息報酬</w:t>
      </w:r>
      <w:r>
        <w:t xml:space="preserve"> 39.4% vs VT 18.3%</w:t>
      </w:r>
      <w:r>
        <w:t>；</w:t>
      </w:r>
      <w:r>
        <w:t xml:space="preserve">cost_liquidity </w:t>
      </w:r>
      <w:r>
        <w:t>費用率</w:t>
      </w:r>
      <w:r>
        <w:t xml:space="preserve"> 0.043% </w:t>
      </w:r>
      <w:r>
        <w:t>全場最低、成交量</w:t>
      </w:r>
      <w:r>
        <w:t xml:space="preserve"> 11.0M </w:t>
      </w:r>
      <w:r>
        <w:t>與</w:t>
      </w:r>
      <w:r>
        <w:t xml:space="preserve"> AUM 290B </w:t>
      </w:r>
      <w:r>
        <w:t>全場最高；</w:t>
      </w:r>
      <w:r>
        <w:t xml:space="preserve">diversified_quality </w:t>
      </w:r>
      <w:r>
        <w:t>與</w:t>
      </w:r>
      <w:r>
        <w:t xml:space="preserve"> balanced </w:t>
      </w:r>
      <w:r>
        <w:t>產業</w:t>
      </w:r>
      <w:r>
        <w:t xml:space="preserve"> HHI 0.124 </w:t>
      </w:r>
      <w:r>
        <w:t>最分散；</w:t>
      </w:r>
      <w:r>
        <w:t xml:space="preserve">conservative </w:t>
      </w:r>
      <w:r>
        <w:t>波動</w:t>
      </w:r>
      <w:r>
        <w:t xml:space="preserve"> 14.02% </w:t>
      </w:r>
      <w:r>
        <w:t>最低。反向亦佐證誠實性：每個原型在「自己不在意」的維度上就較弱（如</w:t>
      </w:r>
      <w:r>
        <w:t xml:space="preserve"> aggressive_growth </w:t>
      </w:r>
      <w:r>
        <w:t>殖利率僅</w:t>
      </w:r>
      <w:r>
        <w:t xml:space="preserve"> 1.17%</w:t>
      </w:r>
      <w:r>
        <w:t>、</w:t>
      </w:r>
      <w:r>
        <w:t xml:space="preserve">conservative </w:t>
      </w:r>
      <w:r>
        <w:t>費用率偏高</w:t>
      </w:r>
      <w:r>
        <w:t xml:space="preserve"> 0.267%</w:t>
      </w:r>
      <w:r>
        <w:t>），說明系統是依偏好取捨，而非全維度通吃。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852"/>
        <w:gridCol w:w="1485"/>
        <w:gridCol w:w="1925"/>
        <w:gridCol w:w="1440"/>
        <w:gridCol w:w="1405"/>
      </w:tblGrid>
      <w:tr w:rsidR="00E97D3C" w14:paraId="7372F12F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E0E6" w14:textId="77777777" w:rsidR="00E97D3C" w:rsidRDefault="00000000">
            <w:r>
              <w:rPr>
                <w:b/>
                <w:bCs/>
                <w:sz w:val="20"/>
                <w:szCs w:val="20"/>
              </w:rPr>
              <w:t>原型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E133" w14:textId="77777777" w:rsidR="00E97D3C" w:rsidRDefault="00000000">
            <w:r>
              <w:rPr>
                <w:b/>
                <w:bCs/>
                <w:sz w:val="20"/>
                <w:szCs w:val="20"/>
              </w:rPr>
              <w:t>核心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2EEE" w14:textId="77777777" w:rsidR="00E97D3C" w:rsidRDefault="00000000">
            <w:r>
              <w:rPr>
                <w:b/>
                <w:bCs/>
                <w:sz w:val="20"/>
                <w:szCs w:val="20"/>
              </w:rPr>
              <w:t>最重視維度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C4A" w14:textId="77777777" w:rsidR="00E97D3C" w:rsidRDefault="00000000">
            <w:r>
              <w:rPr>
                <w:b/>
                <w:bCs/>
                <w:sz w:val="20"/>
                <w:szCs w:val="20"/>
              </w:rPr>
              <w:t>實測值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E5D4" w14:textId="77777777" w:rsidR="00E97D3C" w:rsidRDefault="00000000">
            <w:r>
              <w:rPr>
                <w:b/>
                <w:bCs/>
                <w:sz w:val="20"/>
                <w:szCs w:val="20"/>
              </w:rPr>
              <w:t xml:space="preserve">VT </w:t>
            </w:r>
            <w:r>
              <w:rPr>
                <w:b/>
                <w:bCs/>
                <w:sz w:val="20"/>
                <w:szCs w:val="20"/>
              </w:rPr>
              <w:t>對照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D2C6" w14:textId="77777777" w:rsidR="00E97D3C" w:rsidRDefault="00000000">
            <w:r>
              <w:rPr>
                <w:b/>
                <w:bCs/>
                <w:sz w:val="20"/>
                <w:szCs w:val="20"/>
              </w:rPr>
              <w:t>結果</w:t>
            </w:r>
          </w:p>
        </w:tc>
      </w:tr>
      <w:tr w:rsidR="00E97D3C" w14:paraId="2709B460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90A3" w14:textId="77777777" w:rsidR="00E97D3C" w:rsidRDefault="00000000">
            <w:r>
              <w:rPr>
                <w:sz w:val="20"/>
                <w:szCs w:val="20"/>
              </w:rPr>
              <w:t>aggressive_growth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7ABB" w14:textId="77777777" w:rsidR="00E97D3C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36A4" w14:textId="77777777" w:rsidR="00E97D3C" w:rsidRDefault="00000000">
            <w:r>
              <w:rPr>
                <w:sz w:val="20"/>
                <w:szCs w:val="20"/>
              </w:rPr>
              <w:t>資本增值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2232" w14:textId="77777777" w:rsidR="00E97D3C" w:rsidRDefault="00000000">
            <w:r>
              <w:rPr>
                <w:sz w:val="20"/>
                <w:szCs w:val="20"/>
              </w:rPr>
              <w:t>CAGR 17.58%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B24D" w14:textId="77777777" w:rsidR="00E97D3C" w:rsidRDefault="00000000">
            <w:r>
              <w:rPr>
                <w:sz w:val="20"/>
                <w:szCs w:val="20"/>
              </w:rPr>
              <w:t>14.32%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2184" w14:textId="77777777" w:rsidR="00E97D3C" w:rsidRDefault="00000000">
            <w:r>
              <w:rPr>
                <w:sz w:val="20"/>
                <w:szCs w:val="20"/>
              </w:rPr>
              <w:t>全場最高、贏</w:t>
            </w:r>
            <w:r>
              <w:rPr>
                <w:sz w:val="20"/>
                <w:szCs w:val="20"/>
              </w:rPr>
              <w:t xml:space="preserve"> VT</w:t>
            </w:r>
          </w:p>
        </w:tc>
      </w:tr>
      <w:tr w:rsidR="00E97D3C" w14:paraId="5FDD62FC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7E2C" w14:textId="77777777" w:rsidR="00E97D3C" w:rsidRDefault="00000000">
            <w:r>
              <w:rPr>
                <w:sz w:val="20"/>
                <w:szCs w:val="20"/>
              </w:rPr>
              <w:t>return_leaning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39C6" w14:textId="77777777" w:rsidR="00E97D3C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27F6" w14:textId="77777777" w:rsidR="00E97D3C" w:rsidRDefault="00000000">
            <w:r>
              <w:rPr>
                <w:sz w:val="20"/>
                <w:szCs w:val="20"/>
              </w:rPr>
              <w:t>資本增值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E9B4" w14:textId="77777777" w:rsidR="00E97D3C" w:rsidRDefault="00000000">
            <w:r>
              <w:rPr>
                <w:sz w:val="20"/>
                <w:szCs w:val="20"/>
              </w:rPr>
              <w:t>CAGR 16.40%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4FFD" w14:textId="77777777" w:rsidR="00E97D3C" w:rsidRDefault="00000000">
            <w:r>
              <w:rPr>
                <w:sz w:val="20"/>
                <w:szCs w:val="20"/>
              </w:rPr>
              <w:t>14.32%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A68F" w14:textId="77777777" w:rsidR="00E97D3C" w:rsidRDefault="00000000">
            <w:r>
              <w:rPr>
                <w:sz w:val="20"/>
                <w:szCs w:val="20"/>
              </w:rPr>
              <w:t>贏</w:t>
            </w:r>
            <w:r>
              <w:rPr>
                <w:sz w:val="20"/>
                <w:szCs w:val="20"/>
              </w:rPr>
              <w:t xml:space="preserve"> VT</w:t>
            </w:r>
          </w:p>
        </w:tc>
      </w:tr>
      <w:tr w:rsidR="00E97D3C" w14:paraId="0BD2D31E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4FBD" w14:textId="77777777" w:rsidR="00E97D3C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D89B" w14:textId="77777777" w:rsidR="00E97D3C" w:rsidRDefault="00000000">
            <w:r>
              <w:rPr>
                <w:sz w:val="20"/>
                <w:szCs w:val="20"/>
              </w:rPr>
              <w:t>minvar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8F13" w14:textId="77777777" w:rsidR="00E97D3C" w:rsidRDefault="00000000">
            <w:r>
              <w:rPr>
                <w:sz w:val="20"/>
                <w:szCs w:val="20"/>
              </w:rPr>
              <w:t>股息殖利率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7A70" w14:textId="77777777" w:rsidR="00E97D3C" w:rsidRDefault="00000000">
            <w:r>
              <w:rPr>
                <w:sz w:val="20"/>
                <w:szCs w:val="20"/>
              </w:rPr>
              <w:t>4.83%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C672" w14:textId="77777777" w:rsidR="00E97D3C" w:rsidRDefault="00000000">
            <w:r>
              <w:rPr>
                <w:sz w:val="20"/>
                <w:szCs w:val="20"/>
              </w:rPr>
              <w:t>1.82%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E040" w14:textId="77777777" w:rsidR="00E97D3C" w:rsidRDefault="00000000">
            <w:r>
              <w:rPr>
                <w:sz w:val="20"/>
                <w:szCs w:val="20"/>
              </w:rPr>
              <w:t>全場最高（</w:t>
            </w:r>
            <w:r>
              <w:rPr>
                <w:sz w:val="20"/>
                <w:szCs w:val="20"/>
              </w:rPr>
              <w:t xml:space="preserve">2.7 </w:t>
            </w:r>
            <w:r>
              <w:rPr>
                <w:sz w:val="20"/>
                <w:szCs w:val="20"/>
              </w:rPr>
              <w:t>倍）</w:t>
            </w:r>
          </w:p>
        </w:tc>
      </w:tr>
      <w:tr w:rsidR="00E97D3C" w14:paraId="05E8AA38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CD89" w14:textId="77777777" w:rsidR="00E97D3C" w:rsidRDefault="00000000">
            <w:r>
              <w:rPr>
                <w:sz w:val="20"/>
                <w:szCs w:val="20"/>
              </w:rPr>
              <w:t>cost_liquidity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DDFB" w14:textId="77777777" w:rsidR="00E97D3C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BE87" w14:textId="77777777" w:rsidR="00E97D3C" w:rsidRDefault="00000000">
            <w:r>
              <w:rPr>
                <w:sz w:val="20"/>
                <w:szCs w:val="20"/>
              </w:rPr>
              <w:t>低費用／流動性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FA71" w14:textId="77777777" w:rsidR="00E97D3C" w:rsidRDefault="00000000">
            <w:r>
              <w:rPr>
                <w:sz w:val="20"/>
                <w:szCs w:val="20"/>
              </w:rPr>
              <w:t>費用</w:t>
            </w:r>
            <w:r>
              <w:rPr>
                <w:sz w:val="20"/>
                <w:szCs w:val="20"/>
              </w:rPr>
              <w:t xml:space="preserve"> 0.043%</w:t>
            </w:r>
            <w:r>
              <w:rPr>
                <w:sz w:val="20"/>
                <w:szCs w:val="20"/>
              </w:rPr>
              <w:t>；量</w:t>
            </w:r>
            <w:r>
              <w:rPr>
                <w:sz w:val="20"/>
                <w:szCs w:val="20"/>
              </w:rPr>
              <w:t xml:space="preserve"> 11.0M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79C6" w14:textId="77777777" w:rsidR="00E97D3C" w:rsidRDefault="00000000">
            <w:r>
              <w:rPr>
                <w:sz w:val="20"/>
                <w:szCs w:val="20"/>
              </w:rPr>
              <w:t>0.060%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2.1M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67AA" w14:textId="77777777" w:rsidR="00E97D3C" w:rsidRDefault="00000000">
            <w:r>
              <w:rPr>
                <w:sz w:val="20"/>
                <w:szCs w:val="20"/>
              </w:rPr>
              <w:t>費最低、量最高</w:t>
            </w:r>
          </w:p>
        </w:tc>
      </w:tr>
      <w:tr w:rsidR="00E97D3C" w14:paraId="35B14BE0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E86E" w14:textId="77777777" w:rsidR="00E97D3C" w:rsidRDefault="00000000">
            <w:r>
              <w:rPr>
                <w:sz w:val="20"/>
                <w:szCs w:val="20"/>
              </w:rPr>
              <w:t>diversified_quality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5BE" w14:textId="77777777" w:rsidR="00E97D3C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4571" w14:textId="77777777" w:rsidR="00E97D3C" w:rsidRDefault="00000000">
            <w:r>
              <w:rPr>
                <w:sz w:val="20"/>
                <w:szCs w:val="20"/>
              </w:rPr>
              <w:t>產業分散（</w:t>
            </w:r>
            <w:r>
              <w:rPr>
                <w:sz w:val="20"/>
                <w:szCs w:val="20"/>
              </w:rPr>
              <w:t>HHI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A43F" w14:textId="77777777" w:rsidR="00E97D3C" w:rsidRDefault="00000000">
            <w:r>
              <w:rPr>
                <w:sz w:val="20"/>
                <w:szCs w:val="20"/>
              </w:rPr>
              <w:t>0.124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AE19" w14:textId="77777777" w:rsidR="00E97D3C" w:rsidRDefault="00000000">
            <w:r>
              <w:rPr>
                <w:sz w:val="20"/>
                <w:szCs w:val="20"/>
              </w:rPr>
              <w:t>0.167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CB2E" w14:textId="77777777" w:rsidR="00E97D3C" w:rsidRDefault="00000000">
            <w:r>
              <w:rPr>
                <w:sz w:val="20"/>
                <w:szCs w:val="20"/>
              </w:rPr>
              <w:t>最分散</w:t>
            </w:r>
          </w:p>
        </w:tc>
      </w:tr>
      <w:tr w:rsidR="00E97D3C" w14:paraId="0A66D3B2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91A3" w14:textId="77777777" w:rsidR="00E97D3C" w:rsidRDefault="00000000">
            <w:r>
              <w:rPr>
                <w:sz w:val="20"/>
                <w:szCs w:val="20"/>
              </w:rPr>
              <w:t>conservative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FC12" w14:textId="77777777" w:rsidR="00E97D3C" w:rsidRDefault="00000000">
            <w:r>
              <w:rPr>
                <w:sz w:val="20"/>
                <w:szCs w:val="20"/>
              </w:rPr>
              <w:t>minvar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113" w14:textId="77777777" w:rsidR="00E97D3C" w:rsidRDefault="00000000">
            <w:r>
              <w:rPr>
                <w:sz w:val="20"/>
                <w:szCs w:val="20"/>
              </w:rPr>
              <w:t>抗波動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83E8" w14:textId="77777777" w:rsidR="00E97D3C" w:rsidRDefault="00000000">
            <w:r>
              <w:rPr>
                <w:sz w:val="20"/>
                <w:szCs w:val="20"/>
              </w:rPr>
              <w:t>波動</w:t>
            </w:r>
            <w:r>
              <w:rPr>
                <w:sz w:val="20"/>
                <w:szCs w:val="20"/>
              </w:rPr>
              <w:t xml:space="preserve"> 14.02%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4959" w14:textId="77777777" w:rsidR="00E97D3C" w:rsidRDefault="00000000">
            <w:r>
              <w:rPr>
                <w:sz w:val="20"/>
                <w:szCs w:val="20"/>
              </w:rPr>
              <w:t>18.30%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D503" w14:textId="77777777" w:rsidR="00E97D3C" w:rsidRDefault="00000000">
            <w:r>
              <w:rPr>
                <w:sz w:val="20"/>
                <w:szCs w:val="20"/>
              </w:rPr>
              <w:t>全場最低</w:t>
            </w:r>
          </w:p>
        </w:tc>
      </w:tr>
      <w:tr w:rsidR="00E97D3C" w14:paraId="3AFA2C55" w14:textId="77777777"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1408" w14:textId="77777777" w:rsidR="00E97D3C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2B81" w14:textId="77777777" w:rsidR="00E97D3C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E156" w14:textId="77777777" w:rsidR="00E97D3C" w:rsidRDefault="00000000">
            <w:r>
              <w:rPr>
                <w:sz w:val="20"/>
                <w:szCs w:val="20"/>
              </w:rPr>
              <w:t>各維均衡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622F" w14:textId="77777777" w:rsidR="00E97D3C" w:rsidRDefault="00000000">
            <w:r>
              <w:rPr>
                <w:sz w:val="20"/>
                <w:szCs w:val="20"/>
              </w:rPr>
              <w:t>無明顯短板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528F" w14:textId="77777777" w:rsidR="00E97D3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F53E" w14:textId="77777777" w:rsidR="00E97D3C" w:rsidRDefault="00000000">
            <w:r>
              <w:rPr>
                <w:sz w:val="20"/>
                <w:szCs w:val="20"/>
              </w:rPr>
              <w:t>均衡</w:t>
            </w:r>
          </w:p>
        </w:tc>
      </w:tr>
    </w:tbl>
    <w:p w14:paraId="2A83866E" w14:textId="6C5ECAFC" w:rsidR="00E97D3C" w:rsidRDefault="00000000">
      <w:pPr>
        <w:spacing w:before="60" w:after="160"/>
        <w:jc w:val="center"/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</w:t>
      </w:r>
      <w:r w:rsidR="003E2C27">
        <w:rPr>
          <w:rFonts w:hint="eastAsia"/>
          <w:i/>
          <w:iCs/>
          <w:color w:val="666666"/>
          <w:sz w:val="18"/>
          <w:szCs w:val="18"/>
        </w:rPr>
        <w:t>5</w:t>
      </w:r>
      <w:r>
        <w:rPr>
          <w:i/>
          <w:iCs/>
          <w:color w:val="666666"/>
          <w:sz w:val="18"/>
          <w:szCs w:val="18"/>
        </w:rPr>
        <w:t xml:space="preserve">　各原型在自身招牌維度的滿足度（回測期平均，</w:t>
      </w:r>
      <w:r>
        <w:rPr>
          <w:i/>
          <w:iCs/>
          <w:color w:val="666666"/>
          <w:sz w:val="18"/>
          <w:szCs w:val="18"/>
        </w:rPr>
        <w:t>vs VT</w:t>
      </w:r>
      <w:r>
        <w:rPr>
          <w:i/>
          <w:iCs/>
          <w:color w:val="666666"/>
          <w:sz w:val="18"/>
          <w:szCs w:val="18"/>
        </w:rPr>
        <w:t>）</w:t>
      </w:r>
    </w:p>
    <w:p w14:paraId="12C903BA" w14:textId="77777777" w:rsidR="00E97D3C" w:rsidRDefault="00000000">
      <w:pPr>
        <w:spacing w:after="160"/>
      </w:pPr>
      <w:r>
        <w:t>（</w:t>
      </w:r>
      <w:r>
        <w:t>4</w:t>
      </w:r>
      <w:r>
        <w:t>）對三個對照組全面領先偏好分數。七人對</w:t>
      </w:r>
      <w:r>
        <w:t xml:space="preserve"> VT </w:t>
      </w:r>
      <w:r>
        <w:t>的偏好勝率</w:t>
      </w:r>
      <w:r>
        <w:t xml:space="preserve"> 89–100%</w:t>
      </w:r>
      <w:r>
        <w:t>、對</w:t>
      </w:r>
      <w:r>
        <w:t xml:space="preserve"> EqualWeight 93–100%</w:t>
      </w:r>
      <w:r>
        <w:t>、對</w:t>
      </w:r>
      <w:r>
        <w:t xml:space="preserve"> MaxSharpe 89–100%——</w:t>
      </w:r>
      <w:r>
        <w:t>在「滿足使用者偏好」上穩定勝過</w:t>
      </w:r>
      <w:r>
        <w:t xml:space="preserve"> VT</w:t>
      </w:r>
      <w:r>
        <w:t>、等權與最大夏普。</w:t>
      </w:r>
    </w:p>
    <w:p w14:paraId="44A0C146" w14:textId="77777777" w:rsidR="00E97D3C" w:rsidRDefault="00000000">
      <w:pPr>
        <w:spacing w:after="160"/>
      </w:pPr>
      <w:r>
        <w:t>（</w:t>
      </w:r>
      <w:r>
        <w:t>5</w:t>
      </w:r>
      <w:r>
        <w:t>）兩個誠實的張力（不掩飾）。其一，</w:t>
      </w:r>
      <w:r>
        <w:t xml:space="preserve">return_leaning </w:t>
      </w:r>
      <w:r>
        <w:t>的</w:t>
      </w:r>
      <w:r>
        <w:t xml:space="preserve"> win_VT </w:t>
      </w:r>
      <w:r>
        <w:t>為七人最低（</w:t>
      </w:r>
      <w:r>
        <w:t>89.3%</w:t>
      </w:r>
      <w:r>
        <w:t>，仍高）：它同時要高報酬（</w:t>
      </w:r>
      <w:r>
        <w:t>40%</w:t>
      </w:r>
      <w:r>
        <w:t>）又要抗波動，是自我矛盾的偏好，其集中型高</w:t>
      </w:r>
      <w:r>
        <w:t xml:space="preserve"> beta </w:t>
      </w:r>
      <w:r>
        <w:t>投組在</w:t>
      </w:r>
      <w:r>
        <w:t xml:space="preserve"> VT </w:t>
      </w:r>
      <w:r>
        <w:t>強勢的結構維度（成本／分散／流動性）失分較多，但仍以絕對報酬大勝、贏</w:t>
      </w:r>
      <w:r>
        <w:t xml:space="preserve"> VT </w:t>
      </w:r>
      <w:r>
        <w:t>近九成期數。其二，部分防禦型原型的</w:t>
      </w:r>
      <w:r>
        <w:t xml:space="preserve"> MaxDD </w:t>
      </w:r>
      <w:r>
        <w:t>反比</w:t>
      </w:r>
      <w:r>
        <w:t xml:space="preserve"> VT </w:t>
      </w:r>
      <w:r>
        <w:t>深（</w:t>
      </w:r>
      <w:r>
        <w:t>income −38.45%</w:t>
      </w:r>
      <w:r>
        <w:t>、</w:t>
      </w:r>
      <w:r>
        <w:t>balanced −36.13%</w:t>
      </w:r>
      <w:r>
        <w:t>、</w:t>
      </w:r>
      <w:r>
        <w:t>conservative −35.15% vs VT −33.72%</w:t>
      </w:r>
      <w:r>
        <w:t>），印證「壓低波動</w:t>
      </w:r>
      <w:r>
        <w:t xml:space="preserve"> ≠ </w:t>
      </w:r>
      <w:r>
        <w:t>控制回撤」（兩者為不同風險測度）；真正控回撤需加</w:t>
      </w:r>
      <w:r>
        <w:t xml:space="preserve"> MaxDD </w:t>
      </w:r>
      <w:r>
        <w:t>約束（列為未來工作）。</w:t>
      </w:r>
    </w:p>
    <w:p w14:paraId="662377F0" w14:textId="77777777" w:rsidR="00E97D3C" w:rsidRDefault="00000000">
      <w:pPr>
        <w:spacing w:after="160"/>
      </w:pPr>
      <w:r>
        <w:t>（</w:t>
      </w:r>
      <w:r>
        <w:t>6</w:t>
      </w:r>
      <w:r>
        <w:t>）</w:t>
      </w:r>
      <w:r>
        <w:t xml:space="preserve">g(w) </w:t>
      </w:r>
      <w:r>
        <w:t>行為正確。</w:t>
      </w:r>
      <w:r>
        <w:t xml:space="preserve">T_growth </w:t>
      </w:r>
      <w:r>
        <w:t>由</w:t>
      </w:r>
      <w:r>
        <w:t xml:space="preserve"> 0.85</w:t>
      </w:r>
      <w:r>
        <w:t>（</w:t>
      </w:r>
      <w:r>
        <w:t>aggressive_growth</w:t>
      </w:r>
      <w:r>
        <w:t>）連續降到</w:t>
      </w:r>
      <w:r>
        <w:t xml:space="preserve"> 0.14</w:t>
      </w:r>
      <w:r>
        <w:lastRenderedPageBreak/>
        <w:t>（</w:t>
      </w:r>
      <w:r>
        <w:t>conservative</w:t>
      </w:r>
      <w:r>
        <w:t>），核心自動</w:t>
      </w:r>
      <w:r>
        <w:t xml:space="preserve"> beta→market→minvar</w:t>
      </w:r>
      <w:r>
        <w:t>、</w:t>
      </w:r>
      <w:r>
        <w:t xml:space="preserve">risk_fraction </w:t>
      </w:r>
      <w:r>
        <w:t>同步遞減，</w:t>
      </w:r>
      <w:r>
        <w:t xml:space="preserve">income </w:t>
      </w:r>
      <w:r>
        <w:t>自動取得最高</w:t>
      </w:r>
      <w:r>
        <w:t xml:space="preserve"> τ</w:t>
      </w:r>
      <w:r>
        <w:t>（</w:t>
      </w:r>
      <w:r>
        <w:t>0.103</w:t>
      </w:r>
      <w:r>
        <w:t>）做股息傾斜。整條映射是偏好權重的連續函數，</w:t>
      </w:r>
      <w:r>
        <w:t xml:space="preserve">AHP </w:t>
      </w:r>
      <w:r>
        <w:t>任意權重與這七個手設原型走同一條路徑。</w:t>
      </w:r>
    </w:p>
    <w:p w14:paraId="1FBD3119" w14:textId="77777777" w:rsidR="00C56AF5" w:rsidRDefault="00000000">
      <w:pPr>
        <w:pStyle w:val="1"/>
      </w:pPr>
      <w:r>
        <w:t>四、開發限制</w:t>
      </w:r>
    </w:p>
    <w:p w14:paraId="3811434E" w14:textId="77777777" w:rsidR="00C56AF5" w:rsidRDefault="00000000">
      <w:pPr>
        <w:pStyle w:val="2"/>
      </w:pPr>
      <w:r>
        <w:t>4.1 資料層面限制</w:t>
      </w:r>
    </w:p>
    <w:p w14:paraId="094FDC29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地理範圍侷限：系統目前僅覆蓋美國</w:t>
      </w:r>
      <w:r>
        <w:t xml:space="preserve"> ETF </w:t>
      </w:r>
      <w:r>
        <w:t>市場（</w:t>
      </w:r>
      <w:r>
        <w:t xml:space="preserve">2016–2026 </w:t>
      </w:r>
      <w:r>
        <w:t>期間），產業分布回溯採當前快照反向套用至歷史，存在輕微</w:t>
      </w:r>
      <w:r>
        <w:t xml:space="preserve"> Look-Ahead Bias</w:t>
      </w:r>
    </w:p>
    <w:p w14:paraId="57BDB5A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API </w:t>
      </w:r>
      <w:r>
        <w:t>限制：</w:t>
      </w:r>
      <w:r>
        <w:t xml:space="preserve">Alpha Vantage </w:t>
      </w:r>
      <w:r>
        <w:t>免費版每日</w:t>
      </w:r>
      <w:r>
        <w:t xml:space="preserve"> API </w:t>
      </w:r>
      <w:r>
        <w:t>調用上限為</w:t>
      </w:r>
      <w:r>
        <w:t xml:space="preserve"> 25 </w:t>
      </w:r>
      <w:r>
        <w:t>次，大規模即時更新受限；</w:t>
      </w:r>
      <w:r>
        <w:t xml:space="preserve">Finnhub </w:t>
      </w:r>
      <w:r>
        <w:t>存在</w:t>
      </w:r>
      <w:r>
        <w:t xml:space="preserve"> 15–20 </w:t>
      </w:r>
      <w:r>
        <w:t>分鐘資料延遲，不支援日內策略</w:t>
      </w:r>
    </w:p>
    <w:p w14:paraId="23EFDB89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FinBERT </w:t>
      </w:r>
      <w:r>
        <w:t>語料偏差：預訓練</w:t>
      </w:r>
      <w:r>
        <w:t xml:space="preserve"> FinBERT </w:t>
      </w:r>
      <w:r>
        <w:t>以英文財經新聞為主，情緒分數在非英語市場具系統性偏差</w:t>
      </w:r>
    </w:p>
    <w:p w14:paraId="43C5CBE5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數據深度：部分新發行</w:t>
      </w:r>
      <w:r>
        <w:t xml:space="preserve"> ETF </w:t>
      </w:r>
      <w:r>
        <w:t>的歷史數據不足</w:t>
      </w:r>
      <w:r>
        <w:t xml:space="preserve"> 3 </w:t>
      </w:r>
      <w:r>
        <w:t>年，無法完整參與</w:t>
      </w:r>
      <w:r>
        <w:t xml:space="preserve"> Walk-Forward </w:t>
      </w:r>
      <w:r>
        <w:t>驗證</w:t>
      </w:r>
    </w:p>
    <w:p w14:paraId="162BE1B7" w14:textId="77777777" w:rsidR="00C56AF5" w:rsidRDefault="00000000">
      <w:pPr>
        <w:pStyle w:val="2"/>
      </w:pPr>
      <w:r>
        <w:t>4.2 演算法層面限制</w:t>
      </w:r>
    </w:p>
    <w:p w14:paraId="2C7EF4E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低波動異常：報酬導向型投組在低波動環境下</w:t>
      </w:r>
      <w:r>
        <w:t xml:space="preserve"> Sharpe </w:t>
      </w:r>
      <w:r>
        <w:t>比率反而遞減，顯示</w:t>
      </w:r>
      <w:r>
        <w:t xml:space="preserve"> beta </w:t>
      </w:r>
      <w:r>
        <w:t>核心在特定市場環境下的局限性</w:t>
      </w:r>
    </w:p>
    <w:p w14:paraId="1D874B4B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BNN </w:t>
      </w:r>
      <w:r>
        <w:t>訓練資料：偏好引擎目前以合成偏好資料訓練，真實使用者偏好標注數據不足，泛化能力待驗證</w:t>
      </w:r>
    </w:p>
    <w:p w14:paraId="6A60473F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波動約束侷限：波動預算（</w:t>
      </w:r>
      <w:r>
        <w:t>VOL_BUDGET</w:t>
      </w:r>
      <w:r>
        <w:t>）無法有效控制最大回撤，報酬導向型投組在熊市中的回撤深度仍顯著</w:t>
      </w:r>
    </w:p>
    <w:p w14:paraId="0A9A3546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單一市場假設：</w:t>
      </w:r>
      <w:r>
        <w:t xml:space="preserve">Black-Litterman </w:t>
      </w:r>
      <w:r>
        <w:t>的市場均衡先驗（</w:t>
      </w:r>
      <w:r>
        <w:t>CAPM</w:t>
      </w:r>
      <w:r>
        <w:t>）假設市場效率；</w:t>
      </w:r>
      <w:r>
        <w:t xml:space="preserve">factor premiums </w:t>
      </w:r>
      <w:r>
        <w:t>在不同地理市場的適用性不確定</w:t>
      </w:r>
    </w:p>
    <w:p w14:paraId="58FA7BCB" w14:textId="77777777" w:rsidR="00C56AF5" w:rsidRDefault="00000000">
      <w:pPr>
        <w:pStyle w:val="2"/>
      </w:pPr>
      <w:r>
        <w:t>4.3 設計權衡</w:t>
      </w:r>
    </w:p>
    <w:p w14:paraId="1C6C11E2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偏好分數非</w:t>
      </w:r>
      <w:r>
        <w:t xml:space="preserve"> alpha </w:t>
      </w:r>
      <w:r>
        <w:t>來源：系統目標是「偏好滿足」而非「市場超額報酬」，兩者並不等價，部分使用者可能對此存在混淆</w:t>
      </w:r>
    </w:p>
    <w:p w14:paraId="78F6DD98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τ </w:t>
      </w:r>
      <w:r>
        <w:t>強度綁定：目前</w:t>
      </w:r>
      <w:r>
        <w:t xml:space="preserve"> τ</w:t>
      </w:r>
      <w:r>
        <w:t>（偏好傾斜強度）與</w:t>
      </w:r>
      <w:r>
        <w:t xml:space="preserve"> T_growth </w:t>
      </w:r>
      <w:r>
        <w:t>掛鉤，可能低估非報酬維度（如</w:t>
      </w:r>
      <w:r>
        <w:t xml:space="preserve"> ESG</w:t>
      </w:r>
      <w:r>
        <w:t>、流動性）的偏好強度</w:t>
      </w:r>
    </w:p>
    <w:p w14:paraId="31A00FE6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交易成本未納入：</w:t>
      </w:r>
      <w:r>
        <w:t xml:space="preserve">SLSQP </w:t>
      </w:r>
      <w:r>
        <w:t>每期重新最佳化未考量實際交易成本與稅務，真實部署需加入換倉懲罰項</w:t>
      </w:r>
    </w:p>
    <w:p w14:paraId="5148486F" w14:textId="32D8C834" w:rsidR="00C56AF5" w:rsidRDefault="00000000" w:rsidP="00FD2F9E">
      <w:pPr>
        <w:pStyle w:val="a4"/>
        <w:numPr>
          <w:ilvl w:val="0"/>
          <w:numId w:val="2"/>
        </w:numPr>
        <w:spacing w:after="80"/>
      </w:pPr>
      <w:r>
        <w:t>容器化尚未完成：目前缺乏</w:t>
      </w:r>
      <w:r>
        <w:t xml:space="preserve"> </w:t>
      </w:r>
      <w:proofErr w:type="spellStart"/>
      <w:r>
        <w:t>Dockerfile</w:t>
      </w:r>
      <w:proofErr w:type="spellEnd"/>
      <w:r>
        <w:t>，部署環境複製依賴手動</w:t>
      </w:r>
      <w:r>
        <w:t xml:space="preserve"> pip </w:t>
      </w:r>
      <w:r>
        <w:t>安裝，環境一致性風險存在</w:t>
      </w:r>
    </w:p>
    <w:p w14:paraId="5D0FBC4A" w14:textId="77777777" w:rsidR="00C56AF5" w:rsidRDefault="00000000">
      <w:pPr>
        <w:pStyle w:val="1"/>
      </w:pPr>
      <w:r>
        <w:rPr>
          <w:rFonts w:ascii="新細明體" w:eastAsia="新細明體" w:hAnsi="新細明體" w:cs="新細明體" w:hint="eastAsia"/>
        </w:rPr>
        <w:lastRenderedPageBreak/>
        <w:t>五</w:t>
      </w:r>
      <w:r>
        <w:t>、未來展望</w:t>
      </w:r>
    </w:p>
    <w:p w14:paraId="3FB74749" w14:textId="77777777" w:rsidR="00C56AF5" w:rsidRDefault="00000000">
      <w:pPr>
        <w:pStyle w:val="2"/>
      </w:pPr>
      <w:r>
        <w:t>5.1 近期優先改善（已識別）</w:t>
      </w:r>
    </w:p>
    <w:p w14:paraId="7536A4A4" w14:textId="77777777" w:rsidR="00C56AF5" w:rsidRDefault="00000000">
      <w:pPr>
        <w:spacing w:after="160"/>
      </w:pPr>
      <w:r>
        <w:t>開發團隊在</w:t>
      </w:r>
      <w:r>
        <w:t xml:space="preserve"> README </w:t>
      </w:r>
      <w:r>
        <w:t>與</w:t>
      </w:r>
      <w:r>
        <w:t xml:space="preserve"> REPORT_B </w:t>
      </w:r>
      <w:r>
        <w:t>中明確列舉了按優先順序排列的改善路線：</w:t>
      </w:r>
    </w:p>
    <w:p w14:paraId="4C5721B6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安全性強化：</w:t>
      </w:r>
      <w:r>
        <w:t xml:space="preserve">API Key </w:t>
      </w:r>
      <w:r>
        <w:t>全面移至</w:t>
      </w:r>
      <w:r>
        <w:t xml:space="preserve"> .env </w:t>
      </w:r>
      <w:r>
        <w:t>環境變數，避免金鑰硬編碼至原始碼</w:t>
      </w:r>
    </w:p>
    <w:p w14:paraId="45B51FF4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測試覆蓋：新增</w:t>
      </w:r>
      <w:r>
        <w:t xml:space="preserve"> tests/ </w:t>
      </w:r>
      <w:r>
        <w:t>單元測試（</w:t>
      </w:r>
      <w:r>
        <w:t xml:space="preserve">DEA </w:t>
      </w:r>
      <w:r>
        <w:t>求解器、</w:t>
      </w:r>
      <w:r>
        <w:t xml:space="preserve">AHP </w:t>
      </w:r>
      <w:r>
        <w:t>一致性、最佳化器邊界條件）</w:t>
      </w:r>
    </w:p>
    <w:p w14:paraId="5097AF81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日誌系統：統一改用</w:t>
      </w:r>
      <w:r>
        <w:t xml:space="preserve"> Python logging </w:t>
      </w:r>
      <w:r>
        <w:t>模組，替換現有</w:t>
      </w:r>
      <w:r>
        <w:t xml:space="preserve"> print </w:t>
      </w:r>
      <w:r>
        <w:t>輸出，支援日誌分級與持久化</w:t>
      </w:r>
    </w:p>
    <w:p w14:paraId="6634B5DD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Docker </w:t>
      </w:r>
      <w:r>
        <w:t>容器化：提供</w:t>
      </w:r>
      <w:r>
        <w:t xml:space="preserve"> Dockerfile </w:t>
      </w:r>
      <w:r>
        <w:t>與</w:t>
      </w:r>
      <w:r>
        <w:t xml:space="preserve"> docker-compose.yml</w:t>
      </w:r>
      <w:r>
        <w:t>，實現一鍵部署與環境隔離</w:t>
      </w:r>
    </w:p>
    <w:p w14:paraId="0F31BC80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版本控制輸出：為</w:t>
      </w:r>
      <w:r>
        <w:t xml:space="preserve"> report/</w:t>
      </w:r>
      <w:r>
        <w:t>、</w:t>
      </w:r>
      <w:r>
        <w:t>png/</w:t>
      </w:r>
      <w:r>
        <w:t>、</w:t>
      </w:r>
      <w:r>
        <w:t xml:space="preserve">backtest/ </w:t>
      </w:r>
      <w:r>
        <w:t>輸出檔案加入時間戳記或整合</w:t>
      </w:r>
      <w:r>
        <w:t xml:space="preserve"> DVC</w:t>
      </w:r>
      <w:r>
        <w:t>（</w:t>
      </w:r>
      <w:r>
        <w:t>Data Version Control</w:t>
      </w:r>
      <w:r>
        <w:t>）</w:t>
      </w:r>
    </w:p>
    <w:p w14:paraId="02192C7B" w14:textId="77777777" w:rsidR="00C56AF5" w:rsidRDefault="00000000">
      <w:pPr>
        <w:pStyle w:val="2"/>
      </w:pPr>
      <w:r>
        <w:t>5.2 演算法升級方向</w:t>
      </w:r>
    </w:p>
    <w:p w14:paraId="1ACC2415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因子觀點整合：在</w:t>
      </w:r>
      <w:r>
        <w:t xml:space="preserve"> Black-Litterman </w:t>
      </w:r>
      <w:r>
        <w:t>框架下納入</w:t>
      </w:r>
      <w:r>
        <w:t xml:space="preserve"> Fama-French </w:t>
      </w:r>
      <w:r>
        <w:t>多因子模型，以系統因子暴露（</w:t>
      </w:r>
      <w:r>
        <w:t>size</w:t>
      </w:r>
      <w:r>
        <w:t>、</w:t>
      </w:r>
      <w:r>
        <w:t>value</w:t>
      </w:r>
      <w:r>
        <w:t>、</w:t>
      </w:r>
      <w:r>
        <w:t>momentum</w:t>
      </w:r>
      <w:r>
        <w:t>）作為觀點</w:t>
      </w:r>
      <w:r>
        <w:t xml:space="preserve"> P </w:t>
      </w:r>
      <w:r>
        <w:t>矩陣的結構化先驗，取代純偏好映射</w:t>
      </w:r>
    </w:p>
    <w:p w14:paraId="2490F25B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歷史逐期產業快照：建立「各時間點的產業分布快照」資料庫，消除現有回測中的產業分布</w:t>
      </w:r>
      <w:r>
        <w:t xml:space="preserve"> Look-Ahead Bias</w:t>
      </w:r>
    </w:p>
    <w:p w14:paraId="67AE446E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直接</w:t>
      </w:r>
      <w:r>
        <w:t xml:space="preserve"> MaxDD </w:t>
      </w:r>
      <w:r>
        <w:t>約束：研究將最大回撤直接納入</w:t>
      </w:r>
      <w:r>
        <w:t xml:space="preserve"> SLSQP </w:t>
      </w:r>
      <w:r>
        <w:t>約束的方法（</w:t>
      </w:r>
      <w:r>
        <w:t xml:space="preserve">CVaR </w:t>
      </w:r>
      <w:r>
        <w:t>代理或情境分析），解決波動預算無法控制極端損失的問題</w:t>
      </w:r>
    </w:p>
    <w:p w14:paraId="238412B8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強化學習動態再平衡：以</w:t>
      </w:r>
      <w:r>
        <w:t xml:space="preserve"> PPO/SAC </w:t>
      </w:r>
      <w:r>
        <w:t>演算法取代固定頻率再平衡，讓智能體依市場狀態動態決定再平衡時機與幅度</w:t>
      </w:r>
    </w:p>
    <w:p w14:paraId="1CCEDFC2" w14:textId="77777777" w:rsidR="00C56AF5" w:rsidRDefault="00000000">
      <w:pPr>
        <w:pStyle w:val="2"/>
      </w:pPr>
      <w:r>
        <w:t>5.3 產品化與跨市場擴展</w:t>
      </w:r>
    </w:p>
    <w:p w14:paraId="476AD0D2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跨市場驗證：擴展至台灣、歐洲、新興市場</w:t>
      </w:r>
      <w:r>
        <w:t xml:space="preserve"> ETF</w:t>
      </w:r>
      <w:r>
        <w:t>，驗證系統在不同市場結構下的適用性</w:t>
      </w:r>
    </w:p>
    <w:p w14:paraId="67D9DCBB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真實除息事件：引入精確的除息日期資料（替換現有代理計算），提升股息追蹤的準確性</w:t>
      </w:r>
    </w:p>
    <w:p w14:paraId="2BF5E6F9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 xml:space="preserve">ESG </w:t>
      </w:r>
      <w:r>
        <w:t>整合：導入</w:t>
      </w:r>
      <w:r>
        <w:t xml:space="preserve"> MSCI ESG </w:t>
      </w:r>
      <w:r>
        <w:t>評分或</w:t>
      </w:r>
      <w:r>
        <w:t xml:space="preserve"> Sustainalytics </w:t>
      </w:r>
      <w:r>
        <w:t>資料作為</w:t>
      </w:r>
      <w:r>
        <w:t xml:space="preserve"> DEA </w:t>
      </w:r>
      <w:r>
        <w:t>投入</w:t>
      </w:r>
      <w:r>
        <w:t>/</w:t>
      </w:r>
      <w:r>
        <w:t>產出維度，支援永續投資主題篩選</w:t>
      </w:r>
    </w:p>
    <w:p w14:paraId="13AAADA9" w14:textId="77777777" w:rsidR="00C56AF5" w:rsidRDefault="00000000">
      <w:pPr>
        <w:pStyle w:val="a4"/>
        <w:numPr>
          <w:ilvl w:val="0"/>
          <w:numId w:val="2"/>
        </w:numPr>
        <w:spacing w:after="80"/>
      </w:pPr>
      <w:r>
        <w:t>行動裝置整合：將</w:t>
      </w:r>
      <w:r>
        <w:t xml:space="preserve"> Web </w:t>
      </w:r>
      <w:r>
        <w:t>問卷與結果報告整合至</w:t>
      </w:r>
      <w:r>
        <w:t xml:space="preserve"> LINE Bot </w:t>
      </w:r>
      <w:r>
        <w:t>或原生</w:t>
      </w:r>
      <w:r>
        <w:t xml:space="preserve"> App</w:t>
      </w:r>
      <w:r>
        <w:t>，降低使用門檻</w:t>
      </w:r>
    </w:p>
    <w:p w14:paraId="2294A013" w14:textId="0660063B" w:rsidR="00C56AF5" w:rsidRDefault="00000000" w:rsidP="00417B06">
      <w:pPr>
        <w:pStyle w:val="a4"/>
        <w:numPr>
          <w:ilvl w:val="0"/>
          <w:numId w:val="2"/>
        </w:numPr>
        <w:spacing w:after="80"/>
      </w:pPr>
      <w:r>
        <w:t>券商</w:t>
      </w:r>
      <w:r>
        <w:t xml:space="preserve"> API </w:t>
      </w:r>
      <w:r>
        <w:t>串接：與富邦、元大等國內券商</w:t>
      </w:r>
      <w:r>
        <w:t xml:space="preserve"> API </w:t>
      </w:r>
      <w:r>
        <w:t>整合，實現從「建議」到「執行」的全自動再平衡</w:t>
      </w:r>
    </w:p>
    <w:p w14:paraId="79BD2666" w14:textId="77777777" w:rsidR="00E97D3C" w:rsidRDefault="00000000">
      <w:pPr>
        <w:pStyle w:val="1"/>
      </w:pPr>
      <w:r>
        <w:lastRenderedPageBreak/>
        <w:t>六、結論</w:t>
      </w:r>
    </w:p>
    <w:p w14:paraId="68770CB1" w14:textId="77777777" w:rsidR="00E97D3C" w:rsidRDefault="00000000">
      <w:pPr>
        <w:spacing w:after="160"/>
      </w:pPr>
      <w:r>
        <w:t>跨七種使用者原型的樣本外驗證顯示，</w:t>
      </w:r>
      <w:r>
        <w:t xml:space="preserve">OptETF </w:t>
      </w:r>
      <w:r>
        <w:t>的系統行為與設計論述完全一致且誠實：</w:t>
      </w:r>
    </w:p>
    <w:p w14:paraId="3A2EC309" w14:textId="77777777" w:rsidR="00E97D3C" w:rsidRDefault="00000000">
      <w:pPr>
        <w:pStyle w:val="a4"/>
        <w:numPr>
          <w:ilvl w:val="0"/>
          <w:numId w:val="2"/>
        </w:numPr>
        <w:spacing w:after="80"/>
      </w:pPr>
      <w:r>
        <w:t>報酬導向使用者</w:t>
      </w:r>
      <w:r>
        <w:t xml:space="preserve"> → beta </w:t>
      </w:r>
      <w:r>
        <w:t>核心</w:t>
      </w:r>
      <w:r>
        <w:t xml:space="preserve"> → </w:t>
      </w:r>
      <w:r>
        <w:t>穩定贏過</w:t>
      </w:r>
      <w:r>
        <w:t xml:space="preserve"> VT </w:t>
      </w:r>
      <w:r>
        <w:t>的絕對報酬（以承擔更多系統性風險換得：</w:t>
      </w:r>
      <w:r>
        <w:t>aggressive_growth 17.58%</w:t>
      </w:r>
      <w:r>
        <w:t>、</w:t>
      </w:r>
      <w:r>
        <w:t>return_leaning 16.40% vs VT 14.32%</w:t>
      </w:r>
      <w:r>
        <w:t>，且</w:t>
      </w:r>
      <w:r>
        <w:t xml:space="preserve"> Sharpe </w:t>
      </w:r>
      <w:r>
        <w:t>亦較高）。</w:t>
      </w:r>
    </w:p>
    <w:p w14:paraId="2EFCF6DA" w14:textId="77777777" w:rsidR="00E97D3C" w:rsidRDefault="00000000">
      <w:pPr>
        <w:pStyle w:val="a4"/>
        <w:numPr>
          <w:ilvl w:val="0"/>
          <w:numId w:val="2"/>
        </w:numPr>
        <w:spacing w:after="80"/>
      </w:pPr>
      <w:r>
        <w:t>保守／收入／平衡／品質型</w:t>
      </w:r>
      <w:r>
        <w:t xml:space="preserve"> → market</w:t>
      </w:r>
      <w:r>
        <w:t>／</w:t>
      </w:r>
      <w:r>
        <w:t xml:space="preserve">minvar </w:t>
      </w:r>
      <w:r>
        <w:t>核心</w:t>
      </w:r>
      <w:r>
        <w:t xml:space="preserve"> → </w:t>
      </w:r>
      <w:r>
        <w:t>贏在更低波動、風險效率與偏好滿足，而非絕對報酬；每位使用者都在自己最重視的維度上明顯勝出（如</w:t>
      </w:r>
      <w:r>
        <w:t xml:space="preserve"> income </w:t>
      </w:r>
      <w:r>
        <w:t>殖利率為</w:t>
      </w:r>
      <w:r>
        <w:t xml:space="preserve"> VT </w:t>
      </w:r>
      <w:r>
        <w:t>的</w:t>
      </w:r>
      <w:r>
        <w:t xml:space="preserve"> 2.7 </w:t>
      </w:r>
      <w:r>
        <w:t>倍、</w:t>
      </w:r>
      <w:r>
        <w:t xml:space="preserve">cost_liquidity </w:t>
      </w:r>
      <w:r>
        <w:t>費用最低且流動性最高、</w:t>
      </w:r>
      <w:r>
        <w:t xml:space="preserve">conservative </w:t>
      </w:r>
      <w:r>
        <w:t>波動最低）。</w:t>
      </w:r>
    </w:p>
    <w:p w14:paraId="3996E715" w14:textId="77777777" w:rsidR="00E97D3C" w:rsidRDefault="00000000">
      <w:pPr>
        <w:pStyle w:val="a4"/>
        <w:numPr>
          <w:ilvl w:val="0"/>
          <w:numId w:val="2"/>
        </w:numPr>
        <w:spacing w:after="80"/>
      </w:pPr>
      <w:r>
        <w:t>全體七原型的偏好滿足度勝率穩定高於</w:t>
      </w:r>
      <w:r>
        <w:t xml:space="preserve"> VT</w:t>
      </w:r>
      <w:r>
        <w:t>（</w:t>
      </w:r>
      <w:r>
        <w:t>89–100%</w:t>
      </w:r>
      <w:r>
        <w:t>），對等權與最大夏普亦達</w:t>
      </w:r>
      <w:r>
        <w:t xml:space="preserve"> 89–100%——</w:t>
      </w:r>
      <w:r>
        <w:t>在「滿足使用者偏好」上對三個對照組全面領先。</w:t>
      </w:r>
    </w:p>
    <w:p w14:paraId="6D2BDAF5" w14:textId="77777777" w:rsidR="00E97D3C" w:rsidRDefault="00000000">
      <w:pPr>
        <w:spacing w:after="160"/>
      </w:pPr>
      <w:r>
        <w:t>本系統的價值在於：理論地基紮實（以</w:t>
      </w:r>
      <w:r>
        <w:t xml:space="preserve"> Black-Litterman</w:t>
      </w:r>
      <w:r>
        <w:t>／</w:t>
      </w:r>
      <w:r>
        <w:t xml:space="preserve">CAPM </w:t>
      </w:r>
      <w:r>
        <w:t>支撐三核心，三核心即</w:t>
      </w:r>
      <w:r>
        <w:t xml:space="preserve"> BL </w:t>
      </w:r>
      <w:r>
        <w:t>效率前緣上不同風險趨避的點）、偏好驅動且</w:t>
      </w:r>
      <w:r>
        <w:t xml:space="preserve"> profile-dependent</w:t>
      </w:r>
      <w:r>
        <w:t>、經跨市場規制的</w:t>
      </w:r>
      <w:r>
        <w:t xml:space="preserve"> walk-forward </w:t>
      </w:r>
      <w:r>
        <w:t>驗證，並對自身限制誠實量化（偏好矛盾者勝率最低但仍高、防禦型</w:t>
      </w:r>
      <w:r>
        <w:t xml:space="preserve"> MaxDD </w:t>
      </w:r>
      <w:r>
        <w:t>未必優於</w:t>
      </w:r>
      <w:r>
        <w:t xml:space="preserve"> VT</w:t>
      </w:r>
      <w:r>
        <w:t>、單一市場與單一歷史路徑）。</w:t>
      </w:r>
    </w:p>
    <w:p w14:paraId="467BCA09" w14:textId="77777777" w:rsidR="00E97D3C" w:rsidRDefault="00000000">
      <w:pPr>
        <w:spacing w:after="160"/>
      </w:pPr>
      <w:r>
        <w:t>須強調系統定位：偏好滿足度為「偏好提取＋樣本外驗證」指標，並非</w:t>
      </w:r>
      <w:r>
        <w:t xml:space="preserve"> alpha </w:t>
      </w:r>
      <w:r>
        <w:t>來源；系統不宣稱能穩定打敗市場的風險調整後報酬（</w:t>
      </w:r>
      <w:r>
        <w:t xml:space="preserve">1/N </w:t>
      </w:r>
      <w:r>
        <w:t>之謎）。作為「依使用者偏好、在可承受風險內提供站得住腳之投組，並以樣本外證據說明它做到了什麼」的決策支援框架，</w:t>
      </w:r>
      <w:r>
        <w:t xml:space="preserve">OptETF </w:t>
      </w:r>
      <w:r>
        <w:t>的結論站得住腳。</w:t>
      </w:r>
    </w:p>
    <w:p w14:paraId="16029DCE" w14:textId="77777777" w:rsidR="00E97D3C" w:rsidRDefault="00000000">
      <w:pPr>
        <w:pStyle w:val="1"/>
      </w:pPr>
      <w:r>
        <w:t>七、參考資料</w:t>
      </w:r>
    </w:p>
    <w:p w14:paraId="7D6C95D7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[1] Markowitz, H. (1952). Portfolio Selection. The Journal of Finance, 7(1), 77–91.</w:t>
      </w:r>
    </w:p>
    <w:p w14:paraId="49BD472D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[2] Sharpe, W. F. (1964). Capital Asset Prices: A Theory of Market Equilibrium under Conditions of Risk (CAPM). The Journal of Finance, 19(3), 425–442.</w:t>
      </w:r>
    </w:p>
    <w:p w14:paraId="7D605CBD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[3] Black, F., &amp; Litterman, R. (1992). Global Portfolio Optimization. Financial Analysts Journal, 48(5), 28–43.</w:t>
      </w:r>
    </w:p>
    <w:p w14:paraId="74D2C53A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[4] Charnes, A., Cooper, W. W., &amp; Rhodes, E. (1978). Measuring the Efficiency of Decision Making Units (DEA/CCR). European Journal of Operational Research, 2(6), 429–444.</w:t>
      </w:r>
    </w:p>
    <w:p w14:paraId="54E54AF7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[5] Ledoit, O., &amp; Wolf, M. (2004). Honey, I Shrunk the Sample Covariance Matrix. The Journal of Portfolio Management, 30(4), 110–119.</w:t>
      </w:r>
    </w:p>
    <w:p w14:paraId="7B79BA2C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[6] DeMiguel, V., Garlappi, L., &amp; Uppal, R. (2009). Optimal Versus Naive Diversification: How Inefficient is the 1/N Portfolio Strategy? The Review of Financial Studies, 22(5), 1915–1953.</w:t>
      </w:r>
    </w:p>
    <w:p w14:paraId="07E81F07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[7] Saaty, T. L. (1980). The Analytic Hierarchy Process (AHP). McGraw-Hill.</w:t>
      </w:r>
    </w:p>
    <w:p w14:paraId="6EFAF887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[8] Gal, Y., &amp; Ghahramani, Z. (2016). Dropout as a Bayesian Approximation: Representing Model Uncertainty in Deep Learning (MC-dropout). ICML.</w:t>
      </w:r>
    </w:p>
    <w:p w14:paraId="2D1D3A98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[9] BAAI (2024). BGE-M3: Multi-Lingual, Multi-Functionality, Multi-Granularity Text Embeddings.</w:t>
      </w:r>
    </w:p>
    <w:p w14:paraId="555DB441" w14:textId="77777777" w:rsidR="00E97D3C" w:rsidRDefault="00000000">
      <w:pPr>
        <w:spacing w:after="60"/>
        <w:ind w:left="360" w:hanging="360"/>
      </w:pPr>
      <w:r>
        <w:rPr>
          <w:sz w:val="20"/>
          <w:szCs w:val="20"/>
        </w:rPr>
        <w:t>[10] Araci, D. (2019). FinBERT: Financial Sentiment Analysis with Pre-trained Language Models. arXiv:1908.10063.</w:t>
      </w:r>
    </w:p>
    <w:p w14:paraId="06D9160E" w14:textId="77777777" w:rsidR="00E97D3C" w:rsidRDefault="00000000">
      <w:pPr>
        <w:spacing w:before="120" w:after="160"/>
      </w:pPr>
      <w:r>
        <w:t>專案原始碼（</w:t>
      </w:r>
      <w:r>
        <w:t>GitHub</w:t>
      </w:r>
      <w:r>
        <w:t>）：</w:t>
      </w:r>
      <w:r>
        <w:t>https://github.com/JasonRott/FinTech-Project-</w:t>
      </w:r>
      <w:r>
        <w:lastRenderedPageBreak/>
        <w:t>FinalVersion</w:t>
      </w:r>
    </w:p>
    <w:p w14:paraId="512FD4E7" w14:textId="77777777" w:rsidR="00E97D3C" w:rsidRDefault="00000000">
      <w:pPr>
        <w:spacing w:before="120" w:after="160"/>
      </w:pPr>
      <w:r>
        <w:t>結果重現：於專案根目錄執行</w:t>
      </w:r>
      <w:r>
        <w:t xml:space="preserve"> ACTIVE_USER_PROFILE=&lt;profile&gt; python main.py</w:t>
      </w:r>
      <w:r>
        <w:t>（七個原型鍵見</w:t>
      </w:r>
      <w:r>
        <w:t xml:space="preserve"> parameters.USER_PROFILES</w:t>
      </w:r>
      <w:r>
        <w:t>）；七原型完整對照見</w:t>
      </w:r>
      <w:r>
        <w:t xml:space="preserve"> user_results/showcase_7_profiles/</w:t>
      </w:r>
      <w:r>
        <w:t>對照分析報告</w:t>
      </w:r>
      <w:r>
        <w:t>.md</w:t>
      </w:r>
      <w:r>
        <w:t>。</w:t>
      </w:r>
    </w:p>
    <w:p w14:paraId="2D16E2A8" w14:textId="77777777" w:rsidR="00EB1CA7" w:rsidRDefault="00EB1CA7">
      <w:pPr>
        <w:pStyle w:val="1"/>
        <w:rPr>
          <w:rFonts w:ascii="新細明體" w:eastAsia="新細明體" w:hAnsi="新細明體" w:cs="新細明體" w:hint="eastAsia"/>
        </w:rPr>
        <w:sectPr w:rsidR="00EB1CA7">
          <w:headerReference w:type="default" r:id="rId10"/>
          <w:footerReference w:type="default" r:id="rId11"/>
          <w:pgSz w:w="11906" w:h="16838"/>
          <w:pgMar w:top="1800" w:right="1600" w:bottom="1800" w:left="1600" w:header="708" w:footer="708" w:gutter="0"/>
          <w:cols w:space="720"/>
          <w:docGrid w:linePitch="360"/>
        </w:sectPr>
      </w:pPr>
    </w:p>
    <w:p w14:paraId="3ACDB84B" w14:textId="3F1E8B3C" w:rsidR="00C56AF5" w:rsidRDefault="00000000">
      <w:pPr>
        <w:pStyle w:val="1"/>
      </w:pPr>
      <w:r>
        <w:rPr>
          <w:rFonts w:ascii="新細明體" w:eastAsia="新細明體" w:hAnsi="新細明體" w:cs="新細明體" w:hint="eastAsia"/>
        </w:rPr>
        <w:lastRenderedPageBreak/>
        <w:t>附</w:t>
      </w:r>
      <w:r>
        <w:t>錄 A：核心數學推導</w:t>
      </w:r>
    </w:p>
    <w:p w14:paraId="0123E25A" w14:textId="77777777" w:rsidR="00C56AF5" w:rsidRDefault="00000000">
      <w:pPr>
        <w:pStyle w:val="2"/>
      </w:pPr>
      <w:r>
        <w:t>A.1 DEA 交互效率矩陣</w:t>
      </w:r>
    </w:p>
    <w:p w14:paraId="58AF46A6" w14:textId="3632C3B7" w:rsidR="00C56AF5" w:rsidRDefault="00000000">
      <w:pPr>
        <w:spacing w:after="160"/>
      </w:pPr>
      <w:r>
        <w:t>標準</w:t>
      </w:r>
      <w:r>
        <w:t xml:space="preserve"> CCR-DEA </w:t>
      </w:r>
      <w:r>
        <w:t>可能使多個</w:t>
      </w:r>
      <w:r>
        <w:t xml:space="preserve"> ETF </w:t>
      </w:r>
      <w:r>
        <w:t>同時獲得</w:t>
      </w:r>
      <w:r>
        <w:t xml:space="preserve"> θ = 1</w:t>
      </w:r>
      <w:r>
        <w:t>（均位於前沿），無法進一步排名。交互效率矩陣</w:t>
      </w:r>
      <w:r>
        <w:t xml:space="preserve"> E </w:t>
      </w:r>
      <w:r>
        <w:t>的第</w:t>
      </w:r>
      <w:r>
        <w:t xml:space="preserve"> (k, j) </w:t>
      </w:r>
      <w:r>
        <w:t>元素定義為：以第</w:t>
      </w:r>
      <w:r>
        <w:t xml:space="preserve"> k </w:t>
      </w:r>
      <w:r>
        <w:t>個</w:t>
      </w:r>
      <w:r>
        <w:t xml:space="preserve"> ETF </w:t>
      </w:r>
      <w:r>
        <w:t>的最優權重</w:t>
      </w:r>
      <w:r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) </w:t>
      </w:r>
      <w:r>
        <w:t>評估第</w:t>
      </w:r>
      <w:r>
        <w:t xml:space="preserve"> j </w:t>
      </w:r>
      <w:r>
        <w:t>個</w:t>
      </w:r>
      <w:r>
        <w:t xml:space="preserve"> ETF </w:t>
      </w:r>
      <w:r>
        <w:t>的效率值：</w:t>
      </w:r>
    </w:p>
    <w:p w14:paraId="10A928E4" w14:textId="6AFCC8FB" w:rsidR="00D34EEB" w:rsidRPr="00D34EEB" w:rsidRDefault="00000000">
      <w:pPr>
        <w:spacing w:after="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551EE006" w14:textId="6012806B" w:rsidR="00C56AF5" w:rsidRPr="00BA06FE" w:rsidRDefault="00000000">
      <w:pPr>
        <w:spacing w:after="160"/>
      </w:pPr>
      <w:r>
        <w:t>最終效率分數取列均值：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kj</m:t>
                </m:r>
              </m:sub>
            </m:sSub>
          </m:e>
        </m:nary>
      </m:oMath>
      <w:r>
        <w:t>，克服了</w:t>
      </w:r>
      <w:r>
        <w:t xml:space="preserve"> CCR </w:t>
      </w:r>
      <w:r>
        <w:t>的鑑別力不足問題，並具有對所有</w:t>
      </w:r>
      <w:r>
        <w:t xml:space="preserve"> DMU </w:t>
      </w:r>
      <w:r>
        <w:t>的統一公平性。</w:t>
      </w:r>
    </w:p>
    <w:p w14:paraId="1C852125" w14:textId="77777777" w:rsidR="00C56AF5" w:rsidRDefault="00000000">
      <w:pPr>
        <w:pStyle w:val="2"/>
      </w:pPr>
      <w:r>
        <w:t>A.2 Black-Litterman 完整推導</w:t>
      </w:r>
    </w:p>
    <w:p w14:paraId="3A554F8D" w14:textId="77777777" w:rsidR="00C56AF5" w:rsidRDefault="00000000">
      <w:pPr>
        <w:spacing w:after="160"/>
      </w:pPr>
      <w:r>
        <w:t>市場均衡隱含超額報酬（</w:t>
      </w:r>
      <w:r>
        <w:t xml:space="preserve">CAPM </w:t>
      </w:r>
      <w:r>
        <w:t>反推）：</w:t>
      </w:r>
    </w:p>
    <w:p w14:paraId="1843EE6E" w14:textId="1D3C63E2" w:rsidR="00BA06FE" w:rsidRPr="00BA06FE" w:rsidRDefault="00BA06FE">
      <w:pPr>
        <w:spacing w:after="160"/>
      </w:pPr>
      <m:oMathPara>
        <m:oMath>
          <m:r>
            <w:rPr>
              <w:rFonts w:ascii="Cambria Math" w:hAnsi="Cambria Math"/>
            </w:rPr>
            <m:t>Π = λ · Σ · w_mkt</m:t>
          </m:r>
        </m:oMath>
      </m:oMathPara>
    </w:p>
    <w:p w14:paraId="376276BD" w14:textId="493C5E8A" w:rsidR="00C56AF5" w:rsidRDefault="00000000">
      <w:pPr>
        <w:spacing w:after="160"/>
      </w:pPr>
      <w:r>
        <w:t>其中</w:t>
      </w:r>
      <w:r>
        <w:t xml:space="preserve"> λ </w:t>
      </w:r>
      <w:r>
        <w:t>為市場風險趨避係數（通常取</w:t>
      </w:r>
      <w:r>
        <w:t xml:space="preserve"> 2–3</w:t>
      </w:r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mkt</m:t>
            </m:r>
          </m:sub>
        </m:sSub>
      </m:oMath>
      <w:r>
        <w:t>為市場組合權重。混合後驗期望報酬：</w:t>
      </w:r>
    </w:p>
    <w:p w14:paraId="78185244" w14:textId="3B00216C" w:rsidR="00BA06FE" w:rsidRPr="00BA06FE" w:rsidRDefault="00BA06FE">
      <w:pPr>
        <w:spacing w:after="16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τΣ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τΣ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Π+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523D2306" w14:textId="77777777" w:rsidR="00BA06FE" w:rsidRPr="00BA06FE" w:rsidRDefault="00000000">
      <w:pPr>
        <w:spacing w:after="160"/>
      </w:pPr>
      <w:r>
        <w:t>上式為</w:t>
      </w:r>
      <w:r>
        <w:t xml:space="preserve"> Black-Litterman </w:t>
      </w:r>
      <w:r>
        <w:t>一般形式（理論對照，非本系統實作）：</w:t>
      </w:r>
      <w:r>
        <w:t>P</w:t>
      </w:r>
      <w:r>
        <w:t>（</w:t>
      </w:r>
      <w:r>
        <w:t xml:space="preserve">k×n </w:t>
      </w:r>
      <w:r>
        <w:t>觀點矩陣）、</w:t>
      </w:r>
      <w:r>
        <w:t>Q</w:t>
      </w:r>
      <w:r>
        <w:t>（</w:t>
      </w:r>
      <w:r>
        <w:t xml:space="preserve">k×1 </w:t>
      </w:r>
      <w:r>
        <w:t>觀點報酬）為觀點向量，</w:t>
      </w:r>
      <w:r>
        <w:t>Ω</w:t>
      </w:r>
      <w:r>
        <w:t>（</w:t>
      </w:r>
      <w:r>
        <w:t xml:space="preserve">k×k </w:t>
      </w:r>
      <w:r>
        <w:t>對角矩陣）的對角元素為各觀點的不確定性方差</w:t>
      </w:r>
      <w:r>
        <w:t xml:space="preserve"> </w:t>
      </w:r>
      <m:oMath>
        <m: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²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。後驗共變異數：</w:t>
      </w:r>
    </w:p>
    <w:p w14:paraId="150B95A0" w14:textId="49D9FE35" w:rsidR="00BA06FE" w:rsidRPr="00BA06FE" w:rsidRDefault="00BA06FE" w:rsidP="00BA06FE">
      <w:pPr>
        <w:spacing w:after="160"/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τΣ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E74CADD" w14:textId="77777777" w:rsidR="00C56AF5" w:rsidRDefault="00000000">
      <w:pPr>
        <w:spacing w:after="160"/>
      </w:pPr>
      <w:r>
        <w:t>系統文件中點出：最小化投組變異減對</w:t>
      </w:r>
      <w:r>
        <w:t xml:space="preserve"> VT </w:t>
      </w:r>
      <w:r>
        <w:t>報酬追蹤誤差，等價於最大化</w:t>
      </w:r>
      <w:r>
        <w:t xml:space="preserve"> BL </w:t>
      </w:r>
      <w:r>
        <w:t>隱含報酬減</w:t>
      </w:r>
      <w:r>
        <w:t xml:space="preserve"> λ/2 </w:t>
      </w:r>
      <w:r>
        <w:t>倍風險，確保了</w:t>
      </w:r>
      <w:r>
        <w:t xml:space="preserve"> market </w:t>
      </w:r>
      <w:r>
        <w:t>核心的理論一致性。</w:t>
      </w:r>
    </w:p>
    <w:p w14:paraId="61976DE7" w14:textId="77777777" w:rsidR="00C56AF5" w:rsidRDefault="00000000">
      <w:pPr>
        <w:pStyle w:val="2"/>
      </w:pPr>
      <w:r>
        <w:t>A.3 Ledoit-Wolf 最優縮減係數</w:t>
      </w:r>
    </w:p>
    <w:p w14:paraId="09602D3C" w14:textId="77777777" w:rsidR="00C56AF5" w:rsidRDefault="00000000">
      <w:pPr>
        <w:spacing w:after="160"/>
      </w:pPr>
      <w:r>
        <w:t xml:space="preserve">Ledoit-Wolf </w:t>
      </w:r>
      <w:r>
        <w:t>估計器（系統實際使用</w:t>
      </w:r>
      <w:r>
        <w:t xml:space="preserve"> sklearn.covariance.LedoitWolf</w:t>
      </w:r>
      <w:r>
        <w:t>）將樣本共變異</w:t>
      </w:r>
      <w:r>
        <w:t xml:space="preserve"> S </w:t>
      </w:r>
      <w:r>
        <w:t>往球形目標</w:t>
      </w:r>
      <w:r>
        <w:t xml:space="preserve"> F = μI </w:t>
      </w:r>
      <w:r>
        <w:t>收縮（</w:t>
      </w:r>
      <w:r>
        <w:t xml:space="preserve">μ = </w:t>
      </w:r>
      <w:r>
        <w:t>平均變異</w:t>
      </w:r>
      <w:r>
        <w:t xml:space="preserve"> = tr(S)/p</w:t>
      </w:r>
      <w:r>
        <w:t>），在</w:t>
      </w:r>
      <w:r>
        <w:t xml:space="preserve"> Frobenius </w:t>
      </w:r>
      <w:r>
        <w:t>距離意義下求最優收縮強度</w:t>
      </w:r>
      <w:r>
        <w:t xml:space="preserve"> δ*</w:t>
      </w:r>
      <w:r>
        <w:t>：</w:t>
      </w:r>
    </w:p>
    <w:p w14:paraId="45A8D849" w14:textId="2DBD9DEE" w:rsidR="00BA06FE" w:rsidRPr="00BA06FE" w:rsidRDefault="00000000">
      <w:pPr>
        <w:spacing w:after="160"/>
      </w:pPr>
      <m:oMathPara>
        <m:oMath>
          <m:r>
            <w:rPr>
              <w:rFonts w:ascii="Cambria Math" w:hAnsi="Cambria Math"/>
            </w:rPr>
            <m:t>Σ̂_LW = (1 - δ) · S + δ · F ,   F = μ I ,   μ = tr(S) / p</m:t>
          </m:r>
        </m:oMath>
      </m:oMathPara>
    </w:p>
    <w:p w14:paraId="19E41DA6" w14:textId="77777777" w:rsidR="00C56AF5" w:rsidRDefault="00000000">
      <w:pPr>
        <w:spacing w:after="160"/>
      </w:pPr>
      <w:r>
        <w:t>收縮強度</w:t>
      </w:r>
      <w:r>
        <w:t xml:space="preserve"> δ*</w:t>
      </w:r>
      <w:r>
        <w:t>（由資料估計，</w:t>
      </w:r>
      <w:r>
        <w:t xml:space="preserve">Ledoit-Wolf </w:t>
      </w:r>
      <w:r>
        <w:t>閉合式）：</w:t>
      </w:r>
    </w:p>
    <w:p w14:paraId="263E703E" w14:textId="70D2B6DB" w:rsidR="00BA06FE" w:rsidRPr="00BA06FE" w:rsidRDefault="00000000">
      <w:pPr>
        <w:spacing w:after="160"/>
      </w:pPr>
      <m:oMathPara>
        <m:oMath>
          <m:r>
            <w:rPr>
              <w:rFonts w:ascii="Cambria Math" w:hAnsi="Cambria Math"/>
            </w:rPr>
            <m:t>δ* = clip( π̂ / γ̂ , 0, 1 ) ,   γ̂ = ‖S - F‖²_F ,   π̂ = (1/T) Σ_t ‖x_t x_t⊤ - S‖²_F</m:t>
          </m:r>
        </m:oMath>
      </m:oMathPara>
    </w:p>
    <w:p w14:paraId="6E7FBB4C" w14:textId="77777777" w:rsidR="00C56AF5" w:rsidRDefault="00000000">
      <w:pPr>
        <w:spacing w:after="160"/>
      </w:pPr>
      <w:r>
        <w:t>其中</w:t>
      </w:r>
      <w:r>
        <w:t xml:space="preserve"> p </w:t>
      </w:r>
      <w:r>
        <w:t>為資產數，</w:t>
      </w:r>
      <w:r>
        <w:t xml:space="preserve">T </w:t>
      </w:r>
      <w:r>
        <w:t>為觀測期數。當</w:t>
      </w:r>
      <w:r>
        <w:t xml:space="preserve"> T &gt;&gt; p </w:t>
      </w:r>
      <w:r>
        <w:t>時</w:t>
      </w:r>
      <w:r>
        <w:t xml:space="preserve"> α* → 0</w:t>
      </w:r>
      <w:r>
        <w:t>（無需縮減）；當</w:t>
      </w:r>
      <w:r>
        <w:t xml:space="preserve"> T ≈ p </w:t>
      </w:r>
      <w:r>
        <w:t>時</w:t>
      </w:r>
      <w:r>
        <w:t xml:space="preserve"> α* → 1</w:t>
      </w:r>
      <w:r>
        <w:t>（強縮減至球形矩陣）。</w:t>
      </w:r>
    </w:p>
    <w:p w14:paraId="3541410E" w14:textId="77777777" w:rsidR="00C56AF5" w:rsidRDefault="00000000">
      <w:pPr>
        <w:pStyle w:val="2"/>
      </w:pPr>
      <w:r>
        <w:lastRenderedPageBreak/>
        <w:t>A.4 偏好→參數映射 g(w) 詳細邏輯</w:t>
      </w:r>
    </w:p>
    <w:p w14:paraId="23698609" w14:textId="6AD82700" w:rsidR="00C56AF5" w:rsidRDefault="00000000">
      <w:pPr>
        <w:spacing w:after="160"/>
      </w:pPr>
      <w:r>
        <w:t>九維偏好向量</w:t>
      </w:r>
      <w:r>
        <w:t xml:space="preserve"> w =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CAGR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div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vol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mdd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cost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liq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size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div_hhi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sent</m:t>
            </m:r>
          </m:sub>
        </m:sSub>
      </m:oMath>
      <w:r>
        <w:t xml:space="preserve">) </w:t>
      </w:r>
      <w:r>
        <w:t>的核心切換邏輯：</w:t>
      </w:r>
    </w:p>
    <w:p w14:paraId="6EBDD989" w14:textId="5287DA01" w:rsidR="00BA06FE" w:rsidRPr="00BA06FE" w:rsidRDefault="00000000">
      <w:pPr>
        <w:spacing w:after="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growth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CAGR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CAGR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vol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mdd</m:t>
                  </m:r>
                </m:sub>
              </m:sSub>
            </m:den>
          </m:f>
        </m:oMath>
      </m:oMathPara>
    </w:p>
    <w:p w14:paraId="00A40001" w14:textId="00A40001" w:rsidR="00C56AF5" w:rsidRDefault="00000000">
      <w:pPr>
        <w:spacing w:after="160"/>
      </w:pPr>
      <w:r>
        <w:t>波動預算於候選池可行波動範圍內依</w:t>
      </w:r>
      <w:r>
        <w:t xml:space="preserve"> risk_fraction </w:t>
      </w:r>
      <w:r>
        <w:t>線性內插（</w:t>
      </w:r>
      <w:r>
        <w:t>v_min</w:t>
      </w:r>
      <w:r>
        <w:t>／</w:t>
      </w:r>
      <w:r>
        <w:t xml:space="preserve">v_max </w:t>
      </w:r>
      <w:r>
        <w:t>為當期候選池的最小／最大變異組合波動，並非固定常數）：</w:t>
      </w:r>
    </w:p>
    <w:p w14:paraId="3F1A598A" w14:textId="77777777" w:rsidR="000A5ED2" w:rsidRPr="000A5ED2" w:rsidRDefault="000A5ED2">
      <w:pPr>
        <w:spacing w:after="160"/>
      </w:pPr>
      <m:oMathPara>
        <m:oMath>
          <m:r>
            <w:rPr>
              <w:rFonts w:ascii="Cambria Math" w:hAnsi="Cambria Math"/>
            </w:rPr>
            <m:t>ris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fraction</m:t>
              </m:r>
            </m:sub>
          </m:sSub>
          <m:r>
            <w:rPr>
              <w:rFonts w:ascii="Cambria Math" w:hAnsi="Cambria Math"/>
            </w:rPr>
            <m:t>= clip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growth</m:t>
                  </m:r>
                </m:sub>
              </m:sSub>
              <m:r>
                <w:rPr>
                  <w:rFonts w:ascii="Cambria Math" w:hAnsi="Cambria Math"/>
                </w:rPr>
                <m:t>, 0.05, 0.95</m:t>
              </m:r>
            </m:e>
          </m:d>
          <m:r>
            <w:rPr>
              <w:rFonts w:ascii="Cambria Math" w:hAnsi="Cambria Math"/>
            </w:rPr>
            <m:t>；</m:t>
          </m:r>
          <m:r>
            <w:rPr>
              <w:rFonts w:ascii="Cambria Math" w:hAnsi="Cambria Math"/>
            </w:rPr>
            <m:t xml:space="preserve">   </m:t>
          </m:r>
        </m:oMath>
      </m:oMathPara>
    </w:p>
    <w:p w14:paraId="35511512" w14:textId="4FD525DC" w:rsidR="00BA06FE" w:rsidRPr="00BA06FE" w:rsidRDefault="00BA06FE">
      <w:pPr>
        <w:spacing w:after="160"/>
        <w:rPr>
          <w:sz w:val="22"/>
          <w:szCs w:val="22"/>
        </w:rPr>
      </w:pPr>
      <m:oMathPara>
        <m:oMath>
          <m:r>
            <w:rPr>
              <w:rFonts w:ascii="Cambria Math" w:hAnsi="Cambria Math"/>
            </w:rPr>
            <m:t>vol_budget = v_min + risk_fraction · (v_max - v_min)</m:t>
          </m:r>
        </m:oMath>
      </m:oMathPara>
    </w:p>
    <w:p w14:paraId="439C1D7B" w14:textId="6E5B080F" w:rsidR="00C56AF5" w:rsidRDefault="00000000">
      <w:pPr>
        <w:spacing w:after="160"/>
      </w:pPr>
      <w:r>
        <w:t>股息傾斜強度（高成長需求降低</w:t>
      </w:r>
      <w:r>
        <w:t xml:space="preserve"> τ</w:t>
      </w:r>
      <w:r>
        <w:t>，高收益需求增加</w:t>
      </w:r>
      <w:r>
        <w:t xml:space="preserve"> τ</w:t>
      </w:r>
      <w:r>
        <w:t>）：</w:t>
      </w:r>
    </w:p>
    <w:p w14:paraId="63B1627B" w14:textId="74F78300" w:rsidR="00BA06FE" w:rsidRPr="00BA06FE" w:rsidRDefault="00BA06FE">
      <w:pPr>
        <w:spacing w:after="160"/>
        <w:rPr>
          <w:sz w:val="22"/>
          <w:szCs w:val="22"/>
        </w:rPr>
      </w:pPr>
      <m:oMathPara>
        <m:oMath>
          <m:r>
            <w:rPr>
              <w:rFonts w:ascii="Cambria Math" w:hAnsi="Cambria Math"/>
            </w:rPr>
            <m:t xml:space="preserve">τ = 0.30 · (1 - T_growth) · R̂ 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R̂ = clip(w_CAGR + w_Div, 0, 1)</m:t>
          </m:r>
        </m:oMath>
      </m:oMathPara>
    </w:p>
    <w:p w14:paraId="11809201" w14:textId="77777777" w:rsidR="00C56AF5" w:rsidRDefault="00000000">
      <w:pPr>
        <w:spacing w:after="160"/>
      </w:pPr>
      <w:r>
        <w:t>此設計的數學意涵：</w:t>
      </w:r>
      <w:r>
        <w:t xml:space="preserve">g(w) </w:t>
      </w:r>
      <w:r>
        <w:t>是從</w:t>
      </w:r>
      <w:r>
        <w:t xml:space="preserve"> 9 </w:t>
      </w:r>
      <w:r>
        <w:t>維偏好空間到最佳化參數空間的連續滿射，確保任意中間偏好均能平滑對應至效率前沿的正確位置，避免離散查表的邊界跳躍問題。</w:t>
      </w:r>
    </w:p>
    <w:p w14:paraId="0C6DF500" w14:textId="77777777" w:rsidR="00C56AF5" w:rsidRDefault="00C56AF5">
      <w:pPr>
        <w:spacing w:after="160"/>
      </w:pPr>
    </w:p>
    <w:p w14:paraId="6202109C" w14:textId="77777777" w:rsidR="00EB1CA7" w:rsidRDefault="00EB1CA7">
      <w:pPr>
        <w:pStyle w:val="1"/>
        <w:sectPr w:rsidR="00EB1CA7">
          <w:pgSz w:w="11906" w:h="16838"/>
          <w:pgMar w:top="1800" w:right="1600" w:bottom="1800" w:left="1600" w:header="708" w:footer="708" w:gutter="0"/>
          <w:cols w:space="720"/>
          <w:docGrid w:linePitch="360"/>
        </w:sectPr>
      </w:pPr>
    </w:p>
    <w:p w14:paraId="715CC329" w14:textId="77777777" w:rsidR="00C56AF5" w:rsidRDefault="00000000">
      <w:pPr>
        <w:pStyle w:val="1"/>
      </w:pPr>
      <w:r>
        <w:lastRenderedPageBreak/>
        <w:t>附錄 B：完整技術堆疊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26"/>
      </w:tblGrid>
      <w:tr w:rsidR="00C56AF5" w14:paraId="259274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E4A6" w14:textId="77777777" w:rsidR="00C56AF5" w:rsidRDefault="00000000">
            <w:r>
              <w:rPr>
                <w:b/>
                <w:bCs/>
                <w:sz w:val="20"/>
                <w:szCs w:val="20"/>
              </w:rPr>
              <w:t>層次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6562" w14:textId="77777777" w:rsidR="00C56AF5" w:rsidRDefault="00000000">
            <w:r>
              <w:rPr>
                <w:b/>
                <w:bCs/>
                <w:sz w:val="20"/>
                <w:szCs w:val="20"/>
              </w:rPr>
              <w:t>工具</w:t>
            </w:r>
            <w:r>
              <w:rPr>
                <w:b/>
                <w:bCs/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套件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3977" w14:textId="77777777" w:rsidR="00C56AF5" w:rsidRDefault="00000000">
            <w:r>
              <w:rPr>
                <w:b/>
                <w:bCs/>
                <w:sz w:val="20"/>
                <w:szCs w:val="20"/>
              </w:rPr>
              <w:t>用途說明</w:t>
            </w:r>
          </w:p>
        </w:tc>
      </w:tr>
      <w:tr w:rsidR="00C56AF5" w14:paraId="169EF6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7C17" w14:textId="77777777" w:rsidR="00C56AF5" w:rsidRDefault="00000000">
            <w:r>
              <w:rPr>
                <w:sz w:val="20"/>
                <w:szCs w:val="20"/>
              </w:rPr>
              <w:t>資料擷取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750A" w14:textId="77777777" w:rsidR="00C56AF5" w:rsidRDefault="00000000">
            <w:r>
              <w:rPr>
                <w:sz w:val="20"/>
                <w:szCs w:val="20"/>
              </w:rPr>
              <w:t>yfinance (YahooQuery), alpha_vantage, finnhub-python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F60D" w14:textId="77777777" w:rsidR="00C56AF5" w:rsidRDefault="00000000">
            <w:r>
              <w:rPr>
                <w:sz w:val="20"/>
                <w:szCs w:val="20"/>
              </w:rPr>
              <w:t>多源</w:t>
            </w:r>
            <w:r>
              <w:rPr>
                <w:sz w:val="20"/>
                <w:szCs w:val="20"/>
              </w:rPr>
              <w:t xml:space="preserve"> ETF </w:t>
            </w:r>
            <w:r>
              <w:rPr>
                <w:sz w:val="20"/>
                <w:szCs w:val="20"/>
              </w:rPr>
              <w:t>價格、基本面、新聞情緒數據</w:t>
            </w:r>
          </w:p>
        </w:tc>
      </w:tr>
      <w:tr w:rsidR="00C56AF5" w14:paraId="2F39A8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A2A4" w14:textId="77777777" w:rsidR="00C56AF5" w:rsidRDefault="00000000">
            <w:r>
              <w:rPr>
                <w:sz w:val="20"/>
                <w:szCs w:val="20"/>
              </w:rPr>
              <w:t xml:space="preserve">NLP </w:t>
            </w:r>
            <w:r>
              <w:rPr>
                <w:sz w:val="20"/>
                <w:szCs w:val="20"/>
              </w:rPr>
              <w:t>情緒分析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60F3" w14:textId="77777777" w:rsidR="00C56AF5" w:rsidRDefault="00000000">
            <w:r>
              <w:rPr>
                <w:sz w:val="20"/>
                <w:szCs w:val="20"/>
              </w:rPr>
              <w:t>FinBERT</w:t>
            </w:r>
            <w:r>
              <w:rPr>
                <w:sz w:val="20"/>
                <w:szCs w:val="20"/>
              </w:rPr>
              <w:t>（本地部署）</w:t>
            </w:r>
            <w:r>
              <w:rPr>
                <w:sz w:val="20"/>
                <w:szCs w:val="20"/>
              </w:rPr>
              <w:t>, transformers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2191" w14:textId="77777777" w:rsidR="00C56AF5" w:rsidRDefault="00000000">
            <w:r>
              <w:rPr>
                <w:sz w:val="20"/>
                <w:szCs w:val="20"/>
              </w:rPr>
              <w:t>財經新聞情緒分類，時間衰減加權</w:t>
            </w:r>
          </w:p>
        </w:tc>
      </w:tr>
      <w:tr w:rsidR="00C56AF5" w14:paraId="450789F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FE25" w14:textId="77777777" w:rsidR="00C56AF5" w:rsidRDefault="00000000">
            <w:r>
              <w:rPr>
                <w:sz w:val="20"/>
                <w:szCs w:val="20"/>
              </w:rPr>
              <w:t>語義嵌入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B94A" w14:textId="77777777" w:rsidR="00C56AF5" w:rsidRDefault="00000000">
            <w:r>
              <w:rPr>
                <w:sz w:val="20"/>
                <w:szCs w:val="20"/>
              </w:rPr>
              <w:t>BGE-M3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BAAI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42A4" w14:textId="77777777" w:rsidR="00C56AF5" w:rsidRDefault="00000000">
            <w:r>
              <w:rPr>
                <w:sz w:val="20"/>
                <w:szCs w:val="20"/>
              </w:rPr>
              <w:t>自然語言偏好描述轉換為語義向量</w:t>
            </w:r>
          </w:p>
        </w:tc>
      </w:tr>
      <w:tr w:rsidR="00C56AF5" w14:paraId="107F9F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69EC" w14:textId="77777777" w:rsidR="00C56AF5" w:rsidRDefault="00000000">
            <w:r>
              <w:rPr>
                <w:sz w:val="20"/>
                <w:szCs w:val="20"/>
              </w:rPr>
              <w:t xml:space="preserve">LLM </w:t>
            </w:r>
            <w:r>
              <w:rPr>
                <w:sz w:val="20"/>
                <w:szCs w:val="20"/>
              </w:rPr>
              <w:t>整合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6E7B" w14:textId="77777777" w:rsidR="00C56AF5" w:rsidRDefault="00000000">
            <w:r>
              <w:rPr>
                <w:sz w:val="20"/>
                <w:szCs w:val="20"/>
              </w:rPr>
              <w:t>Google Gemini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462B" w14:textId="77777777" w:rsidR="00C56AF5" w:rsidRDefault="00000000">
            <w:r>
              <w:rPr>
                <w:sz w:val="20"/>
                <w:szCs w:val="20"/>
              </w:rPr>
              <w:t xml:space="preserve">Active Bayesian </w:t>
            </w:r>
            <w:r>
              <w:rPr>
                <w:sz w:val="20"/>
                <w:szCs w:val="20"/>
              </w:rPr>
              <w:t>路徑的自然語言訪談代理</w:t>
            </w:r>
          </w:p>
        </w:tc>
      </w:tr>
      <w:tr w:rsidR="00C56AF5" w14:paraId="5F71E7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C2F0" w14:textId="77777777" w:rsidR="00C56AF5" w:rsidRDefault="00000000">
            <w:r>
              <w:rPr>
                <w:sz w:val="20"/>
                <w:szCs w:val="20"/>
              </w:rPr>
              <w:t>效率分析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18E7" w14:textId="77777777" w:rsidR="00C56AF5" w:rsidRDefault="00000000">
            <w:r>
              <w:rPr>
                <w:sz w:val="20"/>
                <w:szCs w:val="20"/>
              </w:rPr>
              <w:t>scipy.optimize (</w:t>
            </w:r>
            <w:r>
              <w:rPr>
                <w:sz w:val="20"/>
                <w:szCs w:val="20"/>
              </w:rPr>
              <w:t>線性規劃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13BC" w14:textId="77777777" w:rsidR="00C56AF5" w:rsidRDefault="00000000">
            <w:r>
              <w:rPr>
                <w:sz w:val="20"/>
                <w:szCs w:val="20"/>
              </w:rPr>
              <w:t xml:space="preserve">DEA CCR </w:t>
            </w:r>
            <w:r>
              <w:rPr>
                <w:sz w:val="20"/>
                <w:szCs w:val="20"/>
              </w:rPr>
              <w:t>模型與交互效率矩陣求解</w:t>
            </w:r>
          </w:p>
        </w:tc>
      </w:tr>
      <w:tr w:rsidR="00C56AF5" w14:paraId="6F80E4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9316" w14:textId="77777777" w:rsidR="00C56AF5" w:rsidRDefault="00000000">
            <w:r>
              <w:rPr>
                <w:sz w:val="20"/>
                <w:szCs w:val="20"/>
              </w:rPr>
              <w:t>組合最佳化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8E8E" w14:textId="77777777" w:rsidR="00C56AF5" w:rsidRDefault="00000000">
            <w:r>
              <w:rPr>
                <w:sz w:val="20"/>
                <w:szCs w:val="20"/>
              </w:rPr>
              <w:t>scipy.optimize.minimize (SLSQP)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B613" w14:textId="77777777" w:rsidR="00C56AF5" w:rsidRDefault="00000000">
            <w:r>
              <w:rPr>
                <w:sz w:val="20"/>
                <w:szCs w:val="20"/>
              </w:rPr>
              <w:t>帶約束投資組合二次規劃求解</w:t>
            </w:r>
          </w:p>
        </w:tc>
      </w:tr>
      <w:tr w:rsidR="00C56AF5" w14:paraId="0E0086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986D" w14:textId="77777777" w:rsidR="00C56AF5" w:rsidRDefault="00000000">
            <w:r>
              <w:rPr>
                <w:sz w:val="20"/>
                <w:szCs w:val="20"/>
              </w:rPr>
              <w:t>共變異數估計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5528" w14:textId="77777777" w:rsidR="00C56AF5" w:rsidRDefault="00000000">
            <w:r>
              <w:rPr>
                <w:sz w:val="20"/>
                <w:szCs w:val="20"/>
              </w:rPr>
              <w:t>sklearn.covariance.LedoitWolf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A4EB" w14:textId="77777777" w:rsidR="00C56AF5" w:rsidRDefault="00000000">
            <w:r>
              <w:rPr>
                <w:sz w:val="20"/>
                <w:szCs w:val="20"/>
              </w:rPr>
              <w:t>穩健共變異數矩陣縮減</w:t>
            </w:r>
          </w:p>
        </w:tc>
      </w:tr>
      <w:tr w:rsidR="00C56AF5" w14:paraId="057AFC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4F50" w14:textId="77777777" w:rsidR="00C56AF5" w:rsidRDefault="00000000">
            <w:r>
              <w:rPr>
                <w:sz w:val="20"/>
                <w:szCs w:val="20"/>
              </w:rPr>
              <w:t>貝氏神經網路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8B1B" w14:textId="77777777" w:rsidR="00C56AF5" w:rsidRDefault="00000000">
            <w:r>
              <w:rPr>
                <w:sz w:val="20"/>
                <w:szCs w:val="20"/>
              </w:rPr>
              <w:t>PyTorch + Pyro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模型集成）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3286" w14:textId="77777777" w:rsidR="00C56AF5" w:rsidRDefault="00000000">
            <w:r>
              <w:rPr>
                <w:sz w:val="20"/>
                <w:szCs w:val="20"/>
              </w:rPr>
              <w:t>偏好引擎不確定性估計</w:t>
            </w:r>
          </w:p>
        </w:tc>
      </w:tr>
      <w:tr w:rsidR="00C56AF5" w14:paraId="60F132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7F59" w14:textId="77777777" w:rsidR="00C56AF5" w:rsidRDefault="00000000">
            <w:r>
              <w:rPr>
                <w:sz w:val="20"/>
                <w:szCs w:val="20"/>
              </w:rPr>
              <w:t xml:space="preserve">AHP </w:t>
            </w:r>
            <w:r>
              <w:rPr>
                <w:sz w:val="20"/>
                <w:szCs w:val="20"/>
              </w:rPr>
              <w:t>求解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6781" w14:textId="77777777" w:rsidR="00C56AF5" w:rsidRDefault="00000000">
            <w:r>
              <w:rPr>
                <w:sz w:val="20"/>
                <w:szCs w:val="20"/>
              </w:rPr>
              <w:t>numpy</w:t>
            </w:r>
            <w:r>
              <w:rPr>
                <w:sz w:val="20"/>
                <w:szCs w:val="20"/>
              </w:rPr>
              <w:t>（特徵值分解）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A191" w14:textId="77777777" w:rsidR="00C56AF5" w:rsidRDefault="00000000">
            <w:r>
              <w:rPr>
                <w:sz w:val="20"/>
                <w:szCs w:val="20"/>
              </w:rPr>
              <w:t>成對比較矩陣優先向量計算</w:t>
            </w:r>
          </w:p>
        </w:tc>
      </w:tr>
      <w:tr w:rsidR="00C56AF5" w14:paraId="7D6E32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8DCC" w14:textId="77777777" w:rsidR="00C56AF5" w:rsidRDefault="00000000">
            <w:r>
              <w:rPr>
                <w:sz w:val="20"/>
                <w:szCs w:val="20"/>
              </w:rPr>
              <w:t xml:space="preserve">Web </w:t>
            </w:r>
            <w:r>
              <w:rPr>
                <w:sz w:val="20"/>
                <w:szCs w:val="20"/>
              </w:rPr>
              <w:t>後端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A148" w14:textId="77777777" w:rsidR="00C56AF5" w:rsidRDefault="00000000">
            <w:r>
              <w:rPr>
                <w:sz w:val="20"/>
                <w:szCs w:val="20"/>
              </w:rPr>
              <w:t>Flask + threading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F649" w14:textId="77777777" w:rsidR="00C56AF5" w:rsidRDefault="00000000">
            <w:r>
              <w:rPr>
                <w:sz w:val="20"/>
                <w:szCs w:val="20"/>
              </w:rPr>
              <w:t>偏好問卷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、管線異步執行、結果服務</w:t>
            </w:r>
          </w:p>
        </w:tc>
      </w:tr>
      <w:tr w:rsidR="00C56AF5" w14:paraId="785336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F26A" w14:textId="77777777" w:rsidR="00C56AF5" w:rsidRDefault="00000000">
            <w:r>
              <w:rPr>
                <w:sz w:val="20"/>
                <w:szCs w:val="20"/>
              </w:rPr>
              <w:t>資料視覺化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8515" w14:textId="77777777" w:rsidR="00C56AF5" w:rsidRDefault="00000000">
            <w:r>
              <w:rPr>
                <w:sz w:val="20"/>
                <w:szCs w:val="20"/>
              </w:rPr>
              <w:t>matplotlib, plotly</w:t>
            </w:r>
            <w:r>
              <w:rPr>
                <w:sz w:val="20"/>
                <w:szCs w:val="20"/>
              </w:rPr>
              <w:t>（前端</w:t>
            </w:r>
            <w:r>
              <w:rPr>
                <w:sz w:val="20"/>
                <w:szCs w:val="20"/>
              </w:rPr>
              <w:t xml:space="preserve"> JS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2F6D" w14:textId="77777777" w:rsidR="00C56AF5" w:rsidRDefault="00000000">
            <w:r>
              <w:rPr>
                <w:sz w:val="20"/>
                <w:szCs w:val="20"/>
              </w:rPr>
              <w:t>雷達圖、績效走勢、效率前沿散點圖</w:t>
            </w:r>
          </w:p>
        </w:tc>
      </w:tr>
      <w:tr w:rsidR="00C56AF5" w14:paraId="304052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E950" w14:textId="77777777" w:rsidR="00C56AF5" w:rsidRDefault="00000000">
            <w:r>
              <w:rPr>
                <w:sz w:val="20"/>
                <w:szCs w:val="20"/>
              </w:rPr>
              <w:t>部署環境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6486" w14:textId="77777777" w:rsidR="00C56AF5" w:rsidRDefault="00000000">
            <w:r>
              <w:rPr>
                <w:sz w:val="20"/>
                <w:szCs w:val="20"/>
              </w:rPr>
              <w:t xml:space="preserve">Python 3.11, pip, .env </w:t>
            </w:r>
            <w:r>
              <w:rPr>
                <w:sz w:val="20"/>
                <w:szCs w:val="20"/>
              </w:rPr>
              <w:t>環境變數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46F1" w14:textId="77777777" w:rsidR="00C56AF5" w:rsidRDefault="00000000">
            <w:r>
              <w:rPr>
                <w:sz w:val="20"/>
                <w:szCs w:val="20"/>
              </w:rPr>
              <w:t>本地執行；</w:t>
            </w:r>
            <w:r>
              <w:rPr>
                <w:sz w:val="20"/>
                <w:szCs w:val="20"/>
              </w:rPr>
              <w:t xml:space="preserve">Docker </w:t>
            </w:r>
            <w:r>
              <w:rPr>
                <w:sz w:val="20"/>
                <w:szCs w:val="20"/>
              </w:rPr>
              <w:t>容器化為待辦項目</w:t>
            </w:r>
          </w:p>
        </w:tc>
      </w:tr>
    </w:tbl>
    <w:p w14:paraId="01CDB14A" w14:textId="6C018C81" w:rsidR="00417B06" w:rsidRPr="003E2C27" w:rsidRDefault="003E2C27" w:rsidP="00EB1CA7">
      <w:pPr>
        <w:spacing w:before="60" w:after="160"/>
        <w:jc w:val="center"/>
        <w:rPr>
          <w:rFonts w:hint="eastAsia"/>
        </w:rPr>
      </w:pPr>
      <w:r>
        <w:rPr>
          <w:i/>
          <w:iCs/>
          <w:color w:val="666666"/>
          <w:sz w:val="18"/>
          <w:szCs w:val="18"/>
        </w:rPr>
        <w:t>表</w:t>
      </w:r>
      <w:r>
        <w:rPr>
          <w:i/>
          <w:iCs/>
          <w:color w:val="666666"/>
          <w:sz w:val="18"/>
          <w:szCs w:val="18"/>
        </w:rPr>
        <w:t xml:space="preserve"> 3.</w:t>
      </w:r>
      <w:r>
        <w:rPr>
          <w:rFonts w:hint="eastAsia"/>
          <w:i/>
          <w:iCs/>
          <w:color w:val="666666"/>
          <w:sz w:val="18"/>
          <w:szCs w:val="18"/>
        </w:rPr>
        <w:t>6</w:t>
      </w:r>
      <w:r>
        <w:rPr>
          <w:i/>
          <w:iCs/>
          <w:color w:val="666666"/>
          <w:sz w:val="18"/>
          <w:szCs w:val="18"/>
        </w:rPr>
        <w:t xml:space="preserve">　</w:t>
      </w:r>
      <w:r w:rsidR="00EB1CA7">
        <w:rPr>
          <w:rFonts w:hint="eastAsia"/>
          <w:i/>
          <w:iCs/>
          <w:color w:val="666666"/>
          <w:sz w:val="18"/>
          <w:szCs w:val="18"/>
        </w:rPr>
        <w:t>本系統係數摘要</w:t>
      </w:r>
    </w:p>
    <w:p w14:paraId="044418C0" w14:textId="77777777" w:rsidR="00EB1CA7" w:rsidRDefault="00EB1CA7">
      <w:pPr>
        <w:pStyle w:val="1"/>
        <w:sectPr w:rsidR="00EB1CA7">
          <w:pgSz w:w="11906" w:h="16838"/>
          <w:pgMar w:top="1800" w:right="1600" w:bottom="1800" w:left="1600" w:header="708" w:footer="708" w:gutter="0"/>
          <w:cols w:space="720"/>
          <w:docGrid w:linePitch="360"/>
        </w:sectPr>
      </w:pPr>
    </w:p>
    <w:p w14:paraId="72FDEC29" w14:textId="2CDBA820" w:rsidR="00C56AF5" w:rsidRDefault="00000000">
      <w:pPr>
        <w:pStyle w:val="1"/>
      </w:pPr>
      <w:r>
        <w:lastRenderedPageBreak/>
        <w:t>附錄 C：系統檔案結構</w:t>
      </w:r>
    </w:p>
    <w:p w14:paraId="1259C30E" w14:textId="77777777" w:rsidR="00C56AF5" w:rsidRDefault="00000000">
      <w:pPr>
        <w:spacing w:after="160"/>
      </w:pPr>
      <w:r>
        <w:t xml:space="preserve">OptETF </w:t>
      </w:r>
      <w:r>
        <w:t>專案完整模組結構（依</w:t>
      </w:r>
      <w:r>
        <w:t xml:space="preserve"> GitHub </w:t>
      </w:r>
      <w:r>
        <w:t>實際目錄）：</w:t>
      </w:r>
    </w:p>
    <w:p w14:paraId="189CA1C4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FinTech-Project-FinalVersion/</w:t>
      </w:r>
    </w:p>
    <w:p w14:paraId="4BF6A016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main.py                    # 系統入口，preference_mode 切換</w:t>
      </w:r>
    </w:p>
    <w:p w14:paraId="4F685B8F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pipeline_stages.py         # 五階段管線調度器</w:t>
      </w:r>
    </w:p>
    <w:p w14:paraId="718D688B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functions.py               # 核心算法：DEA / BL / SLSQP / g(w)</w:t>
      </w:r>
    </w:p>
    <w:p w14:paraId="58F09667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parameters.py              # 全域參數配置（TOP_N_ETFS=500, etc.)</w:t>
      </w:r>
    </w:p>
    <w:p w14:paraId="20C6DBA4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backtest_engine.py         # Walk-Forward 回測引擎</w:t>
      </w:r>
    </w:p>
    <w:p w14:paraId="07E4DD7A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AHP_weights_setting_script.py  # AHP 問卷腳本</w:t>
      </w:r>
    </w:p>
    <w:p w14:paraId="72113BF4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requirements.txt           # 基本依賴套件</w:t>
      </w:r>
    </w:p>
    <w:p w14:paraId="1A35E70B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requirements-active_preference.txt  # LLM 路徑額外依賴</w:t>
      </w:r>
    </w:p>
    <w:p w14:paraId="20ED5DF3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4D39FBA8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active_preference/         # Active Bayesian LLM 訪談模組</w:t>
      </w:r>
    </w:p>
    <w:p w14:paraId="447847B4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etf_preference_bundle/     # BNN 偏好引擎（10 個 .pt 模型）</w:t>
      </w:r>
    </w:p>
    <w:p w14:paraId="55639EE7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├── *.pt                   # 預訓練 BNN 模型權重</w:t>
      </w:r>
    </w:p>
    <w:p w14:paraId="69D3EDF0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├── canonical_questions/   # 標準化問題池</w:t>
      </w:r>
    </w:p>
    <w:p w14:paraId="025C1138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└── config/                # 校準參數</w:t>
      </w:r>
    </w:p>
    <w:p w14:paraId="210D3C94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13D9CC31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etf_web/                   # Web 前端應用</w:t>
      </w:r>
    </w:p>
    <w:p w14:paraId="257B36CA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├── app.py                 # Flask 主應用（路由、API、管線啟動）</w:t>
      </w:r>
    </w:p>
    <w:p w14:paraId="02F1A5B3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├── templates/             # HTML 模板</w:t>
      </w:r>
    </w:p>
    <w:p w14:paraId="0B6E6DFE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   └── static/                # JS / CSS 前端資源</w:t>
      </w:r>
    </w:p>
    <w:p w14:paraId="267E51F7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71B2D0A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sentiment_engine/          # FinBERT 情緒分析管線</w:t>
      </w:r>
    </w:p>
    <w:p w14:paraId="489BABB1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local_finbert/             # 本地 FinBERT 模型檔案</w:t>
      </w:r>
    </w:p>
    <w:p w14:paraId="17167960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43B03B5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csv/                       # 各 Stage 輸出矩陣（.csv）</w:t>
      </w:r>
    </w:p>
    <w:p w14:paraId="770A1A8E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json/                      # ETF 資料庫（etf_database.json, 212 KB）</w:t>
      </w:r>
    </w:p>
    <w:p w14:paraId="59A9B7B0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EF8CFC0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user_results/              # 七種使用者原型完整分析結果</w:t>
      </w:r>
    </w:p>
    <w:p w14:paraId="0A46D969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experiments/               # 15+ 研究實驗腳本</w:t>
      </w:r>
    </w:p>
    <w:p w14:paraId="5B0F50C2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system_upgrade_records/    # 系統演進記錄（10 份 .md）</w:t>
      </w:r>
    </w:p>
    <w:p w14:paraId="759A047B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0AAD301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ARCHITECTURE.md            # 架構說明文件</w:t>
      </w:r>
    </w:p>
    <w:p w14:paraId="246D8BA1" w14:textId="77777777" w:rsidR="00C56AF5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├── REPORT_A_results_and_math.md  # 數學細節與回測佐證</w:t>
      </w:r>
    </w:p>
    <w:p w14:paraId="19927728" w14:textId="2A76B11A" w:rsidR="00FD2F9E" w:rsidRDefault="00000000">
      <w:pPr>
        <w:spacing w:after="3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└── REPORT_B_design_story.md      # 設計決策背景</w:t>
      </w:r>
      <w:r w:rsidR="00FD2F9E">
        <w:rPr>
          <w:rFonts w:ascii="Courier New" w:eastAsia="Courier New" w:hAnsi="Courier New" w:cs="Courier New"/>
          <w:sz w:val="18"/>
          <w:szCs w:val="18"/>
        </w:rPr>
        <w:br w:type="page"/>
      </w:r>
    </w:p>
    <w:p w14:paraId="45A4AD36" w14:textId="23F26FC8" w:rsidR="00581E96" w:rsidRPr="00BA0C21" w:rsidRDefault="00581E96" w:rsidP="00581E96">
      <w:pPr>
        <w:pStyle w:val="1"/>
        <w:rPr>
          <w:rFonts w:eastAsiaTheme="minorEastAsia"/>
        </w:rPr>
      </w:pPr>
      <w:r>
        <w:lastRenderedPageBreak/>
        <w:t xml:space="preserve">附錄 </w:t>
      </w:r>
      <w:r>
        <w:t>D</w:t>
      </w:r>
      <w:r>
        <w:t>：</w:t>
      </w:r>
      <w:r w:rsidR="00DD525B">
        <w:rPr>
          <w:rFonts w:eastAsiaTheme="minorEastAsia" w:hint="eastAsia"/>
        </w:rPr>
        <w:t>小組分工與簽名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4317"/>
        <w:gridCol w:w="2790"/>
      </w:tblGrid>
      <w:tr w:rsidR="009D6152" w14:paraId="68628317" w14:textId="77777777" w:rsidTr="00864CAE"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421E" w14:textId="3C988AB5" w:rsidR="009D6152" w:rsidRDefault="009D6152" w:rsidP="00C05119">
            <w:pPr>
              <w:rPr>
                <w:rFonts w:hint="eastAsia"/>
              </w:rPr>
            </w:pPr>
            <w:r>
              <w:rPr>
                <w:rFonts w:hint="eastAsia"/>
              </w:rPr>
              <w:t>小組成員</w:t>
            </w:r>
          </w:p>
        </w:tc>
        <w:tc>
          <w:tcPr>
            <w:tcW w:w="4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895D" w14:textId="17B5B0F9" w:rsidR="009D6152" w:rsidRDefault="008370F3" w:rsidP="00C05119">
            <w:r>
              <w:rPr>
                <w:rFonts w:hint="eastAsia"/>
                <w:b/>
                <w:bCs/>
                <w:sz w:val="20"/>
                <w:szCs w:val="20"/>
              </w:rPr>
              <w:t>分工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A075" w14:textId="0E76FC7F" w:rsidR="009D6152" w:rsidRDefault="008370F3" w:rsidP="00C05119">
            <w:pPr>
              <w:rPr>
                <w:rFonts w:hint="eastAsia"/>
              </w:rPr>
            </w:pPr>
            <w:r>
              <w:rPr>
                <w:rFonts w:hint="eastAsia"/>
              </w:rPr>
              <w:t>簽名</w:t>
            </w:r>
          </w:p>
        </w:tc>
      </w:tr>
      <w:tr w:rsidR="009D6152" w14:paraId="2647D9F9" w14:textId="77777777" w:rsidTr="00864CAE"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07DF" w14:textId="6FBF8F5B" w:rsidR="00C70618" w:rsidRDefault="00C70618" w:rsidP="00C05119">
            <w:r w:rsidRPr="00C70618">
              <w:t>110011131</w:t>
            </w:r>
          </w:p>
          <w:p w14:paraId="1E31F7C0" w14:textId="7DC5174E" w:rsidR="009D6152" w:rsidRDefault="00C70618" w:rsidP="00C05119">
            <w:r w:rsidRPr="00C70618">
              <w:t>蔡妮軒</w:t>
            </w:r>
          </w:p>
        </w:tc>
        <w:tc>
          <w:tcPr>
            <w:tcW w:w="4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62CB" w14:textId="19026553" w:rsidR="009D6152" w:rsidRDefault="00677266" w:rsidP="00C05119">
            <w:r w:rsidRPr="00677266">
              <w:t>網頁架構、書</w:t>
            </w:r>
            <w:r w:rsidR="001A47F9">
              <w:rPr>
                <w:rFonts w:hint="eastAsia"/>
              </w:rPr>
              <w:t>面</w:t>
            </w:r>
            <w:r w:rsidRPr="00677266">
              <w:t>報</w:t>
            </w:r>
            <w:r w:rsidR="001A47F9">
              <w:rPr>
                <w:rFonts w:hint="eastAsia"/>
              </w:rPr>
              <w:t>告</w:t>
            </w:r>
            <w:r w:rsidRPr="00677266">
              <w:t>撰寫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C6C9" w14:textId="128DADDA" w:rsidR="009D6152" w:rsidRDefault="00677266" w:rsidP="00C05119">
            <w:r>
              <w:rPr>
                <w:noProof/>
              </w:rPr>
              <w:drawing>
                <wp:inline distT="0" distB="0" distL="0" distR="0" wp14:anchorId="60533C9D" wp14:editId="092DEEEB">
                  <wp:extent cx="1584960" cy="749151"/>
                  <wp:effectExtent l="0" t="0" r="0" b="0"/>
                  <wp:docPr id="14990519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51940" name="圖片 149905194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593305" cy="75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618" w14:paraId="698BD2AD" w14:textId="77777777" w:rsidTr="00864CAE"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99C0" w14:textId="77777777" w:rsidR="00C70618" w:rsidRDefault="00C70618" w:rsidP="00C70618">
            <w:r>
              <w:rPr>
                <w:rFonts w:hint="eastAsia"/>
              </w:rPr>
              <w:t>111034010</w:t>
            </w:r>
          </w:p>
          <w:p w14:paraId="2D81EDD7" w14:textId="4F420A07" w:rsidR="00C70618" w:rsidRDefault="00C70618" w:rsidP="00C70618">
            <w:r>
              <w:rPr>
                <w:rFonts w:hint="eastAsia"/>
              </w:rPr>
              <w:t>羅彥凱</w:t>
            </w:r>
          </w:p>
        </w:tc>
        <w:tc>
          <w:tcPr>
            <w:tcW w:w="4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4AC5" w14:textId="43CBBFE8" w:rsidR="00C70618" w:rsidRDefault="00C70618" w:rsidP="00C70618">
            <w:r>
              <w:rPr>
                <w:rFonts w:hint="eastAsia"/>
              </w:rPr>
              <w:t>系統</w:t>
            </w:r>
            <w:r w:rsidR="00CC27DE">
              <w:rPr>
                <w:rFonts w:hint="eastAsia"/>
              </w:rPr>
              <w:t>程式</w:t>
            </w:r>
            <w:r w:rsidR="001A47F9">
              <w:rPr>
                <w:rFonts w:hint="eastAsia"/>
              </w:rPr>
              <w:t>架構</w:t>
            </w:r>
            <w:r>
              <w:rPr>
                <w:rFonts w:hint="eastAsia"/>
              </w:rPr>
              <w:t>、最佳化方法設計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3929" w14:textId="75116088" w:rsidR="00C70618" w:rsidRDefault="00C70618" w:rsidP="00C70618">
            <w:r>
              <w:rPr>
                <w:noProof/>
              </w:rPr>
              <w:drawing>
                <wp:inline distT="0" distB="0" distL="0" distR="0" wp14:anchorId="36B14761" wp14:editId="4A0C2563">
                  <wp:extent cx="1165860" cy="663279"/>
                  <wp:effectExtent l="0" t="0" r="0" b="3810"/>
                  <wp:docPr id="4739097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90974" name="圖片 4739097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290" cy="66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618" w14:paraId="3126E912" w14:textId="77777777" w:rsidTr="00864CAE"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A1B1" w14:textId="77777777" w:rsidR="00206DEC" w:rsidRDefault="00206DEC" w:rsidP="00C70618">
            <w:r w:rsidRPr="00206DEC">
              <w:t xml:space="preserve">111034058 </w:t>
            </w:r>
          </w:p>
          <w:p w14:paraId="341E2F8F" w14:textId="14F7C00E" w:rsidR="00C70618" w:rsidRDefault="00206DEC" w:rsidP="00C70618">
            <w:pPr>
              <w:rPr>
                <w:rFonts w:hint="eastAsia"/>
              </w:rPr>
            </w:pPr>
            <w:r w:rsidRPr="00206DEC">
              <w:t>林昱佑</w:t>
            </w:r>
          </w:p>
        </w:tc>
        <w:tc>
          <w:tcPr>
            <w:tcW w:w="4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5A69" w14:textId="7C3E6901" w:rsidR="00C70618" w:rsidRPr="0036035D" w:rsidRDefault="00301558" w:rsidP="00C70618">
            <w:pPr>
              <w:rPr>
                <w:rFonts w:hint="eastAsia"/>
              </w:rPr>
            </w:pPr>
            <w:r w:rsidRPr="00301558">
              <w:t>資料彙整</w:t>
            </w:r>
            <w:r w:rsidR="001A47F9">
              <w:rPr>
                <w:rFonts w:hint="eastAsia"/>
              </w:rPr>
              <w:t>與流程設計</w:t>
            </w:r>
            <w:r w:rsidRPr="00301558">
              <w:t>、</w:t>
            </w:r>
            <w:r w:rsidR="003F02C0">
              <w:rPr>
                <w:rFonts w:hint="eastAsia"/>
              </w:rPr>
              <w:t>簡報製作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5565" w14:textId="6BEA0B07" w:rsidR="00C70618" w:rsidRDefault="00C70618" w:rsidP="00C70618">
            <w:r>
              <w:rPr>
                <w:noProof/>
              </w:rPr>
              <w:drawing>
                <wp:inline distT="0" distB="0" distL="0" distR="0" wp14:anchorId="0CB5F006" wp14:editId="2DEDFECD">
                  <wp:extent cx="1187450" cy="519510"/>
                  <wp:effectExtent l="0" t="0" r="0" b="0"/>
                  <wp:docPr id="192702969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029694" name="圖片 192702969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884" cy="52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618" w14:paraId="5ED34ACD" w14:textId="77777777" w:rsidTr="00864CAE"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497B" w14:textId="77777777" w:rsidR="006A09F4" w:rsidRDefault="006A09F4" w:rsidP="00C70618">
            <w:r w:rsidRPr="006A09F4">
              <w:t xml:space="preserve">114071507 </w:t>
            </w:r>
          </w:p>
          <w:p w14:paraId="4D151AA3" w14:textId="066B6938" w:rsidR="00C70618" w:rsidRDefault="006A09F4" w:rsidP="00C70618">
            <w:pPr>
              <w:rPr>
                <w:rFonts w:hint="eastAsia"/>
              </w:rPr>
            </w:pPr>
            <w:r w:rsidRPr="006A09F4">
              <w:t>張立妍</w:t>
            </w:r>
          </w:p>
        </w:tc>
        <w:tc>
          <w:tcPr>
            <w:tcW w:w="4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B65B" w14:textId="69D0E6B6" w:rsidR="00C70618" w:rsidRPr="0036035D" w:rsidRDefault="001A47F9" w:rsidP="00C70618">
            <w:pPr>
              <w:rPr>
                <w:rFonts w:hint="eastAsia"/>
              </w:rPr>
            </w:pPr>
            <w:r>
              <w:rPr>
                <w:rFonts w:hint="eastAsia"/>
              </w:rPr>
              <w:t>主題發想與</w:t>
            </w:r>
            <w:r w:rsidR="003F02C0" w:rsidRPr="003F02C0">
              <w:t>痛點分析、文獻蒐集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A469" w14:textId="2DD9BADB" w:rsidR="00C70618" w:rsidRDefault="00C70618" w:rsidP="00C70618">
            <w:r>
              <w:rPr>
                <w:noProof/>
              </w:rPr>
              <w:drawing>
                <wp:inline distT="0" distB="0" distL="0" distR="0" wp14:anchorId="14E2347C" wp14:editId="5811621E">
                  <wp:extent cx="1485900" cy="745852"/>
                  <wp:effectExtent l="0" t="0" r="0" b="0"/>
                  <wp:docPr id="62634659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346597" name="圖片 62634659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563" cy="75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4F343" w14:textId="14E6D558" w:rsidR="00C56AF5" w:rsidRDefault="00C56AF5">
      <w:pPr>
        <w:spacing w:after="30"/>
      </w:pPr>
    </w:p>
    <w:sectPr w:rsidR="00C56AF5">
      <w:pgSz w:w="11906" w:h="16838"/>
      <w:pgMar w:top="1800" w:right="1600" w:bottom="180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C045" w14:textId="77777777" w:rsidR="00092D78" w:rsidRDefault="00092D78">
      <w:r>
        <w:separator/>
      </w:r>
    </w:p>
  </w:endnote>
  <w:endnote w:type="continuationSeparator" w:id="0">
    <w:p w14:paraId="092C1F0C" w14:textId="77777777" w:rsidR="00092D78" w:rsidRDefault="0009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1908" w14:textId="77777777" w:rsidR="00C56AF5" w:rsidRDefault="00000000">
    <w:pPr>
      <w:pBdr>
        <w:top w:val="single" w:sz="2" w:space="2" w:color="CCCCCC"/>
      </w:pBd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37C1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6005" w14:textId="77777777" w:rsidR="00092D78" w:rsidRDefault="00092D78">
      <w:r>
        <w:separator/>
      </w:r>
    </w:p>
  </w:footnote>
  <w:footnote w:type="continuationSeparator" w:id="0">
    <w:p w14:paraId="3FF3D9BA" w14:textId="77777777" w:rsidR="00092D78" w:rsidRDefault="00092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B51E" w14:textId="77777777" w:rsidR="00C56AF5" w:rsidRDefault="00000000">
    <w:pPr>
      <w:pBdr>
        <w:bottom w:val="single" w:sz="3" w:space="2" w:color="2E75B6"/>
      </w:pBdr>
      <w:jc w:val="right"/>
    </w:pPr>
    <w:proofErr w:type="spellStart"/>
    <w:r>
      <w:rPr>
        <w:color w:val="888888"/>
        <w:sz w:val="18"/>
        <w:szCs w:val="18"/>
      </w:rPr>
      <w:t>OptETF</w:t>
    </w:r>
    <w:proofErr w:type="spellEnd"/>
    <w:r>
      <w:rPr>
        <w:color w:val="888888"/>
        <w:sz w:val="18"/>
        <w:szCs w:val="18"/>
      </w:rPr>
      <w:t>：偏好驅動之智能</w:t>
    </w:r>
    <w:r>
      <w:rPr>
        <w:color w:val="888888"/>
        <w:sz w:val="18"/>
        <w:szCs w:val="18"/>
      </w:rPr>
      <w:t xml:space="preserve"> ETF </w:t>
    </w:r>
    <w:r>
      <w:rPr>
        <w:color w:val="888888"/>
        <w:sz w:val="18"/>
        <w:szCs w:val="18"/>
      </w:rPr>
      <w:t>資產配置系統　第七組期末書報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86B02"/>
    <w:multiLevelType w:val="hybridMultilevel"/>
    <w:tmpl w:val="2988A228"/>
    <w:lvl w:ilvl="0" w:tplc="609CA2AC">
      <w:start w:val="1"/>
      <w:numFmt w:val="bullet"/>
      <w:lvlText w:val="●"/>
      <w:lvlJc w:val="left"/>
      <w:pPr>
        <w:ind w:left="720" w:hanging="360"/>
      </w:pPr>
    </w:lvl>
    <w:lvl w:ilvl="1" w:tplc="36F85A66">
      <w:start w:val="1"/>
      <w:numFmt w:val="bullet"/>
      <w:lvlText w:val="○"/>
      <w:lvlJc w:val="left"/>
      <w:pPr>
        <w:ind w:left="1440" w:hanging="360"/>
      </w:pPr>
    </w:lvl>
    <w:lvl w:ilvl="2" w:tplc="8C040B3C">
      <w:start w:val="1"/>
      <w:numFmt w:val="bullet"/>
      <w:lvlText w:val="■"/>
      <w:lvlJc w:val="left"/>
      <w:pPr>
        <w:ind w:left="2160" w:hanging="360"/>
      </w:pPr>
    </w:lvl>
    <w:lvl w:ilvl="3" w:tplc="3D402F24">
      <w:start w:val="1"/>
      <w:numFmt w:val="bullet"/>
      <w:lvlText w:val="●"/>
      <w:lvlJc w:val="left"/>
      <w:pPr>
        <w:ind w:left="2880" w:hanging="360"/>
      </w:pPr>
    </w:lvl>
    <w:lvl w:ilvl="4" w:tplc="05C00700">
      <w:start w:val="1"/>
      <w:numFmt w:val="bullet"/>
      <w:lvlText w:val="○"/>
      <w:lvlJc w:val="left"/>
      <w:pPr>
        <w:ind w:left="3600" w:hanging="360"/>
      </w:pPr>
    </w:lvl>
    <w:lvl w:ilvl="5" w:tplc="CA8E27F4">
      <w:start w:val="1"/>
      <w:numFmt w:val="bullet"/>
      <w:lvlText w:val="■"/>
      <w:lvlJc w:val="left"/>
      <w:pPr>
        <w:ind w:left="4320" w:hanging="360"/>
      </w:pPr>
    </w:lvl>
    <w:lvl w:ilvl="6" w:tplc="34B0B6B2">
      <w:start w:val="1"/>
      <w:numFmt w:val="bullet"/>
      <w:lvlText w:val="●"/>
      <w:lvlJc w:val="left"/>
      <w:pPr>
        <w:ind w:left="5040" w:hanging="360"/>
      </w:pPr>
    </w:lvl>
    <w:lvl w:ilvl="7" w:tplc="3FA27892">
      <w:start w:val="1"/>
      <w:numFmt w:val="bullet"/>
      <w:lvlText w:val="●"/>
      <w:lvlJc w:val="left"/>
      <w:pPr>
        <w:ind w:left="5760" w:hanging="360"/>
      </w:pPr>
    </w:lvl>
    <w:lvl w:ilvl="8" w:tplc="16B0A1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C7C65"/>
    <w:multiLevelType w:val="hybridMultilevel"/>
    <w:tmpl w:val="0A78088A"/>
    <w:lvl w:ilvl="0" w:tplc="06FAFA4C">
      <w:start w:val="1"/>
      <w:numFmt w:val="bullet"/>
      <w:lvlText w:val="•"/>
      <w:lvlJc w:val="left"/>
      <w:pPr>
        <w:ind w:left="640" w:hanging="320"/>
      </w:pPr>
    </w:lvl>
    <w:lvl w:ilvl="1" w:tplc="E0906E76">
      <w:numFmt w:val="decimal"/>
      <w:lvlText w:val=""/>
      <w:lvlJc w:val="left"/>
    </w:lvl>
    <w:lvl w:ilvl="2" w:tplc="0100AD0E">
      <w:numFmt w:val="decimal"/>
      <w:lvlText w:val=""/>
      <w:lvlJc w:val="left"/>
    </w:lvl>
    <w:lvl w:ilvl="3" w:tplc="92589D96">
      <w:numFmt w:val="decimal"/>
      <w:lvlText w:val=""/>
      <w:lvlJc w:val="left"/>
    </w:lvl>
    <w:lvl w:ilvl="4" w:tplc="0ADC13FE">
      <w:numFmt w:val="decimal"/>
      <w:lvlText w:val=""/>
      <w:lvlJc w:val="left"/>
    </w:lvl>
    <w:lvl w:ilvl="5" w:tplc="5FAA71F0">
      <w:numFmt w:val="decimal"/>
      <w:lvlText w:val=""/>
      <w:lvlJc w:val="left"/>
    </w:lvl>
    <w:lvl w:ilvl="6" w:tplc="8DAC9962">
      <w:numFmt w:val="decimal"/>
      <w:lvlText w:val=""/>
      <w:lvlJc w:val="left"/>
    </w:lvl>
    <w:lvl w:ilvl="7" w:tplc="B0009CFC">
      <w:numFmt w:val="decimal"/>
      <w:lvlText w:val=""/>
      <w:lvlJc w:val="left"/>
    </w:lvl>
    <w:lvl w:ilvl="8" w:tplc="E4D0A686">
      <w:numFmt w:val="decimal"/>
      <w:lvlText w:val=""/>
      <w:lvlJc w:val="left"/>
    </w:lvl>
  </w:abstractNum>
  <w:num w:numId="1" w16cid:durableId="1248537893">
    <w:abstractNumId w:val="0"/>
    <w:lvlOverride w:ilvl="0">
      <w:startOverride w:val="1"/>
    </w:lvlOverride>
  </w:num>
  <w:num w:numId="2" w16cid:durableId="1337150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F5"/>
    <w:rsid w:val="00092D78"/>
    <w:rsid w:val="00093B39"/>
    <w:rsid w:val="000A5ED2"/>
    <w:rsid w:val="000C4588"/>
    <w:rsid w:val="00125D53"/>
    <w:rsid w:val="001A47F9"/>
    <w:rsid w:val="001D3544"/>
    <w:rsid w:val="0020552E"/>
    <w:rsid w:val="00206DEC"/>
    <w:rsid w:val="002327D1"/>
    <w:rsid w:val="00257196"/>
    <w:rsid w:val="00292DE5"/>
    <w:rsid w:val="002C203C"/>
    <w:rsid w:val="00301558"/>
    <w:rsid w:val="00321151"/>
    <w:rsid w:val="00327661"/>
    <w:rsid w:val="003517F4"/>
    <w:rsid w:val="0036035D"/>
    <w:rsid w:val="003A2E60"/>
    <w:rsid w:val="003C4BBC"/>
    <w:rsid w:val="003D2879"/>
    <w:rsid w:val="003E2C27"/>
    <w:rsid w:val="003F02C0"/>
    <w:rsid w:val="00407CB3"/>
    <w:rsid w:val="00417B06"/>
    <w:rsid w:val="00441922"/>
    <w:rsid w:val="004F4A32"/>
    <w:rsid w:val="00581E96"/>
    <w:rsid w:val="00637C10"/>
    <w:rsid w:val="00677266"/>
    <w:rsid w:val="006A09F4"/>
    <w:rsid w:val="007830F2"/>
    <w:rsid w:val="00824B61"/>
    <w:rsid w:val="008370F3"/>
    <w:rsid w:val="00864CAE"/>
    <w:rsid w:val="008A4ACF"/>
    <w:rsid w:val="008C6130"/>
    <w:rsid w:val="009D6152"/>
    <w:rsid w:val="00AF60FA"/>
    <w:rsid w:val="00B00514"/>
    <w:rsid w:val="00B27136"/>
    <w:rsid w:val="00B66B40"/>
    <w:rsid w:val="00B91D99"/>
    <w:rsid w:val="00BA06FE"/>
    <w:rsid w:val="00BA0C21"/>
    <w:rsid w:val="00C56AF5"/>
    <w:rsid w:val="00C70618"/>
    <w:rsid w:val="00CC27DE"/>
    <w:rsid w:val="00D34EEB"/>
    <w:rsid w:val="00D41831"/>
    <w:rsid w:val="00D72E60"/>
    <w:rsid w:val="00DD525B"/>
    <w:rsid w:val="00DE506D"/>
    <w:rsid w:val="00E52237"/>
    <w:rsid w:val="00E97D3C"/>
    <w:rsid w:val="00EB1CA7"/>
    <w:rsid w:val="00EC6636"/>
    <w:rsid w:val="00EF441A"/>
    <w:rsid w:val="00F0323A"/>
    <w:rsid w:val="00F8281D"/>
    <w:rsid w:val="00FB4954"/>
    <w:rsid w:val="00FD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D77FA"/>
  <w15:docId w15:val="{6CC628C5-7995-46E6-9E7F-6230B7D0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472C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Date"/>
    <w:basedOn w:val="a"/>
    <w:next w:val="a"/>
    <w:link w:val="ad"/>
    <w:uiPriority w:val="99"/>
    <w:semiHidden/>
    <w:unhideWhenUsed/>
    <w:rsid w:val="00EF441A"/>
    <w:pPr>
      <w:jc w:val="right"/>
    </w:pPr>
  </w:style>
  <w:style w:type="character" w:customStyle="1" w:styleId="ad">
    <w:name w:val="日期 字元"/>
    <w:basedOn w:val="a0"/>
    <w:link w:val="ac"/>
    <w:uiPriority w:val="99"/>
    <w:semiHidden/>
    <w:rsid w:val="00EF441A"/>
  </w:style>
  <w:style w:type="character" w:styleId="ae">
    <w:name w:val="Placeholder Text"/>
    <w:basedOn w:val="a0"/>
    <w:uiPriority w:val="99"/>
    <w:semiHidden/>
    <w:rsid w:val="003D2879"/>
    <w:rPr>
      <w:color w:val="666666"/>
    </w:rPr>
  </w:style>
  <w:style w:type="paragraph" w:styleId="af">
    <w:name w:val="header"/>
    <w:basedOn w:val="a"/>
    <w:link w:val="af0"/>
    <w:uiPriority w:val="99"/>
    <w:unhideWhenUsed/>
    <w:rsid w:val="008C61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C613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C61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C61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</Pages>
  <Words>2647</Words>
  <Characters>15088</Characters>
  <Application>Microsoft Office Word</Application>
  <DocSecurity>0</DocSecurity>
  <Lines>125</Lines>
  <Paragraphs>35</Paragraphs>
  <ScaleCrop>false</ScaleCrop>
  <Company/>
  <LinksUpToDate>false</LinksUpToDate>
  <CharactersWithSpaces>17700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lo</cp:lastModifiedBy>
  <cp:revision>45</cp:revision>
  <dcterms:created xsi:type="dcterms:W3CDTF">2026-06-07T16:41:00Z</dcterms:created>
  <dcterms:modified xsi:type="dcterms:W3CDTF">2026-06-08T14:00:00Z</dcterms:modified>
</cp:coreProperties>
</file>