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BA7C" w14:textId="77777777" w:rsidR="007118BE" w:rsidRPr="007118BE" w:rsidRDefault="007118BE" w:rsidP="007118BE">
      <w:r w:rsidRPr="007118BE">
        <w:t>針對你的問題：</w:t>
      </w:r>
      <w:r w:rsidRPr="007118BE">
        <w:rPr>
          <w:b/>
          <w:bCs/>
        </w:rPr>
        <w:t>「如果一個人在</w:t>
      </w:r>
      <w:r w:rsidRPr="007118BE">
        <w:rPr>
          <w:b/>
          <w:bCs/>
        </w:rPr>
        <w:t xml:space="preserve"> AHP </w:t>
      </w:r>
      <w:r w:rsidRPr="007118BE">
        <w:rPr>
          <w:b/>
          <w:bCs/>
        </w:rPr>
        <w:t>問卷中表現出完全中立（無偏見），系統的</w:t>
      </w:r>
      <w:r w:rsidRPr="007118BE">
        <w:rPr>
          <w:b/>
          <w:bCs/>
        </w:rPr>
        <w:t xml:space="preserve"> Baseline </w:t>
      </w:r>
      <w:r w:rsidRPr="007118BE">
        <w:rPr>
          <w:b/>
          <w:bCs/>
        </w:rPr>
        <w:t>應該給這</w:t>
      </w:r>
      <w:r w:rsidRPr="007118BE">
        <w:rPr>
          <w:b/>
          <w:bCs/>
        </w:rPr>
        <w:t xml:space="preserve"> 9 </w:t>
      </w:r>
      <w:r w:rsidRPr="007118BE">
        <w:rPr>
          <w:b/>
          <w:bCs/>
        </w:rPr>
        <w:t>個維度多少權重？」</w:t>
      </w:r>
    </w:p>
    <w:p w14:paraId="06A61618" w14:textId="77777777" w:rsidR="007118BE" w:rsidRPr="007118BE" w:rsidRDefault="007118BE" w:rsidP="007118BE">
      <w:r w:rsidRPr="007118BE">
        <w:t>在量化金融文獻與主流機器人理財（</w:t>
      </w:r>
      <w:r w:rsidRPr="007118BE">
        <w:t>Robo-Advisors</w:t>
      </w:r>
      <w:r w:rsidRPr="007118BE">
        <w:t>，如</w:t>
      </w:r>
      <w:r w:rsidRPr="007118BE">
        <w:t xml:space="preserve"> Wealthfront</w:t>
      </w:r>
      <w:r w:rsidRPr="007118BE">
        <w:t>、</w:t>
      </w:r>
      <w:r w:rsidRPr="007118BE">
        <w:t>Betterment</w:t>
      </w:r>
      <w:r w:rsidRPr="007118BE">
        <w:t>）的底層邏輯中，這被稱為</w:t>
      </w:r>
      <w:r w:rsidRPr="007118BE">
        <w:rPr>
          <w:b/>
          <w:bCs/>
        </w:rPr>
        <w:t>「信託責任基準</w:t>
      </w:r>
      <w:r w:rsidRPr="007118BE">
        <w:rPr>
          <w:b/>
          <w:bCs/>
        </w:rPr>
        <w:t xml:space="preserve"> (Fiduciary Duty Baseline)</w:t>
      </w:r>
      <w:r w:rsidRPr="007118BE">
        <w:rPr>
          <w:b/>
          <w:bCs/>
        </w:rPr>
        <w:t>」或「專家先驗權重</w:t>
      </w:r>
      <w:r w:rsidRPr="007118BE">
        <w:rPr>
          <w:b/>
          <w:bCs/>
        </w:rPr>
        <w:t xml:space="preserve"> (Expert Prior Weights)</w:t>
      </w:r>
      <w:r w:rsidRPr="007118BE">
        <w:rPr>
          <w:b/>
          <w:bCs/>
        </w:rPr>
        <w:t>」</w:t>
      </w:r>
      <w:r w:rsidRPr="007118BE">
        <w:t>。</w:t>
      </w:r>
    </w:p>
    <w:p w14:paraId="2CAA518A" w14:textId="77777777" w:rsidR="007118BE" w:rsidRPr="007118BE" w:rsidRDefault="007118BE" w:rsidP="007118BE">
      <w:r w:rsidRPr="007118BE">
        <w:t>學術界與業界的共識是：</w:t>
      </w:r>
      <w:r w:rsidRPr="007118BE">
        <w:rPr>
          <w:b/>
          <w:bCs/>
        </w:rPr>
        <w:t>「使用者的無偏見（</w:t>
      </w:r>
      <w:r w:rsidRPr="007118BE">
        <w:rPr>
          <w:b/>
          <w:bCs/>
        </w:rPr>
        <w:t>Equal Preference</w:t>
      </w:r>
      <w:r w:rsidRPr="007118BE">
        <w:rPr>
          <w:b/>
          <w:bCs/>
        </w:rPr>
        <w:t>），絕對不等於財務特徵上的等權重（</w:t>
      </w:r>
      <w:r w:rsidRPr="007118BE">
        <w:rPr>
          <w:b/>
          <w:bCs/>
        </w:rPr>
        <w:t>1/9 = 11.11%</w:t>
      </w:r>
      <w:r w:rsidRPr="007118BE">
        <w:rPr>
          <w:b/>
          <w:bCs/>
        </w:rPr>
        <w:t>）。」</w:t>
      </w:r>
      <w:r w:rsidRPr="007118BE">
        <w:t xml:space="preserve"> </w:t>
      </w:r>
      <w:r w:rsidRPr="007118BE">
        <w:t>在沒有強烈主觀意識介入時，系統必須預設採用「防禦性與長期確定性最高」的配置。</w:t>
      </w:r>
    </w:p>
    <w:p w14:paraId="1D06E52A" w14:textId="77777777" w:rsidR="007118BE" w:rsidRPr="007118BE" w:rsidRDefault="007118BE" w:rsidP="007118BE">
      <w:r w:rsidRPr="007118BE">
        <w:t>以下我為你梳理財務文獻中的共識，將這</w:t>
      </w:r>
      <w:r w:rsidRPr="007118BE">
        <w:t xml:space="preserve"> 9 </w:t>
      </w:r>
      <w:r w:rsidRPr="007118BE">
        <w:t>個維度分級，並給出一組符合業界標準的</w:t>
      </w:r>
      <w:r w:rsidRPr="007118BE">
        <w:t xml:space="preserve"> Baseline </w:t>
      </w:r>
      <w:r w:rsidRPr="007118BE">
        <w:t>權重參考：</w:t>
      </w:r>
    </w:p>
    <w:p w14:paraId="2C92416B" w14:textId="77777777" w:rsidR="007118BE" w:rsidRPr="007118BE" w:rsidRDefault="007118BE" w:rsidP="007118BE">
      <w:r w:rsidRPr="007118BE">
        <w:pict w14:anchorId="6DD46707">
          <v:rect id="_x0000_i1037" style="width:0;height:1.5pt" o:hralign="center" o:hrstd="t" o:hr="t" fillcolor="#a0a0a0" stroked="f"/>
        </w:pict>
      </w:r>
    </w:p>
    <w:p w14:paraId="01E47274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第一梯隊：確定性與生存的底線</w:t>
      </w:r>
      <w:r w:rsidRPr="007118BE">
        <w:rPr>
          <w:b/>
          <w:bCs/>
        </w:rPr>
        <w:t xml:space="preserve"> (</w:t>
      </w:r>
      <w:r w:rsidRPr="007118BE">
        <w:rPr>
          <w:b/>
          <w:bCs/>
        </w:rPr>
        <w:t>權重佔比：約</w:t>
      </w:r>
      <w:r w:rsidRPr="007118BE">
        <w:rPr>
          <w:b/>
          <w:bCs/>
        </w:rPr>
        <w:t xml:space="preserve"> 50% - 55%)</w:t>
      </w:r>
    </w:p>
    <w:p w14:paraId="340771AE" w14:textId="77777777" w:rsidR="007118BE" w:rsidRPr="007118BE" w:rsidRDefault="007118BE" w:rsidP="007118BE">
      <w:r w:rsidRPr="007118BE">
        <w:t>在學術界，未來的報酬是「預測」，但當下的成本與風險是「已知」。因此，</w:t>
      </w:r>
      <w:r w:rsidRPr="007118BE">
        <w:t xml:space="preserve">Baseline </w:t>
      </w:r>
      <w:r w:rsidRPr="007118BE">
        <w:t>必須重壓這些防禦性指標。</w:t>
      </w:r>
    </w:p>
    <w:p w14:paraId="1CA0FA21" w14:textId="77777777" w:rsidR="007118BE" w:rsidRPr="007118BE" w:rsidRDefault="007118BE" w:rsidP="007118BE">
      <w:pPr>
        <w:numPr>
          <w:ilvl w:val="0"/>
          <w:numId w:val="1"/>
        </w:numPr>
      </w:pPr>
      <w:r w:rsidRPr="007118BE">
        <w:rPr>
          <w:b/>
          <w:bCs/>
        </w:rPr>
        <w:t>1. Cost_ExpRatio (</w:t>
      </w:r>
      <w:r w:rsidRPr="007118BE">
        <w:rPr>
          <w:b/>
          <w:bCs/>
        </w:rPr>
        <w:t>內扣費用</w:t>
      </w:r>
      <w:r w:rsidRPr="007118BE">
        <w:rPr>
          <w:b/>
          <w:bCs/>
        </w:rPr>
        <w:t xml:space="preserve">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20%</w:t>
      </w:r>
    </w:p>
    <w:p w14:paraId="66A88D44" w14:textId="77777777" w:rsidR="007118BE" w:rsidRPr="007118BE" w:rsidRDefault="007118BE" w:rsidP="007118BE">
      <w:pPr>
        <w:numPr>
          <w:ilvl w:val="1"/>
          <w:numId w:val="1"/>
        </w:numPr>
      </w:pPr>
      <w:r w:rsidRPr="007118BE">
        <w:rPr>
          <w:b/>
          <w:bCs/>
        </w:rPr>
        <w:t>文獻支持：</w:t>
      </w:r>
      <w:r w:rsidRPr="007118BE">
        <w:t xml:space="preserve"> </w:t>
      </w:r>
      <w:r w:rsidRPr="007118BE">
        <w:t>指數型基金之父</w:t>
      </w:r>
      <w:r w:rsidRPr="007118BE">
        <w:t xml:space="preserve"> John Bogle </w:t>
      </w:r>
      <w:r w:rsidRPr="007118BE">
        <w:t>與</w:t>
      </w:r>
      <w:r w:rsidRPr="007118BE">
        <w:t xml:space="preserve"> Morningstar </w:t>
      </w:r>
      <w:r w:rsidRPr="007118BE">
        <w:t>的多項實證研究均指出，「費用率是預測基金未來長期績效最可靠的單一指標」。在沒有主觀偏好時，系統應該極度厭惡高昂的管理費。</w:t>
      </w:r>
    </w:p>
    <w:p w14:paraId="6B405C44" w14:textId="77777777" w:rsidR="007118BE" w:rsidRPr="007118BE" w:rsidRDefault="007118BE" w:rsidP="007118BE">
      <w:pPr>
        <w:numPr>
          <w:ilvl w:val="0"/>
          <w:numId w:val="1"/>
        </w:numPr>
      </w:pPr>
      <w:r w:rsidRPr="007118BE">
        <w:rPr>
          <w:b/>
          <w:bCs/>
        </w:rPr>
        <w:t>2. Risk_MaxDD (</w:t>
      </w:r>
      <w:r w:rsidRPr="007118BE">
        <w:rPr>
          <w:b/>
          <w:bCs/>
        </w:rPr>
        <w:t>最大回撤</w:t>
      </w:r>
      <w:r w:rsidRPr="007118BE">
        <w:rPr>
          <w:b/>
          <w:bCs/>
        </w:rPr>
        <w:t xml:space="preserve">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20%</w:t>
      </w:r>
    </w:p>
    <w:p w14:paraId="1F20927E" w14:textId="77777777" w:rsidR="007118BE" w:rsidRPr="007118BE" w:rsidRDefault="007118BE" w:rsidP="007118BE">
      <w:pPr>
        <w:numPr>
          <w:ilvl w:val="1"/>
          <w:numId w:val="1"/>
        </w:numPr>
      </w:pPr>
      <w:r w:rsidRPr="007118BE">
        <w:rPr>
          <w:b/>
          <w:bCs/>
        </w:rPr>
        <w:t>文獻支持：</w:t>
      </w:r>
      <w:r w:rsidRPr="007118BE">
        <w:t xml:space="preserve"> </w:t>
      </w:r>
      <w:r w:rsidRPr="007118BE">
        <w:t>行為財務學中的「展望理論</w:t>
      </w:r>
      <w:r w:rsidRPr="007118BE">
        <w:t xml:space="preserve"> (Prospect Theory)</w:t>
      </w:r>
      <w:r w:rsidRPr="007118BE">
        <w:t>」指出，人類對損失的痛苦是獲得的</w:t>
      </w:r>
      <w:r w:rsidRPr="007118BE">
        <w:t xml:space="preserve"> 2 </w:t>
      </w:r>
      <w:r w:rsidRPr="007118BE">
        <w:t>倍。此外，從數學上來看，跌掉</w:t>
      </w:r>
      <w:r w:rsidRPr="007118BE">
        <w:t xml:space="preserve"> 50% </w:t>
      </w:r>
      <w:r w:rsidRPr="007118BE">
        <w:t>需要上漲</w:t>
      </w:r>
      <w:r w:rsidRPr="007118BE">
        <w:t xml:space="preserve"> 100% </w:t>
      </w:r>
      <w:r w:rsidRPr="007118BE">
        <w:t>才能回本。因此，防禦極端下行風險的權重必須非常高。</w:t>
      </w:r>
    </w:p>
    <w:p w14:paraId="3FA0B3EE" w14:textId="77777777" w:rsidR="007118BE" w:rsidRPr="007118BE" w:rsidRDefault="007118BE" w:rsidP="007118BE">
      <w:pPr>
        <w:numPr>
          <w:ilvl w:val="0"/>
          <w:numId w:val="1"/>
        </w:numPr>
      </w:pPr>
      <w:r w:rsidRPr="007118BE">
        <w:rPr>
          <w:b/>
          <w:bCs/>
        </w:rPr>
        <w:t>3. Risk_Vol (</w:t>
      </w:r>
      <w:r w:rsidRPr="007118BE">
        <w:rPr>
          <w:b/>
          <w:bCs/>
        </w:rPr>
        <w:t>年化波動率</w:t>
      </w:r>
      <w:r w:rsidRPr="007118BE">
        <w:rPr>
          <w:b/>
          <w:bCs/>
        </w:rPr>
        <w:t xml:space="preserve">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10%</w:t>
      </w:r>
    </w:p>
    <w:p w14:paraId="1323883B" w14:textId="77777777" w:rsidR="007118BE" w:rsidRPr="007118BE" w:rsidRDefault="007118BE" w:rsidP="007118BE">
      <w:pPr>
        <w:numPr>
          <w:ilvl w:val="1"/>
          <w:numId w:val="1"/>
        </w:numPr>
      </w:pPr>
      <w:r w:rsidRPr="007118BE">
        <w:rPr>
          <w:b/>
          <w:bCs/>
        </w:rPr>
        <w:t>文獻支持：</w:t>
      </w:r>
      <w:r w:rsidRPr="007118BE">
        <w:t xml:space="preserve"> </w:t>
      </w:r>
      <w:r w:rsidRPr="007118BE">
        <w:t>現代投資組合理論</w:t>
      </w:r>
      <w:r w:rsidRPr="007118BE">
        <w:t xml:space="preserve"> (MPT)</w:t>
      </w:r>
      <w:r w:rsidRPr="007118BE">
        <w:t>。波動率代表持有過程中的顛簸程度，給予</w:t>
      </w:r>
      <w:r w:rsidRPr="007118BE">
        <w:t xml:space="preserve"> 10% </w:t>
      </w:r>
      <w:r w:rsidRPr="007118BE">
        <w:t>確保組合不會輕易被日常的市場雜訊洗盤。</w:t>
      </w:r>
    </w:p>
    <w:p w14:paraId="552DFFF2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第二梯隊：結構安全與長期動能</w:t>
      </w:r>
      <w:r w:rsidRPr="007118BE">
        <w:rPr>
          <w:b/>
          <w:bCs/>
        </w:rPr>
        <w:t xml:space="preserve"> (</w:t>
      </w:r>
      <w:r w:rsidRPr="007118BE">
        <w:rPr>
          <w:b/>
          <w:bCs/>
        </w:rPr>
        <w:t>權重佔比：約</w:t>
      </w:r>
      <w:r w:rsidRPr="007118BE">
        <w:rPr>
          <w:b/>
          <w:bCs/>
        </w:rPr>
        <w:t xml:space="preserve"> 30% - 35%)</w:t>
      </w:r>
    </w:p>
    <w:p w14:paraId="60C0CFD0" w14:textId="77777777" w:rsidR="007118BE" w:rsidRPr="007118BE" w:rsidRDefault="007118BE" w:rsidP="007118BE">
      <w:pPr>
        <w:numPr>
          <w:ilvl w:val="0"/>
          <w:numId w:val="2"/>
        </w:numPr>
      </w:pPr>
      <w:r w:rsidRPr="007118BE">
        <w:rPr>
          <w:b/>
          <w:bCs/>
        </w:rPr>
        <w:lastRenderedPageBreak/>
        <w:t>4. Diversity (</w:t>
      </w:r>
      <w:r w:rsidRPr="007118BE">
        <w:rPr>
          <w:b/>
          <w:bCs/>
        </w:rPr>
        <w:t>真實</w:t>
      </w:r>
      <w:r w:rsidRPr="007118BE">
        <w:rPr>
          <w:b/>
          <w:bCs/>
        </w:rPr>
        <w:t xml:space="preserve"> Sector HHI)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15%</w:t>
      </w:r>
    </w:p>
    <w:p w14:paraId="5FF143CA" w14:textId="77777777" w:rsidR="007118BE" w:rsidRPr="007118BE" w:rsidRDefault="007118BE" w:rsidP="007118BE">
      <w:pPr>
        <w:numPr>
          <w:ilvl w:val="1"/>
          <w:numId w:val="2"/>
        </w:numPr>
      </w:pPr>
      <w:r w:rsidRPr="007118BE">
        <w:rPr>
          <w:b/>
          <w:bCs/>
        </w:rPr>
        <w:t>文獻支持：</w:t>
      </w:r>
      <w:r w:rsidRPr="007118BE">
        <w:t xml:space="preserve"> </w:t>
      </w:r>
      <w:r w:rsidRPr="007118BE">
        <w:t>橋水基金創辦人</w:t>
      </w:r>
      <w:r w:rsidRPr="007118BE">
        <w:t xml:space="preserve"> Ray Dalio </w:t>
      </w:r>
      <w:r w:rsidRPr="007118BE">
        <w:t>稱分散投資為「金融界的聖杯</w:t>
      </w:r>
      <w:r w:rsidRPr="007118BE">
        <w:t xml:space="preserve"> (Holy Grail of Investing)</w:t>
      </w:r>
      <w:r w:rsidRPr="007118BE">
        <w:t>」。真實的分散度能消除非系統性風險。既然你準備引入真實</w:t>
      </w:r>
      <w:r w:rsidRPr="007118BE">
        <w:t xml:space="preserve"> HHI</w:t>
      </w:r>
      <w:r w:rsidRPr="007118BE">
        <w:t>，這項指標在</w:t>
      </w:r>
      <w:r w:rsidRPr="007118BE">
        <w:t xml:space="preserve"> Baseline </w:t>
      </w:r>
      <w:r w:rsidRPr="007118BE">
        <w:t>中理應佔據重要地位。</w:t>
      </w:r>
    </w:p>
    <w:p w14:paraId="45C2856F" w14:textId="77777777" w:rsidR="007118BE" w:rsidRPr="007118BE" w:rsidRDefault="007118BE" w:rsidP="007118BE">
      <w:pPr>
        <w:numPr>
          <w:ilvl w:val="0"/>
          <w:numId w:val="2"/>
        </w:numPr>
      </w:pPr>
      <w:r w:rsidRPr="007118BE">
        <w:rPr>
          <w:b/>
          <w:bCs/>
        </w:rPr>
        <w:t>5. Return_CAGR (</w:t>
      </w:r>
      <w:r w:rsidRPr="007118BE">
        <w:rPr>
          <w:b/>
          <w:bCs/>
        </w:rPr>
        <w:t>歷史年化報酬</w:t>
      </w:r>
      <w:r w:rsidRPr="007118BE">
        <w:rPr>
          <w:b/>
          <w:bCs/>
        </w:rPr>
        <w:t xml:space="preserve">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15%</w:t>
      </w:r>
    </w:p>
    <w:p w14:paraId="5285C020" w14:textId="77777777" w:rsidR="007118BE" w:rsidRPr="007118BE" w:rsidRDefault="007118BE" w:rsidP="007118BE">
      <w:pPr>
        <w:numPr>
          <w:ilvl w:val="1"/>
          <w:numId w:val="2"/>
        </w:numPr>
      </w:pPr>
      <w:r w:rsidRPr="007118BE">
        <w:rPr>
          <w:b/>
          <w:bCs/>
        </w:rPr>
        <w:t>文獻支持：</w:t>
      </w:r>
      <w:r w:rsidRPr="007118BE">
        <w:t xml:space="preserve"> </w:t>
      </w:r>
      <w:r w:rsidRPr="007118BE">
        <w:t>雖然法馬</w:t>
      </w:r>
      <w:r w:rsidRPr="007118BE">
        <w:t>-</w:t>
      </w:r>
      <w:r w:rsidRPr="007118BE">
        <w:t>法蘭奇</w:t>
      </w:r>
      <w:r w:rsidRPr="007118BE">
        <w:t xml:space="preserve"> (Fama-French) </w:t>
      </w:r>
      <w:r w:rsidRPr="007118BE">
        <w:t>模型承認動能因子</w:t>
      </w:r>
      <w:r w:rsidRPr="007118BE">
        <w:t xml:space="preserve"> (Momentum) </w:t>
      </w:r>
      <w:r w:rsidRPr="007118BE">
        <w:t>的存在，但金融法規皆明訂「過去績效不代表未來表現」。因此，歷史報酬在專家系統中只能作為輔助的動能參考，權重不宜超過成本與風險。</w:t>
      </w:r>
    </w:p>
    <w:p w14:paraId="70286C6E" w14:textId="77777777" w:rsidR="007118BE" w:rsidRPr="007118BE" w:rsidRDefault="007118BE" w:rsidP="007118BE">
      <w:pPr>
        <w:numPr>
          <w:ilvl w:val="0"/>
          <w:numId w:val="2"/>
        </w:numPr>
      </w:pPr>
      <w:r w:rsidRPr="007118BE">
        <w:rPr>
          <w:b/>
          <w:bCs/>
        </w:rPr>
        <w:t>6. Return_Div (</w:t>
      </w:r>
      <w:r w:rsidRPr="007118BE">
        <w:rPr>
          <w:b/>
          <w:bCs/>
        </w:rPr>
        <w:t>殖利率</w:t>
      </w:r>
      <w:r w:rsidRPr="007118BE">
        <w:rPr>
          <w:b/>
          <w:bCs/>
        </w:rPr>
        <w:t xml:space="preserve">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5%</w:t>
      </w:r>
    </w:p>
    <w:p w14:paraId="59D4ABE0" w14:textId="77777777" w:rsidR="007118BE" w:rsidRPr="007118BE" w:rsidRDefault="007118BE" w:rsidP="007118BE">
      <w:pPr>
        <w:numPr>
          <w:ilvl w:val="1"/>
          <w:numId w:val="2"/>
        </w:numPr>
      </w:pPr>
      <w:r w:rsidRPr="007118BE">
        <w:rPr>
          <w:b/>
          <w:bCs/>
        </w:rPr>
        <w:t>文獻支持：</w:t>
      </w:r>
      <w:r w:rsidRPr="007118BE">
        <w:t xml:space="preserve"> </w:t>
      </w:r>
      <w:r w:rsidRPr="007118BE">
        <w:t>除非使用者特別偏好現金流（高股息），否則在總報酬（</w:t>
      </w:r>
      <w:r w:rsidRPr="007118BE">
        <w:t>Total Return</w:t>
      </w:r>
      <w:r w:rsidRPr="007118BE">
        <w:t>）的觀念下，殖利率過高反而會產生稅務拖累。給予</w:t>
      </w:r>
      <w:r w:rsidRPr="007118BE">
        <w:t xml:space="preserve"> 5% </w:t>
      </w:r>
      <w:r w:rsidRPr="007118BE">
        <w:t>作為價值型因子的微小代理指標即可。</w:t>
      </w:r>
    </w:p>
    <w:p w14:paraId="4ED28A37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第三梯隊：門檻達標即遞減的輔助指標</w:t>
      </w:r>
      <w:r w:rsidRPr="007118BE">
        <w:rPr>
          <w:b/>
          <w:bCs/>
        </w:rPr>
        <w:t xml:space="preserve"> (</w:t>
      </w:r>
      <w:r w:rsidRPr="007118BE">
        <w:rPr>
          <w:b/>
          <w:bCs/>
        </w:rPr>
        <w:t>權重佔比：約</w:t>
      </w:r>
      <w:r w:rsidRPr="007118BE">
        <w:rPr>
          <w:b/>
          <w:bCs/>
        </w:rPr>
        <w:t xml:space="preserve"> 10%)</w:t>
      </w:r>
    </w:p>
    <w:p w14:paraId="7E0D31A6" w14:textId="77777777" w:rsidR="007118BE" w:rsidRPr="007118BE" w:rsidRDefault="007118BE" w:rsidP="007118BE">
      <w:r w:rsidRPr="007118BE">
        <w:t>流動性在量化模型中通常具備「邊際效用遞減」的特性。只要</w:t>
      </w:r>
      <w:r w:rsidRPr="007118BE">
        <w:t xml:space="preserve"> ETF </w:t>
      </w:r>
      <w:r w:rsidRPr="007118BE">
        <w:t>不要太小、不要太難買賣就好，超過某個門檻後，規模再大對散戶的意義也不大。</w:t>
      </w:r>
    </w:p>
    <w:p w14:paraId="5B36AD0E" w14:textId="77777777" w:rsidR="007118BE" w:rsidRPr="007118BE" w:rsidRDefault="007118BE" w:rsidP="007118BE">
      <w:pPr>
        <w:numPr>
          <w:ilvl w:val="0"/>
          <w:numId w:val="3"/>
        </w:numPr>
      </w:pPr>
      <w:r w:rsidRPr="007118BE">
        <w:rPr>
          <w:b/>
          <w:bCs/>
        </w:rPr>
        <w:t>7. Liq_AUM (</w:t>
      </w:r>
      <w:r w:rsidRPr="007118BE">
        <w:rPr>
          <w:b/>
          <w:bCs/>
        </w:rPr>
        <w:t>資產規模</w:t>
      </w:r>
      <w:r w:rsidRPr="007118BE">
        <w:rPr>
          <w:b/>
          <w:bCs/>
        </w:rPr>
        <w:t xml:space="preserve">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5%</w:t>
      </w:r>
    </w:p>
    <w:p w14:paraId="5B99E6BF" w14:textId="77777777" w:rsidR="007118BE" w:rsidRPr="007118BE" w:rsidRDefault="007118BE" w:rsidP="007118BE">
      <w:pPr>
        <w:numPr>
          <w:ilvl w:val="1"/>
          <w:numId w:val="3"/>
        </w:numPr>
      </w:pPr>
      <w:r w:rsidRPr="007118BE">
        <w:t>代表市場信任度與</w:t>
      </w:r>
      <w:r w:rsidRPr="007118BE">
        <w:t xml:space="preserve"> ETF </w:t>
      </w:r>
      <w:r w:rsidRPr="007118BE">
        <w:t>被清算的風險。</w:t>
      </w:r>
    </w:p>
    <w:p w14:paraId="3A362679" w14:textId="77777777" w:rsidR="007118BE" w:rsidRPr="007118BE" w:rsidRDefault="007118BE" w:rsidP="007118BE">
      <w:pPr>
        <w:numPr>
          <w:ilvl w:val="0"/>
          <w:numId w:val="3"/>
        </w:numPr>
      </w:pPr>
      <w:r w:rsidRPr="007118BE">
        <w:rPr>
          <w:b/>
          <w:bCs/>
        </w:rPr>
        <w:t>8. Liq_Volume (</w:t>
      </w:r>
      <w:r w:rsidRPr="007118BE">
        <w:rPr>
          <w:b/>
          <w:bCs/>
        </w:rPr>
        <w:t>日均交易量</w:t>
      </w:r>
      <w:r w:rsidRPr="007118BE">
        <w:rPr>
          <w:b/>
          <w:bCs/>
        </w:rPr>
        <w:t xml:space="preserve">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5%</w:t>
      </w:r>
    </w:p>
    <w:p w14:paraId="4A6EB7D0" w14:textId="77777777" w:rsidR="007118BE" w:rsidRPr="007118BE" w:rsidRDefault="007118BE" w:rsidP="007118BE">
      <w:pPr>
        <w:numPr>
          <w:ilvl w:val="1"/>
          <w:numId w:val="3"/>
        </w:numPr>
      </w:pPr>
      <w:r w:rsidRPr="007118BE">
        <w:t>確保買賣時的買賣價差</w:t>
      </w:r>
      <w:r w:rsidRPr="007118BE">
        <w:t xml:space="preserve"> (Bid-Ask Spread) </w:t>
      </w:r>
      <w:r w:rsidRPr="007118BE">
        <w:t>不會吃掉利潤。</w:t>
      </w:r>
    </w:p>
    <w:p w14:paraId="148E87D3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第四梯隊：雜訊與超額報酬的</w:t>
      </w:r>
      <w:r w:rsidRPr="007118BE">
        <w:rPr>
          <w:b/>
          <w:bCs/>
        </w:rPr>
        <w:t xml:space="preserve"> Alpha </w:t>
      </w:r>
      <w:r w:rsidRPr="007118BE">
        <w:rPr>
          <w:b/>
          <w:bCs/>
        </w:rPr>
        <w:t>疊加</w:t>
      </w:r>
      <w:r w:rsidRPr="007118BE">
        <w:rPr>
          <w:b/>
          <w:bCs/>
        </w:rPr>
        <w:t xml:space="preserve"> (</w:t>
      </w:r>
      <w:r w:rsidRPr="007118BE">
        <w:rPr>
          <w:b/>
          <w:bCs/>
        </w:rPr>
        <w:t>權重佔比：約</w:t>
      </w:r>
      <w:r w:rsidRPr="007118BE">
        <w:rPr>
          <w:b/>
          <w:bCs/>
        </w:rPr>
        <w:t xml:space="preserve"> 5%)</w:t>
      </w:r>
    </w:p>
    <w:p w14:paraId="3AFD544A" w14:textId="77777777" w:rsidR="007118BE" w:rsidRPr="007118BE" w:rsidRDefault="007118BE" w:rsidP="007118BE">
      <w:pPr>
        <w:numPr>
          <w:ilvl w:val="0"/>
          <w:numId w:val="4"/>
        </w:numPr>
      </w:pPr>
      <w:r w:rsidRPr="007118BE">
        <w:rPr>
          <w:b/>
          <w:bCs/>
        </w:rPr>
        <w:t>9. FinBERT_score (</w:t>
      </w:r>
      <w:r w:rsidRPr="007118BE">
        <w:rPr>
          <w:b/>
          <w:bCs/>
        </w:rPr>
        <w:t>宏觀情緒分數</w:t>
      </w:r>
      <w:r w:rsidRPr="007118BE">
        <w:rPr>
          <w:b/>
          <w:bCs/>
        </w:rPr>
        <w:t xml:space="preserve">) - </w:t>
      </w:r>
      <w:r w:rsidRPr="007118BE">
        <w:rPr>
          <w:b/>
          <w:bCs/>
        </w:rPr>
        <w:t>建議基準權重：</w:t>
      </w:r>
      <w:r w:rsidRPr="007118BE">
        <w:rPr>
          <w:b/>
          <w:bCs/>
        </w:rPr>
        <w:t>5%</w:t>
      </w:r>
    </w:p>
    <w:p w14:paraId="23975BEC" w14:textId="77777777" w:rsidR="007118BE" w:rsidRPr="007118BE" w:rsidRDefault="007118BE" w:rsidP="007118BE">
      <w:pPr>
        <w:numPr>
          <w:ilvl w:val="1"/>
          <w:numId w:val="4"/>
        </w:numPr>
      </w:pPr>
      <w:r w:rsidRPr="007118BE">
        <w:rPr>
          <w:b/>
          <w:bCs/>
        </w:rPr>
        <w:t>文獻支持：</w:t>
      </w:r>
      <w:r w:rsidRPr="007118BE">
        <w:t xml:space="preserve"> NLP </w:t>
      </w:r>
      <w:r w:rsidRPr="007118BE">
        <w:t>情緒分析在文獻中被歸類為「短期動能與市場微觀結構」的</w:t>
      </w:r>
      <w:r w:rsidRPr="007118BE">
        <w:t xml:space="preserve"> Alpha </w:t>
      </w:r>
      <w:r w:rsidRPr="007118BE">
        <w:t>因子。它雖然能捕捉市場熱度，但雜訊極高且經常均值回歸。在一個以長期穩健為目標的</w:t>
      </w:r>
      <w:r w:rsidRPr="007118BE">
        <w:t xml:space="preserve"> Baseline </w:t>
      </w:r>
      <w:r w:rsidRPr="007118BE">
        <w:t>組合中，它只能扮演</w:t>
      </w:r>
      <w:r w:rsidRPr="007118BE">
        <w:t xml:space="preserve"> 5% </w:t>
      </w:r>
      <w:r w:rsidRPr="007118BE">
        <w:t>的「微調疊加</w:t>
      </w:r>
      <w:r w:rsidRPr="007118BE">
        <w:t xml:space="preserve"> (Overlay)</w:t>
      </w:r>
      <w:r w:rsidRPr="007118BE">
        <w:t>」角色，用來在基本面相似的標的中做最終的勝負裁決。</w:t>
      </w:r>
    </w:p>
    <w:p w14:paraId="00AE39B1" w14:textId="77777777" w:rsidR="007118BE" w:rsidRPr="007118BE" w:rsidRDefault="007118BE" w:rsidP="007118BE">
      <w:r w:rsidRPr="007118BE">
        <w:lastRenderedPageBreak/>
        <w:pict w14:anchorId="08815CDA">
          <v:rect id="_x0000_i1038" style="width:0;height:1.5pt" o:hralign="center" o:hrstd="t" o:hr="t" fillcolor="#a0a0a0" stroked="f"/>
        </w:pict>
      </w:r>
    </w:p>
    <w:p w14:paraId="36E7DD52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總結：你的專家守護矩陣</w:t>
      </w:r>
    </w:p>
    <w:p w14:paraId="78225819" w14:textId="77777777" w:rsidR="007118BE" w:rsidRPr="007118BE" w:rsidRDefault="007118BE" w:rsidP="007118BE">
      <w:r w:rsidRPr="007118BE">
        <w:t>如果我們把上述文獻探討化為實際的設定值，你的系統預設</w:t>
      </w:r>
      <w:r w:rsidRPr="007118BE">
        <w:t xml:space="preserve"> W_baseline </w:t>
      </w:r>
      <w:r w:rsidRPr="007118BE">
        <w:t>大致會長這樣：</w:t>
      </w:r>
    </w:p>
    <w:p w14:paraId="589A9D0F" w14:textId="77777777" w:rsidR="007118BE" w:rsidRPr="007118BE" w:rsidRDefault="007118BE" w:rsidP="007118BE">
      <w:pPr>
        <w:numPr>
          <w:ilvl w:val="0"/>
          <w:numId w:val="5"/>
        </w:numPr>
      </w:pPr>
      <w:r w:rsidRPr="007118BE">
        <w:rPr>
          <w:b/>
          <w:bCs/>
        </w:rPr>
        <w:t>風險管控派</w:t>
      </w:r>
      <w:r w:rsidRPr="007118BE">
        <w:rPr>
          <w:b/>
          <w:bCs/>
        </w:rPr>
        <w:t xml:space="preserve"> (50%)</w:t>
      </w:r>
      <w:r w:rsidRPr="007118BE">
        <w:rPr>
          <w:b/>
          <w:bCs/>
        </w:rPr>
        <w:t>：</w:t>
      </w:r>
      <w:r w:rsidRPr="007118BE">
        <w:t xml:space="preserve"> Cost (20%), MaxDD (20%), Vol (10%)</w:t>
      </w:r>
    </w:p>
    <w:p w14:paraId="3E882A88" w14:textId="77777777" w:rsidR="007118BE" w:rsidRPr="007118BE" w:rsidRDefault="007118BE" w:rsidP="007118BE">
      <w:pPr>
        <w:numPr>
          <w:ilvl w:val="0"/>
          <w:numId w:val="5"/>
        </w:numPr>
      </w:pPr>
      <w:r w:rsidRPr="007118BE">
        <w:rPr>
          <w:b/>
          <w:bCs/>
        </w:rPr>
        <w:t>報酬與結構</w:t>
      </w:r>
      <w:r w:rsidRPr="007118BE">
        <w:rPr>
          <w:b/>
          <w:bCs/>
        </w:rPr>
        <w:t xml:space="preserve"> (35%)</w:t>
      </w:r>
      <w:r w:rsidRPr="007118BE">
        <w:rPr>
          <w:b/>
          <w:bCs/>
        </w:rPr>
        <w:t>：</w:t>
      </w:r>
      <w:r w:rsidRPr="007118BE">
        <w:t xml:space="preserve"> HHI (15%), CAGR (15%), Div_Yield (5%)</w:t>
      </w:r>
    </w:p>
    <w:p w14:paraId="08D47455" w14:textId="77777777" w:rsidR="007118BE" w:rsidRPr="007118BE" w:rsidRDefault="007118BE" w:rsidP="007118BE">
      <w:pPr>
        <w:numPr>
          <w:ilvl w:val="0"/>
          <w:numId w:val="5"/>
        </w:numPr>
      </w:pPr>
      <w:r w:rsidRPr="007118BE">
        <w:rPr>
          <w:b/>
          <w:bCs/>
        </w:rPr>
        <w:t>流動與情緒</w:t>
      </w:r>
      <w:r w:rsidRPr="007118BE">
        <w:rPr>
          <w:b/>
          <w:bCs/>
        </w:rPr>
        <w:t xml:space="preserve"> (15%)</w:t>
      </w:r>
      <w:r w:rsidRPr="007118BE">
        <w:rPr>
          <w:b/>
          <w:bCs/>
        </w:rPr>
        <w:t>：</w:t>
      </w:r>
      <w:r w:rsidRPr="007118BE">
        <w:t xml:space="preserve"> AUM (5%), Volume (5%), FinBERT (5%)</w:t>
      </w:r>
    </w:p>
    <w:p w14:paraId="66B7E9E1" w14:textId="77777777" w:rsidR="004C1E32" w:rsidRDefault="004C1E32"/>
    <w:sectPr w:rsidR="004C1E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5D86"/>
    <w:multiLevelType w:val="multilevel"/>
    <w:tmpl w:val="579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A32EC"/>
    <w:multiLevelType w:val="multilevel"/>
    <w:tmpl w:val="84D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F3B56"/>
    <w:multiLevelType w:val="multilevel"/>
    <w:tmpl w:val="04E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C5FEC"/>
    <w:multiLevelType w:val="multilevel"/>
    <w:tmpl w:val="487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13D8B"/>
    <w:multiLevelType w:val="multilevel"/>
    <w:tmpl w:val="6C1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08681">
    <w:abstractNumId w:val="3"/>
  </w:num>
  <w:num w:numId="2" w16cid:durableId="109595080">
    <w:abstractNumId w:val="2"/>
  </w:num>
  <w:num w:numId="3" w16cid:durableId="655496910">
    <w:abstractNumId w:val="1"/>
  </w:num>
  <w:num w:numId="4" w16cid:durableId="1427117199">
    <w:abstractNumId w:val="0"/>
  </w:num>
  <w:num w:numId="5" w16cid:durableId="65761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9B"/>
    <w:rsid w:val="004C1E32"/>
    <w:rsid w:val="004E43DC"/>
    <w:rsid w:val="0050253D"/>
    <w:rsid w:val="0064290A"/>
    <w:rsid w:val="006D04C2"/>
    <w:rsid w:val="007118BE"/>
    <w:rsid w:val="00932E9B"/>
    <w:rsid w:val="00AF771A"/>
    <w:rsid w:val="00BD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0E06"/>
  <w15:chartTrackingRefBased/>
  <w15:docId w15:val="{BD3A060C-C1B9-4089-AF50-93E11B5F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E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E9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E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E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E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E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E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2E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2E9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2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2E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2E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2E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2E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2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E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2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2E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E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E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2E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2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2</cp:revision>
  <dcterms:created xsi:type="dcterms:W3CDTF">2026-04-16T00:04:00Z</dcterms:created>
  <dcterms:modified xsi:type="dcterms:W3CDTF">2026-04-16T00:04:00Z</dcterms:modified>
</cp:coreProperties>
</file>