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8BB3"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Dear Editors,</w:t>
      </w:r>
    </w:p>
    <w:p w14:paraId="3303383B"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1D90FFFC"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Please consider the enclosed manuscript,</w:t>
      </w:r>
    </w:p>
    <w:p w14:paraId="5EB92423"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7FAC3864"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 xml:space="preserve">"Dynamic Entity Field Integration (DEFI): A Coupled </w:t>
      </w:r>
      <w:proofErr w:type="spellStart"/>
      <w:r w:rsidRPr="00301A71">
        <w:rPr>
          <w:rFonts w:ascii="Times New Roman" w:eastAsia="Times New Roman" w:hAnsi="Times New Roman" w:cs="Times New Roman"/>
          <w:kern w:val="0"/>
          <w14:ligatures w14:val="none"/>
        </w:rPr>
        <w:t>Lagrangian</w:t>
      </w:r>
      <w:proofErr w:type="spellEnd"/>
      <w:r w:rsidRPr="00301A71">
        <w:rPr>
          <w:rFonts w:ascii="Times New Roman" w:eastAsia="Times New Roman" w:hAnsi="Times New Roman" w:cs="Times New Roman"/>
          <w:kern w:val="0"/>
          <w14:ligatures w14:val="none"/>
        </w:rPr>
        <w:t xml:space="preserve"> Construction Unifying SEFI Identity and GWFM Geometry"</w:t>
      </w:r>
    </w:p>
    <w:p w14:paraId="0CFC40D4"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444FB917"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for publication in AIP Advances.</w:t>
      </w:r>
    </w:p>
    <w:p w14:paraId="417C8A69"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61D6BCED"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 xml:space="preserve">This work presents a formal variational construction of Dynamic Entity Field Integration (DEFI), a framework previously introduced in the SEFI/GWFM literature as the dynamical mechanism linking identity-space and geometric degrees of freedom. Earlier treatments employed a stability-manifold invariance condition as a guiding principle but did not derive that condition from an underlying action. The present manuscript addresses that gap by constructing DEFI as a coupled </w:t>
      </w:r>
      <w:proofErr w:type="spellStart"/>
      <w:r w:rsidRPr="00301A71">
        <w:rPr>
          <w:rFonts w:ascii="Times New Roman" w:eastAsia="Times New Roman" w:hAnsi="Times New Roman" w:cs="Times New Roman"/>
          <w:kern w:val="0"/>
          <w14:ligatures w14:val="none"/>
        </w:rPr>
        <w:t>Lagrangian</w:t>
      </w:r>
      <w:proofErr w:type="spellEnd"/>
      <w:r w:rsidRPr="00301A71">
        <w:rPr>
          <w:rFonts w:ascii="Times New Roman" w:eastAsia="Times New Roman" w:hAnsi="Times New Roman" w:cs="Times New Roman"/>
          <w:kern w:val="0"/>
          <w14:ligatures w14:val="none"/>
        </w:rPr>
        <w:t xml:space="preserve"> system on a product configuration space M × I, combining geometric worldline variables with identity-space coordinates within a single variational framework.</w:t>
      </w:r>
    </w:p>
    <w:p w14:paraId="061AC7B0"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4C6B5A84"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The paper develops a symmetric coupling potential connecting curvature and torsion invariants from the Geometric Worldline Field Model (GWFM) with the Sovereignty and Warp coordinates of the Single Entity Field Interpretation (SEFI), modulated by the Authorship coordinate. The resulting Euler-Lagrange equations recover the previously stipulated DEFI invariance condition as an equilibrium condition of the coupled dynamics rather than as an assumed postulate. The work further identifies a conserved Origin-sector quantity through a Noether analysis of the decoupled Origin subsystem.</w:t>
      </w:r>
    </w:p>
    <w:p w14:paraId="4D7C60E7"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379E6DC9"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An important aspect of the construction is an explicit extension of SEFI identity structure from a scalar identity functional to a four-component identity-space manifold. This extension is stated directly as a new axiomatic assumption required for the variational formulation and is discussed openly in the manuscript.</w:t>
      </w:r>
    </w:p>
    <w:p w14:paraId="53E69920"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508D4A0C"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The manuscript is theoretical in nature and focuses on geometric dynamics, variational methods, coupled manifold systems, and mathematical field construction. We believe the work will be of interest to readers concerned with geometric approaches to dynamical systems, variational principles, and foundational field-theoretic frameworks.</w:t>
      </w:r>
    </w:p>
    <w:p w14:paraId="575E9E00"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63E05890"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This manuscript is original, has not been published previously, and is not under consideration for publication elsewhere.</w:t>
      </w:r>
    </w:p>
    <w:p w14:paraId="30B2821A"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4B35E79A"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Thank you for your consideration.</w:t>
      </w:r>
    </w:p>
    <w:p w14:paraId="6E02D5B6"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7DCD8DFE"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Sincerely,</w:t>
      </w:r>
    </w:p>
    <w:p w14:paraId="51CD323F"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p>
    <w:p w14:paraId="480D8728"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Jason Dutton</w:t>
      </w:r>
    </w:p>
    <w:p w14:paraId="4A06F56D" w14:textId="77777777" w:rsidR="00301A71" w:rsidRPr="00301A71" w:rsidRDefault="00301A71" w:rsidP="00301A71">
      <w:pPr>
        <w:spacing w:after="0" w:line="240" w:lineRule="auto"/>
        <w:rPr>
          <w:rFonts w:ascii="Times New Roman" w:eastAsia="Times New Roman" w:hAnsi="Times New Roman" w:cs="Times New Roman"/>
          <w:kern w:val="0"/>
          <w14:ligatures w14:val="none"/>
        </w:rPr>
      </w:pPr>
      <w:r w:rsidRPr="00301A71">
        <w:rPr>
          <w:rFonts w:ascii="Times New Roman" w:eastAsia="Times New Roman" w:hAnsi="Times New Roman" w:cs="Times New Roman"/>
          <w:kern w:val="0"/>
          <w14:ligatures w14:val="none"/>
        </w:rPr>
        <w:t>Castlewood, Virginia, USA</w:t>
      </w:r>
    </w:p>
    <w:p w14:paraId="0D0F54D6"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71"/>
    <w:rsid w:val="00301A71"/>
    <w:rsid w:val="0043622F"/>
    <w:rsid w:val="00697A2B"/>
    <w:rsid w:val="00BD0617"/>
    <w:rsid w:val="00D338F1"/>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F18D"/>
  <w15:chartTrackingRefBased/>
  <w15:docId w15:val="{CD74DBE2-4CB1-4DDC-88E2-89A3F4EC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71"/>
    <w:rPr>
      <w:rFonts w:eastAsiaTheme="majorEastAsia" w:cstheme="majorBidi"/>
      <w:color w:val="272727" w:themeColor="text1" w:themeTint="D8"/>
    </w:rPr>
  </w:style>
  <w:style w:type="paragraph" w:styleId="Title">
    <w:name w:val="Title"/>
    <w:basedOn w:val="Normal"/>
    <w:next w:val="Normal"/>
    <w:link w:val="TitleChar"/>
    <w:uiPriority w:val="10"/>
    <w:qFormat/>
    <w:rsid w:val="00301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71"/>
    <w:pPr>
      <w:spacing w:before="160"/>
      <w:jc w:val="center"/>
    </w:pPr>
    <w:rPr>
      <w:i/>
      <w:iCs/>
      <w:color w:val="404040" w:themeColor="text1" w:themeTint="BF"/>
    </w:rPr>
  </w:style>
  <w:style w:type="character" w:customStyle="1" w:styleId="QuoteChar">
    <w:name w:val="Quote Char"/>
    <w:basedOn w:val="DefaultParagraphFont"/>
    <w:link w:val="Quote"/>
    <w:uiPriority w:val="29"/>
    <w:rsid w:val="00301A71"/>
    <w:rPr>
      <w:i/>
      <w:iCs/>
      <w:color w:val="404040" w:themeColor="text1" w:themeTint="BF"/>
    </w:rPr>
  </w:style>
  <w:style w:type="paragraph" w:styleId="ListParagraph">
    <w:name w:val="List Paragraph"/>
    <w:basedOn w:val="Normal"/>
    <w:uiPriority w:val="34"/>
    <w:qFormat/>
    <w:rsid w:val="00301A71"/>
    <w:pPr>
      <w:ind w:left="720"/>
      <w:contextualSpacing/>
    </w:pPr>
  </w:style>
  <w:style w:type="character" w:styleId="IntenseEmphasis">
    <w:name w:val="Intense Emphasis"/>
    <w:basedOn w:val="DefaultParagraphFont"/>
    <w:uiPriority w:val="21"/>
    <w:qFormat/>
    <w:rsid w:val="00301A71"/>
    <w:rPr>
      <w:i/>
      <w:iCs/>
      <w:color w:val="0F4761" w:themeColor="accent1" w:themeShade="BF"/>
    </w:rPr>
  </w:style>
  <w:style w:type="paragraph" w:styleId="IntenseQuote">
    <w:name w:val="Intense Quote"/>
    <w:basedOn w:val="Normal"/>
    <w:next w:val="Normal"/>
    <w:link w:val="IntenseQuoteChar"/>
    <w:uiPriority w:val="30"/>
    <w:qFormat/>
    <w:rsid w:val="00301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71"/>
    <w:rPr>
      <w:i/>
      <w:iCs/>
      <w:color w:val="0F4761" w:themeColor="accent1" w:themeShade="BF"/>
    </w:rPr>
  </w:style>
  <w:style w:type="character" w:styleId="IntenseReference">
    <w:name w:val="Intense Reference"/>
    <w:basedOn w:val="DefaultParagraphFont"/>
    <w:uiPriority w:val="32"/>
    <w:qFormat/>
    <w:rsid w:val="00301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dcterms:created xsi:type="dcterms:W3CDTF">2026-09-18T15:07:00Z</dcterms:created>
  <dcterms:modified xsi:type="dcterms:W3CDTF">2026-09-18T15:09:00Z</dcterms:modified>
</cp:coreProperties>
</file>