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wjs6z6tjf3pm" w:id="0"/>
      <w:bookmarkEnd w:id="0"/>
      <w:r w:rsidDel="00000000" w:rsidR="00000000" w:rsidRPr="00000000">
        <w:rPr>
          <w:rtl w:val="0"/>
        </w:rPr>
        <w:t xml:space="preserve">Project Info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Frondoor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Frontdoor-PL/SQL Service-Based Modernization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August, 6th, 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3xkht6yjrldc" w:id="1"/>
      <w:bookmarkEnd w:id="1"/>
      <w:r w:rsidDel="00000000" w:rsidR="00000000" w:rsidRPr="00000000">
        <w:rPr>
          <w:rtl w:val="0"/>
        </w:rPr>
        <w:t xml:space="preserve">Meeting Objectives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 effective and well-executed internal project kickoff will help the project team with the following:</w:t>
      </w:r>
    </w:p>
    <w:p w:rsidR="00000000" w:rsidDel="00000000" w:rsidP="00000000" w:rsidRDefault="00000000" w:rsidRPr="00000000" w14:paraId="00000008">
      <w:pPr>
        <w:numPr>
          <w:ilvl w:val="0"/>
          <w:numId w:val="3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 aware of any key insights that 66 learned via the pre-sales process (such as why the client chose 66degrees for the project, budget/pricing strategies, client personalities/politics, cautionary guidance, special callouts, etc.) </w:t>
      </w:r>
    </w:p>
    <w:p w:rsidR="00000000" w:rsidDel="00000000" w:rsidP="00000000" w:rsidRDefault="00000000" w:rsidRPr="00000000" w14:paraId="00000009">
      <w:pPr>
        <w:numPr>
          <w:ilvl w:val="0"/>
          <w:numId w:val="39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Understand the project scope and deliverables; and </w:t>
      </w:r>
      <w:r w:rsidDel="00000000" w:rsidR="00000000" w:rsidRPr="00000000">
        <w:rPr>
          <w:i w:val="1"/>
          <w:iCs w:val="1"/>
          <w:rtl w:val="0"/>
        </w:rPr>
        <w:t xml:space="preserve">equally important,</w:t>
      </w:r>
      <w:r w:rsidDel="00000000" w:rsidR="00000000" w:rsidRPr="00000000">
        <w:rPr>
          <w:rtl w:val="0"/>
        </w:rPr>
        <w:t xml:space="preserve"> the Solution Assumptions/Out of Scope/Client Responsibilities boundaries/parameters that were used during pre-sales to shape and estimate the project</w:t>
      </w:r>
    </w:p>
    <w:p w:rsidR="00000000" w:rsidDel="00000000" w:rsidP="00000000" w:rsidRDefault="00000000" w:rsidRPr="00000000" w14:paraId="0000000A">
      <w:pPr>
        <w:numPr>
          <w:ilvl w:val="0"/>
          <w:numId w:val="39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Understand the client’s objectives, success criteria, and/or how the client will derive value from the project</w:t>
      </w:r>
    </w:p>
    <w:p w:rsidR="00000000" w:rsidDel="00000000" w:rsidP="00000000" w:rsidRDefault="00000000" w:rsidRPr="00000000" w14:paraId="0000000B">
      <w:pPr>
        <w:numPr>
          <w:ilvl w:val="0"/>
          <w:numId w:val="39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Clarity and mutual expectations with respect to workstream and Deliverables ownership</w:t>
      </w:r>
    </w:p>
    <w:p w:rsidR="00000000" w:rsidDel="00000000" w:rsidP="00000000" w:rsidRDefault="00000000" w:rsidRPr="00000000" w14:paraId="0000000C">
      <w:pPr>
        <w:numPr>
          <w:ilvl w:val="0"/>
          <w:numId w:val="39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 any Risks that need to be managed from the outset of the project</w:t>
      </w:r>
    </w:p>
    <w:p w:rsidR="00000000" w:rsidDel="00000000" w:rsidP="00000000" w:rsidRDefault="00000000" w:rsidRPr="00000000" w14:paraId="0000000D">
      <w:pPr>
        <w:numPr>
          <w:ilvl w:val="0"/>
          <w:numId w:val="39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Establish an action plan to further set the project into motion</w:t>
      </w:r>
    </w:p>
    <w:p w:rsidR="00000000" w:rsidDel="00000000" w:rsidP="00000000" w:rsidRDefault="00000000" w:rsidRPr="00000000" w14:paraId="0000000E">
      <w:pPr>
        <w:numPr>
          <w:ilvl w:val="0"/>
          <w:numId w:val="39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Align on external kickoff agenda, content, and responsibilities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z5zz8jekrcbv" w:id="2"/>
      <w:bookmarkEnd w:id="2"/>
      <w:r w:rsidDel="00000000" w:rsidR="00000000" w:rsidRPr="00000000">
        <w:rPr>
          <w:rtl w:val="0"/>
        </w:rPr>
        <w:t xml:space="preserve">Agenda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Use the following agenda as guidance for the internal project kickoff.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The expectation should be that project team members have reviewed the contract (e.g. SOW, Work Order, Change Order, etc) </w:t>
      </w:r>
      <w:r w:rsidDel="00000000" w:rsidR="00000000" w:rsidRPr="00000000">
        <w:rPr>
          <w:u w:val="single"/>
          <w:rtl w:val="0"/>
        </w:rPr>
        <w:t xml:space="preserve">prior to</w:t>
      </w:r>
      <w:r w:rsidDel="00000000" w:rsidR="00000000" w:rsidRPr="00000000">
        <w:rPr>
          <w:rtl w:val="0"/>
        </w:rPr>
        <w:t xml:space="preserve"> the internal kickoff meeting.</w:t>
      </w:r>
    </w:p>
    <w:tbl>
      <w:tblPr>
        <w:tblStyle w:val="Table1"/>
        <w:tblW w:w="9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"/>
        <w:gridCol w:w="2220"/>
        <w:gridCol w:w="4695"/>
        <w:tblGridChange w:id="0">
          <w:tblGrid>
            <w:gridCol w:w="3000"/>
            <w:gridCol w:w="2220"/>
            <w:gridCol w:w="469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Agenda</w:t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Link</w:t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Definition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 Introductions</w:t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rPr/>
            </w:pPr>
            <w:hyperlink w:anchor="_w40mb7xtvj8o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Project Team and Roles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 meet &amp; greet: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9"/>
              </w:numPr>
              <w:spacing w:after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Name/Team/Title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9"/>
              </w:numPr>
              <w:spacing w:after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Location/Time Zone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9"/>
              </w:numPr>
              <w:spacing w:after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Have you worked on similar projects and/or this client in the past?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9"/>
              </w:numPr>
              <w:spacing w:after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Little-known or fun fact ice-breaker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 Objectives &amp; Value</w:t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rPr/>
            </w:pPr>
            <w:hyperlink w:anchor="_swosvlykhemq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Objectives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Team discussion about the client’s desired outcomes, what will provide them the greatest value from the project – and why.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Migration Approach</w:t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rPr/>
            </w:pPr>
            <w:hyperlink w:anchor="_swosvlykhemq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 Implementation Approach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 discussion, clarification, establish a common understanding, focused on: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2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Project Approach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2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Project Timeline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scope</w:t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rPr/>
            </w:pPr>
            <w:hyperlink w:anchor="_3oqrxqk7q5mf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Project Scope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 discussion, clarification, establish a common understanding, focused on: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8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Project Scope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8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Project Approach &amp; Activities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Deliverables Ownership</w:t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rPr/>
            </w:pPr>
            <w:hyperlink w:anchor="_8l0o4arkz04m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Deliverables Ownership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 the table below.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Sales-to-Delivery Handoff Review</w:t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 to S2D Doc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Debrief on key take-aways, open items, issues, etc. from the S2D Handoff. Keep it quick and to-the-point!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Questions, Risks &amp; Issues</w:t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rPr/>
            </w:pPr>
            <w:hyperlink w:anchor="_s710ebrh3c9y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Risk Management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Capture any open questions, risks, issues.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Action Items</w:t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rPr/>
            </w:pPr>
            <w:hyperlink w:anchor="_15vm1u0cdbl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Action Items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Discuss and complete the table below.</w:t>
            </w:r>
          </w:p>
        </w:tc>
      </w:tr>
    </w:tbl>
    <w:p w:rsidR="00000000" w:rsidDel="00000000" w:rsidP="00000000" w:rsidRDefault="00000000" w:rsidRPr="00000000" w14:paraId="00000035">
      <w:pPr>
        <w:widowControl w:val="0"/>
        <w:spacing w:after="60" w:before="0" w:line="276" w:lineRule="auto"/>
        <w:rPr>
          <w:b w:val="1"/>
          <w:bCs w:val="1"/>
          <w:color w:val="d9582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w40mb7xtvj8o" w:id="3"/>
      <w:bookmarkEnd w:id="3"/>
      <w:r w:rsidDel="00000000" w:rsidR="00000000" w:rsidRPr="00000000">
        <w:rPr>
          <w:rtl w:val="0"/>
        </w:rPr>
        <w:t xml:space="preserve">Project Team &amp; Roles</w:t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2595"/>
        <w:gridCol w:w="1725"/>
        <w:gridCol w:w="1665"/>
        <w:gridCol w:w="1995"/>
        <w:tblGridChange w:id="0">
          <w:tblGrid>
            <w:gridCol w:w="1995"/>
            <w:gridCol w:w="2595"/>
            <w:gridCol w:w="1725"/>
            <w:gridCol w:w="1665"/>
            <w:gridCol w:w="199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Project Role(s)</w:t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Assignment Start Date</w:t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Project Allocation</w:t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8" w:val="single"/>
              <w:right w:color="a8a8a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Attended Internal Kickoff?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rPr>
                <w:rFonts w:ascii="Roboto" w:cs="Roboto" w:eastAsia="Roboto" w:hAnsi="Roboto"/>
                <w:sz w:val="20"/>
                <w:szCs w:val="20"/>
                <w:shd w:fill="f3f3f3" w:val="clear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shd w:fill="f3f3f3" w:val="clear"/>
                <w:rtl w:val="0"/>
              </w:rPr>
              <w:t xml:space="preserve">Amit Athalye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rPr>
                <w:rFonts w:ascii="Roboto" w:cs="Roboto" w:eastAsia="Roboto" w:hAnsi="Roboto"/>
                <w:sz w:val="20"/>
                <w:szCs w:val="20"/>
                <w:shd w:fill="f3f3f3" w:val="clear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shd w:fill="f3f3f3" w:val="clear"/>
                <w:rtl w:val="0"/>
              </w:rPr>
              <w:t xml:space="preserve">Delivery Manager</w:t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81818"/>
                <w:sz w:val="20"/>
                <w:szCs w:val="20"/>
                <w:shd w:fill="f3f3f3" w:val="clear"/>
                <w:rtl w:val="0"/>
              </w:rPr>
              <w:t xml:space="preserve">7/27/2026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8" w:val="single"/>
              <w:left w:color="a8a8a8" w:space="0" w:sz="8" w:val="single"/>
              <w:bottom w:color="a8a8a8" w:space="0" w:sz="8" w:val="single"/>
              <w:right w:color="a8a8a8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rPr>
                <w:highlight w:val="yellow"/>
              </w:rPr>
            </w:pPr>
            <w:sdt>
              <w:sdtPr>
                <w:alias w:val="Configuration 1"/>
                <w:id w:val="1384302647"/>
                <w:dropDownList w:lastValue="Yes">
                  <w:listItem w:displayText="Yes" w:value="Yes"/>
                  <w:listItem w:displayText="No" w:value="No"/>
                  <w:listItem w:displayText="TBD" w:value="TBD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shd w:fill="f3f3f3" w:val="clear"/>
                <w:rtl w:val="0"/>
              </w:rPr>
              <w:t xml:space="preserve">Farheen Fathima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rPr>
                <w:rFonts w:ascii="Roboto" w:cs="Roboto" w:eastAsia="Roboto" w:hAnsi="Roboto"/>
                <w:color w:val="181818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81818"/>
                <w:sz w:val="20"/>
                <w:szCs w:val="20"/>
                <w:rtl w:val="0"/>
              </w:rPr>
              <w:t xml:space="preserve">QA Engineer</w:t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81818"/>
                <w:sz w:val="20"/>
                <w:szCs w:val="20"/>
                <w:shd w:fill="f3f3f3" w:val="clear"/>
                <w:rtl w:val="0"/>
              </w:rPr>
              <w:t xml:space="preserve">7/27/2026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a8a8a8" w:space="0" w:sz="8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rPr/>
            </w:pPr>
            <w:sdt>
              <w:sdtPr>
                <w:alias w:val="Configuration 1"/>
                <w:id w:val="-1924838188"/>
                <w:dropDownList w:lastValue="TBD">
                  <w:listItem w:displayText="Yes" w:value="Yes"/>
                  <w:listItem w:displayText="No" w:value="No"/>
                  <w:listItem w:displayText="TBD" w:value="TBD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TBD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shd w:fill="f3f3f3" w:val="clear"/>
                <w:rtl w:val="0"/>
              </w:rPr>
              <w:t xml:space="preserve">Jay Zende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81818"/>
                <w:sz w:val="20"/>
                <w:szCs w:val="20"/>
                <w:shd w:fill="f3f3f3" w:val="clear"/>
                <w:rtl w:val="0"/>
              </w:rPr>
              <w:t xml:space="preserve">Cloud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81818"/>
                <w:sz w:val="20"/>
                <w:szCs w:val="20"/>
                <w:shd w:fill="f3f3f3" w:val="clear"/>
                <w:rtl w:val="0"/>
              </w:rPr>
              <w:t xml:space="preserve">7/27/2026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rPr>
                <w:highlight w:val="yellow"/>
              </w:rPr>
            </w:pPr>
            <w:sdt>
              <w:sdtPr>
                <w:alias w:val="Configuration 1"/>
                <w:id w:val="521167474"/>
                <w:dropDownList w:lastValue="Yes">
                  <w:listItem w:displayText="Yes" w:value="Yes"/>
                  <w:listItem w:displayText="No" w:value="No"/>
                  <w:listItem w:displayText="TBD" w:value="TBD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shd w:fill="f3f3f3" w:val="clear"/>
                <w:rtl w:val="0"/>
              </w:rPr>
              <w:t xml:space="preserve">Kavitha A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rPr>
                <w:rFonts w:ascii="Roboto" w:cs="Roboto" w:eastAsia="Roboto" w:hAnsi="Roboto"/>
                <w:color w:val="181818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81818"/>
                <w:sz w:val="20"/>
                <w:szCs w:val="20"/>
                <w:rtl w:val="0"/>
              </w:rPr>
              <w:t xml:space="preserve">Cloud Engineer</w:t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81818"/>
                <w:sz w:val="20"/>
                <w:szCs w:val="20"/>
                <w:shd w:fill="f3f3f3" w:val="clear"/>
                <w:rtl w:val="0"/>
              </w:rPr>
              <w:t xml:space="preserve">7/27/2026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rPr/>
            </w:pPr>
            <w:sdt>
              <w:sdtPr>
                <w:alias w:val="Configuration 1"/>
                <w:id w:val="1873454230"/>
                <w:dropDownList w:lastValue="TBD">
                  <w:listItem w:displayText="Yes" w:value="Yes"/>
                  <w:listItem w:displayText="No" w:value="No"/>
                  <w:listItem w:displayText="TBD" w:value="TBD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TBD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shd w:fill="f3f3f3" w:val="clear"/>
                <w:rtl w:val="0"/>
              </w:rPr>
              <w:t xml:space="preserve">Nicholas Brandon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81818"/>
                <w:sz w:val="20"/>
                <w:szCs w:val="20"/>
                <w:shd w:fill="f3f3f3" w:val="clear"/>
                <w:rtl w:val="0"/>
              </w:rPr>
              <w:t xml:space="preserve">Cloud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81818"/>
                <w:sz w:val="20"/>
                <w:szCs w:val="20"/>
                <w:shd w:fill="f3f3f3" w:val="clear"/>
                <w:rtl w:val="0"/>
              </w:rPr>
              <w:t xml:space="preserve">7/27/2026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rPr/>
            </w:pPr>
            <w:sdt>
              <w:sdtPr>
                <w:alias w:val="Configuration 1"/>
                <w:id w:val="1611840676"/>
                <w:dropDownList w:lastValue="TBD">
                  <w:listItem w:displayText="Yes" w:value="Yes"/>
                  <w:listItem w:displayText="No" w:value="No"/>
                  <w:listItem w:displayText="TBD" w:value="TBD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TBD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shd w:fill="f3f3f3" w:val="clear"/>
                <w:rtl w:val="0"/>
              </w:rPr>
              <w:t xml:space="preserve">Paulo Masis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81818"/>
                <w:sz w:val="20"/>
                <w:szCs w:val="20"/>
                <w:shd w:fill="f3f3f3" w:val="clear"/>
                <w:rtl w:val="0"/>
              </w:rPr>
              <w:t xml:space="preserve">App Dev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81818"/>
                <w:sz w:val="20"/>
                <w:szCs w:val="20"/>
                <w:shd w:fill="f3f3f3" w:val="clear"/>
                <w:rtl w:val="0"/>
              </w:rPr>
              <w:t xml:space="preserve">7/27/2026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rPr/>
            </w:pPr>
            <w:sdt>
              <w:sdtPr>
                <w:alias w:val="Configuration 1"/>
                <w:id w:val="2099676428"/>
                <w:dropDownList w:lastValue="Yes">
                  <w:listItem w:displayText="Yes" w:value="Yes"/>
                  <w:listItem w:displayText="No" w:value="No"/>
                  <w:listItem w:displayText="TBD" w:value="TBD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shd w:fill="f3f3f3" w:val="clear"/>
                <w:rtl w:val="0"/>
              </w:rPr>
              <w:t xml:space="preserve">Pradeep Belgavkar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81818"/>
                <w:sz w:val="20"/>
                <w:szCs w:val="20"/>
                <w:shd w:fill="f3f3f3" w:val="clear"/>
                <w:rtl w:val="0"/>
              </w:rPr>
              <w:t xml:space="preserve">Back End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81818"/>
                <w:sz w:val="20"/>
                <w:szCs w:val="20"/>
                <w:shd w:fill="f3f3f3" w:val="clear"/>
                <w:rtl w:val="0"/>
              </w:rPr>
              <w:t xml:space="preserve">7/27/2026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rPr>
                <w:highlight w:val="yellow"/>
              </w:rPr>
            </w:pPr>
            <w:sdt>
              <w:sdtPr>
                <w:alias w:val="Configuration 1"/>
                <w:id w:val="1157375853"/>
                <w:dropDownList w:lastValue="Yes">
                  <w:listItem w:displayText="Yes" w:value="Yes"/>
                  <w:listItem w:displayText="No" w:value="No"/>
                  <w:listItem w:displayText="TBD" w:value="TBD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shd w:fill="f3f3f3" w:val="clear"/>
                <w:rtl w:val="0"/>
              </w:rPr>
              <w:t xml:space="preserve">Rajeshwari Betageri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rPr>
                <w:rFonts w:ascii="Roboto" w:cs="Roboto" w:eastAsia="Roboto" w:hAnsi="Roboto"/>
                <w:color w:val="181818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81818"/>
                <w:sz w:val="20"/>
                <w:szCs w:val="20"/>
                <w:rtl w:val="0"/>
              </w:rPr>
              <w:t xml:space="preserve">QA Lead</w:t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81818"/>
                <w:sz w:val="20"/>
                <w:szCs w:val="20"/>
                <w:shd w:fill="f3f3f3" w:val="clear"/>
                <w:rtl w:val="0"/>
              </w:rPr>
              <w:t xml:space="preserve">7/27/2026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rPr/>
            </w:pPr>
            <w:sdt>
              <w:sdtPr>
                <w:alias w:val="Configuration 1"/>
                <w:id w:val="1239026026"/>
                <w:dropDownList w:lastValue="Yes">
                  <w:listItem w:displayText="Yes" w:value="Yes"/>
                  <w:listItem w:displayText="No" w:value="No"/>
                  <w:listItem w:displayText="TBD" w:value="TBD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a8a8a8" w:space="0" w:sz="6" w:val="single"/>
              <w:left w:color="a8a8a8" w:space="0" w:sz="6" w:val="single"/>
              <w:bottom w:color="000000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shd w:fill="f3f3f3" w:val="clear"/>
                <w:rtl w:val="0"/>
              </w:rPr>
              <w:t xml:space="preserve">Rohan Gundi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000000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81818"/>
                <w:sz w:val="20"/>
                <w:szCs w:val="20"/>
                <w:shd w:fill="f3f3f3" w:val="clear"/>
                <w:rtl w:val="0"/>
              </w:rPr>
              <w:t xml:space="preserve">Back End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000000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81818"/>
                <w:sz w:val="20"/>
                <w:szCs w:val="20"/>
                <w:shd w:fill="f3f3f3" w:val="clear"/>
                <w:rtl w:val="0"/>
              </w:rPr>
              <w:t xml:space="preserve">8/2/2026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000000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000000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rPr/>
            </w:pPr>
            <w:sdt>
              <w:sdtPr>
                <w:alias w:val="Configuration 1"/>
                <w:id w:val="-2080717380"/>
                <w:dropDownList w:lastValue="TBD">
                  <w:listItem w:displayText="Yes" w:value="Yes"/>
                  <w:listItem w:displayText="No" w:value="No"/>
                  <w:listItem w:displayText="TBD" w:value="TBD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TBD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before="0" w:line="240" w:lineRule="auto"/>
              <w:rPr>
                <w:rFonts w:ascii="Roboto" w:cs="Roboto" w:eastAsia="Roboto" w:hAnsi="Roboto"/>
                <w:color w:val="0176d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shd w:fill="f3f3f3" w:val="clear"/>
                <w:rtl w:val="0"/>
              </w:rPr>
              <w:t xml:space="preserve">Sneha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81818"/>
                <w:sz w:val="20"/>
                <w:szCs w:val="20"/>
                <w:shd w:fill="f3f3f3" w:val="clear"/>
                <w:rtl w:val="0"/>
              </w:rPr>
              <w:t xml:space="preserve">QA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81818"/>
                <w:sz w:val="20"/>
                <w:szCs w:val="20"/>
                <w:shd w:fill="f3f3f3" w:val="clear"/>
                <w:rtl w:val="0"/>
              </w:rPr>
              <w:t xml:space="preserve">7/27/2026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rPr/>
            </w:pPr>
            <w:sdt>
              <w:sdtPr>
                <w:alias w:val="Configuration 1"/>
                <w:id w:val="-1967697801"/>
                <w:dropDownList w:lastValue="TBD">
                  <w:listItem w:displayText="Yes" w:value="Yes"/>
                  <w:listItem w:displayText="No" w:value="No"/>
                  <w:listItem w:displayText="TBD" w:value="TBD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TBD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shd w:fill="f3f3f3" w:val="clear"/>
                <w:rtl w:val="0"/>
              </w:rPr>
              <w:t xml:space="preserve">Surya Manduri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81818"/>
                <w:sz w:val="20"/>
                <w:szCs w:val="20"/>
                <w:shd w:fill="f3f3f3" w:val="clear"/>
                <w:rtl w:val="0"/>
              </w:rPr>
              <w:t xml:space="preserve">App Dev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81818"/>
                <w:sz w:val="20"/>
                <w:szCs w:val="20"/>
                <w:shd w:fill="f3f3f3" w:val="clear"/>
                <w:rtl w:val="0"/>
              </w:rPr>
              <w:t xml:space="preserve">8/2/2026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rPr/>
            </w:pPr>
            <w:sdt>
              <w:sdtPr>
                <w:alias w:val="Configuration 1"/>
                <w:id w:val="869830186"/>
                <w:dropDownList w:lastValue="Yes">
                  <w:listItem w:displayText="Yes" w:value="Yes"/>
                  <w:listItem w:displayText="No" w:value="No"/>
                  <w:listItem w:displayText="TBD" w:value="TBD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rPr/>
            </w:pPr>
            <w:hyperlink r:id="rId7">
              <w:r w:rsidDel="00000000" w:rsidR="00000000" w:rsidRPr="00000000">
                <w:rPr>
                  <w:rFonts w:ascii="Roboto" w:cs="Roboto" w:eastAsia="Roboto" w:hAnsi="Roboto"/>
                  <w:color w:val="355d96"/>
                  <w:sz w:val="20"/>
                  <w:szCs w:val="20"/>
                  <w:u w:val="single"/>
                  <w:shd w:fill="f3f3f3" w:val="clear"/>
                  <w:rtl w:val="0"/>
                </w:rPr>
                <w:t xml:space="preserve">Alexandre Little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rPr>
                <w:rFonts w:ascii="Roboto" w:cs="Roboto" w:eastAsia="Roboto" w:hAnsi="Roboto"/>
                <w:sz w:val="20"/>
                <w:szCs w:val="20"/>
                <w:shd w:fill="f3f3f3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181818"/>
                <w:sz w:val="20"/>
                <w:szCs w:val="20"/>
                <w:shd w:fill="f3f3f3" w:val="clear"/>
                <w:rtl w:val="0"/>
              </w:rPr>
              <w:t xml:space="preserve">App Dev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81818"/>
                <w:sz w:val="20"/>
                <w:szCs w:val="20"/>
                <w:shd w:fill="f3f3f3" w:val="clear"/>
                <w:rtl w:val="0"/>
              </w:rPr>
              <w:t xml:space="preserve">7/27/2026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rPr/>
            </w:pPr>
            <w:sdt>
              <w:sdtPr>
                <w:alias w:val="Configuration 1"/>
                <w:id w:val="-1773602042"/>
                <w:dropDownList w:lastValue="Yes">
                  <w:listItem w:displayText="Yes" w:value="Yes"/>
                  <w:listItem w:displayText="No" w:value="No"/>
                  <w:listItem w:displayText="TBD" w:value="TBD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rPr>
                <w:rFonts w:ascii="Roboto" w:cs="Roboto" w:eastAsia="Roboto" w:hAnsi="Roboto"/>
                <w:sz w:val="20"/>
                <w:szCs w:val="20"/>
                <w:shd w:fill="f3f3f3" w:val="clear"/>
              </w:rPr>
            </w:pPr>
            <w:hyperlink r:id="rId8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20"/>
                  <w:szCs w:val="20"/>
                  <w:u w:val="single"/>
                  <w:shd w:fill="f3f3f3" w:val="clear"/>
                  <w:rtl w:val="0"/>
                </w:rPr>
                <w:t xml:space="preserve">Arunakumara YB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81818"/>
                <w:sz w:val="20"/>
                <w:szCs w:val="20"/>
                <w:shd w:fill="f3f3f3" w:val="clear"/>
                <w:rtl w:val="0"/>
              </w:rPr>
              <w:t xml:space="preserve">App Dev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81818"/>
                <w:sz w:val="20"/>
                <w:szCs w:val="20"/>
                <w:shd w:fill="f3f3f3" w:val="clear"/>
                <w:rtl w:val="0"/>
              </w:rPr>
              <w:t xml:space="preserve">8/2/2026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rPr>
                <w:highlight w:val="yellow"/>
              </w:rPr>
            </w:pPr>
            <w:sdt>
              <w:sdtPr>
                <w:alias w:val="Configuration 1"/>
                <w:id w:val="1021738523"/>
                <w:dropDownList w:lastValue="Yes">
                  <w:listItem w:displayText="Yes" w:value="Yes"/>
                  <w:listItem w:displayText="No" w:value="No"/>
                  <w:listItem w:displayText="TBD" w:value="TBD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rPr/>
            </w:pPr>
            <w:hyperlink r:id="rId9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20"/>
                  <w:szCs w:val="20"/>
                  <w:u w:val="single"/>
                  <w:shd w:fill="f3f3f3" w:val="clear"/>
                  <w:rtl w:val="0"/>
                </w:rPr>
                <w:t xml:space="preserve">Jackie Scherer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shd w:fill="f3f3f3" w:val="clear"/>
                <w:rtl w:val="0"/>
              </w:rPr>
              <w:t xml:space="preserve">Delivery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81818"/>
                <w:sz w:val="20"/>
                <w:szCs w:val="20"/>
                <w:shd w:fill="f3f3f3" w:val="clear"/>
                <w:rtl w:val="0"/>
              </w:rPr>
              <w:t xml:space="preserve">8/2/2026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rPr>
                <w:highlight w:val="yellow"/>
              </w:rPr>
            </w:pPr>
            <w:sdt>
              <w:sdtPr>
                <w:alias w:val="Configuration 1"/>
                <w:id w:val="693346605"/>
                <w:dropDownList w:lastValue="Yes">
                  <w:listItem w:displayText="Yes" w:value="Yes"/>
                  <w:listItem w:displayText="No" w:value="No"/>
                  <w:listItem w:displayText="TBD" w:value="TBD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rPr>
                <w:highlight w:val="yellow"/>
              </w:rPr>
            </w:pPr>
            <w:sdt>
              <w:sdtPr>
                <w:alias w:val="Configuration 1"/>
                <w:id w:val="-2046359596"/>
                <w:dropDownList w:lastValue="Yes">
                  <w:listItem w:displayText="Yes" w:value="Yes"/>
                  <w:listItem w:displayText="No" w:value="No"/>
                  <w:listItem w:displayText="TBD" w:value="TBD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rPr>
                <w:highlight w:val="yellow"/>
              </w:rPr>
            </w:pPr>
            <w:sdt>
              <w:sdtPr>
                <w:alias w:val="Configuration 1"/>
                <w:id w:val="1977800179"/>
                <w:dropDownList w:lastValue="Yes">
                  <w:listItem w:displayText="Yes" w:value="Yes"/>
                  <w:listItem w:displayText="No" w:value="No"/>
                  <w:listItem w:displayText="TBD" w:value="TBD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>
          <w:rFonts w:ascii="Work Sans" w:cs="Work Sans" w:eastAsia="Work Sans" w:hAnsi="Work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Note to Project Team Members:</w:t>
      </w:r>
      <w:r w:rsidDel="00000000" w:rsidR="00000000" w:rsidRPr="00000000">
        <w:rPr>
          <w:rtl w:val="0"/>
        </w:rPr>
        <w:t xml:space="preserve"> Please familiarize yourself with the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key accountabilities</w:t>
        </w:r>
      </w:hyperlink>
      <w:r w:rsidDel="00000000" w:rsidR="00000000" w:rsidRPr="00000000">
        <w:rPr>
          <w:rtl w:val="0"/>
        </w:rPr>
        <w:t xml:space="preserve"> of your project role(s).</w:t>
      </w:r>
    </w:p>
    <w:p w:rsidR="00000000" w:rsidDel="00000000" w:rsidP="00000000" w:rsidRDefault="00000000" w:rsidRPr="00000000" w14:paraId="00000094">
      <w:pPr>
        <w:rPr>
          <w:rFonts w:ascii="Work Sans Light" w:cs="Work Sans Light" w:eastAsia="Work Sans Light" w:hAnsi="Work Sans Light"/>
          <w:sz w:val="22"/>
          <w:szCs w:val="22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sz w:val="22"/>
          <w:szCs w:val="22"/>
          <w:rtl w:val="0"/>
        </w:rPr>
        <w:t xml:space="preserve">Note to Project Manager:</w:t>
      </w:r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 Are all 66Way key roles aligned to project team members? Are there gaps in key roles? If so, log this as a Risk and engage your Portfolio Lead as needed.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widowControl w:val="0"/>
        <w:spacing w:after="60" w:before="0" w:line="276" w:lineRule="auto"/>
        <w:rPr/>
      </w:pPr>
      <w:bookmarkStart w:colFirst="0" w:colLast="0" w:name="_swosvlykhemq" w:id="4"/>
      <w:bookmarkEnd w:id="4"/>
      <w:r w:rsidDel="00000000" w:rsidR="00000000" w:rsidRPr="00000000">
        <w:rPr>
          <w:rtl w:val="0"/>
        </w:rPr>
        <w:t xml:space="preserve">Client Objectives &amp; Value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mmg6tp9bcud0" w:id="5"/>
      <w:bookmarkEnd w:id="5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Primary Objectives</w:t>
      </w:r>
    </w:p>
    <w:p w:rsidR="00000000" w:rsidDel="00000000" w:rsidP="00000000" w:rsidRDefault="00000000" w:rsidRPr="00000000" w14:paraId="00000098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Modernize legacy Oracle PL/SQL packages by translating them into independent .NET REST microservices.</w:t>
      </w:r>
    </w:p>
    <w:p w:rsidR="00000000" w:rsidDel="00000000" w:rsidP="00000000" w:rsidRDefault="00000000" w:rsidRPr="00000000" w14:paraId="0000009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Decouple business logic from the Oracle database.</w:t>
      </w:r>
    </w:p>
    <w:p w:rsidR="00000000" w:rsidDel="00000000" w:rsidP="00000000" w:rsidRDefault="00000000" w:rsidRPr="00000000" w14:paraId="0000009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Build containerized microservices deployed on AWS EKS using Docker.</w:t>
      </w:r>
    </w:p>
    <w:p w:rsidR="00000000" w:rsidDel="00000000" w:rsidP="00000000" w:rsidRDefault="00000000" w:rsidRPr="00000000" w14:paraId="0000009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Enable cloud-native architecture while preserving existing business functionality.</w:t>
      </w:r>
    </w:p>
    <w:p w:rsidR="00000000" w:rsidDel="00000000" w:rsidP="00000000" w:rsidRDefault="00000000" w:rsidRPr="00000000" w14:paraId="0000009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Improve system resiliency through a modern microservices architecture.</w:t>
      </w:r>
    </w:p>
    <w:p w:rsidR="00000000" w:rsidDel="00000000" w:rsidP="00000000" w:rsidRDefault="00000000" w:rsidRPr="00000000" w14:paraId="0000009D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Support incremental migration using the Strangler Fig deployment pattern.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widowControl w:val="0"/>
        <w:spacing w:after="60" w:before="0" w:line="276" w:lineRule="auto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c8hthx7h1o58" w:id="6"/>
      <w:bookmarkEnd w:id="6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Business Value:</w:t>
      </w:r>
    </w:p>
    <w:p w:rsidR="00000000" w:rsidDel="00000000" w:rsidP="00000000" w:rsidRDefault="00000000" w:rsidRPr="00000000" w14:paraId="0000009F">
      <w:pPr>
        <w:widowControl w:val="0"/>
        <w:numPr>
          <w:ilvl w:val="0"/>
          <w:numId w:val="31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Multi-region cloud resiliency</w:t>
      </w:r>
    </w:p>
    <w:p w:rsidR="00000000" w:rsidDel="00000000" w:rsidP="00000000" w:rsidRDefault="00000000" w:rsidRPr="00000000" w14:paraId="000000A0">
      <w:pPr>
        <w:widowControl w:val="0"/>
        <w:numPr>
          <w:ilvl w:val="0"/>
          <w:numId w:val="31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educe dependency on Oracle database business logic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numPr>
          <w:ilvl w:val="0"/>
          <w:numId w:val="31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Improvement in </w:t>
      </w:r>
      <w:r w:rsidDel="00000000" w:rsidR="00000000" w:rsidRPr="00000000">
        <w:rPr>
          <w:rtl w:val="0"/>
        </w:rPr>
        <w:t xml:space="preserve">Improve scalability and maintainability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widowControl w:val="0"/>
        <w:spacing w:after="60" w:before="0" w:line="276" w:lineRule="auto"/>
        <w:rPr/>
      </w:pPr>
      <w:bookmarkStart w:colFirst="0" w:colLast="0" w:name="_tb3g83az4if0" w:id="7"/>
      <w:bookmarkEnd w:id="7"/>
      <w:r w:rsidDel="00000000" w:rsidR="00000000" w:rsidRPr="00000000">
        <w:rPr>
          <w:rtl w:val="0"/>
        </w:rPr>
        <w:br w:type="textWrapping"/>
        <w:t xml:space="preserve">Implementation Approach</w:t>
      </w:r>
    </w:p>
    <w:p w:rsidR="00000000" w:rsidDel="00000000" w:rsidP="00000000" w:rsidRDefault="00000000" w:rsidRPr="00000000" w14:paraId="000000A3">
      <w:pPr>
        <w:pStyle w:val="Heading2"/>
        <w:widowControl w:val="0"/>
        <w:spacing w:after="0" w:before="0" w:lineRule="auto"/>
        <w:rPr>
          <w:rFonts w:ascii="Arial" w:cs="Arial" w:eastAsia="Arial" w:hAnsi="Arial"/>
          <w:b w:val="1"/>
          <w:bCs w:val="1"/>
          <w:sz w:val="17"/>
          <w:szCs w:val="17"/>
        </w:rPr>
      </w:pPr>
      <w:bookmarkStart w:colFirst="0" w:colLast="0" w:name="_gpn6k640gmnn" w:id="8"/>
      <w:bookmarkEnd w:id="8"/>
      <w:r w:rsidDel="00000000" w:rsidR="00000000" w:rsidRPr="00000000">
        <w:rPr>
          <w:rtl w:val="0"/>
        </w:rPr>
      </w:r>
    </w:p>
    <w:tbl>
      <w:tblPr>
        <w:tblStyle w:val="Table3"/>
        <w:tblW w:w="9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10"/>
        <w:gridCol w:w="6315"/>
        <w:tblGridChange w:id="0">
          <w:tblGrid>
            <w:gridCol w:w="3510"/>
            <w:gridCol w:w="631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Style w:val="Heading2"/>
              <w:widowControl w:val="0"/>
              <w:spacing w:after="0" w:before="0" w:lineRule="auto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bookmarkStart w:colFirst="0" w:colLast="0" w:name="_gpn6k640gmnn" w:id="8"/>
            <w:bookmarkEnd w:id="8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Stage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Style w:val="Heading2"/>
              <w:widowControl w:val="0"/>
              <w:spacing w:after="0" w:before="0" w:lineRule="auto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bookmarkStart w:colFirst="0" w:colLast="0" w:name="_gpn6k640gmnn" w:id="8"/>
            <w:bookmarkEnd w:id="8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Purpose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Style w:val="Heading2"/>
              <w:widowControl w:val="0"/>
              <w:spacing w:after="0" w:before="0" w:lineRule="auto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bookmarkStart w:colFirst="0" w:colLast="0" w:name="_gpn6k640gmnn" w:id="8"/>
            <w:bookmarkEnd w:id="8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Prepare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Style w:val="Heading2"/>
              <w:widowControl w:val="0"/>
              <w:spacing w:after="0" w:before="0" w:lineRule="auto"/>
              <w:rPr>
                <w:rFonts w:ascii="Arial" w:cs="Arial" w:eastAsia="Arial" w:hAnsi="Arial"/>
                <w:sz w:val="17"/>
                <w:szCs w:val="17"/>
              </w:rPr>
            </w:pPr>
            <w:bookmarkStart w:colFirst="0" w:colLast="0" w:name="_gpn6k640gmnn" w:id="8"/>
            <w:bookmarkEnd w:id="8"/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Team mobilization, governance, tooling check (Phase 1 only)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Style w:val="Heading2"/>
              <w:widowControl w:val="0"/>
              <w:spacing w:after="0" w:before="0" w:lineRule="auto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bookmarkStart w:colFirst="0" w:colLast="0" w:name="_gpn6k640gmnn" w:id="8"/>
            <w:bookmarkEnd w:id="8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Define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Style w:val="Heading2"/>
              <w:widowControl w:val="0"/>
              <w:spacing w:after="0" w:before="0" w:lineRule="auto"/>
              <w:rPr>
                <w:rFonts w:ascii="Arial" w:cs="Arial" w:eastAsia="Arial" w:hAnsi="Arial"/>
                <w:sz w:val="17"/>
                <w:szCs w:val="17"/>
              </w:rPr>
            </w:pPr>
            <w:bookmarkStart w:colFirst="0" w:colLast="0" w:name="_gpn6k640gmnn" w:id="8"/>
            <w:bookmarkEnd w:id="8"/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AI-assisted PL/SQL specification mining, service contract scoping, requirements validation with Frontdoor BA/SMEs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Style w:val="Heading2"/>
              <w:widowControl w:val="0"/>
              <w:spacing w:after="0" w:before="0" w:lineRule="auto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bookmarkStart w:colFirst="0" w:colLast="0" w:name="_gpn6k640gmnn" w:id="8"/>
            <w:bookmarkEnd w:id="8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Design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Style w:val="Heading2"/>
              <w:widowControl w:val="0"/>
              <w:spacing w:after="0" w:before="0" w:lineRule="auto"/>
              <w:rPr>
                <w:rFonts w:ascii="Arial" w:cs="Arial" w:eastAsia="Arial" w:hAnsi="Arial"/>
                <w:sz w:val="17"/>
                <w:szCs w:val="17"/>
              </w:rPr>
            </w:pPr>
            <w:bookmarkStart w:colFirst="0" w:colLast="0" w:name="_gpn6k640gmnn" w:id="8"/>
            <w:bookmarkEnd w:id="8"/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Sequence diagrams, OpenAPI specs, DTO-to-Oracle-schema mappings, K8s manifest patterns, service mesh routing design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Style w:val="Heading2"/>
              <w:widowControl w:val="0"/>
              <w:spacing w:after="0" w:before="0" w:lineRule="auto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bookmarkStart w:colFirst="0" w:colLast="0" w:name="_gpn6k640gmnn" w:id="8"/>
            <w:bookmarkEnd w:id="8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Plan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Style w:val="Heading2"/>
              <w:widowControl w:val="0"/>
              <w:spacing w:after="0" w:before="0" w:lineRule="auto"/>
              <w:rPr>
                <w:rFonts w:ascii="Arial" w:cs="Arial" w:eastAsia="Arial" w:hAnsi="Arial"/>
                <w:sz w:val="17"/>
                <w:szCs w:val="17"/>
              </w:rPr>
            </w:pPr>
            <w:bookmarkStart w:colFirst="0" w:colLast="0" w:name="_gpn6k640gmnn" w:id="8"/>
            <w:bookmarkEnd w:id="8"/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Sprint plan, release plan, test strategy, UAT scheduling with Frontdoor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Style w:val="Heading2"/>
              <w:widowControl w:val="0"/>
              <w:spacing w:after="0" w:before="0" w:lineRule="auto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bookmarkStart w:colFirst="0" w:colLast="0" w:name="_gpn6k640gmnn" w:id="8"/>
            <w:bookmarkEnd w:id="8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Value Checkpoint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Style w:val="Heading2"/>
              <w:widowControl w:val="0"/>
              <w:spacing w:after="0" w:before="0" w:lineRule="auto"/>
              <w:rPr>
                <w:rFonts w:ascii="Arial" w:cs="Arial" w:eastAsia="Arial" w:hAnsi="Arial"/>
                <w:sz w:val="17"/>
                <w:szCs w:val="17"/>
              </w:rPr>
            </w:pPr>
            <w:bookmarkStart w:colFirst="0" w:colLast="0" w:name="_gpn6k640gmnn" w:id="8"/>
            <w:bookmarkEnd w:id="8"/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Sponsor sign-off gate before Build commitment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Style w:val="Heading2"/>
              <w:widowControl w:val="0"/>
              <w:spacing w:after="0" w:before="0" w:lineRule="auto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bookmarkStart w:colFirst="0" w:colLast="0" w:name="_gpn6k640gmnn" w:id="8"/>
            <w:bookmarkEnd w:id="8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Build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Style w:val="Heading2"/>
              <w:widowControl w:val="0"/>
              <w:spacing w:after="0" w:before="0" w:lineRule="auto"/>
              <w:rPr>
                <w:rFonts w:ascii="Arial" w:cs="Arial" w:eastAsia="Arial" w:hAnsi="Arial"/>
                <w:sz w:val="17"/>
                <w:szCs w:val="17"/>
              </w:rPr>
            </w:pPr>
            <w:bookmarkStart w:colFirst="0" w:colLast="0" w:name="_gpn6k640gmnn" w:id="8"/>
            <w:bookmarkEnd w:id="8"/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Sprint-based AI-assisted translation, unit/integration/contract tests, code review, mesh routing config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Style w:val="Heading2"/>
              <w:widowControl w:val="0"/>
              <w:spacing w:after="0" w:before="0" w:lineRule="auto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bookmarkStart w:colFirst="0" w:colLast="0" w:name="_gpn6k640gmnn" w:id="8"/>
            <w:bookmarkEnd w:id="8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Verify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Style w:val="Heading2"/>
              <w:widowControl w:val="0"/>
              <w:spacing w:after="0" w:before="0" w:lineRule="auto"/>
              <w:rPr>
                <w:rFonts w:ascii="Arial" w:cs="Arial" w:eastAsia="Arial" w:hAnsi="Arial"/>
                <w:sz w:val="17"/>
                <w:szCs w:val="17"/>
              </w:rPr>
            </w:pPr>
            <w:bookmarkStart w:colFirst="0" w:colLast="0" w:name="_gpn6k640gmnn" w:id="8"/>
            <w:bookmarkEnd w:id="8"/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QA execution (functional, integration, contract, performance parity), UAT coordination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Style w:val="Heading2"/>
              <w:widowControl w:val="0"/>
              <w:spacing w:after="0" w:before="0" w:lineRule="auto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bookmarkStart w:colFirst="0" w:colLast="0" w:name="_gpn6k640gmnn" w:id="8"/>
            <w:bookmarkEnd w:id="8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Operate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Style w:val="Heading2"/>
              <w:widowControl w:val="0"/>
              <w:spacing w:after="0" w:before="0" w:lineRule="auto"/>
              <w:rPr>
                <w:rFonts w:ascii="Arial" w:cs="Arial" w:eastAsia="Arial" w:hAnsi="Arial"/>
                <w:sz w:val="17"/>
                <w:szCs w:val="17"/>
              </w:rPr>
            </w:pPr>
            <w:bookmarkStart w:colFirst="0" w:colLast="0" w:name="_v8k7cfmbpvuz" w:id="9"/>
            <w:bookmarkEnd w:id="9"/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SRE handover, runbooks, dashboards, knowledge transfer, phase close-out (no hypercare)</w:t>
            </w:r>
          </w:p>
        </w:tc>
      </w:tr>
    </w:tbl>
    <w:p w:rsidR="00000000" w:rsidDel="00000000" w:rsidP="00000000" w:rsidRDefault="00000000" w:rsidRPr="00000000" w14:paraId="000000B6">
      <w:pPr>
        <w:pStyle w:val="Heading2"/>
        <w:widowControl w:val="0"/>
        <w:spacing w:after="0" w:before="0" w:lineRule="auto"/>
        <w:ind w:left="0" w:firstLine="0"/>
        <w:rPr>
          <w:rFonts w:ascii="Work Sans" w:cs="Work Sans" w:eastAsia="Work Sans" w:hAnsi="Work Sans"/>
          <w:b w:val="1"/>
          <w:bCs w:val="1"/>
          <w:sz w:val="22"/>
          <w:szCs w:val="22"/>
        </w:rPr>
      </w:pPr>
      <w:bookmarkStart w:colFirst="0" w:colLast="0" w:name="_tnnrf2xkbamq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1395"/>
        <w:gridCol w:w="1410"/>
        <w:gridCol w:w="1395"/>
        <w:gridCol w:w="4215"/>
        <w:tblGridChange w:id="0">
          <w:tblGrid>
            <w:gridCol w:w="1410"/>
            <w:gridCol w:w="1395"/>
            <w:gridCol w:w="1410"/>
            <w:gridCol w:w="1395"/>
            <w:gridCol w:w="421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before="0" w:lineRule="auto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66Way stage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Phase 1 (wks)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Phase 2 (wks)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Phase 3 (wks)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before="0" w:lineRule="auto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Notes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before="0" w:lineRule="auto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Prepare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before="0" w:lineRule="auto"/>
              <w:jc w:val="center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before="0" w:lineRule="auto"/>
              <w:jc w:val="center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before="0" w:lineRule="auto"/>
              <w:jc w:val="center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before="0" w:lineRule="auto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Only Phase 1; team continuous from P0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before="0" w:lineRule="auto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Define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before="0" w:lineRule="auto"/>
              <w:jc w:val="center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before="0" w:lineRule="auto"/>
              <w:jc w:val="center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before="0" w:lineRule="auto"/>
              <w:jc w:val="center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before="0" w:lineRule="auto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Architect + Sr Eng-led requirements (PL/SQL spec extraction with AI)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before="0" w:lineRule="auto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Design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before="0" w:lineRule="auto"/>
              <w:jc w:val="center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before="0" w:lineRule="auto"/>
              <w:jc w:val="center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before="0" w:lineRule="auto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Sequence diagrams, OpenAPI, IaC patterns per service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P3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 includes Card Security PCI extension design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2 wks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 wall-clock)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before="0" w:lineRule="auto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Plan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before="0" w:lineRule="auto"/>
              <w:jc w:val="center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before="0" w:lineRule="auto"/>
              <w:jc w:val="center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before="0" w:lineRule="auto"/>
              <w:jc w:val="center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before="0" w:lineRule="auto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Sprint plan, test strategy, value checkpoint prep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before="0" w:lineRule="auto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Value Checkpoint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before="0" w:lineRule="auto"/>
              <w:jc w:val="center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&lt;1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before="0" w:lineRule="auto"/>
              <w:jc w:val="center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&lt;1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before="0" w:lineRule="auto"/>
              <w:jc w:val="center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&lt;1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before="0" w:lineRule="auto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Sponsor sign-off prior to Build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before="0" w:lineRule="auto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Build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before="0" w:lineRule="auto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Dual Pod A/B sustained HITL; §3 build-hour inventory unchanged; wall-clock shortened via overlap and parallel capacity (see §2.5)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before="0" w:lineRule="auto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Verify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before="0" w:lineRule="auto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QA + UAT support (Frontdoor-led UAT);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QA/DM hours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 in §10 fund parallel lanes, not shorter calendar gates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before="0" w:lineRule="auto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Operate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before="0" w:lineRule="auto"/>
              <w:jc w:val="center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before="0" w:lineRule="auto"/>
              <w:jc w:val="center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before="0" w:lineRule="auto"/>
              <w:jc w:val="center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before="0" w:lineRule="auto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SRE handover + KT + close-out only (no hypercare)</w:t>
            </w:r>
          </w:p>
        </w:tc>
      </w:tr>
      <w:tr>
        <w:trPr>
          <w:cantSplit w:val="0"/>
          <w:trHeight w:val="19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before="0" w:lineRule="auto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Total active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~21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~14.5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~14.5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before="0" w:lineRule="auto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P2 starts P1 week 6; P3 starts P2 week 4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— phase overlap + dual Build pods →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~6.0 mo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 program wall-clock</w:t>
            </w:r>
          </w:p>
        </w:tc>
      </w:tr>
    </w:tbl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widowControl w:val="0"/>
        <w:numPr>
          <w:ilvl w:val="0"/>
          <w:numId w:val="34"/>
        </w:numPr>
        <w:spacing w:after="0" w:before="0" w:lineRule="auto"/>
        <w:ind w:left="720" w:hanging="360"/>
        <w:rPr>
          <w:rFonts w:ascii="Work Sans" w:cs="Work Sans" w:eastAsia="Work Sans" w:hAnsi="Work Sans"/>
          <w:b w:val="1"/>
          <w:bCs w:val="1"/>
          <w:sz w:val="22"/>
          <w:szCs w:val="22"/>
          <w:u w:val="none"/>
        </w:rPr>
      </w:pPr>
      <w:bookmarkStart w:colFirst="0" w:colLast="0" w:name="_gpn6k640gmnn" w:id="8"/>
      <w:bookmarkEnd w:id="8"/>
      <w:r w:rsidDel="00000000" w:rsidR="00000000" w:rsidRPr="00000000">
        <w:rPr>
          <w:rFonts w:ascii="Work Sans" w:cs="Work Sans" w:eastAsia="Work Sans" w:hAnsi="Work Sans"/>
          <w:b w:val="1"/>
          <w:bCs w:val="1"/>
          <w:sz w:val="22"/>
          <w:szCs w:val="22"/>
          <w:rtl w:val="0"/>
        </w:rPr>
        <w:t xml:space="preserve">Phase 0 — Program Initiation &amp; Foundation</w:t>
      </w:r>
    </w:p>
    <w:p w:rsidR="00000000" w:rsidDel="00000000" w:rsidP="00000000" w:rsidRDefault="00000000" w:rsidRPr="00000000" w14:paraId="000000FB">
      <w:pPr>
        <w:pStyle w:val="Heading2"/>
        <w:widowControl w:val="0"/>
        <w:spacing w:after="220" w:before="0" w:lineRule="auto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Phase 0 establishes the platform substrate, AI tooling, shared libraries, Istio strangler-routing templates (against Frontdoor's existing mesh), and CI/CD pipelines before Phase 1 Build begins. All deliverables are consumed by downstream phases.</w:t>
      </w:r>
    </w:p>
    <w:p w:rsidR="00000000" w:rsidDel="00000000" w:rsidP="00000000" w:rsidRDefault="00000000" w:rsidRPr="00000000" w14:paraId="000000FC">
      <w:pPr>
        <w:pStyle w:val="Heading2"/>
        <w:widowControl w:val="0"/>
        <w:spacing w:after="60" w:before="0" w:lineRule="auto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1.1 Governance &amp; Mobilization</w:t>
      </w:r>
    </w:p>
    <w:p w:rsidR="00000000" w:rsidDel="00000000" w:rsidP="00000000" w:rsidRDefault="00000000" w:rsidRPr="00000000" w14:paraId="000000FD">
      <w:pPr>
        <w:pStyle w:val="Heading2"/>
        <w:widowControl w:val="0"/>
        <w:numPr>
          <w:ilvl w:val="0"/>
          <w:numId w:val="2"/>
        </w:numPr>
        <w:spacing w:after="0" w:afterAutospacing="0" w:lineRule="auto"/>
        <w:ind w:left="720" w:hanging="360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Draft and ratify the program charter, RACI matrix, communication plan, and steering-committee cadence.</w:t>
      </w:r>
    </w:p>
    <w:p w:rsidR="00000000" w:rsidDel="00000000" w:rsidP="00000000" w:rsidRDefault="00000000" w:rsidRPr="00000000" w14:paraId="000000FE">
      <w:pPr>
        <w:pStyle w:val="Heading2"/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Establish IST (India Standard Time) follow-the-sun delivery management coverage.</w:t>
      </w:r>
    </w:p>
    <w:p w:rsidR="00000000" w:rsidDel="00000000" w:rsidP="00000000" w:rsidRDefault="00000000" w:rsidRPr="00000000" w14:paraId="000000FF">
      <w:pPr>
        <w:pStyle w:val="Heading2"/>
        <w:widowControl w:val="0"/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Conduct stakeholder kickoff workshops; publish the program communications plan.</w:t>
      </w:r>
    </w:p>
    <w:p w:rsidR="00000000" w:rsidDel="00000000" w:rsidP="00000000" w:rsidRDefault="00000000" w:rsidRPr="00000000" w14:paraId="00000100">
      <w:pPr>
        <w:pStyle w:val="Heading2"/>
        <w:widowControl w:val="0"/>
        <w:spacing w:after="60" w:before="0" w:lineRule="auto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1.2 Reference Architecture &amp; Standards</w:t>
      </w:r>
    </w:p>
    <w:p w:rsidR="00000000" w:rsidDel="00000000" w:rsidP="00000000" w:rsidRDefault="00000000" w:rsidRPr="00000000" w14:paraId="00000101">
      <w:pPr>
        <w:pStyle w:val="Heading2"/>
        <w:widowControl w:val="0"/>
        <w:numPr>
          <w:ilvl w:val="0"/>
          <w:numId w:val="24"/>
        </w:numPr>
        <w:spacing w:after="0" w:afterAutospacing="0" w:lineRule="auto"/>
        <w:ind w:left="720" w:hanging="360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Author the reference architecture document: .NET 8 on existing EKS, Oracle connectivity via Oracle.ManagedDataAccess / ODP.NET, AWS KMS for cryptographic key management, service-mesh-mediated deployment with strangler fig traffic routing.</w:t>
      </w:r>
    </w:p>
    <w:p w:rsidR="00000000" w:rsidDel="00000000" w:rsidP="00000000" w:rsidRDefault="00000000" w:rsidRPr="00000000" w14:paraId="00000102">
      <w:pPr>
        <w:pStyle w:val="Heading2"/>
        <w:widowControl w:val="0"/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Define REST/OpenAPI 3.1 API standards: error model, pagination, versioning conventions, external-caller authentication via Amazon Cognito / API Gateway.</w:t>
      </w:r>
    </w:p>
    <w:p w:rsidR="00000000" w:rsidDel="00000000" w:rsidP="00000000" w:rsidRDefault="00000000" w:rsidRPr="00000000" w14:paraId="00000103">
      <w:pPr>
        <w:pStyle w:val="Heading2"/>
        <w:widowControl w:val="0"/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Create the sequence-diagram template and doc-as-code toolchain (Mermaid + ADRs); scope limited to caller-to-service flows.</w:t>
      </w:r>
    </w:p>
    <w:p w:rsidR="00000000" w:rsidDel="00000000" w:rsidP="00000000" w:rsidRDefault="00000000" w:rsidRPr="00000000" w14:paraId="00000104">
      <w:pPr>
        <w:pStyle w:val="Heading2"/>
        <w:widowControl w:val="0"/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Build the .NET solution template: project structure, Polly for downstream HTTP resilience, Serilog structured logging, OpenTelemetry instrumentation, AutoMapper, MediatR in-process mediator.</w:t>
      </w:r>
    </w:p>
    <w:p w:rsidR="00000000" w:rsidDel="00000000" w:rsidP="00000000" w:rsidRDefault="00000000" w:rsidRPr="00000000" w14:paraId="00000105">
      <w:pPr>
        <w:pStyle w:val="Heading2"/>
        <w:widowControl w:val="0"/>
        <w:spacing w:after="60" w:before="0" w:lineRule="auto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1.3 Cloud Platform Setup</w:t>
      </w:r>
    </w:p>
    <w:p w:rsidR="00000000" w:rsidDel="00000000" w:rsidP="00000000" w:rsidRDefault="00000000" w:rsidRPr="00000000" w14:paraId="00000106">
      <w:pPr>
        <w:pStyle w:val="Heading2"/>
        <w:widowControl w:val="0"/>
        <w:numPr>
          <w:ilvl w:val="0"/>
          <w:numId w:val="12"/>
        </w:numPr>
        <w:spacing w:after="0" w:afterAutospacing="0" w:lineRule="auto"/>
        <w:ind w:left="720" w:hanging="360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Configure K8s namespaces, RBAC policies, and AWS Secrets Manager integration on the existing EKS cluster.</w:t>
      </w:r>
    </w:p>
    <w:p w:rsidR="00000000" w:rsidDel="00000000" w:rsidP="00000000" w:rsidRDefault="00000000" w:rsidRPr="00000000" w14:paraId="00000107">
      <w:pPr>
        <w:pStyle w:val="Heading2"/>
        <w:widowControl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Author K8s manifest templates: Deployment, Service, Ingress, ConfigMap, Secrets, HPA, with Kustomize overlays for environment promotion (dev → staging → production).</w:t>
      </w:r>
    </w:p>
    <w:p w:rsidR="00000000" w:rsidDel="00000000" w:rsidP="00000000" w:rsidRDefault="00000000" w:rsidRPr="00000000" w14:paraId="00000108">
      <w:pPr>
        <w:pStyle w:val="Heading2"/>
        <w:widowControl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Build CI/CD pipelines: AWS CodeBuild + GitHub Actions for build → test → scan → kubectl apply promotion.</w:t>
      </w:r>
    </w:p>
    <w:p w:rsidR="00000000" w:rsidDel="00000000" w:rsidP="00000000" w:rsidRDefault="00000000" w:rsidRPr="00000000" w14:paraId="00000109">
      <w:pPr>
        <w:pStyle w:val="Heading2"/>
        <w:widowControl w:val="0"/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u7uik2pv2uru" w:id="11"/>
      <w:bookmarkEnd w:id="11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Configure observability baseline: Amazon CloudWatch dashboards, AWS X-Ray distributed tracing, SLO definitions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A">
      <w:pPr>
        <w:pStyle w:val="Heading2"/>
        <w:widowControl w:val="0"/>
        <w:spacing w:after="60" w:before="0" w:lineRule="auto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1.4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Security Foundation</w:t>
      </w:r>
    </w:p>
    <w:p w:rsidR="00000000" w:rsidDel="00000000" w:rsidP="00000000" w:rsidRDefault="00000000" w:rsidRPr="00000000" w14:paraId="0000010B">
      <w:pPr>
        <w:pStyle w:val="Heading2"/>
        <w:widowControl w:val="0"/>
        <w:numPr>
          <w:ilvl w:val="0"/>
          <w:numId w:val="1"/>
        </w:numPr>
        <w:spacing w:after="0" w:afterAutospacing="0" w:lineRule="auto"/>
        <w:ind w:left="720" w:hanging="360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Conduct PCI scope analysis for the Card Security and Crypto Primitives shared libraries; produce AWS KMS / AWS CloudHSM integration design.</w:t>
      </w:r>
    </w:p>
    <w:p w:rsidR="00000000" w:rsidDel="00000000" w:rsidP="00000000" w:rsidRDefault="00000000" w:rsidRPr="00000000" w14:paraId="0000010C">
      <w:pPr>
        <w:pStyle w:val="Heading2"/>
        <w:widowControl w:val="0"/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Define the identity model: external-caller authentication (Amazon Cognito / API Gateway), per-service IAM roles for AWS resource access.</w:t>
      </w:r>
    </w:p>
    <w:p w:rsidR="00000000" w:rsidDel="00000000" w:rsidP="00000000" w:rsidRDefault="00000000" w:rsidRPr="00000000" w14:paraId="0000010D">
      <w:pPr>
        <w:pStyle w:val="Heading2"/>
        <w:widowControl w:val="0"/>
        <w:spacing w:after="60" w:before="0" w:lineRule="auto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1.5 AI Enablement</w:t>
      </w:r>
    </w:p>
    <w:p w:rsidR="00000000" w:rsidDel="00000000" w:rsidP="00000000" w:rsidRDefault="00000000" w:rsidRPr="00000000" w14:paraId="0000010E">
      <w:pPr>
        <w:pStyle w:val="Heading2"/>
        <w:widowControl w:val="0"/>
        <w:numPr>
          <w:ilvl w:val="0"/>
          <w:numId w:val="13"/>
        </w:numPr>
        <w:spacing w:after="0" w:afterAutospacing="0" w:lineRule="auto"/>
        <w:ind w:left="720" w:hanging="360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Configure Cursor IDE and LLM agent infrastructure; author per-domain prompt templates and translation rules.</w:t>
      </w:r>
    </w:p>
    <w:p w:rsidR="00000000" w:rsidDel="00000000" w:rsidP="00000000" w:rsidRDefault="00000000" w:rsidRPr="00000000" w14:paraId="0000010F">
      <w:pPr>
        <w:pStyle w:val="Heading2"/>
        <w:widowControl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Build the PL/SQL parser and spec-extractor agent: call-graph extraction, side-effect tagging, parameter-contract identification.</w:t>
      </w:r>
    </w:p>
    <w:p w:rsidR="00000000" w:rsidDel="00000000" w:rsidP="00000000" w:rsidRDefault="00000000" w:rsidRPr="00000000" w14:paraId="00000110">
      <w:pPr>
        <w:pStyle w:val="Heading2"/>
        <w:widowControl w:val="0"/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Produce the translation cookbook with golden examples: translate one small PL/SQL package (CONTEXT_API, 27 LOC) end-to-end through the full pipeline — AI translation, human review, test generation, K8s deploy, mesh routing — to calibrate throughput rates and validate the dead-code assumption before Phase 1 commitment.</w:t>
      </w:r>
    </w:p>
    <w:p w:rsidR="00000000" w:rsidDel="00000000" w:rsidP="00000000" w:rsidRDefault="00000000" w:rsidRPr="00000000" w14:paraId="00000111">
      <w:pPr>
        <w:pStyle w:val="Heading2"/>
        <w:widowControl w:val="0"/>
        <w:spacing w:after="60" w:before="0" w:lineRule="auto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1.6 Shared Library Construction</w:t>
      </w:r>
    </w:p>
    <w:p w:rsidR="00000000" w:rsidDel="00000000" w:rsidP="00000000" w:rsidRDefault="00000000" w:rsidRPr="00000000" w14:paraId="00000112">
      <w:pPr>
        <w:pStyle w:val="Heading2"/>
        <w:widowControl w:val="0"/>
        <w:spacing w:after="0" w:before="0" w:lineRule="auto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Six shared libraries are built, tested, packaged as NuGet, and published before Phase 1 Build. Each is consumed in-process (no network calls) by the 18 microservices.</w:t>
      </w:r>
    </w:p>
    <w:tbl>
      <w:tblPr>
        <w:tblStyle w:val="Table5"/>
        <w:tblW w:w="9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3230"/>
        <w:gridCol w:w="1235"/>
        <w:gridCol w:w="3815"/>
        <w:tblGridChange w:id="0">
          <w:tblGrid>
            <w:gridCol w:w="1415"/>
            <w:gridCol w:w="3230"/>
            <w:gridCol w:w="1235"/>
            <w:gridCol w:w="3815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Library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Source PL/SQL packages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Effective LOC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Technical scope</w:t>
            </w:r>
          </w:p>
        </w:tc>
      </w:tr>
      <w:tr>
        <w:trPr>
          <w:cantSplit w:val="0"/>
          <w:trHeight w:val="32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Core Utilities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COMMON_FUNC, COMMON_FUNC_SQL, PKG_COMMON, P_LIBRARIES, STRINGOBJ, ASSERT, VALIDATION_FUNCTIONS, ETL_COMMON, CONTEXT_API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13,780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String manipulation, date/time formatting, data validation, assertion framework, ETL helpers, context-passing utilities. ~70% of this code translates near-automatically with AI; human effort focuses on edge-case parity (Oracle-specific date arithmetic, NLS collation, TO_CHAR format masks).</w:t>
            </w:r>
          </w:p>
        </w:tc>
      </w:tr>
      <w:tr>
        <w:trPr>
          <w:cantSplit w:val="0"/>
          <w:trHeight w:val="29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Error Handling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COMMON_FUNC_ERROR_HANDLER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314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Structured exception capture, Serilog integration, correlation-ID propagation. Replaces Oracle RAISE_APPLICATION_ERROR and custom exception-table logging with idiomatic .NET IExceptionHandler middleware.</w:t>
            </w:r>
          </w:p>
        </w:tc>
      </w:tr>
      <w:tr>
        <w:trPr>
          <w:cantSplit w:val="0"/>
          <w:trHeight w:val="2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Feature Flags &amp; Config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SSI_FEATURES + FLAG_CS1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59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Database-driven feature toggle lookup against ssi_feature_toggle table. FLAG_CS1 implemented from src/additional_code/functions/flag_cs1.sql (ETL coverage-flag helper).</w:t>
            </w:r>
          </w:p>
        </w:tc>
      </w:tr>
      <w:tr>
        <w:trPr>
          <w:cantSplit w:val="0"/>
          <w:trHeight w:val="3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File &amp; S3 Storage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FILEOP + adapters for prod.star_cloud / clob_to_file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1,019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Replaces Oracle UTL_FILE and object-storage calls with an AWS S3-backed IStorageService. clob_to_file source is in src/additional_code/procedures/clob_to_file.sql. prod.star_cloud still has no local implementation (adapter from call sites).</w:t>
            </w:r>
          </w:p>
        </w:tc>
      </w:tr>
      <w:tr>
        <w:trPr>
          <w:cantSplit w:val="0"/>
          <w:trHeight w:val="3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Crypto Primitives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STARCRYPTO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349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Replaces the insecure custom STARCRYPTO encryption with AWS KMS-backed key management. Provides IEncryptionService with AES-256-GCM envelope encryption. PCI premium reflects mandatory FIPS validation, security-architect review, and compliance documentation.</w:t>
            </w:r>
          </w:p>
        </w:tc>
      </w:tr>
      <w:tr>
        <w:trPr>
          <w:cantSplit w:val="0"/>
          <w:trHeight w:val="51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AHS Queue Persistence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AHS_QUEUE_FUNCTIONS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334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CRUD layer over AHS_QUEUE / AHS_QUEUE_DETAILS tables via Oracle EF Core. Consumed in-process (NuGet) by Cancellation, Sales Transaction, Work Order &amp; Fulfillment, and Customer services. This is a database-table abstraction, not inter-process messaging; the inter-service queue wrappers (ENQUEUE_MESSAGE, DEQUEUE_MESSAGE, PROC_INCREMENT_USAGE_COUNT) remain out of scope.</w:t>
            </w:r>
          </w:p>
        </w:tc>
      </w:tr>
    </w:tbl>
    <w:p w:rsidR="00000000" w:rsidDel="00000000" w:rsidP="00000000" w:rsidRDefault="00000000" w:rsidRPr="00000000" w14:paraId="0000012F">
      <w:pPr>
        <w:pStyle w:val="Heading2"/>
        <w:widowControl w:val="0"/>
        <w:spacing w:after="60" w:before="0" w:lineRule="auto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1.7 Istio Routing Configuration (Existing Mesh)</w:t>
      </w:r>
    </w:p>
    <w:p w:rsidR="00000000" w:rsidDel="00000000" w:rsidP="00000000" w:rsidRDefault="00000000" w:rsidRPr="00000000" w14:paraId="00000130">
      <w:pPr>
        <w:pStyle w:val="Heading2"/>
        <w:widowControl w:val="0"/>
        <w:spacing w:after="0" w:before="0" w:lineRule="auto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Frontdoor operates Istio on the target EKS cluster. Phase 0 does not install or reconfigure the mesh control plane. Scope is limited to project-specific traffic routing and security policies for the 18 microservices:</w:t>
      </w:r>
    </w:p>
    <w:p w:rsidR="00000000" w:rsidDel="00000000" w:rsidP="00000000" w:rsidRDefault="00000000" w:rsidRPr="00000000" w14:paraId="00000131">
      <w:pPr>
        <w:pStyle w:val="Heading2"/>
        <w:widowControl w:val="0"/>
        <w:numPr>
          <w:ilvl w:val="0"/>
          <w:numId w:val="20"/>
        </w:numPr>
        <w:spacing w:after="0" w:afterAutospacing="0" w:lineRule="auto"/>
        <w:ind w:left="720" w:hanging="360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Design strangler fig routing strategy aligned with Frontdoor's Istio conventions: VirtualService / DestinationRule patterns, traffic-splitting weights, canary rollout templates, rollback procedures.</w:t>
      </w:r>
    </w:p>
    <w:p w:rsidR="00000000" w:rsidDel="00000000" w:rsidP="00000000" w:rsidRDefault="00000000" w:rsidRPr="00000000" w14:paraId="00000132">
      <w:pPr>
        <w:pStyle w:val="Heading2"/>
        <w:widowControl w:val="0"/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Validate integration with the existing Istio deployment: confirm sidecar injection and namespace/gateway patterns for program workloads; document mesh ingress and operational handoffs from Frontdoor platform teams.</w:t>
      </w:r>
    </w:p>
    <w:p w:rsidR="00000000" w:rsidDel="00000000" w:rsidP="00000000" w:rsidRDefault="00000000" w:rsidRPr="00000000" w14:paraId="00000133">
      <w:pPr>
        <w:pStyle w:val="Heading2"/>
        <w:widowControl w:val="0"/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Author project-scoped VirtualService and DestinationRule templates for strangler fig cutover (legacy Oracle REST ↔ new .NET); define per-service K8s service accounts and project-scoped AuthorizationPolicy (and PeerAuthentication overrides only where the existing baseline requires them).</w:t>
      </w:r>
    </w:p>
    <w:p w:rsidR="00000000" w:rsidDel="00000000" w:rsidP="00000000" w:rsidRDefault="00000000" w:rsidRPr="00000000" w14:paraId="00000134">
      <w:pPr>
        <w:pStyle w:val="Heading2"/>
        <w:widowControl w:val="0"/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Execute the strangler fig routing proof-of-concept: dual-route one pilot service between legacy Oracle REST and new .NET, validating weighted traffic splitting, canary rollout, rollback procedure, and latency overhead benchmarking on the live mesh.</w:t>
      </w:r>
    </w:p>
    <w:p w:rsidR="00000000" w:rsidDel="00000000" w:rsidP="00000000" w:rsidRDefault="00000000" w:rsidRPr="00000000" w14:paraId="00000135">
      <w:pPr>
        <w:pStyle w:val="Heading2"/>
        <w:widowControl w:val="0"/>
        <w:spacing w:after="60" w:before="0" w:lineRule="auto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1.8 QA Foundation</w:t>
      </w:r>
    </w:p>
    <w:p w:rsidR="00000000" w:rsidDel="00000000" w:rsidP="00000000" w:rsidRDefault="00000000" w:rsidRPr="00000000" w14:paraId="00000136">
      <w:pPr>
        <w:pStyle w:val="Heading2"/>
        <w:widowControl w:val="0"/>
        <w:numPr>
          <w:ilvl w:val="0"/>
          <w:numId w:val="5"/>
        </w:numPr>
        <w:spacing w:after="240" w:lineRule="auto"/>
        <w:ind w:left="720" w:hanging="360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Define the QA strategy: contract tests (consumer-driven), mutation tests, behavioral-parity test model (PL/SQL output vs .NET output for identical inputs), performance baselines.</w:t>
      </w:r>
    </w:p>
    <w:p w:rsidR="00000000" w:rsidDel="00000000" w:rsidP="00000000" w:rsidRDefault="00000000" w:rsidRPr="00000000" w14:paraId="00000137">
      <w:pPr>
        <w:pStyle w:val="Heading2"/>
        <w:widowControl w:val="0"/>
        <w:spacing w:after="240" w:before="0" w:lineRule="auto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38">
      <w:pPr>
        <w:pStyle w:val="Heading2"/>
        <w:widowControl w:val="0"/>
        <w:numPr>
          <w:ilvl w:val="0"/>
          <w:numId w:val="34"/>
        </w:numPr>
        <w:spacing w:after="60" w:before="0" w:lineRule="auto"/>
        <w:ind w:left="720" w:hanging="360"/>
        <w:rPr>
          <w:rFonts w:ascii="Work Sans" w:cs="Work Sans" w:eastAsia="Work Sans" w:hAnsi="Work Sans"/>
          <w:b w:val="1"/>
          <w:bCs w:val="1"/>
          <w:sz w:val="22"/>
          <w:szCs w:val="22"/>
          <w:u w:val="none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" w:cs="Work Sans" w:eastAsia="Work Sans" w:hAnsi="Work Sans"/>
          <w:b w:val="1"/>
          <w:bCs w:val="1"/>
          <w:sz w:val="22"/>
          <w:szCs w:val="22"/>
          <w:rtl w:val="0"/>
        </w:rPr>
        <w:t xml:space="preserve">Phase 1 — Translate &amp; Decommission First 45 PL/SQL Objects</w:t>
      </w:r>
    </w:p>
    <w:p w:rsidR="00000000" w:rsidDel="00000000" w:rsidP="00000000" w:rsidRDefault="00000000" w:rsidRPr="00000000" w14:paraId="00000139">
      <w:pPr>
        <w:pStyle w:val="Heading2"/>
        <w:widowControl w:val="0"/>
        <w:spacing w:after="0" w:before="0" w:lineRule="auto"/>
        <w:rPr>
          <w:rFonts w:ascii="Plus Jakarta Sans Light" w:cs="Plus Jakarta Sans Light" w:eastAsia="Plus Jakarta Sans Light" w:hAnsi="Plus Jakarta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Plus Jakarta Sans Light" w:cs="Plus Jakarta Sans Light" w:eastAsia="Plus Jakarta Sans Light" w:hAnsi="Plus Jakarta Sans Light"/>
          <w:sz w:val="22"/>
          <w:szCs w:val="22"/>
          <w:rtl w:val="0"/>
        </w:rPr>
        <w:t xml:space="preserve">Phase 1 is the largest and most foundational phase. It establishes patterns, validates assumptions, and delivers the first 13 services to production traffic.</w:t>
      </w:r>
    </w:p>
    <w:p w:rsidR="00000000" w:rsidDel="00000000" w:rsidP="00000000" w:rsidRDefault="00000000" w:rsidRPr="00000000" w14:paraId="0000013A">
      <w:pPr>
        <w:pStyle w:val="Heading2"/>
        <w:widowControl w:val="0"/>
        <w:spacing w:after="220" w:before="0" w:lineRule="auto"/>
        <w:rPr>
          <w:rFonts w:ascii="Plus Jakarta Sans Light" w:cs="Plus Jakarta Sans Light" w:eastAsia="Plus Jakarta Sans Light" w:hAnsi="Plus Jakarta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Plus Jakarta Sans Light" w:cs="Plus Jakarta Sans Light" w:eastAsia="Plus Jakarta Sans Light" w:hAnsi="Plus Jakarta Sans Light"/>
          <w:sz w:val="22"/>
          <w:szCs w:val="22"/>
          <w:rtl w:val="0"/>
        </w:rPr>
        <w:t xml:space="preserve">Services delivered (13): Customer · Contract · Pricing &amp; Revenue · Dispatch · Work Order &amp; Fulfillment (subset) · Invoicing · Payment · Vendor (subset) · Vendor Invoice &amp; Writeoff · Commission &amp; Territory · Finance Integration · Card Security · Reporting (subset) · Service Order (subset).</w:t>
      </w:r>
    </w:p>
    <w:p w:rsidR="00000000" w:rsidDel="00000000" w:rsidP="00000000" w:rsidRDefault="00000000" w:rsidRPr="00000000" w14:paraId="0000013B">
      <w:pPr>
        <w:pStyle w:val="Heading2"/>
        <w:widowControl w:val="0"/>
        <w:spacing w:after="60" w:before="0" w:lineRule="auto"/>
        <w:rPr>
          <w:rFonts w:ascii="Plus Jakarta Sans Light" w:cs="Plus Jakarta Sans Light" w:eastAsia="Plus Jakarta Sans Light" w:hAnsi="Plus Jakarta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Plus Jakarta Sans Light" w:cs="Plus Jakarta Sans Light" w:eastAsia="Plus Jakarta Sans Light" w:hAnsi="Plus Jakarta Sans Light"/>
          <w:sz w:val="22"/>
          <w:szCs w:val="22"/>
          <w:rtl w:val="0"/>
        </w:rPr>
        <w:t xml:space="preserve">2.1 Prepare</w:t>
      </w:r>
    </w:p>
    <w:p w:rsidR="00000000" w:rsidDel="00000000" w:rsidP="00000000" w:rsidRDefault="00000000" w:rsidRPr="00000000" w14:paraId="0000013C">
      <w:pPr>
        <w:pStyle w:val="Heading2"/>
        <w:widowControl w:val="0"/>
        <w:numPr>
          <w:ilvl w:val="0"/>
          <w:numId w:val="35"/>
        </w:numPr>
        <w:spacing w:after="0" w:afterAutospacing="0" w:lineRule="auto"/>
        <w:ind w:left="720" w:hanging="360"/>
        <w:rPr>
          <w:rFonts w:ascii="Plus Jakarta Sans Light" w:cs="Plus Jakarta Sans Light" w:eastAsia="Plus Jakarta Sans Light" w:hAnsi="Plus Jakarta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Plus Jakarta Sans Light" w:cs="Plus Jakarta Sans Light" w:eastAsia="Plus Jakarta Sans Light" w:hAnsi="Plus Jakarta Sans Light"/>
          <w:sz w:val="22"/>
          <w:szCs w:val="22"/>
          <w:rtl w:val="0"/>
        </w:rPr>
        <w:t xml:space="preserve">Finalize the Phase 1 plan, RAID log, and governance cadence.</w:t>
      </w:r>
    </w:p>
    <w:p w:rsidR="00000000" w:rsidDel="00000000" w:rsidP="00000000" w:rsidRDefault="00000000" w:rsidRPr="00000000" w14:paraId="0000013D">
      <w:pPr>
        <w:pStyle w:val="Heading2"/>
        <w:widowControl w:val="0"/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Onboard engineering leads (onshore and offshore); validate tooling access and development environment.</w:t>
      </w:r>
    </w:p>
    <w:p w:rsidR="00000000" w:rsidDel="00000000" w:rsidP="00000000" w:rsidRDefault="00000000" w:rsidRPr="00000000" w14:paraId="0000013E">
      <w:pPr>
        <w:pStyle w:val="Heading2"/>
        <w:widowControl w:val="0"/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Confirm 13-service scope and dependency map (PL/SQL packages → target services).</w:t>
      </w:r>
    </w:p>
    <w:p w:rsidR="00000000" w:rsidDel="00000000" w:rsidP="00000000" w:rsidRDefault="00000000" w:rsidRPr="00000000" w14:paraId="0000013F">
      <w:pPr>
        <w:pStyle w:val="Heading2"/>
        <w:widowControl w:val="0"/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Brief sponsor; QA Lead reads in on test strategy.</w:t>
      </w:r>
    </w:p>
    <w:p w:rsidR="00000000" w:rsidDel="00000000" w:rsidP="00000000" w:rsidRDefault="00000000" w:rsidRPr="00000000" w14:paraId="00000140">
      <w:pPr>
        <w:pStyle w:val="Heading2"/>
        <w:widowControl w:val="0"/>
        <w:spacing w:after="60" w:before="0" w:lineRule="auto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Plus Jakarta Sans Light" w:cs="Plus Jakarta Sans Light" w:eastAsia="Plus Jakarta Sans Light" w:hAnsi="Plus Jakarta Sans Light"/>
          <w:sz w:val="22"/>
          <w:szCs w:val="22"/>
          <w:rtl w:val="0"/>
        </w:rPr>
        <w:t xml:space="preserve">2.2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Define — Discovery &amp; Requirements</w:t>
      </w:r>
    </w:p>
    <w:p w:rsidR="00000000" w:rsidDel="00000000" w:rsidP="00000000" w:rsidRDefault="00000000" w:rsidRPr="00000000" w14:paraId="00000141">
      <w:pPr>
        <w:pStyle w:val="Heading2"/>
        <w:widowControl w:val="0"/>
        <w:spacing w:after="0" w:before="0" w:lineRule="auto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Without a dedicated BA, requirements extraction is led by App Dev Architects and Senior Engineers using AI-assisted PL/SQL specification mining:</w:t>
      </w:r>
    </w:p>
    <w:p w:rsidR="00000000" w:rsidDel="00000000" w:rsidP="00000000" w:rsidRDefault="00000000" w:rsidRPr="00000000" w14:paraId="00000142">
      <w:pPr>
        <w:pStyle w:val="Heading2"/>
        <w:widowControl w:val="0"/>
        <w:numPr>
          <w:ilvl w:val="0"/>
          <w:numId w:val="4"/>
        </w:numPr>
        <w:spacing w:after="0" w:afterAutospacing="0" w:lineRule="auto"/>
        <w:ind w:left="720" w:hanging="360"/>
        <w:rPr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Per-service contract scoping (13 services). For each service, identify the public API surface by analyzing PL/SQL package specifications: exported procedure/function signatures, parameter types, return types, exception contracts.</w:t>
      </w:r>
    </w:p>
    <w:p w:rsidR="00000000" w:rsidDel="00000000" w:rsidP="00000000" w:rsidRDefault="00000000" w:rsidRPr="00000000" w14:paraId="00000143">
      <w:pPr>
        <w:pStyle w:val="Heading2"/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PL/SQL deep-dive (45 packages). For each package body, perform AI-assisted call-graph analysis to identify: live vs. dead code paths, side effects (DML, commits, external calls), cross-package dependencies, Oracle-proprietary constructs requiring special handling (UTL_FILE, DBMS_AQ, PRAGMA AUTONOMOUS_TRANSACTION, HTP/HTF web toolkit calls).</w:t>
      </w:r>
    </w:p>
    <w:p w:rsidR="00000000" w:rsidDel="00000000" w:rsidP="00000000" w:rsidRDefault="00000000" w:rsidRPr="00000000" w14:paraId="00000144">
      <w:pPr>
        <w:pStyle w:val="Heading2"/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Cross-service dependency validation. Map the 11 critical and 17 strong inter-service couplings that touch Phase 1 services; identify data contracts at each boundary.</w:t>
      </w:r>
    </w:p>
    <w:p w:rsidR="00000000" w:rsidDel="00000000" w:rsidP="00000000" w:rsidRDefault="00000000" w:rsidRPr="00000000" w14:paraId="00000145">
      <w:pPr>
        <w:pStyle w:val="Heading2"/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Supplemental source. Phase 1 standalone procedures are in src/additional_code/ (CREATE_AP_JDE_FILE, CREATE_GL_JDE_FILE, CREATE_VENDOR_JDE_FILE, PPUB_INVOICE_DIST, PROC_MISC_CASH_STAGING, PROC_OAP_PAYMENTS_STAGING, PROC_CREDIT_MEMO_APPLY). Map to Finance Integration and Vendor Invoice &amp; Writeoff services. PROC_CREDIT_MEMO_APPLY orchestrates P_LIBRARIES.fpub_credit_memo_apply (also in scoped packages).</w:t>
      </w:r>
    </w:p>
    <w:p w:rsidR="00000000" w:rsidDel="00000000" w:rsidP="00000000" w:rsidRDefault="00000000" w:rsidRPr="00000000" w14:paraId="00000146">
      <w:pPr>
        <w:pStyle w:val="Heading2"/>
        <w:widowControl w:val="0"/>
        <w:numPr>
          <w:ilvl w:val="0"/>
          <w:numId w:val="4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Plus Jakarta Sans Light" w:cs="Plus Jakarta Sans Light" w:eastAsia="Plus Jakarta Sans Light" w:hAnsi="Plus Jakarta Sans Light"/>
          <w:sz w:val="22"/>
          <w:szCs w:val="22"/>
          <w:rtl w:val="0"/>
        </w:rPr>
        <w:t xml:space="preserve">Frontdoor-BA liaison. Weekly validation gates with Frontdoor's BA pool to confirm extracted requirements.</w:t>
      </w:r>
    </w:p>
    <w:p w:rsidR="00000000" w:rsidDel="00000000" w:rsidP="00000000" w:rsidRDefault="00000000" w:rsidRPr="00000000" w14:paraId="00000147">
      <w:pPr>
        <w:pStyle w:val="Heading2"/>
        <w:widowControl w:val="0"/>
        <w:spacing w:after="60" w:before="0" w:lineRule="auto"/>
        <w:rPr>
          <w:rFonts w:ascii="Plus Jakarta Sans Light" w:cs="Plus Jakarta Sans Light" w:eastAsia="Plus Jakarta Sans Light" w:hAnsi="Plus Jakarta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Plus Jakarta Sans Light" w:cs="Plus Jakarta Sans Light" w:eastAsia="Plus Jakarta Sans Light" w:hAnsi="Plus Jakarta Sans Light"/>
          <w:sz w:val="22"/>
          <w:szCs w:val="22"/>
          <w:rtl w:val="0"/>
        </w:rPr>
        <w:t xml:space="preserve">2.3 Design — Solution Design</w:t>
      </w:r>
    </w:p>
    <w:p w:rsidR="00000000" w:rsidDel="00000000" w:rsidP="00000000" w:rsidRDefault="00000000" w:rsidRPr="00000000" w14:paraId="00000148">
      <w:pPr>
        <w:pStyle w:val="Heading2"/>
        <w:widowControl w:val="0"/>
        <w:numPr>
          <w:ilvl w:val="0"/>
          <w:numId w:val="10"/>
        </w:numPr>
        <w:spacing w:after="0" w:afterAutospacing="0" w:lineRule="auto"/>
        <w:ind w:left="720" w:hanging="360"/>
        <w:rPr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Plus Jakarta Sans Light" w:cs="Plus Jakarta Sans Light" w:eastAsia="Plus Jakarta Sans Light" w:hAnsi="Plus Jakarta Sans Light"/>
          <w:sz w:val="22"/>
          <w:szCs w:val="22"/>
          <w:rtl w:val="0"/>
        </w:rPr>
        <w:t xml:space="preserve">API design and OpenAPI synthesis. For each of the 13 services, produce an OpenAPI 3.1 specification using AI-generated drafts with human review. Specifications define resource models, endpoint paths, HTTP methods, request/response schemas, error responses, and pagination.</w:t>
      </w:r>
    </w:p>
    <w:p w:rsidR="00000000" w:rsidDel="00000000" w:rsidP="00000000" w:rsidRDefault="00000000" w:rsidRPr="00000000" w14:paraId="00000149">
      <w:pPr>
        <w:pStyle w:val="Heading2"/>
        <w:widowControl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Plus Jakarta Sans Light" w:cs="Plus Jakarta Sans Light" w:eastAsia="Plus Jakarta Sans Light" w:hAnsi="Plus Jakarta Sans Light"/>
          <w:sz w:val="22"/>
          <w:szCs w:val="22"/>
          <w:rtl w:val="0"/>
        </w:rPr>
        <w:t xml:space="preserve">Sequence diagrams. AI-drafted caller → service → database interaction diagrams for each major endpoint, reviewed and refined by architects.</w:t>
      </w:r>
    </w:p>
    <w:p w:rsidR="00000000" w:rsidDel="00000000" w:rsidP="00000000" w:rsidRDefault="00000000" w:rsidRPr="00000000" w14:paraId="0000014A">
      <w:pPr>
        <w:pStyle w:val="Heading2"/>
        <w:widowControl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Plus Jakarta Sans Light" w:cs="Plus Jakarta Sans Light" w:eastAsia="Plus Jakarta Sans Light" w:hAnsi="Plus Jakarta Sans Light"/>
          <w:sz w:val="22"/>
          <w:szCs w:val="22"/>
          <w:rtl w:val="0"/>
        </w:rPr>
        <w:t xml:space="preserve">DTO-to-Oracle-schema mapping. For each service, map C# DTOs and entity classes to existing Oracle tables, views, and column types. Define Oracle EF Core entity configurations or Dapper query contracts. No schema changes — mapping is read/write against existing structures.</w:t>
      </w:r>
    </w:p>
    <w:p w:rsidR="00000000" w:rsidDel="00000000" w:rsidP="00000000" w:rsidRDefault="00000000" w:rsidRPr="00000000" w14:paraId="0000014B">
      <w:pPr>
        <w:pStyle w:val="Heading2"/>
        <w:widowControl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Plus Jakarta Sans Light" w:cs="Plus Jakarta Sans Light" w:eastAsia="Plus Jakarta Sans Light" w:hAnsi="Plus Jakarta Sans Light"/>
          <w:sz w:val="22"/>
          <w:szCs w:val="22"/>
          <w:rtl w:val="0"/>
        </w:rPr>
        <w:t xml:space="preserve">K8s manifest pattern. Per-service Deployment, Service, Ingress, ConfigMap, HPA configurations derived from Phase 0 templates.</w:t>
      </w:r>
    </w:p>
    <w:p w:rsidR="00000000" w:rsidDel="00000000" w:rsidP="00000000" w:rsidRDefault="00000000" w:rsidRPr="00000000" w14:paraId="0000014C">
      <w:pPr>
        <w:pStyle w:val="Heading2"/>
        <w:widowControl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Plus Jakarta Sans Light" w:cs="Plus Jakarta Sans Light" w:eastAsia="Plus Jakarta Sans Light" w:hAnsi="Plus Jakarta Sans Light"/>
          <w:sz w:val="22"/>
          <w:szCs w:val="22"/>
          <w:rtl w:val="0"/>
        </w:rPr>
        <w:t xml:space="preserve">Card Security threat model. PCI DSS-aligned threat model for the Card Security service; AWS KMS integration design for card-number encryption/decryption replacing STARCRYPTO.</w:t>
      </w:r>
    </w:p>
    <w:p w:rsidR="00000000" w:rsidDel="00000000" w:rsidP="00000000" w:rsidRDefault="00000000" w:rsidRPr="00000000" w14:paraId="0000014D">
      <w:pPr>
        <w:pStyle w:val="Heading2"/>
        <w:widowControl w:val="0"/>
        <w:numPr>
          <w:ilvl w:val="0"/>
          <w:numId w:val="10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Plus Jakarta Sans Light" w:cs="Plus Jakarta Sans Light" w:eastAsia="Plus Jakarta Sans Light" w:hAnsi="Plus Jakarta Sans Light"/>
          <w:sz w:val="22"/>
          <w:szCs w:val="22"/>
          <w:rtl w:val="0"/>
        </w:rPr>
        <w:t xml:space="preserve">Test strategy per service. Define test-data sets, parity-test scenarios (PL/SQL output vs .NET output), integration-test boundaries.</w:t>
      </w:r>
    </w:p>
    <w:p w:rsidR="00000000" w:rsidDel="00000000" w:rsidP="00000000" w:rsidRDefault="00000000" w:rsidRPr="00000000" w14:paraId="0000014E">
      <w:pPr>
        <w:pStyle w:val="Heading2"/>
        <w:widowControl w:val="0"/>
        <w:spacing w:after="60" w:before="0" w:lineRule="auto"/>
        <w:rPr>
          <w:rFonts w:ascii="Plus Jakarta Sans Light" w:cs="Plus Jakarta Sans Light" w:eastAsia="Plus Jakarta Sans Light" w:hAnsi="Plus Jakarta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Plus Jakarta Sans Light" w:cs="Plus Jakarta Sans Light" w:eastAsia="Plus Jakarta Sans Light" w:hAnsi="Plus Jakarta Sans Light"/>
          <w:sz w:val="22"/>
          <w:szCs w:val="22"/>
          <w:rtl w:val="0"/>
        </w:rPr>
        <w:t xml:space="preserve">2.4 Plan</w:t>
      </w:r>
    </w:p>
    <w:p w:rsidR="00000000" w:rsidDel="00000000" w:rsidP="00000000" w:rsidRDefault="00000000" w:rsidRPr="00000000" w14:paraId="0000014F">
      <w:pPr>
        <w:pStyle w:val="Heading2"/>
        <w:widowControl w:val="0"/>
        <w:numPr>
          <w:ilvl w:val="0"/>
          <w:numId w:val="3"/>
        </w:numPr>
        <w:spacing w:after="0" w:afterAutospacing="0" w:lineRule="auto"/>
        <w:ind w:left="720" w:hanging="360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Sprint plan: decompose 13 services into sprint-sized work packages across the Build stage.</w:t>
      </w:r>
    </w:p>
    <w:p w:rsidR="00000000" w:rsidDel="00000000" w:rsidP="00000000" w:rsidRDefault="00000000" w:rsidRPr="00000000" w14:paraId="00000150">
      <w:pPr>
        <w:pStyle w:val="Heading2"/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Release plan: service deployment sequence respecting inter-service dependency order (e.g., Customer Service before Contract Service; Contract Service before Dispatch Service).</w:t>
      </w:r>
    </w:p>
    <w:p w:rsidR="00000000" w:rsidDel="00000000" w:rsidP="00000000" w:rsidRDefault="00000000" w:rsidRPr="00000000" w14:paraId="00000151">
      <w:pPr>
        <w:pStyle w:val="Heading2"/>
        <w:widowControl w:val="0"/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UAT scheduling: book test slots and environment access with Frontdoor.</w:t>
      </w:r>
    </w:p>
    <w:p w:rsidR="00000000" w:rsidDel="00000000" w:rsidP="00000000" w:rsidRDefault="00000000" w:rsidRPr="00000000" w14:paraId="00000152">
      <w:pPr>
        <w:pStyle w:val="Heading2"/>
        <w:widowControl w:val="0"/>
        <w:spacing w:after="60" w:before="0" w:lineRule="auto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2.5 Value Checkpoint</w:t>
      </w:r>
    </w:p>
    <w:p w:rsidR="00000000" w:rsidDel="00000000" w:rsidP="00000000" w:rsidRDefault="00000000" w:rsidRPr="00000000" w14:paraId="00000153">
      <w:pPr>
        <w:pStyle w:val="Heading2"/>
        <w:widowControl w:val="0"/>
        <w:numPr>
          <w:ilvl w:val="0"/>
          <w:numId w:val="23"/>
        </w:numPr>
        <w:spacing w:after="0" w:afterAutospacing="0" w:lineRule="auto"/>
        <w:ind w:left="720" w:hanging="360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Sponsor walkthrough: present Define/Design outcomes, confirmed scope, risk register, and Build plan.</w:t>
      </w:r>
    </w:p>
    <w:p w:rsidR="00000000" w:rsidDel="00000000" w:rsidP="00000000" w:rsidRDefault="00000000" w:rsidRPr="00000000" w14:paraId="00000154">
      <w:pPr>
        <w:pStyle w:val="Heading2"/>
        <w:widowControl w:val="0"/>
        <w:numPr>
          <w:ilvl w:val="0"/>
          <w:numId w:val="23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Dead-code re-baseline gate. If the Phase 0 golden-example exercise and Phase 1 Define call-graph analysis reveal the live-code ratio deviates significantly from 50%, scope is recalibrated before Build commitment.</w:t>
      </w:r>
    </w:p>
    <w:p w:rsidR="00000000" w:rsidDel="00000000" w:rsidP="00000000" w:rsidRDefault="00000000" w:rsidRPr="00000000" w14:paraId="00000155">
      <w:pPr>
        <w:pStyle w:val="Heading2"/>
        <w:widowControl w:val="0"/>
        <w:spacing w:after="60" w:before="0" w:lineRule="auto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2.6 Build — Translation, Test, Integration, Deploy</w:t>
      </w:r>
    </w:p>
    <w:p w:rsidR="00000000" w:rsidDel="00000000" w:rsidP="00000000" w:rsidRDefault="00000000" w:rsidRPr="00000000" w14:paraId="00000156">
      <w:pPr>
        <w:pStyle w:val="Heading2"/>
        <w:widowControl w:val="0"/>
        <w:spacing w:after="0" w:before="0" w:lineRule="auto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The Build stage translates 45 PL/SQL objects into 13 services in 2-week sprints. Per-service work follows a repeatable pipeline:</w:t>
      </w:r>
    </w:p>
    <w:p w:rsidR="00000000" w:rsidDel="00000000" w:rsidP="00000000" w:rsidRDefault="00000000" w:rsidRPr="00000000" w14:paraId="00000157">
      <w:pPr>
        <w:pStyle w:val="Heading2"/>
        <w:widowControl w:val="0"/>
        <w:spacing w:after="0" w:before="0" w:lineRule="auto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Per-service translation pipeline:</w:t>
      </w:r>
    </w:p>
    <w:p w:rsidR="00000000" w:rsidDel="00000000" w:rsidP="00000000" w:rsidRDefault="00000000" w:rsidRPr="00000000" w14:paraId="00000158">
      <w:pPr>
        <w:pStyle w:val="Heading2"/>
        <w:widowControl w:val="0"/>
        <w:numPr>
          <w:ilvl w:val="0"/>
          <w:numId w:val="27"/>
        </w:numPr>
        <w:spacing w:after="240" w:lineRule="auto"/>
        <w:ind w:left="720" w:hanging="360"/>
        <w:rPr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AI-assisted code translation. For each PL/SQL procedure/function in the package body, generate a C# implementation using the calibrated LLM agent. Oracle-specific constructs are handled as follows:</w:t>
      </w:r>
    </w:p>
    <w:tbl>
      <w:tblPr>
        <w:tblStyle w:val="Table6"/>
        <w:tblW w:w="7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40"/>
        <w:gridCol w:w="4505"/>
        <w:tblGridChange w:id="0">
          <w:tblGrid>
            <w:gridCol w:w="3440"/>
            <w:gridCol w:w="45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PL/SQL construct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.NET equivalent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UTL_FILE read/write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IStorageService (File &amp; S3 Storage lib)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UTL_SMTP email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INotificationService (Notification Service REST call)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DBMS_CRYPTO / STARCRYPTO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IEncryptionService (Crypto Primitives lib, AWS KMS)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prod.star_cloud.*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IStorageService.GetObject/PutObject/ListFiles/DeleteFile (no local source; call-site adapter)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prod.clob_to_file / clob_to_file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IStorageService.WriteClobToFile (from additional_code/procedures/clob_to_file.sql)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prod.cost_center2department / cost_center2department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Adapter in Finance Integration Service (from additional_code/functions/cost_center2department.sql)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PRAGMA AUTONOMOUS_TRANSACTION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Separate DbContext with independent SaveChanges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HTP/HTF web toolkit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Eliminated — REST responses replace HTML generation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DBMS_AQ enqueue/dequeue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Out of scope (Frontdoor-owned)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Oracle %ROWTYPE / %TYPE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Strongly-typed C# DTOs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Oracle REF CURSOR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IAsyncEnumerable&lt;T&gt; or materialized List&lt;T&gt;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Oracle exceptions (RAISE_APPLICATION_ERROR)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Domain exception classes → ProblemDetails HTTP responses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Autonomous transactions (logging/locking)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Scoped DbContext with independent unit of work</w:t>
            </w:r>
          </w:p>
        </w:tc>
      </w:tr>
    </w:tbl>
    <w:p w:rsidR="00000000" w:rsidDel="00000000" w:rsidP="00000000" w:rsidRDefault="00000000" w:rsidRPr="00000000" w14:paraId="00000175">
      <w:pPr>
        <w:pStyle w:val="Heading2"/>
        <w:widowControl w:val="0"/>
        <w:numPr>
          <w:ilvl w:val="0"/>
          <w:numId w:val="16"/>
        </w:numPr>
        <w:spacing w:after="0" w:afterAutospacing="0" w:lineRule="auto"/>
        <w:ind w:left="720" w:hanging="360"/>
        <w:rPr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Unit test generation. AI-generated unit tests covering: input validation, happy-path business logic, edge cases identified during Define, exception paths. Target: ≥80% branch coverage per service.</w:t>
      </w:r>
    </w:p>
    <w:p w:rsidR="00000000" w:rsidDel="00000000" w:rsidP="00000000" w:rsidRDefault="00000000" w:rsidRPr="00000000" w14:paraId="00000176">
      <w:pPr>
        <w:pStyle w:val="Heading2"/>
        <w:widowControl w:val="0"/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Integration test generation. Tests that exercise the full HTTP → Controller → MediatR Handler → Repository → Oracle roundtrip. Parity tests compare .NET output against PL/SQL output for identical input sets.</w:t>
      </w:r>
    </w:p>
    <w:p w:rsidR="00000000" w:rsidDel="00000000" w:rsidP="00000000" w:rsidRDefault="00000000" w:rsidRPr="00000000" w14:paraId="00000177">
      <w:pPr>
        <w:pStyle w:val="Heading2"/>
        <w:widowControl w:val="0"/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Contract test authoring. Consumer-driven contract tests for inter-service API boundaries (Pact or equivalent).</w:t>
      </w:r>
    </w:p>
    <w:p w:rsidR="00000000" w:rsidDel="00000000" w:rsidP="00000000" w:rsidRDefault="00000000" w:rsidRPr="00000000" w14:paraId="00000178">
      <w:pPr>
        <w:pStyle w:val="Heading2"/>
        <w:widowControl w:val="0"/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Code review. Mandatory pair-review by senior engineer for all AI-generated code. Financial logic (commission calculation, write-off, credit-memo application, deferred revenue) receives additional review for semantic drift.</w:t>
      </w:r>
    </w:p>
    <w:p w:rsidR="00000000" w:rsidDel="00000000" w:rsidP="00000000" w:rsidRDefault="00000000" w:rsidRPr="00000000" w14:paraId="00000179">
      <w:pPr>
        <w:pStyle w:val="Heading2"/>
        <w:widowControl w:val="0"/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Containerization. Multi-stage Dockerfile per service: build → test → publish → runtime image. Base image: mcr.microsoft.com/dotnet/aspnet:8.0.</w:t>
      </w:r>
    </w:p>
    <w:p w:rsidR="00000000" w:rsidDel="00000000" w:rsidP="00000000" w:rsidRDefault="00000000" w:rsidRPr="00000000" w14:paraId="0000017A">
      <w:pPr>
        <w:pStyle w:val="Heading2"/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K8s manifest generation. Per-service Deployment, Service, Ingress, ConfigMap, Secrets (Oracle connection strings via AWS Secrets Manager), HPA. Kustomize overlays for dev/staging/production.</w:t>
      </w:r>
    </w:p>
    <w:p w:rsidR="00000000" w:rsidDel="00000000" w:rsidP="00000000" w:rsidRDefault="00000000" w:rsidRPr="00000000" w14:paraId="0000017B">
      <w:pPr>
        <w:pStyle w:val="Heading2"/>
        <w:widowControl w:val="0"/>
        <w:numPr>
          <w:ilvl w:val="0"/>
          <w:numId w:val="36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Plus Jakarta Sans Light" w:cs="Plus Jakarta Sans Light" w:eastAsia="Plus Jakarta Sans Light" w:hAnsi="Plus Jakarta Sans Light"/>
          <w:sz w:val="22"/>
          <w:szCs w:val="22"/>
          <w:rtl w:val="0"/>
        </w:rPr>
        <w:t xml:space="preserve">Istio routing configuration. Per-service VirtualService and DestinationRule (and project-scoped AuthorizationPolicy where required) defining: initial traffic split (100% legacy / 0% .NET), canary rollout template, weighted-split progression rules, and rollback trigger conditions — applied to Frontdoor's existing Istio mesh; no control-plane installation.</w:t>
      </w:r>
    </w:p>
    <w:p w:rsidR="00000000" w:rsidDel="00000000" w:rsidP="00000000" w:rsidRDefault="00000000" w:rsidRPr="00000000" w14:paraId="0000017C">
      <w:pPr>
        <w:pStyle w:val="Heading2"/>
        <w:widowControl w:val="0"/>
        <w:spacing w:after="0" w:before="0" w:lineRule="auto"/>
        <w:rPr>
          <w:rFonts w:ascii="Plus Jakarta Sans Light" w:cs="Plus Jakarta Sans Light" w:eastAsia="Plus Jakarta Sans Light" w:hAnsi="Plus Jakarta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Plus Jakarta Sans Light" w:cs="Plus Jakarta Sans Light" w:eastAsia="Plus Jakarta Sans Light" w:hAnsi="Plus Jakarta Sans Light"/>
          <w:sz w:val="22"/>
          <w:szCs w:val="22"/>
          <w:rtl w:val="0"/>
        </w:rPr>
        <w:t xml:space="preserve">Phase 1 service-specific scope:</w:t>
      </w:r>
    </w:p>
    <w:tbl>
      <w:tblPr>
        <w:tblStyle w:val="Table7"/>
        <w:tblW w:w="8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0"/>
        <w:gridCol w:w="3455"/>
        <w:gridCol w:w="2540"/>
        <w:tblGridChange w:id="0">
          <w:tblGrid>
            <w:gridCol w:w="2540"/>
            <w:gridCol w:w="3455"/>
            <w:gridCol w:w="25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PL/SQL packages translated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Key technical concerns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Customer Service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CUSTOMER_BO, CUSTOMER_FUNCTIONS, PROPERTY_FUNCTIONS / F_GET_FORMATTED_ADDRESS, PHYSICALADDRESS, PHYSICALADDRESS_DA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Bidirectional coupling with Contract and Web Portal services; address formatting and geocoding logic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Contract Service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CONTRACT_BO, CONTRACT_DA, CONTRACT_FUNCTIONS, CONTRACT_COVERAGE, MAINTAIN_CONTRACT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Highest fan-in service (11 dependents); contract eligibility, coverage verification, terms management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Pricing &amp; Revenue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COMPUTE_DIST_PAYABLE, PKG_DEF_REVENUE_LIBS, PRICE_CONTRACT_WARRANTY (partial)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Commission calculation, deferred-revenue accounting — financial logic requires rigorous parity testing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Dispatch Service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DISPATCH, DISPATCH_DA, DISPATCH_FUNCTIONS, DISPATCHASSIGN, DISPATCH_DATA_OBJ, DISPATCH3, PHYSICALDISPATCH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XL-tier (16,833 effective LOC); vendor selection, routing, email confirmation via UTL_SMTP (→ Notification Service); critical coupling to Vendor and Contract services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Service Order Service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Subset of SERVICE, SERVICEITEM, SERVICEITEM_DA, SERVICE_WM (P1 subset)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Stub-level P1 delivery; full implementation in P3. Absorbs Service Request (D7)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Work Order &amp; Fulfillment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Subset of WORKORDER, WORKORDER_DA, FULFILLMENT_FUNCTIONS, PRODUCT_AVAILABILITY, DISTRIBUTOR_FUNCTIONS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Stub-level P1 delivery; full implementation in P2. Critical coupling to Contract and Customer services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Invoicing Service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CREATE_INVOICES, CREATE_BILLING_INVOICES, STAGEDINVOICEBATCH, STAGEDINVOICEBATCH_DA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Invoice creation, batch processing, staged-invoice validation; coupling to Finance Integration for JDE staging</w:t>
            </w:r>
          </w:p>
        </w:tc>
      </w:tr>
      <w:tr>
        <w:trPr>
          <w:cantSplit w:val="0"/>
          <w:trHeight w:val="17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Payment Service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PAYMENT_LOAD, PAYMENT_PROCESS, OVERDUE_PAYMENT, PROC_LOCKBOX_BATCHES, PKG_CREDIT_CARD_STAGING, PKG_CP_STAGING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Payment batch ingestion, lockbox processing, credit-card staging; coupling to Card Security for decryption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Vendor Service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Subset of VENDOR, VENDOR_DA, VENDOR_LIST, VENDORSELECTION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Vendor master data, selection algorithms; coupling to Dispatch</w:t>
            </w:r>
          </w:p>
        </w:tc>
      </w:tr>
      <w:tr>
        <w:trPr>
          <w:cantSplit w:val="0"/>
          <w:trHeight w:val="2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Vendor Invoice &amp; Writeoff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VENDORINVOICE, VENDORINVOICE_DA, PKG_AP_STAGING, PKG_AP_REVERSE_STAGING, PKG_VENDORS_STAGING, PKG_AUTO_WRITEOFF_PROCESS, SERVICEPAYABLE, SERVICEPAYABLE_DA, PPUB_INVOICE_DIST, PROC_CREDIT_MEMO_APPLY (additional_code)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AP staging, invoice distribution, credit-memo batch; critical coupling to Finance Integration and Invoicing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Commission &amp; Territory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PKG_SALES_COMMISSION_ENGINE, SALES_TERRITORY_RULES, SALES_FUNCTIONS (partial)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Commission engine, territory-rule evaluation; financial logic requiring strict parity</w:t>
            </w:r>
          </w:p>
        </w:tc>
      </w:tr>
      <w:tr>
        <w:trPr>
          <w:cantSplit w:val="0"/>
          <w:trHeight w:val="2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Finance Integration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PKG_JDE_SYNC (partial), GET_GL_CODE_PKG, CREATE_AP_JDE_FILE, CREATE_GL_JDE_FILE, CREATE_VENDOR_JDE_FILE, PROC_MISC_CASH_STAGING, PROC_OAP_PAYMENTS_STAGING (additional_code)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GL code determination, JDE flat-file generation/staging, data synchronization; absorbs General Ledger and MIM Integration (D7)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Card Security (PCI)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PKG_ACCT_DECRYPTION_FUNCTIONS (partial), PKG_ACCT_ENCRYPTION_FUNCTIONS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PCI-scoped: card decryption/encryption, VALIDATECREDITCARD function; AWS KMS integration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Reporting Service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PKG_ACCT_REPORTS, REPORT_SER147_FUNCTIONS, REPORT_UTILITY (partial)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Account reports, exception reporting; read-heavy query patterns</w:t>
            </w:r>
          </w:p>
        </w:tc>
      </w:tr>
    </w:tbl>
    <w:p w:rsidR="00000000" w:rsidDel="00000000" w:rsidP="00000000" w:rsidRDefault="00000000" w:rsidRPr="00000000" w14:paraId="000001AA">
      <w:pPr>
        <w:pStyle w:val="Heading2"/>
        <w:widowControl w:val="0"/>
        <w:spacing w:after="60" w:before="0" w:lineRule="auto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2.7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Verify</w:t>
      </w:r>
    </w:p>
    <w:p w:rsidR="00000000" w:rsidDel="00000000" w:rsidP="00000000" w:rsidRDefault="00000000" w:rsidRPr="00000000" w14:paraId="000001AB">
      <w:pPr>
        <w:pStyle w:val="Heading2"/>
        <w:widowControl w:val="0"/>
        <w:numPr>
          <w:ilvl w:val="0"/>
          <w:numId w:val="15"/>
        </w:numPr>
        <w:spacing w:after="0" w:afterAutospacing="0" w:lineRule="auto"/>
        <w:ind w:left="720" w:hanging="360"/>
        <w:rPr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Functional testing. Execute test suites per service: unit, integration, contract tests.</w:t>
      </w:r>
    </w:p>
    <w:p w:rsidR="00000000" w:rsidDel="00000000" w:rsidP="00000000" w:rsidRDefault="00000000" w:rsidRPr="00000000" w14:paraId="000001AC">
      <w:pPr>
        <w:pStyle w:val="Heading2"/>
        <w:widowControl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Performance parity testing. Compare API response times against legacy PL/SQL execution times; target: no degradation beyond 10% p95 latency.</w:t>
      </w:r>
    </w:p>
    <w:p w:rsidR="00000000" w:rsidDel="00000000" w:rsidP="00000000" w:rsidRDefault="00000000" w:rsidRPr="00000000" w14:paraId="000001AD">
      <w:pPr>
        <w:pStyle w:val="Heading2"/>
        <w:widowControl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Behavioral parity testing. For each service, execute the parity test suite (identical inputs → PL/SQL vs .NET → compare outputs). Minimum pass rate: 95% scenario coverage at 100% match.</w:t>
      </w:r>
    </w:p>
    <w:p w:rsidR="00000000" w:rsidDel="00000000" w:rsidP="00000000" w:rsidRDefault="00000000" w:rsidRPr="00000000" w14:paraId="000001AE">
      <w:pPr>
        <w:pStyle w:val="Heading2"/>
        <w:widowControl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UAT coordination. Frontdoor-led user acceptance testing; 66degrees provides environment support, defect intake, and remediation.</w:t>
      </w:r>
    </w:p>
    <w:p w:rsidR="00000000" w:rsidDel="00000000" w:rsidP="00000000" w:rsidRDefault="00000000" w:rsidRPr="00000000" w14:paraId="000001AF">
      <w:pPr>
        <w:pStyle w:val="Heading2"/>
        <w:widowControl w:val="0"/>
        <w:numPr>
          <w:ilvl w:val="0"/>
          <w:numId w:val="15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Defect remediation. Fix cycle within Verify; severity-1/2 defects block phase close-out.</w:t>
      </w:r>
    </w:p>
    <w:p w:rsidR="00000000" w:rsidDel="00000000" w:rsidP="00000000" w:rsidRDefault="00000000" w:rsidRPr="00000000" w14:paraId="000001B0">
      <w:pPr>
        <w:pStyle w:val="Heading2"/>
        <w:widowControl w:val="0"/>
        <w:spacing w:after="60" w:before="0" w:lineRule="auto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2.8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Operate</w:t>
      </w:r>
    </w:p>
    <w:p w:rsidR="00000000" w:rsidDel="00000000" w:rsidP="00000000" w:rsidRDefault="00000000" w:rsidRPr="00000000" w14:paraId="000001B1">
      <w:pPr>
        <w:pStyle w:val="Heading2"/>
        <w:widowControl w:val="0"/>
        <w:numPr>
          <w:ilvl w:val="0"/>
          <w:numId w:val="26"/>
        </w:numPr>
        <w:spacing w:after="0" w:afterAutospacing="0" w:lineRule="auto"/>
        <w:ind w:left="720" w:hanging="360"/>
        <w:rPr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SRE handover. Per-service runbooks, CloudWatch dashboards, alerting rules, escalation procedures.</w:t>
      </w:r>
    </w:p>
    <w:p w:rsidR="00000000" w:rsidDel="00000000" w:rsidP="00000000" w:rsidRDefault="00000000" w:rsidRPr="00000000" w14:paraId="000001B2">
      <w:pPr>
        <w:pStyle w:val="Heading2"/>
        <w:widowControl w:val="0"/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Knowledge transfer. Structured KT sessions to Frontdoor's SRE and development teams covering: service architecture, deployment procedures, mesh routing management, rollback procedures.</w:t>
      </w:r>
    </w:p>
    <w:p w:rsidR="00000000" w:rsidDel="00000000" w:rsidP="00000000" w:rsidRDefault="00000000" w:rsidRPr="00000000" w14:paraId="000001B3">
      <w:pPr>
        <w:pStyle w:val="Heading2"/>
        <w:widowControl w:val="0"/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Documentation finalization. Per-service: API documentation (OpenAPI), architecture decision records (ADRs), sequence diagrams, deployment guide.</w:t>
      </w:r>
    </w:p>
    <w:p w:rsidR="00000000" w:rsidDel="00000000" w:rsidP="00000000" w:rsidRDefault="00000000" w:rsidRPr="00000000" w14:paraId="000001B4">
      <w:pPr>
        <w:pStyle w:val="Heading2"/>
        <w:widowControl w:val="0"/>
        <w:numPr>
          <w:ilvl w:val="0"/>
          <w:numId w:val="26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Phase close-out. Retrospective, lessons-learned capture, next-phase planning inputs.</w:t>
      </w:r>
    </w:p>
    <w:p w:rsidR="00000000" w:rsidDel="00000000" w:rsidP="00000000" w:rsidRDefault="00000000" w:rsidRPr="00000000" w14:paraId="000001B5">
      <w:pPr>
        <w:pStyle w:val="Heading2"/>
        <w:widowControl w:val="0"/>
        <w:spacing w:after="240" w:before="0" w:lineRule="auto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B6">
      <w:pPr>
        <w:pStyle w:val="Heading2"/>
        <w:widowControl w:val="0"/>
        <w:spacing w:after="60" w:before="0" w:lineRule="auto"/>
        <w:rPr>
          <w:rFonts w:ascii="Work Sans" w:cs="Work Sans" w:eastAsia="Work Sans" w:hAnsi="Work Sans"/>
          <w:b w:val="1"/>
          <w:bCs w:val="1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" w:cs="Work Sans" w:eastAsia="Work Sans" w:hAnsi="Work Sans"/>
          <w:b w:val="1"/>
          <w:bCs w:val="1"/>
          <w:sz w:val="22"/>
          <w:szCs w:val="22"/>
          <w:rtl w:val="0"/>
        </w:rPr>
        <w:t xml:space="preserve">3. Phase 2 — Translate &amp; Decommission Next 45 PL/SQL Objects</w:t>
      </w:r>
    </w:p>
    <w:p w:rsidR="00000000" w:rsidDel="00000000" w:rsidP="00000000" w:rsidRDefault="00000000" w:rsidRPr="00000000" w14:paraId="000001B7">
      <w:pPr>
        <w:pStyle w:val="Heading2"/>
        <w:widowControl w:val="0"/>
        <w:spacing w:after="0" w:before="0" w:lineRule="auto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Phase 2 starts mid-Phase 1. The team carries over from Phase 1 — no Prepare stage. 17 services touched (8 extensions of Phase 1 services + 3 net-new services + 6 additional extensions).</w:t>
      </w:r>
    </w:p>
    <w:p w:rsidR="00000000" w:rsidDel="00000000" w:rsidP="00000000" w:rsidRDefault="00000000" w:rsidRPr="00000000" w14:paraId="000001B8">
      <w:pPr>
        <w:pStyle w:val="Heading2"/>
        <w:widowControl w:val="0"/>
        <w:spacing w:after="220" w:before="0" w:lineRule="auto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New services introduced: Renewal · Campaign &amp; Lead · Notification. Services extended: Customer · Pricing · Dispatch · Service Order · Work Order &amp; Fulfillment · Invoicing · Payment · Vendor · Vendor Invoice · Commission &amp; Territory · Finance Integration · Reporting · Sales Transaction (started) · Web Portal &amp; User (started).</w:t>
      </w:r>
    </w:p>
    <w:p w:rsidR="00000000" w:rsidDel="00000000" w:rsidP="00000000" w:rsidRDefault="00000000" w:rsidRPr="00000000" w14:paraId="000001B9">
      <w:pPr>
        <w:pStyle w:val="Heading2"/>
        <w:widowControl w:val="0"/>
        <w:spacing w:after="60" w:before="0" w:lineRule="auto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3.1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Define</w:t>
      </w:r>
    </w:p>
    <w:p w:rsidR="00000000" w:rsidDel="00000000" w:rsidP="00000000" w:rsidRDefault="00000000" w:rsidRPr="00000000" w14:paraId="000001BA">
      <w:pPr>
        <w:pStyle w:val="Heading2"/>
        <w:widowControl w:val="0"/>
        <w:numPr>
          <w:ilvl w:val="0"/>
          <w:numId w:val="42"/>
        </w:numPr>
        <w:spacing w:after="0" w:afterAutospacing="0" w:lineRule="auto"/>
        <w:ind w:left="720" w:hanging="360"/>
        <w:rPr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Extension delta analysis (8 services). For services already partially delivered in Phase 1, scope the additional PL/SQL packages being added — identifying only the incremental procedures, cross-package calls, and Oracle-proprietary constructs not previously addressed.</w:t>
      </w:r>
    </w:p>
    <w:p w:rsidR="00000000" w:rsidDel="00000000" w:rsidP="00000000" w:rsidRDefault="00000000" w:rsidRPr="00000000" w14:paraId="000001BB">
      <w:pPr>
        <w:pStyle w:val="Heading2"/>
        <w:widowControl w:val="0"/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Plus Jakarta Sans Light" w:cs="Plus Jakarta Sans Light" w:eastAsia="Plus Jakarta Sans Light" w:hAnsi="Plus Jakarta Sans Light"/>
          <w:sz w:val="22"/>
          <w:szCs w:val="22"/>
          <w:rtl w:val="0"/>
        </w:rPr>
        <w:t xml:space="preserve">Net-new service scoping (3 services). Full specification mining for Renewal Service (RENEWAL_BATCH_LIB, RENEWAL_BATCH, RENEWALS, PKG_EVERGREEN_RENEWAL, CONTRACT_RENEWAL_FUNCTIONS, LMS_RENEWALS_LOAD), Campaign &amp; Lead Service (CAMPAIGN_LIB, DIALER_LEAD_MANAGEMENT), and Notification Service (COMMON_FUNC_EMAIL, COMMON_FUNC_EMAIL_INTERIM).</w:t>
      </w:r>
    </w:p>
    <w:p w:rsidR="00000000" w:rsidDel="00000000" w:rsidP="00000000" w:rsidRDefault="00000000" w:rsidRPr="00000000" w14:paraId="000001BC">
      <w:pPr>
        <w:pStyle w:val="Heading2"/>
        <w:widowControl w:val="0"/>
        <w:numPr>
          <w:ilvl w:val="0"/>
          <w:numId w:val="42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Plus Jakarta Sans Light" w:cs="Plus Jakarta Sans Light" w:eastAsia="Plus Jakarta Sans Light" w:hAnsi="Plus Jakarta Sans Light"/>
          <w:sz w:val="22"/>
          <w:szCs w:val="22"/>
          <w:rtl w:val="0"/>
        </w:rPr>
        <w:t xml:space="preserve">External dependency. STAR_CLOUD has no implementation in package or </w:t>
      </w:r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additional_code exports; File &amp; S3 Storage adapter is built from call sites in Phase 0.</w:t>
      </w:r>
    </w:p>
    <w:p w:rsidR="00000000" w:rsidDel="00000000" w:rsidP="00000000" w:rsidRDefault="00000000" w:rsidRPr="00000000" w14:paraId="000001BD">
      <w:pPr>
        <w:pStyle w:val="Heading2"/>
        <w:widowControl w:val="0"/>
        <w:spacing w:after="60" w:before="0" w:lineRule="auto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3.2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Design</w:t>
      </w:r>
    </w:p>
    <w:p w:rsidR="00000000" w:rsidDel="00000000" w:rsidP="00000000" w:rsidRDefault="00000000" w:rsidRPr="00000000" w14:paraId="000001BE">
      <w:pPr>
        <w:pStyle w:val="Heading2"/>
        <w:widowControl w:val="0"/>
        <w:numPr>
          <w:ilvl w:val="0"/>
          <w:numId w:val="14"/>
        </w:numPr>
        <w:spacing w:after="0" w:afterAutospacing="0" w:lineRule="auto"/>
        <w:ind w:left="720" w:hanging="360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API design and OpenAPI specs for new and extended services using AI-generated drafts with human review. Extensions require delta design only — new endpoints and modified DTOs, not full-service redesign.</w:t>
      </w:r>
    </w:p>
    <w:p w:rsidR="00000000" w:rsidDel="00000000" w:rsidP="00000000" w:rsidRDefault="00000000" w:rsidRPr="00000000" w14:paraId="000001BF">
      <w:pPr>
        <w:pStyle w:val="Heading2"/>
        <w:widowControl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Sequence diagrams for new services (Renewal, Campaign &amp; Lead, Notification).</w:t>
      </w:r>
    </w:p>
    <w:p w:rsidR="00000000" w:rsidDel="00000000" w:rsidP="00000000" w:rsidRDefault="00000000" w:rsidRPr="00000000" w14:paraId="000001C0">
      <w:pPr>
        <w:pStyle w:val="Heading2"/>
        <w:widowControl w:val="0"/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K8s manifest patterns reuse Phase 1 templates with per-service Kustomize overrides.</w:t>
      </w:r>
    </w:p>
    <w:p w:rsidR="00000000" w:rsidDel="00000000" w:rsidP="00000000" w:rsidRDefault="00000000" w:rsidRPr="00000000" w14:paraId="000001C1">
      <w:pPr>
        <w:pStyle w:val="Heading2"/>
        <w:widowControl w:val="0"/>
        <w:spacing w:after="60" w:before="0" w:lineRule="auto"/>
        <w:rPr>
          <w:rFonts w:ascii="Plus Jakarta Sans Light" w:cs="Plus Jakarta Sans Light" w:eastAsia="Plus Jakarta Sans Light" w:hAnsi="Plus Jakarta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3.3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Plus Jakarta Sans Light" w:cs="Plus Jakarta Sans Light" w:eastAsia="Plus Jakarta Sans Light" w:hAnsi="Plus Jakarta Sans Light"/>
          <w:sz w:val="22"/>
          <w:szCs w:val="22"/>
          <w:rtl w:val="0"/>
        </w:rPr>
        <w:t xml:space="preserve">Plan</w:t>
      </w:r>
    </w:p>
    <w:p w:rsidR="00000000" w:rsidDel="00000000" w:rsidP="00000000" w:rsidRDefault="00000000" w:rsidRPr="00000000" w14:paraId="000001C2">
      <w:pPr>
        <w:pStyle w:val="Heading2"/>
        <w:widowControl w:val="0"/>
        <w:numPr>
          <w:ilvl w:val="0"/>
          <w:numId w:val="17"/>
        </w:numPr>
        <w:spacing w:after="0" w:afterAutospacing="0" w:lineRule="auto"/>
        <w:ind w:left="720" w:hanging="360"/>
        <w:rPr>
          <w:rFonts w:ascii="Plus Jakarta Sans Light" w:cs="Plus Jakarta Sans Light" w:eastAsia="Plus Jakarta Sans Light" w:hAnsi="Plus Jakarta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Plus Jakarta Sans Light" w:cs="Plus Jakarta Sans Light" w:eastAsia="Plus Jakarta Sans Light" w:hAnsi="Plus Jakarta Sans Light"/>
          <w:sz w:val="22"/>
          <w:szCs w:val="22"/>
          <w:rtl w:val="0"/>
        </w:rPr>
        <w:t xml:space="preserve">Sprint plan for Build stage across 17 services.</w:t>
      </w:r>
    </w:p>
    <w:p w:rsidR="00000000" w:rsidDel="00000000" w:rsidP="00000000" w:rsidRDefault="00000000" w:rsidRPr="00000000" w14:paraId="000001C3">
      <w:pPr>
        <w:pStyle w:val="Heading2"/>
        <w:widowControl w:val="0"/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Plus Jakarta Sans Light" w:cs="Plus Jakarta Sans Light" w:eastAsia="Plus Jakarta Sans Light" w:hAnsi="Plus Jakarta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Plus Jakarta Sans Light" w:cs="Plus Jakarta Sans Light" w:eastAsia="Plus Jakarta Sans Light" w:hAnsi="Plus Jakarta Sans Light"/>
          <w:sz w:val="22"/>
          <w:szCs w:val="22"/>
          <w:rtl w:val="0"/>
        </w:rPr>
        <w:t xml:space="preserve">Release sequence respecting dependency order: Renewal depends on Contract (P1); Campaign depends on Invoicing (P1) and Customer (P1).</w:t>
      </w:r>
    </w:p>
    <w:p w:rsidR="00000000" w:rsidDel="00000000" w:rsidP="00000000" w:rsidRDefault="00000000" w:rsidRPr="00000000" w14:paraId="000001C4">
      <w:pPr>
        <w:pStyle w:val="Heading2"/>
        <w:widowControl w:val="0"/>
        <w:spacing w:after="60" w:before="0" w:lineRule="auto"/>
        <w:rPr>
          <w:rFonts w:ascii="Plus Jakarta Sans Light" w:cs="Plus Jakarta Sans Light" w:eastAsia="Plus Jakarta Sans Light" w:hAnsi="Plus Jakarta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Plus Jakarta Sans Light" w:cs="Plus Jakarta Sans Light" w:eastAsia="Plus Jakarta Sans Light" w:hAnsi="Plus Jakarta Sans Light"/>
          <w:sz w:val="22"/>
          <w:szCs w:val="22"/>
          <w:rtl w:val="0"/>
        </w:rPr>
        <w:t xml:space="preserve">3.4 Value Checkpoint</w:t>
      </w:r>
    </w:p>
    <w:p w:rsidR="00000000" w:rsidDel="00000000" w:rsidP="00000000" w:rsidRDefault="00000000" w:rsidRPr="00000000" w14:paraId="000001C5">
      <w:pPr>
        <w:pStyle w:val="Heading2"/>
        <w:widowControl w:val="0"/>
        <w:numPr>
          <w:ilvl w:val="0"/>
          <w:numId w:val="33"/>
        </w:numPr>
        <w:spacing w:after="240" w:lineRule="auto"/>
        <w:ind w:left="720" w:hanging="360"/>
        <w:rPr>
          <w:rFonts w:ascii="Plus Jakarta Sans Light" w:cs="Plus Jakarta Sans Light" w:eastAsia="Plus Jakarta Sans Light" w:hAnsi="Plus Jakarta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Plus Jakarta Sans Light" w:cs="Plus Jakarta Sans Light" w:eastAsia="Plus Jakarta Sans Light" w:hAnsi="Plus Jakarta Sans Light"/>
          <w:sz w:val="22"/>
          <w:szCs w:val="22"/>
          <w:rtl w:val="0"/>
        </w:rPr>
        <w:t xml:space="preserve">Sponsor sign-off on Phase 2 scope, updated risk register, Build plan.</w:t>
      </w:r>
    </w:p>
    <w:p w:rsidR="00000000" w:rsidDel="00000000" w:rsidP="00000000" w:rsidRDefault="00000000" w:rsidRPr="00000000" w14:paraId="000001C6">
      <w:pPr>
        <w:pStyle w:val="Heading2"/>
        <w:widowControl w:val="0"/>
        <w:spacing w:after="60" w:before="0" w:lineRule="auto"/>
        <w:rPr>
          <w:rFonts w:ascii="Plus Jakarta Sans Light" w:cs="Plus Jakarta Sans Light" w:eastAsia="Plus Jakarta Sans Light" w:hAnsi="Plus Jakarta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Plus Jakarta Sans Light" w:cs="Plus Jakarta Sans Light" w:eastAsia="Plus Jakarta Sans Light" w:hAnsi="Plus Jakarta Sans Light"/>
          <w:sz w:val="22"/>
          <w:szCs w:val="22"/>
          <w:rtl w:val="0"/>
        </w:rPr>
        <w:t xml:space="preserve">3.5 Build</w:t>
      </w:r>
    </w:p>
    <w:p w:rsidR="00000000" w:rsidDel="00000000" w:rsidP="00000000" w:rsidRDefault="00000000" w:rsidRPr="00000000" w14:paraId="000001C7">
      <w:pPr>
        <w:pStyle w:val="Heading2"/>
        <w:widowControl w:val="0"/>
        <w:spacing w:after="0" w:before="0" w:lineRule="auto"/>
        <w:rPr>
          <w:rFonts w:ascii="Plus Jakarta Sans Light" w:cs="Plus Jakarta Sans Light" w:eastAsia="Plus Jakarta Sans Light" w:hAnsi="Plus Jakarta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Plus Jakarta Sans Light" w:cs="Plus Jakarta Sans Light" w:eastAsia="Plus Jakarta Sans Light" w:hAnsi="Plus Jakarta Sans Light"/>
          <w:sz w:val="22"/>
          <w:szCs w:val="22"/>
          <w:rtl w:val="0"/>
        </w:rPr>
        <w:t xml:space="preserve">Phase 2 translation follows the same per-service pipeline as Phase 1, with reduced architect and associate staffing reflecting pattern maturity.</w:t>
      </w:r>
    </w:p>
    <w:p w:rsidR="00000000" w:rsidDel="00000000" w:rsidP="00000000" w:rsidRDefault="00000000" w:rsidRPr="00000000" w14:paraId="000001C8">
      <w:pPr>
        <w:pStyle w:val="Heading2"/>
        <w:widowControl w:val="0"/>
        <w:spacing w:after="0" w:before="0" w:lineRule="auto"/>
        <w:rPr>
          <w:rFonts w:ascii="Plus Jakarta Sans Light" w:cs="Plus Jakarta Sans Light" w:eastAsia="Plus Jakarta Sans Light" w:hAnsi="Plus Jakarta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Plus Jakarta Sans Light" w:cs="Plus Jakarta Sans Light" w:eastAsia="Plus Jakarta Sans Light" w:hAnsi="Plus Jakarta Sans Light"/>
          <w:sz w:val="22"/>
          <w:szCs w:val="22"/>
          <w:rtl w:val="0"/>
        </w:rPr>
        <w:t xml:space="preserve">Phase 2 service-specific scope:</w:t>
      </w:r>
    </w:p>
    <w:tbl>
      <w:tblPr>
        <w:tblStyle w:val="Table8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0"/>
        <w:gridCol w:w="3875"/>
        <w:gridCol w:w="2540"/>
        <w:tblGridChange w:id="0">
          <w:tblGrid>
            <w:gridCol w:w="2540"/>
            <w:gridCol w:w="3875"/>
            <w:gridCol w:w="25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PL/SQL packages translated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Key technical concerns</w:t>
            </w:r>
          </w:p>
        </w:tc>
      </w:tr>
      <w:tr>
        <w:trPr>
          <w:cantSplit w:val="0"/>
          <w:trHeight w:val="20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Renewal Service (new)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RENEWAL_BATCH_LIB, RENEWAL_BATCH, RENEWALS, PKG_EVERGREEN_RENEWAL, CONTRACT_RENEWAL_FUNCTIONS, LMS_RENEWALS_LOAD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Evergreen auto-renewal, LMS data load, renewal batch processing; depends on Contract, Pricing, Work Order</w:t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Campaign &amp; Lead Service (new)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CAMPAIGN_LIB, DIALER_LEAD_MANAGEMENT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Lead creation/close for dialer campaigns; integrates with prod.star_cloud for file exchange (→ File &amp; S3 Storage lib)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Notification Service (new)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COMMON_FUNC_EMAIL (partial)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Replaces UTL_SMTP-based email delivery with a REST-callable notification service; consumed by Dispatch, Service Order, Campaign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Work Order &amp; Fulfillment (extend)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WORKORDER, WORKORDER_DA, FULFILLMENT_FUNCTIONS, CUSTOM_FULFILLMENT_FUNCTIONS, PRODUCT_AVAILABILITY, DISTRIBUTOR_FUNCTIONS (bulk)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XL-tier primary delivery phase; product availability, distributor functions, custom fulfillment, work-order lifecycle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Dispatch Service (extend)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Additional DISPATCH/DISPATCH3/DISPATCH_DATA_OBJ procedures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Extended routing logic, data-object management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Customer Service (extend)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CUSTOMER_DA, CUSTOMER_FUNCTIONS (remaining), SEARCH_FUNCTIONS (partial)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Customer data access, extended search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Vendor Service (extend)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VENDOR (bulk), VENDOR_DA (bulk), VENDORSELECTION (bulk)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Vendor master management, selection algorithms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Commission &amp; Territory (extend)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SALES_TERRITORY_RULES (remaining), SALES_FUNCTIONS (remaining)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Territory-rule completion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Service Order (extend)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SERVICE (partial), SERVICEITEM, SERVICEITEM_DA, CONFRM_PKG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Service-order confirmation, service-item management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Invoicing (extend)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PRINT_DIRECT_INVOICE_MAILERS, STAGEDINVOICEBATCH (remaining)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Invoice mailers, staged-batch completion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Web Portal &amp; User (started)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AHS_WEB_FUNCTIONS, AHSUSERFUNCTIONS (partial)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Web session resolution, user functions; replaces Oracle Web Toolkit (HTP/HTF) HTML generation with REST responses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Sales Transaction (started)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SALES_TRANSACTION_ENGINE (partial)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Sales contract save, product-version validation; start of P3-dominant service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Pricing &amp; Revenue (extend)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PRICE_CONTRACT_WARRANTY (remaining)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Warranty pricing completion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Payment (extend)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Remaining PAYMENT_FUNCTIONS procedures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Payment function extensions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Vendor Invoice (extend)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Remaining AP-staging procedures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AP staging completion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Finance Integration (extend)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PKG_JDE_SYNC delta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JDE sync extensions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Reporting (extend)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REPORT_UTILITY (partial)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Style w:val="Heading2"/>
              <w:widowControl w:val="0"/>
              <w:spacing w:after="0" w:before="0" w:lineRule="auto"/>
              <w:rPr>
                <w:rFonts w:ascii="Plus Jakarta Sans Light" w:cs="Plus Jakarta Sans Light" w:eastAsia="Plus Jakarta Sans Light" w:hAnsi="Plus Jakarta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Plus Jakarta Sans Light" w:cs="Plus Jakarta Sans Light" w:eastAsia="Plus Jakarta Sans Light" w:hAnsi="Plus Jakarta Sans Light"/>
                <w:sz w:val="22"/>
                <w:szCs w:val="22"/>
                <w:rtl w:val="0"/>
              </w:rPr>
              <w:t xml:space="preserve">Report utility extensions</w:t>
            </w:r>
          </w:p>
        </w:tc>
      </w:tr>
    </w:tbl>
    <w:p w:rsidR="00000000" w:rsidDel="00000000" w:rsidP="00000000" w:rsidRDefault="00000000" w:rsidRPr="00000000" w14:paraId="000001FF">
      <w:pPr>
        <w:pStyle w:val="Heading2"/>
        <w:widowControl w:val="0"/>
        <w:spacing w:after="220" w:before="0" w:lineRule="auto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Istio routing (Phase 2). Per-service VirtualService/DestinationRule configuration using templates proven in Phase 1. Traffic-split progression for each newly delivered or extended service on the existing mesh.</w:t>
      </w:r>
    </w:p>
    <w:p w:rsidR="00000000" w:rsidDel="00000000" w:rsidP="00000000" w:rsidRDefault="00000000" w:rsidRPr="00000000" w14:paraId="00000200">
      <w:pPr>
        <w:pStyle w:val="Heading2"/>
        <w:widowControl w:val="0"/>
        <w:spacing w:after="60" w:before="0" w:lineRule="auto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3.6 Verify</w:t>
      </w:r>
    </w:p>
    <w:p w:rsidR="00000000" w:rsidDel="00000000" w:rsidP="00000000" w:rsidRDefault="00000000" w:rsidRPr="00000000" w14:paraId="00000201">
      <w:pPr>
        <w:pStyle w:val="Heading2"/>
        <w:widowControl w:val="0"/>
        <w:spacing w:after="220" w:before="0" w:lineRule="auto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Functional, integration, contract, performance-parity, and behavioral-parity testing per Phase 1 model. Frontdoor-led UAT.</w:t>
      </w:r>
    </w:p>
    <w:p w:rsidR="00000000" w:rsidDel="00000000" w:rsidP="00000000" w:rsidRDefault="00000000" w:rsidRPr="00000000" w14:paraId="00000202">
      <w:pPr>
        <w:pStyle w:val="Heading2"/>
        <w:widowControl w:val="0"/>
        <w:spacing w:after="60" w:before="0" w:lineRule="auto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3.7 Operate</w:t>
      </w:r>
    </w:p>
    <w:p w:rsidR="00000000" w:rsidDel="00000000" w:rsidP="00000000" w:rsidRDefault="00000000" w:rsidRPr="00000000" w14:paraId="00000203">
      <w:pPr>
        <w:pStyle w:val="Heading2"/>
        <w:widowControl w:val="0"/>
        <w:spacing w:after="0" w:before="0" w:lineRule="auto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SRE handover, KT, documentation finalization, phase close-out.</w:t>
      </w:r>
    </w:p>
    <w:p w:rsidR="00000000" w:rsidDel="00000000" w:rsidP="00000000" w:rsidRDefault="00000000" w:rsidRPr="00000000" w14:paraId="00000204">
      <w:pPr>
        <w:pStyle w:val="Heading2"/>
        <w:widowControl w:val="0"/>
        <w:spacing w:after="240" w:before="0" w:lineRule="auto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205">
      <w:pPr>
        <w:pStyle w:val="Heading2"/>
        <w:widowControl w:val="0"/>
        <w:spacing w:after="60" w:before="0" w:lineRule="auto"/>
        <w:rPr>
          <w:rFonts w:ascii="Work Sans" w:cs="Work Sans" w:eastAsia="Work Sans" w:hAnsi="Work Sans"/>
          <w:b w:val="1"/>
          <w:bCs w:val="1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" w:cs="Work Sans" w:eastAsia="Work Sans" w:hAnsi="Work Sans"/>
          <w:b w:val="1"/>
          <w:bCs w:val="1"/>
          <w:sz w:val="22"/>
          <w:szCs w:val="22"/>
          <w:rtl w:val="0"/>
        </w:rPr>
        <w:t xml:space="preserve">4. Phase 3 — Translate &amp; Decommission Final 39 PL/SQL Objects</w:t>
      </w:r>
    </w:p>
    <w:p w:rsidR="00000000" w:rsidDel="00000000" w:rsidP="00000000" w:rsidRDefault="00000000" w:rsidRPr="00000000" w14:paraId="00000206">
      <w:pPr>
        <w:pStyle w:val="Heading2"/>
        <w:widowControl w:val="0"/>
        <w:spacing w:after="0" w:before="0" w:lineRule="auto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Phase 3 starts mid-Phase 2. 17 services touched, predominantly extensions. Only one net-new service (Cancellation).</w:t>
      </w:r>
    </w:p>
    <w:p w:rsidR="00000000" w:rsidDel="00000000" w:rsidP="00000000" w:rsidRDefault="00000000" w:rsidRPr="00000000" w14:paraId="00000207">
      <w:pPr>
        <w:pStyle w:val="Heading2"/>
        <w:widowControl w:val="0"/>
        <w:spacing w:after="220" w:before="0" w:lineRule="auto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New service introduced: Cancellation. Services extended: All remaining services receive final PL/SQL packages.</w:t>
      </w:r>
    </w:p>
    <w:p w:rsidR="00000000" w:rsidDel="00000000" w:rsidP="00000000" w:rsidRDefault="00000000" w:rsidRPr="00000000" w14:paraId="00000208">
      <w:pPr>
        <w:pStyle w:val="Heading2"/>
        <w:widowControl w:val="0"/>
        <w:spacing w:after="60" w:before="0" w:lineRule="auto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4.1 Define</w:t>
      </w:r>
    </w:p>
    <w:p w:rsidR="00000000" w:rsidDel="00000000" w:rsidP="00000000" w:rsidRDefault="00000000" w:rsidRPr="00000000" w14:paraId="00000209">
      <w:pPr>
        <w:pStyle w:val="Heading2"/>
        <w:widowControl w:val="0"/>
        <w:numPr>
          <w:ilvl w:val="0"/>
          <w:numId w:val="6"/>
        </w:numPr>
        <w:spacing w:after="0" w:afterAutospacing="0" w:lineRule="auto"/>
        <w:ind w:left="720" w:hanging="360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Extension delta analysis for 16 services; full scoping for Cancellation Service (CONTRACT_CANCEL_FUNCTIONS, CASHINLIEU).</w:t>
      </w:r>
    </w:p>
    <w:p w:rsidR="00000000" w:rsidDel="00000000" w:rsidP="00000000" w:rsidRDefault="00000000" w:rsidRPr="00000000" w14:paraId="0000020A">
      <w:pPr>
        <w:pStyle w:val="Heading2"/>
        <w:widowControl w:val="0"/>
        <w:numPr>
          <w:ilvl w:val="0"/>
          <w:numId w:val="6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Supplemental source. Ten Phase 3 standalone objects are in src/additional_code/ (CLOB_TO_FILE, COST_CENTER2DEPARTMENT, DEQUEUE_MESSAGE, ENQUEUE_MESSAGE, FLAG_CS1, MASK_CC_DATA, PPUB_REVERSE_PAYMENT, PPUB_SERVICEFEE_WRITEOFF, VALIDATECREDITCARD, PROC_INCREMENT_USAGE_COUNT). PROC_INCREMENT_USAGE_COUNT is a discontinued stub. COMMON_FUNC_EMAIL_ROB3 remains absent (confirm with Frontdoor). DEQUEUE_MESSAGE / ENQUEUE_MESSAGE are out of modernization build scope (Frontdoor-owned AQ on prod.myqueue). Wrappers and VALIDATECREDITCARD reconcile with scoped packages (P_LIBRARIES, PKG_AUTO_WRITEOFF_PROCESS, PKG_ACCT_DECRYPTION_FUNCTIONS).</w:t>
      </w:r>
    </w:p>
    <w:p w:rsidR="00000000" w:rsidDel="00000000" w:rsidP="00000000" w:rsidRDefault="00000000" w:rsidRPr="00000000" w14:paraId="0000020B">
      <w:pPr>
        <w:pStyle w:val="Heading2"/>
        <w:widowControl w:val="0"/>
        <w:spacing w:after="60" w:before="0" w:lineRule="auto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4.2 Design</w:t>
      </w:r>
    </w:p>
    <w:p w:rsidR="00000000" w:rsidDel="00000000" w:rsidP="00000000" w:rsidRDefault="00000000" w:rsidRPr="00000000" w14:paraId="0000020C">
      <w:pPr>
        <w:pStyle w:val="Heading2"/>
        <w:widowControl w:val="0"/>
        <w:numPr>
          <w:ilvl w:val="0"/>
          <w:numId w:val="7"/>
        </w:numPr>
        <w:spacing w:after="0" w:afterAutospacing="0" w:lineRule="auto"/>
        <w:ind w:left="720" w:hanging="360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API design for Cancellation Service (refund calculation, cancellation-request submission, cash-in-lieu offer management).</w:t>
      </w:r>
    </w:p>
    <w:p w:rsidR="00000000" w:rsidDel="00000000" w:rsidP="00000000" w:rsidRDefault="00000000" w:rsidRPr="00000000" w14:paraId="0000020D">
      <w:pPr>
        <w:pStyle w:val="Heading2"/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Delta design for 16 extension services.</w:t>
      </w:r>
    </w:p>
    <w:p w:rsidR="00000000" w:rsidDel="00000000" w:rsidP="00000000" w:rsidRDefault="00000000" w:rsidRPr="00000000" w14:paraId="0000020E">
      <w:pPr>
        <w:pStyle w:val="Heading2"/>
        <w:widowControl w:val="0"/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Card Security extension review: PCI re-validation for VALIDATECREDITCARD function and MASK_CC_DATA equivalent behavior.</w:t>
      </w:r>
    </w:p>
    <w:p w:rsidR="00000000" w:rsidDel="00000000" w:rsidP="00000000" w:rsidRDefault="00000000" w:rsidRPr="00000000" w14:paraId="0000020F">
      <w:pPr>
        <w:pStyle w:val="Heading2"/>
        <w:widowControl w:val="0"/>
        <w:spacing w:after="60" w:before="0" w:lineRule="auto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4.3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Plan</w:t>
      </w:r>
    </w:p>
    <w:p w:rsidR="00000000" w:rsidDel="00000000" w:rsidP="00000000" w:rsidRDefault="00000000" w:rsidRPr="00000000" w14:paraId="00000210">
      <w:pPr>
        <w:pStyle w:val="Heading2"/>
        <w:widowControl w:val="0"/>
        <w:numPr>
          <w:ilvl w:val="0"/>
          <w:numId w:val="8"/>
        </w:numPr>
        <w:spacing w:after="0" w:afterAutospacing="0" w:lineRule="auto"/>
        <w:ind w:left="720" w:hanging="360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Sprint plan for Build stage.</w:t>
      </w:r>
    </w:p>
    <w:p w:rsidR="00000000" w:rsidDel="00000000" w:rsidP="00000000" w:rsidRDefault="00000000" w:rsidRPr="00000000" w14:paraId="00000211">
      <w:pPr>
        <w:pStyle w:val="Heading2"/>
        <w:widowControl w:val="0"/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Final release sequence: Cancellation depends on Contract (P1) and Service Order (P2); Service Order receives bulk delivery.</w:t>
      </w:r>
    </w:p>
    <w:p w:rsidR="00000000" w:rsidDel="00000000" w:rsidP="00000000" w:rsidRDefault="00000000" w:rsidRPr="00000000" w14:paraId="00000212">
      <w:pPr>
        <w:pStyle w:val="Heading2"/>
        <w:widowControl w:val="0"/>
        <w:spacing w:after="60" w:before="0" w:lineRule="auto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4.4 Value Checkpoint</w:t>
      </w:r>
    </w:p>
    <w:p w:rsidR="00000000" w:rsidDel="00000000" w:rsidP="00000000" w:rsidRDefault="00000000" w:rsidRPr="00000000" w14:paraId="00000213">
      <w:pPr>
        <w:pStyle w:val="Heading2"/>
        <w:widowControl w:val="0"/>
        <w:numPr>
          <w:ilvl w:val="0"/>
          <w:numId w:val="9"/>
        </w:numPr>
        <w:spacing w:after="240" w:lineRule="auto"/>
        <w:ind w:left="720" w:hanging="360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Final phase sponsor sign-off.</w:t>
      </w:r>
    </w:p>
    <w:p w:rsidR="00000000" w:rsidDel="00000000" w:rsidP="00000000" w:rsidRDefault="00000000" w:rsidRPr="00000000" w14:paraId="00000214">
      <w:pPr>
        <w:pStyle w:val="Heading2"/>
        <w:widowControl w:val="0"/>
        <w:spacing w:after="60" w:before="0" w:lineRule="auto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4.5 Build</w:t>
      </w:r>
    </w:p>
    <w:p w:rsidR="00000000" w:rsidDel="00000000" w:rsidP="00000000" w:rsidRDefault="00000000" w:rsidRPr="00000000" w14:paraId="00000215">
      <w:pPr>
        <w:pStyle w:val="Heading2"/>
        <w:widowControl w:val="0"/>
        <w:spacing w:after="0" w:before="0" w:lineRule="auto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Phase 3 service-specific scope:</w:t>
      </w:r>
    </w:p>
    <w:tbl>
      <w:tblPr>
        <w:tblStyle w:val="Table9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0"/>
        <w:gridCol w:w="3800"/>
        <w:gridCol w:w="2540"/>
        <w:tblGridChange w:id="0">
          <w:tblGrid>
            <w:gridCol w:w="2540"/>
            <w:gridCol w:w="3800"/>
            <w:gridCol w:w="25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PL/SQL packages translated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Key technical concerns</w:t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Cancellation Service (new)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CONTRACT_CANCEL_FUNCTIONS, CASHINLIEU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Refund calculation (state-specific, channel-specific, timing-dependent rules), cancellation-request workflow, cash-in-lieu offer/accept; critical coupling to Contract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Service Order (primary)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SERVICE (bulk), SERVICEITEM/SERVICEITEM_DA (remaining), SERVICE_WM, CONFRM_PKG (remaining)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P3-dominant service; recall detection, service-item lifecycle, work-order symptom management; absorbs Service Request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Vendor Service (extend)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VENDOR/VENDOR_DA/VENDORSELECTION (remaining), VENDOR_LIST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Vendor-list management, selection algorithm completion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Sales Transaction (extend)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SALES_TRANSACTION_ENGINE (remaining)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Contract save for all channels (B2B, RE, DTC), product-version validation completion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Renewal (extend)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LMS_RENEWALS_LOAD (remaining), RENEWAL_BATCH (remaining)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LMS load completion, batch renewal finalization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Work Order &amp; Fulfillment (extend)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Remaining PRODUCT_AVAILABILITY, DISTRIBUTOR_FUNCTIONS procedures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Product availability and distributor-function completion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Customer (extend)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SEARCH_FUNCTIONS (remaining), CUSTOMER_FUNCTIONS (remaining)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Enterprise search completion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Dispatch (extend)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DISPATCH2, remaining dispatch procedures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Secondary dispatch logic</w:t>
            </w:r>
          </w:p>
        </w:tc>
      </w:tr>
      <w:tr>
        <w:trPr>
          <w:cantSplit w:val="0"/>
          <w:trHeight w:val="14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Web Portal &amp; User (extend)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AHS_WEB_FUNCTIONS (remaining), AHSUSERFUNCTIONS (remaining), WEB_INTERNET_FUNCTIONS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Web function completion; internet address validation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Finance Integration (extend)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PKG_MIM2STAR_INTEGRATION, PKG_GL_FUNCTIONS, PKG_SERVICE_PAYABLES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MIM-to-STAR integration, GL functions, service payables; absorbs GL and MIM (D7). prod.cost_center2department handled via adapter.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Reporting (extend)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REPORT_UTILITY (remaining)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Report utility completion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Card Security (extend)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PKG_ACCT_DECRYPTION_FUNCTIONS (remaining), VALIDATECREDITCARD, MASK_CC_DATA (additional_code)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Credit-card validation and masking; reconcile standalone vs package validatecreditcard; PCI re-validation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Invoicing (extend)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Remaining invoicing procedures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Final invoice processing logic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Notification (extend)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COMMON_FUNC_EMAIL (remaining)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Email template completion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Payment (extend)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PAYMENT_FUNCTIONS (remaining), TPV_INVOICE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TPV invoice handling, payment function completion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Vendor Invoice (extend)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Remaining AP procedures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Style w:val="Heading2"/>
              <w:widowControl w:val="0"/>
              <w:spacing w:after="0" w:before="0" w:lineRule="auto"/>
              <w:rPr>
                <w:rFonts w:ascii="Work Sans Light" w:cs="Work Sans Light" w:eastAsia="Work Sans Light" w:hAnsi="Work Sans Light"/>
                <w:sz w:val="22"/>
                <w:szCs w:val="22"/>
              </w:rPr>
            </w:pPr>
            <w:bookmarkStart w:colFirst="0" w:colLast="0" w:name="_swosvlykhemq" w:id="4"/>
            <w:bookmarkEnd w:id="4"/>
            <w:r w:rsidDel="00000000" w:rsidR="00000000" w:rsidRPr="00000000">
              <w:rPr>
                <w:rFonts w:ascii="Work Sans Light" w:cs="Work Sans Light" w:eastAsia="Work Sans Light" w:hAnsi="Work Sans Light"/>
                <w:sz w:val="22"/>
                <w:szCs w:val="22"/>
                <w:rtl w:val="0"/>
              </w:rPr>
              <w:t xml:space="preserve">Final AP-staging logic</w:t>
            </w:r>
          </w:p>
        </w:tc>
      </w:tr>
    </w:tbl>
    <w:p w:rsidR="00000000" w:rsidDel="00000000" w:rsidP="00000000" w:rsidRDefault="00000000" w:rsidRPr="00000000" w14:paraId="00000249">
      <w:pPr>
        <w:pStyle w:val="Heading2"/>
        <w:widowControl w:val="0"/>
        <w:spacing w:after="220" w:before="0" w:lineRule="auto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Istio routing (Phase 3). Per-service routing configuration using proven templates. By Phase 3 close, all 18 services have VirtualService/DestinationRule configurations enabling progressive cutover on the existing mesh.</w:t>
      </w:r>
    </w:p>
    <w:p w:rsidR="00000000" w:rsidDel="00000000" w:rsidP="00000000" w:rsidRDefault="00000000" w:rsidRPr="00000000" w14:paraId="0000024A">
      <w:pPr>
        <w:pStyle w:val="Heading2"/>
        <w:widowControl w:val="0"/>
        <w:spacing w:after="60" w:before="0" w:lineRule="auto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4.6 Verify</w:t>
      </w:r>
    </w:p>
    <w:p w:rsidR="00000000" w:rsidDel="00000000" w:rsidP="00000000" w:rsidRDefault="00000000" w:rsidRPr="00000000" w14:paraId="0000024B">
      <w:pPr>
        <w:pStyle w:val="Heading2"/>
        <w:widowControl w:val="0"/>
        <w:spacing w:after="220" w:before="0" w:lineRule="auto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Same model as Phase 2. Full behavioral-parity testing for all 18 services.</w:t>
      </w:r>
    </w:p>
    <w:p w:rsidR="00000000" w:rsidDel="00000000" w:rsidP="00000000" w:rsidRDefault="00000000" w:rsidRPr="00000000" w14:paraId="0000024C">
      <w:pPr>
        <w:pStyle w:val="Heading2"/>
        <w:widowControl w:val="0"/>
        <w:spacing w:after="60" w:before="0" w:lineRule="auto"/>
        <w:rPr>
          <w:rFonts w:ascii="Work Sans Light" w:cs="Work Sans Light" w:eastAsia="Work Sans Light" w:hAnsi="Work Sans Light"/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4.7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Operate</w:t>
      </w:r>
    </w:p>
    <w:p w:rsidR="00000000" w:rsidDel="00000000" w:rsidP="00000000" w:rsidRDefault="00000000" w:rsidRPr="00000000" w14:paraId="0000024D">
      <w:pPr>
        <w:pStyle w:val="Heading2"/>
        <w:widowControl w:val="0"/>
        <w:numPr>
          <w:ilvl w:val="0"/>
          <w:numId w:val="37"/>
        </w:numPr>
        <w:spacing w:after="0" w:afterAutospacing="0" w:lineRule="auto"/>
        <w:ind w:left="720" w:hanging="360"/>
        <w:rPr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Final SRE handover. Complete handover packet for all 18 services and 6 shared libraries.</w:t>
      </w:r>
    </w:p>
    <w:p w:rsidR="00000000" w:rsidDel="00000000" w:rsidP="00000000" w:rsidRDefault="00000000" w:rsidRPr="00000000" w14:paraId="0000024E">
      <w:pPr>
        <w:pStyle w:val="Heading2"/>
        <w:widowControl w:val="0"/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Program-level knowledge transfer. Comprehensive KT covering: Istio strangler-routing operations for this program (traffic splitting, per-service VirtualService management, project AuthorizationPolicy updates), CI/CD pipeline ownership, monitoring/alerting, rollback procedures. Cluster-wide mesh operations (control-plane upgrades, sidecar lifecycle, mTLS rotation) remain Frontdoor-owned.</w:t>
      </w:r>
    </w:p>
    <w:p w:rsidR="00000000" w:rsidDel="00000000" w:rsidP="00000000" w:rsidRDefault="00000000" w:rsidRPr="00000000" w14:paraId="0000024F">
      <w:pPr>
        <w:pStyle w:val="Heading2"/>
        <w:widowControl w:val="0"/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swosvlykhemq" w:id="4"/>
      <w:bookmarkEnd w:id="4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Final documentation. Program-level architecture handbook, per-service API documentation, Istio routing playbook for project VirtualServices.</w:t>
      </w:r>
    </w:p>
    <w:p w:rsidR="00000000" w:rsidDel="00000000" w:rsidP="00000000" w:rsidRDefault="00000000" w:rsidRPr="00000000" w14:paraId="00000250">
      <w:pPr>
        <w:pStyle w:val="Heading2"/>
        <w:widowControl w:val="0"/>
        <w:numPr>
          <w:ilvl w:val="0"/>
          <w:numId w:val="37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ubf13367okzp" w:id="12"/>
      <w:bookmarkEnd w:id="12"/>
      <w:r w:rsidDel="00000000" w:rsidR="00000000" w:rsidRPr="00000000">
        <w:rPr>
          <w:rFonts w:ascii="Work Sans Light" w:cs="Work Sans Light" w:eastAsia="Work Sans Light" w:hAnsi="Work Sans Light"/>
          <w:sz w:val="22"/>
          <w:szCs w:val="22"/>
          <w:rtl w:val="0"/>
        </w:rPr>
        <w:t xml:space="preserve">Program close-out. Final retrospective, lessons learned, formal program completion.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rPr/>
      </w:pPr>
      <w:bookmarkStart w:colFirst="0" w:colLast="0" w:name="_ntvjzav73m9c" w:id="13"/>
      <w:bookmarkEnd w:id="13"/>
      <w:r w:rsidDel="00000000" w:rsidR="00000000" w:rsidRPr="00000000">
        <w:rPr>
          <w:rtl w:val="0"/>
        </w:rPr>
        <w:t xml:space="preserve">Follow-up Questions from the Team: 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Team - feel free to add your follow-up questions here. </w:t>
      </w:r>
    </w:p>
    <w:p w:rsidR="00000000" w:rsidDel="00000000" w:rsidP="00000000" w:rsidRDefault="00000000" w:rsidRPr="00000000" w14:paraId="00000253">
      <w:pPr>
        <w:numPr>
          <w:ilvl w:val="0"/>
          <w:numId w:val="2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Question #1</w:t>
      </w:r>
    </w:p>
    <w:p w:rsidR="00000000" w:rsidDel="00000000" w:rsidP="00000000" w:rsidRDefault="00000000" w:rsidRPr="00000000" w14:paraId="00000254">
      <w:pPr>
        <w:numPr>
          <w:ilvl w:val="0"/>
          <w:numId w:val="2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Question #2</w:t>
      </w:r>
    </w:p>
    <w:p w:rsidR="00000000" w:rsidDel="00000000" w:rsidP="00000000" w:rsidRDefault="00000000" w:rsidRPr="00000000" w14:paraId="00000255">
      <w:pPr>
        <w:numPr>
          <w:ilvl w:val="0"/>
          <w:numId w:val="28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256">
      <w:pPr>
        <w:pStyle w:val="Heading2"/>
        <w:widowControl w:val="0"/>
        <w:spacing w:after="60" w:before="0" w:line="276" w:lineRule="auto"/>
        <w:rPr>
          <w:sz w:val="28"/>
          <w:szCs w:val="28"/>
        </w:rPr>
      </w:pPr>
      <w:bookmarkStart w:colFirst="0" w:colLast="0" w:name="_3oqrxqk7q5mf" w:id="14"/>
      <w:bookmarkEnd w:id="14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Project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200" w:before="0" w:line="276" w:lineRule="auto"/>
        <w:rPr/>
      </w:pPr>
      <w:r w:rsidDel="00000000" w:rsidR="00000000" w:rsidRPr="00000000">
        <w:rPr>
          <w:rtl w:val="0"/>
        </w:rPr>
        <w:t xml:space="preserve">The scope of services 66degrees will deliver during this engagement will be divided into the following categories: See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Appendix B</w:t>
        </w:r>
      </w:hyperlink>
      <w:r w:rsidDel="00000000" w:rsidR="00000000" w:rsidRPr="00000000">
        <w:rPr>
          <w:rtl w:val="0"/>
        </w:rPr>
        <w:t xml:space="preserve"> for Architecture Diagram of migration approach.</w:t>
      </w:r>
    </w:p>
    <w:p w:rsidR="00000000" w:rsidDel="00000000" w:rsidP="00000000" w:rsidRDefault="00000000" w:rsidRPr="00000000" w14:paraId="00000258">
      <w:pPr>
        <w:numPr>
          <w:ilvl w:val="0"/>
          <w:numId w:val="38"/>
        </w:numPr>
        <w:spacing w:line="276" w:lineRule="auto"/>
        <w:ind w:left="720" w:hanging="360"/>
        <w:rPr>
          <w:rFonts w:ascii="Work Sans" w:cs="Work Sans" w:eastAsia="Work Sans" w:hAnsi="Work Sans"/>
          <w:b w:val="1"/>
          <w:bCs w:val="1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Phase 1: Core Transactional Domains</w:t>
      </w:r>
    </w:p>
    <w:p w:rsidR="00000000" w:rsidDel="00000000" w:rsidP="00000000" w:rsidRDefault="00000000" w:rsidRPr="00000000" w14:paraId="00000259">
      <w:pPr>
        <w:spacing w:line="276" w:lineRule="auto"/>
        <w:ind w:left="720" w:firstLine="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● Functional Scope: Modernization of fifty-two (52) validated PL/SQL objects spanning Sales Origination &amp; Pricing, Service Dispatch, and Vendor Management domains (listed in Appendix 1).</w:t>
      </w:r>
    </w:p>
    <w:p w:rsidR="00000000" w:rsidDel="00000000" w:rsidP="00000000" w:rsidRDefault="00000000" w:rsidRPr="00000000" w14:paraId="0000025A">
      <w:pPr>
        <w:spacing w:line="276" w:lineRule="auto"/>
        <w:ind w:left="720" w:firstLine="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● Target Architecture: Provisioning of corresponding .NET microservices deployed via containerization.</w:t>
      </w:r>
    </w:p>
    <w:p w:rsidR="00000000" w:rsidDel="00000000" w:rsidP="00000000" w:rsidRDefault="00000000" w:rsidRPr="00000000" w14:paraId="0000025B">
      <w:pPr>
        <w:spacing w:line="276" w:lineRule="auto"/>
        <w:ind w:left="720" w:firstLine="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● Rollout Framework: Execution of a progressive Strangler Fig deployment pattern. Author project-scoped Istio service mesh configurations—specifically VirtualService,</w:t>
      </w:r>
    </w:p>
    <w:p w:rsidR="00000000" w:rsidDel="00000000" w:rsidP="00000000" w:rsidRDefault="00000000" w:rsidRPr="00000000" w14:paraId="0000025C">
      <w:pPr>
        <w:spacing w:line="276" w:lineRule="auto"/>
        <w:ind w:left="720" w:firstLine="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DestinationRule, and AuthorizationPolicy manifests—within Frontdoor’s existing AWS Elastic Kubernetes Service (EKS) infrastructure to enable incremental, weighted traffic splitting and rapid rollback execution.</w:t>
      </w:r>
    </w:p>
    <w:p w:rsidR="00000000" w:rsidDel="00000000" w:rsidP="00000000" w:rsidRDefault="00000000" w:rsidRPr="00000000" w14:paraId="0000025D">
      <w:pPr>
        <w:numPr>
          <w:ilvl w:val="0"/>
          <w:numId w:val="38"/>
        </w:numPr>
        <w:spacing w:line="276" w:lineRule="auto"/>
        <w:ind w:left="720" w:hanging="360"/>
        <w:rPr>
          <w:rFonts w:ascii="Work Sans" w:cs="Work Sans" w:eastAsia="Work Sans" w:hAnsi="Work Sans"/>
          <w:b w:val="1"/>
          <w:bCs w:val="1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Phase 2: Financial &amp; Invoicing Operational Domains</w:t>
      </w:r>
    </w:p>
    <w:p w:rsidR="00000000" w:rsidDel="00000000" w:rsidP="00000000" w:rsidRDefault="00000000" w:rsidRPr="00000000" w14:paraId="0000025E">
      <w:pPr>
        <w:numPr>
          <w:ilvl w:val="0"/>
          <w:numId w:val="11"/>
        </w:numPr>
        <w:spacing w:after="0" w:afterAutospacing="0" w:line="276" w:lineRule="auto"/>
        <w:ind w:left="720" w:hanging="360"/>
        <w:rPr>
          <w:rFonts w:ascii="Work Sans" w:cs="Work Sans" w:eastAsia="Work Sans" w:hAnsi="Work Sans"/>
          <w:u w:val="none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Functional Scope: Modernization of forty-one (41) validated PL/SQL objects spanning Payment Processing, Invoicing, and Commission Calculation domains (listed in Appendix 1).</w:t>
      </w:r>
    </w:p>
    <w:p w:rsidR="00000000" w:rsidDel="00000000" w:rsidP="00000000" w:rsidRDefault="00000000" w:rsidRPr="00000000" w14:paraId="0000025F">
      <w:pPr>
        <w:numPr>
          <w:ilvl w:val="0"/>
          <w:numId w:val="11"/>
        </w:numPr>
        <w:spacing w:before="0" w:beforeAutospacing="0" w:line="276" w:lineRule="auto"/>
        <w:ind w:left="720" w:hanging="360"/>
        <w:rPr>
          <w:rFonts w:ascii="Work Sans" w:cs="Work Sans" w:eastAsia="Work Sans" w:hAnsi="Work Sans"/>
          <w:u w:val="none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Target Architecture: Extension of the .NET service mesh, ensuring transactional security parameters are preserved.</w:t>
      </w:r>
    </w:p>
    <w:p w:rsidR="00000000" w:rsidDel="00000000" w:rsidP="00000000" w:rsidRDefault="00000000" w:rsidRPr="00000000" w14:paraId="00000260">
      <w:pPr>
        <w:numPr>
          <w:ilvl w:val="0"/>
          <w:numId w:val="38"/>
        </w:numPr>
        <w:spacing w:line="276" w:lineRule="auto"/>
        <w:ind w:left="720" w:hanging="360"/>
        <w:rPr>
          <w:rFonts w:ascii="Work Sans" w:cs="Work Sans" w:eastAsia="Work Sans" w:hAnsi="Work Sans"/>
          <w:b w:val="1"/>
          <w:bCs w:val="1"/>
          <w:u w:val="non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Phase 3: ERP Integration &amp; Ledger Domains</w:t>
      </w:r>
    </w:p>
    <w:p w:rsidR="00000000" w:rsidDel="00000000" w:rsidP="00000000" w:rsidRDefault="00000000" w:rsidRPr="00000000" w14:paraId="00000261">
      <w:pPr>
        <w:numPr>
          <w:ilvl w:val="0"/>
          <w:numId w:val="25"/>
        </w:numPr>
        <w:spacing w:after="0" w:afterAutospacing="0" w:line="276" w:lineRule="auto"/>
        <w:ind w:left="720" w:hanging="360"/>
        <w:rPr>
          <w:rFonts w:ascii="Work Sans" w:cs="Work Sans" w:eastAsia="Work Sans" w:hAnsi="Work Sans"/>
          <w:u w:val="none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Functional Scope: Modernization of twenty-nine (29) validated PL/SQL objects governing Financial Reconciliation with the JDE (ERP) system</w:t>
      </w:r>
    </w:p>
    <w:p w:rsidR="00000000" w:rsidDel="00000000" w:rsidP="00000000" w:rsidRDefault="00000000" w:rsidRPr="00000000" w14:paraId="00000262">
      <w:pPr>
        <w:numPr>
          <w:ilvl w:val="0"/>
          <w:numId w:val="25"/>
        </w:numPr>
        <w:spacing w:before="0" w:beforeAutospacing="0" w:line="276" w:lineRule="auto"/>
        <w:ind w:left="720" w:hanging="360"/>
        <w:rPr>
          <w:rFonts w:ascii="Work Sans" w:cs="Work Sans" w:eastAsia="Work Sans" w:hAnsi="Work Sans"/>
          <w:u w:val="none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Target Architecture: Finalization of the 18 target microservices and completion of the logical decoupling from the legacy Oracle monolith execution paths.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4"/>
        <w:widowControl w:val="0"/>
        <w:spacing w:after="60" w:before="0" w:lineRule="auto"/>
        <w:rPr/>
      </w:pPr>
      <w:bookmarkStart w:colFirst="0" w:colLast="0" w:name="_as6r67ghs5nw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widowControl w:val="0"/>
        <w:spacing w:after="60" w:before="0" w:line="276" w:lineRule="auto"/>
        <w:rPr>
          <w:highlight w:val="white"/>
        </w:rPr>
      </w:pPr>
      <w:bookmarkStart w:colFirst="0" w:colLast="0" w:name="_8l0o4arkz04m" w:id="16"/>
      <w:bookmarkEnd w:id="16"/>
      <w:r w:rsidDel="00000000" w:rsidR="00000000" w:rsidRPr="00000000">
        <w:rPr>
          <w:highlight w:val="white"/>
          <w:rtl w:val="0"/>
        </w:rPr>
        <w:t xml:space="preserve">Deliverables Ownership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Use the section below to align upon Deliverables ownership.</w:t>
      </w:r>
    </w:p>
    <w:tbl>
      <w:tblPr>
        <w:tblStyle w:val="Table10"/>
        <w:tblW w:w="9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05"/>
        <w:gridCol w:w="3030"/>
        <w:gridCol w:w="2895"/>
        <w:tblGridChange w:id="0">
          <w:tblGrid>
            <w:gridCol w:w="4005"/>
            <w:gridCol w:w="3030"/>
            <w:gridCol w:w="289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before="0" w:line="240" w:lineRule="auto"/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Deliverable</w:t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Owner</w:t>
              <w:br w:type="textWrapping"/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(i.e. who’s chiefly Accountable for the Deliverable?)</w:t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Support(ers)</w:t>
              <w:br w:type="textWrapping"/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(i.e. who provides key inputs and/or internally reviews the Deliverable?)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Kickoff Materials</w:t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Delivery Manager</w:t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Principals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 Report &amp; Financial Updates</w:t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Delivery Manager</w:t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Scrum Masters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18 Domain-Aligned .NET REST Microservices</w:t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Project Dev + QA Team</w:t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Principals &amp; Architects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 Shared NuGet Libraries</w:t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before="0" w:line="240" w:lineRule="auto"/>
              <w:jc w:val="center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Project Dev + QA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Individual Scrum Teams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Reference Architecture Document</w:t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Pod Architects</w:t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before="0" w:line="240" w:lineRule="auto"/>
              <w:jc w:val="center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TBD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CI/CD Pipelines</w:t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Project Team</w:t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before="0" w:line="240" w:lineRule="auto"/>
              <w:jc w:val="center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TBD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 Architecture Documentation</w:t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Pod Architects</w:t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before="0" w:line="240" w:lineRule="auto"/>
              <w:jc w:val="center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TBD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Structured Knowledge Transfer (KT):</w:t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before="0" w:line="240" w:lineRule="auto"/>
              <w:jc w:val="center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All Team Members</w:t>
            </w:r>
          </w:p>
        </w:tc>
      </w:tr>
    </w:tbl>
    <w:p w:rsidR="00000000" w:rsidDel="00000000" w:rsidP="00000000" w:rsidRDefault="00000000" w:rsidRPr="00000000" w14:paraId="00000281">
      <w:pPr>
        <w:pStyle w:val="Heading4"/>
        <w:widowControl w:val="0"/>
        <w:spacing w:after="60" w:before="0" w:lineRule="auto"/>
        <w:rPr/>
      </w:pPr>
      <w:bookmarkStart w:colFirst="0" w:colLast="0" w:name="_887rbhj0i7s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4"/>
        <w:widowControl w:val="0"/>
        <w:spacing w:after="60" w:before="0" w:line="276" w:lineRule="auto"/>
        <w:rPr/>
      </w:pPr>
      <w:bookmarkStart w:colFirst="0" w:colLast="0" w:name="_ukedjxgt5lcs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widowControl w:val="0"/>
        <w:spacing w:after="60" w:before="0" w:line="276" w:lineRule="auto"/>
        <w:rPr>
          <w:highlight w:val="white"/>
        </w:rPr>
      </w:pPr>
      <w:bookmarkStart w:colFirst="0" w:colLast="0" w:name="_s710ebrh3c9y" w:id="19"/>
      <w:bookmarkEnd w:id="19"/>
      <w:r w:rsidDel="00000000" w:rsidR="00000000" w:rsidRPr="00000000">
        <w:rPr>
          <w:highlight w:val="white"/>
          <w:rtl w:val="0"/>
        </w:rPr>
        <w:t xml:space="preserve">Risk Management</w:t>
      </w:r>
    </w:p>
    <w:p w:rsidR="00000000" w:rsidDel="00000000" w:rsidP="00000000" w:rsidRDefault="00000000" w:rsidRPr="00000000" w14:paraId="00000289">
      <w:pPr>
        <w:widowControl w:val="0"/>
        <w:rPr/>
      </w:pPr>
      <w:r w:rsidDel="00000000" w:rsidR="00000000" w:rsidRPr="00000000">
        <w:rPr>
          <w:rtl w:val="0"/>
        </w:rPr>
        <w:t xml:space="preserve">Use the section below to list any Risks </w:t>
      </w: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that the project team identifies </w:t>
      </w:r>
      <w:r w:rsidDel="00000000" w:rsidR="00000000" w:rsidRPr="00000000">
        <w:rPr>
          <w:rtl w:val="0"/>
        </w:rPr>
        <w:t xml:space="preserve">at the outset of the project and the next action(s) to mitigate the Risks. Logs risks on your project record as applicable.</w:t>
      </w:r>
    </w:p>
    <w:tbl>
      <w:tblPr>
        <w:tblStyle w:val="Table11"/>
        <w:tblW w:w="10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825"/>
        <w:gridCol w:w="3510"/>
        <w:gridCol w:w="3795"/>
        <w:tblGridChange w:id="0">
          <w:tblGrid>
            <w:gridCol w:w="2310"/>
            <w:gridCol w:w="825"/>
            <w:gridCol w:w="3510"/>
            <w:gridCol w:w="379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before="0" w:line="240" w:lineRule="auto"/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Risk, Issue, Question</w:t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before="0" w:line="240" w:lineRule="auto"/>
              <w:jc w:val="center"/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before="0" w:line="240" w:lineRule="auto"/>
              <w:jc w:val="center"/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How could this Risk impact the project?</w:t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before="0" w:line="240" w:lineRule="auto"/>
              <w:jc w:val="center"/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Step(s) to Mitigate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before="0"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Dead-code factor proves inaccurate</w:t>
            </w:r>
          </w:p>
          <w:p w:rsidR="00000000" w:rsidDel="00000000" w:rsidP="00000000" w:rsidRDefault="00000000" w:rsidRPr="00000000" w14:paraId="0000028F">
            <w:pPr>
              <w:spacing w:after="0" w:before="0" w:line="240" w:lineRule="auto"/>
              <w:rPr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actual live code exceeds 50%, build scope is undersized; if below 50%, the program has excess capacity.</w:t>
            </w:r>
          </w:p>
          <w:p w:rsidR="00000000" w:rsidDel="00000000" w:rsidP="00000000" w:rsidRDefault="00000000" w:rsidRPr="00000000" w14:paraId="0000029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Phase 0 golden-example exercise provides a first calibration. Phase 1 Define call-graph analysis provides a second. Formal re-baseline gate at Phase 1 Value Checkpoint.</w:t>
            </w:r>
          </w:p>
          <w:p w:rsidR="00000000" w:rsidDel="00000000" w:rsidP="00000000" w:rsidRDefault="00000000" w:rsidRPr="00000000" w14:paraId="00000294">
            <w:pPr>
              <w:spacing w:after="0" w:before="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Strangler fig requires legacy PL/SQL exposed as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before="0"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Frontdoor cannot expose legacy endpoints via ORDS or equivalent, traffic splitting is blocked.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before="0" w:line="240" w:lineRule="auto"/>
              <w:ind w:left="0"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Confirm ORDS capability during Phase 0 Design. If legacy REST exposure is delayed, services deploy behind mesh but use big-bang cutover per service (mesh still provides mTLS and observability). Rollback procedure validated in Phase 0 POC.</w:t>
            </w:r>
          </w:p>
          <w:p w:rsidR="00000000" w:rsidDel="00000000" w:rsidP="00000000" w:rsidRDefault="00000000" w:rsidRPr="00000000" w14:paraId="00000299">
            <w:pPr>
              <w:spacing w:after="0" w:before="0" w:line="240" w:lineRule="auto"/>
              <w:ind w:left="0" w:firstLine="0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Requirements drift without embedded BA.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before="0"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 Dev Architects and Senior Engineers own requirements extraction; misinterpretation risk exists without a dedicated BA.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AI-extracted PL/SQL specifications provide a machine-auditable requirements baseline. Weekly Frontdoor-BA validation gates during Define.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hypercare means production defects land on Frontdoor.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before="0"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Post-go-live defects discovered after the Operate stage are Frontdoor's responsibility.</w:t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Stabilization within Operate (deploy → monitor → close-out). Defect-severity gates inside Verify. Frontdoor SRE knowledge transfer is an explicit Operate deliverable.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productivity assumptions under-realized.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before="0"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AI uplift may not materialize for complex PL/SQL idioms (e.g., deeply nested cursor loops, Oracle-specific date arithmetic, NLS_-dependent string operations).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Dead-code factor (50%) provides implicit buffer. Phase 0 golden-example exercise calibrates actual AI rate and dead-code ratio before Phase 1 commitment. Re-baseline at Value Checkpoint if variance is significant.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UAT delays due to Frontdoor BA/SME/user availability.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Schedule dealy: Frontdoor's business-analyst, SME, and end-user availability is not controlled by 66degrees.</w:t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DM books UAT slots at Plan stage. UAT failures attributed to Frontdoor-side capacity are change-control items.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PCI scope expansion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Card Security service handling may force enclaved infrastructure requirements beyond what is currently planned.</w:t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Phase 0 PCI scope analysis. AWS KMS-backed Crypto Primitives library isolates key material. If PCI scope expands, additional infrastructure is a change-control item.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translation introduces semantic drift in financial logic.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A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Commission calculation, write-off processing, credit-memo application, and deferred-revenue computation involve complex business rules where subtle behavioral differences can cause material financial impact.</w:t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Mandatory pair-review by senior engineer for all financial logic. Dedicated parity-test suites compare PL/SQL output vs .NET output for ≥90% of known scenarios. Financial services flagged for extended Verify.</w:t>
            </w:r>
          </w:p>
        </w:tc>
      </w:tr>
    </w:tbl>
    <w:p w:rsidR="00000000" w:rsidDel="00000000" w:rsidP="00000000" w:rsidRDefault="00000000" w:rsidRPr="00000000" w14:paraId="000002B3">
      <w:pPr>
        <w:widowControl w:val="0"/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widowControl w:val="0"/>
        <w:spacing w:after="60" w:before="0" w:line="276" w:lineRule="auto"/>
        <w:rPr/>
      </w:pP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Note to Project Manager:</w:t>
      </w:r>
      <w:r w:rsidDel="00000000" w:rsidR="00000000" w:rsidRPr="00000000">
        <w:rPr>
          <w:rtl w:val="0"/>
        </w:rPr>
        <w:t xml:space="preserve"> If a pre-flight risk assessment has been completed for the project, include any risks identified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widowControl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rPr>
          <w:highlight w:val="yellow"/>
        </w:rPr>
      </w:pPr>
      <w:bookmarkStart w:colFirst="0" w:colLast="0" w:name="_15vm1u0cdbl" w:id="20"/>
      <w:bookmarkEnd w:id="20"/>
      <w:r w:rsidDel="00000000" w:rsidR="00000000" w:rsidRPr="00000000">
        <w:rPr>
          <w:highlight w:val="yellow"/>
          <w:rtl w:val="0"/>
        </w:rPr>
        <w:t xml:space="preserve">Action Items</w:t>
      </w:r>
    </w:p>
    <w:tbl>
      <w:tblPr>
        <w:tblStyle w:val="Table12"/>
        <w:tblW w:w="9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90"/>
        <w:gridCol w:w="2212.5"/>
        <w:gridCol w:w="2212.5"/>
        <w:tblGridChange w:id="0">
          <w:tblGrid>
            <w:gridCol w:w="5490"/>
            <w:gridCol w:w="2212.5"/>
            <w:gridCol w:w="2212.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before="0" w:line="240" w:lineRule="auto"/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Action Item</w:t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before="0" w:line="240" w:lineRule="auto"/>
              <w:jc w:val="center"/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Owner</w:t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before="0" w:line="240" w:lineRule="auto"/>
              <w:jc w:val="center"/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before="0" w:line="240" w:lineRule="auto"/>
              <w:jc w:val="center"/>
              <w:rPr/>
            </w:pPr>
            <w:sdt>
              <w:sdtPr>
                <w:alias w:val="Project status"/>
                <w:id w:val="-1937465902"/>
                <w:dropDownList w:lastValue="Comple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before="0" w:line="240" w:lineRule="auto"/>
              <w:rPr>
                <w:shd w:fill="d9ead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before="0" w:line="240" w:lineRule="auto"/>
              <w:jc w:val="center"/>
              <w:rPr/>
            </w:pPr>
            <w:sdt>
              <w:sdtPr>
                <w:alias w:val="Project status"/>
                <w:id w:val="-827838616"/>
                <w:dropDownList w:lastValue="In Progress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In Progress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before="0" w:line="240" w:lineRule="auto"/>
              <w:jc w:val="center"/>
              <w:rPr/>
            </w:pPr>
            <w:sdt>
              <w:sdtPr>
                <w:alias w:val="Project status"/>
                <w:id w:val="119207519"/>
                <w:dropDownList w:lastValue="Completed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before="0"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before="0" w:line="240" w:lineRule="auto"/>
              <w:jc w:val="center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before="0" w:line="240" w:lineRule="auto"/>
              <w:jc w:val="center"/>
              <w:rPr/>
            </w:pPr>
            <w:sdt>
              <w:sdtPr>
                <w:alias w:val="Project status"/>
                <w:id w:val="-1400026353"/>
                <w:dropDownList w:lastValue="In Progress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In Progress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before="0"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before="0" w:line="240" w:lineRule="auto"/>
              <w:jc w:val="center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before="0" w:line="240" w:lineRule="auto"/>
              <w:jc w:val="center"/>
              <w:rPr/>
            </w:pPr>
            <w:sdt>
              <w:sdtPr>
                <w:alias w:val="Project status"/>
                <w:id w:val="2026402492"/>
                <w:dropDownList w:lastValue="In Progress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In Progress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before="0" w:line="240" w:lineRule="auto"/>
              <w:jc w:val="center"/>
              <w:rPr/>
            </w:pPr>
            <w:sdt>
              <w:sdtPr>
                <w:alias w:val="Project status"/>
                <w:id w:val="707832023"/>
                <w:dropDownList w:lastValue="In Progress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In Progress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before="0" w:line="240" w:lineRule="auto"/>
              <w:jc w:val="center"/>
              <w:rPr/>
            </w:pPr>
            <w:sdt>
              <w:sdtPr>
                <w:alias w:val="Project status"/>
                <w:id w:val="-1548995663"/>
                <w:dropDownList w:lastValue="In Progress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In Progress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a8a8" w:space="0" w:sz="6" w:val="single"/>
              <w:left w:color="a8a8a8" w:space="0" w:sz="6" w:val="single"/>
              <w:bottom w:color="a8a8a8" w:space="0" w:sz="6" w:val="single"/>
              <w:right w:color="a8a8a8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before="0" w:line="240" w:lineRule="auto"/>
              <w:jc w:val="center"/>
              <w:rPr/>
            </w:pPr>
            <w:sdt>
              <w:sdtPr>
                <w:alias w:val="Project status"/>
                <w:id w:val="-1342588261"/>
                <w:dropDownList w:lastValue="In Progress">
                  <w:listItem w:displayText="Not Started" w:value="Not Started"/>
                  <w:listItem w:displayText="Blocked" w:value="Blocked"/>
                  <w:listItem w:displayText="In Progress" w:value="In Progress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In Progress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2">
      <w:pPr>
        <w:keepLines w:val="0"/>
        <w:pageBreakBefore w:val="0"/>
        <w:widowControl w:val="0"/>
        <w:spacing w:after="120" w:before="160" w:line="312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720" w:top="720" w:left="1152" w:right="1152" w:header="0" w:footer="431.999999999999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us Jakarta Sans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Work Sans Ligh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Work Sans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Nanum Myeongjo">
    <w:embedRegular w:fontKey="{00000000-0000-0000-0000-000000000000}" r:id="rId17" w:subsetted="0"/>
    <w:embedBold w:fontKey="{00000000-0000-0000-0000-000000000000}" r:id="rId18" w:subsetted="0"/>
  </w:font>
  <w:font w:name="NanumMyeongjoExtraBold">
    <w:embedBold w:fontKey="{00000000-0000-0000-0000-000000000000}" r:id="rId1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5">
    <w:pPr>
      <w:pageBreakBefore w:val="0"/>
      <w:spacing w:line="240" w:lineRule="auto"/>
      <w:jc w:val="center"/>
      <w:rPr>
        <w:rFonts w:ascii="Work Sans Light" w:cs="Work Sans Light" w:eastAsia="Work Sans Light" w:hAnsi="Work Sans Light"/>
        <w:sz w:val="16"/>
        <w:szCs w:val="16"/>
      </w:rPr>
    </w:pPr>
    <w:hyperlink r:id="rId1">
      <w:r w:rsidDel="00000000" w:rsidR="00000000" w:rsidRPr="00000000">
        <w:rPr>
          <w:sz w:val="16"/>
          <w:szCs w:val="16"/>
          <w:u w:val="single"/>
          <w:rtl w:val="0"/>
        </w:rPr>
        <w:t xml:space="preserve">www.66degrees.com</w:t>
      </w:r>
    </w:hyperlink>
    <w:r w:rsidDel="00000000" w:rsidR="00000000" w:rsidRPr="00000000">
      <w:rPr>
        <w:sz w:val="16"/>
        <w:szCs w:val="16"/>
        <w:rtl w:val="0"/>
      </w:rPr>
      <w:t xml:space="preserve"> </w:t>
      <w:tab/>
      <w:tab/>
      <w:tab/>
      <w:tab/>
      <w:tab/>
      <w:tab/>
      <w:tab/>
      <w:t xml:space="preserve">  </w:t>
      <w:tab/>
      <w:tab/>
      <w:tab/>
      <w:t xml:space="preserve">       Page </w:t>
    </w:r>
    <w:r w:rsidDel="00000000" w:rsidR="00000000" w:rsidRPr="00000000">
      <w:rPr>
        <w:rFonts w:ascii="Work Sans Light" w:cs="Work Sans Light" w:eastAsia="Work Sans Light" w:hAnsi="Work Sans Light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Work Sans Light" w:cs="Work Sans Light" w:eastAsia="Work Sans Light" w:hAnsi="Work Sans Light"/>
        <w:sz w:val="16"/>
        <w:szCs w:val="16"/>
        <w:rtl w:val="0"/>
      </w:rPr>
      <w:t xml:space="preserve"> </w:t>
    </w:r>
    <w:r w:rsidDel="00000000" w:rsidR="00000000" w:rsidRPr="00000000">
      <w:rPr>
        <w:sz w:val="16"/>
        <w:szCs w:val="16"/>
        <w:rtl w:val="0"/>
      </w:rPr>
      <w:t xml:space="preserve">of </w:t>
    </w:r>
    <w:r w:rsidDel="00000000" w:rsidR="00000000" w:rsidRPr="00000000"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3">
    <w:pPr>
      <w:pStyle w:val="Heading1"/>
      <w:spacing w:before="160" w:line="312" w:lineRule="auto"/>
      <w:ind w:left="90" w:right="30" w:firstLine="0"/>
      <w:jc w:val="right"/>
      <w:rPr>
        <w:sz w:val="16"/>
        <w:szCs w:val="16"/>
      </w:rPr>
    </w:pPr>
    <w:bookmarkStart w:colFirst="0" w:colLast="0" w:name="_sgjyn9rtaibh" w:id="21"/>
    <w:bookmarkEnd w:id="21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47626</wp:posOffset>
          </wp:positionH>
          <wp:positionV relativeFrom="paragraph">
            <wp:posOffset>406252</wp:posOffset>
          </wp:positionV>
          <wp:extent cx="1302068" cy="30812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61903" t="0"/>
                  <a:stretch>
                    <a:fillRect/>
                  </a:stretch>
                </pic:blipFill>
                <pic:spPr>
                  <a:xfrm>
                    <a:off x="0" y="0"/>
                    <a:ext cx="1302068" cy="30812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D4">
    <w:pPr>
      <w:pStyle w:val="Heading1"/>
      <w:spacing w:before="160" w:line="240" w:lineRule="auto"/>
      <w:ind w:left="90" w:right="30" w:firstLine="0"/>
      <w:jc w:val="right"/>
      <w:rPr>
        <w:sz w:val="16"/>
        <w:szCs w:val="16"/>
      </w:rPr>
    </w:pPr>
    <w:bookmarkStart w:colFirst="0" w:colLast="0" w:name="_8i7grm30szf6" w:id="22"/>
    <w:bookmarkEnd w:id="22"/>
    <w:r w:rsidDel="00000000" w:rsidR="00000000" w:rsidRPr="00000000">
      <w:rPr>
        <w:sz w:val="16"/>
        <w:szCs w:val="16"/>
        <w:rtl w:val="0"/>
      </w:rPr>
      <w:br w:type="textWrapping"/>
    </w:r>
    <w:r w:rsidDel="00000000" w:rsidR="00000000" w:rsidRPr="00000000">
      <w:rPr>
        <w:b w:val="1"/>
        <w:bCs w:val="1"/>
        <w:sz w:val="44"/>
        <w:szCs w:val="44"/>
        <w:rtl w:val="0"/>
      </w:rPr>
      <w:t xml:space="preserve">Internal Project Kickoff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Work Sans Light" w:cs="Work Sans Light" w:eastAsia="Work Sans Light" w:hAnsi="Work Sans Light"/>
        <w:sz w:val="22"/>
        <w:szCs w:val="22"/>
        <w:lang w:val="en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Nanum Myeongjo" w:cs="Nanum Myeongjo" w:eastAsia="Nanum Myeongjo" w:hAnsi="Nanum Myeongjo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240" w:line="276" w:lineRule="auto"/>
    </w:pPr>
    <w:rPr>
      <w:rFonts w:ascii="Nanum Myeongjo" w:cs="Nanum Myeongjo" w:eastAsia="Nanum Myeongjo" w:hAnsi="Nanum Myeongjo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Nanum Myeongjo" w:cs="Nanum Myeongjo" w:eastAsia="Nanum Myeongjo" w:hAnsi="Nanum Myeongjo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rFonts w:ascii="Nanum Myeongjo" w:cs="Nanum Myeongjo" w:eastAsia="Nanum Myeongjo" w:hAnsi="Nanum Myeongjo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rFonts w:ascii="Nanum Myeongjo" w:cs="Nanum Myeongjo" w:eastAsia="Nanum Myeongjo" w:hAnsi="Nanum Myeongjo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rFonts w:ascii="Nanum Myeongjo" w:cs="Nanum Myeongjo" w:eastAsia="Nanum Myeongjo" w:hAnsi="Nanum Myeongjo"/>
      <w:i w:val="1"/>
      <w:iCs w:val="1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NanumMyeongjoExtraBold" w:cs="NanumMyeongjoExtraBold" w:eastAsia="NanumMyeongjoExtraBold" w:hAnsi="NanumMyeongjoExtraBold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Nanum Myeongjo" w:cs="Nanum Myeongjo" w:eastAsia="Nanum Myeongjo" w:hAnsi="Nanum Myeongjo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tndQBw0dG_mUi6vF0sIccT00Ps9gf6pJU8ZwJ7uXJ_8/edit?tab=t.0#heading=h.jy6qwiv5253a" TargetMode="External"/><Relationship Id="rId10" Type="http://schemas.openxmlformats.org/officeDocument/2006/relationships/hyperlink" Target="https://docs.google.com/presentation/d/1mmuA-ZelD2livmwtLV5lt0nC36NVPxsLTziHKS5LrgQ/edit#slide=id.g24503ef63f2_1_0" TargetMode="External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jacqueline.scherer@66degrees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t2pxHtlFl9bHUXEjU5KkoqigwcMzG_5Exp01MrLEuTQ/edit?usp=sharing" TargetMode="External"/><Relationship Id="rId7" Type="http://schemas.openxmlformats.org/officeDocument/2006/relationships/hyperlink" Target="https://66degrees.lightning.force.com/lightning/r/a1PUV000007jbqb2AA/view" TargetMode="External"/><Relationship Id="rId8" Type="http://schemas.openxmlformats.org/officeDocument/2006/relationships/hyperlink" Target="mailto:arunakumara.balakrishna@66degrees.com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WorkSansLight-italic.ttf"/><Relationship Id="rId10" Type="http://schemas.openxmlformats.org/officeDocument/2006/relationships/font" Target="fonts/WorkSansLight-bold.ttf"/><Relationship Id="rId13" Type="http://schemas.openxmlformats.org/officeDocument/2006/relationships/font" Target="fonts/WorkSans-regular.ttf"/><Relationship Id="rId12" Type="http://schemas.openxmlformats.org/officeDocument/2006/relationships/font" Target="fonts/WorkSansLight-boldItalic.ttf"/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WorkSansLight-regular.ttf"/><Relationship Id="rId15" Type="http://schemas.openxmlformats.org/officeDocument/2006/relationships/font" Target="fonts/WorkSans-italic.ttf"/><Relationship Id="rId14" Type="http://schemas.openxmlformats.org/officeDocument/2006/relationships/font" Target="fonts/WorkSans-bold.ttf"/><Relationship Id="rId17" Type="http://schemas.openxmlformats.org/officeDocument/2006/relationships/font" Target="fonts/NanumMyeongjo-regular.ttf"/><Relationship Id="rId16" Type="http://schemas.openxmlformats.org/officeDocument/2006/relationships/font" Target="fonts/WorkSans-boldItalic.ttf"/><Relationship Id="rId5" Type="http://schemas.openxmlformats.org/officeDocument/2006/relationships/font" Target="fonts/PlusJakartaSansLight-regular.ttf"/><Relationship Id="rId19" Type="http://schemas.openxmlformats.org/officeDocument/2006/relationships/font" Target="fonts/NanumMyeongjoExtraBold-bold.ttf"/><Relationship Id="rId6" Type="http://schemas.openxmlformats.org/officeDocument/2006/relationships/font" Target="fonts/PlusJakartaSansLight-bold.ttf"/><Relationship Id="rId18" Type="http://schemas.openxmlformats.org/officeDocument/2006/relationships/font" Target="fonts/NanumMyeongjo-bold.ttf"/><Relationship Id="rId7" Type="http://schemas.openxmlformats.org/officeDocument/2006/relationships/font" Target="fonts/PlusJakartaSansLight-italic.ttf"/><Relationship Id="rId8" Type="http://schemas.openxmlformats.org/officeDocument/2006/relationships/font" Target="fonts/PlusJakartaSansLight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66degrees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