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 w:before="1500"/>
      </w:pPr>
    </w:p>
    <w:p>
      <w:pPr>
        <w:spacing w:after="240"/>
        <w:jc w:val="center"/>
      </w:pPr>
      <w:r>
        <w:rPr>
          <w:b/>
          <w:bCs/>
          <w:color w:val="15253D"/>
          <w:sz w:val="42"/>
          <w:szCs w:val="42"/>
        </w:rPr>
        <w:t xml:space="preserve">Engineering Design Report</w:t>
      </w:r>
    </w:p>
    <w:p>
      <w:pPr>
        <w:spacing w:after="500"/>
        <w:jc w:val="center"/>
      </w:pPr>
      <w:r>
        <w:rPr>
          <w:color w:val="0E7490"/>
          <w:sz w:val="26"/>
          <w:szCs w:val="26"/>
        </w:rPr>
        <w:t xml:space="preserve">Safety-bounded realtime synthetic patient and QA harness</w:t>
      </w:r>
    </w:p>
    <w:p>
      <w:pPr>
        <w:spacing w:after="80" w:before="700"/>
        <w:jc w:val="center"/>
      </w:pPr>
      <w:r>
        <w:rPr>
          <w:b/>
          <w:bCs/>
          <w:color w:val="5B6573"/>
        </w:rPr>
        <w:t xml:space="preserve">Prepared for</w:t>
      </w:r>
    </w:p>
    <w:p>
      <w:pPr>
        <w:spacing w:after="130" w:line="276"/>
        <w:jc w:val="center"/>
      </w:pPr>
      <w:r>
        <w:rPr>
          <w:b w:val="false"/>
          <w:bCs w:val="false"/>
          <w:i w:val="false"/>
          <w:iCs w:val="false"/>
          <w:color w:val="1F2937"/>
          <w:sz w:val="22"/>
          <w:szCs w:val="22"/>
        </w:rPr>
        <w:t xml:space="preserve">Pretty Good AI — AI Engineering Challenge</w:t>
      </w:r>
    </w:p>
    <w:p>
      <w:pPr>
        <w:spacing w:after="130" w:line="276"/>
        <w:jc w:val="center"/>
      </w:pPr>
      <w:r>
        <w:rPr>
          <w:b w:val="false"/>
          <w:bCs w:val="false"/>
          <w:i w:val="false"/>
          <w:iCs w:val="false"/>
          <w:color w:val="1F2937"/>
          <w:sz w:val="20"/>
          <w:szCs w:val="20"/>
        </w:rPr>
        <w:t xml:space="preserve">Jason Stys | 14 August 2026</w:t>
      </w:r>
    </w:p>
    <w:p>
      <w:r>
        <w:br w:type="page"/>
      </w:r>
    </w:p>
    <w:p>
      <w:pPr>
        <w:pStyle w:val="Heading1"/>
        <w:spacing w:after="120" w:before="300"/>
      </w:pPr>
      <w:r>
        <w:t xml:space="preserve">Executive summary</w:t>
      </w:r>
    </w:p>
    <w:p>
      <w:pPr>
        <w:spacing w:after="130" w:line="276"/>
        <w:jc w:val="left"/>
      </w:pPr>
      <w:r>
        <w:rPr>
          <w:b w:val="false"/>
          <w:bCs w:val="false"/>
          <w:i w:val="false"/>
          <w:iCs w:val="false"/>
          <w:color w:val="1F2937"/>
          <w:sz w:val="21"/>
          <w:szCs w:val="21"/>
        </w:rPr>
        <w:t xml:space="preserve">This repository implements a Python voice bot that can call only Pretty Good AI's assessment line, behave as a realistic synthetic patient, record both sides, generate role-labelled transcripts, and turn the resulting conversation into evidence-backed quality findings. Twilio owns the outbound call, dual-channel MP3, and bidirectional 8 kHz G.711 μ-law stream. OpenAI Realtime provides low-latency patient speech, semantic turn detection, and interruption handling. The local path relays the existing codec without transcoding and retains only a bounded byte buffer plus short session history.</w:t>
      </w:r>
    </w:p>
    <w:p>
      <w:pPr>
        <w:spacing w:after="130" w:line="276"/>
        <w:jc w:val="left"/>
      </w:pPr>
      <w:r>
        <w:rPr>
          <w:b w:val="false"/>
          <w:bCs w:val="false"/>
          <w:i w:val="false"/>
          <w:iCs w:val="false"/>
          <w:color w:val="1F2937"/>
          <w:sz w:val="21"/>
          <w:szCs w:val="21"/>
        </w:rPr>
        <w:t xml:space="preserve">The implementation is intentionally auditable. Pydantic rejects invalid settings and scenarios; the assessment number is enforced twice; a signed WebSocket is required by default; polling has monotonic deadlines; downloads stream to an atomic temporary file; and every exit path clears tasks, sessions, buffers, and playback marks. Post-call processing adds independent diarization, structured QA, an aggregate bug report, per-call CPU/RSS/page-fault/disk metrics, and a submission gate that cannot pass without ten genuine call artifacts.</w:t>
      </w:r>
    </w:p>
    <w:p>
      <w:pPr>
        <w:pStyle w:val="Heading1"/>
        <w:spacing w:after="120" w:before="300"/>
      </w:pPr>
      <w:r>
        <w:t xml:space="preserve">Assignment alignment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440"/>
      </w:tblGrid>
      <w:tr>
        <w:trPr>
          <w:tblHeader/>
        </w:trPr>
        <w:tc>
          <w:tcPr>
            <w:tcW w:type="dxa" w:w="22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Requirement</w:t>
            </w:r>
          </w:p>
        </w:tc>
        <w:tc>
          <w:tcPr>
            <w:tcW w:type="dxa" w:w="39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Implementation</w:t>
            </w:r>
          </w:p>
        </w:tc>
        <w:tc>
          <w:tcPr>
            <w:tcW w:type="dxa" w:w="344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Evidence</w:t>
            </w:r>
          </w:p>
        </w:tc>
      </w:tr>
      <w:tr>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Automated voice bot</w:t>
            </w:r>
          </w:p>
        </w:tc>
        <w:tc>
          <w:tcPr>
            <w:tcW w:type="dxa" w:w="39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Realtime synthetic patient over Twilio Media Streams</w:t>
            </w:r>
          </w:p>
        </w:tc>
        <w:tc>
          <w:tcPr>
            <w:tcW w:type="dxa" w:w="34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src/pgai_voicebot/media_bridge.py</w:t>
            </w:r>
          </w:p>
        </w:tc>
      </w:tr>
      <w:tr>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Only assessment line</w:t>
            </w:r>
          </w:p>
        </w:tc>
        <w:tc>
          <w:tcPr>
            <w:tcW w:type="dxa" w:w="39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No caller-supplied destination; two allowlist checks</w:t>
            </w:r>
          </w:p>
        </w:tc>
        <w:tc>
          <w:tcPr>
            <w:tcW w:type="dxa" w:w="34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constants.py, config.py, telephony.py</w:t>
            </w:r>
          </w:p>
        </w:tc>
      </w:tr>
      <w:tr>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10 complete calls</w:t>
            </w:r>
          </w:p>
        </w:tc>
        <w:tc>
          <w:tcPr>
            <w:tcW w:type="dxa" w:w="39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Sequential 10-of-12 batch plus strict artifact gate</w:t>
            </w:r>
          </w:p>
        </w:tc>
        <w:tc>
          <w:tcPr>
            <w:tcW w:type="dxa" w:w="34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runner.py, validation.py</w:t>
            </w:r>
          </w:p>
        </w:tc>
      </w:tr>
      <w:tr>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MP3/OGG recording</w:t>
            </w:r>
          </w:p>
        </w:tc>
        <w:tc>
          <w:tcPr>
            <w:tcW w:type="dxa" w:w="39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Dual-channel MP3 streamed from Twilio</w:t>
            </w:r>
          </w:p>
        </w:tc>
        <w:tc>
          <w:tcPr>
            <w:tcW w:type="dxa" w:w="34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recording.mp3 per run</w:t>
            </w:r>
          </w:p>
        </w:tc>
      </w:tr>
      <w:tr>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Both-side transcript</w:t>
            </w:r>
          </w:p>
        </w:tc>
        <w:tc>
          <w:tcPr>
            <w:tcW w:type="dxa" w:w="39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Realtime history plus independent diarized ASR</w:t>
            </w:r>
          </w:p>
        </w:tc>
        <w:tc>
          <w:tcPr>
            <w:tcW w:type="dxa" w:w="34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transcript.json/md, recording-diarization.json</w:t>
            </w:r>
          </w:p>
        </w:tc>
      </w:tr>
      <w:tr>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Identify bugs</w:t>
            </w:r>
          </w:p>
        </w:tc>
        <w:tc>
          <w:tcPr>
            <w:tcW w:type="dxa" w:w="39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Schema-constrained QA and severity-sorted report</w:t>
            </w:r>
          </w:p>
        </w:tc>
        <w:tc>
          <w:tcPr>
            <w:tcW w:type="dxa" w:w="34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qa-report.json, artifacts/bug-report.md</w:t>
            </w:r>
          </w:p>
        </w:tc>
      </w:tr>
      <w:tr>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Design reasoning</w:t>
            </w:r>
          </w:p>
        </w:tc>
        <w:tc>
          <w:tcPr>
            <w:tcW w:type="dxa" w:w="39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README and this architecture report</w:t>
            </w:r>
          </w:p>
        </w:tc>
        <w:tc>
          <w:tcPr>
            <w:tcW w:type="dxa" w:w="34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docs/architecture.md</w:t>
            </w:r>
          </w:p>
        </w:tc>
      </w:tr>
    </w:tbl>
    <w:p>
      <w:pPr>
        <w:pStyle w:val="Heading1"/>
        <w:spacing w:after="120" w:before="300"/>
      </w:pPr>
      <w:r>
        <w:t xml:space="preserve">Architecture</w:t>
      </w:r>
    </w:p>
    <w:p>
      <w:pPr>
        <w:pStyle w:val="Heading2"/>
        <w:spacing w:after="120" w:before="220"/>
      </w:pPr>
      <w:r>
        <w:t xml:space="preserve">Conversation path</w:t>
      </w:r>
    </w:p>
    <w:p>
      <w:pPr>
        <w:pStyle w:val="ListParagraph"/>
        <w:numPr>
          <w:ilvl w:val="0"/>
          <w:numId w:val="2"/>
        </w:numPr>
        <w:spacing w:after="80" w:line="264"/>
      </w:pPr>
      <w:r>
        <w:t xml:space="preserve">The runner verifies the public HTTPS health endpoint before spending money.</w:t>
      </w:r>
    </w:p>
    <w:p>
      <w:pPr>
        <w:pStyle w:val="ListParagraph"/>
        <w:numPr>
          <w:ilvl w:val="0"/>
          <w:numId w:val="2"/>
        </w:numPr>
        <w:spacing w:after="80" w:line="264"/>
      </w:pPr>
      <w:r>
        <w:t xml:space="preserve">Twilio creates one recorded call from the configured caller number to +18054398008.</w:t>
      </w:r>
    </w:p>
    <w:p>
      <w:pPr>
        <w:pStyle w:val="ListParagraph"/>
        <w:numPr>
          <w:ilvl w:val="0"/>
          <w:numId w:val="2"/>
        </w:numPr>
        <w:spacing w:after="80" w:line="264"/>
      </w:pPr>
      <w:r>
        <w:t xml:space="preserve">Twilio opens a signed bidirectional WebSocket and provides scenario/run identifiers as bounded custom parameters.</w:t>
      </w:r>
    </w:p>
    <w:p>
      <w:pPr>
        <w:pStyle w:val="ListParagraph"/>
        <w:numPr>
          <w:ilvl w:val="0"/>
          <w:numId w:val="2"/>
        </w:numPr>
        <w:spacing w:after="80" w:line="264"/>
      </w:pPr>
      <w:r>
        <w:t xml:space="preserve">The bridge validates frames, batches approximately 50 ms of μ-law audio, and sends it to the Realtime session.</w:t>
      </w:r>
    </w:p>
    <w:p>
      <w:pPr>
        <w:pStyle w:val="ListParagraph"/>
        <w:numPr>
          <w:ilvl w:val="0"/>
          <w:numId w:val="2"/>
        </w:numPr>
        <w:spacing w:after="80" w:line="264"/>
      </w:pPr>
      <w:r>
        <w:t xml:space="preserve">Generated μ-law audio is returned with a Twilio playback mark; interruptions issue clear and update the playback tracker.</w:t>
      </w:r>
    </w:p>
    <w:p>
      <w:pPr>
        <w:pStyle w:val="ListParagraph"/>
        <w:numPr>
          <w:ilvl w:val="0"/>
          <w:numId w:val="2"/>
        </w:numPr>
        <w:spacing w:after="80" w:line="264"/>
      </w:pPr>
      <w:r>
        <w:t xml:space="preserve">When either peer finishes, the bridge cancels remaining tasks, closes the session, clears mutable state, and persists the transcript.</w:t>
      </w:r>
    </w:p>
    <w:p>
      <w:pPr>
        <w:pStyle w:val="Heading2"/>
        <w:spacing w:after="120" w:before="220"/>
      </w:pPr>
      <w:r>
        <w:t xml:space="preserve">Post-call evidence</w:t>
      </w:r>
    </w:p>
    <w:p>
      <w:pPr>
        <w:spacing w:after="130" w:line="276"/>
        <w:jc w:val="left"/>
      </w:pPr>
      <w:r>
        <w:rPr>
          <w:b w:val="false"/>
          <w:bCs w:val="false"/>
          <w:i w:val="false"/>
          <w:iCs w:val="false"/>
          <w:color w:val="1F2937"/>
          <w:sz w:val="21"/>
          <w:szCs w:val="21"/>
        </w:rPr>
        <w:t xml:space="preserve">The runner waits for a terminal call state and completed recording using bounded polling. The MP3 is downloaded in 64 KiB chunks, then independently transcribed with speaker diarization. The role-labelled transcript is evaluated only against the selected synthetic scenario's objective, goals, probes, and stop conditions. Pydantic rejects malformed QA output. Findings contain severity, category, evidence, impact, expected behavior, reproduction steps, and confidence.</w:t>
      </w:r>
    </w:p>
    <w:p>
      <w:pPr>
        <w:pStyle w:val="Heading1"/>
        <w:spacing w:after="120" w:before="300"/>
      </w:pPr>
      <w:r>
        <w:t xml:space="preserve">Component and complexity map</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200"/>
        <w:gridCol w:w="2240"/>
      </w:tblGrid>
      <w:tr>
        <w:trPr>
          <w:tblHeader/>
        </w:trPr>
        <w:tc>
          <w:tcPr>
            <w:tcW w:type="dxa" w:w="21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Component</w:t>
            </w:r>
          </w:p>
        </w:tc>
        <w:tc>
          <w:tcPr>
            <w:tcW w:type="dxa" w:w="30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Responsibility</w:t>
            </w:r>
          </w:p>
        </w:tc>
        <w:tc>
          <w:tcPr>
            <w:tcW w:type="dxa" w:w="22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Expected complexity</w:t>
            </w:r>
          </w:p>
        </w:tc>
        <w:tc>
          <w:tcPr>
            <w:tcW w:type="dxa" w:w="224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Reliability property</w:t>
            </w:r>
          </w:p>
        </w:tc>
      </w:tr>
      <w:tr>
        <w:tc>
          <w:tcPr>
            <w:tcW w:type="dxa" w:w="21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ScenarioCatalog</w:t>
            </w:r>
          </w:p>
        </w:tc>
        <w:tc>
          <w:tcPr>
            <w:tcW w:type="dxa" w:w="30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Safe YAML and hash index</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Build O(n); lookup O(1) average</w:t>
            </w:r>
          </w:p>
        </w:tc>
        <w:tc>
          <w:tcPr>
            <w:tcW w:type="dxa" w:w="22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Strict synthetic schema</w:t>
            </w:r>
          </w:p>
        </w:tc>
      </w:tr>
      <w:tr>
        <w:tc>
          <w:tcPr>
            <w:tcW w:type="dxa" w:w="21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MediaBridge</w:t>
            </w:r>
          </w:p>
        </w:tc>
        <w:tc>
          <w:tcPr>
            <w:tcW w:type="dxa" w:w="30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Twilio ↔ Realtime relay</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O(audio bytes + history)</w:t>
            </w:r>
          </w:p>
        </w:tc>
        <w:tc>
          <w:tcPr>
            <w:tcW w:type="dxa" w:w="22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Bounded buffer and cleanup</w:t>
            </w:r>
          </w:p>
        </w:tc>
      </w:tr>
      <w:tr>
        <w:tc>
          <w:tcPr>
            <w:tcW w:type="dxa" w:w="21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TwilioGateway</w:t>
            </w:r>
          </w:p>
        </w:tc>
        <w:tc>
          <w:tcPr>
            <w:tcW w:type="dxa" w:w="30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Call, status, recording</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O(polls + recording bytes)</w:t>
            </w:r>
          </w:p>
        </w:tc>
        <w:tc>
          <w:tcPr>
            <w:tcW w:type="dxa" w:w="22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Fixed destination twice</w:t>
            </w:r>
          </w:p>
        </w:tc>
      </w:tr>
      <w:tr>
        <w:tc>
          <w:tcPr>
            <w:tcW w:type="dxa" w:w="21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AssessmentRunner</w:t>
            </w:r>
          </w:p>
        </w:tc>
        <w:tc>
          <w:tcPr>
            <w:tcW w:type="dxa" w:w="30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Evidence orchestration</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O(call duration + artifacts)</w:t>
            </w:r>
          </w:p>
        </w:tc>
        <w:tc>
          <w:tcPr>
            <w:tcW w:type="dxa" w:w="22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Failure manifest always written</w:t>
            </w:r>
          </w:p>
        </w:tc>
      </w:tr>
      <w:tr>
        <w:tc>
          <w:tcPr>
            <w:tcW w:type="dxa" w:w="21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QA and reports</w:t>
            </w:r>
          </w:p>
        </w:tc>
        <w:tc>
          <w:tcPr>
            <w:tcW w:type="dxa" w:w="30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Diarization and schema review</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O(transcript + findings)</w:t>
            </w:r>
          </w:p>
        </w:tc>
        <w:tc>
          <w:tcPr>
            <w:tcW w:type="dxa" w:w="22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Quote-level evidence</w:t>
            </w:r>
          </w:p>
        </w:tc>
      </w:tr>
      <w:tr>
        <w:tc>
          <w:tcPr>
            <w:tcW w:type="dxa" w:w="21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Submission gate</w:t>
            </w:r>
          </w:p>
        </w:tc>
        <w:tc>
          <w:tcPr>
            <w:tcW w:type="dxa" w:w="30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Cross-run consistency</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O(files + bytes)</w:t>
            </w:r>
          </w:p>
        </w:tc>
        <w:tc>
          <w:tcPr>
            <w:tcW w:type="dxa" w:w="22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Ten genuine calls required</w:t>
            </w:r>
          </w:p>
        </w:tc>
      </w:tr>
    </w:tbl>
    <w:p>
      <w:pPr>
        <w:pStyle w:val="Heading1"/>
        <w:spacing w:after="120" w:before="300"/>
      </w:pPr>
      <w:r>
        <w:t xml:space="preserve">Efficiency and resource behavior</w:t>
      </w:r>
    </w:p>
    <w:p>
      <w:pPr>
        <w:pStyle w:val="ListParagraph"/>
        <w:numPr>
          <w:ilvl w:val="0"/>
          <w:numId w:val="1"/>
        </w:numPr>
        <w:spacing w:after="80" w:line="264"/>
      </w:pPr>
      <w:r>
        <w:t xml:space="preserve">No local audio resampling, waveform expansion, model weights, or GPU allocation occurs.</w:t>
      </w:r>
    </w:p>
    <w:p>
      <w:pPr>
        <w:pStyle w:val="ListParagraph"/>
        <w:numPr>
          <w:ilvl w:val="0"/>
          <w:numId w:val="1"/>
        </w:numPr>
        <w:spacing w:after="80" w:line="264"/>
      </w:pPr>
      <w:r>
        <w:t xml:space="preserve">The conversation path uses one bytearray, no unbounded queue, and no nested polling loop.</w:t>
      </w:r>
    </w:p>
    <w:p>
      <w:pPr>
        <w:pStyle w:val="ListParagraph"/>
        <w:numPr>
          <w:ilvl w:val="0"/>
          <w:numId w:val="1"/>
        </w:numPr>
        <w:spacing w:after="80" w:line="264"/>
      </w:pPr>
      <w:r>
        <w:t xml:space="preserve">Scenario lookup uses a dictionary for expected O(1) access; duplicate identifiers fail at load time.</w:t>
      </w:r>
    </w:p>
    <w:p>
      <w:pPr>
        <w:pStyle w:val="ListParagraph"/>
        <w:numPr>
          <w:ilvl w:val="0"/>
          <w:numId w:val="1"/>
        </w:numPr>
        <w:spacing w:after="80" w:line="264"/>
      </w:pPr>
      <w:r>
        <w:t xml:space="preserve">Transcript conversion and validation are one-pass over their inputs; issue ordering delegates to Python's stable built-in sort.</w:t>
      </w:r>
    </w:p>
    <w:p>
      <w:pPr>
        <w:pStyle w:val="ListParagraph"/>
        <w:numPr>
          <w:ilvl w:val="0"/>
          <w:numId w:val="1"/>
        </w:numPr>
        <w:spacing w:after="80" w:line="264"/>
      </w:pPr>
      <w:r>
        <w:t xml:space="preserve">Each live call records wall time, process CPU seconds, peak boundary RSS, page faults where supported, recording bytes, transcript bytes, and artifact disk bytes.</w:t>
      </w:r>
    </w:p>
    <w:p>
      <w:pPr>
        <w:spacing w:after="130" w:line="276"/>
        <w:jc w:val="left"/>
      </w:pPr>
      <w:r>
        <w:rPr>
          <w:b w:val="false"/>
          <w:bCs w:val="false"/>
          <w:i w:val="false"/>
          <w:iCs w:val="false"/>
          <w:color w:val="1F2937"/>
          <w:sz w:val="21"/>
          <w:szCs w:val="21"/>
        </w:rPr>
        <w:t xml:space="preserve">The local benchmark records median and p95 microseconds, CPU time, traced peak allocations, page-fault deltas, and an empirical log-log growth exponent. Network and hosted-model latency is deliberately separated because it varies with provider load and cannot be optimized with local data structures.</w:t>
      </w:r>
    </w:p>
    <w:p>
      <w:pPr>
        <w:pStyle w:val="Heading1"/>
        <w:spacing w:after="120" w:before="300"/>
      </w:pPr>
      <w:r>
        <w:t xml:space="preserve">Security and privacy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200"/>
        <w:gridCol w:w="1140"/>
      </w:tblGrid>
      <w:tr>
        <w:trPr>
          <w:tblHeader/>
        </w:trPr>
        <w:tc>
          <w:tcPr>
            <w:tcW w:type="dxa" w:w="23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Risk</w:t>
            </w:r>
          </w:p>
        </w:tc>
        <w:tc>
          <w:tcPr>
            <w:tcW w:type="dxa" w:w="39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Control</w:t>
            </w:r>
          </w:p>
        </w:tc>
        <w:tc>
          <w:tcPr>
            <w:tcW w:type="dxa" w:w="22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Verification</w:t>
            </w:r>
          </w:p>
        </w:tc>
        <w:tc>
          <w:tcPr>
            <w:tcW w:type="dxa" w:w="114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Residual</w:t>
            </w:r>
          </w:p>
        </w:tc>
      </w:tr>
      <w:tr>
        <w:tc>
          <w:tcPr>
            <w:tcW w:type="dxa" w:w="23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Unauthorized call</w:t>
            </w:r>
          </w:p>
        </w:tc>
        <w:tc>
          <w:tcPr>
            <w:tcW w:type="dxa" w:w="39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Hard-coded +18054398008 at config and gateway</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Unit-tested block</w:t>
            </w:r>
          </w:p>
        </w:tc>
        <w:tc>
          <w:tcPr>
            <w:tcW w:type="dxa" w:w="11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Low</w:t>
            </w:r>
          </w:p>
        </w:tc>
      </w:tr>
      <w:tr>
        <w:tc>
          <w:tcPr>
            <w:tcW w:type="dxa" w:w="23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Forged WebSocket</w:t>
            </w:r>
          </w:p>
        </w:tc>
        <w:tc>
          <w:tcPr>
            <w:tcW w:type="dxa" w:w="39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Twilio signature required by default</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Policy-close test</w:t>
            </w:r>
          </w:p>
        </w:tc>
        <w:tc>
          <w:tcPr>
            <w:tcW w:type="dxa" w:w="11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Low</w:t>
            </w:r>
          </w:p>
        </w:tc>
      </w:tr>
      <w:tr>
        <w:tc>
          <w:tcPr>
            <w:tcW w:type="dxa" w:w="23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Memory/page leak</w:t>
            </w:r>
          </w:p>
        </w:tc>
        <w:tc>
          <w:tcPr>
            <w:tcW w:type="dxa" w:w="39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64 KiB frame cap; ~50 ms bytearray; finally cleanup</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Lifecycle test + metrics</w:t>
            </w:r>
          </w:p>
        </w:tc>
        <w:tc>
          <w:tcPr>
            <w:tcW w:type="dxa" w:w="11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Low</w:t>
            </w:r>
          </w:p>
        </w:tc>
      </w:tr>
      <w:tr>
        <w:tc>
          <w:tcPr>
            <w:tcW w:type="dxa" w:w="23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Credential leakage</w:t>
            </w:r>
          </w:p>
        </w:tc>
        <w:tc>
          <w:tcPr>
            <w:tcW w:type="dxa" w:w="39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Secret types, ignored .env, artifact scanner</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Security workflow</w:t>
            </w:r>
          </w:p>
        </w:tc>
        <w:tc>
          <w:tcPr>
            <w:tcW w:type="dxa" w:w="11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Low</w:t>
            </w:r>
          </w:p>
        </w:tc>
      </w:tr>
      <w:tr>
        <w:tc>
          <w:tcPr>
            <w:tcW w:type="dxa" w:w="23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Real PHI</w:t>
            </w:r>
          </w:p>
        </w:tc>
        <w:tc>
          <w:tcPr>
            <w:tcW w:type="dxa" w:w="39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Synthetic classification required in every scenario</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Schema tests</w:t>
            </w:r>
          </w:p>
        </w:tc>
        <w:tc>
          <w:tcPr>
            <w:tcW w:type="dxa" w:w="11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Low</w:t>
            </w:r>
          </w:p>
        </w:tc>
      </w:tr>
      <w:tr>
        <w:tc>
          <w:tcPr>
            <w:tcW w:type="dxa" w:w="23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External service outage</w:t>
            </w:r>
          </w:p>
        </w:tc>
        <w:tc>
          <w:tcPr>
            <w:tcW w:type="dxa" w:w="39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Health preflight, bounded polling, auditable failure</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Runner tests</w:t>
            </w:r>
          </w:p>
        </w:tc>
        <w:tc>
          <w:tcPr>
            <w:tcW w:type="dxa" w:w="11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Medium</w:t>
            </w:r>
          </w:p>
        </w:tc>
      </w:tr>
      <w:tr>
        <w:tc>
          <w:tcPr>
            <w:tcW w:type="dxa" w:w="23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Recording publication</w:t>
            </w:r>
          </w:p>
        </w:tc>
        <w:tc>
          <w:tcPr>
            <w:tcW w:type="dxa" w:w="39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Manual review remains mandatory</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Pending live review</w:t>
            </w:r>
          </w:p>
        </w:tc>
        <w:tc>
          <w:tcPr>
            <w:tcW w:type="dxa" w:w="11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Medium</w:t>
            </w:r>
          </w:p>
        </w:tc>
      </w:tr>
    </w:tbl>
    <w:p>
      <w:pPr>
        <w:pStyle w:val="Heading1"/>
        <w:spacing w:after="120" w:before="300"/>
      </w:pPr>
      <w:r>
        <w:t xml:space="preserve">Scenario strategy</w:t>
      </w:r>
    </w:p>
    <w:p>
      <w:pPr>
        <w:spacing w:after="130" w:line="276"/>
        <w:jc w:val="left"/>
      </w:pPr>
      <w:r>
        <w:rPr>
          <w:b w:val="false"/>
          <w:bCs w:val="false"/>
          <w:i w:val="false"/>
          <w:iCs w:val="false"/>
          <w:color w:val="1F2937"/>
          <w:sz w:val="21"/>
          <w:szCs w:val="21"/>
        </w:rPr>
        <w:t xml:space="preserve">Twelve scenarios cover new-patient scheduling, rescheduling, cancellation/waitlist behavior, routine refills, practice information, closed-day boundaries, urgent symptom escalation, another-adult privacy, interruption/correction, Spanish continuity, hearing accessibility, and conflicting demographics. All identities are synthetic. Each scenario includes an objective, persona, bounded facts, conversation goals, probes, and explicit stop conditions, which keeps the patient active without relying on one monolithic prompt.</w:t>
      </w:r>
    </w:p>
    <w:p>
      <w:pPr>
        <w:pStyle w:val="Heading1"/>
        <w:spacing w:after="120" w:before="300"/>
      </w:pPr>
      <w:r>
        <w:t xml:space="preserve">Verification result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40"/>
      </w:tblGrid>
      <w:tr>
        <w:trPr>
          <w:tblHeader/>
        </w:trPr>
        <w:tc>
          <w:tcPr>
            <w:tcW w:type="dxa" w:w="22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Check</w:t>
            </w:r>
          </w:p>
        </w:tc>
        <w:tc>
          <w:tcPr>
            <w:tcW w:type="dxa" w:w="220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Result</w:t>
            </w:r>
          </w:p>
        </w:tc>
        <w:tc>
          <w:tcPr>
            <w:tcW w:type="dxa" w:w="5140"/>
            <w:tcBorders>
              <w:top w:val="single" w:color="D1D5DB" w:sz="2"/>
              <w:left w:val="single" w:color="D1D5DB" w:sz="2"/>
              <w:bottom w:val="single" w:color="D1D5DB" w:sz="2"/>
              <w:right w:val="single" w:color="D1D5DB" w:sz="2"/>
            </w:tcBorders>
            <w:shd w:fill="1F6FEB" w:color="auto" w:val="clear"/>
            <w:tcMar>
              <w:top w:type="dxa" w:w="100"/>
              <w:left w:type="dxa" w:w="100"/>
              <w:bottom w:type="dxa" w:w="100"/>
              <w:right w:type="dxa" w:w="100"/>
            </w:tcMar>
          </w:tcPr>
          <w:p>
            <w:r>
              <w:rPr>
                <w:b/>
                <w:bCs/>
                <w:color w:val="FFFFFF"/>
                <w:sz w:val="19"/>
                <w:szCs w:val="19"/>
              </w:rPr>
              <w:t xml:space="preserve">Interpretation</w:t>
            </w:r>
          </w:p>
        </w:tc>
      </w:tr>
      <w:tr>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pytest</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54 passed</w:t>
            </w:r>
          </w:p>
        </w:tc>
        <w:tc>
          <w:tcPr>
            <w:tcW w:type="dxa" w:w="51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Network/billing boundaries are replaced; failure paths included</w:t>
            </w:r>
          </w:p>
        </w:tc>
      </w:tr>
      <w:tr>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Coverage</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91.47% branch-aware</w:t>
            </w:r>
          </w:p>
        </w:tc>
        <w:tc>
          <w:tcPr>
            <w:tcW w:type="dxa" w:w="51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Exceeds the 90% repository gate</w:t>
            </w:r>
          </w:p>
        </w:tc>
      </w:tr>
      <w:tr>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Ruff</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Pass</w:t>
            </w:r>
          </w:p>
        </w:tc>
        <w:tc>
          <w:tcPr>
            <w:tcW w:type="dxa" w:w="51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Lint and formatting clean</w:t>
            </w:r>
          </w:p>
        </w:tc>
      </w:tr>
      <w:tr>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mypy strict</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Pass</w:t>
            </w:r>
          </w:p>
        </w:tc>
        <w:tc>
          <w:tcPr>
            <w:tcW w:type="dxa" w:w="51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Zero source errors across 18 files</w:t>
            </w:r>
          </w:p>
        </w:tc>
      </w:tr>
      <w:tr>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Bandit</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Pass</w:t>
            </w:r>
          </w:p>
        </w:tc>
        <w:tc>
          <w:tcPr>
            <w:tcW w:type="dxa" w:w="51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Zero static findings</w:t>
            </w:r>
          </w:p>
        </w:tc>
      </w:tr>
      <w:tr>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pip-audit</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Pass</w:t>
            </w:r>
          </w:p>
        </w:tc>
        <w:tc>
          <w:tcPr>
            <w:tcW w:type="dxa" w:w="51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Zero known vulnerabilities on 2026-08-14</w:t>
            </w:r>
          </w:p>
        </w:tc>
      </w:tr>
      <w:tr>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Radon</w:t>
            </w:r>
          </w:p>
        </w:tc>
        <w:tc>
          <w:tcPr>
            <w:tcW w:type="dxa" w:w="220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Average A</w:t>
            </w:r>
          </w:p>
        </w:tc>
        <w:tc>
          <w:tcPr>
            <w:tcW w:type="dxa" w:w="5140"/>
            <w:tcBorders>
              <w:top w:val="single" w:color="D1D5DB" w:sz="2"/>
              <w:left w:val="single" w:color="D1D5DB" w:sz="2"/>
              <w:bottom w:val="single" w:color="D1D5DB" w:sz="2"/>
              <w:right w:val="single" w:color="D1D5DB" w:sz="2"/>
            </w:tcBorders>
            <w:shd w:fill="F8FAFC"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Maintainability A for every source file</w:t>
            </w:r>
          </w:p>
        </w:tc>
      </w:tr>
      <w:tr>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Live submission</w:t>
            </w:r>
          </w:p>
        </w:tc>
        <w:tc>
          <w:tcPr>
            <w:tcW w:type="dxa" w:w="220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Pending</w:t>
            </w:r>
          </w:p>
        </w:tc>
        <w:tc>
          <w:tcPr>
            <w:tcW w:type="dxa" w:w="5140"/>
            <w:tcBorders>
              <w:top w:val="single" w:color="D1D5DB" w:sz="2"/>
              <w:left w:val="single" w:color="D1D5DB" w:sz="2"/>
              <w:bottom w:val="single" w:color="D1D5DB" w:sz="2"/>
              <w:right w:val="single" w:color="D1D5DB" w:sz="2"/>
            </w:tcBorders>
            <w:shd w:fill="FFFFFF" w:color="auto" w:val="clear"/>
            <w:tcMar>
              <w:top w:type="dxa" w:w="90"/>
              <w:left w:type="dxa" w:w="100"/>
              <w:bottom w:type="dxa" w:w="90"/>
              <w:right w:type="dxa" w:w="100"/>
            </w:tcMar>
          </w:tcPr>
          <w:p>
            <w:pPr>
              <w:spacing w:after="130" w:line="276"/>
              <w:jc w:val="left"/>
            </w:pPr>
            <w:r>
              <w:rPr>
                <w:b w:val="false"/>
                <w:bCs w:val="false"/>
                <w:i w:val="false"/>
                <w:iCs w:val="false"/>
                <w:color w:val="1F2937"/>
                <w:sz w:val="18"/>
                <w:szCs w:val="18"/>
              </w:rPr>
              <w:t xml:space="preserve">No mocked result is counted as a real call</w:t>
            </w:r>
          </w:p>
        </w:tc>
      </w:tr>
    </w:tbl>
    <w:p>
      <w:pPr>
        <w:pStyle w:val="Heading1"/>
        <w:spacing w:after="120" w:before="300"/>
      </w:pPr>
      <w:r>
        <w:t xml:space="preserve">Operational sequence</w:t>
      </w:r>
    </w:p>
    <w:p>
      <w:pPr>
        <w:pStyle w:val="ListParagraph"/>
        <w:numPr>
          <w:ilvl w:val="0"/>
          <w:numId w:val="3"/>
        </w:numPr>
        <w:spacing w:after="80" w:line="264"/>
      </w:pPr>
      <w:r>
        <w:t xml:space="preserve">Create a Twilio caller number and OpenAI project; place secrets only in .env.</w:t>
      </w:r>
    </w:p>
    <w:p>
      <w:pPr>
        <w:pStyle w:val="ListParagraph"/>
        <w:numPr>
          <w:ilvl w:val="0"/>
          <w:numId w:val="3"/>
        </w:numPr>
        <w:spacing w:after="80" w:line="264"/>
      </w:pPr>
      <w:r>
        <w:t xml:space="preserve">Deploy or tunnel the service over HTTPS/WSS, then verify /healthz.</w:t>
      </w:r>
    </w:p>
    <w:p>
      <w:pPr>
        <w:pStyle w:val="ListParagraph"/>
        <w:numPr>
          <w:ilvl w:val="0"/>
          <w:numId w:val="3"/>
        </w:numPr>
        <w:spacing w:after="80" w:line="264"/>
      </w:pPr>
      <w:r>
        <w:t xml:space="preserve">Use the selected caller number for the Athena test identity; do not call its confirmation number.</w:t>
      </w:r>
    </w:p>
    <w:p>
      <w:pPr>
        <w:pStyle w:val="ListParagraph"/>
        <w:numPr>
          <w:ilvl w:val="0"/>
          <w:numId w:val="3"/>
        </w:numPr>
        <w:spacing w:after="80" w:line="264"/>
      </w:pPr>
      <w:r>
        <w:t xml:space="preserve">Run and listen to one smoke call. Stop if consent, audio, cost, or behavior is wrong.</w:t>
      </w:r>
    </w:p>
    <w:p>
      <w:pPr>
        <w:pStyle w:val="ListParagraph"/>
        <w:numPr>
          <w:ilvl w:val="0"/>
          <w:numId w:val="3"/>
        </w:numPr>
        <w:spacing w:after="80" w:line="264"/>
      </w:pPr>
      <w:r>
        <w:t xml:space="preserve">Run ten distinct scenarios sequentially, review every artifact, and correct only diarization labels—not spoken evidence.</w:t>
      </w:r>
    </w:p>
    <w:p>
      <w:pPr>
        <w:pStyle w:val="ListParagraph"/>
        <w:numPr>
          <w:ilvl w:val="0"/>
          <w:numId w:val="3"/>
        </w:numPr>
        <w:spacing w:after="80" w:line="264"/>
      </w:pPr>
      <w:r>
        <w:t xml:space="preserve">Run the live submission gate, commit reviewed evidence, record the two required personal videos, and complete the form.</w:t>
      </w:r>
    </w:p>
    <w:p>
      <w:pPr>
        <w:pStyle w:val="Heading1"/>
        <w:spacing w:after="120" w:before="300"/>
      </w:pPr>
      <w:r>
        <w:t xml:space="preserve">Primary sources</w:t>
      </w:r>
    </w:p>
    <w:p>
      <w:pPr>
        <w:spacing w:after="130" w:line="276"/>
        <w:jc w:val="left"/>
      </w:pPr>
      <w:r>
        <w:rPr>
          <w:b w:val="false"/>
          <w:bCs w:val="false"/>
          <w:i w:val="false"/>
          <w:iCs w:val="false"/>
          <w:color w:val="1F2937"/>
          <w:sz w:val="21"/>
          <w:szCs w:val="21"/>
        </w:rPr>
        <w:t xml:space="preserve">Pretty Good AI: https://prettygoodai.com/ and https://prettygoodai.com/careers/</w:t>
      </w:r>
    </w:p>
    <w:p>
      <w:pPr>
        <w:spacing w:after="130" w:line="276"/>
        <w:jc w:val="left"/>
      </w:pPr>
      <w:r>
        <w:rPr>
          <w:b w:val="false"/>
          <w:bCs w:val="false"/>
          <w:i w:val="false"/>
          <w:iCs w:val="false"/>
          <w:color w:val="1F2937"/>
          <w:sz w:val="21"/>
          <w:szCs w:val="21"/>
        </w:rPr>
        <w:t xml:space="preserve">OpenAI Agents SDK Realtime guide and official Twilio example: https://openai.github.io/openai-agents-python/realtime/guide/ and https://github.com/openai/openai-agents-python/tree/main/examples/realtime/twilio</w:t>
      </w:r>
    </w:p>
    <w:p>
      <w:pPr>
        <w:spacing w:after="130" w:line="276"/>
        <w:jc w:val="left"/>
      </w:pPr>
      <w:r>
        <w:rPr>
          <w:b w:val="false"/>
          <w:bCs w:val="false"/>
          <w:i w:val="false"/>
          <w:iCs w:val="false"/>
          <w:color w:val="1F2937"/>
          <w:sz w:val="21"/>
          <w:szCs w:val="21"/>
        </w:rPr>
        <w:t xml:space="preserve">Twilio Media Streams and Call resource: https://www.twilio.com/docs/voice/media-streams and https://www.twilio.com/docs/voice/api/call-resource</w:t>
      </w:r>
    </w:p>
    <w:p>
      <w:pPr>
        <w:pStyle w:val="Heading1"/>
        <w:spacing w:after="120" w:before="300"/>
      </w:pPr>
      <w:r>
        <w:t xml:space="preserve">Conclusion</w:t>
      </w:r>
    </w:p>
    <w:p>
      <w:pPr>
        <w:spacing w:after="130" w:line="276"/>
        <w:jc w:val="left"/>
      </w:pPr>
      <w:r>
        <w:rPr>
          <w:b w:val="false"/>
          <w:bCs w:val="false"/>
          <w:i w:val="false"/>
          <w:iCs w:val="false"/>
          <w:color w:val="1F2937"/>
          <w:sz w:val="21"/>
          <w:szCs w:val="21"/>
        </w:rPr>
        <w:t xml:space="preserve">The software, safety boundaries, tests, reporting structure, and automation are ready for authenticated live execution. The remaining work is intentionally human- and account-bound: provision the caller and paid APIs, create the Athena test identity, make and review ten genuine calls, record the public walkthrough and AI-debug videos with Jason's own voice/webcam, then publish the reviewed evidence. Until those steps occur, the submission gate remains pending by design.</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7"/>
        <w:szCs w:val="17"/>
      </w:rPr>
      <w:t xml:space="preserve">Pretty Good AI Challenge  •  Jason Stys  •  Page </w:t>
    </w:r>
    <w:r>
      <w:rPr>
        <w:color w:val="5B65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20"/>
      </w:pPr>
    </w:lvl>
  </w:abstractNum>
  <w:abstractNum w:abstractNumId="3" w15:restartNumberingAfterBreak="0">
    <w:multiLevelType w:val="hybridMultilevel"/>
    <w:lvl w:ilvl="0" w15:tentative="1">
      <w:start w:val="1"/>
      <w:numFmt w:val="decimal"/>
      <w:lvlText w:val="%1."/>
      <w:lvlJc w:val="star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Display" w:cs="Aptos Display" w:eastAsia="Aptos Display" w:hAnsi="Aptos Display"/>
      <w:b/>
      <w:bCs/>
      <w:color w:val="15253D"/>
      <w:sz w:val="31"/>
      <w:szCs w:val="31"/>
    </w:rPr>
  </w:style>
  <w:style w:type="paragraph" w:styleId="Heading2">
    <w:name w:val="Heading 2"/>
    <w:basedOn w:val="Normal"/>
    <w:next w:val="Normal"/>
    <w:qFormat/>
    <w:rPr>
      <w:rFonts w:ascii="Aptos Display" w:cs="Aptos Display" w:eastAsia="Aptos Display" w:hAnsi="Aptos Display"/>
      <w:b/>
      <w:bCs/>
      <w:color w:val="0E749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Pretty Good AI Challenge — Engineering Design Report</dc:title>
  <dc:creator>Jason Stys</dc:creator>
  <dc:description>Architecture, safety, performance, and operating report for the synthetic patient simulator.</dc:description>
  <cp:lastModifiedBy>Un-named</cp:lastModifiedBy>
  <cp:revision>1</cp:revision>
  <dcterms:created xsi:type="dcterms:W3CDTF">2026-08-14T22:17:49.704Z</dcterms:created>
  <dcterms:modified xsi:type="dcterms:W3CDTF">2026-08-14T22:17:49.705Z</dcterms:modified>
</cp:coreProperties>
</file>

<file path=docProps/custom.xml><?xml version="1.0" encoding="utf-8"?>
<Properties xmlns="http://schemas.openxmlformats.org/officeDocument/2006/custom-properties" xmlns:vt="http://schemas.openxmlformats.org/officeDocument/2006/docPropsVTypes"/>
</file>