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50" w:before="1500"/>
      </w:pPr>
    </w:p>
    <w:p>
      <w:pPr>
        <w:spacing w:after="240"/>
        <w:jc w:val="center"/>
      </w:pPr>
      <w:r>
        <w:rPr>
          <w:b/>
          <w:bCs/>
          <w:color w:val="15253D"/>
          <w:sz w:val="42"/>
          <w:szCs w:val="42"/>
        </w:rPr>
        <w:t xml:space="preserve">Test and Validation Report</w:t>
      </w:r>
    </w:p>
    <w:p>
      <w:pPr>
        <w:spacing w:after="500"/>
        <w:jc w:val="center"/>
      </w:pPr>
      <w:r>
        <w:rPr>
          <w:color w:val="0E7490"/>
          <w:sz w:val="26"/>
          <w:szCs w:val="26"/>
        </w:rPr>
        <w:t xml:space="preserve">Correctness, security, performance, and submission readiness</w:t>
      </w:r>
    </w:p>
    <w:p>
      <w:pPr>
        <w:spacing w:after="80" w:before="700"/>
        <w:jc w:val="center"/>
      </w:pPr>
      <w:r>
        <w:rPr>
          <w:b/>
          <w:bCs/>
          <w:color w:val="5B6573"/>
        </w:rPr>
        <w:t xml:space="preserve">Prepared for</w:t>
      </w:r>
    </w:p>
    <w:p>
      <w:pPr>
        <w:spacing w:after="130" w:line="276"/>
        <w:jc w:val="center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Pretty Good AI — AI Engineering Challenge</w:t>
      </w:r>
    </w:p>
    <w:p>
      <w:pPr>
        <w:spacing w:after="130" w:line="276"/>
        <w:jc w:val="center"/>
      </w:pPr>
      <w:r>
        <w:rPr>
          <w:b w:val="false"/>
          <w:bCs w:val="false"/>
          <w:i w:val="false"/>
          <w:iCs w:val="false"/>
          <w:color w:val="1F2937"/>
          <w:sz w:val="20"/>
          <w:szCs w:val="20"/>
        </w:rPr>
        <w:t xml:space="preserve">Jason Stys | 14 August 2026</w:t>
      </w:r>
    </w:p>
    <w:p>
      <w:r>
        <w:br w:type="page"/>
      </w:r>
    </w:p>
    <w:p>
      <w:pPr>
        <w:pStyle w:val="Heading1"/>
        <w:spacing w:after="120" w:before="300"/>
      </w:pPr>
      <w:r>
        <w:t xml:space="preserve">Result at a glance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300"/>
        <w:gridCol w:w="1900"/>
        <w:gridCol w:w="2440"/>
      </w:tblGrid>
      <w:tr>
        <w:trPr>
          <w:tblHeader/>
        </w:trPr>
        <w:tc>
          <w:tcPr>
            <w:tcW w:type="dxa" w:w="29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F6FEB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3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F6FEB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Observed</w:t>
            </w:r>
          </w:p>
        </w:tc>
        <w:tc>
          <w:tcPr>
            <w:tcW w:type="dxa" w:w="19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F6FEB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Gate</w:t>
            </w:r>
          </w:p>
        </w:tc>
        <w:tc>
          <w:tcPr>
            <w:tcW w:type="dxa" w:w="244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F6FEB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9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Automated tests</w:t>
            </w:r>
          </w:p>
        </w:tc>
        <w:tc>
          <w:tcPr>
            <w:tcW w:type="dxa" w:w="23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54 passed</w:t>
            </w:r>
          </w:p>
        </w:tc>
        <w:tc>
          <w:tcPr>
            <w:tcW w:type="dxa" w:w="19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All pass</w:t>
            </w:r>
          </w:p>
        </w:tc>
        <w:tc>
          <w:tcPr>
            <w:tcW w:type="dxa" w:w="244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9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Branch-aware coverage</w:t>
            </w:r>
          </w:p>
        </w:tc>
        <w:tc>
          <w:tcPr>
            <w:tcW w:type="dxa" w:w="23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91.47%</w:t>
            </w:r>
          </w:p>
        </w:tc>
        <w:tc>
          <w:tcPr>
            <w:tcW w:type="dxa" w:w="19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≥ 90%</w:t>
            </w:r>
          </w:p>
        </w:tc>
        <w:tc>
          <w:tcPr>
            <w:tcW w:type="dxa" w:w="244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9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Strict typing</w:t>
            </w:r>
          </w:p>
        </w:tc>
        <w:tc>
          <w:tcPr>
            <w:tcW w:type="dxa" w:w="23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0 errors / 18 files</w:t>
            </w:r>
          </w:p>
        </w:tc>
        <w:tc>
          <w:tcPr>
            <w:tcW w:type="dxa" w:w="19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0 errors</w:t>
            </w:r>
          </w:p>
        </w:tc>
        <w:tc>
          <w:tcPr>
            <w:tcW w:type="dxa" w:w="244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9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Bandit</w:t>
            </w:r>
          </w:p>
        </w:tc>
        <w:tc>
          <w:tcPr>
            <w:tcW w:type="dxa" w:w="23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0 findings</w:t>
            </w:r>
          </w:p>
        </w:tc>
        <w:tc>
          <w:tcPr>
            <w:tcW w:type="dxa" w:w="19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0 findings</w:t>
            </w:r>
          </w:p>
        </w:tc>
        <w:tc>
          <w:tcPr>
            <w:tcW w:type="dxa" w:w="244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9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Dependency audit</w:t>
            </w:r>
          </w:p>
        </w:tc>
        <w:tc>
          <w:tcPr>
            <w:tcW w:type="dxa" w:w="23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0 known vulnerabilities</w:t>
            </w:r>
          </w:p>
        </w:tc>
        <w:tc>
          <w:tcPr>
            <w:tcW w:type="dxa" w:w="19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dxa" w:w="244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9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Maintainability</w:t>
            </w:r>
          </w:p>
        </w:tc>
        <w:tc>
          <w:tcPr>
            <w:tcW w:type="dxa" w:w="23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 for every source file</w:t>
            </w:r>
          </w:p>
        </w:tc>
        <w:tc>
          <w:tcPr>
            <w:tcW w:type="dxa" w:w="19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No failing grade</w:t>
            </w:r>
          </w:p>
        </w:tc>
        <w:tc>
          <w:tcPr>
            <w:tcW w:type="dxa" w:w="244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9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Live completed calls</w:t>
            </w:r>
          </w:p>
        </w:tc>
        <w:tc>
          <w:tcPr>
            <w:tcW w:type="dxa" w:w="23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0 committed</w:t>
            </w:r>
          </w:p>
        </w:tc>
        <w:tc>
          <w:tcPr>
            <w:tcW w:type="dxa" w:w="19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≥ 10</w:t>
            </w:r>
          </w:p>
        </w:tc>
        <w:tc>
          <w:tcPr>
            <w:tcW w:type="dxa" w:w="244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PENDING</w:t>
            </w:r>
          </w:p>
        </w:tc>
      </w:tr>
    </w:tbl>
    <w:p>
      <w:pPr>
        <w:spacing w:after="130" w:line="276"/>
        <w:jc w:val="left"/>
      </w:pPr>
      <w:r>
        <w:rPr>
          <w:b w:val="false"/>
          <w:bCs w:val="false"/>
          <w:i w:val="false"/>
          <w:iCs w:val="false"/>
          <w:color w:val="1F2937"/>
          <w:sz w:val="21"/>
          <w:szCs w:val="21"/>
        </w:rPr>
        <w:t xml:space="preserve">The local verification suite is complete and green. It does not claim that the challenge itself is submitted: the required recordings, transcripts, Athena test identity, and two personal public videos must come from genuine authenticated activity. The manual live-evidence workflow is intentionally configured to fail until those artifacts exist.</w:t>
      </w:r>
    </w:p>
    <w:p>
      <w:pPr>
        <w:pStyle w:val="Heading1"/>
        <w:spacing w:after="120" w:before="300"/>
      </w:pPr>
      <w:r>
        <w:t xml:space="preserve">Test inventory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4920"/>
        <w:gridCol w:w="1340"/>
      </w:tblGrid>
      <w:tr>
        <w:trPr>
          <w:tblHeader/>
        </w:trPr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F6FEB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1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F6FEB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Count</w:t>
            </w:r>
          </w:p>
        </w:tc>
        <w:tc>
          <w:tcPr>
            <w:tcW w:type="dxa" w:w="492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F6FEB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is exercised</w:t>
            </w:r>
          </w:p>
        </w:tc>
        <w:tc>
          <w:tcPr>
            <w:tcW w:type="dxa" w:w="134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F6FEB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FastAPI app</w:t>
            </w:r>
          </w:p>
        </w:tc>
        <w:tc>
          <w:tcPr>
            <w:tcW w:type="dxa" w:w="1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492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Health, auth rejection, bridge exception</w:t>
            </w:r>
          </w:p>
        </w:tc>
        <w:tc>
          <w:tcPr>
            <w:tcW w:type="dxa" w:w="134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Artifacts</w:t>
            </w:r>
          </w:p>
        </w:tc>
        <w:tc>
          <w:tcPr>
            <w:tcW w:type="dxa" w:w="1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492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Atomic files and aggregate issues</w:t>
            </w:r>
          </w:p>
        </w:tc>
        <w:tc>
          <w:tcPr>
            <w:tcW w:type="dxa" w:w="134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CLI</w:t>
            </w:r>
          </w:p>
        </w:tc>
        <w:tc>
          <w:tcPr>
            <w:tcW w:type="dxa" w:w="1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6</w:t>
            </w:r>
          </w:p>
        </w:tc>
        <w:tc>
          <w:tcPr>
            <w:tcW w:type="dxa" w:w="492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Routing, flags, error codes</w:t>
            </w:r>
          </w:p>
        </w:tc>
        <w:tc>
          <w:tcPr>
            <w:tcW w:type="dxa" w:w="134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Configuration</w:t>
            </w:r>
          </w:p>
        </w:tc>
        <w:tc>
          <w:tcPr>
            <w:tcW w:type="dxa" w:w="1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8</w:t>
            </w:r>
          </w:p>
        </w:tc>
        <w:tc>
          <w:tcPr>
            <w:tcW w:type="dxa" w:w="492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Credentials, E.164, destination, URLs</w:t>
            </w:r>
          </w:p>
        </w:tc>
        <w:tc>
          <w:tcPr>
            <w:tcW w:type="dxa" w:w="134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Media bridge</w:t>
            </w:r>
          </w:p>
        </w:tc>
        <w:tc>
          <w:tcPr>
            <w:tcW w:type="dxa" w:w="1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11</w:t>
            </w:r>
          </w:p>
        </w:tc>
        <w:tc>
          <w:tcPr>
            <w:tcW w:type="dxa" w:w="492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Protocol, media, events, cleanup</w:t>
            </w:r>
          </w:p>
        </w:tc>
        <w:tc>
          <w:tcPr>
            <w:tcW w:type="dxa" w:w="134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Structured QA</w:t>
            </w:r>
          </w:p>
        </w:tc>
        <w:tc>
          <w:tcPr>
            <w:tcW w:type="dxa" w:w="1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492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Diarization and response model</w:t>
            </w:r>
          </w:p>
        </w:tc>
        <w:tc>
          <w:tcPr>
            <w:tcW w:type="dxa" w:w="134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Runner</w:t>
            </w:r>
          </w:p>
        </w:tc>
        <w:tc>
          <w:tcPr>
            <w:tcW w:type="dxa" w:w="1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tcW w:type="dxa" w:w="492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Health, orchestration, failure evidence</w:t>
            </w:r>
          </w:p>
        </w:tc>
        <w:tc>
          <w:tcPr>
            <w:tcW w:type="dxa" w:w="134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Scenarios</w:t>
            </w:r>
          </w:p>
        </w:tc>
        <w:tc>
          <w:tcPr>
            <w:tcW w:type="dxa" w:w="1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7</w:t>
            </w:r>
          </w:p>
        </w:tc>
        <w:tc>
          <w:tcPr>
            <w:tcW w:type="dxa" w:w="492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Diversity, schema, prompt</w:t>
            </w:r>
          </w:p>
        </w:tc>
        <w:tc>
          <w:tcPr>
            <w:tcW w:type="dxa" w:w="134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Telephony</w:t>
            </w:r>
          </w:p>
        </w:tc>
        <w:tc>
          <w:tcPr>
            <w:tcW w:type="dxa" w:w="1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dxa" w:w="492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Call safety, polling, download</w:t>
            </w:r>
          </w:p>
        </w:tc>
        <w:tc>
          <w:tcPr>
            <w:tcW w:type="dxa" w:w="134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Transcript</w:t>
            </w:r>
          </w:p>
        </w:tc>
        <w:tc>
          <w:tcPr>
            <w:tcW w:type="dxa" w:w="1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492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Role conversion</w:t>
            </w:r>
          </w:p>
        </w:tc>
        <w:tc>
          <w:tcPr>
            <w:tcW w:type="dxa" w:w="134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Submission gate</w:t>
            </w:r>
          </w:p>
        </w:tc>
        <w:tc>
          <w:tcPr>
            <w:tcW w:type="dxa" w:w="1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492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Artifacts, consistency, secrets</w:t>
            </w:r>
          </w:p>
        </w:tc>
        <w:tc>
          <w:tcPr>
            <w:tcW w:type="dxa" w:w="134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30" w:line="276"/>
        <w:jc w:val="left"/>
      </w:pPr>
      <w:r>
        <w:rPr>
          <w:b w:val="false"/>
          <w:bCs w:val="false"/>
          <w:i w:val="false"/>
          <w:iCs w:val="false"/>
          <w:color w:val="1F2937"/>
          <w:sz w:val="21"/>
          <w:szCs w:val="21"/>
        </w:rPr>
        <w:t xml:space="preserve">Total test count: 54. Coverage uses branch measurement across the installed pgai_voicebot package and fails below 90%. The current measured total is 91.47%. Tests substitute deterministic fakes at paid network boundaries and use only placeholder credentials.</w:t>
      </w:r>
    </w:p>
    <w:p>
      <w:pPr>
        <w:pStyle w:val="Heading1"/>
        <w:spacing w:after="120" w:before="300"/>
      </w:pPr>
      <w:r>
        <w:t xml:space="preserve">Defect discovered during verification</w:t>
      </w:r>
    </w:p>
    <w:p>
      <w:pPr>
        <w:spacing w:after="130" w:line="276"/>
        <w:jc w:val="left"/>
      </w:pPr>
      <w:r>
        <w:rPr>
          <w:b w:val="false"/>
          <w:bCs w:val="false"/>
          <w:i w:val="false"/>
          <w:iCs w:val="false"/>
          <w:color w:val="1F2937"/>
          <w:sz w:val="21"/>
          <w:szCs w:val="21"/>
        </w:rPr>
        <w:t xml:space="preserve">The first strict-scenario test run found that unquoted ISO birth dates in YAML were parsed into date objects before reaching Pydantic, while synthetic_facts intentionally accepts bounded strings only. Nine scenarios failed validation. The correction quotes each ISO date explicitly, preserving the string contract. The complete 54-test suite then passed. This demonstrates that strict runtime validation caught silent type coercion at the configuration boundary.</w:t>
      </w:r>
    </w:p>
    <w:p>
      <w:pPr>
        <w:pStyle w:val="Heading1"/>
        <w:spacing w:after="120" w:before="300"/>
      </w:pPr>
      <w:r>
        <w:t xml:space="preserve">Security validation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Destination changes are rejected by configuration and telephony-layer tests.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A missing or invalid Twilio signature closes the Media Stream before allocating a Realtime session.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Malformed JSON, non-object frames, oversize frames, invalid base64, bad stream SIDs, and missing run context are rejected.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A source scan using Bandit reports zero findings after changing the local server default from all interfaces to 127.0.0.1; the Docker image explicitly opts into its container bind.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The dependency audit reports zero known vulnerabilities after upgrading the isolated environment's pip to 26.2.1.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The artifact gate scans OpenAI-key, Twilio-token, and private-key patterns and never reads .env into artifacts.</w:t>
      </w:r>
    </w:p>
    <w:p>
      <w:pPr>
        <w:pStyle w:val="Heading1"/>
        <w:spacing w:after="120" w:before="300"/>
      </w:pPr>
      <w:r>
        <w:t xml:space="preserve">Performance and complexity validation</w:t>
      </w:r>
    </w:p>
    <w:p>
      <w:pPr>
        <w:spacing w:after="130" w:line="276"/>
        <w:jc w:val="left"/>
      </w:pPr>
      <w:r>
        <w:rPr>
          <w:b w:val="false"/>
          <w:bCs w:val="false"/>
          <w:i w:val="false"/>
          <w:iCs w:val="false"/>
          <w:color w:val="1F2937"/>
          <w:sz w:val="21"/>
          <w:szCs w:val="21"/>
        </w:rPr>
        <w:t xml:space="preserve">The benchmark measures hash-indexed scenario lookup, bounded prompt construction, and increasing transcript-history conversion. It captures median and p95 wall time, process CPU, traced peak bytes, page-fault deltas where available, RSS context, and an empirical growth exponent. The expected hot-path bounds are O(1) average for lookup, O(total scenario text) for prompt construction, and O(items + characters) for transcript conversion. Hosted API latency and GPU usage are reported separately; no local GPU is allocated.</w:t>
      </w:r>
    </w:p>
    <w:p>
      <w:pPr>
        <w:spacing w:after="130" w:line="276"/>
        <w:jc w:val="left"/>
      </w:pPr>
      <w:r>
        <w:rPr>
          <w:b w:val="false"/>
          <w:bCs w:val="false"/>
          <w:i w:val="false"/>
          <w:iCs w:val="false"/>
          <w:color w:val="1F2937"/>
          <w:sz w:val="21"/>
          <w:szCs w:val="21"/>
        </w:rPr>
        <w:t xml:space="preserve">Radon analyzed 98 classes, functions, and methods with average cyclomatic complexity A (2.64). Every source file has maintainability grade A. The final refactor decomposes the earlier 20-branch submission validator into focused manifest, batch-invariant, per-call, and transcript checks.</w:t>
      </w:r>
    </w:p>
    <w:p>
      <w:pPr>
        <w:pStyle w:val="Heading1"/>
        <w:spacing w:after="120" w:before="300"/>
      </w:pPr>
      <w:r>
        <w:t xml:space="preserve">GitHub Actions</w:t>
      </w: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4210"/>
        <w:gridCol w:w="1750"/>
      </w:tblGrid>
      <w:tr>
        <w:trPr>
          <w:tblHeader/>
        </w:trPr>
        <w:tc>
          <w:tcPr>
            <w:tcW w:type="dxa" w:w="1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F6FEB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Workflow</w:t>
            </w:r>
          </w:p>
        </w:tc>
        <w:tc>
          <w:tcPr>
            <w:tcW w:type="dxa" w:w="19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F6FEB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Triggers</w:t>
            </w:r>
          </w:p>
        </w:tc>
        <w:tc>
          <w:tcPr>
            <w:tcW w:type="dxa" w:w="421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F6FEB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Checks</w:t>
            </w:r>
          </w:p>
        </w:tc>
        <w:tc>
          <w:tcPr>
            <w:tcW w:type="dxa" w:w="17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F6FEB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Reports</w:t>
            </w:r>
          </w:p>
        </w:tc>
      </w:tr>
      <w:tr>
        <w:tc>
          <w:tcPr>
            <w:tcW w:type="dxa" w:w="1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CI</w:t>
            </w:r>
          </w:p>
        </w:tc>
        <w:tc>
          <w:tcPr>
            <w:tcW w:type="dxa" w:w="19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Push, PR, manual</w:t>
            </w:r>
          </w:p>
        </w:tc>
        <w:tc>
          <w:tcPr>
            <w:tcW w:type="dxa" w:w="421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Ruff, format, mypy, Python 3.11–3.13 tests, package</w:t>
            </w:r>
          </w:p>
        </w:tc>
        <w:tc>
          <w:tcPr>
            <w:tcW w:type="dxa" w:w="17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Coverage XML + distributions</w:t>
            </w:r>
          </w:p>
        </w:tc>
      </w:tr>
      <w:tr>
        <w:tc>
          <w:tcPr>
            <w:tcW w:type="dxa" w:w="1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Security</w:t>
            </w:r>
          </w:p>
        </w:tc>
        <w:tc>
          <w:tcPr>
            <w:tcW w:type="dxa" w:w="19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Push, PR, weekly, manual</w:t>
            </w:r>
          </w:p>
        </w:tc>
        <w:tc>
          <w:tcPr>
            <w:tcW w:type="dxa" w:w="421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Bandit, pip-audit, secret tests, CodeQL, dependency review</w:t>
            </w:r>
          </w:p>
        </w:tc>
        <w:tc>
          <w:tcPr>
            <w:tcW w:type="dxa" w:w="17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Alerts and logs</w:t>
            </w:r>
          </w:p>
        </w:tc>
      </w:tr>
      <w:tr>
        <w:tc>
          <w:tcPr>
            <w:tcW w:type="dxa" w:w="1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19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Code change, weekly, manual</w:t>
            </w:r>
          </w:p>
        </w:tc>
        <w:tc>
          <w:tcPr>
            <w:tcW w:type="dxa" w:w="421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Runtime, CPU, memory, page faults, Big-O, Radon</w:t>
            </w:r>
          </w:p>
        </w:tc>
        <w:tc>
          <w:tcPr>
            <w:tcW w:type="dxa" w:w="17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Performance JSON</w:t>
            </w:r>
          </w:p>
        </w:tc>
      </w:tr>
      <w:tr>
        <w:tc>
          <w:tcPr>
            <w:tcW w:type="dxa" w:w="1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19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Docs change, manual</w:t>
            </w:r>
          </w:p>
        </w:tc>
        <w:tc>
          <w:tcPr>
            <w:tcW w:type="dxa" w:w="421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DOCX/XLSX structure, sheets, formulas, errors</w:t>
            </w:r>
          </w:p>
        </w:tc>
        <w:tc>
          <w:tcPr>
            <w:tcW w:type="dxa" w:w="17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Four reports</w:t>
            </w:r>
          </w:p>
        </w:tc>
      </w:tr>
      <w:tr>
        <w:tc>
          <w:tcPr>
            <w:tcW w:type="dxa" w:w="1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Live gate</w:t>
            </w:r>
          </w:p>
        </w:tc>
        <w:tc>
          <w:tcPr>
            <w:tcW w:type="dxa" w:w="19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Artifact change or manual</w:t>
            </w:r>
          </w:p>
        </w:tc>
        <w:tc>
          <w:tcPr>
            <w:tcW w:type="dxa" w:w="421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Ten real calls, scope, MP3, both-side transcript, secrets</w:t>
            </w:r>
          </w:p>
        </w:tc>
        <w:tc>
          <w:tcPr>
            <w:tcW w:type="dxa" w:w="17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Pass/fail summary</w:t>
            </w:r>
          </w:p>
        </w:tc>
      </w:tr>
    </w:tbl>
    <w:p>
      <w:pPr>
        <w:pStyle w:val="Heading1"/>
        <w:spacing w:after="120" w:before="300"/>
      </w:pPr>
      <w:r>
        <w:t xml:space="preserve">Live acceptance procedure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Provision a paid voice-capable Twilio number and an OpenAI project with Realtime/transcription access.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Configure secrets in .env only and expose the bridge over reviewed HTTPS/WSS.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Create the Athena test identity with synthetic data and the single caller number; do not call its confirmation number.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Place one smoke call, listen to both channels, inspect the transcript, verify metrics, and check actual cost.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If acceptable, run ten distinct scenarios sequentially. Each should last approximately one to three minutes.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Listen to all recordings, review both-side transcripts and issue evidence, then run pgai-voicebot validate --minimum-calls 10.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Commit only reviewed evidence, verify every Action is green, then record the walkthrough and real AI-debug video.</w:t>
      </w:r>
    </w:p>
    <w:p>
      <w:pPr>
        <w:pStyle w:val="Heading1"/>
        <w:spacing w:after="120" w:before="300"/>
      </w:pPr>
      <w:r>
        <w:t xml:space="preserve">Live gate criteria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00"/>
        <w:gridCol w:w="3540"/>
      </w:tblGrid>
      <w:tr>
        <w:trPr>
          <w:tblHeader/>
        </w:trPr>
        <w:tc>
          <w:tcPr>
            <w:tcW w:type="dxa" w:w="2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F6FEB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33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F6FEB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Automated check</w:t>
            </w:r>
          </w:p>
        </w:tc>
        <w:tc>
          <w:tcPr>
            <w:tcW w:type="dxa" w:w="354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F6FEB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Manual check</w:t>
            </w:r>
          </w:p>
        </w:tc>
      </w:tr>
      <w:tr>
        <w:tc>
          <w:tcPr>
            <w:tcW w:type="dxa" w:w="2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Ten distinct completed calls</w:t>
            </w:r>
          </w:p>
        </w:tc>
        <w:tc>
          <w:tcPr>
            <w:tcW w:type="dxa" w:w="33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Manifest count and scenario uniqueness</w:t>
            </w:r>
          </w:p>
        </w:tc>
        <w:tc>
          <w:tcPr>
            <w:tcW w:type="dxa" w:w="354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Confirm scenarios are meaningful</w:t>
            </w:r>
          </w:p>
        </w:tc>
      </w:tr>
      <w:tr>
        <w:tc>
          <w:tcPr>
            <w:tcW w:type="dxa" w:w="2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One caller / fixed destination</w:t>
            </w:r>
          </w:p>
        </w:tc>
        <w:tc>
          <w:tcPr>
            <w:tcW w:type="dxa" w:w="33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Exact E.164 consistency and +18054398008</w:t>
            </w:r>
          </w:p>
        </w:tc>
        <w:tc>
          <w:tcPr>
            <w:tcW w:type="dxa" w:w="354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Match Athena identity</w:t>
            </w:r>
          </w:p>
        </w:tc>
      </w:tr>
      <w:tr>
        <w:tc>
          <w:tcPr>
            <w:tcW w:type="dxa" w:w="2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MP3 evidence</w:t>
            </w:r>
          </w:p>
        </w:tc>
        <w:tc>
          <w:tcPr>
            <w:tcW w:type="dxa" w:w="33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File exists and plausible minimum size</w:t>
            </w:r>
          </w:p>
        </w:tc>
        <w:tc>
          <w:tcPr>
            <w:tcW w:type="dxa" w:w="354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Listen to both sides</w:t>
            </w:r>
          </w:p>
        </w:tc>
      </w:tr>
      <w:tr>
        <w:tc>
          <w:tcPr>
            <w:tcW w:type="dxa" w:w="2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Conversation completeness</w:t>
            </w:r>
          </w:p>
        </w:tc>
        <w:tc>
          <w:tcPr>
            <w:tcW w:type="dxa" w:w="33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At least four turns and both roles</w:t>
            </w:r>
          </w:p>
        </w:tc>
        <w:tc>
          <w:tcPr>
            <w:tcW w:type="dxa" w:w="354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Confirm approximately 1–3 min and natural end</w:t>
            </w:r>
          </w:p>
        </w:tc>
      </w:tr>
      <w:tr>
        <w:tc>
          <w:tcPr>
            <w:tcW w:type="dxa" w:w="2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No secrets</w:t>
            </w:r>
          </w:p>
        </w:tc>
        <w:tc>
          <w:tcPr>
            <w:tcW w:type="dxa" w:w="33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Pattern scan over reviewable text</w:t>
            </w:r>
          </w:p>
        </w:tc>
        <w:tc>
          <w:tcPr>
            <w:tcW w:type="dxa" w:w="354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Review audio/video/screens</w:t>
            </w:r>
          </w:p>
        </w:tc>
      </w:tr>
      <w:tr>
        <w:tc>
          <w:tcPr>
            <w:tcW w:type="dxa" w:w="2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Bug quality</w:t>
            </w:r>
          </w:p>
        </w:tc>
        <w:tc>
          <w:tcPr>
            <w:tcW w:type="dxa" w:w="33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Structured required fields</w:t>
            </w:r>
          </w:p>
        </w:tc>
        <w:tc>
          <w:tcPr>
            <w:tcW w:type="dxa" w:w="354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13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Verify each quote/timestamp against audio</w:t>
            </w:r>
          </w:p>
        </w:tc>
      </w:tr>
    </w:tbl>
    <w:p>
      <w:pPr>
        <w:pStyle w:val="Heading1"/>
        <w:spacing w:after="120" w:before="300"/>
      </w:pPr>
      <w:r>
        <w:t xml:space="preserve">Final status</w:t>
      </w:r>
    </w:p>
    <w:p>
      <w:pPr>
        <w:spacing w:after="130" w:line="276"/>
        <w:jc w:val="left"/>
      </w:pPr>
      <w:r>
        <w:rPr>
          <w:b w:val="false"/>
          <w:bCs w:val="false"/>
          <w:i w:val="false"/>
          <w:iCs w:val="false"/>
          <w:color w:val="1F2937"/>
          <w:sz w:val="21"/>
          <w:szCs w:val="21"/>
        </w:rPr>
        <w:t xml:space="preserve">Software verification status: PASS. Document structure status: PASS after package and render inspection. Live challenge evidence status: PENDING. This distinction prevents accidental or misleading submission of generated, mocked, or incomplete evidence.</w:t>
      </w:r>
    </w:p>
    <w:sectPr>
      <w:footerReference w:type="default" r:id="rId7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573"/>
        <w:sz w:val="17"/>
        <w:szCs w:val="17"/>
      </w:rPr>
      <w:t xml:space="preserve">Pretty Good AI Challenge  •  Jason Stys  •  Page </w:t>
    </w:r>
    <w:r>
      <w:rPr>
        <w:color w:val="5B6573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ptos Display" w:cs="Aptos Display" w:eastAsia="Aptos Display" w:hAnsi="Aptos Display"/>
      <w:b/>
      <w:bCs/>
      <w:color w:val="15253D"/>
      <w:sz w:val="31"/>
      <w:szCs w:val="31"/>
    </w:rPr>
  </w:style>
  <w:style w:type="paragraph" w:styleId="Heading2">
    <w:name w:val="Heading 2"/>
    <w:basedOn w:val="Normal"/>
    <w:next w:val="Normal"/>
    <w:qFormat/>
    <w:rPr>
      <w:rFonts w:ascii="Aptos Display" w:cs="Aptos Display" w:eastAsia="Aptos Display" w:hAnsi="Aptos Display"/>
      <w:b/>
      <w:bCs/>
      <w:color w:val="0E7490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Pretty Good AI Challenge — Test and Validation Report</dc:title>
  <dc:creator>Jason Stys</dc:creator>
  <dc:description>Correctness, security, performance, documentation, and live-readiness verification.</dc:description>
  <cp:lastModifiedBy>Un-named</cp:lastModifiedBy>
  <cp:revision>1</cp:revision>
  <dcterms:created xsi:type="dcterms:W3CDTF">2026-08-14T22:17:49.762Z</dcterms:created>
  <dcterms:modified xsi:type="dcterms:W3CDTF">2026-08-14T22:17:49.762Z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