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710a4a914a8adcf19cd9afbc267c7f8ecbc54ea"/>
    <w:p>
      <w:pPr>
        <w:pStyle w:val="Heading5"/>
      </w:pPr>
      <w:r>
        <w:t xml:space="preserve">AI-Fluent Frontend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Python · Markdown · Shell · SCSS · Sass · JQuery</w:t>
            </w:r>
          </w:p>
        </w:tc>
      </w:tr>
      <w:tr>
        <w:tc>
          <w:tcPr/>
          <w:p>
            <w:pPr>
              <w:pStyle w:val="Compact"/>
            </w:pPr>
            <w:r>
              <w:rPr>
                <w:b/>
                <w:bCs/>
              </w:rPr>
              <w:t xml:space="preserve">Technologies</w:t>
            </w:r>
            <w:r>
              <w:t xml:space="preserve">:</w:t>
            </w:r>
          </w:p>
        </w:tc>
        <w:tc>
          <w:tcPr/>
          <w:p>
            <w:pPr>
              <w:pStyle w:val="Compact"/>
              <w:jc w:val="center"/>
            </w:pPr>
            <w:r>
              <w:t xml:space="preserve">NextJS • Crew AI • MCP Servers • Tailwind · Git • React • React-Native · Docker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 Worked with</w:t>
      </w:r>
      <w:r>
        <w:t xml:space="preserve"> </w:t>
      </w:r>
      <w:r>
        <w:rPr>
          <w:i/>
          <w:iCs/>
        </w:rPr>
        <w:t xml:space="preserve">NextJS</w:t>
      </w:r>
      <w:r>
        <w:t xml:space="preserve">,</w:t>
      </w:r>
      <w:r>
        <w:t xml:space="preserve"> </w:t>
      </w:r>
      <w:r>
        <w:rPr>
          <w:i/>
          <w:iCs/>
        </w:rPr>
        <w:t xml:space="preserve">Typescript</w:t>
      </w:r>
      <w:r>
        <w:t xml:space="preserve"> </w:t>
      </w:r>
      <w:r>
        <w:t xml:space="preserve">and</w:t>
      </w:r>
      <w:r>
        <w:t xml:space="preserve"> </w:t>
      </w:r>
      <w:r>
        <w:rPr>
          <w:i/>
          <w:iCs/>
        </w:rPr>
        <w:t xml:space="preserve">Tailwind</w:t>
      </w:r>
      <w:r>
        <w:t xml:space="preserve"> </w:t>
      </w:r>
      <w:r>
        <w:t xml:space="preserve">on the Caffeine AI Team.</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NextJS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Javascript, Typescript, development, NextJS, React, AI, CrewAI, documentation</cp:keywords>
  <dcterms:created xsi:type="dcterms:W3CDTF">2025-09-19T23:23:32Z</dcterms:created>
  <dcterms:modified xsi:type="dcterms:W3CDTF">2025-09-19T23:23:32Z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AI-Fluent Frontend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