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5dcn2fh0i1t9" w:id="0"/>
      <w:bookmarkEnd w:id="0"/>
      <w:r w:rsidDel="00000000" w:rsidR="00000000" w:rsidRPr="00000000">
        <w:rPr>
          <w:b w:val="1"/>
          <w:rtl w:val="0"/>
        </w:rPr>
        <w:t xml:space="preserve">Low‑Level Technical Specification: Security</w:t>
        <w:br w:type="textWrapping"/>
      </w:r>
      <w:r w:rsidDel="00000000" w:rsidR="00000000" w:rsidRPr="00000000">
        <w:rPr>
          <w:rtl w:val="0"/>
        </w:rPr>
        <w:t xml:space="preserve"> Includes network, application, data, and operational security controls with illustrative Mermaid.js diagrams.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71lrqwxii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Network Security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TLS Everywhere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Enforce HTTPS/TLS 1.2+ on all ingress points (API, WebSocket, Frontend, Keycloak).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Let’s Encrypt for automatic certificate issuance and renewal (Cert‑Manager on Kubernetes or Certbot on NGINX).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Ingress/Egress Controls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Kubernetes NetworkPolicies or Security Groups to restrict inbound traffic to: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Ports 80/443 (ingress) to frontend/API load balancer.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Port 6379 (Redis) only from backend pods.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PostgreSQL port 5432 only from app server pods or pgbouncer.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WAF (Optional)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OWASP CRS–enabled ModSecurity in front of API.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okkgyy25m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Authentication &amp; Authorization Security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Validation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signature using JWKS endpoint from Keycloak.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</w:t>
      </w:r>
      <w:r w:rsidDel="00000000" w:rsidR="00000000" w:rsidRPr="00000000">
        <w:rPr>
          <w:rtl w:val="0"/>
        </w:rPr>
        <w:t xml:space="preserve">, and expire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</w:t>
      </w:r>
      <w:r w:rsidDel="00000000" w:rsidR="00000000" w:rsidRPr="00000000">
        <w:rPr>
          <w:rtl w:val="0"/>
        </w:rPr>
        <w:t xml:space="preserve">) claims.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Checks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requireRole()</w:t>
      </w:r>
      <w:r w:rsidDel="00000000" w:rsidR="00000000" w:rsidRPr="00000000">
        <w:rPr>
          <w:rtl w:val="0"/>
        </w:rPr>
        <w:t xml:space="preserve"> middleware for each API route.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 Management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JWKS URI, JWT public keys,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JWT_SECRET</w:t>
      </w:r>
      <w:r w:rsidDel="00000000" w:rsidR="00000000" w:rsidRPr="00000000">
        <w:rPr>
          <w:rtl w:val="0"/>
        </w:rPr>
        <w:t xml:space="preserve">, Keycloak client secrets in Kubernetes Secrets or Vault.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PKCE &amp; OIDC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Enforce Proof Key for Code Exchange on public clients.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fr555xl9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Data Security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at Rest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PostgreSQL: 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pgcrypto</w:t>
      </w:r>
      <w:r w:rsidDel="00000000" w:rsidR="00000000" w:rsidRPr="00000000">
        <w:rPr>
          <w:rtl w:val="0"/>
        </w:rPr>
        <w:t xml:space="preserve"> or TDE for sensitive columns (emails, secrets).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Redis: enable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rdb-encryption</w:t>
      </w:r>
      <w:r w:rsidDel="00000000" w:rsidR="00000000" w:rsidRPr="00000000">
        <w:rPr>
          <w:rtl w:val="0"/>
        </w:rPr>
        <w:t xml:space="preserve"> or run in a private network only.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in Transit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TLS for all intra‑cluster communication (mTLS via service mesh, e.g. Istio, optional).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Hardening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separate DB roles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app_readwrite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app_readonly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 remote login.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vwlq640nf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Application Security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 &amp; Sanitization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all REST/WS payloads with Joi/Zod.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Sanitize text fields to prevent injection (e.g., HTML escape in comments).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OWASP Top 10 Protections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XSS</w:t>
      </w:r>
      <w:r w:rsidDel="00000000" w:rsidR="00000000" w:rsidRPr="00000000">
        <w:rPr>
          <w:rtl w:val="0"/>
        </w:rPr>
        <w:t xml:space="preserve">: Content Security Policy; escape user input.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CSRF</w:t>
      </w:r>
      <w:r w:rsidDel="00000000" w:rsidR="00000000" w:rsidRPr="00000000">
        <w:rPr>
          <w:rtl w:val="0"/>
        </w:rPr>
        <w:t xml:space="preserve">: stateless API, JWT in header; no cookies.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Injection</w:t>
      </w:r>
      <w:r w:rsidDel="00000000" w:rsidR="00000000" w:rsidRPr="00000000">
        <w:rPr>
          <w:rtl w:val="0"/>
        </w:rPr>
        <w:t xml:space="preserve">: use parameterized queries (ORM/Knex).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Headers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X-Frame-Options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X-Content-Type-Options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f7026aqab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Container &amp; CI/CD Security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 Hardening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minimal base images (e.g., Alpine).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processes as non‑root user.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Scan images with Trivy in CI pipeline.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Pipeline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 signed commits or PR approvals.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vulnerability scanning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snyk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only on passing all security gates.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f1f3csi6n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Secrets Management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Secrets</w:t>
      </w:r>
      <w:r w:rsidDel="00000000" w:rsidR="00000000" w:rsidRPr="00000000">
        <w:rPr>
          <w:rtl w:val="0"/>
        </w:rPr>
        <w:t xml:space="preserve"> or HashiCorp Vault for: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passwords, OAuth client secrets, JWT keys, Redis passwords.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 Rotation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Rotate every 90 days; automate via Vault dynamic secrets (if Vault used).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herm1ftf3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Logging &amp; Monitoring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security-relevant events: login, logout, token refresh, failed auth attempts, permission denials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audit_logs</w:t>
      </w:r>
      <w:r w:rsidDel="00000000" w:rsidR="00000000" w:rsidRPr="00000000">
        <w:rPr>
          <w:rtl w:val="0"/>
        </w:rPr>
        <w:t xml:space="preserve"> in DB.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Logs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Fluentd/Promtail to ship logs to Loki or ELK.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Alerting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Prometheus Alertmanager rules for:</w:t>
        <w:br w:type="textWrapping"/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403</w:t>
      </w:r>
      <w:r w:rsidDel="00000000" w:rsidR="00000000" w:rsidRPr="00000000">
        <w:rPr>
          <w:rtl w:val="0"/>
        </w:rPr>
        <w:t xml:space="preserve"> rates.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Suspicious number of failed login attempts.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rkielbtux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Incident Response &amp; Recovery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WAF Blocking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block on detected OWASP CRS rules.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Gateway rate limits (e.g., 100 requests/min per IP).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 &amp; Graceful Degradation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Read-only mode if write DB unreachable; queue writes in Redis for replay.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Forensics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Retain logs for 90 days; enable audit trail in DB.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aa7wq66m0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Diagram: Security Event Flow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End of Security Specification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