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CSRN Baseball/Softball Rules – Verification Checklist</w:t>
      </w:r>
    </w:p>
    <w:p>
      <w:pPr>
        <w:spacing w:after="60"/>
      </w:pPr>
      <w:r>
        <w:rPr>
          <w:i/>
          <w:iCs/>
          <w:color w:val="555555"/>
          <w:sz w:val="20"/>
          <w:szCs w:val="20"/>
        </w:rPr>
        <w:t xml:space="preserve">Companion to CSRN_NFHS_Baseball_Softball_Rules_Engine_Spec_2026.docx</w:t>
      </w:r>
    </w:p>
    <w:p>
      <w:pPr>
        <w:spacing w:after="300"/>
      </w:pPr>
      <w:r>
        <w:rPr>
          <w:i/>
          <w:iCs/>
          <w:color w:val="555555"/>
          <w:sz w:val="18"/>
          <w:szCs w:val="18"/>
        </w:rPr>
        <w:t xml:space="preserve">Prepared September 2026 – for verification against the licensed NFHS Baseball/Softball Rules Books and the current MHSAA handbook.</w:t>
      </w:r>
    </w:p>
    <w:p>
      <w:pPr>
        <w:spacing w:after="160"/>
      </w:pPr>
      <w:r>
        <w:rPr>
          <w:sz w:val="20"/>
          <w:szCs w:val="20"/>
        </w:rPr>
        <w:t xml:space="preserve">Every value below came from public NFHS interpretation pages or the MHSAA 2026-27 handbook PDF, not the licensed rulebook itself. The engine build is blocked on P6 until these are confirmed (or corrected) against the real books. Fill in the "Verified?" and "Correct value / notes" columns as you go – the values entered here become the ruleset’s authorityRef citations.</w:t>
      </w:r>
    </w:p>
    <w:p>
      <w:pPr>
        <w:spacing w:after="200"/>
      </w:pPr>
      <w:r>
        <w:rPr>
          <w:i/>
          <w:iCs/>
          <w:color w:val="555555"/>
          <w:sz w:val="18"/>
          <w:szCs w:val="18"/>
        </w:rPr>
        <w:t xml:space="preserve">Rows marked "Gap – not sourced" are places the spec did not give a value at all, not places it gave a value that might be wrong – confirm whether the rule exists before confirming a number.</w:t>
      </w:r>
    </w:p>
    <w:p>
      <w:pPr>
        <w:pStyle w:val="Heading2"/>
        <w:spacing w:after="120" w:before="260"/>
      </w:pPr>
      <w:r>
        <w:t xml:space="preserve">1. Game length and extra innings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500"/>
        <w:gridCol w:w="900"/>
        <w:gridCol w:w="2560"/>
      </w:tblGrid>
      <w:tr>
        <w:trPr>
          <w:tblHeader/>
        </w:trPr>
        <w:tc>
          <w:tcPr>
            <w:tcW w:type="dxa" w:w="2000"/>
            <w:shd w:fill="D9E2F3" w:val="clear"/>
          </w:tcPr>
          <w:p>
            <w:r>
              <w:rPr>
                <w:b/>
                <w:bCs/>
                <w:sz w:val="18"/>
                <w:szCs w:val="18"/>
              </w:rPr>
              <w:t xml:space="preserve">Field</w:t>
            </w:r>
          </w:p>
        </w:tc>
        <w:tc>
          <w:tcPr>
            <w:tcW w:type="dxa" w:w="2400"/>
            <w:shd w:fill="D9E2F3" w:val="clear"/>
          </w:tcPr>
          <w:p>
            <w:r>
              <w:rPr>
                <w:b/>
                <w:bCs/>
                <w:sz w:val="18"/>
                <w:szCs w:val="18"/>
              </w:rPr>
              <w:t xml:space="preserve">Current draft value (from spec)</w:t>
            </w:r>
          </w:p>
        </w:tc>
        <w:tc>
          <w:tcPr>
            <w:tcW w:type="dxa" w:w="1500"/>
            <w:shd w:fill="D9E2F3" w:val="clear"/>
          </w:tcPr>
          <w:p>
            <w:r>
              <w:rPr>
                <w:b/>
                <w:bCs/>
                <w:sz w:val="18"/>
                <w:szCs w:val="18"/>
              </w:rPr>
              <w:t xml:space="preserve">Source cited in spec</w:t>
            </w:r>
          </w:p>
        </w:tc>
        <w:tc>
          <w:tcPr>
            <w:tcW w:type="dxa" w:w="900"/>
            <w:shd w:fill="D9E2F3" w:val="clear"/>
          </w:tcPr>
          <w:p>
            <w:r>
              <w:rPr>
                <w:b/>
                <w:bCs/>
                <w:sz w:val="18"/>
                <w:szCs w:val="18"/>
              </w:rPr>
              <w:t xml:space="preserve">Verified?</w:t>
            </w:r>
          </w:p>
        </w:tc>
        <w:tc>
          <w:tcPr>
            <w:tcW w:type="dxa" w:w="2560"/>
            <w:shd w:fill="D9E2F3" w:val="clear"/>
          </w:tcPr>
          <w:p>
            <w:r>
              <w:rPr>
                <w:b/>
                <w:bCs/>
                <w:sz w:val="18"/>
                <w:szCs w:val="18"/>
              </w:rPr>
              <w:t xml:space="preserve">Correct value / notes</w:t>
            </w:r>
          </w:p>
        </w:tc>
      </w:tr>
      <w:tr>
        <w:tc>
          <w:tcPr>
            <w:tcW w:type="dxa" w:w="2000"/>
          </w:tcPr>
          <w:p>
            <w:r>
              <w:rPr>
                <w:b w:val="false"/>
                <w:bCs w:val="false"/>
                <w:sz w:val="18"/>
                <w:szCs w:val="18"/>
              </w:rPr>
              <w:t xml:space="preserve">Baseball scheduled innings (varsity)</w:t>
            </w:r>
          </w:p>
        </w:tc>
        <w:tc>
          <w:tcPr>
            <w:tcW w:type="dxa" w:w="2400"/>
          </w:tcPr>
          <w:p>
            <w:r>
              <w:rPr>
                <w:b w:val="false"/>
                <w:bCs w:val="false"/>
                <w:sz w:val="18"/>
                <w:szCs w:val="18"/>
              </w:rPr>
              <w:t xml:space="preserve">7</w:t>
            </w:r>
          </w:p>
        </w:tc>
        <w:tc>
          <w:tcPr>
            <w:tcW w:type="dxa" w:w="1500"/>
          </w:tcPr>
          <w:p>
            <w:r>
              <w:rPr>
                <w:b w:val="false"/>
                <w:bCs w:val="false"/>
                <w:sz w:val="18"/>
                <w:szCs w:val="18"/>
              </w:rPr>
              <w:t xml:space="preserve">General NFHS baseline</w:t>
            </w:r>
          </w:p>
        </w:tc>
        <w:tc>
          <w:tcPr>
            <w:tcW w:type="dxa" w:w="900"/>
          </w:tcPr>
          <w:p>
            <w:r>
              <w:rPr>
                <w:b w:val="false"/>
                <w:bCs w:val="false"/>
                <w:sz w:val="18"/>
                <w:szCs w:val="18"/>
              </w:rPr>
              <w:t xml:space="preserve"/>
            </w:r>
          </w:p>
        </w:tc>
        <w:tc>
          <w:tcPr>
            <w:tcW w:type="dxa" w:w="2560"/>
          </w:tcPr>
          <w:p>
            <w:r>
              <w:rPr>
                <w:b w:val="false"/>
                <w:bCs w:val="false"/>
                <w:sz w:val="18"/>
                <w:szCs w:val="18"/>
              </w:rPr>
              <w:t xml:space="preserve"/>
            </w:r>
          </w:p>
        </w:tc>
      </w:tr>
      <w:tr>
        <w:tc>
          <w:tcPr>
            <w:tcW w:type="dxa" w:w="2000"/>
          </w:tcPr>
          <w:p>
            <w:r>
              <w:rPr>
                <w:b w:val="false"/>
                <w:bCs w:val="false"/>
                <w:sz w:val="18"/>
                <w:szCs w:val="18"/>
              </w:rPr>
              <w:t xml:space="preserve">Baseball extra innings procedure</w:t>
            </w:r>
          </w:p>
        </w:tc>
        <w:tc>
          <w:tcPr>
            <w:tcW w:type="dxa" w:w="2400"/>
          </w:tcPr>
          <w:p>
            <w:r>
              <w:rPr>
                <w:b w:val="false"/>
                <w:bCs w:val="false"/>
                <w:sz w:val="18"/>
                <w:szCs w:val="18"/>
              </w:rPr>
              <w:t xml:space="preserve">Continue when tied; no tiebreaker unless a specific event/tournament overrides</w:t>
            </w:r>
          </w:p>
        </w:tc>
        <w:tc>
          <w:tcPr>
            <w:tcW w:type="dxa" w:w="1500"/>
          </w:tcPr>
          <w:p>
            <w:r>
              <w:rPr>
                <w:b w:val="false"/>
                <w:bCs w:val="false"/>
                <w:sz w:val="18"/>
                <w:szCs w:val="18"/>
              </w:rPr>
              <w:t xml:space="preserve">Spec §17.1 ("extraInnings")</w:t>
            </w:r>
          </w:p>
        </w:tc>
        <w:tc>
          <w:tcPr>
            <w:tcW w:type="dxa" w:w="900"/>
          </w:tcPr>
          <w:p>
            <w:r>
              <w:rPr>
                <w:b w:val="false"/>
                <w:bCs w:val="false"/>
                <w:sz w:val="18"/>
                <w:szCs w:val="18"/>
              </w:rPr>
              <w:t xml:space="preserve"/>
            </w:r>
          </w:p>
        </w:tc>
        <w:tc>
          <w:tcPr>
            <w:tcW w:type="dxa" w:w="2560"/>
          </w:tcPr>
          <w:p>
            <w:r>
              <w:rPr>
                <w:b w:val="false"/>
                <w:bCs w:val="false"/>
                <w:sz w:val="18"/>
                <w:szCs w:val="18"/>
              </w:rPr>
              <w:t xml:space="preserve"/>
            </w:r>
          </w:p>
        </w:tc>
      </w:tr>
      <w:tr>
        <w:tc>
          <w:tcPr>
            <w:tcW w:type="dxa" w:w="2000"/>
          </w:tcPr>
          <w:p>
            <w:r>
              <w:rPr>
                <w:b w:val="false"/>
                <w:bCs w:val="false"/>
                <w:sz w:val="18"/>
                <w:szCs w:val="18"/>
              </w:rPr>
              <w:t xml:space="preserve">Softball scheduled innings (varsity)</w:t>
            </w:r>
          </w:p>
        </w:tc>
        <w:tc>
          <w:tcPr>
            <w:tcW w:type="dxa" w:w="2400"/>
          </w:tcPr>
          <w:p>
            <w:r>
              <w:rPr>
                <w:b w:val="false"/>
                <w:bCs w:val="false"/>
                <w:sz w:val="18"/>
                <w:szCs w:val="18"/>
              </w:rPr>
              <w:t xml:space="preserve">7</w:t>
            </w:r>
          </w:p>
        </w:tc>
        <w:tc>
          <w:tcPr>
            <w:tcW w:type="dxa" w:w="1500"/>
          </w:tcPr>
          <w:p>
            <w:r>
              <w:rPr>
                <w:b w:val="false"/>
                <w:bCs w:val="false"/>
                <w:sz w:val="18"/>
                <w:szCs w:val="18"/>
              </w:rPr>
              <w:t xml:space="preserve">General NFHS baseline</w:t>
            </w:r>
          </w:p>
        </w:tc>
        <w:tc>
          <w:tcPr>
            <w:tcW w:type="dxa" w:w="900"/>
          </w:tcPr>
          <w:p>
            <w:r>
              <w:rPr>
                <w:b w:val="false"/>
                <w:bCs w:val="false"/>
                <w:sz w:val="18"/>
                <w:szCs w:val="18"/>
              </w:rPr>
              <w:t xml:space="preserve"/>
            </w:r>
          </w:p>
        </w:tc>
        <w:tc>
          <w:tcPr>
            <w:tcW w:type="dxa" w:w="2560"/>
          </w:tcPr>
          <w:p>
            <w:r>
              <w:rPr>
                <w:b w:val="false"/>
                <w:bCs w:val="false"/>
                <w:sz w:val="18"/>
                <w:szCs w:val="18"/>
              </w:rPr>
              <w:t xml:space="preserve"/>
            </w:r>
          </w:p>
        </w:tc>
      </w:tr>
      <w:tr>
        <w:tc>
          <w:tcPr>
            <w:tcW w:type="dxa" w:w="2000"/>
          </w:tcPr>
          <w:p>
            <w:r>
              <w:rPr>
                <w:b w:val="false"/>
                <w:bCs w:val="false"/>
                <w:sz w:val="18"/>
                <w:szCs w:val="18"/>
              </w:rPr>
              <w:t xml:space="preserve">Softball international tiebreaker – starting inning</w:t>
            </w:r>
          </w:p>
        </w:tc>
        <w:tc>
          <w:tcPr>
            <w:tcW w:type="dxa" w:w="2400"/>
          </w:tcPr>
          <w:p>
            <w:r>
              <w:rPr>
                <w:b w:val="false"/>
                <w:bCs w:val="false"/>
                <w:sz w:val="18"/>
                <w:szCs w:val="18"/>
              </w:rPr>
              <w:t xml:space="preserve">NOT stated explicitly in spec; assumed 8th (first extra inning) based on national NFHS practice</w:t>
            </w:r>
          </w:p>
        </w:tc>
        <w:tc>
          <w:tcPr>
            <w:tcW w:type="dxa" w:w="1500"/>
          </w:tcPr>
          <w:p>
            <w:r>
              <w:rPr>
                <w:b w:val="false"/>
                <w:bCs w:val="false"/>
                <w:sz w:val="18"/>
                <w:szCs w:val="18"/>
              </w:rPr>
              <w:t xml:space="preserve">Inferred, not sourced</w:t>
            </w:r>
          </w:p>
        </w:tc>
        <w:tc>
          <w:tcPr>
            <w:tcW w:type="dxa" w:w="900"/>
          </w:tcPr>
          <w:p>
            <w:r>
              <w:rPr>
                <w:b w:val="false"/>
                <w:bCs w:val="false"/>
                <w:sz w:val="18"/>
                <w:szCs w:val="18"/>
              </w:rPr>
              <w:t xml:space="preserve"/>
            </w:r>
          </w:p>
        </w:tc>
        <w:tc>
          <w:tcPr>
            <w:tcW w:type="dxa" w:w="2560"/>
          </w:tcPr>
          <w:p>
            <w:r>
              <w:rPr>
                <w:b w:val="false"/>
                <w:bCs w:val="false"/>
                <w:sz w:val="18"/>
                <w:szCs w:val="18"/>
              </w:rPr>
              <w:t xml:space="preserve"/>
            </w:r>
          </w:p>
        </w:tc>
      </w:tr>
      <w:tr>
        <w:tc>
          <w:tcPr>
            <w:tcW w:type="dxa" w:w="2000"/>
          </w:tcPr>
          <w:p>
            <w:r>
              <w:rPr>
                <w:b w:val="false"/>
                <w:bCs w:val="false"/>
                <w:sz w:val="18"/>
                <w:szCs w:val="18"/>
              </w:rPr>
              <w:t xml:space="preserve">JV baseball time/inning limit</w:t>
            </w:r>
          </w:p>
        </w:tc>
        <w:tc>
          <w:tcPr>
            <w:tcW w:type="dxa" w:w="2400"/>
          </w:tcPr>
          <w:p>
            <w:r>
              <w:rPr>
                <w:b w:val="false"/>
                <w:bCs w:val="false"/>
                <w:sz w:val="18"/>
                <w:szCs w:val="18"/>
              </w:rPr>
              <w:t xml:space="preserve">1.5 hours or 5 innings, whichever comes first</w:t>
            </w:r>
          </w:p>
        </w:tc>
        <w:tc>
          <w:tcPr>
            <w:tcW w:type="dxa" w:w="1500"/>
          </w:tcPr>
          <w:p>
            <w:r>
              <w:rPr>
                <w:b w:val="false"/>
                <w:bCs w:val="false"/>
                <w:sz w:val="18"/>
                <w:szCs w:val="18"/>
              </w:rPr>
              <w:t xml:space="preserve">Spec §17.1, "MHSAA handbook"</w:t>
            </w:r>
          </w:p>
        </w:tc>
        <w:tc>
          <w:tcPr>
            <w:tcW w:type="dxa" w:w="900"/>
          </w:tcPr>
          <w:p>
            <w:r>
              <w:rPr>
                <w:b w:val="false"/>
                <w:bCs w:val="false"/>
                <w:sz w:val="18"/>
                <w:szCs w:val="18"/>
              </w:rPr>
              <w:t xml:space="preserve"/>
            </w:r>
          </w:p>
        </w:tc>
        <w:tc>
          <w:tcPr>
            <w:tcW w:type="dxa" w:w="2560"/>
          </w:tcPr>
          <w:p>
            <w:r>
              <w:rPr>
                <w:b w:val="false"/>
                <w:bCs w:val="false"/>
                <w:sz w:val="18"/>
                <w:szCs w:val="18"/>
              </w:rPr>
              <w:t xml:space="preserve"/>
            </w:r>
          </w:p>
        </w:tc>
      </w:tr>
      <w:tr>
        <w:tc>
          <w:tcPr>
            <w:tcW w:type="dxa" w:w="2000"/>
          </w:tcPr>
          <w:p>
            <w:r>
              <w:rPr>
                <w:b w:val="false"/>
                <w:bCs w:val="false"/>
                <w:sz w:val="18"/>
                <w:szCs w:val="18"/>
              </w:rPr>
              <w:t xml:space="preserve">JV softball time/inning limit</w:t>
            </w:r>
          </w:p>
        </w:tc>
        <w:tc>
          <w:tcPr>
            <w:tcW w:type="dxa" w:w="2400"/>
          </w:tcPr>
          <w:p>
            <w:r>
              <w:rPr>
                <w:b w:val="false"/>
                <w:bCs w:val="false"/>
                <w:sz w:val="18"/>
                <w:szCs w:val="18"/>
              </w:rPr>
              <w:t xml:space="preserve">NOT addressed in spec – does one exist?</w:t>
            </w:r>
          </w:p>
        </w:tc>
        <w:tc>
          <w:tcPr>
            <w:tcW w:type="dxa" w:w="1500"/>
          </w:tcPr>
          <w:p>
            <w:r>
              <w:rPr>
                <w:b w:val="false"/>
                <w:bCs w:val="false"/>
                <w:sz w:val="18"/>
                <w:szCs w:val="18"/>
              </w:rPr>
              <w:t xml:space="preserve">Gap – not sourced</w:t>
            </w:r>
          </w:p>
        </w:tc>
        <w:tc>
          <w:tcPr>
            <w:tcW w:type="dxa" w:w="900"/>
          </w:tcPr>
          <w:p>
            <w:r>
              <w:rPr>
                <w:b w:val="false"/>
                <w:bCs w:val="false"/>
                <w:sz w:val="18"/>
                <w:szCs w:val="18"/>
              </w:rPr>
              <w:t xml:space="preserve"/>
            </w:r>
          </w:p>
        </w:tc>
        <w:tc>
          <w:tcPr>
            <w:tcW w:type="dxa" w:w="2560"/>
          </w:tcPr>
          <w:p>
            <w:r>
              <w:rPr>
                <w:b w:val="false"/>
                <w:bCs w:val="false"/>
                <w:sz w:val="18"/>
                <w:szCs w:val="18"/>
              </w:rPr>
              <w:t xml:space="preserve"/>
            </w:r>
          </w:p>
        </w:tc>
      </w:tr>
      <w:tr>
        <w:tc>
          <w:tcPr>
            <w:tcW w:type="dxa" w:w="2000"/>
          </w:tcPr>
          <w:p>
            <w:r>
              <w:rPr>
                <w:b w:val="false"/>
                <w:bCs w:val="false"/>
                <w:sz w:val="18"/>
                <w:szCs w:val="18"/>
              </w:rPr>
              <w:t xml:space="preserve">Suspended-game restart procedure (baseball)</w:t>
            </w:r>
          </w:p>
        </w:tc>
        <w:tc>
          <w:tcPr>
            <w:tcW w:type="dxa" w:w="2400"/>
          </w:tcPr>
          <w:p>
            <w:r>
              <w:rPr>
                <w:b w:val="false"/>
                <w:bCs w:val="false"/>
                <w:sz w:val="18"/>
                <w:szCs w:val="18"/>
              </w:rPr>
              <w:t xml:space="preserve">"Preserve and continue from point of suspension" – exact procedure not detailed</w:t>
            </w:r>
          </w:p>
        </w:tc>
        <w:tc>
          <w:tcPr>
            <w:tcW w:type="dxa" w:w="1500"/>
          </w:tcPr>
          <w:p>
            <w:r>
              <w:rPr>
                <w:b w:val="false"/>
                <w:bCs w:val="false"/>
                <w:sz w:val="18"/>
                <w:szCs w:val="18"/>
              </w:rPr>
              <w:t xml:space="preserve">Spec §17.1, "MHSAA/NFHS cited procedure"</w:t>
            </w:r>
          </w:p>
        </w:tc>
        <w:tc>
          <w:tcPr>
            <w:tcW w:type="dxa" w:w="900"/>
          </w:tcPr>
          <w:p>
            <w:r>
              <w:rPr>
                <w:b w:val="false"/>
                <w:bCs w:val="false"/>
                <w:sz w:val="18"/>
                <w:szCs w:val="18"/>
              </w:rPr>
              <w:t xml:space="preserve"/>
            </w:r>
          </w:p>
        </w:tc>
        <w:tc>
          <w:tcPr>
            <w:tcW w:type="dxa" w:w="2560"/>
          </w:tcPr>
          <w:p>
            <w:r>
              <w:rPr>
                <w:b w:val="false"/>
                <w:bCs w:val="false"/>
                <w:sz w:val="18"/>
                <w:szCs w:val="18"/>
              </w:rPr>
              <w:t xml:space="preserve"/>
            </w:r>
          </w:p>
        </w:tc>
      </w:tr>
      <w:tr>
        <w:tc>
          <w:tcPr>
            <w:tcW w:type="dxa" w:w="2000"/>
          </w:tcPr>
          <w:p>
            <w:r>
              <w:rPr>
                <w:b w:val="false"/>
                <w:bCs w:val="false"/>
                <w:sz w:val="18"/>
                <w:szCs w:val="18"/>
              </w:rPr>
              <w:t xml:space="preserve">Suspended-game restart procedure (softball)</w:t>
            </w:r>
          </w:p>
        </w:tc>
        <w:tc>
          <w:tcPr>
            <w:tcW w:type="dxa" w:w="2400"/>
          </w:tcPr>
          <w:p>
            <w:r>
              <w:rPr>
                <w:b w:val="false"/>
                <w:bCs w:val="false"/>
                <w:sz w:val="18"/>
                <w:szCs w:val="18"/>
              </w:rPr>
              <w:t xml:space="preserve">References NFHS suspended-game procedure – exact procedure not detailed</w:t>
            </w:r>
          </w:p>
        </w:tc>
        <w:tc>
          <w:tcPr>
            <w:tcW w:type="dxa" w:w="1500"/>
          </w:tcPr>
          <w:p>
            <w:r>
              <w:rPr>
                <w:b w:val="false"/>
                <w:bCs w:val="false"/>
                <w:sz w:val="18"/>
                <w:szCs w:val="18"/>
              </w:rPr>
              <w:t xml:space="preserve">Spec §17.2</w:t>
            </w:r>
          </w:p>
        </w:tc>
        <w:tc>
          <w:tcPr>
            <w:tcW w:type="dxa" w:w="900"/>
          </w:tcPr>
          <w:p>
            <w:r>
              <w:rPr>
                <w:b w:val="false"/>
                <w:bCs w:val="false"/>
                <w:sz w:val="18"/>
                <w:szCs w:val="18"/>
              </w:rPr>
              <w:t xml:space="preserve"/>
            </w:r>
          </w:p>
        </w:tc>
        <w:tc>
          <w:tcPr>
            <w:tcW w:type="dxa" w:w="2560"/>
          </w:tcPr>
          <w:p>
            <w:r>
              <w:rPr>
                <w:b w:val="false"/>
                <w:bCs w:val="false"/>
                <w:sz w:val="18"/>
                <w:szCs w:val="18"/>
              </w:rPr>
              <w:t xml:space="preserve"/>
            </w:r>
          </w:p>
        </w:tc>
      </w:tr>
    </w:tbl>
    <w:p>
      <w:pPr>
        <w:spacing w:after="200"/>
      </w:pPr>
    </w:p>
    <w:p>
      <w:pPr>
        <w:pStyle w:val="Heading2"/>
        <w:spacing w:after="120" w:before="260"/>
      </w:pPr>
      <w:r>
        <w:t xml:space="preserve">2. Run rule / mercy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500"/>
        <w:gridCol w:w="900"/>
        <w:gridCol w:w="2560"/>
      </w:tblGrid>
      <w:tr>
        <w:trPr>
          <w:tblHeader/>
        </w:trPr>
        <w:tc>
          <w:tcPr>
            <w:tcW w:type="dxa" w:w="2000"/>
            <w:shd w:fill="D9E2F3" w:val="clear"/>
          </w:tcPr>
          <w:p>
            <w:r>
              <w:rPr>
                <w:b/>
                <w:bCs/>
                <w:sz w:val="18"/>
                <w:szCs w:val="18"/>
              </w:rPr>
              <w:t xml:space="preserve">Field</w:t>
            </w:r>
          </w:p>
        </w:tc>
        <w:tc>
          <w:tcPr>
            <w:tcW w:type="dxa" w:w="2400"/>
            <w:shd w:fill="D9E2F3" w:val="clear"/>
          </w:tcPr>
          <w:p>
            <w:r>
              <w:rPr>
                <w:b/>
                <w:bCs/>
                <w:sz w:val="18"/>
                <w:szCs w:val="18"/>
              </w:rPr>
              <w:t xml:space="preserve">Current draft value (from spec)</w:t>
            </w:r>
          </w:p>
        </w:tc>
        <w:tc>
          <w:tcPr>
            <w:tcW w:type="dxa" w:w="1500"/>
            <w:shd w:fill="D9E2F3" w:val="clear"/>
          </w:tcPr>
          <w:p>
            <w:r>
              <w:rPr>
                <w:b/>
                <w:bCs/>
                <w:sz w:val="18"/>
                <w:szCs w:val="18"/>
              </w:rPr>
              <w:t xml:space="preserve">Source cited in spec</w:t>
            </w:r>
          </w:p>
        </w:tc>
        <w:tc>
          <w:tcPr>
            <w:tcW w:type="dxa" w:w="900"/>
            <w:shd w:fill="D9E2F3" w:val="clear"/>
          </w:tcPr>
          <w:p>
            <w:r>
              <w:rPr>
                <w:b/>
                <w:bCs/>
                <w:sz w:val="18"/>
                <w:szCs w:val="18"/>
              </w:rPr>
              <w:t xml:space="preserve">Verified?</w:t>
            </w:r>
          </w:p>
        </w:tc>
        <w:tc>
          <w:tcPr>
            <w:tcW w:type="dxa" w:w="2560"/>
            <w:shd w:fill="D9E2F3" w:val="clear"/>
          </w:tcPr>
          <w:p>
            <w:r>
              <w:rPr>
                <w:b/>
                <w:bCs/>
                <w:sz w:val="18"/>
                <w:szCs w:val="18"/>
              </w:rPr>
              <w:t xml:space="preserve">Correct value / notes</w:t>
            </w:r>
          </w:p>
        </w:tc>
      </w:tr>
      <w:tr>
        <w:tc>
          <w:tcPr>
            <w:tcW w:type="dxa" w:w="2000"/>
          </w:tcPr>
          <w:p>
            <w:r>
              <w:rPr>
                <w:b w:val="false"/>
                <w:bCs w:val="false"/>
                <w:sz w:val="18"/>
                <w:szCs w:val="18"/>
              </w:rPr>
              <w:t xml:space="preserve">Baseball regular-season run rule</w:t>
            </w:r>
          </w:p>
        </w:tc>
        <w:tc>
          <w:tcPr>
            <w:tcW w:type="dxa" w:w="2400"/>
          </w:tcPr>
          <w:p>
            <w:r>
              <w:rPr>
                <w:b w:val="false"/>
                <w:bCs w:val="false"/>
                <w:sz w:val="18"/>
                <w:szCs w:val="18"/>
              </w:rPr>
              <w:t xml:space="preserve">NOT specified in spec – does MHSAA have one, or only a postseason threshold?</w:t>
            </w:r>
          </w:p>
        </w:tc>
        <w:tc>
          <w:tcPr>
            <w:tcW w:type="dxa" w:w="1500"/>
          </w:tcPr>
          <w:p>
            <w:r>
              <w:rPr>
                <w:b w:val="false"/>
                <w:bCs w:val="false"/>
                <w:sz w:val="18"/>
                <w:szCs w:val="18"/>
              </w:rPr>
              <w:t xml:space="preserve">Gap – not sourced</w:t>
            </w:r>
          </w:p>
        </w:tc>
        <w:tc>
          <w:tcPr>
            <w:tcW w:type="dxa" w:w="900"/>
          </w:tcPr>
          <w:p>
            <w:r>
              <w:rPr>
                <w:b w:val="false"/>
                <w:bCs w:val="false"/>
                <w:sz w:val="18"/>
                <w:szCs w:val="18"/>
              </w:rPr>
              <w:t xml:space="preserve"/>
            </w:r>
          </w:p>
        </w:tc>
        <w:tc>
          <w:tcPr>
            <w:tcW w:type="dxa" w:w="2560"/>
          </w:tcPr>
          <w:p>
            <w:r>
              <w:rPr>
                <w:b w:val="false"/>
                <w:bCs w:val="false"/>
                <w:sz w:val="18"/>
                <w:szCs w:val="18"/>
              </w:rPr>
              <w:t xml:space="preserve"/>
            </w:r>
          </w:p>
        </w:tc>
      </w:tr>
      <w:tr>
        <w:tc>
          <w:tcPr>
            <w:tcW w:type="dxa" w:w="2000"/>
          </w:tcPr>
          <w:p>
            <w:r>
              <w:rPr>
                <w:b w:val="false"/>
                <w:bCs w:val="false"/>
                <w:sz w:val="18"/>
                <w:szCs w:val="18"/>
              </w:rPr>
              <w:t xml:space="preserve">Baseball postseason run rule</w:t>
            </w:r>
          </w:p>
        </w:tc>
        <w:tc>
          <w:tcPr>
            <w:tcW w:type="dxa" w:w="2400"/>
          </w:tcPr>
          <w:p>
            <w:r>
              <w:rPr>
                <w:b w:val="false"/>
                <w:bCs w:val="false"/>
                <w:sz w:val="18"/>
                <w:szCs w:val="18"/>
              </w:rPr>
              <w:t xml:space="preserve">10+ run differential after 5 innings, or after 4.5 if trailing team completed its required turn at bat</w:t>
            </w:r>
          </w:p>
        </w:tc>
        <w:tc>
          <w:tcPr>
            <w:tcW w:type="dxa" w:w="1500"/>
          </w:tcPr>
          <w:p>
            <w:r>
              <w:rPr>
                <w:b w:val="false"/>
                <w:bCs w:val="false"/>
                <w:sz w:val="18"/>
                <w:szCs w:val="18"/>
              </w:rPr>
              <w:t xml:space="preserve">Spec §17.1</w:t>
            </w:r>
          </w:p>
        </w:tc>
        <w:tc>
          <w:tcPr>
            <w:tcW w:type="dxa" w:w="900"/>
          </w:tcPr>
          <w:p>
            <w:r>
              <w:rPr>
                <w:b w:val="false"/>
                <w:bCs w:val="false"/>
                <w:sz w:val="18"/>
                <w:szCs w:val="18"/>
              </w:rPr>
              <w:t xml:space="preserve"/>
            </w:r>
          </w:p>
        </w:tc>
        <w:tc>
          <w:tcPr>
            <w:tcW w:type="dxa" w:w="2560"/>
          </w:tcPr>
          <w:p>
            <w:r>
              <w:rPr>
                <w:b w:val="false"/>
                <w:bCs w:val="false"/>
                <w:sz w:val="18"/>
                <w:szCs w:val="18"/>
              </w:rPr>
              <w:t xml:space="preserve"/>
            </w:r>
          </w:p>
        </w:tc>
      </w:tr>
      <w:tr>
        <w:tc>
          <w:tcPr>
            <w:tcW w:type="dxa" w:w="2000"/>
          </w:tcPr>
          <w:p>
            <w:r>
              <w:rPr>
                <w:b w:val="false"/>
                <w:bCs w:val="false"/>
                <w:sz w:val="18"/>
                <w:szCs w:val="18"/>
              </w:rPr>
              <w:t xml:space="preserve">Softball regular-season run rule</w:t>
            </w:r>
          </w:p>
        </w:tc>
        <w:tc>
          <w:tcPr>
            <w:tcW w:type="dxa" w:w="2400"/>
          </w:tcPr>
          <w:p>
            <w:r>
              <w:rPr>
                <w:b w:val="false"/>
                <w:bCs w:val="false"/>
                <w:sz w:val="18"/>
                <w:szCs w:val="18"/>
              </w:rPr>
              <w:t xml:space="preserve">NOT specified in spec – same gap as baseball</w:t>
            </w:r>
          </w:p>
        </w:tc>
        <w:tc>
          <w:tcPr>
            <w:tcW w:type="dxa" w:w="1500"/>
          </w:tcPr>
          <w:p>
            <w:r>
              <w:rPr>
                <w:b w:val="false"/>
                <w:bCs w:val="false"/>
                <w:sz w:val="18"/>
                <w:szCs w:val="18"/>
              </w:rPr>
              <w:t xml:space="preserve">Gap – not sourced</w:t>
            </w:r>
          </w:p>
        </w:tc>
        <w:tc>
          <w:tcPr>
            <w:tcW w:type="dxa" w:w="900"/>
          </w:tcPr>
          <w:p>
            <w:r>
              <w:rPr>
                <w:b w:val="false"/>
                <w:bCs w:val="false"/>
                <w:sz w:val="18"/>
                <w:szCs w:val="18"/>
              </w:rPr>
              <w:t xml:space="preserve"/>
            </w:r>
          </w:p>
        </w:tc>
        <w:tc>
          <w:tcPr>
            <w:tcW w:type="dxa" w:w="2560"/>
          </w:tcPr>
          <w:p>
            <w:r>
              <w:rPr>
                <w:b w:val="false"/>
                <w:bCs w:val="false"/>
                <w:sz w:val="18"/>
                <w:szCs w:val="18"/>
              </w:rPr>
              <w:t xml:space="preserve"/>
            </w:r>
          </w:p>
        </w:tc>
      </w:tr>
      <w:tr>
        <w:tc>
          <w:tcPr>
            <w:tcW w:type="dxa" w:w="2000"/>
          </w:tcPr>
          <w:p>
            <w:r>
              <w:rPr>
                <w:b w:val="false"/>
                <w:bCs w:val="false"/>
                <w:sz w:val="18"/>
                <w:szCs w:val="18"/>
              </w:rPr>
              <w:t xml:space="preserve">Softball postseason/state-championship run rule</w:t>
            </w:r>
          </w:p>
        </w:tc>
        <w:tc>
          <w:tcPr>
            <w:tcW w:type="dxa" w:w="2400"/>
          </w:tcPr>
          <w:p>
            <w:r>
              <w:rPr>
                <w:b w:val="false"/>
                <w:bCs w:val="false"/>
                <w:sz w:val="18"/>
                <w:szCs w:val="18"/>
              </w:rPr>
              <w:t xml:space="preserve">10-run rule after 5 innings</w:t>
            </w:r>
          </w:p>
        </w:tc>
        <w:tc>
          <w:tcPr>
            <w:tcW w:type="dxa" w:w="1500"/>
          </w:tcPr>
          <w:p>
            <w:r>
              <w:rPr>
                <w:b w:val="false"/>
                <w:bCs w:val="false"/>
                <w:sz w:val="18"/>
                <w:szCs w:val="18"/>
              </w:rPr>
              <w:t xml:space="preserve">Spec §17.2</w:t>
            </w:r>
          </w:p>
        </w:tc>
        <w:tc>
          <w:tcPr>
            <w:tcW w:type="dxa" w:w="900"/>
          </w:tcPr>
          <w:p>
            <w:r>
              <w:rPr>
                <w:b w:val="false"/>
                <w:bCs w:val="false"/>
                <w:sz w:val="18"/>
                <w:szCs w:val="18"/>
              </w:rPr>
              <w:t xml:space="preserve"/>
            </w:r>
          </w:p>
        </w:tc>
        <w:tc>
          <w:tcPr>
            <w:tcW w:type="dxa" w:w="2560"/>
          </w:tcPr>
          <w:p>
            <w:r>
              <w:rPr>
                <w:b w:val="false"/>
                <w:bCs w:val="false"/>
                <w:sz w:val="18"/>
                <w:szCs w:val="18"/>
              </w:rPr>
              <w:t xml:space="preserve"/>
            </w:r>
          </w:p>
        </w:tc>
      </w:tr>
    </w:tbl>
    <w:p>
      <w:pPr>
        <w:spacing w:after="200"/>
      </w:pPr>
    </w:p>
    <w:p>
      <w:pPr>
        <w:pStyle w:val="Heading2"/>
        <w:spacing w:after="120" w:before="260"/>
      </w:pPr>
      <w:r>
        <w:t xml:space="preserve">3. Pitch count and pitcher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500"/>
        <w:gridCol w:w="900"/>
        <w:gridCol w:w="2560"/>
      </w:tblGrid>
      <w:tr>
        <w:trPr>
          <w:tblHeader/>
        </w:trPr>
        <w:tc>
          <w:tcPr>
            <w:tcW w:type="dxa" w:w="2000"/>
            <w:shd w:fill="D9E2F3" w:val="clear"/>
          </w:tcPr>
          <w:p>
            <w:r>
              <w:rPr>
                <w:b/>
                <w:bCs/>
                <w:sz w:val="18"/>
                <w:szCs w:val="18"/>
              </w:rPr>
              <w:t xml:space="preserve">Field</w:t>
            </w:r>
          </w:p>
        </w:tc>
        <w:tc>
          <w:tcPr>
            <w:tcW w:type="dxa" w:w="2400"/>
            <w:shd w:fill="D9E2F3" w:val="clear"/>
          </w:tcPr>
          <w:p>
            <w:r>
              <w:rPr>
                <w:b/>
                <w:bCs/>
                <w:sz w:val="18"/>
                <w:szCs w:val="18"/>
              </w:rPr>
              <w:t xml:space="preserve">Current draft value (from spec)</w:t>
            </w:r>
          </w:p>
        </w:tc>
        <w:tc>
          <w:tcPr>
            <w:tcW w:type="dxa" w:w="1500"/>
            <w:shd w:fill="D9E2F3" w:val="clear"/>
          </w:tcPr>
          <w:p>
            <w:r>
              <w:rPr>
                <w:b/>
                <w:bCs/>
                <w:sz w:val="18"/>
                <w:szCs w:val="18"/>
              </w:rPr>
              <w:t xml:space="preserve">Source cited in spec</w:t>
            </w:r>
          </w:p>
        </w:tc>
        <w:tc>
          <w:tcPr>
            <w:tcW w:type="dxa" w:w="900"/>
            <w:shd w:fill="D9E2F3" w:val="clear"/>
          </w:tcPr>
          <w:p>
            <w:r>
              <w:rPr>
                <w:b/>
                <w:bCs/>
                <w:sz w:val="18"/>
                <w:szCs w:val="18"/>
              </w:rPr>
              <w:t xml:space="preserve">Verified?</w:t>
            </w:r>
          </w:p>
        </w:tc>
        <w:tc>
          <w:tcPr>
            <w:tcW w:type="dxa" w:w="2560"/>
            <w:shd w:fill="D9E2F3" w:val="clear"/>
          </w:tcPr>
          <w:p>
            <w:r>
              <w:rPr>
                <w:b/>
                <w:bCs/>
                <w:sz w:val="18"/>
                <w:szCs w:val="18"/>
              </w:rPr>
              <w:t xml:space="preserve">Correct value / notes</w:t>
            </w:r>
          </w:p>
        </w:tc>
      </w:tr>
      <w:tr>
        <w:tc>
          <w:tcPr>
            <w:tcW w:type="dxa" w:w="2000"/>
          </w:tcPr>
          <w:p>
            <w:r>
              <w:rPr>
                <w:b w:val="false"/>
                <w:bCs w:val="false"/>
                <w:sz w:val="18"/>
                <w:szCs w:val="18"/>
              </w:rPr>
              <w:t xml:space="preserve">Baseball varsity pitch-count rest bands</w:t>
            </w:r>
          </w:p>
        </w:tc>
        <w:tc>
          <w:tcPr>
            <w:tcW w:type="dxa" w:w="2400"/>
          </w:tcPr>
          <w:p>
            <w:r>
              <w:rPr>
                <w:b w:val="false"/>
                <w:bCs w:val="false"/>
                <w:sz w:val="18"/>
                <w:szCs w:val="18"/>
              </w:rPr>
              <w:t xml:space="preserve">1–25: 0 days; 26–50: 1; 51–75: 2; 76–105: 3; 106–120: 4; max 120/day</w:t>
            </w:r>
          </w:p>
        </w:tc>
        <w:tc>
          <w:tcPr>
            <w:tcW w:type="dxa" w:w="1500"/>
          </w:tcPr>
          <w:p>
            <w:r>
              <w:rPr>
                <w:b w:val="false"/>
                <w:bCs w:val="false"/>
                <w:sz w:val="18"/>
                <w:szCs w:val="18"/>
              </w:rPr>
              <w:t xml:space="preserve">Spec §17.1 — spot-checked against misshsaa.com’s own pitch-count page: exact match</w:t>
            </w:r>
          </w:p>
        </w:tc>
        <w:tc>
          <w:tcPr>
            <w:tcW w:type="dxa" w:w="900"/>
          </w:tcPr>
          <w:p>
            <w:r>
              <w:rPr>
                <w:b w:val="false"/>
                <w:bCs w:val="false"/>
                <w:sz w:val="18"/>
                <w:szCs w:val="18"/>
              </w:rPr>
              <w:t xml:space="preserve"/>
            </w:r>
          </w:p>
        </w:tc>
        <w:tc>
          <w:tcPr>
            <w:tcW w:type="dxa" w:w="2560"/>
          </w:tcPr>
          <w:p>
            <w:r>
              <w:rPr>
                <w:b w:val="false"/>
                <w:bCs w:val="false"/>
                <w:sz w:val="18"/>
                <w:szCs w:val="18"/>
              </w:rPr>
              <w:t xml:space="preserve"/>
            </w:r>
          </w:p>
        </w:tc>
      </w:tr>
      <w:tr>
        <w:tc>
          <w:tcPr>
            <w:tcW w:type="dxa" w:w="2000"/>
          </w:tcPr>
          <w:p>
            <w:r>
              <w:rPr>
                <w:b w:val="false"/>
                <w:bCs w:val="false"/>
                <w:sz w:val="18"/>
                <w:szCs w:val="18"/>
              </w:rPr>
              <w:t xml:space="preserve">Baseball middle-school pitch-count rest bands</w:t>
            </w:r>
          </w:p>
        </w:tc>
        <w:tc>
          <w:tcPr>
            <w:tcW w:type="dxa" w:w="2400"/>
          </w:tcPr>
          <w:p>
            <w:r>
              <w:rPr>
                <w:b w:val="false"/>
                <w:bCs w:val="false"/>
                <w:sz w:val="18"/>
                <w:szCs w:val="18"/>
              </w:rPr>
              <w:t xml:space="preserve">0–20: 0 days; 21–35: 1; 36–50: 2; 51–65: 3; 66+: 4; max 95/day</w:t>
            </w:r>
          </w:p>
        </w:tc>
        <w:tc>
          <w:tcPr>
            <w:tcW w:type="dxa" w:w="1500"/>
          </w:tcPr>
          <w:p>
            <w:r>
              <w:rPr>
                <w:b w:val="false"/>
                <w:bCs w:val="false"/>
                <w:sz w:val="18"/>
                <w:szCs w:val="18"/>
              </w:rPr>
              <w:t xml:space="preserve">Spec §17.1 — not independently checked</w:t>
            </w:r>
          </w:p>
        </w:tc>
        <w:tc>
          <w:tcPr>
            <w:tcW w:type="dxa" w:w="900"/>
          </w:tcPr>
          <w:p>
            <w:r>
              <w:rPr>
                <w:b w:val="false"/>
                <w:bCs w:val="false"/>
                <w:sz w:val="18"/>
                <w:szCs w:val="18"/>
              </w:rPr>
              <w:t xml:space="preserve"/>
            </w:r>
          </w:p>
        </w:tc>
        <w:tc>
          <w:tcPr>
            <w:tcW w:type="dxa" w:w="2560"/>
          </w:tcPr>
          <w:p>
            <w:r>
              <w:rPr>
                <w:b w:val="false"/>
                <w:bCs w:val="false"/>
                <w:sz w:val="18"/>
                <w:szCs w:val="18"/>
              </w:rPr>
              <w:t xml:space="preserve"/>
            </w:r>
          </w:p>
        </w:tc>
      </w:tr>
      <w:tr>
        <w:tc>
          <w:tcPr>
            <w:tcW w:type="dxa" w:w="2000"/>
          </w:tcPr>
          <w:p>
            <w:r>
              <w:rPr>
                <w:b w:val="false"/>
                <w:bCs w:val="false"/>
                <w:sz w:val="18"/>
                <w:szCs w:val="18"/>
              </w:rPr>
              <w:t xml:space="preserve">Softball pitch-count policy</w:t>
            </w:r>
          </w:p>
        </w:tc>
        <w:tc>
          <w:tcPr>
            <w:tcW w:type="dxa" w:w="2400"/>
          </w:tcPr>
          <w:p>
            <w:r>
              <w:rPr>
                <w:b w:val="false"/>
                <w:bCs w:val="false"/>
                <w:sz w:val="18"/>
                <w:szCs w:val="18"/>
              </w:rPr>
              <w:t xml:space="preserve">NOT addressed in spec at all – does MHSAA apply a numeric pitch-count/rest rule to softball pitchers?</w:t>
            </w:r>
          </w:p>
        </w:tc>
        <w:tc>
          <w:tcPr>
            <w:tcW w:type="dxa" w:w="1500"/>
          </w:tcPr>
          <w:p>
            <w:r>
              <w:rPr>
                <w:b w:val="false"/>
                <w:bCs w:val="false"/>
                <w:sz w:val="18"/>
                <w:szCs w:val="18"/>
              </w:rPr>
              <w:t xml:space="preserve">Gap – not sourced</w:t>
            </w:r>
          </w:p>
        </w:tc>
        <w:tc>
          <w:tcPr>
            <w:tcW w:type="dxa" w:w="900"/>
          </w:tcPr>
          <w:p>
            <w:r>
              <w:rPr>
                <w:b w:val="false"/>
                <w:bCs w:val="false"/>
                <w:sz w:val="18"/>
                <w:szCs w:val="18"/>
              </w:rPr>
              <w:t xml:space="preserve"/>
            </w:r>
          </w:p>
        </w:tc>
        <w:tc>
          <w:tcPr>
            <w:tcW w:type="dxa" w:w="2560"/>
          </w:tcPr>
          <w:p>
            <w:r>
              <w:rPr>
                <w:b w:val="false"/>
                <w:bCs w:val="false"/>
                <w:sz w:val="18"/>
                <w:szCs w:val="18"/>
              </w:rPr>
              <w:t xml:space="preserve"/>
            </w:r>
          </w:p>
        </w:tc>
      </w:tr>
    </w:tbl>
    <w:p>
      <w:pPr>
        <w:spacing w:after="200"/>
      </w:pPr>
    </w:p>
    <w:p>
      <w:pPr>
        <w:pStyle w:val="Heading2"/>
        <w:spacing w:after="120" w:before="260"/>
      </w:pPr>
      <w:r>
        <w:t xml:space="preserve">4. Courtesy runner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500"/>
        <w:gridCol w:w="900"/>
        <w:gridCol w:w="2560"/>
      </w:tblGrid>
      <w:tr>
        <w:trPr>
          <w:tblHeader/>
        </w:trPr>
        <w:tc>
          <w:tcPr>
            <w:tcW w:type="dxa" w:w="2000"/>
            <w:shd w:fill="D9E2F3" w:val="clear"/>
          </w:tcPr>
          <w:p>
            <w:r>
              <w:rPr>
                <w:b/>
                <w:bCs/>
                <w:sz w:val="18"/>
                <w:szCs w:val="18"/>
              </w:rPr>
              <w:t xml:space="preserve">Field</w:t>
            </w:r>
          </w:p>
        </w:tc>
        <w:tc>
          <w:tcPr>
            <w:tcW w:type="dxa" w:w="2400"/>
            <w:shd w:fill="D9E2F3" w:val="clear"/>
          </w:tcPr>
          <w:p>
            <w:r>
              <w:rPr>
                <w:b/>
                <w:bCs/>
                <w:sz w:val="18"/>
                <w:szCs w:val="18"/>
              </w:rPr>
              <w:t xml:space="preserve">Current draft value (from spec)</w:t>
            </w:r>
          </w:p>
        </w:tc>
        <w:tc>
          <w:tcPr>
            <w:tcW w:type="dxa" w:w="1500"/>
            <w:shd w:fill="D9E2F3" w:val="clear"/>
          </w:tcPr>
          <w:p>
            <w:r>
              <w:rPr>
                <w:b/>
                <w:bCs/>
                <w:sz w:val="18"/>
                <w:szCs w:val="18"/>
              </w:rPr>
              <w:t xml:space="preserve">Source cited in spec</w:t>
            </w:r>
          </w:p>
        </w:tc>
        <w:tc>
          <w:tcPr>
            <w:tcW w:type="dxa" w:w="900"/>
            <w:shd w:fill="D9E2F3" w:val="clear"/>
          </w:tcPr>
          <w:p>
            <w:r>
              <w:rPr>
                <w:b/>
                <w:bCs/>
                <w:sz w:val="18"/>
                <w:szCs w:val="18"/>
              </w:rPr>
              <w:t xml:space="preserve">Verified?</w:t>
            </w:r>
          </w:p>
        </w:tc>
        <w:tc>
          <w:tcPr>
            <w:tcW w:type="dxa" w:w="2560"/>
            <w:shd w:fill="D9E2F3" w:val="clear"/>
          </w:tcPr>
          <w:p>
            <w:r>
              <w:rPr>
                <w:b/>
                <w:bCs/>
                <w:sz w:val="18"/>
                <w:szCs w:val="18"/>
              </w:rPr>
              <w:t xml:space="preserve">Correct value / notes</w:t>
            </w:r>
          </w:p>
        </w:tc>
      </w:tr>
      <w:tr>
        <w:tc>
          <w:tcPr>
            <w:tcW w:type="dxa" w:w="2000"/>
          </w:tcPr>
          <w:p>
            <w:r>
              <w:rPr>
                <w:b w:val="false"/>
                <w:bCs w:val="false"/>
                <w:sz w:val="18"/>
                <w:szCs w:val="18"/>
              </w:rPr>
              <w:t xml:space="preserve">Baseball courtesy runner (postseason)</w:t>
            </w:r>
          </w:p>
        </w:tc>
        <w:tc>
          <w:tcPr>
            <w:tcW w:type="dxa" w:w="2400"/>
          </w:tcPr>
          <w:p>
            <w:r>
              <w:rPr>
                <w:b w:val="false"/>
                <w:bCs w:val="false"/>
                <w:sz w:val="18"/>
                <w:szCs w:val="18"/>
              </w:rPr>
              <w:t xml:space="preserve">Permitted for pitcher and/or catcher; exact eligibility (e.g. "unused substitute" requirement) not fully detailed</w:t>
            </w:r>
          </w:p>
        </w:tc>
        <w:tc>
          <w:tcPr>
            <w:tcW w:type="dxa" w:w="1500"/>
          </w:tcPr>
          <w:p>
            <w:r>
              <w:rPr>
                <w:b w:val="false"/>
                <w:bCs w:val="false"/>
                <w:sz w:val="18"/>
                <w:szCs w:val="18"/>
              </w:rPr>
              <w:t xml:space="preserve">Spec §17.1</w:t>
            </w:r>
          </w:p>
        </w:tc>
        <w:tc>
          <w:tcPr>
            <w:tcW w:type="dxa" w:w="900"/>
          </w:tcPr>
          <w:p>
            <w:r>
              <w:rPr>
                <w:b w:val="false"/>
                <w:bCs w:val="false"/>
                <w:sz w:val="18"/>
                <w:szCs w:val="18"/>
              </w:rPr>
              <w:t xml:space="preserve"/>
            </w:r>
          </w:p>
        </w:tc>
        <w:tc>
          <w:tcPr>
            <w:tcW w:type="dxa" w:w="2560"/>
          </w:tcPr>
          <w:p>
            <w:r>
              <w:rPr>
                <w:b w:val="false"/>
                <w:bCs w:val="false"/>
                <w:sz w:val="18"/>
                <w:szCs w:val="18"/>
              </w:rPr>
              <w:t xml:space="preserve"/>
            </w:r>
          </w:p>
        </w:tc>
      </w:tr>
      <w:tr>
        <w:tc>
          <w:tcPr>
            <w:tcW w:type="dxa" w:w="2000"/>
          </w:tcPr>
          <w:p>
            <w:r>
              <w:rPr>
                <w:b w:val="false"/>
                <w:bCs w:val="false"/>
                <w:sz w:val="18"/>
                <w:szCs w:val="18"/>
              </w:rPr>
              <w:t xml:space="preserve">Softball courtesy runner (current, 2026)</w:t>
            </w:r>
          </w:p>
        </w:tc>
        <w:tc>
          <w:tcPr>
            <w:tcW w:type="dxa" w:w="2400"/>
          </w:tcPr>
          <w:p>
            <w:r>
              <w:rPr>
                <w:b w:val="false"/>
                <w:bCs w:val="false"/>
                <w:sz w:val="18"/>
                <w:szCs w:val="18"/>
              </w:rPr>
              <w:t xml:space="preserve">NFHS courtesy-runner rules exist; exact current eligibility not detailed (spec only flags that first-inning/first-batter conditions change in 2027)</w:t>
            </w:r>
          </w:p>
        </w:tc>
        <w:tc>
          <w:tcPr>
            <w:tcW w:type="dxa" w:w="1500"/>
          </w:tcPr>
          <w:p>
            <w:r>
              <w:rPr>
                <w:b w:val="false"/>
                <w:bCs w:val="false"/>
                <w:sz w:val="18"/>
                <w:szCs w:val="18"/>
              </w:rPr>
              <w:t xml:space="preserve">Spec §10, §16</w:t>
            </w:r>
          </w:p>
        </w:tc>
        <w:tc>
          <w:tcPr>
            <w:tcW w:type="dxa" w:w="900"/>
          </w:tcPr>
          <w:p>
            <w:r>
              <w:rPr>
                <w:b w:val="false"/>
                <w:bCs w:val="false"/>
                <w:sz w:val="18"/>
                <w:szCs w:val="18"/>
              </w:rPr>
              <w:t xml:space="preserve"/>
            </w:r>
          </w:p>
        </w:tc>
        <w:tc>
          <w:tcPr>
            <w:tcW w:type="dxa" w:w="2560"/>
          </w:tcPr>
          <w:p>
            <w:r>
              <w:rPr>
                <w:b w:val="false"/>
                <w:bCs w:val="false"/>
                <w:sz w:val="18"/>
                <w:szCs w:val="18"/>
              </w:rPr>
              <w:t xml:space="preserve"/>
            </w:r>
          </w:p>
        </w:tc>
      </w:tr>
    </w:tbl>
    <w:p>
      <w:pPr>
        <w:spacing w:after="200"/>
      </w:pPr>
    </w:p>
    <w:p>
      <w:pPr>
        <w:pStyle w:val="Heading2"/>
        <w:spacing w:after="120" w:before="260"/>
      </w:pPr>
      <w:r>
        <w:t xml:space="preserve">5. Equipment and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500"/>
        <w:gridCol w:w="900"/>
        <w:gridCol w:w="2560"/>
      </w:tblGrid>
      <w:tr>
        <w:trPr>
          <w:tblHeader/>
        </w:trPr>
        <w:tc>
          <w:tcPr>
            <w:tcW w:type="dxa" w:w="2000"/>
            <w:shd w:fill="D9E2F3" w:val="clear"/>
          </w:tcPr>
          <w:p>
            <w:r>
              <w:rPr>
                <w:b/>
                <w:bCs/>
                <w:sz w:val="18"/>
                <w:szCs w:val="18"/>
              </w:rPr>
              <w:t xml:space="preserve">Field</w:t>
            </w:r>
          </w:p>
        </w:tc>
        <w:tc>
          <w:tcPr>
            <w:tcW w:type="dxa" w:w="2400"/>
            <w:shd w:fill="D9E2F3" w:val="clear"/>
          </w:tcPr>
          <w:p>
            <w:r>
              <w:rPr>
                <w:b/>
                <w:bCs/>
                <w:sz w:val="18"/>
                <w:szCs w:val="18"/>
              </w:rPr>
              <w:t xml:space="preserve">Current draft value (from spec)</w:t>
            </w:r>
          </w:p>
        </w:tc>
        <w:tc>
          <w:tcPr>
            <w:tcW w:type="dxa" w:w="1500"/>
            <w:shd w:fill="D9E2F3" w:val="clear"/>
          </w:tcPr>
          <w:p>
            <w:r>
              <w:rPr>
                <w:b/>
                <w:bCs/>
                <w:sz w:val="18"/>
                <w:szCs w:val="18"/>
              </w:rPr>
              <w:t xml:space="preserve">Source cited in spec</w:t>
            </w:r>
          </w:p>
        </w:tc>
        <w:tc>
          <w:tcPr>
            <w:tcW w:type="dxa" w:w="900"/>
            <w:shd w:fill="D9E2F3" w:val="clear"/>
          </w:tcPr>
          <w:p>
            <w:r>
              <w:rPr>
                <w:b/>
                <w:bCs/>
                <w:sz w:val="18"/>
                <w:szCs w:val="18"/>
              </w:rPr>
              <w:t xml:space="preserve">Verified?</w:t>
            </w:r>
          </w:p>
        </w:tc>
        <w:tc>
          <w:tcPr>
            <w:tcW w:type="dxa" w:w="2560"/>
            <w:shd w:fill="D9E2F3" w:val="clear"/>
          </w:tcPr>
          <w:p>
            <w:r>
              <w:rPr>
                <w:b/>
                <w:bCs/>
                <w:sz w:val="18"/>
                <w:szCs w:val="18"/>
              </w:rPr>
              <w:t xml:space="preserve">Correct value / notes</w:t>
            </w:r>
          </w:p>
        </w:tc>
      </w:tr>
      <w:tr>
        <w:tc>
          <w:tcPr>
            <w:tcW w:type="dxa" w:w="2000"/>
          </w:tcPr>
          <w:p>
            <w:r>
              <w:rPr>
                <w:b w:val="false"/>
                <w:bCs w:val="false"/>
                <w:sz w:val="18"/>
                <w:szCs w:val="18"/>
              </w:rPr>
              <w:t xml:space="preserve">Softball double first base</w:t>
            </w:r>
          </w:p>
        </w:tc>
        <w:tc>
          <w:tcPr>
            <w:tcW w:type="dxa" w:w="2400"/>
          </w:tcPr>
          <w:p>
            <w:r>
              <w:rPr>
                <w:b w:val="false"/>
                <w:bCs w:val="false"/>
                <w:sz w:val="18"/>
                <w:szCs w:val="18"/>
              </w:rPr>
              <w:t xml:space="preserve">Required beginning 2026-27</w:t>
            </w:r>
          </w:p>
        </w:tc>
        <w:tc>
          <w:tcPr>
            <w:tcW w:type="dxa" w:w="1500"/>
          </w:tcPr>
          <w:p>
            <w:r>
              <w:rPr>
                <w:b w:val="false"/>
                <w:bCs w:val="false"/>
                <w:sz w:val="18"/>
                <w:szCs w:val="18"/>
              </w:rPr>
              <w:t xml:space="preserve">Spec §17.2</w:t>
            </w:r>
          </w:p>
        </w:tc>
        <w:tc>
          <w:tcPr>
            <w:tcW w:type="dxa" w:w="900"/>
          </w:tcPr>
          <w:p>
            <w:r>
              <w:rPr>
                <w:b w:val="false"/>
                <w:bCs w:val="false"/>
                <w:sz w:val="18"/>
                <w:szCs w:val="18"/>
              </w:rPr>
              <w:t xml:space="preserve"/>
            </w:r>
          </w:p>
        </w:tc>
        <w:tc>
          <w:tcPr>
            <w:tcW w:type="dxa" w:w="2560"/>
          </w:tcPr>
          <w:p>
            <w:r>
              <w:rPr>
                <w:b w:val="false"/>
                <w:bCs w:val="false"/>
                <w:sz w:val="18"/>
                <w:szCs w:val="18"/>
              </w:rPr>
              <w:t xml:space="preserve"/>
            </w:r>
          </w:p>
        </w:tc>
      </w:tr>
      <w:tr>
        <w:tc>
          <w:tcPr>
            <w:tcW w:type="dxa" w:w="2000"/>
          </w:tcPr>
          <w:p>
            <w:r>
              <w:rPr>
                <w:b w:val="false"/>
                <w:bCs w:val="false"/>
                <w:sz w:val="18"/>
                <w:szCs w:val="18"/>
              </w:rPr>
              <w:t xml:space="preserve">Softball fielding masks</w:t>
            </w:r>
          </w:p>
        </w:tc>
        <w:tc>
          <w:tcPr>
            <w:tcW w:type="dxa" w:w="2400"/>
          </w:tcPr>
          <w:p>
            <w:r>
              <w:rPr>
                <w:b w:val="false"/>
                <w:bCs w:val="false"/>
                <w:sz w:val="18"/>
                <w:szCs w:val="18"/>
              </w:rPr>
              <w:t xml:space="preserve">Required for pitcher, 1B, 3B – confirm exact position list and whether it applies at every level (varsity/JV/middle school)</w:t>
            </w:r>
          </w:p>
        </w:tc>
        <w:tc>
          <w:tcPr>
            <w:tcW w:type="dxa" w:w="1500"/>
          </w:tcPr>
          <w:p>
            <w:r>
              <w:rPr>
                <w:b w:val="false"/>
                <w:bCs w:val="false"/>
                <w:sz w:val="18"/>
                <w:szCs w:val="18"/>
              </w:rPr>
              <w:t xml:space="preserve">Spec §17.2</w:t>
            </w:r>
          </w:p>
        </w:tc>
        <w:tc>
          <w:tcPr>
            <w:tcW w:type="dxa" w:w="900"/>
          </w:tcPr>
          <w:p>
            <w:r>
              <w:rPr>
                <w:b w:val="false"/>
                <w:bCs w:val="false"/>
                <w:sz w:val="18"/>
                <w:szCs w:val="18"/>
              </w:rPr>
              <w:t xml:space="preserve"/>
            </w:r>
          </w:p>
        </w:tc>
        <w:tc>
          <w:tcPr>
            <w:tcW w:type="dxa" w:w="2560"/>
          </w:tcPr>
          <w:p>
            <w:r>
              <w:rPr>
                <w:b w:val="false"/>
                <w:bCs w:val="false"/>
                <w:sz w:val="18"/>
                <w:szCs w:val="18"/>
              </w:rPr>
              <w:t xml:space="preserve"/>
            </w:r>
          </w:p>
        </w:tc>
      </w:tr>
      <w:tr>
        <w:tc>
          <w:tcPr>
            <w:tcW w:type="dxa" w:w="2000"/>
          </w:tcPr>
          <w:p>
            <w:r>
              <w:rPr>
                <w:b w:val="false"/>
                <w:bCs w:val="false"/>
                <w:sz w:val="18"/>
                <w:szCs w:val="18"/>
              </w:rPr>
              <w:t xml:space="preserve">Baseball first-base requirement</w:t>
            </w:r>
          </w:p>
        </w:tc>
        <w:tc>
          <w:tcPr>
            <w:tcW w:type="dxa" w:w="2400"/>
          </w:tcPr>
          <w:p>
            <w:r>
              <w:rPr>
                <w:b w:val="false"/>
                <w:bCs w:val="false"/>
                <w:sz w:val="18"/>
                <w:szCs w:val="18"/>
              </w:rPr>
              <w:t xml:space="preserve">None in effect for 2026 per spec (national NFHS change lands 2027) – confirm MHSAA hasn’t adopted early</w:t>
            </w:r>
          </w:p>
        </w:tc>
        <w:tc>
          <w:tcPr>
            <w:tcW w:type="dxa" w:w="1500"/>
          </w:tcPr>
          <w:p>
            <w:r>
              <w:rPr>
                <w:b w:val="false"/>
                <w:bCs w:val="false"/>
                <w:sz w:val="18"/>
                <w:szCs w:val="18"/>
              </w:rPr>
              <w:t xml:space="preserve">Spec §16, §18</w:t>
            </w:r>
          </w:p>
        </w:tc>
        <w:tc>
          <w:tcPr>
            <w:tcW w:type="dxa" w:w="900"/>
          </w:tcPr>
          <w:p>
            <w:r>
              <w:rPr>
                <w:b w:val="false"/>
                <w:bCs w:val="false"/>
                <w:sz w:val="18"/>
                <w:szCs w:val="18"/>
              </w:rPr>
              <w:t xml:space="preserve"/>
            </w:r>
          </w:p>
        </w:tc>
        <w:tc>
          <w:tcPr>
            <w:tcW w:type="dxa" w:w="2560"/>
          </w:tcPr>
          <w:p>
            <w:r>
              <w:rPr>
                <w:b w:val="false"/>
                <w:bCs w:val="false"/>
                <w:sz w:val="18"/>
                <w:szCs w:val="18"/>
              </w:rPr>
              <w:t xml:space="preserve"/>
            </w:r>
          </w:p>
        </w:tc>
      </w:tr>
    </w:tbl>
    <w:p>
      <w:pPr>
        <w:spacing w:after="200"/>
      </w:pPr>
    </w:p>
    <w:p>
      <w:pPr>
        <w:pStyle w:val="Heading2"/>
        <w:spacing w:after="120" w:before="260"/>
      </w:pPr>
      <w:r>
        <w:t xml:space="preserve">6. Communication rules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500"/>
        <w:gridCol w:w="900"/>
        <w:gridCol w:w="2560"/>
      </w:tblGrid>
      <w:tr>
        <w:trPr>
          <w:tblHeader/>
        </w:trPr>
        <w:tc>
          <w:tcPr>
            <w:tcW w:type="dxa" w:w="2000"/>
            <w:shd w:fill="D9E2F3" w:val="clear"/>
          </w:tcPr>
          <w:p>
            <w:r>
              <w:rPr>
                <w:b/>
                <w:bCs/>
                <w:sz w:val="18"/>
                <w:szCs w:val="18"/>
              </w:rPr>
              <w:t xml:space="preserve">Field</w:t>
            </w:r>
          </w:p>
        </w:tc>
        <w:tc>
          <w:tcPr>
            <w:tcW w:type="dxa" w:w="2400"/>
            <w:shd w:fill="D9E2F3" w:val="clear"/>
          </w:tcPr>
          <w:p>
            <w:r>
              <w:rPr>
                <w:b/>
                <w:bCs/>
                <w:sz w:val="18"/>
                <w:szCs w:val="18"/>
              </w:rPr>
              <w:t xml:space="preserve">Current draft value (from spec)</w:t>
            </w:r>
          </w:p>
        </w:tc>
        <w:tc>
          <w:tcPr>
            <w:tcW w:type="dxa" w:w="1500"/>
            <w:shd w:fill="D9E2F3" w:val="clear"/>
          </w:tcPr>
          <w:p>
            <w:r>
              <w:rPr>
                <w:b/>
                <w:bCs/>
                <w:sz w:val="18"/>
                <w:szCs w:val="18"/>
              </w:rPr>
              <w:t xml:space="preserve">Source cited in spec</w:t>
            </w:r>
          </w:p>
        </w:tc>
        <w:tc>
          <w:tcPr>
            <w:tcW w:type="dxa" w:w="900"/>
            <w:shd w:fill="D9E2F3" w:val="clear"/>
          </w:tcPr>
          <w:p>
            <w:r>
              <w:rPr>
                <w:b/>
                <w:bCs/>
                <w:sz w:val="18"/>
                <w:szCs w:val="18"/>
              </w:rPr>
              <w:t xml:space="preserve">Verified?</w:t>
            </w:r>
          </w:p>
        </w:tc>
        <w:tc>
          <w:tcPr>
            <w:tcW w:type="dxa" w:w="2560"/>
            <w:shd w:fill="D9E2F3" w:val="clear"/>
          </w:tcPr>
          <w:p>
            <w:r>
              <w:rPr>
                <w:b/>
                <w:bCs/>
                <w:sz w:val="18"/>
                <w:szCs w:val="18"/>
              </w:rPr>
              <w:t xml:space="preserve">Correct value / notes</w:t>
            </w:r>
          </w:p>
        </w:tc>
      </w:tr>
      <w:tr>
        <w:tc>
          <w:tcPr>
            <w:tcW w:type="dxa" w:w="2000"/>
          </w:tcPr>
          <w:p>
            <w:r>
              <w:rPr>
                <w:b w:val="false"/>
                <w:bCs w:val="false"/>
                <w:sz w:val="18"/>
                <w:szCs w:val="18"/>
              </w:rPr>
              <w:t xml:space="preserve">Baseball player audio/video recording restrictions</w:t>
            </w:r>
          </w:p>
        </w:tc>
        <w:tc>
          <w:tcPr>
            <w:tcW w:type="dxa" w:w="2400"/>
          </w:tcPr>
          <w:p>
            <w:r>
              <w:rPr>
                <w:b w:val="false"/>
                <w:bCs w:val="false"/>
                <w:sz w:val="18"/>
                <w:szCs w:val="18"/>
              </w:rPr>
              <w:t xml:space="preserve">In effect 2026; one-way dugout communication is a 2027 change, not yet in effect – confirm MHSAA hasn’t opted in early</w:t>
            </w:r>
          </w:p>
        </w:tc>
        <w:tc>
          <w:tcPr>
            <w:tcW w:type="dxa" w:w="1500"/>
          </w:tcPr>
          <w:p>
            <w:r>
              <w:rPr>
                <w:b w:val="false"/>
                <w:bCs w:val="false"/>
                <w:sz w:val="18"/>
                <w:szCs w:val="18"/>
              </w:rPr>
              <w:t xml:space="preserve">Spec §16, §18</w:t>
            </w:r>
          </w:p>
        </w:tc>
        <w:tc>
          <w:tcPr>
            <w:tcW w:type="dxa" w:w="900"/>
          </w:tcPr>
          <w:p>
            <w:r>
              <w:rPr>
                <w:b w:val="false"/>
                <w:bCs w:val="false"/>
                <w:sz w:val="18"/>
                <w:szCs w:val="18"/>
              </w:rPr>
              <w:t xml:space="preserve"/>
            </w:r>
          </w:p>
        </w:tc>
        <w:tc>
          <w:tcPr>
            <w:tcW w:type="dxa" w:w="2560"/>
          </w:tcPr>
          <w:p>
            <w:r>
              <w:rPr>
                <w:b w:val="false"/>
                <w:bCs w:val="false"/>
                <w:sz w:val="18"/>
                <w:szCs w:val="18"/>
              </w:rPr>
              <w:t xml:space="preserve"/>
            </w:r>
          </w:p>
        </w:tc>
      </w:tr>
      <w:tr>
        <w:tc>
          <w:tcPr>
            <w:tcW w:type="dxa" w:w="2000"/>
          </w:tcPr>
          <w:p>
            <w:r>
              <w:rPr>
                <w:b w:val="false"/>
                <w:bCs w:val="false"/>
                <w:sz w:val="18"/>
                <w:szCs w:val="18"/>
              </w:rPr>
              <w:t xml:space="preserve">Softball one-way coach-to-catcher communication</w:t>
            </w:r>
          </w:p>
        </w:tc>
        <w:tc>
          <w:tcPr>
            <w:tcW w:type="dxa" w:w="2400"/>
          </w:tcPr>
          <w:p>
            <w:r>
              <w:rPr>
                <w:b w:val="false"/>
                <w:bCs w:val="false"/>
                <w:sz w:val="18"/>
                <w:szCs w:val="18"/>
              </w:rPr>
              <w:t xml:space="preserve">Permitted in 2026 (expands to pitcher + catcher in 2027) – confirm MHSAA adopted this optional NFHS rule</w:t>
            </w:r>
          </w:p>
        </w:tc>
        <w:tc>
          <w:tcPr>
            <w:tcW w:type="dxa" w:w="1500"/>
          </w:tcPr>
          <w:p>
            <w:r>
              <w:rPr>
                <w:b w:val="false"/>
                <w:bCs w:val="false"/>
                <w:sz w:val="18"/>
                <w:szCs w:val="18"/>
              </w:rPr>
              <w:t xml:space="preserve">Spec §16, §18</w:t>
            </w:r>
          </w:p>
        </w:tc>
        <w:tc>
          <w:tcPr>
            <w:tcW w:type="dxa" w:w="900"/>
          </w:tcPr>
          <w:p>
            <w:r>
              <w:rPr>
                <w:b w:val="false"/>
                <w:bCs w:val="false"/>
                <w:sz w:val="18"/>
                <w:szCs w:val="18"/>
              </w:rPr>
              <w:t xml:space="preserve"/>
            </w:r>
          </w:p>
        </w:tc>
        <w:tc>
          <w:tcPr>
            <w:tcW w:type="dxa" w:w="2560"/>
          </w:tcPr>
          <w:p>
            <w:r>
              <w:rPr>
                <w:b w:val="false"/>
                <w:bCs w:val="false"/>
                <w:sz w:val="18"/>
                <w:szCs w:val="18"/>
              </w:rPr>
              <w:t xml:space="preserve"/>
            </w:r>
          </w:p>
        </w:tc>
      </w:tr>
    </w:tbl>
    <w:p>
      <w:pPr>
        <w:spacing w:after="200"/>
      </w:pPr>
    </w:p>
    <w:p>
      <w:pPr>
        <w:pStyle w:val="Heading2"/>
        <w:spacing w:after="120" w:before="260"/>
      </w:pPr>
      <w:r>
        <w:t xml:space="preserve">7. Other rule adoptions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500"/>
        <w:gridCol w:w="900"/>
        <w:gridCol w:w="2560"/>
      </w:tblGrid>
      <w:tr>
        <w:trPr>
          <w:tblHeader/>
        </w:trPr>
        <w:tc>
          <w:tcPr>
            <w:tcW w:type="dxa" w:w="2000"/>
            <w:shd w:fill="D9E2F3" w:val="clear"/>
          </w:tcPr>
          <w:p>
            <w:r>
              <w:rPr>
                <w:b/>
                <w:bCs/>
                <w:sz w:val="18"/>
                <w:szCs w:val="18"/>
              </w:rPr>
              <w:t xml:space="preserve">Field</w:t>
            </w:r>
          </w:p>
        </w:tc>
        <w:tc>
          <w:tcPr>
            <w:tcW w:type="dxa" w:w="2400"/>
            <w:shd w:fill="D9E2F3" w:val="clear"/>
          </w:tcPr>
          <w:p>
            <w:r>
              <w:rPr>
                <w:b/>
                <w:bCs/>
                <w:sz w:val="18"/>
                <w:szCs w:val="18"/>
              </w:rPr>
              <w:t xml:space="preserve">Current draft value (from spec)</w:t>
            </w:r>
          </w:p>
        </w:tc>
        <w:tc>
          <w:tcPr>
            <w:tcW w:type="dxa" w:w="1500"/>
            <w:shd w:fill="D9E2F3" w:val="clear"/>
          </w:tcPr>
          <w:p>
            <w:r>
              <w:rPr>
                <w:b/>
                <w:bCs/>
                <w:sz w:val="18"/>
                <w:szCs w:val="18"/>
              </w:rPr>
              <w:t xml:space="preserve">Source cited in spec</w:t>
            </w:r>
          </w:p>
        </w:tc>
        <w:tc>
          <w:tcPr>
            <w:tcW w:type="dxa" w:w="900"/>
            <w:shd w:fill="D9E2F3" w:val="clear"/>
          </w:tcPr>
          <w:p>
            <w:r>
              <w:rPr>
                <w:b/>
                <w:bCs/>
                <w:sz w:val="18"/>
                <w:szCs w:val="18"/>
              </w:rPr>
              <w:t xml:space="preserve">Verified?</w:t>
            </w:r>
          </w:p>
        </w:tc>
        <w:tc>
          <w:tcPr>
            <w:tcW w:type="dxa" w:w="2560"/>
            <w:shd w:fill="D9E2F3" w:val="clear"/>
          </w:tcPr>
          <w:p>
            <w:r>
              <w:rPr>
                <w:b/>
                <w:bCs/>
                <w:sz w:val="18"/>
                <w:szCs w:val="18"/>
              </w:rPr>
              <w:t xml:space="preserve">Correct value / notes</w:t>
            </w:r>
          </w:p>
        </w:tc>
      </w:tr>
      <w:tr>
        <w:tc>
          <w:tcPr>
            <w:tcW w:type="dxa" w:w="2000"/>
          </w:tcPr>
          <w:p>
            <w:r>
              <w:rPr>
                <w:b w:val="false"/>
                <w:bCs w:val="false"/>
                <w:sz w:val="18"/>
                <w:szCs w:val="18"/>
              </w:rPr>
              <w:t xml:space="preserve">Baseball player-to-player defensive meeting vs. charged conference</w:t>
            </w:r>
          </w:p>
        </w:tc>
        <w:tc>
          <w:tcPr>
            <w:tcW w:type="dxa" w:w="2400"/>
          </w:tcPr>
          <w:p>
            <w:r>
              <w:rPr>
                <w:b w:val="false"/>
                <w:bCs w:val="false"/>
                <w:sz w:val="18"/>
                <w:szCs w:val="18"/>
              </w:rPr>
              <w:t xml:space="preserve">Distinct 2026 NFHS concept – confirm Mississippi adopted as described, and get the exact per-half-inning count that triggers a warning</w:t>
            </w:r>
          </w:p>
        </w:tc>
        <w:tc>
          <w:tcPr>
            <w:tcW w:type="dxa" w:w="1500"/>
          </w:tcPr>
          <w:p>
            <w:r>
              <w:rPr>
                <w:b w:val="false"/>
                <w:bCs w:val="false"/>
                <w:sz w:val="18"/>
                <w:szCs w:val="18"/>
              </w:rPr>
              <w:t xml:space="preserve">Spec §8.4</w:t>
            </w:r>
          </w:p>
        </w:tc>
        <w:tc>
          <w:tcPr>
            <w:tcW w:type="dxa" w:w="900"/>
          </w:tcPr>
          <w:p>
            <w:r>
              <w:rPr>
                <w:b w:val="false"/>
                <w:bCs w:val="false"/>
                <w:sz w:val="18"/>
                <w:szCs w:val="18"/>
              </w:rPr>
              <w:t xml:space="preserve"/>
            </w:r>
          </w:p>
        </w:tc>
        <w:tc>
          <w:tcPr>
            <w:tcW w:type="dxa" w:w="2560"/>
          </w:tcPr>
          <w:p>
            <w:r>
              <w:rPr>
                <w:b w:val="false"/>
                <w:bCs w:val="false"/>
                <w:sz w:val="18"/>
                <w:szCs w:val="18"/>
              </w:rPr>
              <w:t xml:space="preserve"/>
            </w:r>
          </w:p>
        </w:tc>
      </w:tr>
      <w:tr>
        <w:tc>
          <w:tcPr>
            <w:tcW w:type="dxa" w:w="2000"/>
          </w:tcPr>
          <w:p>
            <w:r>
              <w:rPr>
                <w:b w:val="false"/>
                <w:bCs w:val="false"/>
                <w:sz w:val="18"/>
                <w:szCs w:val="18"/>
              </w:rPr>
              <w:t xml:space="preserve">Baseball DH modes (none / traditional / player-DH)</w:t>
            </w:r>
          </w:p>
        </w:tc>
        <w:tc>
          <w:tcPr>
            <w:tcW w:type="dxa" w:w="2400"/>
          </w:tcPr>
          <w:p>
            <w:r>
              <w:rPr>
                <w:b w:val="false"/>
                <w:bCs w:val="false"/>
                <w:sz w:val="18"/>
                <w:szCs w:val="18"/>
              </w:rPr>
              <w:t xml:space="preserve">All three assumed permitted under MHSAA – low risk, standard NFHS, but worth a quick check for any MHSAA-specific restriction</w:t>
            </w:r>
          </w:p>
        </w:tc>
        <w:tc>
          <w:tcPr>
            <w:tcW w:type="dxa" w:w="1500"/>
          </w:tcPr>
          <w:p>
            <w:r>
              <w:rPr>
                <w:b w:val="false"/>
                <w:bCs w:val="false"/>
                <w:sz w:val="18"/>
                <w:szCs w:val="18"/>
              </w:rPr>
              <w:t xml:space="preserve">Spec §8.2</w:t>
            </w:r>
          </w:p>
        </w:tc>
        <w:tc>
          <w:tcPr>
            <w:tcW w:type="dxa" w:w="900"/>
          </w:tcPr>
          <w:p>
            <w:r>
              <w:rPr>
                <w:b w:val="false"/>
                <w:bCs w:val="false"/>
                <w:sz w:val="18"/>
                <w:szCs w:val="18"/>
              </w:rPr>
              <w:t xml:space="preserve"/>
            </w:r>
          </w:p>
        </w:tc>
        <w:tc>
          <w:tcPr>
            <w:tcW w:type="dxa" w:w="2560"/>
          </w:tcPr>
          <w:p>
            <w:r>
              <w:rPr>
                <w:b w:val="false"/>
                <w:bCs w:val="false"/>
                <w:sz w:val="18"/>
                <w:szCs w:val="18"/>
              </w:rPr>
              <w:t xml:space="preserve"/>
            </w:r>
          </w:p>
        </w:tc>
      </w:tr>
      <w:tr>
        <w:tc>
          <w:tcPr>
            <w:tcW w:type="dxa" w:w="2000"/>
          </w:tcPr>
          <w:p>
            <w:r>
              <w:rPr>
                <w:b w:val="false"/>
                <w:bCs w:val="false"/>
                <w:sz w:val="18"/>
                <w:szCs w:val="18"/>
              </w:rPr>
              <w:t xml:space="preserve">Softball DP/FLEX</w:t>
            </w:r>
          </w:p>
        </w:tc>
        <w:tc>
          <w:tcPr>
            <w:tcW w:type="dxa" w:w="2400"/>
          </w:tcPr>
          <w:p>
            <w:r>
              <w:rPr>
                <w:b w:val="false"/>
                <w:bCs w:val="false"/>
                <w:sz w:val="18"/>
                <w:szCs w:val="18"/>
              </w:rPr>
              <w:t xml:space="preserve">Standard NFHS DP/FLEX rules assumed to apply without MHSAA modification</w:t>
            </w:r>
          </w:p>
        </w:tc>
        <w:tc>
          <w:tcPr>
            <w:tcW w:type="dxa" w:w="1500"/>
          </w:tcPr>
          <w:p>
            <w:r>
              <w:rPr>
                <w:b w:val="false"/>
                <w:bCs w:val="false"/>
                <w:sz w:val="18"/>
                <w:szCs w:val="18"/>
              </w:rPr>
              <w:t xml:space="preserve">Spec §9.2</w:t>
            </w:r>
          </w:p>
        </w:tc>
        <w:tc>
          <w:tcPr>
            <w:tcW w:type="dxa" w:w="900"/>
          </w:tcPr>
          <w:p>
            <w:r>
              <w:rPr>
                <w:b w:val="false"/>
                <w:bCs w:val="false"/>
                <w:sz w:val="18"/>
                <w:szCs w:val="18"/>
              </w:rPr>
              <w:t xml:space="preserve"/>
            </w:r>
          </w:p>
        </w:tc>
        <w:tc>
          <w:tcPr>
            <w:tcW w:type="dxa" w:w="2560"/>
          </w:tcPr>
          <w:p>
            <w:r>
              <w:rPr>
                <w:b w:val="false"/>
                <w:bCs w:val="false"/>
                <w:sz w:val="18"/>
                <w:szCs w:val="18"/>
              </w:rPr>
              <w:t xml:space="preserve"/>
            </w:r>
          </w:p>
        </w:tc>
      </w:tr>
    </w:tbl>
    <w:p>
      <w:pPr>
        <w:spacing w:after="200"/>
      </w:pPr>
    </w:p>
    <w:p>
      <w:pPr>
        <w:pStyle w:val="Heading2"/>
        <w:spacing w:after="120" w:before="260"/>
      </w:pPr>
      <w:r>
        <w:t xml:space="preserve">8. Source / version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500"/>
        <w:gridCol w:w="900"/>
        <w:gridCol w:w="2560"/>
      </w:tblGrid>
      <w:tr>
        <w:trPr>
          <w:tblHeader/>
        </w:trPr>
        <w:tc>
          <w:tcPr>
            <w:tcW w:type="dxa" w:w="2000"/>
            <w:shd w:fill="D9E2F3" w:val="clear"/>
          </w:tcPr>
          <w:p>
            <w:r>
              <w:rPr>
                <w:b/>
                <w:bCs/>
                <w:sz w:val="18"/>
                <w:szCs w:val="18"/>
              </w:rPr>
              <w:t xml:space="preserve">Field</w:t>
            </w:r>
          </w:p>
        </w:tc>
        <w:tc>
          <w:tcPr>
            <w:tcW w:type="dxa" w:w="2400"/>
            <w:shd w:fill="D9E2F3" w:val="clear"/>
          </w:tcPr>
          <w:p>
            <w:r>
              <w:rPr>
                <w:b/>
                <w:bCs/>
                <w:sz w:val="18"/>
                <w:szCs w:val="18"/>
              </w:rPr>
              <w:t xml:space="preserve">Current draft value (from spec)</w:t>
            </w:r>
          </w:p>
        </w:tc>
        <w:tc>
          <w:tcPr>
            <w:tcW w:type="dxa" w:w="1500"/>
            <w:shd w:fill="D9E2F3" w:val="clear"/>
          </w:tcPr>
          <w:p>
            <w:r>
              <w:rPr>
                <w:b/>
                <w:bCs/>
                <w:sz w:val="18"/>
                <w:szCs w:val="18"/>
              </w:rPr>
              <w:t xml:space="preserve">Source cited in spec</w:t>
            </w:r>
          </w:p>
        </w:tc>
        <w:tc>
          <w:tcPr>
            <w:tcW w:type="dxa" w:w="900"/>
            <w:shd w:fill="D9E2F3" w:val="clear"/>
          </w:tcPr>
          <w:p>
            <w:r>
              <w:rPr>
                <w:b/>
                <w:bCs/>
                <w:sz w:val="18"/>
                <w:szCs w:val="18"/>
              </w:rPr>
              <w:t xml:space="preserve">Verified?</w:t>
            </w:r>
          </w:p>
        </w:tc>
        <w:tc>
          <w:tcPr>
            <w:tcW w:type="dxa" w:w="2560"/>
            <w:shd w:fill="D9E2F3" w:val="clear"/>
          </w:tcPr>
          <w:p>
            <w:r>
              <w:rPr>
                <w:b/>
                <w:bCs/>
                <w:sz w:val="18"/>
                <w:szCs w:val="18"/>
              </w:rPr>
              <w:t xml:space="preserve">Correct value / notes</w:t>
            </w:r>
          </w:p>
        </w:tc>
      </w:tr>
      <w:tr>
        <w:tc>
          <w:tcPr>
            <w:tcW w:type="dxa" w:w="2000"/>
          </w:tcPr>
          <w:p>
            <w:r>
              <w:rPr>
                <w:b w:val="false"/>
                <w:bCs w:val="false"/>
                <w:sz w:val="18"/>
                <w:szCs w:val="18"/>
              </w:rPr>
              <w:t xml:space="preserve">Handbook edition used</w:t>
            </w:r>
          </w:p>
        </w:tc>
        <w:tc>
          <w:tcPr>
            <w:tcW w:type="dxa" w:w="2400"/>
          </w:tcPr>
          <w:p>
            <w:r>
              <w:rPr>
                <w:b w:val="false"/>
                <w:bCs w:val="false"/>
                <w:sz w:val="18"/>
                <w:szCs w:val="18"/>
              </w:rPr>
              <w:t xml:space="preserve">"2026-27 MHSAA Handbook Final V6" – confirm this is still the current, final version at the time these profiles ship (handbooks get revised)</w:t>
            </w:r>
          </w:p>
        </w:tc>
        <w:tc>
          <w:tcPr>
            <w:tcW w:type="dxa" w:w="1500"/>
          </w:tcPr>
          <w:p>
            <w:r>
              <w:rPr>
                <w:b w:val="false"/>
                <w:bCs w:val="false"/>
                <w:sz w:val="18"/>
                <w:szCs w:val="18"/>
              </w:rPr>
              <w:t xml:space="preserve">Spec §20.1</w:t>
            </w:r>
          </w:p>
        </w:tc>
        <w:tc>
          <w:tcPr>
            <w:tcW w:type="dxa" w:w="900"/>
          </w:tcPr>
          <w:p>
            <w:r>
              <w:rPr>
                <w:b w:val="false"/>
                <w:bCs w:val="false"/>
                <w:sz w:val="18"/>
                <w:szCs w:val="18"/>
              </w:rPr>
              <w:t xml:space="preserve"/>
            </w:r>
          </w:p>
        </w:tc>
        <w:tc>
          <w:tcPr>
            <w:tcW w:type="dxa" w:w="2560"/>
          </w:tcPr>
          <w:p>
            <w:r>
              <w:rPr>
                <w:b w:val="false"/>
                <w:bCs w:val="false"/>
                <w:sz w:val="18"/>
                <w:szCs w:val="18"/>
              </w:rPr>
              <w:t xml:space="preserve"/>
            </w:r>
          </w:p>
        </w:tc>
      </w:tr>
      <w:tr>
        <w:tc>
          <w:tcPr>
            <w:tcW w:type="dxa" w:w="2000"/>
          </w:tcPr>
          <w:p>
            <w:r>
              <w:rPr>
                <w:b w:val="false"/>
                <w:bCs w:val="false"/>
                <w:sz w:val="18"/>
                <w:szCs w:val="18"/>
              </w:rPr>
              <w:t xml:space="preserve">Per-field page citations</w:t>
            </w:r>
          </w:p>
        </w:tc>
        <w:tc>
          <w:tcPr>
            <w:tcW w:type="dxa" w:w="2400"/>
          </w:tcPr>
          <w:p>
            <w:r>
              <w:rPr>
                <w:b w:val="false"/>
                <w:bCs w:val="false"/>
                <w:sz w:val="18"/>
                <w:szCs w:val="18"/>
              </w:rPr>
              <w:t xml:space="preserve">Spec cites one example (runRule authorityRef: "MHSAA 2026-27 Handbook p.143") – extend that discipline to every field above as you verify it</w:t>
            </w:r>
          </w:p>
        </w:tc>
        <w:tc>
          <w:tcPr>
            <w:tcW w:type="dxa" w:w="1500"/>
          </w:tcPr>
          <w:p>
            <w:r>
              <w:rPr>
                <w:b w:val="false"/>
                <w:bCs w:val="false"/>
                <w:sz w:val="18"/>
                <w:szCs w:val="18"/>
              </w:rPr>
              <w:t xml:space="preserve">Spec §3.1</w:t>
            </w:r>
          </w:p>
        </w:tc>
        <w:tc>
          <w:tcPr>
            <w:tcW w:type="dxa" w:w="900"/>
          </w:tcPr>
          <w:p>
            <w:r>
              <w:rPr>
                <w:b w:val="false"/>
                <w:bCs w:val="false"/>
                <w:sz w:val="18"/>
                <w:szCs w:val="18"/>
              </w:rPr>
              <w:t xml:space="preserve"/>
            </w:r>
          </w:p>
        </w:tc>
        <w:tc>
          <w:tcPr>
            <w:tcW w:type="dxa" w:w="2560"/>
          </w:tcPr>
          <w:p>
            <w:r>
              <w:rPr>
                <w:b w:val="false"/>
                <w:bCs w:val="false"/>
                <w:sz w:val="18"/>
                <w:szCs w:val="18"/>
              </w:rPr>
              <w:t xml:space="preserve"/>
            </w:r>
          </w:p>
        </w:tc>
      </w:tr>
    </w:tbl>
    <w:p>
      <w:pPr>
        <w:spacing w:after="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2026-09-08T01:21:02.863Z</dcterms:created>
  <dcterms:modified xsi:type="dcterms:W3CDTF">2026-09-08T01:21:02.879Z</dcterms:modified>
</cp:coreProperties>
</file>

<file path=docProps/custom.xml><?xml version="1.0" encoding="utf-8"?>
<Properties xmlns="http://schemas.openxmlformats.org/officeDocument/2006/custom-properties" xmlns:vt="http://schemas.openxmlformats.org/officeDocument/2006/docPropsVTypes"/>
</file>