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44"/>
        </w:rPr>
        <w:t>ITC Promotion Admin Guide</w:t>
      </w:r>
    </w:p>
    <w:p>
      <w:pPr>
        <w:spacing w:after="240"/>
        <w:jc w:val="center"/>
      </w:pPr>
      <w:r>
        <w:rPr>
          <w:rFonts w:ascii="Calibri" w:hAnsi="Calibri"/>
          <w:b w:val="0"/>
          <w:color w:val="444444"/>
          <w:sz w:val="24"/>
        </w:rPr>
        <w:t>The Admin and the API share one promotion list of at most 5 product SKUs.</w:t>
      </w:r>
    </w:p>
    <w:p>
      <w:pPr>
        <w:spacing w:before="320" w:after="120"/>
      </w:pPr>
      <w:r>
        <w:rPr>
          <w:rFonts w:ascii="Calibri" w:hAnsi="Calibri"/>
          <w:b/>
          <w:color w:val="1A1A1A"/>
          <w:sz w:val="32"/>
        </w:rPr>
        <w:t>1. Enable the promotion service</w:t>
      </w:r>
    </w:p>
    <w:p>
      <w:pPr>
        <w:spacing w:after="120" w:line="276" w:lineRule="auto"/>
      </w:pPr>
      <w:r>
        <w:rPr>
          <w:rFonts w:ascii="Calibri" w:hAnsi="Calibri"/>
          <w:b w:val="0"/>
          <w:sz w:val="24"/>
        </w:rPr>
        <w:t>Go to Stores &gt; Configuration &gt; ITC &gt; Promotion.</w:t>
      </w:r>
    </w:p>
    <w:p>
      <w:pPr>
        <w:spacing w:after="40"/>
        <w:ind w:left="283"/>
      </w:pPr>
      <w:r>
        <w:rPr>
          <w:rFonts w:ascii="Calibri" w:hAnsi="Calibri"/>
          <w:b w:val="0"/>
          <w:sz w:val="24"/>
        </w:rPr>
        <w:t>Leave Scope at Default Config.</w:t>
      </w:r>
    </w:p>
    <w:p>
      <w:pPr>
        <w:spacing w:after="40"/>
        <w:ind w:left="283"/>
      </w:pPr>
      <w:r>
        <w:rPr>
          <w:rFonts w:ascii="Calibri" w:hAnsi="Calibri"/>
          <w:b w:val="0"/>
          <w:sz w:val="24"/>
        </w:rPr>
        <w:t>Set Enable Promotion Service to Yes, then save.</w:t>
      </w:r>
    </w:p>
    <w:p>
      <w:pPr>
        <w:spacing w:after="120" w:line="276" w:lineRule="auto"/>
      </w:pPr>
      <w:r>
        <w:rPr>
          <w:rFonts w:ascii="Calibri" w:hAnsi="Calibri"/>
          <w:b w:val="0"/>
          <w:sz w:val="24"/>
        </w:rPr>
        <w:t>When this is No, the public API returns an empty list, and both Admin saves and API updates are rejected. The switch applies to the whole installation.</w:t>
      </w:r>
    </w:p>
    <w:p>
      <w:pPr>
        <w:spacing w:before="160" w:after="40"/>
        <w:jc w:val="center"/>
      </w:pPr>
      <w:r>
        <w:drawing>
          <wp:inline xmlns:a="http://schemas.openxmlformats.org/drawingml/2006/main" xmlns:pic="http://schemas.openxmlformats.org/drawingml/2006/picture">
            <wp:extent cx="5760720" cy="3118150"/>
            <wp:docPr id="1" name="Picture 1"/>
            <wp:cNvGraphicFramePr>
              <a:graphicFrameLocks noChangeAspect="1"/>
            </wp:cNvGraphicFramePr>
            <a:graphic>
              <a:graphicData uri="http://schemas.openxmlformats.org/drawingml/2006/picture">
                <pic:pic>
                  <pic:nvPicPr>
                    <pic:cNvPr id="0" name="configuration-setting.png"/>
                    <pic:cNvPicPr/>
                  </pic:nvPicPr>
                  <pic:blipFill>
                    <a:blip r:embed="rId9"/>
                    <a:stretch>
                      <a:fillRect/>
                    </a:stretch>
                  </pic:blipFill>
                  <pic:spPr>
                    <a:xfrm>
                      <a:off x="0" y="0"/>
                      <a:ext cx="5760720" cy="3118150"/>
                    </a:xfrm>
                    <a:prstGeom prst="rect"/>
                  </pic:spPr>
                </pic:pic>
              </a:graphicData>
            </a:graphic>
          </wp:inline>
        </w:drawing>
      </w:r>
    </w:p>
    <w:p>
      <w:pPr>
        <w:spacing w:after="200"/>
        <w:jc w:val="center"/>
      </w:pPr>
      <w:r>
        <w:rPr>
          <w:rFonts w:ascii="Calibri" w:hAnsi="Calibri"/>
          <w:b w:val="0"/>
          <w:color w:val="666666"/>
          <w:sz w:val="20"/>
        </w:rPr>
        <w:t>Figure 1. Enable Promotion Service</w:t>
      </w:r>
    </w:p>
    <w:p>
      <w:pPr>
        <w:spacing w:before="320" w:after="120"/>
      </w:pPr>
      <w:r>
        <w:rPr>
          <w:rFonts w:ascii="Calibri" w:hAnsi="Calibri"/>
          <w:b/>
          <w:color w:val="1A1A1A"/>
          <w:sz w:val="32"/>
        </w:rPr>
        <w:t>2. Open the promotion product list</w:t>
      </w:r>
    </w:p>
    <w:p>
      <w:pPr>
        <w:spacing w:after="120" w:line="276" w:lineRule="auto"/>
      </w:pPr>
      <w:r>
        <w:rPr>
          <w:rFonts w:ascii="Calibri" w:hAnsi="Calibri"/>
          <w:b w:val="0"/>
          <w:sz w:val="24"/>
        </w:rPr>
        <w:t>Go to Marketing &gt; ITC &gt; Promotion Products.</w:t>
      </w:r>
    </w:p>
    <w:p>
      <w:pPr>
        <w:spacing w:after="120" w:line="276" w:lineRule="auto"/>
      </w:pPr>
      <w:r>
        <w:rPr>
          <w:rFonts w:ascii="Calibri" w:hAnsi="Calibri"/>
          <w:b w:val="0"/>
          <w:sz w:val="24"/>
        </w:rPr>
        <w:t>The grid has no store switcher. The installation keeps one shared list. Product name, price, special price, and status are the default-scope values. Stock status is the default stock index. Click a product name to open the catalog product edit page.</w:t>
      </w:r>
    </w:p>
    <w:p>
      <w:pPr>
        <w:spacing w:before="160" w:after="40"/>
        <w:jc w:val="center"/>
      </w:pPr>
      <w:r>
        <w:drawing>
          <wp:inline xmlns:a="http://schemas.openxmlformats.org/drawingml/2006/main" xmlns:pic="http://schemas.openxmlformats.org/drawingml/2006/picture">
            <wp:extent cx="5760720" cy="2366933"/>
            <wp:docPr id="2" name="Picture 2"/>
            <wp:cNvGraphicFramePr>
              <a:graphicFrameLocks noChangeAspect="1"/>
            </wp:cNvGraphicFramePr>
            <a:graphic>
              <a:graphicData uri="http://schemas.openxmlformats.org/drawingml/2006/picture">
                <pic:pic>
                  <pic:nvPicPr>
                    <pic:cNvPr id="0" name="system-backend-promotion-table.png"/>
                    <pic:cNvPicPr/>
                  </pic:nvPicPr>
                  <pic:blipFill>
                    <a:blip r:embed="rId10"/>
                    <a:stretch>
                      <a:fillRect/>
                    </a:stretch>
                  </pic:blipFill>
                  <pic:spPr>
                    <a:xfrm>
                      <a:off x="0" y="0"/>
                      <a:ext cx="5760720" cy="2366933"/>
                    </a:xfrm>
                    <a:prstGeom prst="rect"/>
                  </pic:spPr>
                </pic:pic>
              </a:graphicData>
            </a:graphic>
          </wp:inline>
        </w:drawing>
      </w:r>
    </w:p>
    <w:p>
      <w:pPr>
        <w:spacing w:after="200"/>
        <w:jc w:val="center"/>
      </w:pPr>
      <w:r>
        <w:rPr>
          <w:rFonts w:ascii="Calibri" w:hAnsi="Calibri"/>
          <w:b w:val="0"/>
          <w:color w:val="666666"/>
          <w:sz w:val="20"/>
        </w:rPr>
        <w:t>Figure 2. Marketing &gt; ITC &gt; Promotion Products</w:t>
      </w:r>
    </w:p>
    <w:p>
      <w:pPr>
        <w:spacing w:before="320" w:after="120"/>
      </w:pPr>
      <w:r>
        <w:rPr>
          <w:rFonts w:ascii="Calibri" w:hAnsi="Calibri"/>
          <w:b/>
          <w:color w:val="1A1A1A"/>
          <w:sz w:val="32"/>
        </w:rPr>
        <w:t>3. Add products</w:t>
      </w:r>
    </w:p>
    <w:p>
      <w:pPr>
        <w:spacing w:after="120" w:line="276" w:lineRule="auto"/>
      </w:pPr>
      <w:r>
        <w:rPr>
          <w:rFonts w:ascii="Calibri" w:hAnsi="Calibri"/>
          <w:b w:val="0"/>
          <w:sz w:val="24"/>
        </w:rPr>
        <w:t>Click Add Product at the top right.</w:t>
      </w:r>
    </w:p>
    <w:p>
      <w:pPr>
        <w:spacing w:after="40"/>
        <w:ind w:left="283"/>
      </w:pPr>
      <w:r>
        <w:rPr>
          <w:rFonts w:ascii="Calibri" w:hAnsi="Calibri"/>
          <w:b w:val="0"/>
          <w:sz w:val="24"/>
        </w:rPr>
        <w:t>SKU: enter up to 5 SKUs, separated by commas. Example: 24-MB01, 24-MB04, 24-MB03.</w:t>
      </w:r>
    </w:p>
    <w:p>
      <w:pPr>
        <w:spacing w:after="40"/>
        <w:ind w:left="283"/>
      </w:pPr>
      <w:r>
        <w:rPr>
          <w:rFonts w:ascii="Calibri" w:hAnsi="Calibri"/>
          <w:b w:val="0"/>
          <w:sz w:val="24"/>
        </w:rPr>
        <w:t>Position: optional. Use the same order as the SKUs, also separated by commas, for example 0, 1, 2. Leave it empty to append the SKUs.</w:t>
      </w:r>
    </w:p>
    <w:p>
      <w:pPr>
        <w:spacing w:after="40"/>
        <w:ind w:left="283"/>
      </w:pPr>
      <w:r>
        <w:rPr>
          <w:rFonts w:ascii="Calibri" w:hAnsi="Calibri"/>
          <w:b w:val="0"/>
          <w:sz w:val="24"/>
        </w:rPr>
        <w:t>Click Save. One save writes the whole batch.</w:t>
      </w:r>
    </w:p>
    <w:p>
      <w:pPr>
        <w:spacing w:after="120" w:line="276" w:lineRule="auto"/>
      </w:pPr>
      <w:r>
        <w:rPr>
          <w:rFonts w:ascii="Calibri" w:hAnsi="Calibri"/>
          <w:b w:val="0"/>
          <w:sz w:val="24"/>
        </w:rPr>
        <w:t>SKUs already stored plus the new ones cannot exceed 5. Every SKU must already exist in the catalog.</w:t>
      </w:r>
    </w:p>
    <w:p>
      <w:pPr>
        <w:spacing w:before="160" w:after="40"/>
        <w:jc w:val="center"/>
      </w:pPr>
      <w:r>
        <w:drawing>
          <wp:inline xmlns:a="http://schemas.openxmlformats.org/drawingml/2006/main" xmlns:pic="http://schemas.openxmlformats.org/drawingml/2006/picture">
            <wp:extent cx="5760720" cy="1754165"/>
            <wp:docPr id="3" name="Picture 3"/>
            <wp:cNvGraphicFramePr>
              <a:graphicFrameLocks noChangeAspect="1"/>
            </wp:cNvGraphicFramePr>
            <a:graphic>
              <a:graphicData uri="http://schemas.openxmlformats.org/drawingml/2006/picture">
                <pic:pic>
                  <pic:nvPicPr>
                    <pic:cNvPr id="0" name="add-promotion-form.png"/>
                    <pic:cNvPicPr/>
                  </pic:nvPicPr>
                  <pic:blipFill>
                    <a:blip r:embed="rId11"/>
                    <a:stretch>
                      <a:fillRect/>
                    </a:stretch>
                  </pic:blipFill>
                  <pic:spPr>
                    <a:xfrm>
                      <a:off x="0" y="0"/>
                      <a:ext cx="5760720" cy="1754165"/>
                    </a:xfrm>
                    <a:prstGeom prst="rect"/>
                  </pic:spPr>
                </pic:pic>
              </a:graphicData>
            </a:graphic>
          </wp:inline>
        </w:drawing>
      </w:r>
    </w:p>
    <w:p>
      <w:pPr>
        <w:spacing w:after="200"/>
        <w:jc w:val="center"/>
      </w:pPr>
      <w:r>
        <w:rPr>
          <w:rFonts w:ascii="Calibri" w:hAnsi="Calibri"/>
          <w:b w:val="0"/>
          <w:color w:val="666666"/>
          <w:sz w:val="20"/>
        </w:rPr>
        <w:t>Figure 3. Add a promotion product</w:t>
      </w:r>
    </w:p>
    <w:p>
      <w:pPr>
        <w:spacing w:before="160" w:after="40"/>
        <w:jc w:val="center"/>
      </w:pPr>
      <w:r>
        <w:drawing>
          <wp:inline xmlns:a="http://schemas.openxmlformats.org/drawingml/2006/main" xmlns:pic="http://schemas.openxmlformats.org/drawingml/2006/picture">
            <wp:extent cx="5760720" cy="2259975"/>
            <wp:docPr id="4" name="Picture 4"/>
            <wp:cNvGraphicFramePr>
              <a:graphicFrameLocks noChangeAspect="1"/>
            </wp:cNvGraphicFramePr>
            <a:graphic>
              <a:graphicData uri="http://schemas.openxmlformats.org/drawingml/2006/picture">
                <pic:pic>
                  <pic:nvPicPr>
                    <pic:cNvPr id="0" name="form-notice-input-skus.png"/>
                    <pic:cNvPicPr/>
                  </pic:nvPicPr>
                  <pic:blipFill>
                    <a:blip r:embed="rId12"/>
                    <a:stretch>
                      <a:fillRect/>
                    </a:stretch>
                  </pic:blipFill>
                  <pic:spPr>
                    <a:xfrm>
                      <a:off x="0" y="0"/>
                      <a:ext cx="5760720" cy="2259975"/>
                    </a:xfrm>
                    <a:prstGeom prst="rect"/>
                  </pic:spPr>
                </pic:pic>
              </a:graphicData>
            </a:graphic>
          </wp:inline>
        </w:drawing>
      </w:r>
    </w:p>
    <w:p>
      <w:pPr>
        <w:spacing w:after="200"/>
        <w:jc w:val="center"/>
      </w:pPr>
      <w:r>
        <w:rPr>
          <w:rFonts w:ascii="Calibri" w:hAnsi="Calibri"/>
          <w:b w:val="0"/>
          <w:color w:val="666666"/>
          <w:sz w:val="20"/>
        </w:rPr>
        <w:t>Figure 4. SKU notice: up to 5 product SKUs, separated by commas</w:t>
      </w:r>
    </w:p>
    <w:p>
      <w:pPr>
        <w:spacing w:before="320" w:after="120"/>
      </w:pPr>
      <w:r>
        <w:rPr>
          <w:rFonts w:ascii="Calibri" w:hAnsi="Calibri"/>
          <w:b/>
          <w:color w:val="1A1A1A"/>
          <w:sz w:val="32"/>
        </w:rPr>
        <w:t>4. Adding another SKU when the list already has 5</w:t>
      </w:r>
    </w:p>
    <w:p>
      <w:pPr>
        <w:spacing w:after="120" w:line="276" w:lineRule="auto"/>
      </w:pPr>
      <w:r>
        <w:rPr>
          <w:rFonts w:ascii="Calibri" w:hAnsi="Calibri"/>
          <w:b w:val="0"/>
          <w:sz w:val="24"/>
        </w:rPr>
        <w:t>If the list already has 5 SKUs, saving one more fails. The page shows: A promotion list cannot contain more than 5 SKUs. That save does not write anything. Delete an existing row before adding a new product.</w:t>
      </w:r>
    </w:p>
    <w:p>
      <w:pPr>
        <w:spacing w:before="160" w:after="40"/>
        <w:jc w:val="center"/>
      </w:pPr>
      <w:r>
        <w:drawing>
          <wp:inline xmlns:a="http://schemas.openxmlformats.org/drawingml/2006/main" xmlns:pic="http://schemas.openxmlformats.org/drawingml/2006/picture">
            <wp:extent cx="5760720" cy="3162429"/>
            <wp:docPr id="5" name="Picture 5"/>
            <wp:cNvGraphicFramePr>
              <a:graphicFrameLocks noChangeAspect="1"/>
            </wp:cNvGraphicFramePr>
            <a:graphic>
              <a:graphicData uri="http://schemas.openxmlformats.org/drawingml/2006/picture">
                <pic:pic>
                  <pic:nvPicPr>
                    <pic:cNvPr id="0" name="message after limit 5 skus.png"/>
                    <pic:cNvPicPr/>
                  </pic:nvPicPr>
                  <pic:blipFill>
                    <a:blip r:embed="rId13"/>
                    <a:stretch>
                      <a:fillRect/>
                    </a:stretch>
                  </pic:blipFill>
                  <pic:spPr>
                    <a:xfrm>
                      <a:off x="0" y="0"/>
                      <a:ext cx="5760720" cy="3162429"/>
                    </a:xfrm>
                    <a:prstGeom prst="rect"/>
                  </pic:spPr>
                </pic:pic>
              </a:graphicData>
            </a:graphic>
          </wp:inline>
        </w:drawing>
      </w:r>
    </w:p>
    <w:p>
      <w:pPr>
        <w:spacing w:after="200"/>
        <w:jc w:val="center"/>
      </w:pPr>
      <w:r>
        <w:rPr>
          <w:rFonts w:ascii="Calibri" w:hAnsi="Calibri"/>
          <w:b w:val="0"/>
          <w:color w:val="666666"/>
          <w:sz w:val="20"/>
        </w:rPr>
        <w:t>Figure 5. Save fails when the list would exceed 5 SKUs</w:t>
      </w:r>
    </w:p>
    <w:p>
      <w:pPr>
        <w:spacing w:before="320" w:after="120"/>
      </w:pPr>
      <w:r>
        <w:rPr>
          <w:rFonts w:ascii="Calibri" w:hAnsi="Calibri"/>
          <w:b/>
          <w:color w:val="1A1A1A"/>
          <w:sz w:val="32"/>
        </w:rPr>
        <w:t>5. Change the sort order</w:t>
      </w:r>
    </w:p>
    <w:p>
      <w:pPr>
        <w:spacing w:after="120" w:line="276" w:lineRule="auto"/>
      </w:pPr>
      <w:r>
        <w:rPr>
          <w:rFonts w:ascii="Calibri" w:hAnsi="Calibri"/>
          <w:b w:val="0"/>
          <w:sz w:val="24"/>
        </w:rPr>
        <w:t>Edit Position on the grid. You do not open the edit form.</w:t>
      </w:r>
    </w:p>
    <w:p>
      <w:pPr>
        <w:spacing w:after="40"/>
        <w:ind w:left="283"/>
      </w:pPr>
      <w:r>
        <w:rPr>
          <w:rFonts w:ascii="Calibri" w:hAnsi="Calibri"/>
          <w:b w:val="0"/>
          <w:sz w:val="24"/>
        </w:rPr>
        <w:t>Click the blue number.</w:t>
      </w:r>
    </w:p>
    <w:p>
      <w:pPr>
        <w:spacing w:after="40"/>
        <w:ind w:left="283"/>
      </w:pPr>
      <w:r>
        <w:rPr>
          <w:rFonts w:ascii="Calibri" w:hAnsi="Calibri"/>
          <w:b w:val="0"/>
          <w:sz w:val="24"/>
        </w:rPr>
        <w:t>Type a whole number from 0 through 65535.</w:t>
      </w:r>
    </w:p>
    <w:p>
      <w:pPr>
        <w:spacing w:after="40"/>
        <w:ind w:left="283"/>
      </w:pPr>
      <w:r>
        <w:rPr>
          <w:rFonts w:ascii="Calibri" w:hAnsi="Calibri"/>
          <w:b w:val="0"/>
          <w:sz w:val="24"/>
        </w:rPr>
        <w:t>Click Update, or press Enter.</w:t>
      </w:r>
    </w:p>
    <w:p>
      <w:pPr>
        <w:spacing w:after="120" w:line="276" w:lineRule="auto"/>
      </w:pPr>
      <w:r>
        <w:rPr>
          <w:rFonts w:ascii="Calibri" w:hAnsi="Calibri"/>
          <w:b w:val="0"/>
          <w:sz w:val="24"/>
        </w:rPr>
        <w:t>Only that row keeps the number you entered. The other rows are not renumbered. The list is sorted by those numbers. The Actions column only has Delete.</w:t>
      </w:r>
    </w:p>
    <w:p>
      <w:pPr>
        <w:spacing w:before="160" w:after="40"/>
        <w:jc w:val="center"/>
      </w:pPr>
      <w:r>
        <w:drawing>
          <wp:inline xmlns:a="http://schemas.openxmlformats.org/drawingml/2006/main" xmlns:pic="http://schemas.openxmlformats.org/drawingml/2006/picture">
            <wp:extent cx="5760720" cy="3711138"/>
            <wp:docPr id="6" name="Picture 6"/>
            <wp:cNvGraphicFramePr>
              <a:graphicFrameLocks noChangeAspect="1"/>
            </wp:cNvGraphicFramePr>
            <a:graphic>
              <a:graphicData uri="http://schemas.openxmlformats.org/drawingml/2006/picture">
                <pic:pic>
                  <pic:nvPicPr>
                    <pic:cNvPr id="0" name="update postion action.png"/>
                    <pic:cNvPicPr/>
                  </pic:nvPicPr>
                  <pic:blipFill>
                    <a:blip r:embed="rId14"/>
                    <a:stretch>
                      <a:fillRect/>
                    </a:stretch>
                  </pic:blipFill>
                  <pic:spPr>
                    <a:xfrm>
                      <a:off x="0" y="0"/>
                      <a:ext cx="5760720" cy="3711138"/>
                    </a:xfrm>
                    <a:prstGeom prst="rect"/>
                  </pic:spPr>
                </pic:pic>
              </a:graphicData>
            </a:graphic>
          </wp:inline>
        </w:drawing>
      </w:r>
    </w:p>
    <w:p>
      <w:pPr>
        <w:spacing w:after="200"/>
        <w:jc w:val="center"/>
      </w:pPr>
      <w:r>
        <w:rPr>
          <w:rFonts w:ascii="Calibri" w:hAnsi="Calibri"/>
          <w:b w:val="0"/>
          <w:color w:val="666666"/>
          <w:sz w:val="20"/>
        </w:rPr>
        <w:t>Figure 6. Click the number, type a new position, and click Update</w:t>
      </w:r>
    </w:p>
    <w:p>
      <w:pPr>
        <w:spacing w:before="320" w:after="120"/>
      </w:pPr>
      <w:r>
        <w:rPr>
          <w:rFonts w:ascii="Calibri" w:hAnsi="Calibri"/>
          <w:b/>
          <w:color w:val="1A1A1A"/>
          <w:sz w:val="32"/>
        </w:rPr>
        <w:t>6. Delete one row</w:t>
      </w:r>
    </w:p>
    <w:p>
      <w:pPr>
        <w:spacing w:after="120" w:line="276" w:lineRule="auto"/>
      </w:pPr>
      <w:r>
        <w:rPr>
          <w:rFonts w:ascii="Calibri" w:hAnsi="Calibri"/>
          <w:b w:val="0"/>
          <w:sz w:val="24"/>
        </w:rPr>
        <w:t>Click Delete in that row's Actions column and confirm. The SKU is removed from the promotion list. The catalog product is not deleted.</w:t>
      </w:r>
    </w:p>
    <w:p>
      <w:pPr>
        <w:spacing w:before="320" w:after="120"/>
      </w:pPr>
      <w:r>
        <w:rPr>
          <w:rFonts w:ascii="Calibri" w:hAnsi="Calibri"/>
          <w:b/>
          <w:color w:val="1A1A1A"/>
          <w:sz w:val="32"/>
        </w:rPr>
        <w:t>7. Allow the API to use an access token</w:t>
      </w:r>
    </w:p>
    <w:p>
      <w:pPr>
        <w:spacing w:after="120" w:line="276" w:lineRule="auto"/>
      </w:pPr>
      <w:r>
        <w:rPr>
          <w:rFonts w:ascii="Calibri" w:hAnsi="Calibri"/>
          <w:b w:val="0"/>
          <w:sz w:val="24"/>
        </w:rPr>
        <w:t>Before replacing the list in Postman, turn on Bearer tokens.</w:t>
      </w:r>
    </w:p>
    <w:p>
      <w:pPr>
        <w:spacing w:after="120" w:line="276" w:lineRule="auto"/>
      </w:pPr>
      <w:r>
        <w:rPr>
          <w:rFonts w:ascii="Calibri" w:hAnsi="Calibri"/>
          <w:b w:val="0"/>
          <w:sz w:val="24"/>
        </w:rPr>
        <w:t>Go to Stores &gt; Configuration &gt; Services &gt; OAuth.</w:t>
      </w:r>
    </w:p>
    <w:p>
      <w:pPr>
        <w:spacing w:after="40"/>
        <w:ind w:left="283"/>
      </w:pPr>
      <w:r>
        <w:rPr>
          <w:rFonts w:ascii="Calibri" w:hAnsi="Calibri"/>
          <w:b w:val="0"/>
          <w:sz w:val="24"/>
        </w:rPr>
        <w:t>Set Allow OAuth Access Tokens to be used as standalone Bearer tokens to Yes, then save.</w:t>
      </w:r>
    </w:p>
    <w:p>
      <w:pPr>
        <w:spacing w:before="160" w:after="40"/>
        <w:jc w:val="center"/>
      </w:pPr>
      <w:r>
        <w:drawing>
          <wp:inline xmlns:a="http://schemas.openxmlformats.org/drawingml/2006/main" xmlns:pic="http://schemas.openxmlformats.org/drawingml/2006/picture">
            <wp:extent cx="5760720" cy="1993902"/>
            <wp:docPr id="7" name="Picture 7"/>
            <wp:cNvGraphicFramePr>
              <a:graphicFrameLocks noChangeAspect="1"/>
            </wp:cNvGraphicFramePr>
            <a:graphic>
              <a:graphicData uri="http://schemas.openxmlformats.org/drawingml/2006/picture">
                <pic:pic>
                  <pic:nvPicPr>
                    <pic:cNvPr id="0" name="system-backend-token access-setting.png"/>
                    <pic:cNvPicPr/>
                  </pic:nvPicPr>
                  <pic:blipFill>
                    <a:blip r:embed="rId15"/>
                    <a:stretch>
                      <a:fillRect/>
                    </a:stretch>
                  </pic:blipFill>
                  <pic:spPr>
                    <a:xfrm>
                      <a:off x="0" y="0"/>
                      <a:ext cx="5760720" cy="1993902"/>
                    </a:xfrm>
                    <a:prstGeom prst="rect"/>
                  </pic:spPr>
                </pic:pic>
              </a:graphicData>
            </a:graphic>
          </wp:inline>
        </w:drawing>
      </w:r>
    </w:p>
    <w:p>
      <w:pPr>
        <w:spacing w:after="200"/>
        <w:jc w:val="center"/>
      </w:pPr>
      <w:r>
        <w:rPr>
          <w:rFonts w:ascii="Calibri" w:hAnsi="Calibri"/>
          <w:b w:val="0"/>
          <w:color w:val="666666"/>
          <w:sz w:val="20"/>
        </w:rPr>
        <w:t>Figure 7. Allow an OAuth access token to be used as a Bearer token</w:t>
      </w:r>
    </w:p>
    <w:p>
      <w:pPr>
        <w:spacing w:before="320" w:after="120"/>
      </w:pPr>
      <w:r>
        <w:rPr>
          <w:rFonts w:ascii="Calibri" w:hAnsi="Calibri"/>
          <w:b/>
          <w:color w:val="1A1A1A"/>
          <w:sz w:val="32"/>
        </w:rPr>
        <w:t>8. Grant the integration permission</w:t>
      </w:r>
    </w:p>
    <w:p>
      <w:pPr>
        <w:spacing w:after="120" w:line="276" w:lineRule="auto"/>
      </w:pPr>
      <w:r>
        <w:rPr>
          <w:rFonts w:ascii="Calibri" w:hAnsi="Calibri"/>
          <w:b w:val="0"/>
          <w:sz w:val="24"/>
        </w:rPr>
        <w:t>Go to System &gt; Extensions &gt; Integrations and create or edit an integration.</w:t>
      </w:r>
    </w:p>
    <w:p>
      <w:pPr>
        <w:spacing w:after="40"/>
        <w:ind w:left="283"/>
      </w:pPr>
      <w:r>
        <w:rPr>
          <w:rFonts w:ascii="Calibri" w:hAnsi="Calibri"/>
          <w:b w:val="0"/>
          <w:sz w:val="24"/>
        </w:rPr>
        <w:t>Open the API tab and set Resource Access to Custom.</w:t>
      </w:r>
    </w:p>
    <w:p>
      <w:pPr>
        <w:spacing w:after="40"/>
        <w:ind w:left="283"/>
      </w:pPr>
      <w:r>
        <w:rPr>
          <w:rFonts w:ascii="Calibri" w:hAnsi="Calibri"/>
          <w:b w:val="0"/>
          <w:sz w:val="24"/>
        </w:rPr>
        <w:t>Select ITC Promotion. Replacing the list requires Replace Promotion List via API.</w:t>
      </w:r>
    </w:p>
    <w:p>
      <w:pPr>
        <w:spacing w:after="40"/>
        <w:ind w:left="283"/>
      </w:pPr>
      <w:r>
        <w:rPr>
          <w:rFonts w:ascii="Calibri" w:hAnsi="Calibri"/>
          <w:b w:val="0"/>
          <w:sz w:val="24"/>
        </w:rPr>
        <w:t>Save, click Activate, then click Allow.</w:t>
      </w:r>
    </w:p>
    <w:p>
      <w:pPr>
        <w:spacing w:after="40"/>
        <w:ind w:left="283"/>
      </w:pPr>
      <w:r>
        <w:rPr>
          <w:rFonts w:ascii="Calibri" w:hAnsi="Calibri"/>
          <w:b w:val="0"/>
          <w:sz w:val="24"/>
        </w:rPr>
        <w:t>Copy the Access Token from the popup. The Admin does not show it again after you close the window. If you did not copy it, click Reauthorize on that integration. That creates a new token.</w:t>
      </w:r>
    </w:p>
    <w:p>
      <w:pPr>
        <w:spacing w:before="160" w:after="40"/>
        <w:jc w:val="center"/>
      </w:pPr>
      <w:r>
        <w:drawing>
          <wp:inline xmlns:a="http://schemas.openxmlformats.org/drawingml/2006/main" xmlns:pic="http://schemas.openxmlformats.org/drawingml/2006/picture">
            <wp:extent cx="5760720" cy="2951825"/>
            <wp:docPr id="8" name="Picture 8"/>
            <wp:cNvGraphicFramePr>
              <a:graphicFrameLocks noChangeAspect="1"/>
            </wp:cNvGraphicFramePr>
            <a:graphic>
              <a:graphicData uri="http://schemas.openxmlformats.org/drawingml/2006/picture">
                <pic:pic>
                  <pic:nvPicPr>
                    <pic:cNvPr id="0" name="API access at ACL.png"/>
                    <pic:cNvPicPr/>
                  </pic:nvPicPr>
                  <pic:blipFill>
                    <a:blip r:embed="rId16"/>
                    <a:stretch>
                      <a:fillRect/>
                    </a:stretch>
                  </pic:blipFill>
                  <pic:spPr>
                    <a:xfrm>
                      <a:off x="0" y="0"/>
                      <a:ext cx="5760720" cy="2951825"/>
                    </a:xfrm>
                    <a:prstGeom prst="rect"/>
                  </pic:spPr>
                </pic:pic>
              </a:graphicData>
            </a:graphic>
          </wp:inline>
        </w:drawing>
      </w:r>
    </w:p>
    <w:p>
      <w:pPr>
        <w:spacing w:after="200"/>
        <w:jc w:val="center"/>
      </w:pPr>
      <w:r>
        <w:rPr>
          <w:rFonts w:ascii="Calibri" w:hAnsi="Calibri"/>
          <w:b w:val="0"/>
          <w:color w:val="666666"/>
          <w:sz w:val="20"/>
        </w:rPr>
        <w:t>Figure 8. ITC Promotion resources on the integration</w:t>
      </w:r>
    </w:p>
    <w:p>
      <w:pPr>
        <w:spacing w:before="320" w:after="120"/>
      </w:pPr>
      <w:r>
        <w:rPr>
          <w:rFonts w:ascii="Calibri" w:hAnsi="Calibri"/>
          <w:b/>
          <w:color w:val="1A1A1A"/>
          <w:sz w:val="32"/>
        </w:rPr>
        <w:t>9. Read the list in Postman</w:t>
      </w:r>
    </w:p>
    <w:p>
      <w:pPr>
        <w:spacing w:after="120" w:line="276" w:lineRule="auto"/>
      </w:pPr>
      <w:r>
        <w:rPr>
          <w:rFonts w:ascii="Calibri" w:hAnsi="Calibri"/>
          <w:b w:val="0"/>
          <w:sz w:val="24"/>
        </w:rPr>
        <w:t>GET does not need a token. If Postman reports that it cannot verify the certificate, turn off SSL certificate verification in Postman Settings for this local site.</w:t>
      </w:r>
    </w:p>
    <w:p>
      <w:pPr>
        <w:spacing w:after="40"/>
        <w:ind w:left="283"/>
      </w:pPr>
      <w:r>
        <w:rPr>
          <w:rFonts w:ascii="Calibri" w:hAnsi="Calibri"/>
          <w:b w:val="0"/>
          <w:sz w:val="24"/>
        </w:rPr>
        <w:t>Method: GET</w:t>
      </w:r>
    </w:p>
    <w:p>
      <w:pPr>
        <w:spacing w:after="40"/>
        <w:ind w:left="283"/>
      </w:pPr>
      <w:r>
        <w:rPr>
          <w:rFonts w:ascii="Calibri" w:hAnsi="Calibri"/>
          <w:b w:val="0"/>
          <w:sz w:val="24"/>
        </w:rPr>
        <w:t>URL: https://m248.com/rest/V1/promotions/products</w:t>
      </w:r>
    </w:p>
    <w:p>
      <w:pPr>
        <w:spacing w:after="40"/>
        <w:ind w:left="283"/>
      </w:pPr>
      <w:r>
        <w:rPr>
          <w:rFonts w:ascii="Calibri" w:hAnsi="Calibri"/>
          <w:b w:val="0"/>
          <w:sz w:val="24"/>
        </w:rPr>
        <w:t>Authorization: No Auth</w:t>
      </w:r>
    </w:p>
    <w:p>
      <w:pPr>
        <w:spacing w:after="120" w:line="276" w:lineRule="auto"/>
      </w:pPr>
      <w:r>
        <w:rPr>
          <w:rFonts w:ascii="Calibri" w:hAnsi="Calibri"/>
          <w:b w:val="0"/>
          <w:sz w:val="24"/>
        </w:rPr>
        <w:t>Success is HTTP 200. The body is items: the salable promotion products, at most 5. A stored SKU is omitted when the product is disabled, not salable, or not assigned to the current website.</w:t>
      </w:r>
    </w:p>
    <w:p>
      <w:pPr>
        <w:spacing w:before="160" w:after="40"/>
        <w:jc w:val="center"/>
      </w:pPr>
      <w:r>
        <w:drawing>
          <wp:inline xmlns:a="http://schemas.openxmlformats.org/drawingml/2006/main" xmlns:pic="http://schemas.openxmlformats.org/drawingml/2006/picture">
            <wp:extent cx="5760720" cy="2997597"/>
            <wp:docPr id="9" name="Picture 9"/>
            <wp:cNvGraphicFramePr>
              <a:graphicFrameLocks noChangeAspect="1"/>
            </wp:cNvGraphicFramePr>
            <a:graphic>
              <a:graphicData uri="http://schemas.openxmlformats.org/drawingml/2006/picture">
                <pic:pic>
                  <pic:nvPicPr>
                    <pic:cNvPr id="0" name="Postman-Get-RestAPI-test.png"/>
                    <pic:cNvPicPr/>
                  </pic:nvPicPr>
                  <pic:blipFill>
                    <a:blip r:embed="rId17"/>
                    <a:stretch>
                      <a:fillRect/>
                    </a:stretch>
                  </pic:blipFill>
                  <pic:spPr>
                    <a:xfrm>
                      <a:off x="0" y="0"/>
                      <a:ext cx="5760720" cy="2997597"/>
                    </a:xfrm>
                    <a:prstGeom prst="rect"/>
                  </pic:spPr>
                </pic:pic>
              </a:graphicData>
            </a:graphic>
          </wp:inline>
        </w:drawing>
      </w:r>
    </w:p>
    <w:p>
      <w:pPr>
        <w:spacing w:after="200"/>
        <w:jc w:val="center"/>
      </w:pPr>
      <w:r>
        <w:rPr>
          <w:rFonts w:ascii="Calibri" w:hAnsi="Calibri"/>
          <w:b w:val="0"/>
          <w:color w:val="666666"/>
          <w:sz w:val="20"/>
        </w:rPr>
        <w:t>Figure 9. Postman GET for the promotion products</w:t>
      </w:r>
    </w:p>
    <w:p>
      <w:pPr>
        <w:spacing w:before="320" w:after="120"/>
      </w:pPr>
      <w:r>
        <w:rPr>
          <w:rFonts w:ascii="Calibri" w:hAnsi="Calibri"/>
          <w:b/>
          <w:color w:val="1A1A1A"/>
          <w:sz w:val="32"/>
        </w:rPr>
        <w:t>10. Replace the whole list in Postman</w:t>
      </w:r>
    </w:p>
    <w:p>
      <w:pPr>
        <w:spacing w:after="120" w:line="276" w:lineRule="auto"/>
      </w:pPr>
      <w:r>
        <w:rPr>
          <w:rFonts w:ascii="Calibri" w:hAnsi="Calibri"/>
          <w:b w:val="0"/>
          <w:sz w:val="24"/>
        </w:rPr>
        <w:t>PUT replaces every promotion product currently stored. It does not append.</w:t>
      </w:r>
    </w:p>
    <w:p>
      <w:pPr>
        <w:spacing w:after="40"/>
        <w:ind w:left="283"/>
      </w:pPr>
      <w:r>
        <w:rPr>
          <w:rFonts w:ascii="Calibri" w:hAnsi="Calibri"/>
          <w:b w:val="0"/>
          <w:sz w:val="24"/>
        </w:rPr>
        <w:t>Method: PUT</w:t>
      </w:r>
    </w:p>
    <w:p>
      <w:pPr>
        <w:spacing w:after="40"/>
        <w:ind w:left="283"/>
      </w:pPr>
      <w:r>
        <w:rPr>
          <w:rFonts w:ascii="Calibri" w:hAnsi="Calibri"/>
          <w:b w:val="0"/>
          <w:sz w:val="24"/>
        </w:rPr>
        <w:t>URL: https://m248.com/rest/V1/promotions/products</w:t>
      </w:r>
    </w:p>
    <w:p>
      <w:pPr>
        <w:spacing w:after="40"/>
        <w:ind w:left="283"/>
      </w:pPr>
      <w:r>
        <w:rPr>
          <w:rFonts w:ascii="Calibri" w:hAnsi="Calibri"/>
          <w:b w:val="0"/>
          <w:sz w:val="24"/>
        </w:rPr>
        <w:t>Authorization: Bearer Token. Paste the Access Token copied in step 8.</w:t>
      </w:r>
    </w:p>
    <w:p>
      <w:pPr>
        <w:spacing w:after="40"/>
        <w:ind w:left="283"/>
      </w:pPr>
      <w:r>
        <w:rPr>
          <w:rFonts w:ascii="Calibri" w:hAnsi="Calibri"/>
          <w:b w:val="0"/>
          <w:sz w:val="24"/>
        </w:rPr>
        <w:t>Body: raw JSON, for example {"skus":["24-MB01","24-MB04"]}</w:t>
      </w:r>
    </w:p>
    <w:p>
      <w:pPr>
        <w:spacing w:after="120" w:line="276" w:lineRule="auto"/>
      </w:pPr>
      <w:r>
        <w:rPr>
          <w:rFonts w:ascii="Calibri" w:hAnsi="Calibri"/>
          <w:b w:val="0"/>
          <w:sz w:val="24"/>
        </w:rPr>
        <w:t>Success is HTTP 200. The response contains the stored skus and count. To clear the list, send {"skus":[]}.</w:t>
      </w:r>
    </w:p>
    <w:p>
      <w:pPr>
        <w:spacing w:before="160" w:after="40"/>
        <w:jc w:val="center"/>
      </w:pPr>
      <w:r>
        <w:drawing>
          <wp:inline xmlns:a="http://schemas.openxmlformats.org/drawingml/2006/main" xmlns:pic="http://schemas.openxmlformats.org/drawingml/2006/picture">
            <wp:extent cx="5760720" cy="3001997"/>
            <wp:docPr id="10" name="Picture 10"/>
            <wp:cNvGraphicFramePr>
              <a:graphicFrameLocks noChangeAspect="1"/>
            </wp:cNvGraphicFramePr>
            <a:graphic>
              <a:graphicData uri="http://schemas.openxmlformats.org/drawingml/2006/picture">
                <pic:pic>
                  <pic:nvPicPr>
                    <pic:cNvPr id="0" name="Postman-PUT-RestAPI-test.png"/>
                    <pic:cNvPicPr/>
                  </pic:nvPicPr>
                  <pic:blipFill>
                    <a:blip r:embed="rId18"/>
                    <a:stretch>
                      <a:fillRect/>
                    </a:stretch>
                  </pic:blipFill>
                  <pic:spPr>
                    <a:xfrm>
                      <a:off x="0" y="0"/>
                      <a:ext cx="5760720" cy="3001997"/>
                    </a:xfrm>
                    <a:prstGeom prst="rect"/>
                  </pic:spPr>
                </pic:pic>
              </a:graphicData>
            </a:graphic>
          </wp:inline>
        </w:drawing>
      </w:r>
    </w:p>
    <w:p>
      <w:pPr>
        <w:spacing w:after="200"/>
        <w:jc w:val="center"/>
      </w:pPr>
      <w:r>
        <w:rPr>
          <w:rFonts w:ascii="Calibri" w:hAnsi="Calibri"/>
          <w:b w:val="0"/>
          <w:color w:val="666666"/>
          <w:sz w:val="20"/>
        </w:rPr>
        <w:t>Figure 10. Postman PUT replaces the promotion list</w:t>
      </w:r>
    </w:p>
    <w:p>
      <w:pPr>
        <w:spacing w:before="320" w:after="120"/>
      </w:pPr>
      <w:r>
        <w:rPr>
          <w:rFonts w:ascii="Calibri" w:hAnsi="Calibri"/>
          <w:b/>
          <w:color w:val="1A1A1A"/>
          <w:sz w:val="32"/>
        </w:rPr>
        <w:t>11. Check the Admin after the PUT</w:t>
      </w:r>
    </w:p>
    <w:p>
      <w:pPr>
        <w:spacing w:after="120" w:line="276" w:lineRule="auto"/>
      </w:pPr>
      <w:r>
        <w:rPr>
          <w:rFonts w:ascii="Calibri" w:hAnsi="Calibri"/>
          <w:b w:val="0"/>
          <w:sz w:val="24"/>
        </w:rPr>
        <w:t>Refresh Marketing &gt; ITC &gt; Promotion Products. The grid matches the SKUs sent in the PUT, in the same order.</w:t>
      </w:r>
    </w:p>
    <w:p>
      <w:pPr>
        <w:spacing w:before="160" w:after="40"/>
        <w:jc w:val="center"/>
      </w:pPr>
      <w:r>
        <w:drawing>
          <wp:inline xmlns:a="http://schemas.openxmlformats.org/drawingml/2006/main" xmlns:pic="http://schemas.openxmlformats.org/drawingml/2006/picture">
            <wp:extent cx="5760720" cy="2289091"/>
            <wp:docPr id="11" name="Picture 11"/>
            <wp:cNvGraphicFramePr>
              <a:graphicFrameLocks noChangeAspect="1"/>
            </wp:cNvGraphicFramePr>
            <a:graphic>
              <a:graphicData uri="http://schemas.openxmlformats.org/drawingml/2006/picture">
                <pic:pic>
                  <pic:nvPicPr>
                    <pic:cNvPr id="0" name="After postman PUT.png"/>
                    <pic:cNvPicPr/>
                  </pic:nvPicPr>
                  <pic:blipFill>
                    <a:blip r:embed="rId19"/>
                    <a:stretch>
                      <a:fillRect/>
                    </a:stretch>
                  </pic:blipFill>
                  <pic:spPr>
                    <a:xfrm>
                      <a:off x="0" y="0"/>
                      <a:ext cx="5760720" cy="2289091"/>
                    </a:xfrm>
                    <a:prstGeom prst="rect"/>
                  </pic:spPr>
                </pic:pic>
              </a:graphicData>
            </a:graphic>
          </wp:inline>
        </w:drawing>
      </w:r>
    </w:p>
    <w:p>
      <w:pPr>
        <w:spacing w:after="200"/>
        <w:jc w:val="center"/>
      </w:pPr>
      <w:r>
        <w:rPr>
          <w:rFonts w:ascii="Calibri" w:hAnsi="Calibri"/>
          <w:b w:val="0"/>
          <w:color w:val="666666"/>
          <w:sz w:val="20"/>
        </w:rPr>
        <w:t>Figure 11. Admin list after a successful PUT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