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0A63" w14:textId="77777777" w:rsidR="00B1073D" w:rsidRDefault="00B1073D">
      <w:pPr>
        <w:spacing w:before="1600"/>
      </w:pPr>
    </w:p>
    <w:p w14:paraId="4AEFDC99" w14:textId="77777777" w:rsidR="00BE77FA" w:rsidRDefault="00BE77FA" w:rsidP="00BE77FA">
      <w:pPr>
        <w:rPr>
          <w:noProof/>
        </w:rPr>
      </w:pPr>
    </w:p>
    <w:p w14:paraId="397441A4" w14:textId="40C35BB9" w:rsidR="00BE77FA" w:rsidRPr="00BE77FA" w:rsidRDefault="00BE77FA" w:rsidP="00BE77FA">
      <w:pPr>
        <w:spacing w:after="600"/>
        <w:jc w:val="center"/>
        <w:rPr>
          <w:i/>
          <w:iCs/>
          <w:sz w:val="28"/>
          <w:szCs w:val="28"/>
        </w:rPr>
      </w:pPr>
      <w:r>
        <w:rPr>
          <w:rFonts w:ascii="Calibri" w:eastAsia="Calibri" w:hAnsi="Calibri" w:cs="Calibri"/>
          <w:i/>
          <w:iCs/>
          <w:sz w:val="28"/>
          <w:szCs w:val="28"/>
        </w:rPr>
        <w:t>How Inflation and Interest Rates Shape S&amp;P 500 Performance (2016–2026</w:t>
      </w:r>
      <w:r>
        <w:rPr>
          <w:rFonts w:ascii="Calibri" w:eastAsia="Calibri" w:hAnsi="Calibri" w:cs="Calibri"/>
          <w:i/>
          <w:iCs/>
          <w:color w:val="595959"/>
          <w:sz w:val="28"/>
          <w:szCs w:val="28"/>
        </w:rPr>
        <w:t>)</w:t>
      </w:r>
    </w:p>
    <w:p w14:paraId="1190B6B5" w14:textId="77777777" w:rsidR="00BE77FA" w:rsidRPr="00BE77FA" w:rsidRDefault="00BE77FA" w:rsidP="00BE77FA">
      <w:pPr>
        <w:spacing w:after="80"/>
        <w:jc w:val="center"/>
      </w:pPr>
    </w:p>
    <w:p w14:paraId="07E62546" w14:textId="77777777" w:rsidR="00BE77FA" w:rsidRDefault="00BE77FA" w:rsidP="00BE77FA">
      <w:pPr>
        <w:tabs>
          <w:tab w:val="left" w:pos="5970"/>
        </w:tabs>
        <w:jc w:val="center"/>
        <w:rPr>
          <w:rFonts w:cs="Times New Roman"/>
        </w:rPr>
      </w:pPr>
    </w:p>
    <w:p w14:paraId="2330ABA6" w14:textId="77777777" w:rsidR="00BE77FA" w:rsidRDefault="00BE77FA" w:rsidP="00BE77FA">
      <w:pPr>
        <w:tabs>
          <w:tab w:val="left" w:pos="5970"/>
        </w:tabs>
        <w:jc w:val="center"/>
        <w:rPr>
          <w:rFonts w:cs="Times New Roman"/>
        </w:rPr>
      </w:pPr>
      <w:r>
        <w:rPr>
          <w:rFonts w:cs="Times New Roman"/>
        </w:rPr>
        <w:t xml:space="preserve">Presented on: </w:t>
      </w:r>
    </w:p>
    <w:p w14:paraId="1D35C225" w14:textId="31BB700F" w:rsidR="00BE77FA" w:rsidRDefault="00BE77FA" w:rsidP="00BE77FA">
      <w:pPr>
        <w:tabs>
          <w:tab w:val="left" w:pos="5970"/>
        </w:tabs>
        <w:jc w:val="center"/>
        <w:rPr>
          <w:rFonts w:cs="Times New Roman"/>
        </w:rPr>
      </w:pPr>
      <w:r>
        <w:rPr>
          <w:rFonts w:cs="Times New Roman"/>
        </w:rPr>
        <w:t>July 19, 2025</w:t>
      </w:r>
    </w:p>
    <w:p w14:paraId="3265B9D1" w14:textId="77777777" w:rsidR="00BE77FA" w:rsidRDefault="00BE77FA" w:rsidP="00BE77FA">
      <w:pPr>
        <w:tabs>
          <w:tab w:val="left" w:pos="5970"/>
        </w:tabs>
        <w:jc w:val="center"/>
        <w:rPr>
          <w:rFonts w:cs="Times New Roman"/>
        </w:rPr>
      </w:pPr>
    </w:p>
    <w:p w14:paraId="03965F7F" w14:textId="77777777" w:rsidR="00BE77FA" w:rsidRDefault="00BE77FA" w:rsidP="00BE77FA">
      <w:pPr>
        <w:tabs>
          <w:tab w:val="left" w:pos="5970"/>
        </w:tabs>
        <w:jc w:val="center"/>
        <w:rPr>
          <w:rFonts w:cs="Times New Roman"/>
        </w:rPr>
      </w:pPr>
      <w:r>
        <w:rPr>
          <w:rFonts w:cs="Times New Roman"/>
        </w:rPr>
        <w:t>Presented by:</w:t>
      </w:r>
    </w:p>
    <w:p w14:paraId="6332CA2B" w14:textId="684E3D66" w:rsidR="00BE77FA" w:rsidRDefault="00BE77FA" w:rsidP="00BE77FA">
      <w:pPr>
        <w:tabs>
          <w:tab w:val="left" w:pos="5970"/>
        </w:tabs>
        <w:jc w:val="center"/>
        <w:rPr>
          <w:rFonts w:cs="Times New Roman"/>
        </w:rPr>
      </w:pPr>
      <w:r>
        <w:rPr>
          <w:rFonts w:cs="Times New Roman"/>
        </w:rPr>
        <w:t xml:space="preserve">Jason Daou</w:t>
      </w:r>
    </w:p>
    <w:p w14:paraId="571AFDA9" w14:textId="77777777" w:rsidR="00BE77FA" w:rsidRDefault="00BE77FA" w:rsidP="00BE77FA">
      <w:r>
        <w:br w:type="page"/>
      </w:r>
    </w:p>
    <w:sdt>
      <w:sdtPr>
        <w:rPr>
          <w:rFonts w:ascii="Times New Roman" w:eastAsiaTheme="minorHAnsi" w:hAnsi="Times New Roman" w:cstheme="minorBidi"/>
          <w:color w:val="auto"/>
          <w:kern w:val="2"/>
          <w:sz w:val="24"/>
          <w:szCs w:val="24"/>
          <w14:ligatures w14:val="standardContextual"/>
        </w:rPr>
        <w:id w:val="2086252256"/>
        <w:docPartObj>
          <w:docPartGallery w:val="Table of Contents"/>
          <w:docPartUnique/>
        </w:docPartObj>
      </w:sdtPr>
      <w:sdtEndPr>
        <w:rPr>
          <w:rFonts w:asciiTheme="minorHAnsi" w:eastAsiaTheme="minorEastAsia" w:hAnsiTheme="minorHAnsi"/>
          <w:b/>
          <w:bCs/>
          <w:noProof/>
          <w:kern w:val="0"/>
          <w:sz w:val="22"/>
          <w:szCs w:val="22"/>
          <w14:ligatures w14:val="none"/>
        </w:rPr>
      </w:sdtEndPr>
      <w:sdtContent>
        <w:p w14:paraId="32B8BF99" w14:textId="77777777" w:rsidR="007C4825" w:rsidRDefault="007C4825" w:rsidP="007C4825">
          <w:pPr>
            <w:pStyle w:val="TOCHeading"/>
          </w:pPr>
          <w:r>
            <w:t>Table of Contents</w:t>
          </w:r>
        </w:p>
        <w:p w14:paraId="0E09C751" w14:textId="680E9C48" w:rsidR="007B5C16" w:rsidRDefault="007C4825">
          <w:pPr>
            <w:pStyle w:val="TOC1"/>
            <w:tabs>
              <w:tab w:val="right" w:leader="dot" w:pos="9710"/>
            </w:tabs>
            <w:rPr>
              <w:rFonts w:asciiTheme="minorHAnsi" w:eastAsiaTheme="minorEastAsia" w:hAnsiTheme="minorHAnsi"/>
              <w:noProof/>
            </w:rPr>
          </w:pPr>
          <w:r>
            <w:fldChar w:fldCharType="begin"/>
            <w:instrText xml:space="preserve"> TOC \o "1-3" \h \z \u </w:instrText>
            <w:fldChar w:fldCharType="separate"/>
          </w:r>
          <w:hyperlink w:anchor="_Toc235260802" w:history="1">
            <w:r>
              <w:rPr>
                <w:rStyle w:val="Hyperlink"/>
                <w:noProof/>
              </w:rPr>
              <w:t>Table of Tables</w:t>
            </w:r>
            <w:r>
              <w:rPr>
                <w:noProof/>
                <w:webHidden/>
              </w:rPr>
              <w:tab/>
              <w:fldChar w:fldCharType="begin"/>
              <w:instrText xml:space="preserve"> PAGEREF _Toc235260802 \h </w:instrText>
              <w:fldChar w:fldCharType="separate"/>
              <w:t>3</w:t>
              <w:fldChar w:fldCharType="end"/>
            </w:r>
          </w:hyperlink>
        </w:p>
        <w:p w14:paraId="283037DB" w14:textId="55DEF876" w:rsidR="007B5C16" w:rsidRDefault="007B5C16">
          <w:pPr>
            <w:pStyle w:val="TOC1"/>
            <w:tabs>
              <w:tab w:val="left" w:pos="480"/>
              <w:tab w:val="right" w:leader="dot" w:pos="9710"/>
            </w:tabs>
            <w:rPr>
              <w:rFonts w:asciiTheme="minorHAnsi" w:eastAsiaTheme="minorEastAsia" w:hAnsiTheme="minorHAnsi"/>
              <w:noProof/>
            </w:rPr>
          </w:pPr>
          <w:hyperlink w:anchor="_Toc235260803" w:history="1">
            <w:r>
              <w:rPr>
                <w:rStyle w:val="Hyperlink"/>
                <w:rFonts w:eastAsia="Calibri"/>
                <w:noProof/>
              </w:rPr>
              <w:t>I.</w:t>
            </w:r>
            <w:r>
              <w:rPr>
                <w:rFonts w:asciiTheme="minorHAnsi" w:eastAsiaTheme="minorEastAsia" w:hAnsiTheme="minorHAnsi"/>
                <w:noProof/>
              </w:rPr>
              <w:tab/>
            </w:r>
            <w:r>
              <w:rPr>
                <w:rStyle w:val="Hyperlink"/>
                <w:rFonts w:eastAsia="Calibri"/>
                <w:noProof/>
              </w:rPr>
              <w:t>Introduction</w:t>
            </w:r>
            <w:r>
              <w:rPr>
                <w:noProof/>
                <w:webHidden/>
              </w:rPr>
              <w:tab/>
              <w:fldChar w:fldCharType="begin"/>
              <w:instrText xml:space="preserve"> PAGEREF _Toc235260803 \h </w:instrText>
              <w:fldChar w:fldCharType="separate"/>
              <w:t>4</w:t>
              <w:fldChar w:fldCharType="end"/>
            </w:r>
          </w:hyperlink>
        </w:p>
        <w:p w14:paraId="5CDBA6B2" w14:textId="122FE80B" w:rsidR="007B5C16" w:rsidRDefault="007B5C16">
          <w:pPr>
            <w:pStyle w:val="TOC2"/>
            <w:tabs>
              <w:tab w:val="right" w:leader="dot" w:pos="9710"/>
            </w:tabs>
            <w:rPr>
              <w:rFonts w:asciiTheme="minorHAnsi" w:eastAsiaTheme="minorEastAsia" w:hAnsiTheme="minorHAnsi"/>
              <w:noProof/>
            </w:rPr>
          </w:pPr>
          <w:hyperlink w:anchor="_Toc235260804" w:history="1">
            <w:r>
              <w:rPr>
                <w:rStyle w:val="Hyperlink"/>
                <w:rFonts w:eastAsia="Calibri"/>
                <w:noProof/>
              </w:rPr>
              <w:t>Context</w:t>
            </w:r>
            <w:r>
              <w:rPr>
                <w:noProof/>
                <w:webHidden/>
              </w:rPr>
              <w:tab/>
              <w:fldChar w:fldCharType="begin"/>
              <w:instrText xml:space="preserve"> PAGEREF _Toc235260804 \h </w:instrText>
              <w:fldChar w:fldCharType="separate"/>
              <w:t>4</w:t>
              <w:fldChar w:fldCharType="end"/>
            </w:r>
          </w:hyperlink>
        </w:p>
        <w:p w14:paraId="7196E835" w14:textId="51F70805" w:rsidR="007B5C16" w:rsidRDefault="007B5C16">
          <w:pPr>
            <w:pStyle w:val="TOC2"/>
            <w:tabs>
              <w:tab w:val="right" w:leader="dot" w:pos="9710"/>
            </w:tabs>
            <w:rPr>
              <w:rFonts w:asciiTheme="minorHAnsi" w:eastAsiaTheme="minorEastAsia" w:hAnsiTheme="minorHAnsi"/>
              <w:noProof/>
            </w:rPr>
          </w:pPr>
          <w:hyperlink w:anchor="_Toc235260805" w:history="1">
            <w:r>
              <w:rPr>
                <w:rStyle w:val="Hyperlink"/>
                <w:rFonts w:eastAsia="Calibri"/>
                <w:noProof/>
              </w:rPr>
              <w:t>Objectives</w:t>
            </w:r>
            <w:r>
              <w:rPr>
                <w:noProof/>
                <w:webHidden/>
              </w:rPr>
              <w:tab/>
              <w:fldChar w:fldCharType="begin"/>
              <w:instrText xml:space="preserve"> PAGEREF _Toc235260805 \h </w:instrText>
              <w:fldChar w:fldCharType="separate"/>
              <w:t>4</w:t>
              <w:fldChar w:fldCharType="end"/>
            </w:r>
          </w:hyperlink>
        </w:p>
        <w:p w14:paraId="45572886" w14:textId="29254AA2" w:rsidR="007B5C16" w:rsidRDefault="007B5C16">
          <w:pPr>
            <w:pStyle w:val="TOC2"/>
            <w:tabs>
              <w:tab w:val="right" w:leader="dot" w:pos="9710"/>
            </w:tabs>
            <w:rPr>
              <w:rFonts w:asciiTheme="minorHAnsi" w:eastAsiaTheme="minorEastAsia" w:hAnsiTheme="minorHAnsi"/>
              <w:noProof/>
            </w:rPr>
          </w:pPr>
          <w:hyperlink w:anchor="_Toc235260806" w:history="1">
            <w:r>
              <w:rPr>
                <w:rStyle w:val="Hyperlink"/>
                <w:rFonts w:eastAsia="Calibri"/>
                <w:noProof/>
              </w:rPr>
              <w:t>Importance</w:t>
            </w:r>
            <w:r>
              <w:rPr>
                <w:noProof/>
                <w:webHidden/>
              </w:rPr>
              <w:tab/>
              <w:fldChar w:fldCharType="begin"/>
              <w:instrText xml:space="preserve"> PAGEREF _Toc235260806 \h </w:instrText>
              <w:fldChar w:fldCharType="separate"/>
              <w:t>4</w:t>
              <w:fldChar w:fldCharType="end"/>
            </w:r>
          </w:hyperlink>
        </w:p>
        <w:p w14:paraId="3BBA6C7B" w14:textId="05335EA7" w:rsidR="007B5C16" w:rsidRDefault="007B5C16">
          <w:pPr>
            <w:pStyle w:val="TOC2"/>
            <w:tabs>
              <w:tab w:val="right" w:leader="dot" w:pos="9710"/>
            </w:tabs>
            <w:rPr>
              <w:rFonts w:asciiTheme="minorHAnsi" w:eastAsiaTheme="minorEastAsia" w:hAnsiTheme="minorHAnsi"/>
              <w:noProof/>
            </w:rPr>
          </w:pPr>
          <w:hyperlink w:anchor="_Toc235260807" w:history="1">
            <w:r>
              <w:rPr>
                <w:rStyle w:val="Hyperlink"/>
                <w:rFonts w:eastAsia="Calibri"/>
                <w:noProof/>
              </w:rPr>
              <w:t>Organization of This Report</w:t>
            </w:r>
            <w:r>
              <w:rPr>
                <w:noProof/>
                <w:webHidden/>
              </w:rPr>
              <w:tab/>
              <w:fldChar w:fldCharType="begin"/>
              <w:instrText xml:space="preserve"> PAGEREF _Toc235260807 \h </w:instrText>
              <w:fldChar w:fldCharType="separate"/>
              <w:t>5</w:t>
              <w:fldChar w:fldCharType="end"/>
            </w:r>
          </w:hyperlink>
        </w:p>
        <w:p w14:paraId="79E06F51" w14:textId="3254DD30" w:rsidR="007B5C16" w:rsidRDefault="007B5C16">
          <w:pPr>
            <w:pStyle w:val="TOC1"/>
            <w:tabs>
              <w:tab w:val="left" w:pos="480"/>
              <w:tab w:val="right" w:leader="dot" w:pos="9710"/>
            </w:tabs>
            <w:rPr>
              <w:rFonts w:asciiTheme="minorHAnsi" w:eastAsiaTheme="minorEastAsia" w:hAnsiTheme="minorHAnsi"/>
              <w:noProof/>
            </w:rPr>
          </w:pPr>
          <w:hyperlink w:anchor="_Toc235260808" w:history="1">
            <w:r>
              <w:rPr>
                <w:rStyle w:val="Hyperlink"/>
                <w:noProof/>
              </w:rPr>
              <w:t>II.</w:t>
            </w:r>
            <w:r>
              <w:rPr>
                <w:rFonts w:asciiTheme="minorHAnsi" w:eastAsiaTheme="minorEastAsia" w:hAnsiTheme="minorHAnsi"/>
                <w:noProof/>
              </w:rPr>
              <w:tab/>
            </w:r>
            <w:r>
              <w:rPr>
                <w:rStyle w:val="Hyperlink"/>
                <w:noProof/>
              </w:rPr>
              <w:t>Methodology</w:t>
            </w:r>
            <w:r>
              <w:rPr>
                <w:noProof/>
                <w:webHidden/>
              </w:rPr>
              <w:tab/>
              <w:fldChar w:fldCharType="begin"/>
              <w:instrText xml:space="preserve"> PAGEREF _Toc235260808 \h </w:instrText>
              <w:fldChar w:fldCharType="separate"/>
              <w:t>5</w:t>
              <w:fldChar w:fldCharType="end"/>
            </w:r>
          </w:hyperlink>
        </w:p>
        <w:p w14:paraId="321B5EF4" w14:textId="77A9D209" w:rsidR="007B5C16" w:rsidRDefault="007B5C16">
          <w:pPr>
            <w:pStyle w:val="TOC2"/>
            <w:tabs>
              <w:tab w:val="right" w:leader="dot" w:pos="9710"/>
            </w:tabs>
            <w:rPr>
              <w:rFonts w:asciiTheme="minorHAnsi" w:eastAsiaTheme="minorEastAsia" w:hAnsiTheme="minorHAnsi"/>
              <w:noProof/>
            </w:rPr>
          </w:pPr>
          <w:hyperlink w:anchor="_Toc235260809" w:history="1">
            <w:r>
              <w:rPr>
                <w:rStyle w:val="Hyperlink"/>
                <w:rFonts w:eastAsia="Calibri"/>
                <w:noProof/>
              </w:rPr>
              <w:t>AI-Assisted Development Approach</w:t>
            </w:r>
            <w:r>
              <w:rPr>
                <w:noProof/>
                <w:webHidden/>
              </w:rPr>
              <w:tab/>
              <w:fldChar w:fldCharType="begin"/>
              <w:instrText xml:space="preserve"> PAGEREF _Toc235260809 \h </w:instrText>
              <w:fldChar w:fldCharType="separate"/>
              <w:t>5</w:t>
              <w:fldChar w:fldCharType="end"/>
            </w:r>
          </w:hyperlink>
        </w:p>
        <w:p w14:paraId="5F16791A" w14:textId="0F75D28A" w:rsidR="007B5C16" w:rsidRDefault="007B5C16">
          <w:pPr>
            <w:pStyle w:val="TOC2"/>
            <w:tabs>
              <w:tab w:val="right" w:leader="dot" w:pos="9710"/>
            </w:tabs>
            <w:rPr>
              <w:rFonts w:asciiTheme="minorHAnsi" w:eastAsiaTheme="minorEastAsia" w:hAnsiTheme="minorHAnsi"/>
              <w:noProof/>
            </w:rPr>
          </w:pPr>
          <w:hyperlink w:anchor="_Toc235260810" w:history="1">
            <w:r>
              <w:rPr>
                <w:rStyle w:val="Hyperlink"/>
                <w:rFonts w:eastAsia="Calibri"/>
                <w:noProof/>
              </w:rPr>
              <w:t>Data Source</w:t>
            </w:r>
            <w:r>
              <w:rPr>
                <w:noProof/>
                <w:webHidden/>
              </w:rPr>
              <w:tab/>
              <w:fldChar w:fldCharType="begin"/>
              <w:instrText xml:space="preserve"> PAGEREF _Toc235260810 \h </w:instrText>
              <w:fldChar w:fldCharType="separate"/>
              <w:t>6</w:t>
              <w:fldChar w:fldCharType="end"/>
            </w:r>
          </w:hyperlink>
        </w:p>
        <w:p w14:paraId="7C30B8B4" w14:textId="39AEE067" w:rsidR="007B5C16" w:rsidRDefault="007B5C16">
          <w:pPr>
            <w:pStyle w:val="TOC2"/>
            <w:tabs>
              <w:tab w:val="right" w:leader="dot" w:pos="9710"/>
            </w:tabs>
            <w:rPr>
              <w:rFonts w:asciiTheme="minorHAnsi" w:eastAsiaTheme="minorEastAsia" w:hAnsiTheme="minorHAnsi"/>
              <w:noProof/>
            </w:rPr>
          </w:pPr>
          <w:hyperlink w:anchor="_Toc235260811" w:history="1">
            <w:r>
              <w:rPr>
                <w:rStyle w:val="Hyperlink"/>
                <w:rFonts w:eastAsia="Calibri"/>
                <w:noProof/>
              </w:rPr>
              <w:t>Tools Used</w:t>
            </w:r>
            <w:r>
              <w:rPr>
                <w:noProof/>
                <w:webHidden/>
              </w:rPr>
              <w:tab/>
              <w:fldChar w:fldCharType="begin"/>
              <w:instrText xml:space="preserve"> PAGEREF _Toc235260811 \h </w:instrText>
              <w:fldChar w:fldCharType="separate"/>
              <w:t>6</w:t>
              <w:fldChar w:fldCharType="end"/>
            </w:r>
          </w:hyperlink>
        </w:p>
        <w:p w14:paraId="742ABE8F" w14:textId="2C658036" w:rsidR="007B5C16" w:rsidRDefault="007B5C16">
          <w:pPr>
            <w:pStyle w:val="TOC2"/>
            <w:tabs>
              <w:tab w:val="right" w:leader="dot" w:pos="9710"/>
            </w:tabs>
            <w:rPr>
              <w:rFonts w:asciiTheme="minorHAnsi" w:eastAsiaTheme="minorEastAsia" w:hAnsiTheme="minorHAnsi"/>
              <w:noProof/>
            </w:rPr>
          </w:pPr>
          <w:hyperlink w:anchor="_Toc235260812" w:history="1">
            <w:r>
              <w:rPr>
                <w:rStyle w:val="Hyperlink"/>
                <w:rFonts w:eastAsia="Calibri"/>
                <w:noProof/>
              </w:rPr>
              <w:t>Approach</w:t>
            </w:r>
            <w:r>
              <w:rPr>
                <w:noProof/>
                <w:webHidden/>
              </w:rPr>
              <w:tab/>
              <w:fldChar w:fldCharType="begin"/>
              <w:instrText xml:space="preserve"> PAGEREF _Toc235260812 \h </w:instrText>
              <w:fldChar w:fldCharType="separate"/>
              <w:t>6</w:t>
              <w:fldChar w:fldCharType="end"/>
            </w:r>
          </w:hyperlink>
        </w:p>
        <w:p w14:paraId="26DD66D1" w14:textId="566FA12B" w:rsidR="007B5C16" w:rsidRDefault="007B5C16">
          <w:pPr>
            <w:pStyle w:val="TOC1"/>
            <w:tabs>
              <w:tab w:val="left" w:pos="720"/>
              <w:tab w:val="right" w:leader="dot" w:pos="9710"/>
            </w:tabs>
            <w:rPr>
              <w:rFonts w:asciiTheme="minorHAnsi" w:eastAsiaTheme="minorEastAsia" w:hAnsiTheme="minorHAnsi"/>
              <w:noProof/>
            </w:rPr>
          </w:pPr>
          <w:hyperlink w:anchor="_Toc235260813" w:history="1">
            <w:r>
              <w:rPr>
                <w:rStyle w:val="Hyperlink"/>
                <w:noProof/>
              </w:rPr>
              <w:t>III.</w:t>
            </w:r>
            <w:r>
              <w:rPr>
                <w:rFonts w:asciiTheme="minorHAnsi" w:eastAsiaTheme="minorEastAsia" w:hAnsiTheme="minorHAnsi"/>
                <w:noProof/>
              </w:rPr>
              <w:tab/>
            </w:r>
            <w:r>
              <w:rPr>
                <w:rStyle w:val="Hyperlink"/>
                <w:noProof/>
              </w:rPr>
              <w:t>Findings and Results</w:t>
            </w:r>
            <w:r>
              <w:rPr>
                <w:noProof/>
                <w:webHidden/>
              </w:rPr>
              <w:tab/>
              <w:fldChar w:fldCharType="begin"/>
              <w:instrText xml:space="preserve"> PAGEREF _Toc235260813 \h </w:instrText>
              <w:fldChar w:fldCharType="separate"/>
              <w:t>7</w:t>
              <w:fldChar w:fldCharType="end"/>
            </w:r>
          </w:hyperlink>
        </w:p>
        <w:p w14:paraId="16BE24F0" w14:textId="381AE221" w:rsidR="007B5C16" w:rsidRDefault="007B5C16">
          <w:pPr>
            <w:pStyle w:val="TOC2"/>
            <w:tabs>
              <w:tab w:val="right" w:leader="dot" w:pos="9710"/>
            </w:tabs>
            <w:rPr>
              <w:rFonts w:asciiTheme="minorHAnsi" w:eastAsiaTheme="minorEastAsia" w:hAnsiTheme="minorHAnsi"/>
              <w:noProof/>
            </w:rPr>
          </w:pPr>
          <w:hyperlink w:anchor="_Toc235260814" w:history="1">
            <w:r>
              <w:rPr>
                <w:rStyle w:val="Hyperlink"/>
                <w:rFonts w:eastAsia="Calibri"/>
                <w:noProof/>
              </w:rPr>
              <w:t>Descriptive Statistics</w:t>
            </w:r>
            <w:r>
              <w:rPr>
                <w:noProof/>
                <w:webHidden/>
              </w:rPr>
              <w:tab/>
              <w:fldChar w:fldCharType="begin"/>
              <w:instrText xml:space="preserve"> PAGEREF _Toc235260814 \h </w:instrText>
              <w:fldChar w:fldCharType="separate"/>
              <w:t>7</w:t>
              <w:fldChar w:fldCharType="end"/>
            </w:r>
          </w:hyperlink>
        </w:p>
        <w:p w14:paraId="179BC9D5" w14:textId="19366221" w:rsidR="007B5C16" w:rsidRDefault="007B5C16">
          <w:pPr>
            <w:pStyle w:val="TOC2"/>
            <w:tabs>
              <w:tab w:val="right" w:leader="dot" w:pos="9710"/>
            </w:tabs>
            <w:rPr>
              <w:rFonts w:asciiTheme="minorHAnsi" w:eastAsiaTheme="minorEastAsia" w:hAnsiTheme="minorHAnsi"/>
              <w:noProof/>
            </w:rPr>
          </w:pPr>
          <w:hyperlink w:anchor="_Toc235260815" w:history="1">
            <w:r>
              <w:rPr>
                <w:rStyle w:val="Hyperlink"/>
                <w:rFonts w:eastAsia="Calibri"/>
                <w:noProof/>
              </w:rPr>
              <w:t>Visualizations</w:t>
            </w:r>
            <w:r>
              <w:rPr>
                <w:noProof/>
                <w:webHidden/>
              </w:rPr>
              <w:tab/>
              <w:fldChar w:fldCharType="begin"/>
              <w:instrText xml:space="preserve"> PAGEREF _Toc235260815 \h </w:instrText>
              <w:fldChar w:fldCharType="separate"/>
              <w:t>7</w:t>
              <w:fldChar w:fldCharType="end"/>
            </w:r>
          </w:hyperlink>
        </w:p>
        <w:p w14:paraId="4E9A9E29" w14:textId="2134B155" w:rsidR="007B5C16" w:rsidRDefault="007B5C16">
          <w:pPr>
            <w:pStyle w:val="TOC2"/>
            <w:tabs>
              <w:tab w:val="right" w:leader="dot" w:pos="9710"/>
            </w:tabs>
            <w:rPr>
              <w:rFonts w:asciiTheme="minorHAnsi" w:eastAsiaTheme="minorEastAsia" w:hAnsiTheme="minorHAnsi"/>
              <w:noProof/>
            </w:rPr>
          </w:pPr>
          <w:hyperlink w:anchor="_Toc235260816" w:history="1">
            <w:r>
              <w:rPr>
                <w:rStyle w:val="Hyperlink"/>
                <w:rFonts w:eastAsia="Calibri"/>
                <w:noProof/>
              </w:rPr>
              <w:t>Statistical Significance</w:t>
            </w:r>
            <w:r>
              <w:rPr>
                <w:noProof/>
                <w:webHidden/>
              </w:rPr>
              <w:tab/>
              <w:fldChar w:fldCharType="begin"/>
              <w:instrText xml:space="preserve"> PAGEREF _Toc235260816 \h </w:instrText>
              <w:fldChar w:fldCharType="separate"/>
              <w:t>9</w:t>
              <w:fldChar w:fldCharType="end"/>
            </w:r>
          </w:hyperlink>
        </w:p>
        <w:p w14:paraId="1CB26410" w14:textId="4556F773" w:rsidR="007B5C16" w:rsidRDefault="007B5C16">
          <w:pPr>
            <w:pStyle w:val="TOC2"/>
            <w:tabs>
              <w:tab w:val="right" w:leader="dot" w:pos="9710"/>
            </w:tabs>
            <w:rPr>
              <w:rFonts w:asciiTheme="minorHAnsi" w:eastAsiaTheme="minorEastAsia" w:hAnsiTheme="minorHAnsi"/>
              <w:noProof/>
            </w:rPr>
          </w:pPr>
          <w:hyperlink w:anchor="_Toc235260817" w:history="1">
            <w:r>
              <w:rPr>
                <w:rStyle w:val="Hyperlink"/>
                <w:rFonts w:eastAsia="Calibri"/>
                <w:noProof/>
              </w:rPr>
              <w:t>Interpretation of Results</w:t>
            </w:r>
            <w:r>
              <w:rPr>
                <w:noProof/>
                <w:webHidden/>
              </w:rPr>
              <w:tab/>
              <w:fldChar w:fldCharType="begin"/>
              <w:instrText xml:space="preserve"> PAGEREF _Toc235260817 \h </w:instrText>
              <w:fldChar w:fldCharType="separate"/>
              <w:t>10</w:t>
              <w:fldChar w:fldCharType="end"/>
            </w:r>
          </w:hyperlink>
        </w:p>
        <w:p w14:paraId="02B57323" w14:textId="5BF28223" w:rsidR="007B5C16" w:rsidRDefault="007B5C16">
          <w:pPr>
            <w:pStyle w:val="TOC2"/>
            <w:tabs>
              <w:tab w:val="right" w:leader="dot" w:pos="9710"/>
            </w:tabs>
            <w:rPr>
              <w:rFonts w:asciiTheme="minorHAnsi" w:eastAsiaTheme="minorEastAsia" w:hAnsiTheme="minorHAnsi"/>
              <w:noProof/>
            </w:rPr>
          </w:pPr>
          <w:hyperlink w:anchor="_Toc235260818" w:history="1">
            <w:r>
              <w:rPr>
                <w:rStyle w:val="Hyperlink"/>
                <w:rFonts w:eastAsia="Calibri"/>
                <w:noProof/>
              </w:rPr>
              <w:t>A Concrete Illustration of What Else Drives the Noise</w:t>
            </w:r>
            <w:r>
              <w:rPr>
                <w:noProof/>
                <w:webHidden/>
              </w:rPr>
              <w:tab/>
              <w:fldChar w:fldCharType="begin"/>
              <w:instrText xml:space="preserve"> PAGEREF _Toc235260818 \h </w:instrText>
              <w:fldChar w:fldCharType="separate"/>
              <w:t>10</w:t>
              <w:fldChar w:fldCharType="end"/>
            </w:r>
          </w:hyperlink>
        </w:p>
        <w:p w14:paraId="060EB779" w14:textId="5B1112F6" w:rsidR="007B5C16" w:rsidRDefault="007B5C16">
          <w:pPr>
            <w:pStyle w:val="TOC2"/>
            <w:tabs>
              <w:tab w:val="right" w:leader="dot" w:pos="9710"/>
            </w:tabs>
            <w:rPr>
              <w:rFonts w:asciiTheme="minorHAnsi" w:eastAsiaTheme="minorEastAsia" w:hAnsiTheme="minorHAnsi"/>
              <w:noProof/>
            </w:rPr>
          </w:pPr>
          <w:hyperlink w:anchor="_Toc235260819" w:history="1">
            <w:r>
              <w:rPr>
                <w:rStyle w:val="Hyperlink"/>
                <w:rFonts w:eastAsia="Calibri"/>
                <w:noProof/>
              </w:rPr>
              <w:t>Practical Implications and Limitations</w:t>
            </w:r>
            <w:r>
              <w:rPr>
                <w:noProof/>
                <w:webHidden/>
              </w:rPr>
              <w:tab/>
              <w:fldChar w:fldCharType="begin"/>
              <w:instrText xml:space="preserve"> PAGEREF _Toc235260819 \h </w:instrText>
              <w:fldChar w:fldCharType="separate"/>
              <w:t>11</w:t>
              <w:fldChar w:fldCharType="end"/>
            </w:r>
          </w:hyperlink>
        </w:p>
        <w:p w14:paraId="7DA14172" w14:textId="689A4D62" w:rsidR="007B5C16" w:rsidRDefault="007B5C16">
          <w:pPr>
            <w:pStyle w:val="TOC1"/>
            <w:tabs>
              <w:tab w:val="left" w:pos="720"/>
              <w:tab w:val="right" w:leader="dot" w:pos="9710"/>
            </w:tabs>
            <w:rPr>
              <w:rFonts w:asciiTheme="minorHAnsi" w:eastAsiaTheme="minorEastAsia" w:hAnsiTheme="minorHAnsi"/>
              <w:noProof/>
            </w:rPr>
          </w:pPr>
          <w:hyperlink w:anchor="_Toc235260820" w:history="1">
            <w:r>
              <w:rPr>
                <w:rStyle w:val="Hyperlink"/>
                <w:rFonts w:eastAsia="Calibri"/>
                <w:noProof/>
              </w:rPr>
              <w:t>IV.</w:t>
            </w:r>
            <w:r>
              <w:rPr>
                <w:rFonts w:asciiTheme="minorHAnsi" w:eastAsiaTheme="minorEastAsia" w:hAnsiTheme="minorHAnsi"/>
                <w:noProof/>
              </w:rPr>
              <w:tab/>
            </w:r>
            <w:r>
              <w:rPr>
                <w:rStyle w:val="Hyperlink"/>
                <w:rFonts w:eastAsia="Calibri"/>
                <w:noProof/>
              </w:rPr>
              <w:t>Conclusion and Recommendations</w:t>
            </w:r>
            <w:r>
              <w:rPr>
                <w:noProof/>
                <w:webHidden/>
              </w:rPr>
              <w:tab/>
              <w:fldChar w:fldCharType="begin"/>
              <w:instrText xml:space="preserve"> PAGEREF _Toc235260820 \h </w:instrText>
              <w:fldChar w:fldCharType="separate"/>
              <w:t>11</w:t>
              <w:fldChar w:fldCharType="end"/>
            </w:r>
          </w:hyperlink>
        </w:p>
        <w:p w14:paraId="2E58B4DB" w14:textId="0E61E1F4" w:rsidR="007B5C16" w:rsidRDefault="007B5C16">
          <w:pPr>
            <w:pStyle w:val="TOC2"/>
            <w:tabs>
              <w:tab w:val="right" w:leader="dot" w:pos="9710"/>
            </w:tabs>
            <w:rPr>
              <w:rFonts w:asciiTheme="minorHAnsi" w:eastAsiaTheme="minorEastAsia" w:hAnsiTheme="minorHAnsi"/>
              <w:noProof/>
            </w:rPr>
          </w:pPr>
          <w:hyperlink w:anchor="_Toc235260821" w:history="1">
            <w:r>
              <w:rPr>
                <w:rStyle w:val="Hyperlink"/>
                <w:noProof/>
              </w:rPr>
              <w:t>Conclusion</w:t>
            </w:r>
            <w:r>
              <w:rPr>
                <w:noProof/>
                <w:webHidden/>
              </w:rPr>
              <w:tab/>
              <w:fldChar w:fldCharType="begin"/>
              <w:instrText xml:space="preserve"> PAGEREF _Toc235260821 \h </w:instrText>
              <w:fldChar w:fldCharType="separate"/>
              <w:t>11</w:t>
              <w:fldChar w:fldCharType="end"/>
            </w:r>
          </w:hyperlink>
        </w:p>
        <w:p w14:paraId="1C1F0942" w14:textId="380BAFD3" w:rsidR="007B5C16" w:rsidRDefault="007B5C16">
          <w:pPr>
            <w:pStyle w:val="TOC2"/>
            <w:tabs>
              <w:tab w:val="right" w:leader="dot" w:pos="9710"/>
            </w:tabs>
            <w:rPr>
              <w:rFonts w:asciiTheme="minorHAnsi" w:eastAsiaTheme="minorEastAsia" w:hAnsiTheme="minorHAnsi"/>
              <w:noProof/>
            </w:rPr>
          </w:pPr>
          <w:hyperlink w:anchor="_Toc235260822" w:history="1">
            <w:r>
              <w:rPr>
                <w:rStyle w:val="Hyperlink"/>
                <w:rFonts w:eastAsia="Calibri"/>
                <w:noProof/>
              </w:rPr>
              <w:t>Recommendations</w:t>
            </w:r>
            <w:r>
              <w:rPr>
                <w:noProof/>
                <w:webHidden/>
              </w:rPr>
              <w:tab/>
              <w:fldChar w:fldCharType="begin"/>
              <w:instrText xml:space="preserve"> PAGEREF _Toc235260822 \h </w:instrText>
              <w:fldChar w:fldCharType="separate"/>
              <w:t>12</w:t>
              <w:fldChar w:fldCharType="end"/>
            </w:r>
          </w:hyperlink>
        </w:p>
        <w:p w14:paraId="6DB2D854" w14:textId="47066BFB" w:rsidR="007B5C16" w:rsidRDefault="007B5C16">
          <w:pPr>
            <w:pStyle w:val="TOC1"/>
            <w:tabs>
              <w:tab w:val="left" w:pos="480"/>
              <w:tab w:val="right" w:leader="dot" w:pos="9710"/>
            </w:tabs>
            <w:rPr>
              <w:rFonts w:asciiTheme="minorHAnsi" w:eastAsiaTheme="minorEastAsia" w:hAnsiTheme="minorHAnsi"/>
              <w:noProof/>
            </w:rPr>
          </w:pPr>
          <w:hyperlink w:anchor="_Toc235260823" w:history="1">
            <w:r>
              <w:rPr>
                <w:rStyle w:val="Hyperlink"/>
                <w:rFonts w:eastAsia="Calibri"/>
                <w:noProof/>
              </w:rPr>
              <w:t>V.</w:t>
            </w:r>
            <w:r>
              <w:rPr>
                <w:rFonts w:asciiTheme="minorHAnsi" w:eastAsiaTheme="minorEastAsia" w:hAnsiTheme="minorHAnsi"/>
                <w:noProof/>
              </w:rPr>
              <w:tab/>
            </w:r>
            <w:r>
              <w:rPr>
                <w:rStyle w:val="Hyperlink"/>
                <w:rFonts w:eastAsia="Calibri"/>
                <w:noProof/>
              </w:rPr>
              <w:t>References</w:t>
            </w:r>
            <w:r>
              <w:rPr>
                <w:noProof/>
                <w:webHidden/>
              </w:rPr>
              <w:tab/>
              <w:fldChar w:fldCharType="begin"/>
              <w:instrText xml:space="preserve"> PAGEREF _Toc235260823 \h </w:instrText>
              <w:fldChar w:fldCharType="separate"/>
              <w:t>13</w:t>
              <w:fldChar w:fldCharType="end"/>
            </w:r>
          </w:hyperlink>
        </w:p>
        <w:p w14:paraId="012206EE" w14:textId="4DE28F33" w:rsidR="007B5C16" w:rsidRDefault="007B5C16">
          <w:pPr>
            <w:pStyle w:val="TOC2"/>
            <w:tabs>
              <w:tab w:val="right" w:leader="dot" w:pos="9710"/>
            </w:tabs>
            <w:rPr>
              <w:rFonts w:asciiTheme="minorHAnsi" w:eastAsiaTheme="minorEastAsia" w:hAnsiTheme="minorHAnsi"/>
              <w:noProof/>
            </w:rPr>
          </w:pPr>
          <w:hyperlink w:anchor="_Toc235260824" w:history="1">
            <w:r>
              <w:rPr>
                <w:rStyle w:val="Hyperlink"/>
                <w:noProof/>
              </w:rPr>
              <w:t>References</w:t>
            </w:r>
            <w:r>
              <w:rPr>
                <w:noProof/>
                <w:webHidden/>
              </w:rPr>
              <w:tab/>
              <w:fldChar w:fldCharType="begin"/>
              <w:instrText xml:space="preserve"> PAGEREF _Toc235260824 \h </w:instrText>
              <w:fldChar w:fldCharType="separate"/>
              <w:t>13</w:t>
              <w:fldChar w:fldCharType="end"/>
            </w:r>
          </w:hyperlink>
        </w:p>
        <w:p w14:paraId="1170880B" w14:textId="17F531FA" w:rsidR="007B5C16" w:rsidRDefault="007B5C16">
          <w:pPr>
            <w:pStyle w:val="TOC2"/>
            <w:tabs>
              <w:tab w:val="right" w:leader="dot" w:pos="9710"/>
            </w:tabs>
            <w:rPr>
              <w:rFonts w:asciiTheme="minorHAnsi" w:eastAsiaTheme="minorEastAsia" w:hAnsiTheme="minorHAnsi"/>
              <w:noProof/>
            </w:rPr>
          </w:pPr>
          <w:hyperlink w:anchor="_Toc235260825" w:history="1">
            <w:r>
              <w:rPr>
                <w:rStyle w:val="Hyperlink"/>
                <w:noProof/>
              </w:rPr>
              <w:t>Appendix A: Processed Dataset Data Dictionary</w:t>
            </w:r>
            <w:r>
              <w:rPr>
                <w:noProof/>
                <w:webHidden/>
              </w:rPr>
              <w:tab/>
              <w:fldChar w:fldCharType="begin"/>
              <w:instrText xml:space="preserve"> PAGEREF _Toc235260825 \h </w:instrText>
              <w:fldChar w:fldCharType="separate"/>
              <w:t>13</w:t>
              <w:fldChar w:fldCharType="end"/>
            </w:r>
          </w:hyperlink>
        </w:p>
        <w:p w14:paraId="251FCE96" w14:textId="55D5C6E5" w:rsidR="007B5C16" w:rsidRDefault="007B5C16">
          <w:pPr>
            <w:pStyle w:val="TOC2"/>
            <w:tabs>
              <w:tab w:val="right" w:leader="dot" w:pos="9710"/>
            </w:tabs>
            <w:rPr>
              <w:rFonts w:asciiTheme="minorHAnsi" w:eastAsiaTheme="minorEastAsia" w:hAnsiTheme="minorHAnsi"/>
              <w:noProof/>
            </w:rPr>
          </w:pPr>
          <w:hyperlink w:anchor="_Toc235260826" w:history="1">
            <w:r>
              <w:rPr>
                <w:rStyle w:val="Hyperlink"/>
                <w:noProof/>
              </w:rPr>
              <w:t>Appendix B: Full Descriptive Statistics</w:t>
            </w:r>
            <w:r>
              <w:rPr>
                <w:noProof/>
                <w:webHidden/>
              </w:rPr>
              <w:tab/>
              <w:fldChar w:fldCharType="begin"/>
              <w:instrText xml:space="preserve"> PAGEREF _Toc235260826 \h </w:instrText>
              <w:fldChar w:fldCharType="separate"/>
              <w:t>14</w:t>
              <w:fldChar w:fldCharType="end"/>
            </w:r>
          </w:hyperlink>
        </w:p>
        <w:p w14:paraId="3AC233FE" w14:textId="5045257F" w:rsidR="007C4825" w:rsidRDefault="007C4825" w:rsidP="007C4825">
          <w:pPr>
            <w:spacing w:line="278" w:lineRule="auto"/>
            <w:rPr>
              <w:b/>
              <w:bCs/>
              <w:noProof/>
            </w:rPr>
          </w:pPr>
          <w:r>
            <w:rPr>
              <w:b/>
              <w:bCs/>
              <w:noProof/>
            </w:rPr>
            <w:fldChar w:fldCharType="end"/>
          </w:r>
        </w:p>
      </w:sdtContent>
    </w:sdt>
    <w:p w14:paraId="5D662184" w14:textId="480BA037" w:rsidR="007C4825" w:rsidRDefault="007C4825" w:rsidP="00BE77FA">
      <w:pPr>
        <w:pStyle w:val="Heading1"/>
        <w:rPr>
          <w:rFonts w:eastAsia="Calibri"/>
        </w:rPr>
      </w:pPr>
    </w:p>
    <w:p w14:paraId="1BE1A98C" w14:textId="77777777" w:rsidR="007C4825" w:rsidRDefault="007C4825" w:rsidP="007C4825">
      <w:pPr>
        <w:pStyle w:val="TOCHeading"/>
      </w:pPr>
      <w:r>
        <w:t>Table of Figures</w:t>
      </w:r>
    </w:p>
    <w:p w14:paraId="68B932B7" w14:textId="1EB4FA2A" w:rsidR="007B5C16" w:rsidRDefault="007C4825">
      <w:pPr>
        <w:pStyle w:val="TableofFigures"/>
        <w:tabs>
          <w:tab w:val="right" w:leader="dot" w:pos="9710"/>
        </w:tabs>
        <w:rPr>
          <w:rFonts w:asciiTheme="minorHAnsi" w:eastAsiaTheme="minorEastAsia" w:hAnsiTheme="minorHAnsi"/>
          <w:noProof/>
        </w:rPr>
      </w:pPr>
      <w:r>
        <w:fldChar w:fldCharType="begin"/>
        <w:instrText xml:space="preserve"> TOC \h \z \c "Figure" </w:instrText>
        <w:fldChar w:fldCharType="separate"/>
      </w:r>
      <w:hyperlink w:anchor="_Toc235260827" w:history="1">
        <w:r>
          <w:rPr>
            <w:rStyle w:val="Hyperlink"/>
            <w:noProof/>
          </w:rPr>
          <w:t>Figure 1-Effective federal funds rate, 2016–2026, the policy cycle at a glance</w:t>
        </w:r>
        <w:r>
          <w:rPr>
            <w:noProof/>
            <w:webHidden/>
          </w:rPr>
          <w:tab/>
          <w:fldChar w:fldCharType="begin"/>
          <w:instrText xml:space="preserve"> PAGEREF _Toc235260827 \h </w:instrText>
          <w:fldChar w:fldCharType="separate"/>
          <w:t>8</w:t>
          <w:fldChar w:fldCharType="end"/>
        </w:r>
      </w:hyperlink>
    </w:p>
    <w:p w14:paraId="23DB8B39" w14:textId="0638F6C0" w:rsidR="007B5C16" w:rsidRDefault="007B5C16">
      <w:pPr>
        <w:pStyle w:val="TableofFigures"/>
        <w:tabs>
          <w:tab w:val="right" w:leader="dot" w:pos="9710"/>
        </w:tabs>
        <w:rPr>
          <w:rFonts w:asciiTheme="minorHAnsi" w:eastAsiaTheme="minorEastAsia" w:hAnsiTheme="minorHAnsi"/>
          <w:noProof/>
        </w:rPr>
      </w:pPr>
      <w:hyperlink w:anchor="_Toc235260828" w:history="1">
        <w:r>
          <w:rPr>
            <w:rStyle w:val="Hyperlink"/>
            <w:noProof/>
          </w:rPr>
          <w:t>Figure 2-30- and 90-day moving averages smoothing daily S&amp;P 500 noise.</w:t>
        </w:r>
        <w:r>
          <w:rPr>
            <w:noProof/>
            <w:webHidden/>
          </w:rPr>
          <w:tab/>
          <w:fldChar w:fldCharType="begin"/>
          <w:instrText xml:space="preserve"> PAGEREF _Toc235260828 \h </w:instrText>
          <w:fldChar w:fldCharType="separate"/>
          <w:t>8</w:t>
          <w:fldChar w:fldCharType="end"/>
        </w:r>
      </w:hyperlink>
    </w:p>
    <w:p w14:paraId="3878BD09" w14:textId="1C22F5DB" w:rsidR="007B5C16" w:rsidRDefault="007B5C16">
      <w:pPr>
        <w:pStyle w:val="TableofFigures"/>
        <w:tabs>
          <w:tab w:val="right" w:leader="dot" w:pos="9710"/>
        </w:tabs>
        <w:rPr>
          <w:rFonts w:asciiTheme="minorHAnsi" w:eastAsiaTheme="minorEastAsia" w:hAnsiTheme="minorHAnsi"/>
          <w:noProof/>
        </w:rPr>
      </w:pPr>
      <w:hyperlink w:anchor="_Toc235260829" w:history="1">
        <w:r>
          <w:rPr>
            <w:rStyle w:val="Hyperlink"/>
            <w:noProof/>
          </w:rPr>
          <w:t>Figure 3-Distribution of monthly S&amp;P 500 returns.</w:t>
        </w:r>
        <w:r>
          <w:rPr>
            <w:noProof/>
            <w:webHidden/>
          </w:rPr>
          <w:tab/>
          <w:fldChar w:fldCharType="begin"/>
          <w:instrText xml:space="preserve"> PAGEREF _Toc235260829 \h </w:instrText>
          <w:fldChar w:fldCharType="separate"/>
          <w:t>8</w:t>
          <w:fldChar w:fldCharType="end"/>
        </w:r>
      </w:hyperlink>
    </w:p>
    <w:p w14:paraId="0AF8C602" w14:textId="7029DC19" w:rsidR="007B5C16" w:rsidRDefault="007B5C16">
      <w:pPr>
        <w:pStyle w:val="TableofFigures"/>
        <w:tabs>
          <w:tab w:val="right" w:leader="dot" w:pos="9710"/>
        </w:tabs>
        <w:rPr>
          <w:rFonts w:asciiTheme="minorHAnsi" w:eastAsiaTheme="minorEastAsia" w:hAnsiTheme="minorHAnsi"/>
          <w:noProof/>
        </w:rPr>
      </w:pPr>
      <w:hyperlink w:anchor="_Toc235260830" w:history="1">
        <w:r>
          <w:rPr>
            <w:rStyle w:val="Hyperlink"/>
            <w:noProof/>
          </w:rPr>
          <w:t>Figure 4-. Monthly returns by policy regime.</w:t>
        </w:r>
        <w:r>
          <w:rPr>
            <w:noProof/>
            <w:webHidden/>
          </w:rPr>
          <w:tab/>
          <w:fldChar w:fldCharType="begin"/>
          <w:instrText xml:space="preserve"> PAGEREF _Toc235260830 \h </w:instrText>
          <w:fldChar w:fldCharType="separate"/>
          <w:t>8</w:t>
          <w:fldChar w:fldCharType="end"/>
        </w:r>
      </w:hyperlink>
    </w:p>
    <w:p w14:paraId="04D0F600" w14:textId="0901BEFF" w:rsidR="007B5C16" w:rsidRDefault="007B5C16">
      <w:pPr>
        <w:pStyle w:val="TableofFigures"/>
        <w:tabs>
          <w:tab w:val="right" w:leader="dot" w:pos="9710"/>
        </w:tabs>
        <w:rPr>
          <w:rFonts w:asciiTheme="minorHAnsi" w:eastAsiaTheme="minorEastAsia" w:hAnsiTheme="minorHAnsi"/>
          <w:noProof/>
        </w:rPr>
      </w:pPr>
      <w:hyperlink w:anchor="_Toc235260831" w:history="1">
        <w:r>
          <w:rPr>
            <w:rStyle w:val="Hyperlink"/>
            <w:noProof/>
          </w:rPr>
          <w:t>Figure 5-S&amp;P 500 return vs. CPI inflation, colored by regime.</w:t>
        </w:r>
        <w:r>
          <w:rPr>
            <w:noProof/>
            <w:webHidden/>
          </w:rPr>
          <w:tab/>
          <w:fldChar w:fldCharType="begin"/>
          <w:instrText xml:space="preserve"> PAGEREF _Toc235260831 \h </w:instrText>
          <w:fldChar w:fldCharType="separate"/>
          <w:t>9</w:t>
          <w:fldChar w:fldCharType="end"/>
        </w:r>
      </w:hyperlink>
    </w:p>
    <w:p w14:paraId="5F7A051C" w14:textId="29DEEF7A" w:rsidR="007B5C16" w:rsidRDefault="007B5C16">
      <w:pPr>
        <w:pStyle w:val="TableofFigures"/>
        <w:tabs>
          <w:tab w:val="right" w:leader="dot" w:pos="9710"/>
        </w:tabs>
        <w:rPr>
          <w:rFonts w:asciiTheme="minorHAnsi" w:eastAsiaTheme="minorEastAsia" w:hAnsiTheme="minorHAnsi"/>
          <w:noProof/>
        </w:rPr>
      </w:pPr>
      <w:hyperlink w:anchor="_Toc235260832" w:history="1">
        <w:r>
          <w:rPr>
            <w:rStyle w:val="Hyperlink"/>
            <w:noProof/>
          </w:rPr>
          <w:t>Figure 6-Correlation matrix across key variables.</w:t>
        </w:r>
        <w:r>
          <w:rPr>
            <w:noProof/>
            <w:webHidden/>
          </w:rPr>
          <w:tab/>
          <w:fldChar w:fldCharType="begin"/>
          <w:instrText xml:space="preserve"> PAGEREF _Toc235260832 \h </w:instrText>
          <w:fldChar w:fldCharType="separate"/>
          <w:t>9</w:t>
          <w:fldChar w:fldCharType="end"/>
        </w:r>
      </w:hyperlink>
    </w:p>
    <w:p w14:paraId="6722FC54" w14:textId="569594FF" w:rsidR="007B5C16" w:rsidRDefault="007B5C16">
      <w:pPr>
        <w:pStyle w:val="TableofFigures"/>
        <w:tabs>
          <w:tab w:val="right" w:leader="dot" w:pos="9710"/>
        </w:tabs>
        <w:rPr>
          <w:rFonts w:asciiTheme="minorHAnsi" w:eastAsiaTheme="minorEastAsia" w:hAnsiTheme="minorHAnsi"/>
          <w:noProof/>
        </w:rPr>
      </w:pPr>
      <w:hyperlink w:anchor="_Toc235260833" w:history="1">
        <w:r>
          <w:rPr>
            <w:rStyle w:val="Hyperlink"/>
            <w:noProof/>
          </w:rPr>
          <w:t>Figure 7-Daily S&amp;P 500, colored by policy regime, with the COVID-19 crash annotated.</w:t>
        </w:r>
        <w:r>
          <w:rPr>
            <w:noProof/>
            <w:webHidden/>
          </w:rPr>
          <w:tab/>
          <w:fldChar w:fldCharType="begin"/>
          <w:instrText xml:space="preserve"> PAGEREF _Toc235260833 \h </w:instrText>
          <w:fldChar w:fldCharType="separate"/>
          <w:t>9</w:t>
          <w:fldChar w:fldCharType="end"/>
        </w:r>
      </w:hyperlink>
    </w:p>
    <w:p w14:paraId="443717B4" w14:textId="66D53D16" w:rsidR="007B5C16" w:rsidRDefault="007B5C16">
      <w:pPr>
        <w:pStyle w:val="TableofFigures"/>
        <w:tabs>
          <w:tab w:val="right" w:leader="dot" w:pos="9710"/>
        </w:tabs>
        <w:rPr>
          <w:rFonts w:asciiTheme="minorHAnsi" w:eastAsiaTheme="minorEastAsia" w:hAnsiTheme="minorHAnsi"/>
          <w:noProof/>
        </w:rPr>
      </w:pPr>
      <w:hyperlink w:anchor="_Toc235260834" w:history="1">
        <w:r>
          <w:rPr>
            <w:rStyle w:val="Hyperlink"/>
            <w:noProof/>
          </w:rPr>
          <w:t>Figure 8-S&amp;P 500, CPI, and Fed funds rate rebased to a common scale.</w:t>
        </w:r>
        <w:r>
          <w:rPr>
            <w:noProof/>
            <w:webHidden/>
          </w:rPr>
          <w:tab/>
          <w:fldChar w:fldCharType="begin"/>
          <w:instrText xml:space="preserve"> PAGEREF _Toc235260834 \h </w:instrText>
          <w:fldChar w:fldCharType="separate"/>
          <w:t>9</w:t>
          <w:fldChar w:fldCharType="end"/>
        </w:r>
      </w:hyperlink>
    </w:p>
    <w:p w14:paraId="1BF91EAE" w14:textId="10953188" w:rsidR="007C4825" w:rsidRDefault="007C4825" w:rsidP="007C4825">
      <w:pPr>
        <w:spacing w:line="480" w:lineRule="auto"/>
      </w:pPr>
      <w:r>
        <w:rPr>
          <w:b/>
          <w:bCs/>
          <w:noProof/>
        </w:rPr>
        <w:fldChar w:fldCharType="end"/>
      </w:r>
    </w:p>
    <w:p w14:paraId="3F1ABE5F" w14:textId="77777777" w:rsidR="007C4825" w:rsidRDefault="007C4825" w:rsidP="007C4825">
      <w:r>
        <w:br w:type="page"/>
      </w:r>
    </w:p>
    <w:p w14:paraId="7A6C183B" w14:textId="77777777" w:rsidR="007C4825" w:rsidRDefault="007C4825" w:rsidP="007C4825">
      <w:pPr>
        <w:pStyle w:val="Heading1"/>
      </w:pPr>
      <w:bookmarkStart w:id="0" w:name="_Toc223435530"/>
      <w:bookmarkStart w:id="1" w:name="_Toc235260802"/>
      <w:r>
        <w:lastRenderedPageBreak/>
        <w:t>Table of Tables</w:t>
      </w:r>
      <w:bookmarkEnd w:id="0"/>
      <w:bookmarkEnd w:id="1"/>
    </w:p>
    <w:p w14:paraId="5F2C1D62" w14:textId="5160927B" w:rsidR="007B5C16" w:rsidRDefault="007C4825">
      <w:pPr>
        <w:pStyle w:val="TableofFigures"/>
        <w:tabs>
          <w:tab w:val="right" w:leader="dot" w:pos="9710"/>
        </w:tabs>
        <w:rPr>
          <w:rFonts w:asciiTheme="minorHAnsi" w:eastAsiaTheme="minorEastAsia" w:hAnsiTheme="minorHAnsi"/>
          <w:noProof/>
        </w:rPr>
      </w:pPr>
      <w:r>
        <w:fldChar w:fldCharType="begin"/>
        <w:instrText xml:space="preserve"> TOC \h \z \c "Table" </w:instrText>
        <w:fldChar w:fldCharType="separate"/>
      </w:r>
      <w:hyperlink w:anchor="_Toc235260835" w:history="1">
        <w:r>
          <w:rPr>
            <w:rStyle w:val="Hyperlink"/>
            <w:noProof/>
          </w:rPr>
          <w:t>Table 1-Data Source</w:t>
        </w:r>
        <w:r>
          <w:rPr>
            <w:noProof/>
            <w:webHidden/>
          </w:rPr>
          <w:tab/>
          <w:fldChar w:fldCharType="begin"/>
          <w:instrText xml:space="preserve"> PAGEREF _Toc235260835 \h </w:instrText>
          <w:fldChar w:fldCharType="separate"/>
          <w:t>6</w:t>
          <w:fldChar w:fldCharType="end"/>
        </w:r>
      </w:hyperlink>
    </w:p>
    <w:p w14:paraId="3A700FD2" w14:textId="3B06B69E" w:rsidR="007B5C16" w:rsidRDefault="007B5C16">
      <w:pPr>
        <w:pStyle w:val="TableofFigures"/>
        <w:tabs>
          <w:tab w:val="right" w:leader="dot" w:pos="9710"/>
        </w:tabs>
        <w:rPr>
          <w:rFonts w:asciiTheme="minorHAnsi" w:eastAsiaTheme="minorEastAsia" w:hAnsiTheme="minorHAnsi"/>
          <w:noProof/>
        </w:rPr>
      </w:pPr>
      <w:hyperlink w:anchor="_Toc235260836" w:history="1">
        <w:r>
          <w:rPr>
            <w:rStyle w:val="Hyperlink"/>
            <w:noProof/>
          </w:rPr>
          <w:t>Table 2-Statistical Significance Test Results</w:t>
        </w:r>
        <w:r>
          <w:rPr>
            <w:noProof/>
            <w:webHidden/>
          </w:rPr>
          <w:tab/>
          <w:fldChar w:fldCharType="begin"/>
          <w:instrText xml:space="preserve"> PAGEREF _Toc235260836 \h </w:instrText>
          <w:fldChar w:fldCharType="separate"/>
          <w:t>10</w:t>
          <w:fldChar w:fldCharType="end"/>
        </w:r>
      </w:hyperlink>
    </w:p>
    <w:p w14:paraId="781BAF3F" w14:textId="77CBEC07" w:rsidR="007B5C16" w:rsidRDefault="007B5C16">
      <w:pPr>
        <w:pStyle w:val="TableofFigures"/>
        <w:tabs>
          <w:tab w:val="right" w:leader="dot" w:pos="9710"/>
        </w:tabs>
        <w:rPr>
          <w:rFonts w:asciiTheme="minorHAnsi" w:eastAsiaTheme="minorEastAsia" w:hAnsiTheme="minorHAnsi"/>
          <w:noProof/>
        </w:rPr>
      </w:pPr>
      <w:hyperlink w:anchor="_Toc235260837" w:history="1">
        <w:r>
          <w:rPr>
            <w:rStyle w:val="Hyperlink"/>
            <w:noProof/>
          </w:rPr>
          <w:t>Table 3-Appendix A</w:t>
        </w:r>
        <w:r>
          <w:rPr>
            <w:noProof/>
            <w:webHidden/>
          </w:rPr>
          <w:tab/>
          <w:fldChar w:fldCharType="begin"/>
          <w:instrText xml:space="preserve"> PAGEREF _Toc235260837 \h </w:instrText>
          <w:fldChar w:fldCharType="separate"/>
          <w:t>14</w:t>
          <w:fldChar w:fldCharType="end"/>
        </w:r>
      </w:hyperlink>
    </w:p>
    <w:p w14:paraId="591EFA6C" w14:textId="364A0ECA" w:rsidR="007B5C16" w:rsidRDefault="007B5C16">
      <w:pPr>
        <w:pStyle w:val="TableofFigures"/>
        <w:tabs>
          <w:tab w:val="right" w:leader="dot" w:pos="9710"/>
        </w:tabs>
        <w:rPr>
          <w:rFonts w:asciiTheme="minorHAnsi" w:eastAsiaTheme="minorEastAsia" w:hAnsiTheme="minorHAnsi"/>
          <w:noProof/>
        </w:rPr>
      </w:pPr>
      <w:hyperlink w:anchor="_Toc235260838" w:history="1">
        <w:r>
          <w:rPr>
            <w:rStyle w:val="Hyperlink"/>
            <w:noProof/>
          </w:rPr>
          <w:t>Table 4-Appendix B</w:t>
        </w:r>
        <w:r>
          <w:rPr>
            <w:noProof/>
            <w:webHidden/>
          </w:rPr>
          <w:tab/>
          <w:fldChar w:fldCharType="begin"/>
          <w:instrText xml:space="preserve"> PAGEREF _Toc235260838 \h </w:instrText>
          <w:fldChar w:fldCharType="separate"/>
          <w:t>14</w:t>
          <w:fldChar w:fldCharType="end"/>
        </w:r>
      </w:hyperlink>
    </w:p>
    <w:p w14:paraId="130BD589" w14:textId="1479E8DD" w:rsidR="007C4825" w:rsidRPr="007C4825" w:rsidRDefault="007C4825" w:rsidP="007C4825">
      <w:r>
        <w:fldChar w:fldCharType="end"/>
        <w:br w:type="page"/>
      </w:r>
    </w:p>
    <w:p w14:paraId="6FF239C5" w14:textId="3220B1C0" w:rsidR="00BE77FA" w:rsidRDefault="00BE77FA" w:rsidP="009E6FB5">
      <w:pPr>
        <w:pStyle w:val="Heading1"/>
        <w:numPr>
          <w:ilvl w:val="0"/>
          <w:numId w:val="5"/>
        </w:numPr>
        <w:spacing w:line="360" w:lineRule="auto"/>
        <w:rPr>
          <w:rFonts w:eastAsia="Calibri"/>
        </w:rPr>
      </w:pPr>
      <w:bookmarkStart w:id="2" w:name="_Toc235260803"/>
      <w:r>
        <w:rPr>
          <w:rFonts w:eastAsia="Calibri"/>
        </w:rPr>
        <w:lastRenderedPageBreak/>
        <w:t>Introduction</w:t>
      </w:r>
      <w:bookmarkEnd w:id="2"/>
    </w:p>
    <w:p w14:paraId="2FDCDB10" w14:textId="6F963167" w:rsidR="00B1073D" w:rsidRPr="00BE77FA" w:rsidRDefault="00000000" w:rsidP="009E6FB5">
      <w:pPr>
        <w:pStyle w:val="Heading2"/>
        <w:spacing w:line="360" w:lineRule="auto"/>
        <w:rPr>
          <w:rFonts w:eastAsia="Calibri"/>
        </w:rPr>
      </w:pPr>
      <w:bookmarkStart w:id="3" w:name="_Toc235260804"/>
      <w:r>
        <w:rPr>
          <w:rFonts w:eastAsia="Calibri"/>
        </w:rPr>
        <w:t>Context</w:t>
      </w:r>
      <w:bookmarkEnd w:id="3"/>
    </w:p>
    <w:p w14:paraId="29CA2660" w14:textId="77777777" w:rsidR="0007051D" w:rsidRPr="0007051D" w:rsidRDefault="00000000" w:rsidP="0007051D">
      <w:pPr>
        <w:spacing w:after="130" w:line="360" w:lineRule="auto"/>
        <w:jc w:val="both"/>
        <w:rPr>
          <w:rFonts w:ascii="Calibri" w:eastAsia="Calibri" w:hAnsi="Calibri" w:cs="Calibri"/>
          <w:sz w:val="24"/>
          <w:szCs w:val="24"/>
        </w:rPr>
      </w:pPr>
      <w:r>
        <w:rPr>
          <w:rFonts w:ascii="Calibri" w:eastAsia="Calibri" w:hAnsi="Calibri" w:cs="Calibri"/>
          <w:sz w:val="24"/>
          <w:szCs w:val="24"/>
        </w:rPr>
        <w:t xml:space="preserve">Every investment decision is made against a macroeconomic backdrop. Interest rates determine borrowing costs and how future corporate earnings are valued, while inflation reduces the real value of returns and drives central bank policies. Between 2016 and 2026, the United States economy moved through a complete monetary cycle, shifting from near-zero interest rates to a post-pandemic inflation surge, followed by aggressive rate hikes and eventual easing.</w:t>
      </w:r>
    </w:p>
    <w:p w14:paraId="46CCBB2C" w14:textId="10BD13A5" w:rsidR="00B1073D" w:rsidRPr="0007051D" w:rsidRDefault="0007051D" w:rsidP="0007051D">
      <w:pPr>
        <w:spacing w:after="130" w:line="360" w:lineRule="auto"/>
        <w:jc w:val="both"/>
        <w:rPr>
          <w:rFonts w:ascii="Calibri" w:eastAsia="Calibri" w:hAnsi="Calibri" w:cs="Calibri"/>
          <w:sz w:val="24"/>
          <w:szCs w:val="24"/>
        </w:rPr>
      </w:pPr>
      <w:r>
        <w:rPr>
          <w:rFonts w:ascii="Calibri" w:eastAsia="Calibri" w:hAnsi="Calibri" w:cs="Calibri"/>
          <w:sz w:val="24"/>
          <w:szCs w:val="24"/>
        </w:rPr>
        <w:t>Financial professionals and individual investors must navigate this macroeconomic uncertainty. While conventional market wisdom claims that rising interest rates and high inflation always damage stock prices, these narratives are rarely backed by hard data. Financial commentary frequently repeats these assumptions without measuring their actual impact, consistency, or long-term accuracy.</w:t>
      </w:r>
    </w:p>
    <w:p w14:paraId="37354FF7" w14:textId="5AD74423" w:rsidR="00B1073D" w:rsidRDefault="00000000" w:rsidP="009E6FB5">
      <w:pPr>
        <w:pStyle w:val="Heading2"/>
        <w:spacing w:line="360" w:lineRule="auto"/>
      </w:pPr>
      <w:bookmarkStart w:id="4" w:name="_Toc235260805"/>
      <w:r>
        <w:rPr>
          <w:rFonts w:eastAsia="Calibri"/>
        </w:rPr>
        <w:t>Objectives</w:t>
      </w:r>
      <w:bookmarkEnd w:id="4"/>
    </w:p>
    <w:p w14:paraId="13498D6D" w14:textId="77777777" w:rsidR="00B1073D" w:rsidRDefault="00000000" w:rsidP="009E6FB5">
      <w:pPr>
        <w:spacing w:after="130" w:line="360" w:lineRule="auto"/>
        <w:jc w:val="both"/>
      </w:pPr>
      <w:r>
        <w:rPr>
          <w:rFonts w:ascii="Calibri" w:eastAsia="Calibri" w:hAnsi="Calibri" w:cs="Calibri"/>
          <w:sz w:val="24"/>
          <w:szCs w:val="24"/>
        </w:rPr>
        <w:t>This project uses the 2016–2026 decade as a natural laboratory to test that narrative directly. Its objectives are to:</w:t>
      </w:r>
    </w:p>
    <w:p w14:paraId="07C34825"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Acquire and validate reliable macroeconomic and financial data directly from FRED (Federal Reserve Economic Data), with full source attribution.</w:t>
      </w:r>
    </w:p>
    <w:p w14:paraId="69B37A19"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Construct a single, clean, analysis-ready dataset aligning a daily equity series with two monthly macroeconomic series.</w:t>
      </w:r>
    </w:p>
    <w:p w14:paraId="255FF5F0"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Quantify S&amp;P 500 returns and volatility, and statistically test whether they relate to inflation and interest-rate conditions.</w:t>
      </w:r>
    </w:p>
    <w:p w14:paraId="6D6ABE65"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Compare market behavior across distinct monetary-policy regimes (near-zero, hiking, easing).</w:t>
      </w:r>
    </w:p>
    <w:p w14:paraId="33170A19" w14:textId="7A9445B3" w:rsidR="00B1073D" w:rsidRDefault="00000000" w:rsidP="009E6FB5">
      <w:pPr>
        <w:pStyle w:val="ListParagraph"/>
        <w:numPr>
          <w:ilvl w:val="0"/>
          <w:numId w:val="2"/>
        </w:numPr>
        <w:spacing w:after="70" w:line="360" w:lineRule="auto"/>
      </w:pPr>
      <w:r>
        <w:rPr>
          <w:rFonts w:ascii="Calibri" w:eastAsia="Calibri" w:hAnsi="Calibri" w:cs="Calibri"/>
          <w:sz w:val="24"/>
          <w:szCs w:val="24"/>
        </w:rPr>
        <w:t xml:space="preserve">Translate the statistical results into an honestly caveated, business-relevant narrative, explicitly distinguishing correlation from causation.</w:t>
      </w:r>
    </w:p>
    <w:p w14:paraId="15EB4005" w14:textId="7EDAF4EE" w:rsidR="00B1073D" w:rsidRDefault="00000000" w:rsidP="009E6FB5">
      <w:pPr>
        <w:pStyle w:val="Heading2"/>
        <w:spacing w:line="360" w:lineRule="auto"/>
      </w:pPr>
      <w:bookmarkStart w:id="5" w:name="_Toc235260806"/>
      <w:r>
        <w:rPr>
          <w:rFonts w:eastAsia="Calibri"/>
        </w:rPr>
        <w:t>Importance</w:t>
      </w:r>
      <w:bookmarkEnd w:id="5"/>
    </w:p>
    <w:p w14:paraId="7D03B89C" w14:textId="0DB9B5B7" w:rsidR="00B1073D" w:rsidRPr="00B30195" w:rsidRDefault="00000000" w:rsidP="00B30195">
      <w:pPr>
        <w:spacing w:after="130" w:line="360" w:lineRule="auto"/>
        <w:jc w:val="both"/>
        <w:rPr>
          <w:rFonts w:ascii="Calibri" w:eastAsia="Calibri" w:hAnsi="Calibri" w:cs="Calibri"/>
          <w:sz w:val="24"/>
          <w:szCs w:val="24"/>
        </w:rPr>
      </w:pPr>
      <w:r>
        <w:rPr>
          <w:rFonts w:ascii="Calibri" w:eastAsia="Calibri" w:hAnsi="Calibri" w:cs="Calibri"/>
          <w:sz w:val="24"/>
          <w:szCs w:val="24"/>
        </w:rPr>
        <w:t xml:space="preserve">Decision-makers frequently lack a clear, quantified picture of how United States equity performance co-moves with inflation and monetary policy. Without this grounding, asset allocation and risk </w:t>
        <w:lastRenderedPageBreak/>
        <w:t>management decisions risk being driven by recency bias, such as over-reacting to the most recent central bank decision, rather than by documented historical patterns. This project addresses that gap using official, publicly available data to establish an empirical baseline. By analyzing these relationships, this study provides the foundational groundwork necessary for informed market analysis and strategic asset allocation before executing advanced financial modeling.</w:t>
      </w:r>
    </w:p>
    <w:p w14:paraId="12CE2CBD" w14:textId="3F590222" w:rsidR="00B1073D" w:rsidRDefault="00000000" w:rsidP="009E6FB5">
      <w:pPr>
        <w:pStyle w:val="Heading2"/>
        <w:spacing w:line="360" w:lineRule="auto"/>
      </w:pPr>
      <w:bookmarkStart w:id="6" w:name="_Toc235260807"/>
      <w:r>
        <w:rPr>
          <w:rFonts w:eastAsia="Calibri"/>
        </w:rPr>
        <w:t>Organization of This Report</w:t>
      </w:r>
      <w:bookmarkEnd w:id="6"/>
    </w:p>
    <w:p w14:paraId="7C84BE75" w14:textId="26CD518C" w:rsidR="00BE77FA" w:rsidRDefault="00000000" w:rsidP="009E6FB5">
      <w:pPr>
        <w:spacing w:after="130" w:line="360" w:lineRule="auto"/>
        <w:jc w:val="both"/>
        <w:rPr>
          <w:rFonts w:ascii="Calibri" w:eastAsia="Calibri" w:hAnsi="Calibri" w:cs="Calibri"/>
          <w:sz w:val="24"/>
          <w:szCs w:val="24"/>
        </w:rPr>
      </w:pPr>
      <w:r>
        <w:rPr>
          <w:rFonts w:ascii="Calibri" w:eastAsia="Calibri" w:hAnsi="Calibri" w:cs="Calibri"/>
          <w:sz w:val="24"/>
          <w:szCs w:val="24"/>
        </w:rPr>
        <w:t xml:space="preserve">Section 2 describes the data sources, tools, and analytical approach, including how AI assistance was used and bounded. Section 3 presents the findings: descriptive statistics, the eight visualizations, and formal statistical tests. Section 4 interprets those results and discusses their practical implications and limitations. Section 5 concludes and offers recommendations. Full references and supporting appendices follow in Section 6.</w:t>
      </w:r>
    </w:p>
    <w:p w14:paraId="35A36468" w14:textId="584FB5AF" w:rsidR="00BE77FA" w:rsidRPr="00BE77FA" w:rsidRDefault="00BE77FA" w:rsidP="009E6FB5">
      <w:pPr>
        <w:pStyle w:val="Heading1"/>
        <w:numPr>
          <w:ilvl w:val="0"/>
          <w:numId w:val="5"/>
        </w:numPr>
        <w:spacing w:line="360" w:lineRule="auto"/>
      </w:pPr>
      <w:bookmarkStart w:id="7" w:name="_Toc235260808"/>
      <w:r>
        <w:t>Methodology</w:t>
      </w:r>
      <w:bookmarkEnd w:id="7"/>
    </w:p>
    <w:p w14:paraId="093F0105" w14:textId="04F9D47E" w:rsidR="00B1073D" w:rsidRDefault="00000000" w:rsidP="009E6FB5">
      <w:pPr>
        <w:pStyle w:val="Heading2"/>
        <w:spacing w:line="360" w:lineRule="auto"/>
      </w:pPr>
      <w:bookmarkStart w:id="8" w:name="_Toc235260809"/>
      <w:r>
        <w:rPr>
          <w:rFonts w:eastAsia="Calibri"/>
        </w:rPr>
        <w:t>AI-Assisted Development Approach</w:t>
      </w:r>
      <w:bookmarkEnd w:id="8"/>
    </w:p>
    <w:p w14:paraId="5116E3FF" w14:textId="77777777" w:rsidR="00B1073D" w:rsidRDefault="00000000" w:rsidP="009E6FB5">
      <w:pPr>
        <w:spacing w:after="130" w:line="360" w:lineRule="auto"/>
        <w:jc w:val="both"/>
      </w:pPr>
      <w:r>
        <w:rPr>
          <w:rFonts w:ascii="Calibri" w:eastAsia="Calibri" w:hAnsi="Calibri" w:cs="Calibri"/>
          <w:sz w:val="24"/>
          <w:szCs w:val="24"/>
        </w:rPr>
        <w:t>This project was developed with the assistance of an AI system (Claude, by Anthropic), used as a coding and planning collaborator throughout. Its role was deliberately bounded and is disclosed transparently:</w:t>
      </w:r>
    </w:p>
    <w:p w14:paraId="76359CE7"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Planning assistance: structuring the overall analytical workflow, from dataset evaluation through notebook organization.</w:t>
      </w:r>
    </w:p>
    <w:p w14:paraId="01D14002"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Code drafting: Python code for data acquisition, cleaning, statistical analysis, and visualization, with clear variable names and inline documentation.</w:t>
      </w:r>
    </w:p>
    <w:p w14:paraId="53914A64"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Data verification: every series used was retrieved from FRED's public pages rather than generated or recalled from memory, with a traceable source for every figure reported.</w:t>
      </w:r>
    </w:p>
    <w:p w14:paraId="07DFCAFB" w14:textId="5DD692BE" w:rsidR="00B1073D" w:rsidRDefault="00000000" w:rsidP="009E6FB5">
      <w:pPr>
        <w:pStyle w:val="ListParagraph"/>
        <w:numPr>
          <w:ilvl w:val="0"/>
          <w:numId w:val="2"/>
        </w:numPr>
        <w:spacing w:after="70" w:line="360" w:lineRule="auto"/>
      </w:pPr>
      <w:r>
        <w:rPr>
          <w:rFonts w:ascii="Calibri" w:eastAsia="Calibri" w:hAnsi="Calibri" w:cs="Calibri"/>
          <w:sz w:val="24"/>
          <w:szCs w:val="24"/>
        </w:rPr>
        <w:t>Human review and responsibility:</w:t>
      </w:r>
      <w:r>
        <w:rPr>
          <w:rFonts w:ascii="Calibri" w:eastAsia="Calibri" w:hAnsi="Calibri" w:cs="Calibri"/>
          <w:b/>
          <w:bCs/>
          <w:sz w:val="24"/>
          <w:szCs w:val="24"/>
        </w:rPr>
        <w:t xml:space="preserve"> </w:t>
      </w:r>
      <w:r>
        <w:rPr>
          <w:rFonts w:ascii="Calibri" w:eastAsia="Calibri" w:hAnsi="Calibri" w:cs="Calibri"/>
          <w:sz w:val="24"/>
          <w:szCs w:val="24"/>
        </w:rPr>
        <w:t xml:space="preserve">all AI-drafted code, interpretations, and conclusions were reviewed by me before finalizing. The AI's output was a starting point, not a substitute for my own understanding — final analytical responsibility rests with me.</w:t>
      </w:r>
    </w:p>
    <w:p w14:paraId="2F7AB1D6" w14:textId="3A1B9046" w:rsidR="00B1073D" w:rsidRDefault="00000000" w:rsidP="009E6FB5">
      <w:pPr>
        <w:pStyle w:val="Heading2"/>
        <w:spacing w:line="360" w:lineRule="auto"/>
      </w:pPr>
      <w:bookmarkStart w:id="9" w:name="_Toc235260810"/>
      <w:r>
        <w:rPr>
          <w:rFonts w:eastAsia="Calibri"/>
        </w:rPr>
        <w:lastRenderedPageBreak/>
        <w:t>Data Source</w:t>
      </w:r>
      <w:bookmarkEnd w:id="9"/>
    </w:p>
    <w:p w14:paraId="048BB539" w14:textId="70A9F99D" w:rsidR="00523B91" w:rsidRPr="00523B91" w:rsidRDefault="00000000" w:rsidP="009E6FB5">
      <w:pPr>
        <w:spacing w:after="130" w:line="360" w:lineRule="auto"/>
        <w:jc w:val="both"/>
      </w:pPr>
      <w:r>
        <w:rPr>
          <w:rFonts w:ascii="Calibri" w:eastAsia="Calibri" w:hAnsi="Calibri" w:cs="Calibri"/>
          <w:sz w:val="24"/>
          <w:szCs w:val="24"/>
        </w:rPr>
        <w:t>Three official time series were combined, all retrieved from the Federal Reserve Bank of St. Louis's FRED database (fred.stlouisfed.org), which redistributes data directly from primary publishers without alteration:</w:t>
      </w:r>
    </w:p>
    <w:p w14:paraId="728661E0" w14:textId="7776A1D2" w:rsidR="00523B91" w:rsidRDefault="00523B91" w:rsidP="009E6FB5">
      <w:pPr>
        <w:pStyle w:val="Caption"/>
        <w:keepNext/>
        <w:spacing w:line="360" w:lineRule="auto"/>
        <w:jc w:val="center"/>
      </w:pPr>
      <w:bookmarkStart w:id="10" w:name="_Toc235260835"/>
      <w:r>
        <w:t xml:space="preserve">Table </w:t>
      </w:r>
      <w:fldSimple w:instr=" SEQ Table \* ARABIC ">
        <w:r>
          <w:rPr>
            <w:noProof/>
          </w:rPr>
          <w:t>1</w:t>
        </w:r>
      </w:fldSimple>
      <w:r>
        <w:t>-Data Source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400"/>
        <w:gridCol w:w="1560"/>
      </w:tblGrid>
      <w:tr w:rsidR="00B1073D" w14:paraId="33E08920" w14:textId="77777777" w:rsidTr="000D2800">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F220BC5" w14:textId="77777777" w:rsidR="00B1073D" w:rsidRPr="000D2800" w:rsidRDefault="00000000" w:rsidP="009E6FB5">
            <w:pPr>
              <w:spacing w:line="360" w:lineRule="auto"/>
              <w:rPr>
                <w:b/>
                <w:bCs/>
              </w:rPr>
            </w:pPr>
            <w:r>
              <w:rPr>
                <w:rFonts w:eastAsia="Calibri"/>
                <w:b/>
                <w:bCs/>
              </w:rPr>
              <w:t>Series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82A4EAC" w14:textId="77777777" w:rsidR="00B1073D" w:rsidRPr="000D2800" w:rsidRDefault="00000000" w:rsidP="009E6FB5">
            <w:pPr>
              <w:spacing w:line="360" w:lineRule="auto"/>
              <w:rPr>
                <w:b/>
                <w:bCs/>
              </w:rPr>
            </w:pPr>
            <w:r>
              <w:rPr>
                <w:rFonts w:eastAsia="Calibri"/>
                <w:b/>
                <w:bCs/>
              </w:rPr>
              <w:t>FRED ID</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A18E89C" w14:textId="77777777" w:rsidR="00B1073D" w:rsidRPr="000D2800" w:rsidRDefault="00000000" w:rsidP="009E6FB5">
            <w:pPr>
              <w:spacing w:line="360" w:lineRule="auto"/>
              <w:rPr>
                <w:b/>
                <w:bCs/>
              </w:rPr>
            </w:pPr>
            <w:r>
              <w:rPr>
                <w:rFonts w:eastAsia="Calibri"/>
                <w:b/>
                <w:bCs/>
              </w:rPr>
              <w:t>Publisher</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8A0977E" w14:textId="77777777" w:rsidR="00B1073D" w:rsidRPr="000D2800" w:rsidRDefault="00000000" w:rsidP="009E6FB5">
            <w:pPr>
              <w:spacing w:line="360" w:lineRule="auto"/>
              <w:rPr>
                <w:b/>
                <w:bCs/>
              </w:rPr>
            </w:pPr>
            <w:r>
              <w:rPr>
                <w:rFonts w:eastAsia="Calibri"/>
                <w:b/>
                <w:bCs/>
              </w:rPr>
              <w:t>Frequency</w:t>
            </w:r>
          </w:p>
        </w:tc>
      </w:tr>
      <w:tr w:rsidR="00B1073D" w14:paraId="26B1A545"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47F96DFC" w14:textId="77777777" w:rsidR="00B1073D" w:rsidRDefault="00000000" w:rsidP="009E6FB5">
            <w:pPr>
              <w:spacing w:line="360" w:lineRule="auto"/>
            </w:pPr>
            <w:r>
              <w:rPr>
                <w:rFonts w:eastAsia="Calibri"/>
              </w:rPr>
              <w:t>S&amp;P 500 Index</w:t>
            </w:r>
          </w:p>
        </w:tc>
        <w:tc>
          <w:tcPr>
            <w:tcW w:w="1600" w:type="dxa"/>
            <w:tcBorders>
              <w:top w:val="single" w:sz="4" w:space="0" w:color="BFBFBF"/>
              <w:left w:val="single" w:sz="4" w:space="0" w:color="BFBFBF"/>
              <w:bottom w:val="single" w:sz="4" w:space="0" w:color="BFBFBF"/>
              <w:right w:val="single" w:sz="4" w:space="0" w:color="BFBFBF"/>
            </w:tcBorders>
            <w:vAlign w:val="center"/>
          </w:tcPr>
          <w:p w14:paraId="46FD42D3" w14:textId="77777777" w:rsidR="00B1073D" w:rsidRDefault="00000000" w:rsidP="009E6FB5">
            <w:pPr>
              <w:spacing w:line="360" w:lineRule="auto"/>
            </w:pPr>
            <w:r>
              <w:rPr>
                <w:rFonts w:eastAsia="Calibri"/>
              </w:rPr>
              <w:t>SP500</w:t>
            </w:r>
          </w:p>
        </w:tc>
        <w:tc>
          <w:tcPr>
            <w:tcW w:w="3400" w:type="dxa"/>
            <w:tcBorders>
              <w:top w:val="single" w:sz="4" w:space="0" w:color="BFBFBF"/>
              <w:left w:val="single" w:sz="4" w:space="0" w:color="BFBFBF"/>
              <w:bottom w:val="single" w:sz="4" w:space="0" w:color="BFBFBF"/>
              <w:right w:val="single" w:sz="4" w:space="0" w:color="BFBFBF"/>
            </w:tcBorders>
            <w:vAlign w:val="center"/>
          </w:tcPr>
          <w:p w14:paraId="7CF9702A" w14:textId="77777777" w:rsidR="00B1073D" w:rsidRDefault="00000000" w:rsidP="009E6FB5">
            <w:pPr>
              <w:spacing w:line="360" w:lineRule="auto"/>
            </w:pPr>
            <w:r>
              <w:rPr>
                <w:rFonts w:eastAsia="Calibri"/>
              </w:rPr>
              <w:t>S&amp;P Dow Jones Indices LLC</w:t>
            </w:r>
          </w:p>
        </w:tc>
        <w:tc>
          <w:tcPr>
            <w:tcW w:w="1560" w:type="dxa"/>
            <w:tcBorders>
              <w:top w:val="single" w:sz="4" w:space="0" w:color="BFBFBF"/>
              <w:left w:val="single" w:sz="4" w:space="0" w:color="BFBFBF"/>
              <w:bottom w:val="single" w:sz="4" w:space="0" w:color="BFBFBF"/>
              <w:right w:val="single" w:sz="4" w:space="0" w:color="BFBFBF"/>
            </w:tcBorders>
            <w:vAlign w:val="center"/>
          </w:tcPr>
          <w:p w14:paraId="08510175" w14:textId="77777777" w:rsidR="00B1073D" w:rsidRDefault="00000000" w:rsidP="009E6FB5">
            <w:pPr>
              <w:spacing w:line="360" w:lineRule="auto"/>
            </w:pPr>
            <w:r>
              <w:rPr>
                <w:rFonts w:eastAsia="Calibri"/>
              </w:rPr>
              <w:t>Daily (close)</w:t>
            </w:r>
          </w:p>
        </w:tc>
      </w:tr>
      <w:tr w:rsidR="00B1073D" w14:paraId="333BC608"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081E11A6" w14:textId="77777777" w:rsidR="00B1073D" w:rsidRDefault="00000000" w:rsidP="009E6FB5">
            <w:pPr>
              <w:spacing w:line="360" w:lineRule="auto"/>
            </w:pPr>
            <w:r>
              <w:rPr>
                <w:rFonts w:eastAsia="Calibri"/>
              </w:rPr>
              <w:t>Consumer Price Index (Urban)</w:t>
            </w:r>
          </w:p>
        </w:tc>
        <w:tc>
          <w:tcPr>
            <w:tcW w:w="1600" w:type="dxa"/>
            <w:tcBorders>
              <w:top w:val="single" w:sz="4" w:space="0" w:color="BFBFBF"/>
              <w:left w:val="single" w:sz="4" w:space="0" w:color="BFBFBF"/>
              <w:bottom w:val="single" w:sz="4" w:space="0" w:color="BFBFBF"/>
              <w:right w:val="single" w:sz="4" w:space="0" w:color="BFBFBF"/>
            </w:tcBorders>
            <w:vAlign w:val="center"/>
          </w:tcPr>
          <w:p w14:paraId="0497CF05" w14:textId="77777777" w:rsidR="00B1073D" w:rsidRDefault="00000000" w:rsidP="009E6FB5">
            <w:pPr>
              <w:spacing w:line="360" w:lineRule="auto"/>
            </w:pPr>
            <w:r>
              <w:rPr>
                <w:rFonts w:eastAsia="Calibri"/>
              </w:rPr>
              <w:t>CPIAUCSL</w:t>
            </w:r>
          </w:p>
        </w:tc>
        <w:tc>
          <w:tcPr>
            <w:tcW w:w="3400" w:type="dxa"/>
            <w:tcBorders>
              <w:top w:val="single" w:sz="4" w:space="0" w:color="BFBFBF"/>
              <w:left w:val="single" w:sz="4" w:space="0" w:color="BFBFBF"/>
              <w:bottom w:val="single" w:sz="4" w:space="0" w:color="BFBFBF"/>
              <w:right w:val="single" w:sz="4" w:space="0" w:color="BFBFBF"/>
            </w:tcBorders>
            <w:vAlign w:val="center"/>
          </w:tcPr>
          <w:p w14:paraId="4EEDB1C1" w14:textId="77777777" w:rsidR="00B1073D" w:rsidRDefault="00000000" w:rsidP="009E6FB5">
            <w:pPr>
              <w:spacing w:line="360" w:lineRule="auto"/>
            </w:pPr>
            <w:r>
              <w:rPr>
                <w:rFonts w:eastAsia="Calibri"/>
              </w:rPr>
              <w:t>U.S. Bureau of Labor Statistics</w:t>
            </w:r>
          </w:p>
        </w:tc>
        <w:tc>
          <w:tcPr>
            <w:tcW w:w="1560" w:type="dxa"/>
            <w:tcBorders>
              <w:top w:val="single" w:sz="4" w:space="0" w:color="BFBFBF"/>
              <w:left w:val="single" w:sz="4" w:space="0" w:color="BFBFBF"/>
              <w:bottom w:val="single" w:sz="4" w:space="0" w:color="BFBFBF"/>
              <w:right w:val="single" w:sz="4" w:space="0" w:color="BFBFBF"/>
            </w:tcBorders>
            <w:vAlign w:val="center"/>
          </w:tcPr>
          <w:p w14:paraId="0FC92922" w14:textId="77777777" w:rsidR="00B1073D" w:rsidRDefault="00000000" w:rsidP="009E6FB5">
            <w:pPr>
              <w:spacing w:line="360" w:lineRule="auto"/>
            </w:pPr>
            <w:r>
              <w:rPr>
                <w:rFonts w:eastAsia="Calibri"/>
              </w:rPr>
              <w:t>Monthly</w:t>
            </w:r>
          </w:p>
        </w:tc>
      </w:tr>
      <w:tr w:rsidR="00B1073D" w14:paraId="2E9E4FCB"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17290217" w14:textId="77777777" w:rsidR="00B1073D" w:rsidRDefault="00000000" w:rsidP="009E6FB5">
            <w:pPr>
              <w:spacing w:line="360" w:lineRule="auto"/>
            </w:pPr>
            <w:r>
              <w:rPr>
                <w:rFonts w:eastAsia="Calibri"/>
              </w:rPr>
              <w:t>Effective Federal Funds Rate</w:t>
            </w:r>
          </w:p>
        </w:tc>
        <w:tc>
          <w:tcPr>
            <w:tcW w:w="1600" w:type="dxa"/>
            <w:tcBorders>
              <w:top w:val="single" w:sz="4" w:space="0" w:color="BFBFBF"/>
              <w:left w:val="single" w:sz="4" w:space="0" w:color="BFBFBF"/>
              <w:bottom w:val="single" w:sz="4" w:space="0" w:color="BFBFBF"/>
              <w:right w:val="single" w:sz="4" w:space="0" w:color="BFBFBF"/>
            </w:tcBorders>
            <w:vAlign w:val="center"/>
          </w:tcPr>
          <w:p w14:paraId="1B41F663" w14:textId="77777777" w:rsidR="00B1073D" w:rsidRDefault="00000000" w:rsidP="009E6FB5">
            <w:pPr>
              <w:spacing w:line="360" w:lineRule="auto"/>
            </w:pPr>
            <w:r>
              <w:rPr>
                <w:rFonts w:eastAsia="Calibri"/>
              </w:rPr>
              <w:t>FEDFUNDS</w:t>
            </w:r>
          </w:p>
        </w:tc>
        <w:tc>
          <w:tcPr>
            <w:tcW w:w="3400" w:type="dxa"/>
            <w:tcBorders>
              <w:top w:val="single" w:sz="4" w:space="0" w:color="BFBFBF"/>
              <w:left w:val="single" w:sz="4" w:space="0" w:color="BFBFBF"/>
              <w:bottom w:val="single" w:sz="4" w:space="0" w:color="BFBFBF"/>
              <w:right w:val="single" w:sz="4" w:space="0" w:color="BFBFBF"/>
            </w:tcBorders>
            <w:vAlign w:val="center"/>
          </w:tcPr>
          <w:p w14:paraId="4C95F920" w14:textId="77777777" w:rsidR="00B1073D" w:rsidRDefault="00000000" w:rsidP="009E6FB5">
            <w:pPr>
              <w:spacing w:line="360" w:lineRule="auto"/>
            </w:pPr>
            <w:r>
              <w:rPr>
                <w:rFonts w:eastAsia="Calibri"/>
              </w:rPr>
              <w:t>Federal Reserve Board of Governors</w:t>
            </w:r>
          </w:p>
        </w:tc>
        <w:tc>
          <w:tcPr>
            <w:tcW w:w="1560" w:type="dxa"/>
            <w:tcBorders>
              <w:top w:val="single" w:sz="4" w:space="0" w:color="BFBFBF"/>
              <w:left w:val="single" w:sz="4" w:space="0" w:color="BFBFBF"/>
              <w:bottom w:val="single" w:sz="4" w:space="0" w:color="BFBFBF"/>
              <w:right w:val="single" w:sz="4" w:space="0" w:color="BFBFBF"/>
            </w:tcBorders>
            <w:vAlign w:val="center"/>
          </w:tcPr>
          <w:p w14:paraId="30830D34" w14:textId="77777777" w:rsidR="00B1073D" w:rsidRDefault="00000000" w:rsidP="009E6FB5">
            <w:pPr>
              <w:spacing w:line="360" w:lineRule="auto"/>
            </w:pPr>
            <w:r>
              <w:rPr>
                <w:rFonts w:eastAsia="Calibri"/>
              </w:rPr>
              <w:t>Monthly</w:t>
            </w:r>
          </w:p>
        </w:tc>
      </w:tr>
    </w:tbl>
    <w:p w14:paraId="0A67F8AA" w14:textId="77777777" w:rsidR="00B1073D" w:rsidRDefault="00B1073D" w:rsidP="009E6FB5">
      <w:pPr>
        <w:spacing w:before="160" w:line="360" w:lineRule="auto"/>
      </w:pPr>
    </w:p>
    <w:p w14:paraId="51BB4409" w14:textId="36B18C4A" w:rsidR="00B1073D" w:rsidRDefault="00000000" w:rsidP="00245D3D">
      <w:pPr>
        <w:spacing w:after="130" w:line="360" w:lineRule="auto"/>
        <w:jc w:val="both"/>
      </w:pPr>
      <w:r>
        <w:rPr>
          <w:rFonts w:ascii="Calibri" w:eastAsia="Calibri" w:hAnsi="Calibri" w:cs="Calibri"/>
          <w:sz w:val="24"/>
          <w:szCs w:val="24"/>
        </w:rPr>
        <w:t>Because FRED's daily SP500 history is licensed back only ten years, the effective combined analysis window is July 2016 to mid-2026.</w:t>
      </w:r>
    </w:p>
    <w:p w14:paraId="182DE28A" w14:textId="44B632B6" w:rsidR="00B1073D" w:rsidRDefault="00000000" w:rsidP="009E6FB5">
      <w:pPr>
        <w:pStyle w:val="Heading2"/>
        <w:spacing w:line="360" w:lineRule="auto"/>
      </w:pPr>
      <w:bookmarkStart w:id="11" w:name="_Toc235260811"/>
      <w:r>
        <w:rPr>
          <w:rFonts w:eastAsia="Calibri"/>
        </w:rPr>
        <w:t>Tools Used</w:t>
      </w:r>
      <w:bookmarkEnd w:id="11"/>
    </w:p>
    <w:p w14:paraId="335896BC" w14:textId="190D28EC" w:rsidR="00B1073D" w:rsidRDefault="00000000" w:rsidP="00245D3D">
      <w:pPr>
        <w:spacing w:after="130" w:line="360" w:lineRule="auto"/>
        <w:jc w:val="both"/>
      </w:pPr>
      <w:r>
        <w:rPr>
          <w:rFonts w:ascii="Calibri" w:eastAsia="Calibri" w:hAnsi="Calibri" w:cs="Calibri"/>
          <w:sz w:val="24"/>
          <w:szCs w:val="24"/>
        </w:rPr>
        <w:t xml:space="preserve">Python 3 in a Jupyter Notebook was used throughout, with pandas and numpy for data wrangling, matplotlib and seaborn for visualization, and scipy for statistical testing.</w:t>
      </w:r>
    </w:p>
    <w:p w14:paraId="689B7287" w14:textId="1C429868" w:rsidR="00B1073D" w:rsidRDefault="00000000" w:rsidP="009E6FB5">
      <w:pPr>
        <w:pStyle w:val="Heading2"/>
        <w:spacing w:line="360" w:lineRule="auto"/>
      </w:pPr>
      <w:bookmarkStart w:id="12" w:name="_Toc235260812"/>
      <w:r>
        <w:rPr>
          <w:rFonts w:eastAsia="Calibri"/>
        </w:rPr>
        <w:t>Approach</w:t>
      </w:r>
      <w:bookmarkEnd w:id="12"/>
    </w:p>
    <w:p w14:paraId="3E1A99A8" w14:textId="77777777" w:rsidR="007C4825" w:rsidRDefault="00000000" w:rsidP="009E6FB5">
      <w:pPr>
        <w:spacing w:after="130" w:line="360" w:lineRule="auto"/>
        <w:jc w:val="both"/>
        <w:rPr>
          <w:rFonts w:ascii="Calibri" w:eastAsia="Calibri" w:hAnsi="Calibri" w:cs="Calibri"/>
          <w:sz w:val="24"/>
          <w:szCs w:val="24"/>
        </w:rPr>
      </w:pPr>
      <w:r>
        <w:rPr>
          <w:rFonts w:ascii="Calibri" w:eastAsia="Calibri" w:hAnsi="Calibri" w:cs="Calibri"/>
          <w:sz w:val="24"/>
          <w:szCs w:val="24"/>
        </w:rPr>
        <w:t>The analytical pipeline followed five stages.</w:t>
      </w:r>
    </w:p>
    <w:p w14:paraId="6CE3B240" w14:textId="77777777" w:rsidR="007C4825" w:rsidRPr="007C4825" w:rsidRDefault="00000000" w:rsidP="009E6FB5">
      <w:pPr>
        <w:pStyle w:val="ListParagraph"/>
        <w:numPr>
          <w:ilvl w:val="0"/>
          <w:numId w:val="4"/>
        </w:numPr>
        <w:spacing w:after="130" w:line="360" w:lineRule="auto"/>
        <w:jc w:val="both"/>
      </w:pPr>
      <w:r>
        <w:rPr>
          <w:rFonts w:ascii="Calibri" w:eastAsia="Calibri" w:hAnsi="Calibri" w:cs="Calibri"/>
          <w:sz w:val="24"/>
          <w:szCs w:val="24"/>
        </w:rPr>
        <w:t>Collection: all three series pulled directly from FRED's public CSV endpoint, no authentication required.</w:t>
      </w:r>
    </w:p>
    <w:p w14:paraId="4E5F41A0" w14:textId="77777777" w:rsidR="007C4825" w:rsidRPr="007C4825" w:rsidRDefault="00000000" w:rsidP="009E6FB5">
      <w:pPr>
        <w:pStyle w:val="ListParagraph"/>
        <w:numPr>
          <w:ilvl w:val="0"/>
          <w:numId w:val="4"/>
        </w:numPr>
        <w:spacing w:after="130" w:line="360" w:lineRule="auto"/>
        <w:jc w:val="both"/>
      </w:pPr>
      <w:r>
        <w:rPr>
          <w:rFonts w:ascii="Calibri" w:eastAsia="Calibri" w:hAnsi="Calibri" w:cs="Calibri"/>
          <w:sz w:val="24"/>
          <w:szCs w:val="24"/>
        </w:rPr>
        <w:t xml:space="preserve"> Cleaning: FRED's missing-value marker was converted to numeric NaN; non-trading-day gaps in SP500 were dropped as genuinely non-existent observations, while the single missing CPI month (October 2025) was forward-filled, a low-impact treatment justified by CPI's slow-moving nature.</w:t>
      </w:r>
    </w:p>
    <w:p w14:paraId="64C97AC8" w14:textId="77777777" w:rsidR="007C4825" w:rsidRPr="007C4825" w:rsidRDefault="00000000" w:rsidP="009E6FB5">
      <w:pPr>
        <w:pStyle w:val="ListParagraph"/>
        <w:numPr>
          <w:ilvl w:val="0"/>
          <w:numId w:val="4"/>
        </w:numPr>
        <w:spacing w:after="130" w:line="360" w:lineRule="auto"/>
        <w:jc w:val="both"/>
      </w:pPr>
      <w:r>
        <w:rPr>
          <w:rFonts w:ascii="Calibri" w:eastAsia="Calibri" w:hAnsi="Calibri" w:cs="Calibri"/>
          <w:sz w:val="24"/>
          <w:szCs w:val="24"/>
        </w:rPr>
        <w:lastRenderedPageBreak/>
        <w:t>Feature engineering: daily returns, rolling 21-trading-day annualized volatility, month-over-month and year-over-year inflation change, federal funds rate change in basis points, and a policy-regime label (near-zero / hiking / easing) based on documented FOMC turning points.</w:t>
      </w:r>
    </w:p>
    <w:p w14:paraId="25B8C4BC" w14:textId="77777777" w:rsidR="007C4825" w:rsidRPr="007C4825" w:rsidRDefault="00000000" w:rsidP="009E6FB5">
      <w:pPr>
        <w:pStyle w:val="ListParagraph"/>
        <w:numPr>
          <w:ilvl w:val="0"/>
          <w:numId w:val="4"/>
        </w:numPr>
        <w:spacing w:after="130" w:line="360" w:lineRule="auto"/>
        <w:jc w:val="both"/>
      </w:pPr>
      <w:r>
        <w:rPr>
          <w:rFonts w:ascii="Calibri" w:eastAsia="Calibri" w:hAnsi="Calibri" w:cs="Calibri"/>
          <w:sz w:val="24"/>
          <w:szCs w:val="24"/>
        </w:rPr>
        <w:t>Validation: the merged dataset is asserted to match an exact, verified shape (118 rows × 11 columns) before anything is saved, so any future drift is caught immediately rather than shipped silently.</w:t>
      </w:r>
    </w:p>
    <w:p w14:paraId="15A3E0AE" w14:textId="77777777" w:rsidR="007C4825" w:rsidRPr="007C4825" w:rsidRDefault="00000000" w:rsidP="009E6FB5">
      <w:pPr>
        <w:pStyle w:val="ListParagraph"/>
        <w:numPr>
          <w:ilvl w:val="0"/>
          <w:numId w:val="4"/>
        </w:numPr>
        <w:spacing w:after="130" w:line="360" w:lineRule="auto"/>
        <w:jc w:val="both"/>
      </w:pPr>
      <w:r>
        <w:rPr>
          <w:rFonts w:ascii="Calibri" w:eastAsia="Calibri" w:hAnsi="Calibri" w:cs="Calibri"/>
          <w:sz w:val="24"/>
          <w:szCs w:val="24"/>
        </w:rPr>
        <w:t>Analysis: descriptive statistics, correlation testing (Pearson, with pairwise deletion of the handful of rows where a lag-based feature is undefined at the start of the series), a two-sample test comparing volatility across regimes, and a simple linear regression.</w:t>
      </w:r>
    </w:p>
    <w:p w14:paraId="57F60E35" w14:textId="3DE15187" w:rsidR="007C4825" w:rsidRPr="007C4825" w:rsidRDefault="007C4825" w:rsidP="009E6FB5">
      <w:pPr>
        <w:pStyle w:val="Heading1"/>
        <w:numPr>
          <w:ilvl w:val="0"/>
          <w:numId w:val="5"/>
        </w:numPr>
        <w:spacing w:line="360" w:lineRule="auto"/>
        <w:rPr>
          <w:rFonts w:eastAsiaTheme="minorEastAsia"/>
        </w:rPr>
      </w:pPr>
      <w:bookmarkStart w:id="13" w:name="_Toc235260813"/>
      <w:r>
        <w:rPr>
          <w:rFonts w:eastAsiaTheme="minorEastAsia"/>
        </w:rPr>
        <w:t>Findings and Results</w:t>
      </w:r>
      <w:bookmarkEnd w:id="13"/>
    </w:p>
    <w:p w14:paraId="663D88A2" w14:textId="01615A4C" w:rsidR="00B1073D" w:rsidRDefault="00000000" w:rsidP="009E6FB5">
      <w:pPr>
        <w:pStyle w:val="Heading2"/>
        <w:spacing w:line="360" w:lineRule="auto"/>
      </w:pPr>
      <w:bookmarkStart w:id="14" w:name="_Toc235260814"/>
      <w:r>
        <w:rPr>
          <w:rFonts w:eastAsia="Calibri"/>
        </w:rPr>
        <w:t>Descriptive Statistics</w:t>
      </w:r>
      <w:bookmarkEnd w:id="14"/>
    </w:p>
    <w:p w14:paraId="61AF908E" w14:textId="13B2B42B" w:rsidR="00B1073D" w:rsidRDefault="00000000" w:rsidP="009E6FB5">
      <w:pPr>
        <w:spacing w:after="130" w:line="360" w:lineRule="auto"/>
        <w:jc w:val="both"/>
      </w:pPr>
      <w:r>
        <w:rPr>
          <w:rFonts w:ascii="Calibri" w:eastAsia="Calibri" w:hAnsi="Calibri" w:cs="Calibri"/>
          <w:sz w:val="24"/>
          <w:szCs w:val="24"/>
        </w:rPr>
        <w:t xml:space="preserve">Over July 2016 to April 2026 (n = 118 monthly observations), the S&amp;P 500 averaged a +1.07% monthly return (std. dev. 4.61%), ranging from 20.05% to +14.58% in any single month. Annualized volatility averaged 15.0% but spiked as high as 68.8% during the most turbulent month. Year-over-year CPI inflation ranged from 0.20% to 8.98% (mean 3.39%), above the Federal Reserve's conventional 2% target for most of the window, and the effective federal funds rate ranged from 0.05% to 5.33%, confirming the full policy cycle this project set out to study is captured in the data.</w:t>
      </w:r>
    </w:p>
    <w:p w14:paraId="27499265" w14:textId="73B2275F" w:rsidR="00B1073D" w:rsidRDefault="00000000" w:rsidP="009E6FB5">
      <w:pPr>
        <w:pStyle w:val="Heading2"/>
        <w:spacing w:line="360" w:lineRule="auto"/>
      </w:pPr>
      <w:bookmarkStart w:id="15" w:name="_Toc235260815"/>
      <w:r>
        <w:rPr>
          <w:rFonts w:eastAsia="Calibri"/>
        </w:rPr>
        <w:t>Visualizations</w:t>
      </w:r>
      <w:bookmarkEnd w:id="15"/>
    </w:p>
    <w:p w14:paraId="4C81FB5E" w14:textId="77777777" w:rsidR="00B1073D" w:rsidRDefault="00000000" w:rsidP="009E6FB5">
      <w:pPr>
        <w:spacing w:after="130" w:line="360" w:lineRule="auto"/>
        <w:jc w:val="both"/>
      </w:pPr>
      <w:r>
        <w:rPr>
          <w:rFonts w:ascii="Calibri" w:eastAsia="Calibri" w:hAnsi="Calibri" w:cs="Calibri"/>
          <w:sz w:val="24"/>
          <w:szCs w:val="24"/>
        </w:rPr>
        <w:t>All eight charts below are generated directly from the validated dataset and saved at publication quality; each is interpreted rather than left to speak for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073D" w14:paraId="0372EFDB" w14:textId="77777777">
        <w:trPr>
          <w:cantSplit/>
        </w:trPr>
        <w:tc>
          <w:tcPr>
            <w:tcW w:w="4680" w:type="dxa"/>
            <w:tcBorders>
              <w:top w:val="none" w:sz="0" w:space="0" w:color="FFFFFF"/>
              <w:left w:val="none" w:sz="0" w:space="0" w:color="FFFFFF"/>
              <w:bottom w:val="none" w:sz="0" w:space="0" w:color="FFFFFF"/>
              <w:right w:val="none" w:sz="0" w:space="0" w:color="FFFFFF"/>
            </w:tcBorders>
          </w:tcPr>
          <w:p w14:paraId="0DDEB43D" w14:textId="77777777" w:rsidR="00523B91" w:rsidRDefault="00000000" w:rsidP="009E6FB5">
            <w:pPr>
              <w:keepNext/>
              <w:spacing w:after="40" w:line="360" w:lineRule="auto"/>
              <w:jc w:val="center"/>
            </w:pPr>
            <w:r>
              <w:rPr>
                <w:noProof/>
              </w:rPr>
              <w:lastRenderedPageBreak/>
              <w:drawing>
                <wp:inline distT="0" distB="0" distL="0" distR="0" wp14:anchorId="26558A7C" wp14:editId="3AAE704B">
                  <wp:extent cx="238125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057275"/>
                          </a:xfrm>
                          <a:prstGeom prst="rect">
                            <a:avLst/>
                          </a:prstGeom>
                        </pic:spPr>
                      </pic:pic>
                    </a:graphicData>
                  </a:graphic>
                </wp:inline>
              </w:drawing>
            </w:r>
          </w:p>
          <w:p w14:paraId="3F3A73F2" w14:textId="545FB784" w:rsidR="00B1073D" w:rsidRDefault="00523B91" w:rsidP="00245D3D">
            <w:pPr>
              <w:pStyle w:val="Caption"/>
              <w:spacing w:line="360" w:lineRule="auto"/>
              <w:jc w:val="center"/>
            </w:pPr>
            <w:bookmarkStart w:id="16" w:name="_Toc235260827"/>
            <w:r>
              <w:t xml:space="preserve">Figure </w:t>
            </w:r>
            <w:fldSimple w:instr=" SEQ Figure \* ARABIC ">
              <w:r>
                <w:rPr>
                  <w:noProof/>
                </w:rPr>
                <w:t>1</w:t>
              </w:r>
            </w:fldSimple>
            <w:r>
              <w:t xml:space="preserve">-Effective federal funds rate, 2016–2026, the policy cycle at a glance</w:t>
            </w:r>
            <w:bookmarkEnd w:id="16"/>
          </w:p>
        </w:tc>
        <w:tc>
          <w:tcPr>
            <w:tcW w:w="4680" w:type="dxa"/>
            <w:tcBorders>
              <w:top w:val="none" w:sz="0" w:space="0" w:color="FFFFFF"/>
              <w:left w:val="none" w:sz="0" w:space="0" w:color="FFFFFF"/>
              <w:bottom w:val="none" w:sz="0" w:space="0" w:color="FFFFFF"/>
              <w:right w:val="none" w:sz="0" w:space="0" w:color="FFFFFF"/>
            </w:tcBorders>
          </w:tcPr>
          <w:p w14:paraId="6A1AEB4E" w14:textId="77777777" w:rsidR="00523B91" w:rsidRDefault="00000000" w:rsidP="009E6FB5">
            <w:pPr>
              <w:keepNext/>
              <w:spacing w:after="40" w:line="360" w:lineRule="auto"/>
              <w:jc w:val="center"/>
            </w:pPr>
            <w:r>
              <w:rPr>
                <w:noProof/>
              </w:rPr>
              <w:drawing>
                <wp:inline distT="0" distB="0" distL="0" distR="0" wp14:anchorId="5116BE65" wp14:editId="7092F7AA">
                  <wp:extent cx="2381250" cy="1076325"/>
                  <wp:effectExtent l="0" t="0" r="0" b="0"/>
                  <wp:docPr id="174456855" name="Picture 17445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076325"/>
                          </a:xfrm>
                          <a:prstGeom prst="rect">
                            <a:avLst/>
                          </a:prstGeom>
                        </pic:spPr>
                      </pic:pic>
                    </a:graphicData>
                  </a:graphic>
                </wp:inline>
              </w:drawing>
            </w:r>
          </w:p>
          <w:p w14:paraId="25C1FBC2" w14:textId="56E9EA58" w:rsidR="00523B91" w:rsidRDefault="00523B91" w:rsidP="009E6FB5">
            <w:pPr>
              <w:pStyle w:val="Caption"/>
              <w:spacing w:line="360" w:lineRule="auto"/>
              <w:jc w:val="center"/>
            </w:pPr>
            <w:bookmarkStart w:id="17" w:name="_Toc235260828"/>
            <w:r>
              <w:t xml:space="preserve">Figure </w:t>
            </w:r>
            <w:fldSimple w:instr=" SEQ Figure \* ARABIC ">
              <w:r>
                <w:rPr>
                  <w:noProof/>
                </w:rPr>
                <w:t>2</w:t>
              </w:r>
            </w:fldSimple>
            <w:r>
              <w:t>-30- and 90-day moving averages smoothing daily S&amp;P 500 noise.</w:t>
            </w:r>
            <w:bookmarkEnd w:id="17"/>
          </w:p>
          <w:p w14:paraId="407EEE0B" w14:textId="7F4A8D47" w:rsidR="00B1073D" w:rsidRDefault="00B1073D" w:rsidP="009E6FB5">
            <w:pPr>
              <w:spacing w:after="40" w:line="360" w:lineRule="auto"/>
              <w:jc w:val="center"/>
            </w:pPr>
          </w:p>
          <w:p w14:paraId="607F01BF" w14:textId="38231B59" w:rsidR="00B1073D" w:rsidRDefault="00B1073D" w:rsidP="009E6FB5">
            <w:pPr>
              <w:spacing w:after="200" w:line="360" w:lineRule="auto"/>
              <w:jc w:val="center"/>
            </w:pPr>
          </w:p>
        </w:tc>
      </w:tr>
    </w:tbl>
    <w:p w14:paraId="6B685483" w14:textId="2BB57AF1" w:rsidR="00B1073D" w:rsidRDefault="00000000" w:rsidP="009E6FB5">
      <w:pPr>
        <w:spacing w:after="130" w:line="360" w:lineRule="auto"/>
        <w:jc w:val="both"/>
      </w:pPr>
      <w:r>
        <w:rPr>
          <w:rFonts w:ascii="Calibri" w:eastAsia="Calibri" w:hAnsi="Calibri" w:cs="Calibri"/>
          <w:sz w:val="24"/>
          <w:szCs w:val="24"/>
        </w:rPr>
        <w:t xml:space="preserve">Figure 1 shows the policy cycle unmistakably: flat near zero through 2021, a near-vertical climb through 2022–2023, a plateau, then a gradual descent from late 2024. Figure 2's moving averages make the major trend turns, the 2020 crash, the 2022 downturn, far easier to see than the raw daily series, at the cost of lagging behind sharp reversals.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073D" w14:paraId="454018F0" w14:textId="77777777">
        <w:trPr>
          <w:cantSplit/>
        </w:trPr>
        <w:tc>
          <w:tcPr>
            <w:tcW w:w="4680" w:type="dxa"/>
            <w:tcBorders>
              <w:top w:val="none" w:sz="0" w:space="0" w:color="FFFFFF"/>
              <w:left w:val="none" w:sz="0" w:space="0" w:color="FFFFFF"/>
              <w:bottom w:val="none" w:sz="0" w:space="0" w:color="FFFFFF"/>
              <w:right w:val="none" w:sz="0" w:space="0" w:color="FFFFFF"/>
            </w:tcBorders>
          </w:tcPr>
          <w:p w14:paraId="510D14B7" w14:textId="77777777" w:rsidR="007B5C16" w:rsidRDefault="00000000" w:rsidP="009E6FB5">
            <w:pPr>
              <w:keepNext/>
              <w:spacing w:after="40" w:line="360" w:lineRule="auto"/>
              <w:jc w:val="center"/>
            </w:pPr>
            <w:r>
              <w:rPr>
                <w:noProof/>
              </w:rPr>
              <w:drawing>
                <wp:inline distT="0" distB="0" distL="0" distR="0" wp14:anchorId="51341FD4" wp14:editId="57B5F795">
                  <wp:extent cx="2381250" cy="1476375"/>
                  <wp:effectExtent l="0" t="0" r="0" b="0"/>
                  <wp:docPr id="447478849" name="Picture 44747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1476375"/>
                          </a:xfrm>
                          <a:prstGeom prst="rect">
                            <a:avLst/>
                          </a:prstGeom>
                        </pic:spPr>
                      </pic:pic>
                    </a:graphicData>
                  </a:graphic>
                </wp:inline>
              </w:drawing>
            </w:r>
          </w:p>
          <w:p w14:paraId="1C7F0906" w14:textId="73C4BFBA" w:rsidR="00B1073D" w:rsidRDefault="007B5C16" w:rsidP="009E6FB5">
            <w:pPr>
              <w:pStyle w:val="Caption"/>
              <w:spacing w:line="360" w:lineRule="auto"/>
              <w:jc w:val="center"/>
            </w:pPr>
            <w:bookmarkStart w:id="18" w:name="_Toc235260829"/>
            <w:r>
              <w:t xml:space="preserve">Figure </w:t>
            </w:r>
            <w:fldSimple w:instr=" SEQ Figure \* ARABIC ">
              <w:r>
                <w:rPr>
                  <w:noProof/>
                </w:rPr>
                <w:t>3</w:t>
              </w:r>
            </w:fldSimple>
            <w:r>
              <w:t>-Distribution of monthly S&amp;P 500 returns.</w:t>
            </w:r>
            <w:bookmarkEnd w:id="18"/>
          </w:p>
          <w:p w14:paraId="5089E027" w14:textId="3680E3C8" w:rsidR="00B1073D" w:rsidRDefault="00B1073D" w:rsidP="009E6FB5">
            <w:pPr>
              <w:spacing w:after="200" w:line="360" w:lineRule="auto"/>
              <w:jc w:val="center"/>
            </w:pPr>
          </w:p>
        </w:tc>
        <w:tc>
          <w:tcPr>
            <w:tcW w:w="4680" w:type="dxa"/>
            <w:tcBorders>
              <w:top w:val="none" w:sz="0" w:space="0" w:color="FFFFFF"/>
              <w:left w:val="none" w:sz="0" w:space="0" w:color="FFFFFF"/>
              <w:bottom w:val="none" w:sz="0" w:space="0" w:color="FFFFFF"/>
              <w:right w:val="none" w:sz="0" w:space="0" w:color="FFFFFF"/>
            </w:tcBorders>
          </w:tcPr>
          <w:p w14:paraId="6FB8FF99" w14:textId="77777777" w:rsidR="007B5C16" w:rsidRDefault="00000000" w:rsidP="009E6FB5">
            <w:pPr>
              <w:keepNext/>
              <w:spacing w:after="40" w:line="360" w:lineRule="auto"/>
              <w:jc w:val="center"/>
            </w:pPr>
            <w:r>
              <w:rPr>
                <w:noProof/>
              </w:rPr>
              <w:drawing>
                <wp:inline distT="0" distB="0" distL="0" distR="0" wp14:anchorId="7AE7FAB9" wp14:editId="308A851E">
                  <wp:extent cx="2381250" cy="1447800"/>
                  <wp:effectExtent l="0" t="0" r="0" b="0"/>
                  <wp:docPr id="1241770130" name="Picture 124177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447800"/>
                          </a:xfrm>
                          <a:prstGeom prst="rect">
                            <a:avLst/>
                          </a:prstGeom>
                        </pic:spPr>
                      </pic:pic>
                    </a:graphicData>
                  </a:graphic>
                </wp:inline>
              </w:drawing>
            </w:r>
          </w:p>
          <w:p w14:paraId="27329116" w14:textId="29CDDAB4" w:rsidR="007B5C16" w:rsidRDefault="007B5C16" w:rsidP="009E6FB5">
            <w:pPr>
              <w:pStyle w:val="Caption"/>
              <w:spacing w:line="360" w:lineRule="auto"/>
              <w:jc w:val="center"/>
            </w:pPr>
            <w:bookmarkStart w:id="19" w:name="_Toc235260830"/>
            <w:r>
              <w:t xml:space="preserve">Figure </w:t>
            </w:r>
            <w:fldSimple w:instr=" SEQ Figure \* ARABIC ">
              <w:r>
                <w:rPr>
                  <w:noProof/>
                </w:rPr>
                <w:t>4</w:t>
              </w:r>
            </w:fldSimple>
            <w:r>
              <w:t>-. Monthly returns by policy regime.</w:t>
            </w:r>
            <w:bookmarkEnd w:id="19"/>
          </w:p>
          <w:p w14:paraId="5469221E" w14:textId="7115E32C" w:rsidR="00B1073D" w:rsidRDefault="00B1073D" w:rsidP="009E6FB5">
            <w:pPr>
              <w:spacing w:after="40" w:line="360" w:lineRule="auto"/>
              <w:jc w:val="center"/>
            </w:pPr>
          </w:p>
          <w:p w14:paraId="604EAC97" w14:textId="65D8CA8E" w:rsidR="00B1073D" w:rsidRDefault="00B1073D" w:rsidP="009E6FB5">
            <w:pPr>
              <w:spacing w:after="200" w:line="360" w:lineRule="auto"/>
              <w:jc w:val="center"/>
            </w:pPr>
          </w:p>
        </w:tc>
      </w:tr>
    </w:tbl>
    <w:p w14:paraId="4709813C" w14:textId="01DA8AFA" w:rsidR="00B1073D" w:rsidRDefault="00000000" w:rsidP="009E6FB5">
      <w:pPr>
        <w:spacing w:after="130" w:line="360" w:lineRule="auto"/>
        <w:jc w:val="both"/>
      </w:pPr>
      <w:r>
        <w:rPr>
          <w:rFonts w:ascii="Calibri" w:eastAsia="Calibri" w:hAnsi="Calibri" w:cs="Calibri"/>
          <w:sz w:val="24"/>
          <w:szCs w:val="24"/>
        </w:rPr>
        <w:t xml:space="preserve">Figure 3 shows returns are roughly bell-shaped with a visible left tail, a small number of very bad months (crash events) pull the distribution away from a symmetric normal shape, a well-documented “fat tails” feature of financial returns. Figure 4 shows median returns are positive in all three regimes, but the hiking-cycle box is visibly wider with a lower whisker reaching further into negative territory.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073D" w14:paraId="2207C638" w14:textId="77777777">
        <w:trPr>
          <w:cantSplit/>
        </w:trPr>
        <w:tc>
          <w:tcPr>
            <w:tcW w:w="4680" w:type="dxa"/>
            <w:tcBorders>
              <w:top w:val="none" w:sz="0" w:space="0" w:color="FFFFFF"/>
              <w:left w:val="none" w:sz="0" w:space="0" w:color="FFFFFF"/>
              <w:bottom w:val="none" w:sz="0" w:space="0" w:color="FFFFFF"/>
              <w:right w:val="none" w:sz="0" w:space="0" w:color="FFFFFF"/>
            </w:tcBorders>
          </w:tcPr>
          <w:p w14:paraId="15E697F5" w14:textId="77777777" w:rsidR="007B5C16" w:rsidRDefault="00000000" w:rsidP="009E6FB5">
            <w:pPr>
              <w:keepNext/>
              <w:spacing w:after="40" w:line="360" w:lineRule="auto"/>
              <w:jc w:val="center"/>
            </w:pPr>
            <w:r>
              <w:rPr>
                <w:noProof/>
              </w:rPr>
              <w:lastRenderedPageBreak/>
              <w:drawing>
                <wp:inline distT="0" distB="0" distL="0" distR="0" wp14:anchorId="4D2197C1" wp14:editId="1CC7A85F">
                  <wp:extent cx="2381250" cy="1533525"/>
                  <wp:effectExtent l="0" t="0" r="0" b="0"/>
                  <wp:docPr id="1604154845" name="Picture 160415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533525"/>
                          </a:xfrm>
                          <a:prstGeom prst="rect">
                            <a:avLst/>
                          </a:prstGeom>
                        </pic:spPr>
                      </pic:pic>
                    </a:graphicData>
                  </a:graphic>
                </wp:inline>
              </w:drawing>
            </w:r>
          </w:p>
          <w:p w14:paraId="52AFB0AA" w14:textId="6D712C1C" w:rsidR="00B1073D" w:rsidRDefault="007B5C16" w:rsidP="009E6FB5">
            <w:pPr>
              <w:pStyle w:val="Caption"/>
              <w:spacing w:line="360" w:lineRule="auto"/>
              <w:jc w:val="center"/>
            </w:pPr>
            <w:bookmarkStart w:id="20" w:name="_Toc235260831"/>
            <w:r>
              <w:t xml:space="preserve">Figure </w:t>
            </w:r>
            <w:fldSimple w:instr=" SEQ Figure \* ARABIC ">
              <w:r>
                <w:rPr>
                  <w:noProof/>
                </w:rPr>
                <w:t>5</w:t>
              </w:r>
            </w:fldSimple>
            <w:r>
              <w:t>-S&amp;P 500 return vs. CPI inflation, colored by regime.</w:t>
            </w:r>
            <w:bookmarkEnd w:id="20"/>
          </w:p>
          <w:p w14:paraId="391949BE" w14:textId="7F9613A9" w:rsidR="00B1073D" w:rsidRDefault="00B1073D" w:rsidP="009E6FB5">
            <w:pPr>
              <w:spacing w:after="200" w:line="360" w:lineRule="auto"/>
              <w:jc w:val="center"/>
            </w:pPr>
          </w:p>
        </w:tc>
        <w:tc>
          <w:tcPr>
            <w:tcW w:w="4680" w:type="dxa"/>
            <w:tcBorders>
              <w:top w:val="none" w:sz="0" w:space="0" w:color="FFFFFF"/>
              <w:left w:val="none" w:sz="0" w:space="0" w:color="FFFFFF"/>
              <w:bottom w:val="none" w:sz="0" w:space="0" w:color="FFFFFF"/>
              <w:right w:val="none" w:sz="0" w:space="0" w:color="FFFFFF"/>
            </w:tcBorders>
          </w:tcPr>
          <w:p w14:paraId="28B7A2CF" w14:textId="77777777" w:rsidR="007B5C16" w:rsidRDefault="00000000" w:rsidP="009E6FB5">
            <w:pPr>
              <w:keepNext/>
              <w:spacing w:after="40" w:line="360" w:lineRule="auto"/>
              <w:jc w:val="center"/>
            </w:pPr>
            <w:r>
              <w:rPr>
                <w:noProof/>
              </w:rPr>
              <w:drawing>
                <wp:inline distT="0" distB="0" distL="0" distR="0" wp14:anchorId="32931583" wp14:editId="4FAD03A1">
                  <wp:extent cx="2381250" cy="2066925"/>
                  <wp:effectExtent l="0" t="0" r="0" b="0"/>
                  <wp:docPr id="494690049" name="Picture 49469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2066925"/>
                          </a:xfrm>
                          <a:prstGeom prst="rect">
                            <a:avLst/>
                          </a:prstGeom>
                        </pic:spPr>
                      </pic:pic>
                    </a:graphicData>
                  </a:graphic>
                </wp:inline>
              </w:drawing>
            </w:r>
          </w:p>
          <w:p w14:paraId="27EDAFD3" w14:textId="30F60BF0" w:rsidR="007B5C16" w:rsidRDefault="007B5C16" w:rsidP="009E6FB5">
            <w:pPr>
              <w:pStyle w:val="Caption"/>
              <w:spacing w:line="360" w:lineRule="auto"/>
              <w:jc w:val="center"/>
            </w:pPr>
            <w:bookmarkStart w:id="21" w:name="_Toc235260832"/>
            <w:r>
              <w:t xml:space="preserve">Figure </w:t>
            </w:r>
            <w:fldSimple w:instr=" SEQ Figure \* ARABIC ">
              <w:r>
                <w:rPr>
                  <w:noProof/>
                </w:rPr>
                <w:t>6</w:t>
              </w:r>
            </w:fldSimple>
            <w:r>
              <w:t>-Correlation matrix across key variables.</w:t>
            </w:r>
            <w:bookmarkEnd w:id="21"/>
          </w:p>
          <w:p w14:paraId="1A2ECBA7" w14:textId="219D4047" w:rsidR="00B1073D" w:rsidRDefault="00B1073D" w:rsidP="009E6FB5">
            <w:pPr>
              <w:spacing w:after="40" w:line="360" w:lineRule="auto"/>
              <w:jc w:val="center"/>
            </w:pPr>
          </w:p>
          <w:p w14:paraId="1047800A" w14:textId="31758A0D" w:rsidR="00B1073D" w:rsidRDefault="00B1073D" w:rsidP="009E6FB5">
            <w:pPr>
              <w:spacing w:after="200" w:line="360" w:lineRule="auto"/>
              <w:jc w:val="center"/>
            </w:pPr>
          </w:p>
        </w:tc>
      </w:tr>
    </w:tbl>
    <w:p w14:paraId="1F4C09DE" w14:textId="5D366EFD" w:rsidR="00B1073D" w:rsidRDefault="00000000" w:rsidP="009E6FB5">
      <w:pPr>
        <w:spacing w:after="130" w:line="360" w:lineRule="auto"/>
        <w:jc w:val="both"/>
      </w:pPr>
      <w:r>
        <w:rPr>
          <w:rFonts w:ascii="Calibri" w:eastAsia="Calibri" w:hAnsi="Calibri" w:cs="Calibri"/>
          <w:sz w:val="24"/>
          <w:szCs w:val="24"/>
        </w:rPr>
        <w:t xml:space="preserve">Figure 6 identifies the strongest relationship in the dataset as monthly return versus monthly volatility (r = –0.49), higher-volatility months coincide with weaker returns, as expected. The pace of Fed funds changes correlates moderately with CPI inflation (r = 0.57), consistent with the Fed reacting to inflation. Direct correlations between returns and CPI (r = –0.12) or rate changes (r = 0.10) are both weak, visible in Figure 5 as a loose, noisy scatter rather than a tight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073D" w14:paraId="3751AD5E" w14:textId="77777777">
        <w:trPr>
          <w:cantSplit/>
        </w:trPr>
        <w:tc>
          <w:tcPr>
            <w:tcW w:w="4680" w:type="dxa"/>
            <w:tcBorders>
              <w:top w:val="none" w:sz="0" w:space="0" w:color="FFFFFF"/>
              <w:left w:val="none" w:sz="0" w:space="0" w:color="FFFFFF"/>
              <w:bottom w:val="none" w:sz="0" w:space="0" w:color="FFFFFF"/>
              <w:right w:val="none" w:sz="0" w:space="0" w:color="FFFFFF"/>
            </w:tcBorders>
          </w:tcPr>
          <w:p w14:paraId="0C432D5A" w14:textId="77777777" w:rsidR="007B5C16" w:rsidRDefault="00000000" w:rsidP="009E6FB5">
            <w:pPr>
              <w:keepNext/>
              <w:spacing w:after="40" w:line="360" w:lineRule="auto"/>
              <w:jc w:val="center"/>
            </w:pPr>
            <w:r>
              <w:rPr>
                <w:noProof/>
              </w:rPr>
              <w:drawing>
                <wp:inline distT="0" distB="0" distL="0" distR="0" wp14:anchorId="3B710471" wp14:editId="79C42B6E">
                  <wp:extent cx="2381250" cy="1181100"/>
                  <wp:effectExtent l="0" t="0" r="0" b="0"/>
                  <wp:docPr id="2053559847" name="Picture 205355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181100"/>
                          </a:xfrm>
                          <a:prstGeom prst="rect">
                            <a:avLst/>
                          </a:prstGeom>
                        </pic:spPr>
                      </pic:pic>
                    </a:graphicData>
                  </a:graphic>
                </wp:inline>
              </w:drawing>
            </w:r>
          </w:p>
          <w:p w14:paraId="432353FA" w14:textId="6140E346" w:rsidR="00B1073D" w:rsidRDefault="007B5C16" w:rsidP="009E6FB5">
            <w:pPr>
              <w:pStyle w:val="Caption"/>
              <w:spacing w:line="360" w:lineRule="auto"/>
              <w:jc w:val="center"/>
            </w:pPr>
            <w:bookmarkStart w:id="22" w:name="_Toc235260833"/>
            <w:r>
              <w:t xml:space="preserve">Figure </w:t>
            </w:r>
            <w:fldSimple w:instr=" SEQ Figure \* ARABIC ">
              <w:r>
                <w:rPr>
                  <w:noProof/>
                </w:rPr>
                <w:t>7</w:t>
              </w:r>
            </w:fldSimple>
            <w:r>
              <w:t>-Daily S&amp;P 500, colored by policy regime, with the COVID-19 crash annotated.</w:t>
            </w:r>
            <w:bookmarkEnd w:id="22"/>
          </w:p>
          <w:p w14:paraId="3D597EDA" w14:textId="3C68CA6C" w:rsidR="00B1073D" w:rsidRDefault="00B1073D" w:rsidP="009E6FB5">
            <w:pPr>
              <w:spacing w:after="200" w:line="360" w:lineRule="auto"/>
              <w:jc w:val="center"/>
            </w:pPr>
          </w:p>
        </w:tc>
        <w:tc>
          <w:tcPr>
            <w:tcW w:w="4680" w:type="dxa"/>
            <w:tcBorders>
              <w:top w:val="none" w:sz="0" w:space="0" w:color="FFFFFF"/>
              <w:left w:val="none" w:sz="0" w:space="0" w:color="FFFFFF"/>
              <w:bottom w:val="none" w:sz="0" w:space="0" w:color="FFFFFF"/>
              <w:right w:val="none" w:sz="0" w:space="0" w:color="FFFFFF"/>
            </w:tcBorders>
          </w:tcPr>
          <w:p w14:paraId="671BDDB1" w14:textId="77777777" w:rsidR="007B5C16" w:rsidRDefault="00000000" w:rsidP="009E6FB5">
            <w:pPr>
              <w:keepNext/>
              <w:spacing w:after="40" w:line="360" w:lineRule="auto"/>
              <w:jc w:val="center"/>
            </w:pPr>
            <w:r>
              <w:rPr>
                <w:noProof/>
              </w:rPr>
              <w:drawing>
                <wp:inline distT="0" distB="0" distL="0" distR="0" wp14:anchorId="75C306A1" wp14:editId="55E24F70">
                  <wp:extent cx="2381250" cy="1238250"/>
                  <wp:effectExtent l="0" t="0" r="0" b="0"/>
                  <wp:docPr id="900801998" name="Picture 90080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1238250"/>
                          </a:xfrm>
                          <a:prstGeom prst="rect">
                            <a:avLst/>
                          </a:prstGeom>
                        </pic:spPr>
                      </pic:pic>
                    </a:graphicData>
                  </a:graphic>
                </wp:inline>
              </w:drawing>
            </w:r>
          </w:p>
          <w:p w14:paraId="3314B966" w14:textId="6B54F65B" w:rsidR="007B5C16" w:rsidRDefault="007B5C16" w:rsidP="009E6FB5">
            <w:pPr>
              <w:pStyle w:val="Caption"/>
              <w:spacing w:line="360" w:lineRule="auto"/>
              <w:jc w:val="center"/>
            </w:pPr>
            <w:bookmarkStart w:id="23" w:name="_Toc235260834"/>
            <w:r>
              <w:t xml:space="preserve">Figure </w:t>
            </w:r>
            <w:fldSimple w:instr=" SEQ Figure \* ARABIC ">
              <w:r>
                <w:rPr>
                  <w:noProof/>
                </w:rPr>
                <w:t>8</w:t>
              </w:r>
            </w:fldSimple>
            <w:r>
              <w:t>-S&amp;P 500, CPI, and Fed funds rate rebased to a common scale.</w:t>
            </w:r>
            <w:bookmarkEnd w:id="23"/>
          </w:p>
          <w:p w14:paraId="2D6453A7" w14:textId="18B4B1F6" w:rsidR="00B1073D" w:rsidRDefault="00B1073D" w:rsidP="009E6FB5">
            <w:pPr>
              <w:spacing w:after="40" w:line="360" w:lineRule="auto"/>
              <w:jc w:val="center"/>
            </w:pPr>
          </w:p>
          <w:p w14:paraId="7CE9FB11" w14:textId="1583FB6A" w:rsidR="00B1073D" w:rsidRDefault="00B1073D" w:rsidP="009E6FB5">
            <w:pPr>
              <w:spacing w:after="200" w:line="360" w:lineRule="auto"/>
              <w:jc w:val="center"/>
            </w:pPr>
          </w:p>
        </w:tc>
      </w:tr>
    </w:tbl>
    <w:p w14:paraId="5374C218" w14:textId="77777777" w:rsidR="00B1073D" w:rsidRDefault="00000000" w:rsidP="009E6FB5">
      <w:pPr>
        <w:spacing w:after="130" w:line="360" w:lineRule="auto"/>
        <w:jc w:val="both"/>
      </w:pPr>
      <w:r>
        <w:rPr>
          <w:rFonts w:ascii="Calibri" w:eastAsia="Calibri" w:hAnsi="Calibri" w:cs="Calibri"/>
          <w:sz w:val="24"/>
          <w:szCs w:val="24"/>
        </w:rPr>
        <w:t>Figure 8 is the single most useful chart for a non-technical stakeholder: it shows in one image that equity growth (+254% cumulative price return over the window) has vastly outpaced inflation even after two significant drawdowns, while the federal funds rate cycled up and back down around it.</w:t>
      </w:r>
    </w:p>
    <w:p w14:paraId="4146EF7B" w14:textId="32CF61B7" w:rsidR="00B1073D" w:rsidRDefault="00000000" w:rsidP="009E6FB5">
      <w:pPr>
        <w:pStyle w:val="Heading2"/>
        <w:spacing w:line="360" w:lineRule="auto"/>
      </w:pPr>
      <w:bookmarkStart w:id="24" w:name="_Toc235260816"/>
      <w:r>
        <w:rPr>
          <w:rFonts w:eastAsia="Calibri"/>
        </w:rPr>
        <w:lastRenderedPageBreak/>
        <w:t>Statistical Significance</w:t>
      </w:r>
      <w:bookmarkEnd w:id="24"/>
    </w:p>
    <w:p w14:paraId="595E1693" w14:textId="77777777" w:rsidR="00B1073D" w:rsidRDefault="00000000" w:rsidP="009E6FB5">
      <w:pPr>
        <w:spacing w:after="130" w:line="360" w:lineRule="auto"/>
        <w:jc w:val="both"/>
      </w:pPr>
      <w:r>
        <w:rPr>
          <w:rFonts w:ascii="Calibri" w:eastAsia="Calibri" w:hAnsi="Calibri" w:cs="Calibri"/>
          <w:sz w:val="24"/>
          <w:szCs w:val="24"/>
        </w:rPr>
        <w:t>The correlations above were tested formally rather than read visually:</w:t>
      </w:r>
    </w:p>
    <w:p w14:paraId="212A1B90" w14:textId="28D2F8A3" w:rsidR="007B5C16" w:rsidRDefault="007B5C16" w:rsidP="009E6FB5">
      <w:pPr>
        <w:pStyle w:val="Caption"/>
        <w:keepNext/>
        <w:spacing w:line="360" w:lineRule="auto"/>
        <w:jc w:val="center"/>
      </w:pPr>
    </w:p>
    <w:p w14:paraId="6AC11C87" w14:textId="1F96B05D" w:rsidR="007B5C16" w:rsidRDefault="007B5C16" w:rsidP="009E6FB5">
      <w:pPr>
        <w:pStyle w:val="Caption"/>
        <w:keepNext/>
        <w:spacing w:line="360" w:lineRule="auto"/>
        <w:jc w:val="center"/>
      </w:pPr>
      <w:bookmarkStart w:id="25" w:name="_Toc235260836"/>
      <w:r>
        <w:t xml:space="preserve">Table </w:t>
      </w:r>
      <w:fldSimple w:instr=" SEQ Table \* ARABIC ">
        <w:r>
          <w:rPr>
            <w:noProof/>
          </w:rPr>
          <w:t>2</w:t>
        </w:r>
      </w:fldSimple>
      <w:r>
        <w:t>-Statistical Significance Test Results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1960"/>
      </w:tblGrid>
      <w:tr w:rsidR="00B1073D" w14:paraId="01842ABF" w14:textId="77777777" w:rsidTr="000D2800">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994FDE4" w14:textId="77777777" w:rsidR="00B1073D" w:rsidRPr="000D2800" w:rsidRDefault="00000000" w:rsidP="009E6FB5">
            <w:pPr>
              <w:spacing w:line="360" w:lineRule="auto"/>
            </w:pPr>
            <w:r>
              <w:rPr>
                <w:rFonts w:ascii="Calibri" w:eastAsia="Calibri" w:hAnsi="Calibri" w:cs="Calibri"/>
                <w:b/>
                <w:bCs/>
                <w:sz w:val="20"/>
                <w:szCs w:val="20"/>
              </w:rPr>
              <w:t>Test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3DCCA4D" w14:textId="77777777" w:rsidR="00B1073D" w:rsidRPr="000D2800" w:rsidRDefault="00000000" w:rsidP="009E6FB5">
            <w:pPr>
              <w:spacing w:line="360" w:lineRule="auto"/>
            </w:pPr>
            <w:r>
              <w:rPr>
                <w:rFonts w:ascii="Calibri" w:eastAsia="Calibri" w:hAnsi="Calibri" w:cs="Calibri"/>
                <w:b/>
                <w:bCs/>
                <w:sz w:val="20"/>
                <w:szCs w:val="20"/>
              </w:rPr>
              <w:t>Result</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849C7D6" w14:textId="77777777" w:rsidR="00B1073D" w:rsidRPr="000D2800" w:rsidRDefault="00000000" w:rsidP="009E6FB5">
            <w:pPr>
              <w:spacing w:line="360" w:lineRule="auto"/>
            </w:pPr>
            <w:r>
              <w:rPr>
                <w:rFonts w:ascii="Calibri" w:eastAsia="Calibri" w:hAnsi="Calibri" w:cs="Calibri"/>
                <w:b/>
                <w:bCs/>
                <w:sz w:val="20"/>
                <w:szCs w:val="20"/>
              </w:rPr>
              <w:t>Significant at 5%?</w:t>
            </w:r>
          </w:p>
        </w:tc>
      </w:tr>
      <w:tr w:rsidR="00B1073D" w14:paraId="0ECDB142" w14:textId="77777777">
        <w:trPr>
          <w:cantSplit/>
        </w:trPr>
        <w:tc>
          <w:tcPr>
            <w:tcW w:w="4200" w:type="dxa"/>
            <w:tcBorders>
              <w:top w:val="single" w:sz="4" w:space="0" w:color="BFBFBF"/>
              <w:left w:val="single" w:sz="4" w:space="0" w:color="BFBFBF"/>
              <w:bottom w:val="single" w:sz="4" w:space="0" w:color="BFBFBF"/>
              <w:right w:val="single" w:sz="4" w:space="0" w:color="BFBFBF"/>
            </w:tcBorders>
            <w:vAlign w:val="center"/>
          </w:tcPr>
          <w:p w14:paraId="4668983C" w14:textId="77777777" w:rsidR="00B1073D" w:rsidRDefault="00000000" w:rsidP="009E6FB5">
            <w:pPr>
              <w:spacing w:line="360" w:lineRule="auto"/>
            </w:pPr>
            <w:r>
              <w:rPr>
                <w:rFonts w:ascii="Calibri" w:eastAsia="Calibri" w:hAnsi="Calibri" w:cs="Calibri"/>
                <w:sz w:val="20"/>
                <w:szCs w:val="20"/>
              </w:rPr>
              <w:t>SP500 return × CPI YoY inflation (Pearson r)</w:t>
            </w:r>
          </w:p>
        </w:tc>
        <w:tc>
          <w:tcPr>
            <w:tcW w:w="3200" w:type="dxa"/>
            <w:tcBorders>
              <w:top w:val="single" w:sz="4" w:space="0" w:color="BFBFBF"/>
              <w:left w:val="single" w:sz="4" w:space="0" w:color="BFBFBF"/>
              <w:bottom w:val="single" w:sz="4" w:space="0" w:color="BFBFBF"/>
              <w:right w:val="single" w:sz="4" w:space="0" w:color="BFBFBF"/>
            </w:tcBorders>
            <w:vAlign w:val="center"/>
          </w:tcPr>
          <w:p w14:paraId="35A50E24" w14:textId="77777777" w:rsidR="00B1073D" w:rsidRDefault="00000000" w:rsidP="009E6FB5">
            <w:pPr>
              <w:spacing w:line="360" w:lineRule="auto"/>
            </w:pPr>
            <w:r>
              <w:rPr>
                <w:rFonts w:ascii="Calibri" w:eastAsia="Calibri" w:hAnsi="Calibri" w:cs="Calibri"/>
                <w:sz w:val="20"/>
                <w:szCs w:val="20"/>
              </w:rPr>
              <w:t>r = –0.12, p = 0.207</w:t>
            </w:r>
          </w:p>
        </w:tc>
        <w:tc>
          <w:tcPr>
            <w:tcW w:w="1960" w:type="dxa"/>
            <w:tcBorders>
              <w:top w:val="single" w:sz="4" w:space="0" w:color="BFBFBF"/>
              <w:left w:val="single" w:sz="4" w:space="0" w:color="BFBFBF"/>
              <w:bottom w:val="single" w:sz="4" w:space="0" w:color="BFBFBF"/>
              <w:right w:val="single" w:sz="4" w:space="0" w:color="BFBFBF"/>
            </w:tcBorders>
            <w:vAlign w:val="center"/>
          </w:tcPr>
          <w:p w14:paraId="181C3FF1" w14:textId="77777777" w:rsidR="00B1073D" w:rsidRDefault="00000000" w:rsidP="009E6FB5">
            <w:pPr>
              <w:spacing w:line="360" w:lineRule="auto"/>
            </w:pPr>
            <w:r>
              <w:rPr>
                <w:rFonts w:ascii="Calibri" w:eastAsia="Calibri" w:hAnsi="Calibri" w:cs="Calibri"/>
                <w:sz w:val="20"/>
                <w:szCs w:val="20"/>
              </w:rPr>
              <w:t>No</w:t>
            </w:r>
          </w:p>
        </w:tc>
      </w:tr>
      <w:tr w:rsidR="00B1073D" w14:paraId="30D3F8C3" w14:textId="77777777">
        <w:trPr>
          <w:cantSplit/>
        </w:trPr>
        <w:tc>
          <w:tcPr>
            <w:tcW w:w="4200" w:type="dxa"/>
            <w:tcBorders>
              <w:top w:val="single" w:sz="4" w:space="0" w:color="BFBFBF"/>
              <w:left w:val="single" w:sz="4" w:space="0" w:color="BFBFBF"/>
              <w:bottom w:val="single" w:sz="4" w:space="0" w:color="BFBFBF"/>
              <w:right w:val="single" w:sz="4" w:space="0" w:color="BFBFBF"/>
            </w:tcBorders>
            <w:vAlign w:val="center"/>
          </w:tcPr>
          <w:p w14:paraId="0415E701" w14:textId="77777777" w:rsidR="00B1073D" w:rsidRDefault="00000000" w:rsidP="009E6FB5">
            <w:pPr>
              <w:spacing w:line="360" w:lineRule="auto"/>
            </w:pPr>
            <w:r>
              <w:rPr>
                <w:rFonts w:ascii="Calibri" w:eastAsia="Calibri" w:hAnsi="Calibri" w:cs="Calibri"/>
                <w:sz w:val="20"/>
                <w:szCs w:val="20"/>
              </w:rPr>
              <w:t>SP500 return × Fed funds change (Pearson r)</w:t>
            </w:r>
          </w:p>
        </w:tc>
        <w:tc>
          <w:tcPr>
            <w:tcW w:w="3200" w:type="dxa"/>
            <w:tcBorders>
              <w:top w:val="single" w:sz="4" w:space="0" w:color="BFBFBF"/>
              <w:left w:val="single" w:sz="4" w:space="0" w:color="BFBFBF"/>
              <w:bottom w:val="single" w:sz="4" w:space="0" w:color="BFBFBF"/>
              <w:right w:val="single" w:sz="4" w:space="0" w:color="BFBFBF"/>
            </w:tcBorders>
            <w:vAlign w:val="center"/>
          </w:tcPr>
          <w:p w14:paraId="574BC36A" w14:textId="77777777" w:rsidR="00B1073D" w:rsidRDefault="00000000" w:rsidP="009E6FB5">
            <w:pPr>
              <w:spacing w:line="360" w:lineRule="auto"/>
            </w:pPr>
            <w:r>
              <w:rPr>
                <w:rFonts w:ascii="Calibri" w:eastAsia="Calibri" w:hAnsi="Calibri" w:cs="Calibri"/>
                <w:sz w:val="20"/>
                <w:szCs w:val="20"/>
              </w:rPr>
              <w:t>r = 0.10, p = 0.299</w:t>
            </w:r>
          </w:p>
        </w:tc>
        <w:tc>
          <w:tcPr>
            <w:tcW w:w="1960" w:type="dxa"/>
            <w:tcBorders>
              <w:top w:val="single" w:sz="4" w:space="0" w:color="BFBFBF"/>
              <w:left w:val="single" w:sz="4" w:space="0" w:color="BFBFBF"/>
              <w:bottom w:val="single" w:sz="4" w:space="0" w:color="BFBFBF"/>
              <w:right w:val="single" w:sz="4" w:space="0" w:color="BFBFBF"/>
            </w:tcBorders>
            <w:vAlign w:val="center"/>
          </w:tcPr>
          <w:p w14:paraId="1094A03D" w14:textId="77777777" w:rsidR="00B1073D" w:rsidRDefault="00000000" w:rsidP="009E6FB5">
            <w:pPr>
              <w:spacing w:line="360" w:lineRule="auto"/>
            </w:pPr>
            <w:r>
              <w:rPr>
                <w:rFonts w:ascii="Calibri" w:eastAsia="Calibri" w:hAnsi="Calibri" w:cs="Calibri"/>
                <w:sz w:val="20"/>
                <w:szCs w:val="20"/>
              </w:rPr>
              <w:t>No</w:t>
            </w:r>
          </w:p>
        </w:tc>
      </w:tr>
      <w:tr w:rsidR="00B1073D" w14:paraId="3750AE4F" w14:textId="77777777">
        <w:trPr>
          <w:cantSplit/>
        </w:trPr>
        <w:tc>
          <w:tcPr>
            <w:tcW w:w="4200" w:type="dxa"/>
            <w:tcBorders>
              <w:top w:val="single" w:sz="4" w:space="0" w:color="BFBFBF"/>
              <w:left w:val="single" w:sz="4" w:space="0" w:color="BFBFBF"/>
              <w:bottom w:val="single" w:sz="4" w:space="0" w:color="BFBFBF"/>
              <w:right w:val="single" w:sz="4" w:space="0" w:color="BFBFBF"/>
            </w:tcBorders>
            <w:vAlign w:val="center"/>
          </w:tcPr>
          <w:p w14:paraId="4EFB17F2" w14:textId="77777777" w:rsidR="00B1073D" w:rsidRDefault="00000000" w:rsidP="009E6FB5">
            <w:pPr>
              <w:spacing w:line="360" w:lineRule="auto"/>
            </w:pPr>
            <w:r>
              <w:rPr>
                <w:rFonts w:ascii="Calibri" w:eastAsia="Calibri" w:hAnsi="Calibri" w:cs="Calibri"/>
                <w:sz w:val="20"/>
                <w:szCs w:val="20"/>
              </w:rPr>
              <w:t>Volatility × CPI YoY inflation (Pearson r)</w:t>
            </w:r>
          </w:p>
        </w:tc>
        <w:tc>
          <w:tcPr>
            <w:tcW w:w="3200" w:type="dxa"/>
            <w:tcBorders>
              <w:top w:val="single" w:sz="4" w:space="0" w:color="BFBFBF"/>
              <w:left w:val="single" w:sz="4" w:space="0" w:color="BFBFBF"/>
              <w:bottom w:val="single" w:sz="4" w:space="0" w:color="BFBFBF"/>
              <w:right w:val="single" w:sz="4" w:space="0" w:color="BFBFBF"/>
            </w:tcBorders>
            <w:vAlign w:val="center"/>
          </w:tcPr>
          <w:p w14:paraId="11D28738" w14:textId="77777777" w:rsidR="00B1073D" w:rsidRDefault="00000000" w:rsidP="009E6FB5">
            <w:pPr>
              <w:spacing w:line="360" w:lineRule="auto"/>
            </w:pPr>
            <w:r>
              <w:rPr>
                <w:rFonts w:ascii="Calibri" w:eastAsia="Calibri" w:hAnsi="Calibri" w:cs="Calibri"/>
                <w:sz w:val="20"/>
                <w:szCs w:val="20"/>
              </w:rPr>
              <w:t>r = 0.08, p = 0.431</w:t>
            </w:r>
          </w:p>
        </w:tc>
        <w:tc>
          <w:tcPr>
            <w:tcW w:w="1960" w:type="dxa"/>
            <w:tcBorders>
              <w:top w:val="single" w:sz="4" w:space="0" w:color="BFBFBF"/>
              <w:left w:val="single" w:sz="4" w:space="0" w:color="BFBFBF"/>
              <w:bottom w:val="single" w:sz="4" w:space="0" w:color="BFBFBF"/>
              <w:right w:val="single" w:sz="4" w:space="0" w:color="BFBFBF"/>
            </w:tcBorders>
            <w:vAlign w:val="center"/>
          </w:tcPr>
          <w:p w14:paraId="549A1CD3" w14:textId="77777777" w:rsidR="00B1073D" w:rsidRDefault="00000000" w:rsidP="009E6FB5">
            <w:pPr>
              <w:spacing w:line="360" w:lineRule="auto"/>
            </w:pPr>
            <w:r>
              <w:rPr>
                <w:rFonts w:ascii="Calibri" w:eastAsia="Calibri" w:hAnsi="Calibri" w:cs="Calibri"/>
                <w:sz w:val="20"/>
                <w:szCs w:val="20"/>
              </w:rPr>
              <w:t>No</w:t>
            </w:r>
          </w:p>
        </w:tc>
      </w:tr>
      <w:tr w:rsidR="00B1073D" w14:paraId="3E6780FB" w14:textId="77777777">
        <w:trPr>
          <w:cantSplit/>
        </w:trPr>
        <w:tc>
          <w:tcPr>
            <w:tcW w:w="4200" w:type="dxa"/>
            <w:tcBorders>
              <w:top w:val="single" w:sz="4" w:space="0" w:color="BFBFBF"/>
              <w:left w:val="single" w:sz="4" w:space="0" w:color="BFBFBF"/>
              <w:bottom w:val="single" w:sz="4" w:space="0" w:color="BFBFBF"/>
              <w:right w:val="single" w:sz="4" w:space="0" w:color="BFBFBF"/>
            </w:tcBorders>
            <w:vAlign w:val="center"/>
          </w:tcPr>
          <w:p w14:paraId="2D3BD681" w14:textId="77777777" w:rsidR="00B1073D" w:rsidRDefault="00000000" w:rsidP="009E6FB5">
            <w:pPr>
              <w:spacing w:line="360" w:lineRule="auto"/>
            </w:pPr>
            <w:r>
              <w:rPr>
                <w:rFonts w:ascii="Calibri" w:eastAsia="Calibri" w:hAnsi="Calibri" w:cs="Calibri"/>
                <w:sz w:val="20"/>
                <w:szCs w:val="20"/>
              </w:rPr>
              <w:t>Volatility: hiking (16.6%) vs. near-zero (14.3%) regime (Welch's t)</w:t>
            </w:r>
          </w:p>
        </w:tc>
        <w:tc>
          <w:tcPr>
            <w:tcW w:w="3200" w:type="dxa"/>
            <w:tcBorders>
              <w:top w:val="single" w:sz="4" w:space="0" w:color="BFBFBF"/>
              <w:left w:val="single" w:sz="4" w:space="0" w:color="BFBFBF"/>
              <w:bottom w:val="single" w:sz="4" w:space="0" w:color="BFBFBF"/>
              <w:right w:val="single" w:sz="4" w:space="0" w:color="BFBFBF"/>
            </w:tcBorders>
            <w:vAlign w:val="center"/>
          </w:tcPr>
          <w:p w14:paraId="6BA0E97A" w14:textId="77777777" w:rsidR="00B1073D" w:rsidRDefault="00000000" w:rsidP="009E6FB5">
            <w:pPr>
              <w:spacing w:line="360" w:lineRule="auto"/>
            </w:pPr>
            <w:r>
              <w:rPr>
                <w:rFonts w:ascii="Calibri" w:eastAsia="Calibri" w:hAnsi="Calibri" w:cs="Calibri"/>
                <w:sz w:val="20"/>
                <w:szCs w:val="20"/>
              </w:rPr>
              <w:t>p = 0.203</w:t>
            </w:r>
          </w:p>
        </w:tc>
        <w:tc>
          <w:tcPr>
            <w:tcW w:w="1960" w:type="dxa"/>
            <w:tcBorders>
              <w:top w:val="single" w:sz="4" w:space="0" w:color="BFBFBF"/>
              <w:left w:val="single" w:sz="4" w:space="0" w:color="BFBFBF"/>
              <w:bottom w:val="single" w:sz="4" w:space="0" w:color="BFBFBF"/>
              <w:right w:val="single" w:sz="4" w:space="0" w:color="BFBFBF"/>
            </w:tcBorders>
            <w:vAlign w:val="center"/>
          </w:tcPr>
          <w:p w14:paraId="1729ECA0" w14:textId="77777777" w:rsidR="00B1073D" w:rsidRDefault="00000000" w:rsidP="009E6FB5">
            <w:pPr>
              <w:spacing w:line="360" w:lineRule="auto"/>
            </w:pPr>
            <w:r>
              <w:rPr>
                <w:rFonts w:ascii="Calibri" w:eastAsia="Calibri" w:hAnsi="Calibri" w:cs="Calibri"/>
                <w:sz w:val="20"/>
                <w:szCs w:val="20"/>
              </w:rPr>
              <w:t>No</w:t>
            </w:r>
          </w:p>
        </w:tc>
      </w:tr>
      <w:tr w:rsidR="00B1073D" w14:paraId="3284F68D" w14:textId="77777777">
        <w:trPr>
          <w:cantSplit/>
        </w:trPr>
        <w:tc>
          <w:tcPr>
            <w:tcW w:w="4200" w:type="dxa"/>
            <w:tcBorders>
              <w:top w:val="single" w:sz="4" w:space="0" w:color="BFBFBF"/>
              <w:left w:val="single" w:sz="4" w:space="0" w:color="BFBFBF"/>
              <w:bottom w:val="single" w:sz="4" w:space="0" w:color="BFBFBF"/>
              <w:right w:val="single" w:sz="4" w:space="0" w:color="BFBFBF"/>
            </w:tcBorders>
            <w:vAlign w:val="center"/>
          </w:tcPr>
          <w:p w14:paraId="23CBE245" w14:textId="77777777" w:rsidR="00B1073D" w:rsidRDefault="00000000" w:rsidP="009E6FB5">
            <w:pPr>
              <w:spacing w:line="360" w:lineRule="auto"/>
            </w:pPr>
            <w:r>
              <w:rPr>
                <w:rFonts w:ascii="Calibri" w:eastAsia="Calibri" w:hAnsi="Calibri" w:cs="Calibri"/>
                <w:sz w:val="20"/>
                <w:szCs w:val="20"/>
              </w:rPr>
              <w:t>Linear regression: monthly return ~ CPI YoY</w:t>
            </w:r>
          </w:p>
        </w:tc>
        <w:tc>
          <w:tcPr>
            <w:tcW w:w="3200" w:type="dxa"/>
            <w:tcBorders>
              <w:top w:val="single" w:sz="4" w:space="0" w:color="BFBFBF"/>
              <w:left w:val="single" w:sz="4" w:space="0" w:color="BFBFBF"/>
              <w:bottom w:val="single" w:sz="4" w:space="0" w:color="BFBFBF"/>
              <w:right w:val="single" w:sz="4" w:space="0" w:color="BFBFBF"/>
            </w:tcBorders>
            <w:vAlign w:val="center"/>
          </w:tcPr>
          <w:p w14:paraId="5FB436AC" w14:textId="77777777" w:rsidR="00B1073D" w:rsidRDefault="00000000" w:rsidP="009E6FB5">
            <w:pPr>
              <w:spacing w:line="360" w:lineRule="auto"/>
            </w:pPr>
            <w:r>
              <w:rPr>
                <w:rFonts w:ascii="Calibri" w:eastAsia="Calibri" w:hAnsi="Calibri" w:cs="Calibri"/>
                <w:sz w:val="20"/>
                <w:szCs w:val="20"/>
              </w:rPr>
              <w:t>R² = 0.015, p = 0.207</w:t>
            </w:r>
          </w:p>
        </w:tc>
        <w:tc>
          <w:tcPr>
            <w:tcW w:w="1960" w:type="dxa"/>
            <w:tcBorders>
              <w:top w:val="single" w:sz="4" w:space="0" w:color="BFBFBF"/>
              <w:left w:val="single" w:sz="4" w:space="0" w:color="BFBFBF"/>
              <w:bottom w:val="single" w:sz="4" w:space="0" w:color="BFBFBF"/>
              <w:right w:val="single" w:sz="4" w:space="0" w:color="BFBFBF"/>
            </w:tcBorders>
            <w:vAlign w:val="center"/>
          </w:tcPr>
          <w:p w14:paraId="1FA25AE0" w14:textId="77777777" w:rsidR="00B1073D" w:rsidRDefault="00000000" w:rsidP="009E6FB5">
            <w:pPr>
              <w:spacing w:line="360" w:lineRule="auto"/>
            </w:pPr>
            <w:r>
              <w:rPr>
                <w:rFonts w:ascii="Calibri" w:eastAsia="Calibri" w:hAnsi="Calibri" w:cs="Calibri"/>
                <w:sz w:val="20"/>
                <w:szCs w:val="20"/>
              </w:rPr>
              <w:t>No</w:t>
            </w:r>
          </w:p>
        </w:tc>
      </w:tr>
    </w:tbl>
    <w:p w14:paraId="31F35B63" w14:textId="77777777" w:rsidR="00B1073D" w:rsidRDefault="00B1073D" w:rsidP="009E6FB5">
      <w:pPr>
        <w:spacing w:before="160" w:line="360" w:lineRule="auto"/>
      </w:pPr>
    </w:p>
    <w:p w14:paraId="5B5D4C8B" w14:textId="369ACE87" w:rsidR="007C4825" w:rsidRDefault="00000000" w:rsidP="009E6FB5">
      <w:pPr>
        <w:spacing w:after="130" w:line="360" w:lineRule="auto"/>
        <w:jc w:val="both"/>
        <w:rPr>
          <w:rFonts w:eastAsia="Calibri"/>
        </w:rPr>
      </w:pPr>
      <w:r>
        <w:rPr>
          <w:rFonts w:ascii="Calibri" w:eastAsia="Calibri" w:hAnsi="Calibri" w:cs="Calibri"/>
          <w:sz w:val="24"/>
          <w:szCs w:val="24"/>
        </w:rPr>
        <w:t>None of the five tests reach conventional statistical significance. This means the true relationship at monthly resolution, over this sample, cannot be statistically distinguished from zero.</w:t>
      </w:r>
    </w:p>
    <w:p w14:paraId="7BF02F32" w14:textId="44168E05" w:rsidR="00B1073D" w:rsidRDefault="00000000" w:rsidP="009E6FB5">
      <w:pPr>
        <w:pStyle w:val="Heading2"/>
        <w:spacing w:line="360" w:lineRule="auto"/>
      </w:pPr>
      <w:bookmarkStart w:id="26" w:name="_Toc235260817"/>
      <w:r>
        <w:rPr>
          <w:rFonts w:eastAsia="Calibri"/>
        </w:rPr>
        <w:t>Interpretation of Results</w:t>
      </w:r>
      <w:bookmarkEnd w:id="26"/>
    </w:p>
    <w:p w14:paraId="6FB44541" w14:textId="2F8F2B67" w:rsidR="004F0EE6" w:rsidRPr="004F0EE6" w:rsidRDefault="004F0EE6" w:rsidP="004F0EE6">
      <w:pPr>
        <w:spacing w:after="130" w:line="360" w:lineRule="auto"/>
        <w:jc w:val="both"/>
        <w:rPr>
          <w:rFonts w:ascii="Calibri" w:eastAsia="Calibri" w:hAnsi="Calibri" w:cs="Calibri"/>
          <w:sz w:val="24"/>
          <w:szCs w:val="24"/>
        </w:rPr>
      </w:pPr>
      <w:r>
        <w:rPr>
          <w:rFonts w:ascii="Calibri" w:eastAsia="Calibri" w:hAnsi="Calibri" w:cs="Calibri"/>
          <w:sz w:val="24"/>
          <w:szCs w:val="24"/>
        </w:rPr>
        <w:t>Financial theory does not suggest that inflation and interest rates are the only factors driving monthly stock market returns. Many other influences, such as company earnings, investor sentiment, sector performance, and unexpected events, also affect the market. Because of this, looking at the relationship between just one factor and stock returns can only explain part of the overall picture.</w:t>
      </w:r>
    </w:p>
    <w:p w14:paraId="484F8933" w14:textId="29BC1570" w:rsidR="00B1073D" w:rsidRPr="004F0EE6" w:rsidRDefault="004F0EE6" w:rsidP="004F0EE6">
      <w:pPr>
        <w:spacing w:after="130" w:line="360" w:lineRule="auto"/>
        <w:jc w:val="both"/>
        <w:rPr>
          <w:rFonts w:ascii="Calibri" w:eastAsia="Calibri" w:hAnsi="Calibri" w:cs="Calibri"/>
          <w:sz w:val="24"/>
          <w:szCs w:val="24"/>
        </w:rPr>
      </w:pPr>
      <w:r>
        <w:rPr>
          <w:rFonts w:ascii="Calibri" w:eastAsia="Calibri" w:hAnsi="Calibri" w:cs="Calibri"/>
          <w:sz w:val="24"/>
          <w:szCs w:val="24"/>
        </w:rPr>
        <w:t>The results still match financial theory. Higher inflation is linked to slightly lower stock returns, and changes in the Federal Funds Rate tend to follow changes in inflation because the Federal Reserve usually adjusts interest rates after inflation has already changed. The fact that these relationships are not statistically strong is also an important finding. It shows that, over this ten-year period and using monthly data, inflation and interest rates by themselves are not enough to explain most of the changes in the stock market.</w:t>
      </w:r>
    </w:p>
    <w:p w14:paraId="2E4F4311" w14:textId="0DC6E22B" w:rsidR="00B1073D" w:rsidRDefault="00000000" w:rsidP="009E6FB5">
      <w:pPr>
        <w:pStyle w:val="Heading2"/>
        <w:spacing w:line="360" w:lineRule="auto"/>
      </w:pPr>
      <w:bookmarkStart w:id="27" w:name="_Toc235260818"/>
      <w:r>
        <w:rPr>
          <w:rFonts w:eastAsia="Calibri"/>
        </w:rPr>
        <w:lastRenderedPageBreak/>
        <w:t>A Concrete Illustration of What Else Drives the Noise</w:t>
      </w:r>
      <w:bookmarkEnd w:id="27"/>
    </w:p>
    <w:p w14:paraId="4A967476" w14:textId="4EB474B9" w:rsidR="004F0EE6" w:rsidRPr="004F0EE6" w:rsidRDefault="004F0EE6" w:rsidP="004F0EE6">
      <w:pPr>
        <w:spacing w:after="130" w:line="360" w:lineRule="auto"/>
        <w:jc w:val="both"/>
        <w:rPr>
          <w:rFonts w:ascii="Calibri" w:eastAsia="Calibri" w:hAnsi="Calibri" w:cs="Calibri"/>
          <w:sz w:val="24"/>
          <w:szCs w:val="24"/>
        </w:rPr>
      </w:pPr>
      <w:r>
        <w:rPr>
          <w:rFonts w:ascii="Calibri" w:eastAsia="Calibri" w:hAnsi="Calibri" w:cs="Calibri"/>
          <w:sz w:val="24"/>
          <w:szCs w:val="24"/>
        </w:rPr>
        <w:t>The second major period of high volatility in the dataset occurred in April 2025 and clearly shows this point. The sharp market movement was not caused by inflation or interest rates. Instead, it followed the U.S. government's announcement of new tariffs on April 2, 2025, which led to a rapid market sell-off of about 15 to 19 percent over a few trading days. The market then recovered quickly after a 90-day pause on the tariffs was announced. This added significant volatility to the dataset, but it was driven by trade policy rather than inflation or Federal Reserve interest rate decisions.</w:t>
      </w:r>
    </w:p>
    <w:p w14:paraId="08FEA7FD" w14:textId="77777777" w:rsidR="004F0EE6" w:rsidRPr="004F0EE6" w:rsidRDefault="004F0EE6" w:rsidP="004F0EE6">
      <w:pPr>
        <w:spacing w:after="130" w:line="360" w:lineRule="auto"/>
        <w:jc w:val="both"/>
        <w:rPr>
          <w:rFonts w:ascii="Calibri" w:eastAsia="Calibri" w:hAnsi="Calibri" w:cs="Calibri"/>
          <w:sz w:val="24"/>
          <w:szCs w:val="24"/>
        </w:rPr>
      </w:pPr>
      <w:r>
        <w:rPr>
          <w:rFonts w:ascii="Calibri" w:eastAsia="Calibri" w:hAnsi="Calibri" w:cs="Calibri"/>
          <w:sz w:val="24"/>
          <w:szCs w:val="24"/>
        </w:rPr>
        <w:t>The COVID-19 market crash is another example. It was caused by a global health crisis and the financial uncertainty that followed, not by inflation or interest rates, even though interest rates were very low at the time.</w:t>
      </w:r>
    </w:p>
    <w:p w14:paraId="16D5301E" w14:textId="300860AE" w:rsidR="00B1073D" w:rsidRDefault="00000000" w:rsidP="009E6FB5">
      <w:pPr>
        <w:pStyle w:val="Heading2"/>
        <w:spacing w:line="360" w:lineRule="auto"/>
      </w:pPr>
      <w:bookmarkStart w:id="28" w:name="_Toc235260819"/>
      <w:r>
        <w:rPr>
          <w:rFonts w:eastAsia="Calibri"/>
        </w:rPr>
        <w:t>Practical Implications and Limitations</w:t>
      </w:r>
      <w:bookmarkEnd w:id="28"/>
    </w:p>
    <w:p w14:paraId="0BA3BBA1" w14:textId="4337FF03" w:rsidR="00B1073D" w:rsidRDefault="00000000" w:rsidP="009E6FB5">
      <w:pPr>
        <w:spacing w:after="130" w:line="360" w:lineRule="auto"/>
        <w:jc w:val="both"/>
      </w:pPr>
      <w:r>
        <w:rPr>
          <w:rFonts w:ascii="Calibri" w:eastAsia="Calibri" w:hAnsi="Calibri" w:cs="Calibri"/>
          <w:sz w:val="24"/>
          <w:szCs w:val="24"/>
        </w:rPr>
        <w:t xml:space="preserve">Inflation and interest rates show a directionally consistent but statistically weak relationship with S&amp;P 500 performance and volatility over 2016–2026 at monthly resolution. The hiking cycle does show higher average volatility and weaker average returns than the near-zero-rate era, matching the popular narrative, but the data cannot rule out that this difference is due to chance. Several limitations bound these conclusions: the sample is relatively small (n ≈ 106–118 monthly observations, since FRED's daily SP500 history is capped at ten years by licensing agreement), monthly aggregation can hide sharp single-day reactions to a specific CPI release or FOMC announcement, no confounders (earnings, fiscal policy, geopolitical shocks) are controlled for, and the SP500 series used is a price index that excludes dividends. None of these change the direction of the findings, but they mean the results should be read as a first, honest look — not a definitive model.</w:t>
      </w:r>
    </w:p>
    <w:p w14:paraId="7F35E34F" w14:textId="5131A640" w:rsidR="007C4825" w:rsidRDefault="007C4825" w:rsidP="009E6FB5">
      <w:pPr>
        <w:pStyle w:val="Heading1"/>
        <w:numPr>
          <w:ilvl w:val="0"/>
          <w:numId w:val="5"/>
        </w:numPr>
        <w:spacing w:line="360" w:lineRule="auto"/>
        <w:rPr>
          <w:rFonts w:eastAsia="Calibri"/>
        </w:rPr>
      </w:pPr>
      <w:bookmarkStart w:id="29" w:name="_Toc235260820"/>
      <w:r>
        <w:rPr>
          <w:rFonts w:eastAsia="Calibri"/>
        </w:rPr>
        <w:t>Conclusion and Recommendations</w:t>
      </w:r>
      <w:bookmarkEnd w:id="29"/>
    </w:p>
    <w:p w14:paraId="78814F66" w14:textId="45CDB217" w:rsidR="00B1073D" w:rsidRPr="007C4825" w:rsidRDefault="00000000" w:rsidP="009E6FB5">
      <w:pPr>
        <w:pStyle w:val="Heading2"/>
        <w:spacing w:line="360" w:lineRule="auto"/>
      </w:pPr>
      <w:bookmarkStart w:id="30" w:name="_Toc235260821"/>
      <w:r>
        <w:t>Conclusion</w:t>
      </w:r>
      <w:bookmarkEnd w:id="30"/>
    </w:p>
    <w:p w14:paraId="7F9F0914" w14:textId="1EB141D4" w:rsidR="00D10617" w:rsidRPr="00D10617" w:rsidRDefault="00D10617" w:rsidP="00D10617">
      <w:pPr>
        <w:spacing w:after="130" w:line="360" w:lineRule="auto"/>
        <w:jc w:val="both"/>
        <w:rPr>
          <w:rFonts w:ascii="Calibri" w:eastAsia="Calibri" w:hAnsi="Calibri" w:cs="Calibri"/>
          <w:sz w:val="24"/>
          <w:szCs w:val="24"/>
        </w:rPr>
      </w:pPr>
      <w:r>
        <w:rPr>
          <w:rFonts w:ascii="Calibri" w:eastAsia="Calibri" w:hAnsi="Calibri" w:cs="Calibri"/>
          <w:sz w:val="24"/>
          <w:szCs w:val="24"/>
        </w:rPr>
        <w:t xml:space="preserve">This project aimed to measure, rather than assume, how inflation and interest rates were related to S&amp;P 500 returns and volatility between July 2016 and mid-2026. Using three official FRED datasets, a reliable and reproducible data collection process, and both descriptive and statistical analysis, the </w:t>
        <w:lastRenderedPageBreak/>
        <w:t>results show a clear but limited relationship. The direction of the relationship matches financial theory, but it is weak and not statistically significant when using monthly data over this period.</w:t>
      </w:r>
    </w:p>
    <w:p w14:paraId="132C34E3" w14:textId="77777777" w:rsidR="00D10617" w:rsidRPr="00D10617" w:rsidRDefault="00D10617" w:rsidP="00D10617">
      <w:pPr>
        <w:spacing w:after="130" w:line="360" w:lineRule="auto"/>
        <w:jc w:val="both"/>
        <w:rPr>
          <w:rFonts w:ascii="Calibri" w:eastAsia="Calibri" w:hAnsi="Calibri" w:cs="Calibri"/>
          <w:sz w:val="24"/>
          <w:szCs w:val="24"/>
        </w:rPr>
      </w:pPr>
      <w:r>
        <w:rPr>
          <w:rFonts w:ascii="Calibri" w:eastAsia="Calibri" w:hAnsi="Calibri" w:cs="Calibri"/>
          <w:sz w:val="24"/>
          <w:szCs w:val="24"/>
        </w:rPr>
        <w:t>Two of the biggest periods of market volatility in the dataset, the COVID-19 market crash and the April 2025 tariff-driven sell-off, were not mainly caused by inflation or interest rates. This helps explain why these two variables cannot account for most of the month-to-month changes in the stock market.</w:t>
      </w:r>
    </w:p>
    <w:p w14:paraId="21F59C3E" w14:textId="77777777" w:rsidR="00D10617" w:rsidRPr="00D10617" w:rsidRDefault="00D10617" w:rsidP="00D10617">
      <w:pPr>
        <w:spacing w:after="130" w:line="360" w:lineRule="auto"/>
        <w:jc w:val="both"/>
        <w:rPr>
          <w:rFonts w:ascii="Calibri" w:eastAsia="Calibri" w:hAnsi="Calibri" w:cs="Calibri"/>
          <w:sz w:val="24"/>
          <w:szCs w:val="24"/>
        </w:rPr>
      </w:pPr>
      <w:r>
        <w:rPr>
          <w:rFonts w:ascii="Calibri" w:eastAsia="Calibri" w:hAnsi="Calibri" w:cs="Calibri"/>
          <w:sz w:val="24"/>
          <w:szCs w:val="24"/>
        </w:rPr>
        <w:t>Instead of claiming a strong cause-and-effect relationship that the data does not support, this project concludes that inflation and interest rates are only part of the story. The findings suggest that common explanations linking economic news directly to stock market performance should be supported by statistical evidence rather than assumptions.</w:t>
      </w:r>
    </w:p>
    <w:p w14:paraId="2CFC0280" w14:textId="03B89EC6" w:rsidR="00B1073D" w:rsidRDefault="00000000" w:rsidP="009E6FB5">
      <w:pPr>
        <w:pStyle w:val="Heading2"/>
        <w:spacing w:line="360" w:lineRule="auto"/>
      </w:pPr>
      <w:bookmarkStart w:id="31" w:name="_Toc235260822"/>
      <w:r>
        <w:rPr>
          <w:rFonts w:eastAsia="Calibri"/>
        </w:rPr>
        <w:t>Recommendations</w:t>
      </w:r>
      <w:bookmarkEnd w:id="31"/>
    </w:p>
    <w:p w14:paraId="5AF8BB38" w14:textId="2C789503" w:rsidR="00B1073D" w:rsidRDefault="00000000" w:rsidP="009E6FB5">
      <w:pPr>
        <w:pStyle w:val="ListParagraph"/>
        <w:numPr>
          <w:ilvl w:val="0"/>
          <w:numId w:val="3"/>
        </w:numPr>
        <w:spacing w:after="90" w:line="360" w:lineRule="auto"/>
      </w:pPr>
      <w:r>
        <w:rPr>
          <w:rFonts w:ascii="Calibri" w:eastAsia="Calibri" w:hAnsi="Calibri" w:cs="Calibri"/>
          <w:sz w:val="24"/>
          <w:szCs w:val="24"/>
        </w:rPr>
        <w:t xml:space="preserve">Do not use monthly CPI/Fed-funds correlation alone as a market-timing signal, the relationship is directionally sensible but too weak and statistically uncertain to drive allocation decisions by itself.</w:t>
      </w:r>
    </w:p>
    <w:p w14:paraId="13334191" w14:textId="17E27B8B" w:rsidR="00B1073D" w:rsidRDefault="00000000" w:rsidP="009E6FB5">
      <w:pPr>
        <w:pStyle w:val="ListParagraph"/>
        <w:numPr>
          <w:ilvl w:val="0"/>
          <w:numId w:val="3"/>
        </w:numPr>
        <w:spacing w:after="90" w:line="360" w:lineRule="auto"/>
      </w:pPr>
      <w:r>
        <w:rPr>
          <w:rFonts w:ascii="Calibri" w:eastAsia="Calibri" w:hAnsi="Calibri" w:cs="Calibri"/>
          <w:sz w:val="24"/>
          <w:szCs w:val="24"/>
        </w:rPr>
        <w:t xml:space="preserve">Track volatility regime and shock events, not just rate direction, when assessing risk, both major stress periods in this dataset (COVID-19, the April 2025 tariff episode) were shock-driven rather than rate-driven.</w:t>
      </w:r>
    </w:p>
    <w:p w14:paraId="1EA53A28" w14:textId="6130FDCC" w:rsidR="007B5C16" w:rsidRPr="004F0EE6" w:rsidRDefault="00000000" w:rsidP="004F0EE6">
      <w:pPr>
        <w:pStyle w:val="ListParagraph"/>
        <w:numPr>
          <w:ilvl w:val="0"/>
          <w:numId w:val="3"/>
        </w:numPr>
        <w:spacing w:after="90" w:line="360" w:lineRule="auto"/>
      </w:pPr>
      <w:r>
        <w:rPr>
          <w:rFonts w:ascii="Calibri" w:eastAsia="Calibri" w:hAnsi="Calibri" w:cs="Calibri"/>
          <w:sz w:val="24"/>
          <w:szCs w:val="24"/>
        </w:rPr>
        <w:t xml:space="preserve">Extend the analysis with additional explanatory variables: unemployment, GDP growth, corporate earnings, or a trade-policy/geopolitical-risk indicator, before drawing firm conclusions for real investment decisions.</w:t>
        <w:br w:type="page"/>
      </w:r>
    </w:p>
    <w:p w14:paraId="0846589C" w14:textId="77777777" w:rsidR="007B5C16" w:rsidRDefault="007B5C16" w:rsidP="009E6FB5">
      <w:pPr>
        <w:pStyle w:val="ListParagraph"/>
        <w:spacing w:after="90" w:line="360" w:lineRule="auto"/>
        <w:ind w:left="360"/>
      </w:pPr>
    </w:p>
    <w:p w14:paraId="15729737" w14:textId="314FA72B" w:rsidR="007C4825" w:rsidRDefault="007C4825" w:rsidP="009E6FB5">
      <w:pPr>
        <w:pStyle w:val="Heading1"/>
        <w:numPr>
          <w:ilvl w:val="0"/>
          <w:numId w:val="5"/>
        </w:numPr>
        <w:spacing w:line="360" w:lineRule="auto"/>
        <w:rPr>
          <w:rFonts w:eastAsia="Calibri"/>
        </w:rPr>
      </w:pPr>
      <w:bookmarkStart w:id="32" w:name="_Toc235260823"/>
      <w:r>
        <w:rPr>
          <w:rFonts w:eastAsia="Calibri"/>
        </w:rPr>
        <w:t>References</w:t>
      </w:r>
      <w:bookmarkEnd w:id="32"/>
    </w:p>
    <w:p w14:paraId="4A846411" w14:textId="0853E486" w:rsidR="00B1073D" w:rsidRPr="00693761" w:rsidRDefault="00000000" w:rsidP="009E6FB5">
      <w:pPr>
        <w:pStyle w:val="Heading2"/>
        <w:spacing w:line="360" w:lineRule="auto"/>
      </w:pPr>
      <w:bookmarkStart w:id="33" w:name="_Toc235260824"/>
      <w:r>
        <w:t>References</w:t>
      </w:r>
      <w:bookmarkEnd w:id="33"/>
    </w:p>
    <w:p w14:paraId="7C7C746E" w14:textId="77186236" w:rsidR="00523B91" w:rsidRPr="00523B91" w:rsidRDefault="00523B91" w:rsidP="009E6FB5">
      <w:pPr>
        <w:spacing w:before="120" w:after="60" w:line="360" w:lineRule="auto"/>
        <w:ind w:left="720" w:hanging="720"/>
        <w:jc w:val="both"/>
        <w:rPr>
          <w:rFonts w:ascii="Calibri" w:eastAsia="Calibri" w:hAnsi="Calibri" w:cs="Calibri"/>
          <w:i/>
          <w:iCs/>
          <w:sz w:val="24"/>
          <w:szCs w:val="24"/>
        </w:rPr>
      </w:pPr>
      <w:r>
        <w:rPr>
          <w:rFonts w:ascii="Calibri" w:eastAsia="Calibri" w:hAnsi="Calibri" w:cs="Calibri"/>
          <w:i/>
          <w:iCs/>
          <w:sz w:val="24"/>
          <w:szCs w:val="24"/>
        </w:rPr>
        <w:t xml:space="preserve">Federal Reserve Bank of St. Louis. (n.d.). S&amp;P 500 (SP500) [Data set]. FRED, Federal Reserve Bank of St. Louis. </w:t>
      </w:r>
      <w:hyperlink r:id="rId17" w:tgtFrame="_new" w:history="1">
        <w:r>
          <w:rPr>
            <w:rStyle w:val="Hyperlink"/>
            <w:rFonts w:ascii="Calibri" w:eastAsia="Calibri" w:hAnsi="Calibri" w:cs="Calibri"/>
            <w:i/>
            <w:iCs/>
            <w:sz w:val="24"/>
            <w:szCs w:val="24"/>
          </w:rPr>
          <w:t>https://fred.stlouisfed.org/series/SP500</w:t>
        </w:r>
      </w:hyperlink>
      <w:r>
        <w:rPr>
          <w:rFonts w:ascii="Calibri" w:eastAsia="Calibri" w:hAnsi="Calibri" w:cs="Calibri"/>
          <w:i/>
          <w:iCs/>
          <w:sz w:val="24"/>
          <w:szCs w:val="24"/>
        </w:rPr>
        <w:t xml:space="preserve"> </w:t>
      </w:r>
    </w:p>
    <w:p w14:paraId="4D8B8D5B" w14:textId="3775E2DC" w:rsidR="00523B91" w:rsidRPr="00523B91" w:rsidRDefault="00523B91" w:rsidP="009E6FB5">
      <w:pPr>
        <w:spacing w:before="120" w:after="60" w:line="360" w:lineRule="auto"/>
        <w:ind w:left="720" w:hanging="720"/>
        <w:jc w:val="both"/>
        <w:rPr>
          <w:rFonts w:ascii="Calibri" w:eastAsia="Calibri" w:hAnsi="Calibri" w:cs="Calibri"/>
          <w:i/>
          <w:iCs/>
          <w:sz w:val="24"/>
          <w:szCs w:val="24"/>
        </w:rPr>
      </w:pPr>
      <w:r>
        <w:rPr>
          <w:rFonts w:ascii="Calibri" w:eastAsia="Calibri" w:hAnsi="Calibri" w:cs="Calibri"/>
          <w:i/>
          <w:iCs/>
          <w:sz w:val="24"/>
          <w:szCs w:val="24"/>
        </w:rPr>
        <w:t xml:space="preserve"> Federal Reserve Bank of St. Louis. (n.d.). Consumer Price Index for All Urban Consumers: All Items in U.S. City Average (CPIAUCSL) [Data set]. FRED, Federal Reserve Bank of St. Louis. </w:t>
      </w:r>
      <w:hyperlink r:id="rId18" w:tgtFrame="_new" w:history="1">
        <w:r>
          <w:rPr>
            <w:rStyle w:val="Hyperlink"/>
            <w:rFonts w:ascii="Calibri" w:eastAsia="Calibri" w:hAnsi="Calibri" w:cs="Calibri"/>
            <w:i/>
            <w:iCs/>
            <w:sz w:val="24"/>
            <w:szCs w:val="24"/>
          </w:rPr>
          <w:t>https://fred.stlouisfed.org/series/CPIAUCSL</w:t>
        </w:r>
      </w:hyperlink>
      <w:r>
        <w:rPr>
          <w:rFonts w:ascii="Calibri" w:eastAsia="Calibri" w:hAnsi="Calibri" w:cs="Calibri"/>
          <w:i/>
          <w:iCs/>
          <w:sz w:val="24"/>
          <w:szCs w:val="24"/>
        </w:rPr>
        <w:t xml:space="preserve"> </w:t>
      </w:r>
    </w:p>
    <w:p w14:paraId="7DBABD63" w14:textId="36214E3C" w:rsidR="00523B91" w:rsidRPr="00523B91" w:rsidRDefault="00523B91" w:rsidP="009E6FB5">
      <w:pPr>
        <w:spacing w:before="120" w:after="60" w:line="360" w:lineRule="auto"/>
        <w:ind w:left="720" w:hanging="720"/>
        <w:jc w:val="both"/>
        <w:rPr>
          <w:rFonts w:ascii="Calibri" w:eastAsia="Calibri" w:hAnsi="Calibri" w:cs="Calibri"/>
          <w:i/>
          <w:iCs/>
          <w:sz w:val="24"/>
          <w:szCs w:val="24"/>
        </w:rPr>
      </w:pPr>
      <w:r>
        <w:rPr>
          <w:rFonts w:ascii="Calibri" w:eastAsia="Calibri" w:hAnsi="Calibri" w:cs="Calibri"/>
          <w:i/>
          <w:iCs/>
          <w:sz w:val="24"/>
          <w:szCs w:val="24"/>
        </w:rPr>
        <w:t xml:space="preserve">Federal Reserve Bank of St. Louis. (n.d.). Federal Funds Effective Rate (FEDFUNDS) [Data set]. FRED, Federal Reserve Bank of St. Louis. </w:t>
      </w:r>
      <w:hyperlink r:id="rId19" w:tgtFrame="_new" w:history="1">
        <w:r>
          <w:rPr>
            <w:rStyle w:val="Hyperlink"/>
            <w:rFonts w:ascii="Calibri" w:eastAsia="Calibri" w:hAnsi="Calibri" w:cs="Calibri"/>
            <w:i/>
            <w:iCs/>
            <w:sz w:val="24"/>
            <w:szCs w:val="24"/>
          </w:rPr>
          <w:t>https://fred.stlouisfed.org/series/FEDFUNDS</w:t>
        </w:r>
      </w:hyperlink>
      <w:r>
        <w:rPr>
          <w:rFonts w:ascii="Calibri" w:eastAsia="Calibri" w:hAnsi="Calibri" w:cs="Calibri"/>
          <w:i/>
          <w:iCs/>
          <w:sz w:val="24"/>
          <w:szCs w:val="24"/>
        </w:rPr>
        <w:t xml:space="preserve"> </w:t>
      </w:r>
    </w:p>
    <w:p w14:paraId="24D087BD" w14:textId="4E9CAC08" w:rsidR="00523B91" w:rsidRPr="00523B91" w:rsidRDefault="00523B91" w:rsidP="009E6FB5">
      <w:pPr>
        <w:spacing w:before="120" w:after="60" w:line="360" w:lineRule="auto"/>
        <w:ind w:left="720" w:hanging="720"/>
        <w:jc w:val="both"/>
        <w:rPr>
          <w:rFonts w:ascii="Calibri" w:eastAsia="Calibri" w:hAnsi="Calibri" w:cs="Calibri"/>
          <w:i/>
          <w:iCs/>
          <w:sz w:val="24"/>
          <w:szCs w:val="24"/>
        </w:rPr>
      </w:pPr>
      <w:r>
        <w:rPr>
          <w:rFonts w:ascii="Calibri" w:eastAsia="Calibri" w:hAnsi="Calibri" w:cs="Calibri"/>
          <w:i/>
          <w:iCs/>
          <w:sz w:val="24"/>
          <w:szCs w:val="24"/>
        </w:rPr>
        <w:t xml:space="preserve">Raymond James. (2025, April). April 2025 market update. </w:t>
      </w:r>
      <w:hyperlink r:id="rId20" w:tgtFrame="_new" w:history="1">
        <w:r>
          <w:rPr>
            <w:rStyle w:val="Hyperlink"/>
            <w:rFonts w:ascii="Calibri" w:eastAsia="Calibri" w:hAnsi="Calibri" w:cs="Calibri"/>
            <w:i/>
            <w:iCs/>
            <w:sz w:val="24"/>
            <w:szCs w:val="24"/>
          </w:rPr>
          <w:t>https://www.raymondjames.com/thewiseinvestorgroup/insights</w:t>
        </w:r>
      </w:hyperlink>
    </w:p>
    <w:p w14:paraId="1D7D0FD7" w14:textId="69D82A02" w:rsidR="00B1073D" w:rsidRDefault="00000000" w:rsidP="009E6FB5">
      <w:pPr>
        <w:spacing w:before="120" w:after="60" w:line="360" w:lineRule="auto"/>
        <w:jc w:val="both"/>
      </w:pPr>
      <w:r>
        <w:rPr>
          <w:rFonts w:ascii="Calibri" w:eastAsia="Calibri" w:hAnsi="Calibri" w:cs="Calibri"/>
          <w:b/>
          <w:bCs/>
          <w:sz w:val="24"/>
          <w:szCs w:val="24"/>
        </w:rPr>
        <w:t>Software and tools</w:t>
      </w:r>
    </w:p>
    <w:p w14:paraId="61D5738F"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McKinney, W. pandas: a Foundational Python Library for Data Analysis and Statistics. pandas.pydata.org</w:t>
      </w:r>
    </w:p>
    <w:p w14:paraId="54BF2797"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Harris, C.R. et al. NumPy. numpy.org</w:t>
      </w:r>
    </w:p>
    <w:p w14:paraId="445EA23F"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Hunter, J.D. Matplotlib: A 2D Graphics Environment. matplotlib.org</w:t>
      </w:r>
    </w:p>
    <w:p w14:paraId="7D833548"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Waskom, M. seaborn: statistical data visualization. seaborn.pydata.org</w:t>
      </w:r>
    </w:p>
    <w:p w14:paraId="2DA008AA"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Virtanen, P. et al. SciPy 1.0: Fundamental Algorithms for Scientific Computing. scipy.org</w:t>
      </w:r>
    </w:p>
    <w:p w14:paraId="14A05FEB" w14:textId="77777777" w:rsidR="00B1073D" w:rsidRDefault="00000000" w:rsidP="009E6FB5">
      <w:pPr>
        <w:pStyle w:val="ListParagraph"/>
        <w:numPr>
          <w:ilvl w:val="0"/>
          <w:numId w:val="2"/>
        </w:numPr>
        <w:spacing w:after="70" w:line="360" w:lineRule="auto"/>
      </w:pPr>
      <w:r>
        <w:rPr>
          <w:rFonts w:ascii="Calibri" w:eastAsia="Calibri" w:hAnsi="Calibri" w:cs="Calibri"/>
          <w:sz w:val="24"/>
          <w:szCs w:val="24"/>
        </w:rPr>
        <w:t>Project Jupyter. Jupyter Notebook. jupyter.org</w:t>
      </w:r>
    </w:p>
    <w:p w14:paraId="24E2B025" w14:textId="40A6455C" w:rsidR="007B5C16" w:rsidRDefault="00000000" w:rsidP="009E6FB5">
      <w:pPr>
        <w:pStyle w:val="Heading2"/>
        <w:spacing w:line="360" w:lineRule="auto"/>
      </w:pPr>
      <w:bookmarkStart w:id="34" w:name="_Toc235260825"/>
      <w:r>
        <w:t xml:space="preserve">Appendix A: Processed Dataset Data Dictionary</w:t>
      </w:r>
      <w:bookmarkEnd w:id="34"/>
    </w:p>
    <w:p w14:paraId="28E60F6E" w14:textId="77777777" w:rsidR="007B5C16" w:rsidRPr="007B5C16" w:rsidRDefault="007B5C16" w:rsidP="009E6FB5">
      <w:pPr>
        <w:spacing w:line="360" w:lineRule="auto"/>
      </w:pPr>
    </w:p>
    <w:p w14:paraId="3856490F" w14:textId="30F728ED" w:rsidR="007B5C16" w:rsidRDefault="007B5C16" w:rsidP="009E6FB5">
      <w:pPr>
        <w:pStyle w:val="Caption"/>
        <w:keepNext/>
        <w:spacing w:line="360" w:lineRule="auto"/>
        <w:jc w:val="center"/>
      </w:pPr>
      <w:bookmarkStart w:id="35" w:name="_Toc235260837"/>
      <w:r>
        <w:t xml:space="preserve">Table </w:t>
      </w:r>
      <w:fldSimple w:instr=" SEQ Table \* ARABIC ">
        <w:r>
          <w:rPr>
            <w:noProof/>
          </w:rPr>
          <w:t>3</w:t>
        </w:r>
      </w:fldSimple>
      <w:r>
        <w:t>-Appendix 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073D" w14:paraId="608EC1FB" w14:textId="77777777" w:rsidTr="000D2800">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12C35F78" w14:textId="77777777" w:rsidR="00B1073D" w:rsidRPr="000D2800" w:rsidRDefault="00000000" w:rsidP="009E6FB5">
            <w:pPr>
              <w:spacing w:line="360" w:lineRule="auto"/>
            </w:pPr>
            <w:r>
              <w:rPr>
                <w:rFonts w:ascii="Calibri" w:eastAsia="Calibri" w:hAnsi="Calibri" w:cs="Calibri"/>
                <w:b/>
                <w:bCs/>
                <w:sz w:val="20"/>
                <w:szCs w:val="20"/>
              </w:rPr>
              <w:t>Column</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C324BB1" w14:textId="77777777" w:rsidR="00B1073D" w:rsidRPr="000D2800" w:rsidRDefault="00000000" w:rsidP="009E6FB5">
            <w:pPr>
              <w:spacing w:line="360" w:lineRule="auto"/>
            </w:pPr>
            <w:r>
              <w:rPr>
                <w:rFonts w:ascii="Calibri" w:eastAsia="Calibri" w:hAnsi="Calibri" w:cs="Calibri"/>
                <w:b/>
                <w:bCs/>
                <w:sz w:val="20"/>
                <w:szCs w:val="20"/>
              </w:rPr>
              <w:t>Description</w:t>
            </w:r>
          </w:p>
        </w:tc>
      </w:tr>
      <w:tr w:rsidR="00B1073D" w14:paraId="7D942596"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5FB49D9D" w14:textId="77777777" w:rsidR="00B1073D" w:rsidRDefault="00000000" w:rsidP="009E6FB5">
            <w:pPr>
              <w:spacing w:line="360" w:lineRule="auto"/>
            </w:pPr>
            <w:r>
              <w:rPr>
                <w:rFonts w:ascii="Calibri" w:eastAsia="Calibri" w:hAnsi="Calibri" w:cs="Calibri"/>
                <w:sz w:val="20"/>
                <w:szCs w:val="20"/>
              </w:rPr>
              <w:t>DATE</w:t>
            </w:r>
          </w:p>
        </w:tc>
        <w:tc>
          <w:tcPr>
            <w:tcW w:w="6560" w:type="dxa"/>
            <w:tcBorders>
              <w:top w:val="single" w:sz="4" w:space="0" w:color="BFBFBF"/>
              <w:left w:val="single" w:sz="4" w:space="0" w:color="BFBFBF"/>
              <w:bottom w:val="single" w:sz="4" w:space="0" w:color="BFBFBF"/>
              <w:right w:val="single" w:sz="4" w:space="0" w:color="BFBFBF"/>
            </w:tcBorders>
            <w:vAlign w:val="center"/>
          </w:tcPr>
          <w:p w14:paraId="2F0F6B4D" w14:textId="77777777" w:rsidR="00B1073D" w:rsidRDefault="00000000" w:rsidP="009E6FB5">
            <w:pPr>
              <w:spacing w:line="360" w:lineRule="auto"/>
            </w:pPr>
            <w:r>
              <w:rPr>
                <w:rFonts w:ascii="Calibri" w:eastAsia="Calibri" w:hAnsi="Calibri" w:cs="Calibri"/>
                <w:sz w:val="20"/>
                <w:szCs w:val="20"/>
              </w:rPr>
              <w:t>First day of each month, July 2016 – April 2026 (118 rows)</w:t>
            </w:r>
          </w:p>
        </w:tc>
      </w:tr>
      <w:tr w:rsidR="00B1073D" w14:paraId="6972DA95"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3772E9AC" w14:textId="77777777" w:rsidR="00B1073D" w:rsidRDefault="00000000" w:rsidP="009E6FB5">
            <w:pPr>
              <w:spacing w:line="360" w:lineRule="auto"/>
            </w:pPr>
            <w:r>
              <w:rPr>
                <w:rFonts w:ascii="Calibri" w:eastAsia="Calibri" w:hAnsi="Calibri" w:cs="Calibri"/>
                <w:sz w:val="20"/>
                <w:szCs w:val="20"/>
              </w:rPr>
              <w:lastRenderedPageBreak/>
              <w:t>SP500_month_open</w:t>
            </w:r>
          </w:p>
        </w:tc>
        <w:tc>
          <w:tcPr>
            <w:tcW w:w="6560" w:type="dxa"/>
            <w:tcBorders>
              <w:top w:val="single" w:sz="4" w:space="0" w:color="BFBFBF"/>
              <w:left w:val="single" w:sz="4" w:space="0" w:color="BFBFBF"/>
              <w:bottom w:val="single" w:sz="4" w:space="0" w:color="BFBFBF"/>
              <w:right w:val="single" w:sz="4" w:space="0" w:color="BFBFBF"/>
            </w:tcBorders>
            <w:vAlign w:val="center"/>
          </w:tcPr>
          <w:p w14:paraId="4E7B40D4" w14:textId="77777777" w:rsidR="00B1073D" w:rsidRDefault="00000000" w:rsidP="009E6FB5">
            <w:pPr>
              <w:spacing w:line="360" w:lineRule="auto"/>
            </w:pPr>
            <w:r>
              <w:rPr>
                <w:rFonts w:ascii="Calibri" w:eastAsia="Calibri" w:hAnsi="Calibri" w:cs="Calibri"/>
                <w:sz w:val="20"/>
                <w:szCs w:val="20"/>
              </w:rPr>
              <w:t>S&amp;P 500 close on the month's first trading day</w:t>
            </w:r>
          </w:p>
        </w:tc>
      </w:tr>
      <w:tr w:rsidR="00B1073D" w14:paraId="5A09D252"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76387099" w14:textId="77777777" w:rsidR="00B1073D" w:rsidRDefault="00000000" w:rsidP="009E6FB5">
            <w:pPr>
              <w:spacing w:line="360" w:lineRule="auto"/>
            </w:pPr>
            <w:r>
              <w:rPr>
                <w:rFonts w:ascii="Calibri" w:eastAsia="Calibri" w:hAnsi="Calibri" w:cs="Calibri"/>
                <w:sz w:val="20"/>
                <w:szCs w:val="20"/>
              </w:rPr>
              <w:t>avg_daily_return_in_month</w:t>
            </w:r>
          </w:p>
        </w:tc>
        <w:tc>
          <w:tcPr>
            <w:tcW w:w="6560" w:type="dxa"/>
            <w:tcBorders>
              <w:top w:val="single" w:sz="4" w:space="0" w:color="BFBFBF"/>
              <w:left w:val="single" w:sz="4" w:space="0" w:color="BFBFBF"/>
              <w:bottom w:val="single" w:sz="4" w:space="0" w:color="BFBFBF"/>
              <w:right w:val="single" w:sz="4" w:space="0" w:color="BFBFBF"/>
            </w:tcBorders>
            <w:vAlign w:val="center"/>
          </w:tcPr>
          <w:p w14:paraId="6E44A20E" w14:textId="77777777" w:rsidR="00B1073D" w:rsidRDefault="00000000" w:rsidP="009E6FB5">
            <w:pPr>
              <w:spacing w:line="360" w:lineRule="auto"/>
            </w:pPr>
            <w:r>
              <w:rPr>
                <w:rFonts w:ascii="Calibri" w:eastAsia="Calibri" w:hAnsi="Calibri" w:cs="Calibri"/>
                <w:sz w:val="20"/>
                <w:szCs w:val="20"/>
              </w:rPr>
              <w:t>Mean daily return within the month</w:t>
            </w:r>
          </w:p>
        </w:tc>
      </w:tr>
      <w:tr w:rsidR="00B1073D" w14:paraId="1F8B5CB9"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45D66888" w14:textId="77777777" w:rsidR="00B1073D" w:rsidRDefault="00000000" w:rsidP="009E6FB5">
            <w:pPr>
              <w:spacing w:line="360" w:lineRule="auto"/>
            </w:pPr>
            <w:r>
              <w:rPr>
                <w:rFonts w:ascii="Calibri" w:eastAsia="Calibri" w:hAnsi="Calibri" w:cs="Calibri"/>
                <w:sz w:val="20"/>
                <w:szCs w:val="20"/>
              </w:rPr>
              <w:t>avg_volatility_in_month</w:t>
            </w:r>
          </w:p>
        </w:tc>
        <w:tc>
          <w:tcPr>
            <w:tcW w:w="6560" w:type="dxa"/>
            <w:tcBorders>
              <w:top w:val="single" w:sz="4" w:space="0" w:color="BFBFBF"/>
              <w:left w:val="single" w:sz="4" w:space="0" w:color="BFBFBF"/>
              <w:bottom w:val="single" w:sz="4" w:space="0" w:color="BFBFBF"/>
              <w:right w:val="single" w:sz="4" w:space="0" w:color="BFBFBF"/>
            </w:tcBorders>
            <w:vAlign w:val="center"/>
          </w:tcPr>
          <w:p w14:paraId="4D7513F4" w14:textId="77777777" w:rsidR="00B1073D" w:rsidRDefault="00000000" w:rsidP="009E6FB5">
            <w:pPr>
              <w:spacing w:line="360" w:lineRule="auto"/>
            </w:pPr>
            <w:r>
              <w:rPr>
                <w:rFonts w:ascii="Calibri" w:eastAsia="Calibri" w:hAnsi="Calibri" w:cs="Calibri"/>
                <w:sz w:val="20"/>
                <w:szCs w:val="20"/>
              </w:rPr>
              <w:t>Mean 21-day annualized rolling volatility within the month</w:t>
            </w:r>
          </w:p>
        </w:tc>
      </w:tr>
      <w:tr w:rsidR="00B1073D" w14:paraId="26A5E96B"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4070D9F5" w14:textId="77777777" w:rsidR="00B1073D" w:rsidRDefault="00000000" w:rsidP="009E6FB5">
            <w:pPr>
              <w:spacing w:line="360" w:lineRule="auto"/>
            </w:pPr>
            <w:r>
              <w:rPr>
                <w:rFonts w:ascii="Calibri" w:eastAsia="Calibri" w:hAnsi="Calibri" w:cs="Calibri"/>
                <w:sz w:val="20"/>
                <w:szCs w:val="20"/>
              </w:rPr>
              <w:t>CPIAUCSL</w:t>
            </w:r>
          </w:p>
        </w:tc>
        <w:tc>
          <w:tcPr>
            <w:tcW w:w="6560" w:type="dxa"/>
            <w:tcBorders>
              <w:top w:val="single" w:sz="4" w:space="0" w:color="BFBFBF"/>
              <w:left w:val="single" w:sz="4" w:space="0" w:color="BFBFBF"/>
              <w:bottom w:val="single" w:sz="4" w:space="0" w:color="BFBFBF"/>
              <w:right w:val="single" w:sz="4" w:space="0" w:color="BFBFBF"/>
            </w:tcBorders>
            <w:vAlign w:val="center"/>
          </w:tcPr>
          <w:p w14:paraId="4466610C" w14:textId="77777777" w:rsidR="00B1073D" w:rsidRDefault="00000000" w:rsidP="009E6FB5">
            <w:pPr>
              <w:spacing w:line="360" w:lineRule="auto"/>
            </w:pPr>
            <w:r>
              <w:rPr>
                <w:rFonts w:ascii="Calibri" w:eastAsia="Calibri" w:hAnsi="Calibri" w:cs="Calibri"/>
                <w:sz w:val="20"/>
                <w:szCs w:val="20"/>
              </w:rPr>
              <w:t>Consumer Price Index, All Urban Consumers</w:t>
            </w:r>
          </w:p>
        </w:tc>
      </w:tr>
      <w:tr w:rsidR="00B1073D" w14:paraId="69B1846C"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45F88277" w14:textId="77777777" w:rsidR="00B1073D" w:rsidRDefault="00000000" w:rsidP="009E6FB5">
            <w:pPr>
              <w:spacing w:line="360" w:lineRule="auto"/>
            </w:pPr>
            <w:r>
              <w:rPr>
                <w:rFonts w:ascii="Calibri" w:eastAsia="Calibri" w:hAnsi="Calibri" w:cs="Calibri"/>
                <w:sz w:val="20"/>
                <w:szCs w:val="20"/>
              </w:rPr>
              <w:t>FEDFUNDS</w:t>
            </w:r>
          </w:p>
        </w:tc>
        <w:tc>
          <w:tcPr>
            <w:tcW w:w="6560" w:type="dxa"/>
            <w:tcBorders>
              <w:top w:val="single" w:sz="4" w:space="0" w:color="BFBFBF"/>
              <w:left w:val="single" w:sz="4" w:space="0" w:color="BFBFBF"/>
              <w:bottom w:val="single" w:sz="4" w:space="0" w:color="BFBFBF"/>
              <w:right w:val="single" w:sz="4" w:space="0" w:color="BFBFBF"/>
            </w:tcBorders>
            <w:vAlign w:val="center"/>
          </w:tcPr>
          <w:p w14:paraId="69B1EBD7" w14:textId="77777777" w:rsidR="00B1073D" w:rsidRDefault="00000000" w:rsidP="009E6FB5">
            <w:pPr>
              <w:spacing w:line="360" w:lineRule="auto"/>
            </w:pPr>
            <w:r>
              <w:rPr>
                <w:rFonts w:ascii="Calibri" w:eastAsia="Calibri" w:hAnsi="Calibri" w:cs="Calibri"/>
                <w:sz w:val="20"/>
                <w:szCs w:val="20"/>
              </w:rPr>
              <w:t>Effective federal funds rate (%)</w:t>
            </w:r>
          </w:p>
        </w:tc>
      </w:tr>
      <w:tr w:rsidR="00B1073D" w14:paraId="4FD8F50C"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5A3223F6" w14:textId="77777777" w:rsidR="00B1073D" w:rsidRDefault="00000000" w:rsidP="009E6FB5">
            <w:pPr>
              <w:spacing w:line="360" w:lineRule="auto"/>
            </w:pPr>
            <w:r>
              <w:rPr>
                <w:rFonts w:ascii="Calibri" w:eastAsia="Calibri" w:hAnsi="Calibri" w:cs="Calibri"/>
                <w:sz w:val="20"/>
                <w:szCs w:val="20"/>
              </w:rPr>
              <w:t>cpi_mom_pct_change</w:t>
            </w:r>
          </w:p>
        </w:tc>
        <w:tc>
          <w:tcPr>
            <w:tcW w:w="6560" w:type="dxa"/>
            <w:tcBorders>
              <w:top w:val="single" w:sz="4" w:space="0" w:color="BFBFBF"/>
              <w:left w:val="single" w:sz="4" w:space="0" w:color="BFBFBF"/>
              <w:bottom w:val="single" w:sz="4" w:space="0" w:color="BFBFBF"/>
              <w:right w:val="single" w:sz="4" w:space="0" w:color="BFBFBF"/>
            </w:tcBorders>
            <w:vAlign w:val="center"/>
          </w:tcPr>
          <w:p w14:paraId="509A7074" w14:textId="77777777" w:rsidR="00B1073D" w:rsidRDefault="00000000" w:rsidP="009E6FB5">
            <w:pPr>
              <w:spacing w:line="360" w:lineRule="auto"/>
            </w:pPr>
            <w:r>
              <w:rPr>
                <w:rFonts w:ascii="Calibri" w:eastAsia="Calibri" w:hAnsi="Calibri" w:cs="Calibri"/>
                <w:sz w:val="20"/>
                <w:szCs w:val="20"/>
              </w:rPr>
              <w:t>CPI month-over-month % change</w:t>
            </w:r>
          </w:p>
        </w:tc>
      </w:tr>
      <w:tr w:rsidR="00B1073D" w14:paraId="30B8D80A"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513D9E35" w14:textId="77777777" w:rsidR="00B1073D" w:rsidRDefault="00000000" w:rsidP="009E6FB5">
            <w:pPr>
              <w:spacing w:line="360" w:lineRule="auto"/>
            </w:pPr>
            <w:r>
              <w:rPr>
                <w:rFonts w:ascii="Calibri" w:eastAsia="Calibri" w:hAnsi="Calibri" w:cs="Calibri"/>
                <w:sz w:val="20"/>
                <w:szCs w:val="20"/>
              </w:rPr>
              <w:t>cpi_yoy_pct_change</w:t>
            </w:r>
          </w:p>
        </w:tc>
        <w:tc>
          <w:tcPr>
            <w:tcW w:w="6560" w:type="dxa"/>
            <w:tcBorders>
              <w:top w:val="single" w:sz="4" w:space="0" w:color="BFBFBF"/>
              <w:left w:val="single" w:sz="4" w:space="0" w:color="BFBFBF"/>
              <w:bottom w:val="single" w:sz="4" w:space="0" w:color="BFBFBF"/>
              <w:right w:val="single" w:sz="4" w:space="0" w:color="BFBFBF"/>
            </w:tcBorders>
            <w:vAlign w:val="center"/>
          </w:tcPr>
          <w:p w14:paraId="43EB30B8" w14:textId="77777777" w:rsidR="00B1073D" w:rsidRDefault="00000000" w:rsidP="009E6FB5">
            <w:pPr>
              <w:spacing w:line="360" w:lineRule="auto"/>
            </w:pPr>
            <w:r>
              <w:rPr>
                <w:rFonts w:ascii="Calibri" w:eastAsia="Calibri" w:hAnsi="Calibri" w:cs="Calibri"/>
                <w:sz w:val="20"/>
                <w:szCs w:val="20"/>
              </w:rPr>
              <w:t>CPI year-over-year % change</w:t>
            </w:r>
          </w:p>
        </w:tc>
      </w:tr>
      <w:tr w:rsidR="00B1073D" w14:paraId="01F3D673"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3E44BF44" w14:textId="77777777" w:rsidR="00B1073D" w:rsidRDefault="00000000" w:rsidP="009E6FB5">
            <w:pPr>
              <w:spacing w:line="360" w:lineRule="auto"/>
            </w:pPr>
            <w:r>
              <w:rPr>
                <w:rFonts w:ascii="Calibri" w:eastAsia="Calibri" w:hAnsi="Calibri" w:cs="Calibri"/>
                <w:sz w:val="20"/>
                <w:szCs w:val="20"/>
              </w:rPr>
              <w:t>fedfunds_mom_change_bps</w:t>
            </w:r>
          </w:p>
        </w:tc>
        <w:tc>
          <w:tcPr>
            <w:tcW w:w="6560" w:type="dxa"/>
            <w:tcBorders>
              <w:top w:val="single" w:sz="4" w:space="0" w:color="BFBFBF"/>
              <w:left w:val="single" w:sz="4" w:space="0" w:color="BFBFBF"/>
              <w:bottom w:val="single" w:sz="4" w:space="0" w:color="BFBFBF"/>
              <w:right w:val="single" w:sz="4" w:space="0" w:color="BFBFBF"/>
            </w:tcBorders>
            <w:vAlign w:val="center"/>
          </w:tcPr>
          <w:p w14:paraId="6E6A600D" w14:textId="77777777" w:rsidR="00B1073D" w:rsidRDefault="00000000" w:rsidP="009E6FB5">
            <w:pPr>
              <w:spacing w:line="360" w:lineRule="auto"/>
            </w:pPr>
            <w:r>
              <w:rPr>
                <w:rFonts w:ascii="Calibri" w:eastAsia="Calibri" w:hAnsi="Calibri" w:cs="Calibri"/>
                <w:sz w:val="20"/>
                <w:szCs w:val="20"/>
              </w:rPr>
              <w:t>Fed funds rate change, month-over-month, in basis points</w:t>
            </w:r>
          </w:p>
        </w:tc>
      </w:tr>
      <w:tr w:rsidR="00B1073D" w14:paraId="49A0268A"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0276B9D8" w14:textId="77777777" w:rsidR="00B1073D" w:rsidRDefault="00000000" w:rsidP="009E6FB5">
            <w:pPr>
              <w:spacing w:line="360" w:lineRule="auto"/>
            </w:pPr>
            <w:r>
              <w:rPr>
                <w:rFonts w:ascii="Calibri" w:eastAsia="Calibri" w:hAnsi="Calibri" w:cs="Calibri"/>
                <w:sz w:val="20"/>
                <w:szCs w:val="20"/>
              </w:rPr>
              <w:t>sp500_mom_pct_change</w:t>
            </w:r>
          </w:p>
        </w:tc>
        <w:tc>
          <w:tcPr>
            <w:tcW w:w="6560" w:type="dxa"/>
            <w:tcBorders>
              <w:top w:val="single" w:sz="4" w:space="0" w:color="BFBFBF"/>
              <w:left w:val="single" w:sz="4" w:space="0" w:color="BFBFBF"/>
              <w:bottom w:val="single" w:sz="4" w:space="0" w:color="BFBFBF"/>
              <w:right w:val="single" w:sz="4" w:space="0" w:color="BFBFBF"/>
            </w:tcBorders>
            <w:vAlign w:val="center"/>
          </w:tcPr>
          <w:p w14:paraId="1FC45290" w14:textId="77777777" w:rsidR="00B1073D" w:rsidRDefault="00000000" w:rsidP="009E6FB5">
            <w:pPr>
              <w:spacing w:line="360" w:lineRule="auto"/>
            </w:pPr>
            <w:r>
              <w:rPr>
                <w:rFonts w:ascii="Calibri" w:eastAsia="Calibri" w:hAnsi="Calibri" w:cs="Calibri"/>
                <w:sz w:val="20"/>
                <w:szCs w:val="20"/>
              </w:rPr>
              <w:t>S&amp;P 500 month-over-month % change</w:t>
            </w:r>
          </w:p>
        </w:tc>
      </w:tr>
      <w:tr w:rsidR="00B1073D" w14:paraId="0A6233D9" w14:textId="77777777">
        <w:trPr>
          <w:cantSplit/>
        </w:trPr>
        <w:tc>
          <w:tcPr>
            <w:tcW w:w="2800" w:type="dxa"/>
            <w:tcBorders>
              <w:top w:val="single" w:sz="4" w:space="0" w:color="BFBFBF"/>
              <w:left w:val="single" w:sz="4" w:space="0" w:color="BFBFBF"/>
              <w:bottom w:val="single" w:sz="4" w:space="0" w:color="BFBFBF"/>
              <w:right w:val="single" w:sz="4" w:space="0" w:color="BFBFBF"/>
            </w:tcBorders>
            <w:vAlign w:val="center"/>
          </w:tcPr>
          <w:p w14:paraId="1FF3523A" w14:textId="77777777" w:rsidR="00B1073D" w:rsidRDefault="00000000" w:rsidP="009E6FB5">
            <w:pPr>
              <w:spacing w:line="360" w:lineRule="auto"/>
            </w:pPr>
            <w:r>
              <w:rPr>
                <w:rFonts w:ascii="Calibri" w:eastAsia="Calibri" w:hAnsi="Calibri" w:cs="Calibri"/>
                <w:sz w:val="20"/>
                <w:szCs w:val="20"/>
              </w:rPr>
              <w:t>policy_regime</w:t>
            </w:r>
          </w:p>
        </w:tc>
        <w:tc>
          <w:tcPr>
            <w:tcW w:w="6560" w:type="dxa"/>
            <w:tcBorders>
              <w:top w:val="single" w:sz="4" w:space="0" w:color="BFBFBF"/>
              <w:left w:val="single" w:sz="4" w:space="0" w:color="BFBFBF"/>
              <w:bottom w:val="single" w:sz="4" w:space="0" w:color="BFBFBF"/>
              <w:right w:val="single" w:sz="4" w:space="0" w:color="BFBFBF"/>
            </w:tcBorders>
            <w:vAlign w:val="center"/>
          </w:tcPr>
          <w:p w14:paraId="54A64998" w14:textId="77777777" w:rsidR="00B1073D" w:rsidRDefault="00000000" w:rsidP="009E6FB5">
            <w:pPr>
              <w:spacing w:line="360" w:lineRule="auto"/>
            </w:pPr>
            <w:r>
              <w:rPr>
                <w:rFonts w:ascii="Calibri" w:eastAsia="Calibri" w:hAnsi="Calibri" w:cs="Calibri"/>
                <w:sz w:val="20"/>
                <w:szCs w:val="20"/>
              </w:rPr>
              <w:t>Near-zero rate era (2016–2021) / Hiking cycle (2022–2024) / Easing cycle (2024–2026)</w:t>
            </w:r>
          </w:p>
        </w:tc>
      </w:tr>
    </w:tbl>
    <w:p w14:paraId="746BC752" w14:textId="77777777" w:rsidR="00B1073D" w:rsidRDefault="00B1073D" w:rsidP="009E6FB5">
      <w:pPr>
        <w:spacing w:before="240" w:line="360" w:lineRule="auto"/>
      </w:pPr>
    </w:p>
    <w:p w14:paraId="65CA9D88" w14:textId="29D7CBAF" w:rsidR="00B1073D" w:rsidRPr="00DD15E7" w:rsidRDefault="00000000" w:rsidP="009E6FB5">
      <w:pPr>
        <w:pStyle w:val="Heading2"/>
        <w:spacing w:line="360" w:lineRule="auto"/>
      </w:pPr>
      <w:bookmarkStart w:id="36" w:name="_Toc235260826"/>
      <w:r>
        <w:t xml:space="preserve">Appendix B: Full Descriptive Statistics</w:t>
      </w:r>
      <w:bookmarkEnd w:id="36"/>
    </w:p>
    <w:p w14:paraId="5CE2C5F8" w14:textId="1E8D8897" w:rsidR="007B5C16" w:rsidRDefault="007B5C16" w:rsidP="009E6FB5">
      <w:pPr>
        <w:pStyle w:val="Caption"/>
        <w:keepNext/>
        <w:spacing w:line="360" w:lineRule="auto"/>
        <w:jc w:val="center"/>
      </w:pPr>
      <w:bookmarkStart w:id="37" w:name="_Toc235260838"/>
      <w:r>
        <w:t xml:space="preserve">Table </w:t>
      </w:r>
      <w:fldSimple w:instr=" SEQ Table \* ARABIC ">
        <w:r>
          <w:rPr>
            <w:noProof/>
          </w:rPr>
          <w:t>4</w:t>
        </w:r>
      </w:fldSimple>
      <w:r>
        <w:t>-Appendix B</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B1073D" w14:paraId="1D43C991" w14:textId="77777777" w:rsidTr="000D2800">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90A5747" w14:textId="77777777" w:rsidR="00B1073D" w:rsidRPr="000D2800" w:rsidRDefault="00000000" w:rsidP="009E6FB5">
            <w:pPr>
              <w:spacing w:line="360" w:lineRule="auto"/>
            </w:pPr>
            <w:r>
              <w:rPr>
                <w:rFonts w:ascii="Calibri" w:eastAsia="Calibri" w:hAnsi="Calibri" w:cs="Calibri"/>
                <w:b/>
                <w:bCs/>
                <w:sz w:val="20"/>
                <w:szCs w:val="20"/>
              </w:rPr>
              <w:t>Variable</w:t>
            </w:r>
          </w:p>
        </w:tc>
        <w:tc>
          <w:tcPr>
            <w:tcW w:w="154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0CC315B7" w14:textId="77777777" w:rsidR="00B1073D" w:rsidRPr="000D2800" w:rsidRDefault="00000000" w:rsidP="009E6FB5">
            <w:pPr>
              <w:spacing w:line="360" w:lineRule="auto"/>
            </w:pPr>
            <w:r>
              <w:rPr>
                <w:rFonts w:ascii="Calibri" w:eastAsia="Calibri" w:hAnsi="Calibri" w:cs="Calibri"/>
                <w:b/>
                <w:bCs/>
                <w:sz w:val="20"/>
                <w:szCs w:val="20"/>
              </w:rPr>
              <w:t>Mean</w:t>
            </w:r>
          </w:p>
        </w:tc>
        <w:tc>
          <w:tcPr>
            <w:tcW w:w="154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324B591" w14:textId="77777777" w:rsidR="00B1073D" w:rsidRPr="000D2800" w:rsidRDefault="00000000" w:rsidP="009E6FB5">
            <w:pPr>
              <w:spacing w:line="360" w:lineRule="auto"/>
            </w:pPr>
            <w:r>
              <w:rPr>
                <w:rFonts w:ascii="Calibri" w:eastAsia="Calibri" w:hAnsi="Calibri" w:cs="Calibri"/>
                <w:b/>
                <w:bCs/>
                <w:sz w:val="20"/>
                <w:szCs w:val="20"/>
              </w:rPr>
              <w:t>Std Dev</w:t>
            </w:r>
          </w:p>
        </w:tc>
        <w:tc>
          <w:tcPr>
            <w:tcW w:w="154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22565C56" w14:textId="77777777" w:rsidR="00B1073D" w:rsidRPr="000D2800" w:rsidRDefault="00000000" w:rsidP="009E6FB5">
            <w:pPr>
              <w:spacing w:line="360" w:lineRule="auto"/>
            </w:pPr>
            <w:r>
              <w:rPr>
                <w:rFonts w:ascii="Calibri" w:eastAsia="Calibri" w:hAnsi="Calibri" w:cs="Calibri"/>
                <w:b/>
                <w:bCs/>
                <w:sz w:val="20"/>
                <w:szCs w:val="20"/>
              </w:rPr>
              <w:t>Min</w:t>
            </w:r>
          </w:p>
        </w:tc>
        <w:tc>
          <w:tcPr>
            <w:tcW w:w="1540"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6210EDB" w14:textId="77777777" w:rsidR="00B1073D" w:rsidRPr="000D2800" w:rsidRDefault="00000000" w:rsidP="009E6FB5">
            <w:pPr>
              <w:spacing w:line="360" w:lineRule="auto"/>
            </w:pPr>
            <w:r>
              <w:rPr>
                <w:rFonts w:ascii="Calibri" w:eastAsia="Calibri" w:hAnsi="Calibri" w:cs="Calibri"/>
                <w:b/>
                <w:bCs/>
                <w:sz w:val="20"/>
                <w:szCs w:val="20"/>
              </w:rPr>
              <w:t>Max</w:t>
            </w:r>
          </w:p>
        </w:tc>
      </w:tr>
      <w:tr w:rsidR="00B1073D" w14:paraId="3E679C0B" w14:textId="77777777">
        <w:trPr>
          <w:cantSplit/>
        </w:trPr>
        <w:tc>
          <w:tcPr>
            <w:tcW w:w="3200" w:type="dxa"/>
            <w:tcBorders>
              <w:top w:val="single" w:sz="4" w:space="0" w:color="BFBFBF"/>
              <w:left w:val="single" w:sz="4" w:space="0" w:color="BFBFBF"/>
              <w:bottom w:val="single" w:sz="4" w:space="0" w:color="BFBFBF"/>
              <w:right w:val="single" w:sz="4" w:space="0" w:color="BFBFBF"/>
            </w:tcBorders>
            <w:vAlign w:val="center"/>
          </w:tcPr>
          <w:p w14:paraId="4C9889A1" w14:textId="77777777" w:rsidR="00B1073D" w:rsidRDefault="00000000" w:rsidP="009E6FB5">
            <w:pPr>
              <w:spacing w:line="360" w:lineRule="auto"/>
            </w:pPr>
            <w:r>
              <w:rPr>
                <w:rFonts w:ascii="Calibri" w:eastAsia="Calibri" w:hAnsi="Calibri" w:cs="Calibri"/>
                <w:sz w:val="20"/>
                <w:szCs w:val="20"/>
              </w:rPr>
              <w:t>SP500 monthly return (%)</w:t>
            </w:r>
          </w:p>
        </w:tc>
        <w:tc>
          <w:tcPr>
            <w:tcW w:w="1540" w:type="dxa"/>
            <w:tcBorders>
              <w:top w:val="single" w:sz="4" w:space="0" w:color="BFBFBF"/>
              <w:left w:val="single" w:sz="4" w:space="0" w:color="BFBFBF"/>
              <w:bottom w:val="single" w:sz="4" w:space="0" w:color="BFBFBF"/>
              <w:right w:val="single" w:sz="4" w:space="0" w:color="BFBFBF"/>
            </w:tcBorders>
            <w:vAlign w:val="center"/>
          </w:tcPr>
          <w:p w14:paraId="12E4CA0C" w14:textId="77777777" w:rsidR="00B1073D" w:rsidRDefault="00000000" w:rsidP="009E6FB5">
            <w:pPr>
              <w:spacing w:line="360" w:lineRule="auto"/>
            </w:pPr>
            <w:r>
              <w:rPr>
                <w:rFonts w:ascii="Calibri" w:eastAsia="Calibri" w:hAnsi="Calibri" w:cs="Calibri"/>
                <w:sz w:val="20"/>
                <w:szCs w:val="20"/>
              </w:rPr>
              <w:t>1.07</w:t>
            </w:r>
          </w:p>
        </w:tc>
        <w:tc>
          <w:tcPr>
            <w:tcW w:w="1540" w:type="dxa"/>
            <w:tcBorders>
              <w:top w:val="single" w:sz="4" w:space="0" w:color="BFBFBF"/>
              <w:left w:val="single" w:sz="4" w:space="0" w:color="BFBFBF"/>
              <w:bottom w:val="single" w:sz="4" w:space="0" w:color="BFBFBF"/>
              <w:right w:val="single" w:sz="4" w:space="0" w:color="BFBFBF"/>
            </w:tcBorders>
            <w:vAlign w:val="center"/>
          </w:tcPr>
          <w:p w14:paraId="6E27D8B1" w14:textId="77777777" w:rsidR="00B1073D" w:rsidRDefault="00000000" w:rsidP="009E6FB5">
            <w:pPr>
              <w:spacing w:line="360" w:lineRule="auto"/>
            </w:pPr>
            <w:r>
              <w:rPr>
                <w:rFonts w:ascii="Calibri" w:eastAsia="Calibri" w:hAnsi="Calibri" w:cs="Calibri"/>
                <w:sz w:val="20"/>
                <w:szCs w:val="20"/>
              </w:rPr>
              <w:t>4.61</w:t>
            </w:r>
          </w:p>
        </w:tc>
        <w:tc>
          <w:tcPr>
            <w:tcW w:w="1540" w:type="dxa"/>
            <w:tcBorders>
              <w:top w:val="single" w:sz="4" w:space="0" w:color="BFBFBF"/>
              <w:left w:val="single" w:sz="4" w:space="0" w:color="BFBFBF"/>
              <w:bottom w:val="single" w:sz="4" w:space="0" w:color="BFBFBF"/>
              <w:right w:val="single" w:sz="4" w:space="0" w:color="BFBFBF"/>
            </w:tcBorders>
            <w:vAlign w:val="center"/>
          </w:tcPr>
          <w:p w14:paraId="09B0F032" w14:textId="77777777" w:rsidR="00B1073D" w:rsidRDefault="00000000" w:rsidP="009E6FB5">
            <w:pPr>
              <w:spacing w:line="360" w:lineRule="auto"/>
            </w:pPr>
            <w:r>
              <w:rPr>
                <w:rFonts w:ascii="Calibri" w:eastAsia="Calibri" w:hAnsi="Calibri" w:cs="Calibri"/>
                <w:sz w:val="20"/>
                <w:szCs w:val="20"/>
              </w:rPr>
              <w:t>-20.05</w:t>
            </w:r>
          </w:p>
        </w:tc>
        <w:tc>
          <w:tcPr>
            <w:tcW w:w="1540" w:type="dxa"/>
            <w:tcBorders>
              <w:top w:val="single" w:sz="4" w:space="0" w:color="BFBFBF"/>
              <w:left w:val="single" w:sz="4" w:space="0" w:color="BFBFBF"/>
              <w:bottom w:val="single" w:sz="4" w:space="0" w:color="BFBFBF"/>
              <w:right w:val="single" w:sz="4" w:space="0" w:color="BFBFBF"/>
            </w:tcBorders>
            <w:vAlign w:val="center"/>
          </w:tcPr>
          <w:p w14:paraId="63FB653C" w14:textId="77777777" w:rsidR="00B1073D" w:rsidRDefault="00000000" w:rsidP="009E6FB5">
            <w:pPr>
              <w:spacing w:line="360" w:lineRule="auto"/>
            </w:pPr>
            <w:r>
              <w:rPr>
                <w:rFonts w:ascii="Calibri" w:eastAsia="Calibri" w:hAnsi="Calibri" w:cs="Calibri"/>
                <w:sz w:val="20"/>
                <w:szCs w:val="20"/>
              </w:rPr>
              <w:t>14.58</w:t>
            </w:r>
          </w:p>
        </w:tc>
      </w:tr>
      <w:tr w:rsidR="00B1073D" w14:paraId="37E7A20F" w14:textId="77777777">
        <w:trPr>
          <w:cantSplit/>
        </w:trPr>
        <w:tc>
          <w:tcPr>
            <w:tcW w:w="3200" w:type="dxa"/>
            <w:tcBorders>
              <w:top w:val="single" w:sz="4" w:space="0" w:color="BFBFBF"/>
              <w:left w:val="single" w:sz="4" w:space="0" w:color="BFBFBF"/>
              <w:bottom w:val="single" w:sz="4" w:space="0" w:color="BFBFBF"/>
              <w:right w:val="single" w:sz="4" w:space="0" w:color="BFBFBF"/>
            </w:tcBorders>
            <w:vAlign w:val="center"/>
          </w:tcPr>
          <w:p w14:paraId="27DA2565" w14:textId="77777777" w:rsidR="00B1073D" w:rsidRDefault="00000000" w:rsidP="009E6FB5">
            <w:pPr>
              <w:spacing w:line="360" w:lineRule="auto"/>
            </w:pPr>
            <w:r>
              <w:rPr>
                <w:rFonts w:ascii="Calibri" w:eastAsia="Calibri" w:hAnsi="Calibri" w:cs="Calibri"/>
                <w:sz w:val="20"/>
                <w:szCs w:val="20"/>
              </w:rPr>
              <w:t>Annualized volatility (%)</w:t>
            </w:r>
          </w:p>
        </w:tc>
        <w:tc>
          <w:tcPr>
            <w:tcW w:w="1540" w:type="dxa"/>
            <w:tcBorders>
              <w:top w:val="single" w:sz="4" w:space="0" w:color="BFBFBF"/>
              <w:left w:val="single" w:sz="4" w:space="0" w:color="BFBFBF"/>
              <w:bottom w:val="single" w:sz="4" w:space="0" w:color="BFBFBF"/>
              <w:right w:val="single" w:sz="4" w:space="0" w:color="BFBFBF"/>
            </w:tcBorders>
            <w:vAlign w:val="center"/>
          </w:tcPr>
          <w:p w14:paraId="76D94D88" w14:textId="77777777" w:rsidR="00B1073D" w:rsidRDefault="00000000" w:rsidP="009E6FB5">
            <w:pPr>
              <w:spacing w:line="360" w:lineRule="auto"/>
            </w:pPr>
            <w:r>
              <w:rPr>
                <w:rFonts w:ascii="Calibri" w:eastAsia="Calibri" w:hAnsi="Calibri" w:cs="Calibri"/>
                <w:sz w:val="20"/>
                <w:szCs w:val="20"/>
              </w:rPr>
              <w:t>15.0</w:t>
            </w:r>
          </w:p>
        </w:tc>
        <w:tc>
          <w:tcPr>
            <w:tcW w:w="1540" w:type="dxa"/>
            <w:tcBorders>
              <w:top w:val="single" w:sz="4" w:space="0" w:color="BFBFBF"/>
              <w:left w:val="single" w:sz="4" w:space="0" w:color="BFBFBF"/>
              <w:bottom w:val="single" w:sz="4" w:space="0" w:color="BFBFBF"/>
              <w:right w:val="single" w:sz="4" w:space="0" w:color="BFBFBF"/>
            </w:tcBorders>
            <w:vAlign w:val="center"/>
          </w:tcPr>
          <w:p w14:paraId="0980634E" w14:textId="77777777" w:rsidR="00B1073D" w:rsidRDefault="00000000" w:rsidP="009E6FB5">
            <w:pPr>
              <w:spacing w:line="360" w:lineRule="auto"/>
            </w:pPr>
            <w:r>
              <w:rPr>
                <w:rFonts w:ascii="Calibri" w:eastAsia="Calibri" w:hAnsi="Calibri" w:cs="Calibri"/>
                <w:sz w:val="20"/>
                <w:szCs w:val="20"/>
              </w:rPr>
              <w:t>9.7</w:t>
            </w:r>
          </w:p>
        </w:tc>
        <w:tc>
          <w:tcPr>
            <w:tcW w:w="1540" w:type="dxa"/>
            <w:tcBorders>
              <w:top w:val="single" w:sz="4" w:space="0" w:color="BFBFBF"/>
              <w:left w:val="single" w:sz="4" w:space="0" w:color="BFBFBF"/>
              <w:bottom w:val="single" w:sz="4" w:space="0" w:color="BFBFBF"/>
              <w:right w:val="single" w:sz="4" w:space="0" w:color="BFBFBF"/>
            </w:tcBorders>
            <w:vAlign w:val="center"/>
          </w:tcPr>
          <w:p w14:paraId="1D6E556B" w14:textId="77777777" w:rsidR="00B1073D" w:rsidRDefault="00000000" w:rsidP="009E6FB5">
            <w:pPr>
              <w:spacing w:line="360" w:lineRule="auto"/>
            </w:pPr>
            <w:r>
              <w:rPr>
                <w:rFonts w:ascii="Calibri" w:eastAsia="Calibri" w:hAnsi="Calibri" w:cs="Calibri"/>
                <w:sz w:val="20"/>
                <w:szCs w:val="20"/>
              </w:rPr>
              <w:t>4.2</w:t>
            </w:r>
          </w:p>
        </w:tc>
        <w:tc>
          <w:tcPr>
            <w:tcW w:w="1540" w:type="dxa"/>
            <w:tcBorders>
              <w:top w:val="single" w:sz="4" w:space="0" w:color="BFBFBF"/>
              <w:left w:val="single" w:sz="4" w:space="0" w:color="BFBFBF"/>
              <w:bottom w:val="single" w:sz="4" w:space="0" w:color="BFBFBF"/>
              <w:right w:val="single" w:sz="4" w:space="0" w:color="BFBFBF"/>
            </w:tcBorders>
            <w:vAlign w:val="center"/>
          </w:tcPr>
          <w:p w14:paraId="2CCFB88C" w14:textId="77777777" w:rsidR="00B1073D" w:rsidRDefault="00000000" w:rsidP="009E6FB5">
            <w:pPr>
              <w:spacing w:line="360" w:lineRule="auto"/>
            </w:pPr>
            <w:r>
              <w:rPr>
                <w:rFonts w:ascii="Calibri" w:eastAsia="Calibri" w:hAnsi="Calibri" w:cs="Calibri"/>
                <w:sz w:val="20"/>
                <w:szCs w:val="20"/>
              </w:rPr>
              <w:t>68.8</w:t>
            </w:r>
          </w:p>
        </w:tc>
      </w:tr>
      <w:tr w:rsidR="00B1073D" w14:paraId="51CD9393" w14:textId="77777777">
        <w:trPr>
          <w:cantSplit/>
        </w:trPr>
        <w:tc>
          <w:tcPr>
            <w:tcW w:w="3200" w:type="dxa"/>
            <w:tcBorders>
              <w:top w:val="single" w:sz="4" w:space="0" w:color="BFBFBF"/>
              <w:left w:val="single" w:sz="4" w:space="0" w:color="BFBFBF"/>
              <w:bottom w:val="single" w:sz="4" w:space="0" w:color="BFBFBF"/>
              <w:right w:val="single" w:sz="4" w:space="0" w:color="BFBFBF"/>
            </w:tcBorders>
            <w:vAlign w:val="center"/>
          </w:tcPr>
          <w:p w14:paraId="4C40F310" w14:textId="77777777" w:rsidR="00B1073D" w:rsidRDefault="00000000" w:rsidP="009E6FB5">
            <w:pPr>
              <w:spacing w:line="360" w:lineRule="auto"/>
            </w:pPr>
            <w:r>
              <w:rPr>
                <w:rFonts w:ascii="Calibri" w:eastAsia="Calibri" w:hAnsi="Calibri" w:cs="Calibri"/>
                <w:sz w:val="20"/>
                <w:szCs w:val="20"/>
              </w:rPr>
              <w:t>CPI YoY inflation (%)</w:t>
            </w:r>
          </w:p>
        </w:tc>
        <w:tc>
          <w:tcPr>
            <w:tcW w:w="1540" w:type="dxa"/>
            <w:tcBorders>
              <w:top w:val="single" w:sz="4" w:space="0" w:color="BFBFBF"/>
              <w:left w:val="single" w:sz="4" w:space="0" w:color="BFBFBF"/>
              <w:bottom w:val="single" w:sz="4" w:space="0" w:color="BFBFBF"/>
              <w:right w:val="single" w:sz="4" w:space="0" w:color="BFBFBF"/>
            </w:tcBorders>
            <w:vAlign w:val="center"/>
          </w:tcPr>
          <w:p w14:paraId="72B98FF1" w14:textId="77777777" w:rsidR="00B1073D" w:rsidRDefault="00000000" w:rsidP="009E6FB5">
            <w:pPr>
              <w:spacing w:line="360" w:lineRule="auto"/>
            </w:pPr>
            <w:r>
              <w:rPr>
                <w:rFonts w:ascii="Calibri" w:eastAsia="Calibri" w:hAnsi="Calibri" w:cs="Calibri"/>
                <w:sz w:val="20"/>
                <w:szCs w:val="20"/>
              </w:rPr>
              <w:t>3.39</w:t>
            </w:r>
          </w:p>
        </w:tc>
        <w:tc>
          <w:tcPr>
            <w:tcW w:w="1540" w:type="dxa"/>
            <w:tcBorders>
              <w:top w:val="single" w:sz="4" w:space="0" w:color="BFBFBF"/>
              <w:left w:val="single" w:sz="4" w:space="0" w:color="BFBFBF"/>
              <w:bottom w:val="single" w:sz="4" w:space="0" w:color="BFBFBF"/>
              <w:right w:val="single" w:sz="4" w:space="0" w:color="BFBFBF"/>
            </w:tcBorders>
            <w:vAlign w:val="center"/>
          </w:tcPr>
          <w:p w14:paraId="53D3F64D" w14:textId="77777777" w:rsidR="00B1073D" w:rsidRDefault="00000000" w:rsidP="009E6FB5">
            <w:pPr>
              <w:spacing w:line="360" w:lineRule="auto"/>
            </w:pPr>
            <w:r>
              <w:rPr>
                <w:rFonts w:ascii="Calibri" w:eastAsia="Calibri" w:hAnsi="Calibri" w:cs="Calibri"/>
                <w:sz w:val="20"/>
                <w:szCs w:val="20"/>
              </w:rPr>
              <w:t>2.11</w:t>
            </w:r>
          </w:p>
        </w:tc>
        <w:tc>
          <w:tcPr>
            <w:tcW w:w="1540" w:type="dxa"/>
            <w:tcBorders>
              <w:top w:val="single" w:sz="4" w:space="0" w:color="BFBFBF"/>
              <w:left w:val="single" w:sz="4" w:space="0" w:color="BFBFBF"/>
              <w:bottom w:val="single" w:sz="4" w:space="0" w:color="BFBFBF"/>
              <w:right w:val="single" w:sz="4" w:space="0" w:color="BFBFBF"/>
            </w:tcBorders>
            <w:vAlign w:val="center"/>
          </w:tcPr>
          <w:p w14:paraId="059CDB97" w14:textId="77777777" w:rsidR="00B1073D" w:rsidRDefault="00000000" w:rsidP="009E6FB5">
            <w:pPr>
              <w:spacing w:line="360" w:lineRule="auto"/>
            </w:pPr>
            <w:r>
              <w:rPr>
                <w:rFonts w:ascii="Calibri" w:eastAsia="Calibri" w:hAnsi="Calibri" w:cs="Calibri"/>
                <w:sz w:val="20"/>
                <w:szCs w:val="20"/>
              </w:rPr>
              <w:t>0.20</w:t>
            </w:r>
          </w:p>
        </w:tc>
        <w:tc>
          <w:tcPr>
            <w:tcW w:w="1540" w:type="dxa"/>
            <w:tcBorders>
              <w:top w:val="single" w:sz="4" w:space="0" w:color="BFBFBF"/>
              <w:left w:val="single" w:sz="4" w:space="0" w:color="BFBFBF"/>
              <w:bottom w:val="single" w:sz="4" w:space="0" w:color="BFBFBF"/>
              <w:right w:val="single" w:sz="4" w:space="0" w:color="BFBFBF"/>
            </w:tcBorders>
            <w:vAlign w:val="center"/>
          </w:tcPr>
          <w:p w14:paraId="6DA0EDBE" w14:textId="77777777" w:rsidR="00B1073D" w:rsidRDefault="00000000" w:rsidP="009E6FB5">
            <w:pPr>
              <w:spacing w:line="360" w:lineRule="auto"/>
            </w:pPr>
            <w:r>
              <w:rPr>
                <w:rFonts w:ascii="Calibri" w:eastAsia="Calibri" w:hAnsi="Calibri" w:cs="Calibri"/>
                <w:sz w:val="20"/>
                <w:szCs w:val="20"/>
              </w:rPr>
              <w:t>8.98</w:t>
            </w:r>
          </w:p>
        </w:tc>
      </w:tr>
      <w:tr w:rsidR="00B1073D" w14:paraId="4FB8F569" w14:textId="77777777">
        <w:trPr>
          <w:cantSplit/>
        </w:trPr>
        <w:tc>
          <w:tcPr>
            <w:tcW w:w="3200" w:type="dxa"/>
            <w:tcBorders>
              <w:top w:val="single" w:sz="4" w:space="0" w:color="BFBFBF"/>
              <w:left w:val="single" w:sz="4" w:space="0" w:color="BFBFBF"/>
              <w:bottom w:val="single" w:sz="4" w:space="0" w:color="BFBFBF"/>
              <w:right w:val="single" w:sz="4" w:space="0" w:color="BFBFBF"/>
            </w:tcBorders>
            <w:vAlign w:val="center"/>
          </w:tcPr>
          <w:p w14:paraId="56A34A7D" w14:textId="77777777" w:rsidR="00B1073D" w:rsidRDefault="00000000" w:rsidP="009E6FB5">
            <w:pPr>
              <w:spacing w:line="360" w:lineRule="auto"/>
            </w:pPr>
            <w:r>
              <w:rPr>
                <w:rFonts w:ascii="Calibri" w:eastAsia="Calibri" w:hAnsi="Calibri" w:cs="Calibri"/>
                <w:sz w:val="20"/>
                <w:szCs w:val="20"/>
              </w:rPr>
              <w:t>Federal funds rate (%)</w:t>
            </w:r>
          </w:p>
        </w:tc>
        <w:tc>
          <w:tcPr>
            <w:tcW w:w="1540" w:type="dxa"/>
            <w:tcBorders>
              <w:top w:val="single" w:sz="4" w:space="0" w:color="BFBFBF"/>
              <w:left w:val="single" w:sz="4" w:space="0" w:color="BFBFBF"/>
              <w:bottom w:val="single" w:sz="4" w:space="0" w:color="BFBFBF"/>
              <w:right w:val="single" w:sz="4" w:space="0" w:color="BFBFBF"/>
            </w:tcBorders>
            <w:vAlign w:val="center"/>
          </w:tcPr>
          <w:p w14:paraId="516D8051" w14:textId="77777777" w:rsidR="00B1073D" w:rsidRDefault="00000000" w:rsidP="009E6FB5">
            <w:pPr>
              <w:spacing w:line="360" w:lineRule="auto"/>
            </w:pPr>
            <w:r>
              <w:rPr>
                <w:rFonts w:ascii="Calibri" w:eastAsia="Calibri" w:hAnsi="Calibri" w:cs="Calibri"/>
                <w:sz w:val="20"/>
                <w:szCs w:val="20"/>
              </w:rPr>
              <w:t>2.33</w:t>
            </w:r>
          </w:p>
        </w:tc>
        <w:tc>
          <w:tcPr>
            <w:tcW w:w="1540" w:type="dxa"/>
            <w:tcBorders>
              <w:top w:val="single" w:sz="4" w:space="0" w:color="BFBFBF"/>
              <w:left w:val="single" w:sz="4" w:space="0" w:color="BFBFBF"/>
              <w:bottom w:val="single" w:sz="4" w:space="0" w:color="BFBFBF"/>
              <w:right w:val="single" w:sz="4" w:space="0" w:color="BFBFBF"/>
            </w:tcBorders>
            <w:vAlign w:val="center"/>
          </w:tcPr>
          <w:p w14:paraId="70E07445" w14:textId="77777777" w:rsidR="00B1073D" w:rsidRDefault="00000000" w:rsidP="009E6FB5">
            <w:pPr>
              <w:spacing w:line="360" w:lineRule="auto"/>
            </w:pPr>
            <w:r>
              <w:rPr>
                <w:rFonts w:ascii="Calibri" w:eastAsia="Calibri" w:hAnsi="Calibri" w:cs="Calibri"/>
                <w:sz w:val="20"/>
                <w:szCs w:val="20"/>
              </w:rPr>
              <w:t>1.90</w:t>
            </w:r>
          </w:p>
        </w:tc>
        <w:tc>
          <w:tcPr>
            <w:tcW w:w="1540" w:type="dxa"/>
            <w:tcBorders>
              <w:top w:val="single" w:sz="4" w:space="0" w:color="BFBFBF"/>
              <w:left w:val="single" w:sz="4" w:space="0" w:color="BFBFBF"/>
              <w:bottom w:val="single" w:sz="4" w:space="0" w:color="BFBFBF"/>
              <w:right w:val="single" w:sz="4" w:space="0" w:color="BFBFBF"/>
            </w:tcBorders>
            <w:vAlign w:val="center"/>
          </w:tcPr>
          <w:p w14:paraId="6DD97AE4" w14:textId="77777777" w:rsidR="00B1073D" w:rsidRDefault="00000000" w:rsidP="009E6FB5">
            <w:pPr>
              <w:spacing w:line="360" w:lineRule="auto"/>
            </w:pPr>
            <w:r>
              <w:rPr>
                <w:rFonts w:ascii="Calibri" w:eastAsia="Calibri" w:hAnsi="Calibri" w:cs="Calibri"/>
                <w:sz w:val="20"/>
                <w:szCs w:val="20"/>
              </w:rPr>
              <w:t>0.05</w:t>
            </w:r>
          </w:p>
        </w:tc>
        <w:tc>
          <w:tcPr>
            <w:tcW w:w="1540" w:type="dxa"/>
            <w:tcBorders>
              <w:top w:val="single" w:sz="4" w:space="0" w:color="BFBFBF"/>
              <w:left w:val="single" w:sz="4" w:space="0" w:color="BFBFBF"/>
              <w:bottom w:val="single" w:sz="4" w:space="0" w:color="BFBFBF"/>
              <w:right w:val="single" w:sz="4" w:space="0" w:color="BFBFBF"/>
            </w:tcBorders>
            <w:vAlign w:val="center"/>
          </w:tcPr>
          <w:p w14:paraId="4B4C7889" w14:textId="77777777" w:rsidR="00B1073D" w:rsidRDefault="00000000" w:rsidP="009E6FB5">
            <w:pPr>
              <w:spacing w:line="360" w:lineRule="auto"/>
            </w:pPr>
            <w:r>
              <w:rPr>
                <w:rFonts w:ascii="Calibri" w:eastAsia="Calibri" w:hAnsi="Calibri" w:cs="Calibri"/>
                <w:sz w:val="20"/>
                <w:szCs w:val="20"/>
              </w:rPr>
              <w:t>5.33</w:t>
            </w:r>
          </w:p>
        </w:tc>
      </w:tr>
    </w:tbl>
    <w:p w14:paraId="05ABAE97" w14:textId="3291C16F" w:rsidR="00B1073D" w:rsidRDefault="00B1073D" w:rsidP="009E6FB5">
      <w:pPr>
        <w:spacing w:before="240" w:line="360" w:lineRule="auto"/>
      </w:pPr>
    </w:p>
    <w:sectPr w:rsidR="00B1073D" w:rsidSect="00BE77FA">
      <w:footerReference w:type="default" r:id="rId21"/>
      <w:pgSz w:w="12240" w:h="15840"/>
      <w:pgMar w:top="1152" w:right="1260" w:bottom="1152"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9F6C5" w14:textId="77777777" w:rsidR="00957612" w:rsidRDefault="00957612" w:rsidP="00BE77FA">
      <w:pPr>
        <w:spacing w:after="0" w:line="240" w:lineRule="auto"/>
      </w:pPr>
      <w:r>
        <w:separator/>
      </w:r>
    </w:p>
  </w:endnote>
  <w:endnote w:type="continuationSeparator" w:id="0">
    <w:p w14:paraId="4EE8B136" w14:textId="77777777" w:rsidR="00957612" w:rsidRDefault="00957612" w:rsidP="00BE7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310328"/>
      <w:docPartObj>
        <w:docPartGallery w:val="Page Numbers (Bottom of Page)"/>
        <w:docPartUnique/>
      </w:docPartObj>
    </w:sdtPr>
    <w:sdtEndPr>
      <w:rPr>
        <w:noProof/>
      </w:rPr>
    </w:sdtEndPr>
    <w:sdtContent>
      <w:p w14:paraId="2EC1F9F9" w14:textId="7C7F1341" w:rsidR="00BE77FA" w:rsidRDefault="00BE77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031AE5" w14:textId="77777777" w:rsidR="00BE77FA" w:rsidRDefault="00BE7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4A64" w14:textId="77777777" w:rsidR="00957612" w:rsidRDefault="00957612" w:rsidP="00BE77FA">
      <w:pPr>
        <w:spacing w:after="0" w:line="240" w:lineRule="auto"/>
      </w:pPr>
      <w:r>
        <w:separator/>
      </w:r>
    </w:p>
  </w:footnote>
  <w:footnote w:type="continuationSeparator" w:id="0">
    <w:p w14:paraId="0AF006AE" w14:textId="77777777" w:rsidR="00957612" w:rsidRDefault="00957612" w:rsidP="00BE7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C09"/>
    <w:multiLevelType w:val="hybridMultilevel"/>
    <w:tmpl w:val="2E68D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A0250"/>
    <w:multiLevelType w:val="hybridMultilevel"/>
    <w:tmpl w:val="DFC66864"/>
    <w:lvl w:ilvl="0" w:tplc="5A0E477C">
      <w:start w:val="1"/>
      <w:numFmt w:val="bullet"/>
      <w:lvlText w:val="•"/>
      <w:lvlJc w:val="left"/>
      <w:pPr>
        <w:ind w:left="360" w:hanging="260"/>
      </w:pPr>
    </w:lvl>
    <w:lvl w:ilvl="1" w:tplc="B0E61AB8">
      <w:numFmt w:val="decimal"/>
      <w:lvlText w:val=""/>
      <w:lvlJc w:val="left"/>
    </w:lvl>
    <w:lvl w:ilvl="2" w:tplc="4D7A9158">
      <w:numFmt w:val="decimal"/>
      <w:lvlText w:val=""/>
      <w:lvlJc w:val="left"/>
    </w:lvl>
    <w:lvl w:ilvl="3" w:tplc="5D64322A">
      <w:numFmt w:val="decimal"/>
      <w:lvlText w:val=""/>
      <w:lvlJc w:val="left"/>
    </w:lvl>
    <w:lvl w:ilvl="4" w:tplc="E3FA8EA0">
      <w:numFmt w:val="decimal"/>
      <w:lvlText w:val=""/>
      <w:lvlJc w:val="left"/>
    </w:lvl>
    <w:lvl w:ilvl="5" w:tplc="33801C68">
      <w:numFmt w:val="decimal"/>
      <w:lvlText w:val=""/>
      <w:lvlJc w:val="left"/>
    </w:lvl>
    <w:lvl w:ilvl="6" w:tplc="46024BF0">
      <w:numFmt w:val="decimal"/>
      <w:lvlText w:val=""/>
      <w:lvlJc w:val="left"/>
    </w:lvl>
    <w:lvl w:ilvl="7" w:tplc="87EA902C">
      <w:numFmt w:val="decimal"/>
      <w:lvlText w:val=""/>
      <w:lvlJc w:val="left"/>
    </w:lvl>
    <w:lvl w:ilvl="8" w:tplc="4BE85816">
      <w:numFmt w:val="decimal"/>
      <w:lvlText w:val=""/>
      <w:lvlJc w:val="left"/>
    </w:lvl>
  </w:abstractNum>
  <w:abstractNum w:abstractNumId="2" w15:restartNumberingAfterBreak="0">
    <w:nsid w:val="20C25D2C"/>
    <w:multiLevelType w:val="hybridMultilevel"/>
    <w:tmpl w:val="AF7A6A2A"/>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97532A"/>
    <w:multiLevelType w:val="hybridMultilevel"/>
    <w:tmpl w:val="7D2C61EA"/>
    <w:lvl w:ilvl="0" w:tplc="A80C45C4">
      <w:start w:val="1"/>
      <w:numFmt w:val="decimal"/>
      <w:lvlText w:val="%1."/>
      <w:lvlJc w:val="left"/>
      <w:pPr>
        <w:ind w:left="360" w:hanging="260"/>
      </w:pPr>
    </w:lvl>
    <w:lvl w:ilvl="1" w:tplc="DC0654EA">
      <w:numFmt w:val="decimal"/>
      <w:lvlText w:val=""/>
      <w:lvlJc w:val="left"/>
    </w:lvl>
    <w:lvl w:ilvl="2" w:tplc="00702528">
      <w:numFmt w:val="decimal"/>
      <w:lvlText w:val=""/>
      <w:lvlJc w:val="left"/>
    </w:lvl>
    <w:lvl w:ilvl="3" w:tplc="D41838D2">
      <w:numFmt w:val="decimal"/>
      <w:lvlText w:val=""/>
      <w:lvlJc w:val="left"/>
    </w:lvl>
    <w:lvl w:ilvl="4" w:tplc="5D18F5B4">
      <w:numFmt w:val="decimal"/>
      <w:lvlText w:val=""/>
      <w:lvlJc w:val="left"/>
    </w:lvl>
    <w:lvl w:ilvl="5" w:tplc="92AC5C64">
      <w:numFmt w:val="decimal"/>
      <w:lvlText w:val=""/>
      <w:lvlJc w:val="left"/>
    </w:lvl>
    <w:lvl w:ilvl="6" w:tplc="D60C20C0">
      <w:numFmt w:val="decimal"/>
      <w:lvlText w:val=""/>
      <w:lvlJc w:val="left"/>
    </w:lvl>
    <w:lvl w:ilvl="7" w:tplc="AC0AACFC">
      <w:numFmt w:val="decimal"/>
      <w:lvlText w:val=""/>
      <w:lvlJc w:val="left"/>
    </w:lvl>
    <w:lvl w:ilvl="8" w:tplc="DB84F800">
      <w:numFmt w:val="decimal"/>
      <w:lvlText w:val=""/>
      <w:lvlJc w:val="left"/>
    </w:lvl>
  </w:abstractNum>
  <w:abstractNum w:abstractNumId="4" w15:restartNumberingAfterBreak="0">
    <w:nsid w:val="58127CA3"/>
    <w:multiLevelType w:val="hybridMultilevel"/>
    <w:tmpl w:val="409270F8"/>
    <w:lvl w:ilvl="0" w:tplc="497451BC">
      <w:start w:val="1"/>
      <w:numFmt w:val="bullet"/>
      <w:lvlText w:val="●"/>
      <w:lvlJc w:val="left"/>
      <w:pPr>
        <w:ind w:left="720" w:hanging="360"/>
      </w:pPr>
    </w:lvl>
    <w:lvl w:ilvl="1" w:tplc="07F6CEA2">
      <w:start w:val="1"/>
      <w:numFmt w:val="bullet"/>
      <w:lvlText w:val="○"/>
      <w:lvlJc w:val="left"/>
      <w:pPr>
        <w:ind w:left="1440" w:hanging="360"/>
      </w:pPr>
    </w:lvl>
    <w:lvl w:ilvl="2" w:tplc="AEE0399C">
      <w:start w:val="1"/>
      <w:numFmt w:val="bullet"/>
      <w:lvlText w:val="■"/>
      <w:lvlJc w:val="left"/>
      <w:pPr>
        <w:ind w:left="2160" w:hanging="360"/>
      </w:pPr>
    </w:lvl>
    <w:lvl w:ilvl="3" w:tplc="8B00FE52">
      <w:start w:val="1"/>
      <w:numFmt w:val="bullet"/>
      <w:lvlText w:val="●"/>
      <w:lvlJc w:val="left"/>
      <w:pPr>
        <w:ind w:left="2880" w:hanging="360"/>
      </w:pPr>
    </w:lvl>
    <w:lvl w:ilvl="4" w:tplc="54A0F742">
      <w:start w:val="1"/>
      <w:numFmt w:val="bullet"/>
      <w:lvlText w:val="○"/>
      <w:lvlJc w:val="left"/>
      <w:pPr>
        <w:ind w:left="3600" w:hanging="360"/>
      </w:pPr>
    </w:lvl>
    <w:lvl w:ilvl="5" w:tplc="38822320">
      <w:start w:val="1"/>
      <w:numFmt w:val="bullet"/>
      <w:lvlText w:val="■"/>
      <w:lvlJc w:val="left"/>
      <w:pPr>
        <w:ind w:left="4320" w:hanging="360"/>
      </w:pPr>
    </w:lvl>
    <w:lvl w:ilvl="6" w:tplc="FEF809A2">
      <w:start w:val="1"/>
      <w:numFmt w:val="bullet"/>
      <w:lvlText w:val="●"/>
      <w:lvlJc w:val="left"/>
      <w:pPr>
        <w:ind w:left="5040" w:hanging="360"/>
      </w:pPr>
    </w:lvl>
    <w:lvl w:ilvl="7" w:tplc="C7DCD9D2">
      <w:start w:val="1"/>
      <w:numFmt w:val="bullet"/>
      <w:lvlText w:val="●"/>
      <w:lvlJc w:val="left"/>
      <w:pPr>
        <w:ind w:left="5760" w:hanging="360"/>
      </w:pPr>
    </w:lvl>
    <w:lvl w:ilvl="8" w:tplc="E9A29D24">
      <w:start w:val="1"/>
      <w:numFmt w:val="bullet"/>
      <w:lvlText w:val="●"/>
      <w:lvlJc w:val="left"/>
      <w:pPr>
        <w:ind w:left="6480" w:hanging="360"/>
      </w:pPr>
    </w:lvl>
  </w:abstractNum>
  <w:num w:numId="1" w16cid:durableId="1159153156">
    <w:abstractNumId w:val="4"/>
    <w:lvlOverride w:ilvl="0">
      <w:startOverride w:val="1"/>
    </w:lvlOverride>
  </w:num>
  <w:num w:numId="2" w16cid:durableId="953832846">
    <w:abstractNumId w:val="1"/>
    <w:lvlOverride w:ilvl="0">
      <w:startOverride w:val="1"/>
    </w:lvlOverride>
  </w:num>
  <w:num w:numId="3" w16cid:durableId="589042454">
    <w:abstractNumId w:val="3"/>
    <w:lvlOverride w:ilvl="0">
      <w:startOverride w:val="1"/>
    </w:lvlOverride>
  </w:num>
  <w:num w:numId="4" w16cid:durableId="274213947">
    <w:abstractNumId w:val="0"/>
  </w:num>
  <w:num w:numId="5" w16cid:durableId="686373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3D"/>
    <w:rsid w:val="0007051D"/>
    <w:rsid w:val="000D2800"/>
    <w:rsid w:val="00245D3D"/>
    <w:rsid w:val="004F0EE6"/>
    <w:rsid w:val="00523B91"/>
    <w:rsid w:val="00693761"/>
    <w:rsid w:val="007B5C16"/>
    <w:rsid w:val="007C4825"/>
    <w:rsid w:val="00957612"/>
    <w:rsid w:val="009E6FB5"/>
    <w:rsid w:val="00A86836"/>
    <w:rsid w:val="00B1073D"/>
    <w:rsid w:val="00B30195"/>
    <w:rsid w:val="00BE77FA"/>
    <w:rsid w:val="00C46E33"/>
    <w:rsid w:val="00D10617"/>
    <w:rsid w:val="00DD15E7"/>
    <w:rsid w:val="00E174FD"/>
    <w:rsid w:val="00EA7FD1"/>
    <w:rsid w:val="00F23B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7E18"/>
  <w15:docId w15:val="{8A0927C6-842E-4A1E-9329-35B3A358B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7FA"/>
  </w:style>
  <w:style w:type="paragraph" w:styleId="Heading1">
    <w:name w:val="heading 1"/>
    <w:basedOn w:val="Normal"/>
    <w:next w:val="Normal"/>
    <w:link w:val="Heading1Char"/>
    <w:uiPriority w:val="9"/>
    <w:qFormat/>
    <w:rsid w:val="00BE77FA"/>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BE77F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7F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7F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BE77FA"/>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BE77FA"/>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BE77FA"/>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BE77FA"/>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BE77F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7FA"/>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77FA"/>
    <w:pPr>
      <w:tabs>
        <w:tab w:val="center" w:pos="4680"/>
        <w:tab w:val="right" w:pos="9360"/>
      </w:tabs>
    </w:pPr>
  </w:style>
  <w:style w:type="character" w:customStyle="1" w:styleId="HeaderChar">
    <w:name w:val="Header Char"/>
    <w:basedOn w:val="DefaultParagraphFont"/>
    <w:link w:val="Header"/>
    <w:uiPriority w:val="99"/>
    <w:rsid w:val="00BE77FA"/>
  </w:style>
  <w:style w:type="paragraph" w:styleId="Footer">
    <w:name w:val="footer"/>
    <w:basedOn w:val="Normal"/>
    <w:link w:val="FooterChar"/>
    <w:uiPriority w:val="99"/>
    <w:unhideWhenUsed/>
    <w:rsid w:val="00BE77FA"/>
    <w:pPr>
      <w:tabs>
        <w:tab w:val="center" w:pos="4680"/>
        <w:tab w:val="right" w:pos="9360"/>
      </w:tabs>
    </w:pPr>
  </w:style>
  <w:style w:type="character" w:customStyle="1" w:styleId="FooterChar">
    <w:name w:val="Footer Char"/>
    <w:basedOn w:val="DefaultParagraphFont"/>
    <w:link w:val="Footer"/>
    <w:uiPriority w:val="99"/>
    <w:rsid w:val="00BE77FA"/>
  </w:style>
  <w:style w:type="character" w:customStyle="1" w:styleId="Heading1Char">
    <w:name w:val="Heading 1 Char"/>
    <w:basedOn w:val="DefaultParagraphFont"/>
    <w:link w:val="Heading1"/>
    <w:uiPriority w:val="9"/>
    <w:rsid w:val="00BE77FA"/>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BE7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7FA"/>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7FA"/>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BE77FA"/>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BE77FA"/>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BE77FA"/>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BE77FA"/>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BE77FA"/>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523B91"/>
    <w:pPr>
      <w:spacing w:line="240" w:lineRule="auto"/>
    </w:pPr>
    <w:rPr>
      <w:b/>
      <w:bCs/>
      <w:color w:val="44546A" w:themeColor="text2"/>
      <w:sz w:val="18"/>
    </w:rPr>
  </w:style>
  <w:style w:type="character" w:customStyle="1" w:styleId="TitleChar">
    <w:name w:val="Title Char"/>
    <w:basedOn w:val="DefaultParagraphFont"/>
    <w:link w:val="Title"/>
    <w:uiPriority w:val="10"/>
    <w:rsid w:val="00BE77F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BE77F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BE77FA"/>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BE77FA"/>
    <w:rPr>
      <w:b/>
      <w:bCs/>
    </w:rPr>
  </w:style>
  <w:style w:type="character" w:styleId="Emphasis">
    <w:name w:val="Emphasis"/>
    <w:basedOn w:val="DefaultParagraphFont"/>
    <w:uiPriority w:val="20"/>
    <w:qFormat/>
    <w:rsid w:val="00BE77FA"/>
    <w:rPr>
      <w:i/>
      <w:iCs/>
    </w:rPr>
  </w:style>
  <w:style w:type="paragraph" w:styleId="NoSpacing">
    <w:name w:val="No Spacing"/>
    <w:uiPriority w:val="1"/>
    <w:qFormat/>
    <w:rsid w:val="00BE77FA"/>
    <w:pPr>
      <w:spacing w:after="0" w:line="240" w:lineRule="auto"/>
    </w:pPr>
  </w:style>
  <w:style w:type="paragraph" w:styleId="Quote">
    <w:name w:val="Quote"/>
    <w:basedOn w:val="Normal"/>
    <w:next w:val="Normal"/>
    <w:link w:val="QuoteChar"/>
    <w:uiPriority w:val="29"/>
    <w:qFormat/>
    <w:rsid w:val="00BE77FA"/>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E77FA"/>
    <w:rPr>
      <w:color w:val="44546A" w:themeColor="text2"/>
      <w:sz w:val="24"/>
      <w:szCs w:val="24"/>
    </w:rPr>
  </w:style>
  <w:style w:type="paragraph" w:styleId="IntenseQuote">
    <w:name w:val="Intense Quote"/>
    <w:basedOn w:val="Normal"/>
    <w:next w:val="Normal"/>
    <w:link w:val="IntenseQuoteChar"/>
    <w:uiPriority w:val="30"/>
    <w:qFormat/>
    <w:rsid w:val="00BE77F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E77FA"/>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BE77FA"/>
    <w:rPr>
      <w:i/>
      <w:iCs/>
      <w:color w:val="595959" w:themeColor="text1" w:themeTint="A6"/>
    </w:rPr>
  </w:style>
  <w:style w:type="character" w:styleId="IntenseEmphasis">
    <w:name w:val="Intense Emphasis"/>
    <w:basedOn w:val="DefaultParagraphFont"/>
    <w:uiPriority w:val="21"/>
    <w:qFormat/>
    <w:rsid w:val="00BE77FA"/>
    <w:rPr>
      <w:b/>
      <w:bCs/>
      <w:i/>
      <w:iCs/>
    </w:rPr>
  </w:style>
  <w:style w:type="character" w:styleId="SubtleReference">
    <w:name w:val="Subtle Reference"/>
    <w:basedOn w:val="DefaultParagraphFont"/>
    <w:uiPriority w:val="31"/>
    <w:qFormat/>
    <w:rsid w:val="00BE77F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E77FA"/>
    <w:rPr>
      <w:b/>
      <w:bCs/>
      <w:smallCaps/>
      <w:color w:val="44546A" w:themeColor="text2"/>
      <w:u w:val="single"/>
    </w:rPr>
  </w:style>
  <w:style w:type="character" w:styleId="BookTitle">
    <w:name w:val="Book Title"/>
    <w:basedOn w:val="DefaultParagraphFont"/>
    <w:uiPriority w:val="33"/>
    <w:qFormat/>
    <w:rsid w:val="00BE77FA"/>
    <w:rPr>
      <w:b/>
      <w:bCs/>
      <w:smallCaps/>
      <w:spacing w:val="10"/>
    </w:rPr>
  </w:style>
  <w:style w:type="paragraph" w:styleId="TOCHeading">
    <w:name w:val="TOC Heading"/>
    <w:basedOn w:val="Heading1"/>
    <w:next w:val="Normal"/>
    <w:uiPriority w:val="39"/>
    <w:semiHidden/>
    <w:unhideWhenUsed/>
    <w:qFormat/>
    <w:rsid w:val="00BE77FA"/>
    <w:pPr>
      <w:outlineLvl w:val="9"/>
    </w:pPr>
  </w:style>
  <w:style w:type="paragraph" w:styleId="TOC1">
    <w:name w:val="toc 1"/>
    <w:basedOn w:val="Normal"/>
    <w:next w:val="Normal"/>
    <w:autoRedefine/>
    <w:uiPriority w:val="39"/>
    <w:unhideWhenUsed/>
    <w:rsid w:val="007C4825"/>
    <w:pPr>
      <w:spacing w:after="100" w:line="278" w:lineRule="auto"/>
    </w:pPr>
    <w:rPr>
      <w:rFonts w:ascii="Times New Roman" w:eastAsiaTheme="minorHAnsi" w:hAnsi="Times New Roman"/>
      <w:kern w:val="2"/>
      <w:sz w:val="24"/>
      <w:szCs w:val="24"/>
      <w14:ligatures w14:val="standardContextual"/>
    </w:rPr>
  </w:style>
  <w:style w:type="paragraph" w:styleId="TOC2">
    <w:name w:val="toc 2"/>
    <w:basedOn w:val="Normal"/>
    <w:next w:val="Normal"/>
    <w:autoRedefine/>
    <w:uiPriority w:val="39"/>
    <w:unhideWhenUsed/>
    <w:rsid w:val="007C4825"/>
    <w:pPr>
      <w:spacing w:after="100" w:line="278" w:lineRule="auto"/>
      <w:ind w:left="240"/>
    </w:pPr>
    <w:rPr>
      <w:rFonts w:ascii="Times New Roman" w:eastAsiaTheme="minorHAnsi" w:hAnsi="Times New Roman"/>
      <w:kern w:val="2"/>
      <w:sz w:val="24"/>
      <w:szCs w:val="24"/>
      <w14:ligatures w14:val="standardContextual"/>
    </w:rPr>
  </w:style>
  <w:style w:type="paragraph" w:styleId="TableofFigures">
    <w:name w:val="table of figures"/>
    <w:basedOn w:val="Normal"/>
    <w:next w:val="Normal"/>
    <w:uiPriority w:val="99"/>
    <w:unhideWhenUsed/>
    <w:rsid w:val="007C4825"/>
    <w:pPr>
      <w:spacing w:after="0" w:line="278" w:lineRule="auto"/>
    </w:pPr>
    <w:rPr>
      <w:rFonts w:ascii="Times New Roman" w:eastAsiaTheme="minorHAnsi" w:hAnsi="Times New Roman"/>
      <w:kern w:val="2"/>
      <w:sz w:val="24"/>
      <w:szCs w:val="24"/>
      <w14:ligatures w14:val="standardContextual"/>
    </w:rPr>
  </w:style>
  <w:style w:type="character" w:styleId="UnresolvedMention">
    <w:name w:val="Unresolved Mention"/>
    <w:basedOn w:val="DefaultParagraphFont"/>
    <w:uiPriority w:val="99"/>
    <w:semiHidden/>
    <w:unhideWhenUsed/>
    <w:rsid w:val="00523B91"/>
    <w:rPr>
      <w:color w:val="605E5C"/>
      <w:shd w:val="clear" w:color="auto" w:fill="E1DFDD"/>
    </w:rPr>
  </w:style>
  <w:style w:type="paragraph" w:styleId="NormalWeb">
    <w:name w:val="Normal (Web)"/>
    <w:basedOn w:val="Normal"/>
    <w:uiPriority w:val="99"/>
    <w:semiHidden/>
    <w:unhideWhenUsed/>
    <w:rsid w:val="004F0E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fred.stlouisfed.org/series/CPIAUCS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red.stlouisfed.org/series/SP50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aymondjames.com/thewiseinvestorgroup/ins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red.stlouisfed.org/series/FEDFUN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52700-D72B-44D7-AC6E-91729ACDE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15</Pages>
  <Words>3116</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Daou</cp:lastModifiedBy>
  <cp:revision>6</cp:revision>
  <dcterms:created xsi:type="dcterms:W3CDTF">2026-07-17T19:11:00Z</dcterms:created>
  <dcterms:modified xsi:type="dcterms:W3CDTF">2026-07-19T16:27:00Z</dcterms:modified>
</cp:coreProperties>
</file>