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9768CE" w14:textId="77777777" w:rsidR="00695F6F" w:rsidRPr="00695F6F" w:rsidRDefault="00695F6F" w:rsidP="00695F6F">
      <w:pPr>
        <w:jc w:val="both"/>
        <w:rPr>
          <w:rFonts w:ascii="Calibri" w:hAnsi="Calibri" w:cs="Calibri"/>
          <w:b/>
          <w:bCs/>
          <w:sz w:val="18"/>
          <w:szCs w:val="18"/>
        </w:rPr>
      </w:pPr>
      <w:r w:rsidRPr="00695F6F">
        <w:rPr>
          <w:rFonts w:ascii="Calibri" w:hAnsi="Calibri" w:cs="Calibri"/>
          <w:b/>
          <w:bCs/>
          <w:sz w:val="18"/>
          <w:szCs w:val="18"/>
        </w:rPr>
        <w:t>1. Definition and Methodology</w:t>
      </w:r>
    </w:p>
    <w:p w14:paraId="7E9C9128" w14:textId="556047E1" w:rsidR="00695F6F" w:rsidRPr="00FE1903" w:rsidRDefault="00695F6F" w:rsidP="00834DA6">
      <w:pPr>
        <w:spacing w:line="240" w:lineRule="auto"/>
        <w:jc w:val="both"/>
        <w:rPr>
          <w:rFonts w:ascii="Calibri" w:hAnsi="Calibri" w:cs="Calibri"/>
          <w:sz w:val="18"/>
          <w:szCs w:val="18"/>
        </w:rPr>
      </w:pPr>
      <w:r w:rsidRPr="00695F6F">
        <w:rPr>
          <w:rFonts w:ascii="Calibri" w:hAnsi="Calibri" w:cs="Calibri"/>
          <w:sz w:val="18"/>
          <w:szCs w:val="18"/>
        </w:rPr>
        <w:t xml:space="preserve">In this analysis, all figures are standardized to offences per 100,000 inhabitants, a commonly used method for comparing crime rates across countries. We define this measure as: </w:t>
      </w:r>
      <w:r w:rsidRPr="00695F6F">
        <w:rPr>
          <w:rFonts w:ascii="Calibri" w:hAnsi="Calibri" w:cs="Calibri"/>
          <w:i/>
          <w:iCs/>
          <w:sz w:val="18"/>
          <w:szCs w:val="18"/>
        </w:rPr>
        <w:t>standardized offences per 100,000 inhabitants = (count of offences / population) * 100,000</w:t>
      </w:r>
      <w:r w:rsidRPr="00695F6F">
        <w:rPr>
          <w:rFonts w:ascii="Calibri" w:hAnsi="Calibri" w:cs="Calibri"/>
          <w:sz w:val="18"/>
          <w:szCs w:val="18"/>
        </w:rPr>
        <w:t>. The population data for New Zealand is sourced from the World Population Prospects: The 2019 Revision. The advantage of using this relative measure, instead of an absolute one, is that it accounts for changes in population size from 1980 to 2020</w:t>
      </w:r>
      <w:r w:rsidRPr="00FE1903">
        <w:rPr>
          <w:rFonts w:ascii="Calibri" w:hAnsi="Calibri" w:cs="Calibri"/>
          <w:sz w:val="18"/>
          <w:szCs w:val="18"/>
        </w:rPr>
        <w:t xml:space="preserve">. </w:t>
      </w:r>
      <w:r w:rsidRPr="00FE1903">
        <w:rPr>
          <w:rFonts w:ascii="Calibri" w:hAnsi="Calibri" w:cs="Calibri"/>
          <w:sz w:val="18"/>
          <w:szCs w:val="18"/>
        </w:rPr>
        <w:t>The data wrangling, analysis, and visualization were performed using an R project, which is open-source and available on GitHub at the following link: [insert link here].</w:t>
      </w:r>
    </w:p>
    <w:p w14:paraId="4D5E0C43" w14:textId="6F5920BB" w:rsidR="00695F6F" w:rsidRPr="00FE1903" w:rsidRDefault="00433D92" w:rsidP="00834DA6">
      <w:pPr>
        <w:spacing w:line="240" w:lineRule="auto"/>
        <w:jc w:val="both"/>
        <w:rPr>
          <w:rFonts w:ascii="Calibri" w:hAnsi="Calibri" w:cs="Calibri" w:hint="eastAsia"/>
          <w:sz w:val="18"/>
          <w:szCs w:val="18"/>
        </w:rPr>
      </w:pPr>
      <w:r w:rsidRPr="00FE1903">
        <w:rPr>
          <w:rFonts w:ascii="Calibri" w:hAnsi="Calibri" w:cs="Calibri"/>
          <w:sz w:val="18"/>
          <w:szCs w:val="18"/>
        </w:rPr>
        <w:t>This analysis focuses on violent and property crimes. It references the New Zealand Crime and Victims Survey, published by the Ministry of Justice, and defines violent crimes as homicide, acts intended to cause injury, sexual assault, and robbery. In contrast, property crimes are defined as burglary and theft.</w:t>
      </w:r>
      <w:r w:rsidRPr="00FE1903">
        <w:rPr>
          <w:rFonts w:ascii="Calibri" w:hAnsi="Calibri" w:cs="Calibri"/>
          <w:sz w:val="18"/>
          <w:szCs w:val="18"/>
        </w:rPr>
        <w:t xml:space="preserve"> </w:t>
      </w:r>
    </w:p>
    <w:p w14:paraId="79FFFA41" w14:textId="77777777" w:rsidR="007145AF" w:rsidRPr="00FE1903" w:rsidRDefault="007145AF" w:rsidP="007145AF">
      <w:pPr>
        <w:jc w:val="both"/>
        <w:rPr>
          <w:rFonts w:ascii="Calibri" w:hAnsi="Calibri" w:cs="Calibri"/>
          <w:b/>
          <w:bCs/>
          <w:sz w:val="18"/>
          <w:szCs w:val="18"/>
        </w:rPr>
      </w:pPr>
      <w:r w:rsidRPr="00FE1903">
        <w:rPr>
          <w:rFonts w:ascii="Calibri" w:hAnsi="Calibri" w:cs="Calibri"/>
          <w:b/>
          <w:bCs/>
          <w:sz w:val="18"/>
          <w:szCs w:val="18"/>
        </w:rPr>
        <w:t>2. Overall Crime Trend</w:t>
      </w:r>
    </w:p>
    <w:p w14:paraId="748D9927" w14:textId="77777777" w:rsidR="007145AF" w:rsidRPr="00FE1903" w:rsidRDefault="007145AF" w:rsidP="00834DA6">
      <w:pPr>
        <w:spacing w:line="240" w:lineRule="auto"/>
        <w:jc w:val="both"/>
        <w:rPr>
          <w:rFonts w:ascii="Calibri" w:hAnsi="Calibri" w:cs="Calibri"/>
          <w:sz w:val="18"/>
          <w:szCs w:val="18"/>
        </w:rPr>
      </w:pPr>
      <w:r w:rsidRPr="00FE1903">
        <w:rPr>
          <w:rFonts w:ascii="Calibri" w:hAnsi="Calibri" w:cs="Calibri"/>
          <w:sz w:val="18"/>
          <w:szCs w:val="18"/>
        </w:rPr>
        <w:t>Table 1 shows that standardized offences per 100,000 inhabitants for all crimes peaked before 2010. All crime categories experienced a significant drop in 2019/2020 compared to their peak year.</w:t>
      </w:r>
    </w:p>
    <w:p w14:paraId="195BD866" w14:textId="3FE2A2A1" w:rsidR="006E0B5A" w:rsidRPr="00834DA6" w:rsidRDefault="00FE1903" w:rsidP="00834DA6">
      <w:pPr>
        <w:spacing w:line="240" w:lineRule="auto"/>
        <w:jc w:val="both"/>
        <w:rPr>
          <w:rFonts w:ascii="Calibri" w:hAnsi="Calibri" w:cs="Calibri"/>
          <w:i/>
          <w:iCs/>
          <w:sz w:val="13"/>
          <w:szCs w:val="13"/>
        </w:rPr>
      </w:pPr>
      <w:r w:rsidRPr="00834DA6">
        <w:rPr>
          <w:rFonts w:ascii="Calibri" w:hAnsi="Calibri" w:cs="Calibri"/>
          <w:i/>
          <w:iCs/>
          <w:sz w:val="13"/>
          <w:szCs w:val="13"/>
        </w:rPr>
        <w:drawing>
          <wp:inline distT="0" distB="0" distL="0" distR="0" wp14:anchorId="6B0EE54C" wp14:editId="48369C3A">
            <wp:extent cx="5274310" cy="1661795"/>
            <wp:effectExtent l="0" t="0" r="2540" b="0"/>
            <wp:docPr id="174146453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61795"/>
                    </a:xfrm>
                    <a:prstGeom prst="rect">
                      <a:avLst/>
                    </a:prstGeom>
                    <a:noFill/>
                    <a:ln>
                      <a:noFill/>
                    </a:ln>
                  </pic:spPr>
                </pic:pic>
              </a:graphicData>
            </a:graphic>
          </wp:inline>
        </w:drawing>
      </w:r>
    </w:p>
    <w:p w14:paraId="520FCE31" w14:textId="7E55BD93" w:rsidR="006E0B5A" w:rsidRPr="00482F07" w:rsidRDefault="007145AF" w:rsidP="00834DA6">
      <w:pPr>
        <w:spacing w:line="240" w:lineRule="auto"/>
        <w:jc w:val="both"/>
        <w:rPr>
          <w:rFonts w:ascii="Calibri" w:hAnsi="Calibri" w:cs="Calibri"/>
          <w:i/>
          <w:iCs/>
          <w:sz w:val="13"/>
          <w:szCs w:val="13"/>
        </w:rPr>
      </w:pPr>
      <w:r w:rsidRPr="00482F07">
        <w:rPr>
          <w:rFonts w:ascii="Calibri" w:hAnsi="Calibri" w:cs="Calibri"/>
          <w:i/>
          <w:iCs/>
          <w:sz w:val="13"/>
          <w:szCs w:val="13"/>
        </w:rPr>
        <w:t>Table 1: Standardized offences – peak year</w:t>
      </w:r>
      <w:r w:rsidR="00FE1903">
        <w:rPr>
          <w:rFonts w:ascii="Calibri" w:hAnsi="Calibri" w:cs="Calibri" w:hint="eastAsia"/>
          <w:i/>
          <w:iCs/>
          <w:sz w:val="13"/>
          <w:szCs w:val="13"/>
        </w:rPr>
        <w:t xml:space="preserve">, recession, </w:t>
      </w:r>
      <w:r w:rsidRPr="00482F07">
        <w:rPr>
          <w:rFonts w:ascii="Calibri" w:hAnsi="Calibri" w:cs="Calibri"/>
          <w:i/>
          <w:iCs/>
          <w:sz w:val="13"/>
          <w:szCs w:val="13"/>
        </w:rPr>
        <w:t>and percentage decline from peak to 2019/2020</w:t>
      </w:r>
    </w:p>
    <w:p w14:paraId="40288A7E" w14:textId="0AE9818E" w:rsidR="007145AF" w:rsidRPr="00FE1903" w:rsidRDefault="00482F07" w:rsidP="00834DA6">
      <w:pPr>
        <w:spacing w:line="240" w:lineRule="auto"/>
        <w:jc w:val="both"/>
        <w:rPr>
          <w:rFonts w:ascii="Calibri" w:hAnsi="Calibri" w:cs="Calibri"/>
          <w:sz w:val="18"/>
          <w:szCs w:val="18"/>
        </w:rPr>
      </w:pPr>
      <w:r w:rsidRPr="00FE1903">
        <w:rPr>
          <w:rFonts w:ascii="Calibri" w:hAnsi="Calibri" w:cs="Calibri"/>
          <w:sz w:val="18"/>
          <w:szCs w:val="18"/>
        </w:rPr>
        <w:t xml:space="preserve">This analysis also compiled New Zealand recession years from online sources to explore potential correlations between standardized offences and economic conditions. Tables </w:t>
      </w:r>
      <w:r w:rsidR="00FE1903" w:rsidRPr="00FE1903">
        <w:rPr>
          <w:rFonts w:ascii="Calibri" w:hAnsi="Calibri" w:cs="Calibri" w:hint="eastAsia"/>
          <w:sz w:val="18"/>
          <w:szCs w:val="18"/>
        </w:rPr>
        <w:t>1</w:t>
      </w:r>
      <w:r w:rsidRPr="00FE1903">
        <w:rPr>
          <w:rFonts w:ascii="Calibri" w:hAnsi="Calibri" w:cs="Calibri"/>
          <w:sz w:val="18"/>
          <w:szCs w:val="18"/>
        </w:rPr>
        <w:t xml:space="preserve"> and </w:t>
      </w:r>
      <w:r w:rsidR="00FE1903" w:rsidRPr="00FE1903">
        <w:rPr>
          <w:rFonts w:ascii="Calibri" w:hAnsi="Calibri" w:cs="Calibri" w:hint="eastAsia"/>
          <w:sz w:val="18"/>
          <w:szCs w:val="18"/>
        </w:rPr>
        <w:t>2</w:t>
      </w:r>
      <w:r w:rsidRPr="00FE1903">
        <w:rPr>
          <w:rFonts w:ascii="Calibri" w:hAnsi="Calibri" w:cs="Calibri"/>
          <w:sz w:val="18"/>
          <w:szCs w:val="18"/>
        </w:rPr>
        <w:t xml:space="preserve"> show that property-related crimes both peaked and experienced the highest year-on-year increase during recession years.</w:t>
      </w:r>
    </w:p>
    <w:p w14:paraId="53BF5CD4" w14:textId="77777777" w:rsidR="00FE1903" w:rsidRPr="00834DA6" w:rsidRDefault="00482F07" w:rsidP="00834DA6">
      <w:pPr>
        <w:spacing w:line="240" w:lineRule="auto"/>
        <w:jc w:val="both"/>
        <w:rPr>
          <w:rFonts w:ascii="Calibri" w:hAnsi="Calibri" w:cs="Calibri"/>
          <w:i/>
          <w:iCs/>
          <w:sz w:val="13"/>
          <w:szCs w:val="13"/>
        </w:rPr>
      </w:pPr>
      <w:r w:rsidRPr="00834DA6">
        <w:rPr>
          <w:rFonts w:ascii="Calibri" w:hAnsi="Calibri" w:cs="Calibri"/>
          <w:i/>
          <w:iCs/>
          <w:sz w:val="13"/>
          <w:szCs w:val="13"/>
        </w:rPr>
        <w:drawing>
          <wp:inline distT="0" distB="0" distL="0" distR="0" wp14:anchorId="6A7A1601" wp14:editId="464B407D">
            <wp:extent cx="4667250" cy="1470527"/>
            <wp:effectExtent l="0" t="0" r="0" b="0"/>
            <wp:docPr id="149522093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1470527"/>
                    </a:xfrm>
                    <a:prstGeom prst="rect">
                      <a:avLst/>
                    </a:prstGeom>
                    <a:noFill/>
                    <a:ln>
                      <a:noFill/>
                    </a:ln>
                  </pic:spPr>
                </pic:pic>
              </a:graphicData>
            </a:graphic>
          </wp:inline>
        </w:drawing>
      </w:r>
    </w:p>
    <w:p w14:paraId="7DB90EEE" w14:textId="49499F78" w:rsidR="003531B9" w:rsidRPr="00834DA6" w:rsidRDefault="00FE1903" w:rsidP="00834DA6">
      <w:pPr>
        <w:spacing w:line="240" w:lineRule="auto"/>
        <w:jc w:val="both"/>
        <w:rPr>
          <w:rFonts w:ascii="Calibri" w:hAnsi="Calibri" w:cs="Calibri" w:hint="eastAsia"/>
          <w:i/>
          <w:iCs/>
          <w:sz w:val="13"/>
          <w:szCs w:val="13"/>
        </w:rPr>
      </w:pPr>
      <w:r w:rsidRPr="00482F07">
        <w:rPr>
          <w:rFonts w:ascii="Calibri" w:hAnsi="Calibri" w:cs="Calibri"/>
          <w:i/>
          <w:iCs/>
          <w:sz w:val="13"/>
          <w:szCs w:val="13"/>
        </w:rPr>
        <w:t xml:space="preserve">Table </w:t>
      </w:r>
      <w:r>
        <w:rPr>
          <w:rFonts w:ascii="Calibri" w:hAnsi="Calibri" w:cs="Calibri" w:hint="eastAsia"/>
          <w:i/>
          <w:iCs/>
          <w:sz w:val="13"/>
          <w:szCs w:val="13"/>
        </w:rPr>
        <w:t>2</w:t>
      </w:r>
      <w:r w:rsidRPr="00482F07">
        <w:rPr>
          <w:rFonts w:ascii="Calibri" w:hAnsi="Calibri" w:cs="Calibri"/>
          <w:i/>
          <w:iCs/>
          <w:sz w:val="13"/>
          <w:szCs w:val="13"/>
        </w:rPr>
        <w:t xml:space="preserve">: Standardized offences – </w:t>
      </w:r>
      <w:r>
        <w:rPr>
          <w:rFonts w:ascii="Calibri" w:hAnsi="Calibri" w:cs="Calibri" w:hint="eastAsia"/>
          <w:i/>
          <w:iCs/>
          <w:sz w:val="13"/>
          <w:szCs w:val="13"/>
        </w:rPr>
        <w:t>highest year-on-year increase, and recession</w:t>
      </w:r>
    </w:p>
    <w:p w14:paraId="5D136427" w14:textId="14092E8B" w:rsidR="00584E9E" w:rsidRPr="00FE1903" w:rsidRDefault="00584E9E" w:rsidP="00FE1903">
      <w:pPr>
        <w:jc w:val="both"/>
        <w:rPr>
          <w:rFonts w:ascii="Calibri" w:hAnsi="Calibri" w:cs="Calibri"/>
          <w:b/>
          <w:bCs/>
          <w:sz w:val="18"/>
          <w:szCs w:val="18"/>
        </w:rPr>
      </w:pPr>
      <w:r w:rsidRPr="00FE1903">
        <w:rPr>
          <w:rFonts w:ascii="Calibri" w:hAnsi="Calibri" w:cs="Calibri" w:hint="eastAsia"/>
          <w:b/>
          <w:bCs/>
          <w:sz w:val="18"/>
          <w:szCs w:val="18"/>
        </w:rPr>
        <w:t xml:space="preserve">2, </w:t>
      </w:r>
      <w:r w:rsidR="00FE1903">
        <w:rPr>
          <w:rFonts w:ascii="Calibri" w:hAnsi="Calibri" w:cs="Calibri" w:hint="eastAsia"/>
          <w:b/>
          <w:bCs/>
          <w:sz w:val="18"/>
          <w:szCs w:val="18"/>
        </w:rPr>
        <w:t>H</w:t>
      </w:r>
      <w:r w:rsidRPr="00FE1903">
        <w:rPr>
          <w:rFonts w:ascii="Calibri" w:hAnsi="Calibri" w:cs="Calibri"/>
          <w:b/>
          <w:bCs/>
          <w:sz w:val="18"/>
          <w:szCs w:val="18"/>
        </w:rPr>
        <w:t>omicide</w:t>
      </w:r>
      <w:r w:rsidRPr="00FE1903">
        <w:rPr>
          <w:rFonts w:ascii="Calibri" w:hAnsi="Calibri" w:cs="Calibri" w:hint="eastAsia"/>
          <w:b/>
          <w:bCs/>
          <w:sz w:val="18"/>
          <w:szCs w:val="18"/>
        </w:rPr>
        <w:t xml:space="preserve"> and </w:t>
      </w:r>
      <w:r w:rsidR="00FE1903">
        <w:rPr>
          <w:rFonts w:ascii="Calibri" w:hAnsi="Calibri" w:cs="Calibri" w:hint="eastAsia"/>
          <w:b/>
          <w:bCs/>
          <w:sz w:val="18"/>
          <w:szCs w:val="18"/>
        </w:rPr>
        <w:t>V</w:t>
      </w:r>
      <w:r w:rsidRPr="00FE1903">
        <w:rPr>
          <w:rFonts w:ascii="Calibri" w:hAnsi="Calibri" w:cs="Calibri" w:hint="eastAsia"/>
          <w:b/>
          <w:bCs/>
          <w:sz w:val="18"/>
          <w:szCs w:val="18"/>
        </w:rPr>
        <w:t xml:space="preserve">iolent </w:t>
      </w:r>
      <w:r w:rsidR="00FE1903">
        <w:rPr>
          <w:rFonts w:ascii="Calibri" w:hAnsi="Calibri" w:cs="Calibri" w:hint="eastAsia"/>
          <w:b/>
          <w:bCs/>
          <w:sz w:val="18"/>
          <w:szCs w:val="18"/>
        </w:rPr>
        <w:t>C</w:t>
      </w:r>
      <w:r w:rsidRPr="00FE1903">
        <w:rPr>
          <w:rFonts w:ascii="Calibri" w:hAnsi="Calibri" w:cs="Calibri" w:hint="eastAsia"/>
          <w:b/>
          <w:bCs/>
          <w:sz w:val="18"/>
          <w:szCs w:val="18"/>
        </w:rPr>
        <w:t xml:space="preserve">rimes </w:t>
      </w:r>
    </w:p>
    <w:p w14:paraId="0277F900" w14:textId="73A5F30B" w:rsidR="00834DA6" w:rsidRDefault="00F717B0" w:rsidP="00834DA6">
      <w:pPr>
        <w:spacing w:line="240" w:lineRule="auto"/>
        <w:jc w:val="both"/>
        <w:rPr>
          <w:rFonts w:ascii="Calibri" w:hAnsi="Calibri" w:cs="Calibri"/>
          <w:sz w:val="18"/>
          <w:szCs w:val="18"/>
        </w:rPr>
      </w:pPr>
      <w:r w:rsidRPr="00F717B0">
        <w:rPr>
          <w:rFonts w:ascii="Calibri" w:hAnsi="Calibri" w:cs="Calibri"/>
          <w:sz w:val="18"/>
          <w:szCs w:val="18"/>
        </w:rPr>
        <w:t xml:space="preserve">Homicide per 100,000 inhabitants is a widely used indicator to measure a country's safety and standard of living. </w:t>
      </w:r>
      <w:r w:rsidR="00EE5AAE">
        <w:rPr>
          <w:rFonts w:ascii="Calibri" w:hAnsi="Calibri" w:cs="Calibri" w:hint="eastAsia"/>
          <w:sz w:val="18"/>
          <w:szCs w:val="18"/>
        </w:rPr>
        <w:t xml:space="preserve">Figure 1 shows </w:t>
      </w:r>
      <w:r w:rsidRPr="00F717B0">
        <w:rPr>
          <w:rFonts w:ascii="Calibri" w:hAnsi="Calibri" w:cs="Calibri"/>
          <w:sz w:val="18"/>
          <w:szCs w:val="18"/>
        </w:rPr>
        <w:t>New Zealand had a high homicide rate in the late 1980s, which dramatically declined during the National Party's rule in the 1990s. Although New Zealand’s 2019/2020 rate (3.0, based on this analysis) is significantly lower than its peak, it is still higher than that of similar countries, such as Australia (0.86) and the UK (1.0)</w:t>
      </w:r>
      <w:r w:rsidR="00834DA6">
        <w:rPr>
          <w:rFonts w:ascii="Calibri" w:hAnsi="Calibri" w:cs="Calibri" w:hint="eastAsia"/>
          <w:sz w:val="18"/>
          <w:szCs w:val="18"/>
        </w:rPr>
        <w:t xml:space="preserve">. </w:t>
      </w:r>
    </w:p>
    <w:p w14:paraId="0FD7CB35" w14:textId="2C530426" w:rsidR="00834DA6" w:rsidRDefault="00834DA6" w:rsidP="00834DA6">
      <w:pPr>
        <w:spacing w:line="240" w:lineRule="auto"/>
        <w:jc w:val="both"/>
        <w:rPr>
          <w:rFonts w:ascii="Calibri" w:hAnsi="Calibri" w:cs="Calibri"/>
          <w:sz w:val="18"/>
          <w:szCs w:val="18"/>
        </w:rPr>
      </w:pPr>
      <w:r w:rsidRPr="00834DA6">
        <w:rPr>
          <w:rFonts w:ascii="Calibri" w:hAnsi="Calibri" w:cs="Calibri"/>
          <w:sz w:val="18"/>
          <w:szCs w:val="18"/>
        </w:rPr>
        <w:lastRenderedPageBreak/>
        <w:drawing>
          <wp:inline distT="0" distB="0" distL="0" distR="0" wp14:anchorId="6C157FE1" wp14:editId="517C05D7">
            <wp:extent cx="4201200" cy="2520000"/>
            <wp:effectExtent l="0" t="0" r="0" b="0"/>
            <wp:docPr id="187371525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1200" cy="2520000"/>
                    </a:xfrm>
                    <a:prstGeom prst="rect">
                      <a:avLst/>
                    </a:prstGeom>
                    <a:noFill/>
                    <a:ln>
                      <a:noFill/>
                    </a:ln>
                  </pic:spPr>
                </pic:pic>
              </a:graphicData>
            </a:graphic>
          </wp:inline>
        </w:drawing>
      </w:r>
    </w:p>
    <w:p w14:paraId="0B518D34" w14:textId="77777777" w:rsidR="00EE5AAE" w:rsidRDefault="00EE5AAE" w:rsidP="00A0259F">
      <w:pPr>
        <w:spacing w:line="240" w:lineRule="auto"/>
        <w:jc w:val="both"/>
        <w:rPr>
          <w:rFonts w:ascii="Calibri" w:hAnsi="Calibri" w:cs="Calibri"/>
          <w:sz w:val="18"/>
          <w:szCs w:val="18"/>
        </w:rPr>
      </w:pPr>
      <w:r w:rsidRPr="00EE5AAE">
        <w:rPr>
          <w:rFonts w:ascii="Calibri" w:hAnsi="Calibri" w:cs="Calibri"/>
          <w:sz w:val="18"/>
          <w:szCs w:val="18"/>
        </w:rPr>
        <w:t>Figure 2, however, shows a different pattern, as violent crime dramatically increased from the early 1990s and peaked during the 2008 financial crisis. It then began a downward trend during the last National government. The 2019/2020 standardized violent crime rate is 233.77 per 100,000 inhabitants, which is 61.7% of its peak in 2008/2009.</w:t>
      </w:r>
    </w:p>
    <w:p w14:paraId="013CDE97" w14:textId="4EDCE532" w:rsidR="00A0259F" w:rsidRPr="00A0259F" w:rsidRDefault="00B60B28" w:rsidP="00A0259F">
      <w:pPr>
        <w:spacing w:line="240" w:lineRule="auto"/>
        <w:jc w:val="both"/>
        <w:rPr>
          <w:rFonts w:ascii="Calibri" w:hAnsi="Calibri" w:cs="Calibri" w:hint="eastAsia"/>
          <w:sz w:val="18"/>
          <w:szCs w:val="18"/>
        </w:rPr>
      </w:pPr>
      <w:r w:rsidRPr="00B60B28">
        <w:rPr>
          <w:rFonts w:ascii="Calibri" w:hAnsi="Calibri" w:cs="Calibri"/>
          <w:sz w:val="18"/>
          <w:szCs w:val="18"/>
        </w:rPr>
        <w:drawing>
          <wp:inline distT="0" distB="0" distL="0" distR="0" wp14:anchorId="5F569AD0" wp14:editId="6A080A32">
            <wp:extent cx="4201200" cy="2520000"/>
            <wp:effectExtent l="0" t="0" r="0" b="0"/>
            <wp:docPr id="196643545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01200" cy="2520000"/>
                    </a:xfrm>
                    <a:prstGeom prst="rect">
                      <a:avLst/>
                    </a:prstGeom>
                    <a:noFill/>
                    <a:ln>
                      <a:noFill/>
                    </a:ln>
                  </pic:spPr>
                </pic:pic>
              </a:graphicData>
            </a:graphic>
          </wp:inline>
        </w:drawing>
      </w:r>
    </w:p>
    <w:p w14:paraId="5F989176" w14:textId="53ABB094" w:rsidR="00584E9E" w:rsidRDefault="00584E9E" w:rsidP="00A0259F">
      <w:pPr>
        <w:jc w:val="both"/>
        <w:rPr>
          <w:rFonts w:ascii="Calibri" w:hAnsi="Calibri" w:cs="Calibri"/>
          <w:b/>
          <w:bCs/>
          <w:sz w:val="18"/>
          <w:szCs w:val="18"/>
        </w:rPr>
      </w:pPr>
      <w:r w:rsidRPr="00A0259F">
        <w:rPr>
          <w:rFonts w:ascii="Calibri" w:hAnsi="Calibri" w:cs="Calibri" w:hint="eastAsia"/>
          <w:b/>
          <w:bCs/>
          <w:sz w:val="18"/>
          <w:szCs w:val="18"/>
        </w:rPr>
        <w:t xml:space="preserve">3, </w:t>
      </w:r>
      <w:r w:rsidR="00A0259F">
        <w:rPr>
          <w:rFonts w:ascii="Calibri" w:hAnsi="Calibri" w:cs="Calibri" w:hint="eastAsia"/>
          <w:b/>
          <w:bCs/>
          <w:sz w:val="18"/>
          <w:szCs w:val="18"/>
        </w:rPr>
        <w:t>P</w:t>
      </w:r>
      <w:r w:rsidRPr="00A0259F">
        <w:rPr>
          <w:rFonts w:ascii="Calibri" w:hAnsi="Calibri" w:cs="Calibri" w:hint="eastAsia"/>
          <w:b/>
          <w:bCs/>
          <w:sz w:val="18"/>
          <w:szCs w:val="18"/>
        </w:rPr>
        <w:t xml:space="preserve">roperty-related </w:t>
      </w:r>
      <w:r w:rsidR="00A0259F">
        <w:rPr>
          <w:rFonts w:ascii="Calibri" w:hAnsi="Calibri" w:cs="Calibri" w:hint="eastAsia"/>
          <w:b/>
          <w:bCs/>
          <w:sz w:val="18"/>
          <w:szCs w:val="18"/>
        </w:rPr>
        <w:t>C</w:t>
      </w:r>
      <w:r w:rsidRPr="00A0259F">
        <w:rPr>
          <w:rFonts w:ascii="Calibri" w:hAnsi="Calibri" w:cs="Calibri" w:hint="eastAsia"/>
          <w:b/>
          <w:bCs/>
          <w:sz w:val="18"/>
          <w:szCs w:val="18"/>
        </w:rPr>
        <w:t>rimes</w:t>
      </w:r>
    </w:p>
    <w:p w14:paraId="5F54A3B8" w14:textId="51DE906F" w:rsidR="003531B9" w:rsidRPr="00EE5AAE" w:rsidRDefault="00EE5AAE" w:rsidP="00734B18">
      <w:pPr>
        <w:rPr>
          <w:rFonts w:hint="eastAsia"/>
        </w:rPr>
      </w:pPr>
      <w:r w:rsidRPr="00EE5AAE">
        <w:rPr>
          <w:rFonts w:ascii="Calibri" w:hAnsi="Calibri" w:cs="Calibri"/>
          <w:sz w:val="18"/>
          <w:szCs w:val="18"/>
        </w:rPr>
        <w:t xml:space="preserve">Theft and burglary peaked in the early 1990s, </w:t>
      </w:r>
      <w:proofErr w:type="gramStart"/>
      <w:r w:rsidRPr="00EE5AAE">
        <w:rPr>
          <w:rFonts w:ascii="Calibri" w:hAnsi="Calibri" w:cs="Calibri"/>
          <w:sz w:val="18"/>
          <w:szCs w:val="18"/>
        </w:rPr>
        <w:t>similar to</w:t>
      </w:r>
      <w:proofErr w:type="gramEnd"/>
      <w:r w:rsidRPr="00EE5AAE">
        <w:rPr>
          <w:rFonts w:ascii="Calibri" w:hAnsi="Calibri" w:cs="Calibri"/>
          <w:sz w:val="18"/>
          <w:szCs w:val="18"/>
        </w:rPr>
        <w:t xml:space="preserve"> other crime categories. It is interesting to observe that convicted offences dramatically dropped during the two National governments but remained steady during the two </w:t>
      </w:r>
      <w:proofErr w:type="spellStart"/>
      <w:r w:rsidRPr="00EE5AAE">
        <w:rPr>
          <w:rFonts w:ascii="Calibri" w:hAnsi="Calibri" w:cs="Calibri"/>
          <w:sz w:val="18"/>
          <w:szCs w:val="18"/>
        </w:rPr>
        <w:t>Labour</w:t>
      </w:r>
      <w:proofErr w:type="spellEnd"/>
      <w:r w:rsidRPr="00EE5AAE">
        <w:rPr>
          <w:rFonts w:ascii="Calibri" w:hAnsi="Calibri" w:cs="Calibri"/>
          <w:sz w:val="18"/>
          <w:szCs w:val="18"/>
        </w:rPr>
        <w:t xml:space="preserve"> governments. However, there is a clear downward trend, with the 2019/2020 rate of 140.25 per 100,000 inhabitants being only 32.8% of its peak value in 1991/1992.</w:t>
      </w:r>
      <w:r w:rsidR="00B60B28" w:rsidRPr="00B60B28">
        <w:drawing>
          <wp:inline distT="0" distB="0" distL="0" distR="0" wp14:anchorId="5EA92F5A" wp14:editId="79B32E66">
            <wp:extent cx="4201200" cy="2520000"/>
            <wp:effectExtent l="0" t="0" r="0" b="0"/>
            <wp:docPr id="1225602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1200" cy="2520000"/>
                    </a:xfrm>
                    <a:prstGeom prst="rect">
                      <a:avLst/>
                    </a:prstGeom>
                    <a:noFill/>
                    <a:ln>
                      <a:noFill/>
                    </a:ln>
                  </pic:spPr>
                </pic:pic>
              </a:graphicData>
            </a:graphic>
          </wp:inline>
        </w:drawing>
      </w:r>
    </w:p>
    <w:sectPr w:rsidR="003531B9" w:rsidRPr="00EE5AAE" w:rsidSect="00834DA6">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782F0D" w14:textId="77777777" w:rsidR="00132F43" w:rsidRDefault="00132F43" w:rsidP="00433D92">
      <w:pPr>
        <w:spacing w:after="0" w:line="240" w:lineRule="auto"/>
      </w:pPr>
      <w:r>
        <w:separator/>
      </w:r>
    </w:p>
  </w:endnote>
  <w:endnote w:type="continuationSeparator" w:id="0">
    <w:p w14:paraId="1D41364B" w14:textId="77777777" w:rsidR="00132F43" w:rsidRDefault="00132F43" w:rsidP="00433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3B00EA" w14:textId="77777777" w:rsidR="00132F43" w:rsidRDefault="00132F43" w:rsidP="00433D92">
      <w:pPr>
        <w:spacing w:after="0" w:line="240" w:lineRule="auto"/>
      </w:pPr>
      <w:r>
        <w:separator/>
      </w:r>
    </w:p>
  </w:footnote>
  <w:footnote w:type="continuationSeparator" w:id="0">
    <w:p w14:paraId="4A116814" w14:textId="77777777" w:rsidR="00132F43" w:rsidRDefault="00132F43" w:rsidP="00433D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4F01A4"/>
    <w:multiLevelType w:val="hybridMultilevel"/>
    <w:tmpl w:val="F3DA9B9E"/>
    <w:lvl w:ilvl="0" w:tplc="8B3C234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70359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B18"/>
    <w:rsid w:val="00132F43"/>
    <w:rsid w:val="00264312"/>
    <w:rsid w:val="003531B9"/>
    <w:rsid w:val="00433D92"/>
    <w:rsid w:val="004629FA"/>
    <w:rsid w:val="00482F07"/>
    <w:rsid w:val="004C05B5"/>
    <w:rsid w:val="00584E9E"/>
    <w:rsid w:val="00695F6F"/>
    <w:rsid w:val="006E0B5A"/>
    <w:rsid w:val="007145AF"/>
    <w:rsid w:val="00734B18"/>
    <w:rsid w:val="00834DA6"/>
    <w:rsid w:val="00857842"/>
    <w:rsid w:val="00A0259F"/>
    <w:rsid w:val="00B60B28"/>
    <w:rsid w:val="00B941C4"/>
    <w:rsid w:val="00BF1D78"/>
    <w:rsid w:val="00D24F59"/>
    <w:rsid w:val="00D528C7"/>
    <w:rsid w:val="00EE5AAE"/>
    <w:rsid w:val="00F717B0"/>
    <w:rsid w:val="00FE19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673FD6"/>
  <w15:chartTrackingRefBased/>
  <w15:docId w15:val="{EE1E91E5-8A5A-4DA2-9DBE-55BA7CF6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734B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unhideWhenUsed/>
    <w:qFormat/>
    <w:rsid w:val="00734B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734B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734B18"/>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734B18"/>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734B18"/>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734B18"/>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734B18"/>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734B18"/>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B18"/>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rsid w:val="00734B1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734B18"/>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734B18"/>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734B18"/>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734B18"/>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734B18"/>
    <w:rPr>
      <w:rFonts w:cstheme="majorBidi"/>
      <w:b/>
      <w:bCs/>
      <w:color w:val="595959" w:themeColor="text1" w:themeTint="A6"/>
    </w:rPr>
  </w:style>
  <w:style w:type="character" w:customStyle="1" w:styleId="Heading8Char">
    <w:name w:val="Heading 8 Char"/>
    <w:basedOn w:val="DefaultParagraphFont"/>
    <w:link w:val="Heading8"/>
    <w:uiPriority w:val="9"/>
    <w:semiHidden/>
    <w:rsid w:val="00734B18"/>
    <w:rPr>
      <w:rFonts w:cstheme="majorBidi"/>
      <w:color w:val="595959" w:themeColor="text1" w:themeTint="A6"/>
    </w:rPr>
  </w:style>
  <w:style w:type="character" w:customStyle="1" w:styleId="Heading9Char">
    <w:name w:val="Heading 9 Char"/>
    <w:basedOn w:val="DefaultParagraphFont"/>
    <w:link w:val="Heading9"/>
    <w:uiPriority w:val="9"/>
    <w:semiHidden/>
    <w:rsid w:val="00734B18"/>
    <w:rPr>
      <w:rFonts w:eastAsiaTheme="majorEastAsia" w:cstheme="majorBidi"/>
      <w:color w:val="595959" w:themeColor="text1" w:themeTint="A6"/>
    </w:rPr>
  </w:style>
  <w:style w:type="paragraph" w:styleId="Title">
    <w:name w:val="Title"/>
    <w:basedOn w:val="Normal"/>
    <w:next w:val="Normal"/>
    <w:link w:val="TitleChar"/>
    <w:uiPriority w:val="10"/>
    <w:qFormat/>
    <w:rsid w:val="00734B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B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B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B18"/>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734B18"/>
    <w:pPr>
      <w:spacing w:before="160"/>
      <w:jc w:val="center"/>
    </w:pPr>
    <w:rPr>
      <w:i/>
      <w:iCs/>
      <w:color w:val="404040" w:themeColor="text1" w:themeTint="BF"/>
    </w:rPr>
  </w:style>
  <w:style w:type="character" w:customStyle="1" w:styleId="QuoteChar">
    <w:name w:val="Quote Char"/>
    <w:basedOn w:val="DefaultParagraphFont"/>
    <w:link w:val="Quote"/>
    <w:uiPriority w:val="29"/>
    <w:rsid w:val="00734B18"/>
    <w:rPr>
      <w:i/>
      <w:iCs/>
      <w:color w:val="404040" w:themeColor="text1" w:themeTint="BF"/>
    </w:rPr>
  </w:style>
  <w:style w:type="paragraph" w:styleId="ListParagraph">
    <w:name w:val="List Paragraph"/>
    <w:basedOn w:val="Normal"/>
    <w:uiPriority w:val="34"/>
    <w:qFormat/>
    <w:rsid w:val="00734B18"/>
    <w:pPr>
      <w:ind w:left="720"/>
      <w:contextualSpacing/>
    </w:pPr>
  </w:style>
  <w:style w:type="character" w:styleId="IntenseEmphasis">
    <w:name w:val="Intense Emphasis"/>
    <w:basedOn w:val="DefaultParagraphFont"/>
    <w:uiPriority w:val="21"/>
    <w:qFormat/>
    <w:rsid w:val="00734B18"/>
    <w:rPr>
      <w:i/>
      <w:iCs/>
      <w:color w:val="0F4761" w:themeColor="accent1" w:themeShade="BF"/>
    </w:rPr>
  </w:style>
  <w:style w:type="paragraph" w:styleId="IntenseQuote">
    <w:name w:val="Intense Quote"/>
    <w:basedOn w:val="Normal"/>
    <w:next w:val="Normal"/>
    <w:link w:val="IntenseQuoteChar"/>
    <w:uiPriority w:val="30"/>
    <w:qFormat/>
    <w:rsid w:val="00734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B18"/>
    <w:rPr>
      <w:i/>
      <w:iCs/>
      <w:color w:val="0F4761" w:themeColor="accent1" w:themeShade="BF"/>
    </w:rPr>
  </w:style>
  <w:style w:type="character" w:styleId="IntenseReference">
    <w:name w:val="Intense Reference"/>
    <w:basedOn w:val="DefaultParagraphFont"/>
    <w:uiPriority w:val="32"/>
    <w:qFormat/>
    <w:rsid w:val="00734B18"/>
    <w:rPr>
      <w:b/>
      <w:bCs/>
      <w:smallCaps/>
      <w:color w:val="0F4761" w:themeColor="accent1" w:themeShade="BF"/>
      <w:spacing w:val="5"/>
    </w:rPr>
  </w:style>
  <w:style w:type="table" w:styleId="TableGrid">
    <w:name w:val="Table Grid"/>
    <w:basedOn w:val="TableNormal"/>
    <w:uiPriority w:val="39"/>
    <w:rsid w:val="00D528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33D92"/>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433D92"/>
    <w:rPr>
      <w:sz w:val="18"/>
      <w:szCs w:val="18"/>
    </w:rPr>
  </w:style>
  <w:style w:type="paragraph" w:styleId="Footer">
    <w:name w:val="footer"/>
    <w:basedOn w:val="Normal"/>
    <w:link w:val="FooterChar"/>
    <w:uiPriority w:val="99"/>
    <w:unhideWhenUsed/>
    <w:rsid w:val="00433D9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433D92"/>
    <w:rPr>
      <w:sz w:val="18"/>
      <w:szCs w:val="18"/>
    </w:rPr>
  </w:style>
  <w:style w:type="paragraph" w:styleId="NormalWeb">
    <w:name w:val="Normal (Web)"/>
    <w:basedOn w:val="Normal"/>
    <w:uiPriority w:val="99"/>
    <w:semiHidden/>
    <w:unhideWhenUsed/>
    <w:rsid w:val="00834DA6"/>
    <w:rPr>
      <w:rFonts w:ascii="Times New Roman" w:hAnsi="Times New Roman" w:cs="Times New Roman"/>
      <w:sz w:val="24"/>
    </w:rPr>
  </w:style>
  <w:style w:type="paragraph" w:styleId="HTMLPreformatted">
    <w:name w:val="HTML Preformatted"/>
    <w:basedOn w:val="Normal"/>
    <w:link w:val="HTMLPreformattedChar"/>
    <w:uiPriority w:val="99"/>
    <w:semiHidden/>
    <w:unhideWhenUsed/>
    <w:rsid w:val="00EE5AAE"/>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E5AA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724269">
      <w:bodyDiv w:val="1"/>
      <w:marLeft w:val="0"/>
      <w:marRight w:val="0"/>
      <w:marTop w:val="0"/>
      <w:marBottom w:val="0"/>
      <w:divBdr>
        <w:top w:val="none" w:sz="0" w:space="0" w:color="auto"/>
        <w:left w:val="none" w:sz="0" w:space="0" w:color="auto"/>
        <w:bottom w:val="none" w:sz="0" w:space="0" w:color="auto"/>
        <w:right w:val="none" w:sz="0" w:space="0" w:color="auto"/>
      </w:divBdr>
    </w:div>
    <w:div w:id="245841665">
      <w:bodyDiv w:val="1"/>
      <w:marLeft w:val="0"/>
      <w:marRight w:val="0"/>
      <w:marTop w:val="0"/>
      <w:marBottom w:val="0"/>
      <w:divBdr>
        <w:top w:val="none" w:sz="0" w:space="0" w:color="auto"/>
        <w:left w:val="none" w:sz="0" w:space="0" w:color="auto"/>
        <w:bottom w:val="none" w:sz="0" w:space="0" w:color="auto"/>
        <w:right w:val="none" w:sz="0" w:space="0" w:color="auto"/>
      </w:divBdr>
    </w:div>
    <w:div w:id="304093538">
      <w:bodyDiv w:val="1"/>
      <w:marLeft w:val="0"/>
      <w:marRight w:val="0"/>
      <w:marTop w:val="0"/>
      <w:marBottom w:val="0"/>
      <w:divBdr>
        <w:top w:val="none" w:sz="0" w:space="0" w:color="auto"/>
        <w:left w:val="none" w:sz="0" w:space="0" w:color="auto"/>
        <w:bottom w:val="none" w:sz="0" w:space="0" w:color="auto"/>
        <w:right w:val="none" w:sz="0" w:space="0" w:color="auto"/>
      </w:divBdr>
    </w:div>
    <w:div w:id="380448658">
      <w:bodyDiv w:val="1"/>
      <w:marLeft w:val="0"/>
      <w:marRight w:val="0"/>
      <w:marTop w:val="0"/>
      <w:marBottom w:val="0"/>
      <w:divBdr>
        <w:top w:val="none" w:sz="0" w:space="0" w:color="auto"/>
        <w:left w:val="none" w:sz="0" w:space="0" w:color="auto"/>
        <w:bottom w:val="none" w:sz="0" w:space="0" w:color="auto"/>
        <w:right w:val="none" w:sz="0" w:space="0" w:color="auto"/>
      </w:divBdr>
    </w:div>
    <w:div w:id="426341594">
      <w:bodyDiv w:val="1"/>
      <w:marLeft w:val="0"/>
      <w:marRight w:val="0"/>
      <w:marTop w:val="0"/>
      <w:marBottom w:val="0"/>
      <w:divBdr>
        <w:top w:val="none" w:sz="0" w:space="0" w:color="auto"/>
        <w:left w:val="none" w:sz="0" w:space="0" w:color="auto"/>
        <w:bottom w:val="none" w:sz="0" w:space="0" w:color="auto"/>
        <w:right w:val="none" w:sz="0" w:space="0" w:color="auto"/>
      </w:divBdr>
    </w:div>
    <w:div w:id="432241859">
      <w:bodyDiv w:val="1"/>
      <w:marLeft w:val="0"/>
      <w:marRight w:val="0"/>
      <w:marTop w:val="0"/>
      <w:marBottom w:val="0"/>
      <w:divBdr>
        <w:top w:val="none" w:sz="0" w:space="0" w:color="auto"/>
        <w:left w:val="none" w:sz="0" w:space="0" w:color="auto"/>
        <w:bottom w:val="none" w:sz="0" w:space="0" w:color="auto"/>
        <w:right w:val="none" w:sz="0" w:space="0" w:color="auto"/>
      </w:divBdr>
    </w:div>
    <w:div w:id="471798359">
      <w:bodyDiv w:val="1"/>
      <w:marLeft w:val="0"/>
      <w:marRight w:val="0"/>
      <w:marTop w:val="0"/>
      <w:marBottom w:val="0"/>
      <w:divBdr>
        <w:top w:val="none" w:sz="0" w:space="0" w:color="auto"/>
        <w:left w:val="none" w:sz="0" w:space="0" w:color="auto"/>
        <w:bottom w:val="none" w:sz="0" w:space="0" w:color="auto"/>
        <w:right w:val="none" w:sz="0" w:space="0" w:color="auto"/>
      </w:divBdr>
    </w:div>
    <w:div w:id="559094638">
      <w:bodyDiv w:val="1"/>
      <w:marLeft w:val="0"/>
      <w:marRight w:val="0"/>
      <w:marTop w:val="0"/>
      <w:marBottom w:val="0"/>
      <w:divBdr>
        <w:top w:val="none" w:sz="0" w:space="0" w:color="auto"/>
        <w:left w:val="none" w:sz="0" w:space="0" w:color="auto"/>
        <w:bottom w:val="none" w:sz="0" w:space="0" w:color="auto"/>
        <w:right w:val="none" w:sz="0" w:space="0" w:color="auto"/>
      </w:divBdr>
    </w:div>
    <w:div w:id="585000666">
      <w:bodyDiv w:val="1"/>
      <w:marLeft w:val="0"/>
      <w:marRight w:val="0"/>
      <w:marTop w:val="0"/>
      <w:marBottom w:val="0"/>
      <w:divBdr>
        <w:top w:val="none" w:sz="0" w:space="0" w:color="auto"/>
        <w:left w:val="none" w:sz="0" w:space="0" w:color="auto"/>
        <w:bottom w:val="none" w:sz="0" w:space="0" w:color="auto"/>
        <w:right w:val="none" w:sz="0" w:space="0" w:color="auto"/>
      </w:divBdr>
    </w:div>
    <w:div w:id="655571548">
      <w:bodyDiv w:val="1"/>
      <w:marLeft w:val="0"/>
      <w:marRight w:val="0"/>
      <w:marTop w:val="0"/>
      <w:marBottom w:val="0"/>
      <w:divBdr>
        <w:top w:val="none" w:sz="0" w:space="0" w:color="auto"/>
        <w:left w:val="none" w:sz="0" w:space="0" w:color="auto"/>
        <w:bottom w:val="none" w:sz="0" w:space="0" w:color="auto"/>
        <w:right w:val="none" w:sz="0" w:space="0" w:color="auto"/>
      </w:divBdr>
    </w:div>
    <w:div w:id="688412263">
      <w:bodyDiv w:val="1"/>
      <w:marLeft w:val="0"/>
      <w:marRight w:val="0"/>
      <w:marTop w:val="0"/>
      <w:marBottom w:val="0"/>
      <w:divBdr>
        <w:top w:val="none" w:sz="0" w:space="0" w:color="auto"/>
        <w:left w:val="none" w:sz="0" w:space="0" w:color="auto"/>
        <w:bottom w:val="none" w:sz="0" w:space="0" w:color="auto"/>
        <w:right w:val="none" w:sz="0" w:space="0" w:color="auto"/>
      </w:divBdr>
    </w:div>
    <w:div w:id="738986498">
      <w:bodyDiv w:val="1"/>
      <w:marLeft w:val="0"/>
      <w:marRight w:val="0"/>
      <w:marTop w:val="0"/>
      <w:marBottom w:val="0"/>
      <w:divBdr>
        <w:top w:val="none" w:sz="0" w:space="0" w:color="auto"/>
        <w:left w:val="none" w:sz="0" w:space="0" w:color="auto"/>
        <w:bottom w:val="none" w:sz="0" w:space="0" w:color="auto"/>
        <w:right w:val="none" w:sz="0" w:space="0" w:color="auto"/>
      </w:divBdr>
    </w:div>
    <w:div w:id="936062058">
      <w:bodyDiv w:val="1"/>
      <w:marLeft w:val="0"/>
      <w:marRight w:val="0"/>
      <w:marTop w:val="0"/>
      <w:marBottom w:val="0"/>
      <w:divBdr>
        <w:top w:val="none" w:sz="0" w:space="0" w:color="auto"/>
        <w:left w:val="none" w:sz="0" w:space="0" w:color="auto"/>
        <w:bottom w:val="none" w:sz="0" w:space="0" w:color="auto"/>
        <w:right w:val="none" w:sz="0" w:space="0" w:color="auto"/>
      </w:divBdr>
    </w:div>
    <w:div w:id="966548937">
      <w:bodyDiv w:val="1"/>
      <w:marLeft w:val="0"/>
      <w:marRight w:val="0"/>
      <w:marTop w:val="0"/>
      <w:marBottom w:val="0"/>
      <w:divBdr>
        <w:top w:val="none" w:sz="0" w:space="0" w:color="auto"/>
        <w:left w:val="none" w:sz="0" w:space="0" w:color="auto"/>
        <w:bottom w:val="none" w:sz="0" w:space="0" w:color="auto"/>
        <w:right w:val="none" w:sz="0" w:space="0" w:color="auto"/>
      </w:divBdr>
    </w:div>
    <w:div w:id="1039863350">
      <w:bodyDiv w:val="1"/>
      <w:marLeft w:val="0"/>
      <w:marRight w:val="0"/>
      <w:marTop w:val="0"/>
      <w:marBottom w:val="0"/>
      <w:divBdr>
        <w:top w:val="none" w:sz="0" w:space="0" w:color="auto"/>
        <w:left w:val="none" w:sz="0" w:space="0" w:color="auto"/>
        <w:bottom w:val="none" w:sz="0" w:space="0" w:color="auto"/>
        <w:right w:val="none" w:sz="0" w:space="0" w:color="auto"/>
      </w:divBdr>
    </w:div>
    <w:div w:id="1058014796">
      <w:bodyDiv w:val="1"/>
      <w:marLeft w:val="0"/>
      <w:marRight w:val="0"/>
      <w:marTop w:val="0"/>
      <w:marBottom w:val="0"/>
      <w:divBdr>
        <w:top w:val="none" w:sz="0" w:space="0" w:color="auto"/>
        <w:left w:val="none" w:sz="0" w:space="0" w:color="auto"/>
        <w:bottom w:val="none" w:sz="0" w:space="0" w:color="auto"/>
        <w:right w:val="none" w:sz="0" w:space="0" w:color="auto"/>
      </w:divBdr>
    </w:div>
    <w:div w:id="1144926748">
      <w:bodyDiv w:val="1"/>
      <w:marLeft w:val="0"/>
      <w:marRight w:val="0"/>
      <w:marTop w:val="0"/>
      <w:marBottom w:val="0"/>
      <w:divBdr>
        <w:top w:val="none" w:sz="0" w:space="0" w:color="auto"/>
        <w:left w:val="none" w:sz="0" w:space="0" w:color="auto"/>
        <w:bottom w:val="none" w:sz="0" w:space="0" w:color="auto"/>
        <w:right w:val="none" w:sz="0" w:space="0" w:color="auto"/>
      </w:divBdr>
    </w:div>
    <w:div w:id="1152015945">
      <w:bodyDiv w:val="1"/>
      <w:marLeft w:val="0"/>
      <w:marRight w:val="0"/>
      <w:marTop w:val="0"/>
      <w:marBottom w:val="0"/>
      <w:divBdr>
        <w:top w:val="none" w:sz="0" w:space="0" w:color="auto"/>
        <w:left w:val="none" w:sz="0" w:space="0" w:color="auto"/>
        <w:bottom w:val="none" w:sz="0" w:space="0" w:color="auto"/>
        <w:right w:val="none" w:sz="0" w:space="0" w:color="auto"/>
      </w:divBdr>
    </w:div>
    <w:div w:id="1390373104">
      <w:bodyDiv w:val="1"/>
      <w:marLeft w:val="0"/>
      <w:marRight w:val="0"/>
      <w:marTop w:val="0"/>
      <w:marBottom w:val="0"/>
      <w:divBdr>
        <w:top w:val="none" w:sz="0" w:space="0" w:color="auto"/>
        <w:left w:val="none" w:sz="0" w:space="0" w:color="auto"/>
        <w:bottom w:val="none" w:sz="0" w:space="0" w:color="auto"/>
        <w:right w:val="none" w:sz="0" w:space="0" w:color="auto"/>
      </w:divBdr>
    </w:div>
    <w:div w:id="1564683466">
      <w:bodyDiv w:val="1"/>
      <w:marLeft w:val="0"/>
      <w:marRight w:val="0"/>
      <w:marTop w:val="0"/>
      <w:marBottom w:val="0"/>
      <w:divBdr>
        <w:top w:val="none" w:sz="0" w:space="0" w:color="auto"/>
        <w:left w:val="none" w:sz="0" w:space="0" w:color="auto"/>
        <w:bottom w:val="none" w:sz="0" w:space="0" w:color="auto"/>
        <w:right w:val="none" w:sz="0" w:space="0" w:color="auto"/>
      </w:divBdr>
    </w:div>
    <w:div w:id="1667131676">
      <w:bodyDiv w:val="1"/>
      <w:marLeft w:val="0"/>
      <w:marRight w:val="0"/>
      <w:marTop w:val="0"/>
      <w:marBottom w:val="0"/>
      <w:divBdr>
        <w:top w:val="none" w:sz="0" w:space="0" w:color="auto"/>
        <w:left w:val="none" w:sz="0" w:space="0" w:color="auto"/>
        <w:bottom w:val="none" w:sz="0" w:space="0" w:color="auto"/>
        <w:right w:val="none" w:sz="0" w:space="0" w:color="auto"/>
      </w:divBdr>
    </w:div>
    <w:div w:id="1701666542">
      <w:bodyDiv w:val="1"/>
      <w:marLeft w:val="0"/>
      <w:marRight w:val="0"/>
      <w:marTop w:val="0"/>
      <w:marBottom w:val="0"/>
      <w:divBdr>
        <w:top w:val="none" w:sz="0" w:space="0" w:color="auto"/>
        <w:left w:val="none" w:sz="0" w:space="0" w:color="auto"/>
        <w:bottom w:val="none" w:sz="0" w:space="0" w:color="auto"/>
        <w:right w:val="none" w:sz="0" w:space="0" w:color="auto"/>
      </w:divBdr>
    </w:div>
    <w:div w:id="1816214025">
      <w:bodyDiv w:val="1"/>
      <w:marLeft w:val="0"/>
      <w:marRight w:val="0"/>
      <w:marTop w:val="0"/>
      <w:marBottom w:val="0"/>
      <w:divBdr>
        <w:top w:val="none" w:sz="0" w:space="0" w:color="auto"/>
        <w:left w:val="none" w:sz="0" w:space="0" w:color="auto"/>
        <w:bottom w:val="none" w:sz="0" w:space="0" w:color="auto"/>
        <w:right w:val="none" w:sz="0" w:space="0" w:color="auto"/>
      </w:divBdr>
    </w:div>
    <w:div w:id="1820464222">
      <w:bodyDiv w:val="1"/>
      <w:marLeft w:val="0"/>
      <w:marRight w:val="0"/>
      <w:marTop w:val="0"/>
      <w:marBottom w:val="0"/>
      <w:divBdr>
        <w:top w:val="none" w:sz="0" w:space="0" w:color="auto"/>
        <w:left w:val="none" w:sz="0" w:space="0" w:color="auto"/>
        <w:bottom w:val="none" w:sz="0" w:space="0" w:color="auto"/>
        <w:right w:val="none" w:sz="0" w:space="0" w:color="auto"/>
      </w:divBdr>
    </w:div>
    <w:div w:id="1847674748">
      <w:bodyDiv w:val="1"/>
      <w:marLeft w:val="0"/>
      <w:marRight w:val="0"/>
      <w:marTop w:val="0"/>
      <w:marBottom w:val="0"/>
      <w:divBdr>
        <w:top w:val="none" w:sz="0" w:space="0" w:color="auto"/>
        <w:left w:val="none" w:sz="0" w:space="0" w:color="auto"/>
        <w:bottom w:val="none" w:sz="0" w:space="0" w:color="auto"/>
        <w:right w:val="none" w:sz="0" w:space="0" w:color="auto"/>
      </w:divBdr>
    </w:div>
    <w:div w:id="1926181066">
      <w:bodyDiv w:val="1"/>
      <w:marLeft w:val="0"/>
      <w:marRight w:val="0"/>
      <w:marTop w:val="0"/>
      <w:marBottom w:val="0"/>
      <w:divBdr>
        <w:top w:val="none" w:sz="0" w:space="0" w:color="auto"/>
        <w:left w:val="none" w:sz="0" w:space="0" w:color="auto"/>
        <w:bottom w:val="none" w:sz="0" w:space="0" w:color="auto"/>
        <w:right w:val="none" w:sz="0" w:space="0" w:color="auto"/>
      </w:divBdr>
    </w:div>
    <w:div w:id="1967614444">
      <w:bodyDiv w:val="1"/>
      <w:marLeft w:val="0"/>
      <w:marRight w:val="0"/>
      <w:marTop w:val="0"/>
      <w:marBottom w:val="0"/>
      <w:divBdr>
        <w:top w:val="none" w:sz="0" w:space="0" w:color="auto"/>
        <w:left w:val="none" w:sz="0" w:space="0" w:color="auto"/>
        <w:bottom w:val="none" w:sz="0" w:space="0" w:color="auto"/>
        <w:right w:val="none" w:sz="0" w:space="0" w:color="auto"/>
      </w:divBdr>
    </w:div>
    <w:div w:id="2088916437">
      <w:bodyDiv w:val="1"/>
      <w:marLeft w:val="0"/>
      <w:marRight w:val="0"/>
      <w:marTop w:val="0"/>
      <w:marBottom w:val="0"/>
      <w:divBdr>
        <w:top w:val="none" w:sz="0" w:space="0" w:color="auto"/>
        <w:left w:val="none" w:sz="0" w:space="0" w:color="auto"/>
        <w:bottom w:val="none" w:sz="0" w:space="0" w:color="auto"/>
        <w:right w:val="none" w:sz="0" w:space="0" w:color="auto"/>
      </w:divBdr>
    </w:div>
    <w:div w:id="2101559330">
      <w:bodyDiv w:val="1"/>
      <w:marLeft w:val="0"/>
      <w:marRight w:val="0"/>
      <w:marTop w:val="0"/>
      <w:marBottom w:val="0"/>
      <w:divBdr>
        <w:top w:val="none" w:sz="0" w:space="0" w:color="auto"/>
        <w:left w:val="none" w:sz="0" w:space="0" w:color="auto"/>
        <w:bottom w:val="none" w:sz="0" w:space="0" w:color="auto"/>
        <w:right w:val="none" w:sz="0" w:space="0" w:color="auto"/>
      </w:divBdr>
    </w:div>
    <w:div w:id="210691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74F4A-CA57-4597-A059-1C2C15599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Jason Zhihao</dc:creator>
  <cp:keywords/>
  <dc:description/>
  <cp:lastModifiedBy>Lu Jason Zhihao</cp:lastModifiedBy>
  <cp:revision>2</cp:revision>
  <dcterms:created xsi:type="dcterms:W3CDTF">2024-09-24T17:34:00Z</dcterms:created>
  <dcterms:modified xsi:type="dcterms:W3CDTF">2024-09-24T17:34:00Z</dcterms:modified>
</cp:coreProperties>
</file>