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74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4"/>
        </w:rPr>
        <w:t>【观点】民事案件案由选择工作指引</w:t>
      </w:r>
    </w:p>
    <w:p>
      <w:pPr>
        <w:pStyle w:val="BodyText"/>
        <w:ind w:left="90"/>
        <w:spacing w:before="271" w:line="221" w:lineRule="auto"/>
        <w:rPr/>
      </w:pPr>
      <w:r>
        <w:rPr>
          <w:color w:val="A09090"/>
          <w:spacing w:val="13"/>
        </w:rPr>
        <w:t>原创</w:t>
      </w:r>
      <w:r>
        <w:rPr>
          <w:color w:val="A09090"/>
          <w:spacing w:val="58"/>
        </w:rPr>
        <w:t xml:space="preserve"> </w:t>
      </w:r>
      <w:r>
        <w:rPr>
          <w:color w:val="A09090"/>
          <w:spacing w:val="13"/>
        </w:rPr>
        <w:t>田思远邬杉</w:t>
      </w:r>
      <w:r>
        <w:rPr>
          <w:color w:val="A09090"/>
          <w:spacing w:val="61"/>
        </w:rPr>
        <w:t xml:space="preserve"> </w:t>
      </w:r>
      <w:r>
        <w:rPr>
          <w:b/>
          <w:bCs/>
          <w:spacing w:val="13"/>
        </w:rPr>
        <w:t>博和汉商律师事务所</w:t>
      </w:r>
      <w:r>
        <w:rPr>
          <w:spacing w:val="45"/>
        </w:rPr>
        <w:t xml:space="preserve"> </w:t>
      </w:r>
      <w:r>
        <w:rPr>
          <w:color w:val="808090"/>
          <w:spacing w:val="13"/>
        </w:rPr>
        <w:t>2025年12月30日1</w:t>
      </w:r>
      <w:r>
        <w:rPr>
          <w:color w:val="808090"/>
          <w:spacing w:val="12"/>
        </w:rPr>
        <w:t>8:00</w:t>
      </w:r>
      <w:r>
        <w:rPr>
          <w:color w:val="808090"/>
          <w:spacing w:val="66"/>
        </w:rPr>
        <w:t xml:space="preserve"> </w:t>
      </w:r>
      <w:r>
        <w:rPr>
          <w:color w:val="808090"/>
          <w:spacing w:val="12"/>
        </w:rPr>
        <w:t>上海</w:t>
      </w:r>
      <w:r>
        <w:rPr>
          <w:color w:val="808090"/>
          <w:spacing w:val="12"/>
        </w:rPr>
        <w:t xml:space="preserve">    </w:t>
      </w:r>
      <w:r>
        <w:rPr>
          <w:spacing w:val="12"/>
        </w:rPr>
        <w:t>3</w:t>
      </w:r>
      <w:r>
        <w:rPr>
          <w:spacing w:val="-33"/>
        </w:rPr>
        <w:t xml:space="preserve"> </w:t>
      </w:r>
      <w:r>
        <w:rPr>
          <w:spacing w:val="12"/>
        </w:rPr>
        <w:t>人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030" w:right="2097" w:firstLine="9"/>
        <w:spacing w:before="80" w:line="206" w:lineRule="auto"/>
        <w:rPr>
          <w:rFonts w:ascii="LiSu" w:hAnsi="LiSu" w:eastAsia="LiSu" w:cs="LiSu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25410</wp:posOffset>
                </wp:positionH>
                <wp:positionV relativeFrom="paragraph">
                  <wp:posOffset>-335072</wp:posOffset>
                </wp:positionV>
                <wp:extent cx="5569584" cy="1054100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25410" y="-335072"/>
                          <a:ext cx="5569584" cy="1054100"/>
                        </a:xfrm>
                        <a:prstGeom prst="rect">
                          <a:avLst/>
                        </a:prstGeom>
                        <a:solidFill>
                          <a:srgbClr val="1E87B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2.00086pt;margin-top:-26.3837pt;mso-position-vertical-relative:text;mso-position-horizontal-relative:text;width:438.55pt;height:83pt;z-index:-251658240;" fillcolor="#1E87B4" filled="true" stroked="false"/>
            </w:pict>
          </mc:Fallback>
        </mc:AlternateContent>
      </w:r>
      <w:r>
        <w:pict>
          <v:shape id="_x0000_s4" style="position:absolute;margin-left:105.005pt;margin-top:1.07981pt;mso-position-vertical-relative:text;mso-position-horizontal-relative:text;width:71.3pt;height:34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98" w:lineRule="auto"/>
                    <w:rPr>
                      <w:rFonts w:ascii="Arial" w:hAnsi="Arial" w:eastAsia="Arial" w:cs="Arial"/>
                      <w:sz w:val="68"/>
                      <w:szCs w:val="68"/>
                    </w:rPr>
                  </w:pPr>
                  <w:r>
                    <w:rPr>
                      <w:rFonts w:ascii="Arial" w:hAnsi="Arial" w:eastAsia="Arial" w:cs="Arial"/>
                      <w:sz w:val="68"/>
                      <w:szCs w:val="68"/>
                      <w:b/>
                      <w:bCs/>
                      <w:color w:val="FFFFFF"/>
                      <w:spacing w:val="-17"/>
                    </w:rPr>
                    <w:t>BHS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B</w:t>
      </w:r>
      <w:r>
        <w:rPr>
          <w:rFonts w:ascii="Arial" w:hAnsi="Arial" w:eastAsia="Arial" w:cs="Arial"/>
          <w:sz w:val="28"/>
          <w:szCs w:val="28"/>
          <w:color w:val="FFFFFF"/>
          <w:spacing w:val="57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O</w:t>
      </w:r>
      <w:r>
        <w:rPr>
          <w:rFonts w:ascii="Arial" w:hAnsi="Arial" w:eastAsia="Arial" w:cs="Arial"/>
          <w:sz w:val="28"/>
          <w:szCs w:val="28"/>
          <w:color w:val="FFFFFF"/>
          <w:spacing w:val="62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HE</w:t>
      </w:r>
      <w:r>
        <w:rPr>
          <w:rFonts w:ascii="Arial" w:hAnsi="Arial" w:eastAsia="Arial" w:cs="Arial"/>
          <w:sz w:val="28"/>
          <w:szCs w:val="28"/>
          <w:color w:val="FFFFFF"/>
          <w:spacing w:val="52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&amp;HAN</w:t>
      </w:r>
      <w:r>
        <w:rPr>
          <w:rFonts w:ascii="Arial" w:hAnsi="Arial" w:eastAsia="Arial" w:cs="Arial"/>
          <w:sz w:val="28"/>
          <w:szCs w:val="28"/>
          <w:color w:val="FFFFFF"/>
          <w:spacing w:val="52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S</w:t>
      </w:r>
      <w:r>
        <w:rPr>
          <w:rFonts w:ascii="Arial" w:hAnsi="Arial" w:eastAsia="Arial" w:cs="Arial"/>
          <w:sz w:val="28"/>
          <w:szCs w:val="28"/>
          <w:color w:val="FFFFFF"/>
          <w:spacing w:val="62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10"/>
        </w:rPr>
        <w:t>EN</w:t>
      </w:r>
      <w:r>
        <w:rPr>
          <w:rFonts w:ascii="Arial" w:hAnsi="Arial" w:eastAsia="Arial" w:cs="Arial"/>
          <w:sz w:val="28"/>
          <w:szCs w:val="28"/>
          <w:color w:val="FFFFFF"/>
        </w:rPr>
        <w:t xml:space="preserve"> </w:t>
      </w:r>
      <w:r>
        <w:rPr>
          <w:rFonts w:ascii="LiSu" w:hAnsi="LiSu" w:eastAsia="LiSu" w:cs="LiSu"/>
          <w:sz w:val="28"/>
          <w:szCs w:val="28"/>
          <w:color w:val="FFFFFF"/>
          <w:spacing w:val="20"/>
        </w:rPr>
        <w:t>博和汉商律师事务所</w:t>
      </w:r>
    </w:p>
    <w:p>
      <w:pPr>
        <w:spacing w:before="80"/>
        <w:rPr/>
      </w:pPr>
      <w:r/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88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"/>
        <w:gridCol w:w="8600"/>
        <w:gridCol w:w="115"/>
      </w:tblGrid>
      <w:tr>
        <w:trPr>
          <w:trHeight w:val="3199" w:hRule="atLeast"/>
        </w:trPr>
        <w:tc>
          <w:tcPr>
            <w:tcW w:w="135" w:type="dxa"/>
            <w:vAlign w:val="top"/>
            <w:tcBorders>
              <w:right w:val="single" w:color="0000FF" w:sz="4" w:space="0"/>
              <w:bottom w:val="single" w:color="0000FF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00" w:type="dxa"/>
            <w:vAlign w:val="top"/>
            <w:tcBorders>
              <w:left w:val="single" w:color="0000FF" w:sz="4" w:space="0"/>
              <w:right w:val="single" w:color="0000FF" w:sz="4" w:space="0"/>
              <w:bottom w:val="single" w:color="0000FF" w:sz="8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rightMargin">
                    <wp:posOffset>-5543550</wp:posOffset>
                  </wp:positionH>
                  <wp:positionV relativeFrom="topMargin">
                    <wp:posOffset>50793</wp:posOffset>
                  </wp:positionV>
                  <wp:extent cx="5607097" cy="12617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07097" cy="1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50" w:right="275"/>
              <w:spacing w:before="62" w:line="350" w:lineRule="auto"/>
              <w:rPr/>
            </w:pPr>
            <w:r>
              <w:rPr>
                <w:spacing w:val="4"/>
              </w:rPr>
              <w:t>民事案件案由的选择是民事案件的重要组成部分，更是</w:t>
            </w:r>
            <w:r>
              <w:rPr>
                <w:spacing w:val="3"/>
              </w:rPr>
              <w:t>律师办理民商事案件的基本功之一。(1)</w:t>
            </w:r>
            <w:r>
              <w:rPr/>
              <w:t xml:space="preserve"> </w:t>
            </w:r>
            <w:r>
              <w:rPr>
                <w:spacing w:val="12"/>
              </w:rPr>
              <w:t>就主观责任而言：当事人在立案时根据诉讼请求涉及</w:t>
            </w:r>
            <w:r>
              <w:rPr>
                <w:spacing w:val="11"/>
              </w:rPr>
              <w:t>的法律关系性质，自主选择确定案由。</w:t>
            </w:r>
          </w:p>
          <w:p>
            <w:pPr>
              <w:pStyle w:val="TableText"/>
              <w:ind w:left="250" w:right="264" w:firstLine="100"/>
              <w:spacing w:line="353" w:lineRule="auto"/>
              <w:rPr/>
            </w:pPr>
            <w:r>
              <w:rPr>
                <w:spacing w:val="11"/>
              </w:rPr>
              <w:t>(2)就客观责任而言：案由反映了案涉法律纠纷的性质，选择适当的案由将影响管辖法院、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审理庭室、案件审理方向乃至案件审理结果(例如：可选择合同纠纷时而选择不当得利纠纷，</w:t>
            </w:r>
            <w:r>
              <w:rPr/>
              <w:t xml:space="preserve"> </w:t>
            </w:r>
            <w:r>
              <w:rPr>
                <w:spacing w:val="4"/>
              </w:rPr>
              <w:t>就可能面临不利后果)。由此，选择适当的案由是办理民商事案件的必须面对的问题。为厘清案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由选择的思路，帮助律师更好阅读、使用最高人民法院民事案件案由理解与适用相关丛</w:t>
            </w:r>
            <w:r>
              <w:rPr>
                <w:spacing w:val="6"/>
              </w:rPr>
              <w:t>书，制</w:t>
            </w:r>
            <w:r>
              <w:rPr/>
              <w:t xml:space="preserve"> </w:t>
            </w:r>
            <w:r>
              <w:rPr>
                <w:spacing w:val="2"/>
              </w:rPr>
              <w:t>定本指引。</w:t>
            </w:r>
          </w:p>
        </w:tc>
        <w:tc>
          <w:tcPr>
            <w:tcW w:w="115" w:type="dxa"/>
            <w:vAlign w:val="top"/>
            <w:tcBorders>
              <w:left w:val="single" w:color="0000FF" w:sz="4" w:space="0"/>
              <w:bottom w:val="single" w:color="0000FF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" w:hRule="atLeast"/>
        </w:trPr>
        <w:tc>
          <w:tcPr>
            <w:tcW w:w="135" w:type="dxa"/>
            <w:vAlign w:val="top"/>
            <w:tcBorders>
              <w:right w:val="single" w:color="0000FF" w:sz="4" w:space="0"/>
              <w:top w:val="single" w:color="0000FF" w:sz="8" w:space="0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tcW w:w="8600" w:type="dxa"/>
            <w:vAlign w:val="top"/>
            <w:tcBorders>
              <w:left w:val="single" w:color="0000FF" w:sz="4" w:space="0"/>
              <w:right w:val="single" w:color="0000FF" w:sz="4" w:space="0"/>
              <w:top w:val="single" w:color="0000FF" w:sz="8" w:space="0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tcW w:w="115" w:type="dxa"/>
            <w:vAlign w:val="top"/>
            <w:tcBorders>
              <w:left w:val="single" w:color="0000FF" w:sz="4" w:space="0"/>
              <w:top w:val="single" w:color="0000FF" w:sz="8" w:space="0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970"/>
        <w:spacing w:before="61" w:line="222" w:lineRule="auto"/>
        <w:rPr/>
      </w:pPr>
      <w:r>
        <w:rPr>
          <w:spacing w:val="-11"/>
        </w:rPr>
        <w:t>一</w:t>
      </w:r>
      <w:r>
        <w:rPr>
          <w:spacing w:val="-44"/>
        </w:rPr>
        <w:t xml:space="preserve"> </w:t>
      </w:r>
      <w:r>
        <w:rPr>
          <w:spacing w:val="-11"/>
        </w:rPr>
        <w:t>、总</w:t>
      </w:r>
      <w:r>
        <w:rPr>
          <w:spacing w:val="-28"/>
        </w:rPr>
        <w:t xml:space="preserve"> </w:t>
      </w:r>
      <w:r>
        <w:rPr>
          <w:spacing w:val="-11"/>
        </w:rPr>
        <w:t>则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62" w:line="222" w:lineRule="auto"/>
        <w:rPr/>
      </w:pPr>
      <w:r>
        <w:rPr>
          <w:spacing w:val="-2"/>
        </w:rPr>
        <w:t>(</w:t>
      </w:r>
      <w:r>
        <w:rPr>
          <w:spacing w:val="-45"/>
        </w:rPr>
        <w:t xml:space="preserve"> </w:t>
      </w:r>
      <w:r>
        <w:rPr>
          <w:spacing w:val="-2"/>
        </w:rPr>
        <w:t>一</w:t>
      </w:r>
      <w:r>
        <w:rPr>
          <w:spacing w:val="-52"/>
        </w:rPr>
        <w:t xml:space="preserve"> </w:t>
      </w:r>
      <w:r>
        <w:rPr>
          <w:spacing w:val="-2"/>
        </w:rPr>
        <w:t>)</w:t>
      </w:r>
      <w:r>
        <w:rPr>
          <w:spacing w:val="24"/>
        </w:rPr>
        <w:t xml:space="preserve">   </w:t>
      </w:r>
      <w:r>
        <w:rPr>
          <w:b/>
          <w:bCs/>
          <w:color w:val="208090"/>
          <w:spacing w:val="-2"/>
        </w:rPr>
        <w:t>制作依据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0" w:right="34"/>
        <w:spacing w:before="62" w:line="351" w:lineRule="auto"/>
        <w:rPr/>
      </w:pPr>
      <w:r>
        <w:rPr>
          <w:spacing w:val="1"/>
        </w:rPr>
        <w:t>根据《民事案件案由规定》(以下简称：《案由规定》)、最高人民法院印发《关于修改〈民事案件</w:t>
      </w:r>
      <w:r>
        <w:rPr/>
        <w:t>案由规</w:t>
      </w:r>
      <w:r>
        <w:rPr/>
        <w:t xml:space="preserve"> </w:t>
      </w:r>
      <w:r>
        <w:rPr>
          <w:spacing w:val="19"/>
        </w:rPr>
        <w:t>定〉的决定》的通知(法〔2025〕226号)</w:t>
      </w:r>
      <w:r>
        <w:rPr>
          <w:spacing w:val="18"/>
        </w:rPr>
        <w:t>(2026-01-01实施)制作本指引。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62" w:line="223" w:lineRule="auto"/>
        <w:rPr/>
      </w:pPr>
      <w:r>
        <w:rPr>
          <w:spacing w:val="13"/>
        </w:rPr>
        <w:t>(二)</w:t>
      </w:r>
      <w:r>
        <w:rPr>
          <w:spacing w:val="20"/>
        </w:rPr>
        <w:t xml:space="preserve">   </w:t>
      </w:r>
      <w:r>
        <w:rPr>
          <w:b/>
          <w:bCs/>
          <w:color w:val="208090"/>
          <w:spacing w:val="13"/>
        </w:rPr>
        <w:t>案由体系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63" w:line="221" w:lineRule="auto"/>
        <w:rPr/>
      </w:pPr>
      <w:r>
        <w:rPr>
          <w:spacing w:val="4"/>
        </w:rPr>
        <w:t>根据《案由规定》,民事案件的案由从纵向和横向两个维度进行编排设置。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70"/>
        <w:spacing w:before="62" w:line="223" w:lineRule="auto"/>
        <w:rPr/>
      </w:pPr>
      <w:r>
        <w:rPr>
          <w:spacing w:val="-1"/>
        </w:rPr>
        <w:t>纵向体系：</w:t>
      </w:r>
    </w:p>
    <w:p>
      <w:pPr>
        <w:spacing w:line="37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114349</wp:posOffset>
            </wp:positionH>
            <wp:positionV relativeFrom="paragraph">
              <wp:posOffset>96379</wp:posOffset>
            </wp:positionV>
            <wp:extent cx="6352" cy="176526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76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90" w:right="259"/>
        <w:spacing w:before="63" w:line="357" w:lineRule="auto"/>
        <w:rPr/>
      </w:pPr>
      <w:r>
        <w:rPr>
          <w:spacing w:val="14"/>
        </w:rPr>
        <w:t>根据民事权利的实体性规定(实体法)、民诉法规定的特殊法律程序(程序法)为依据设置，共</w:t>
      </w:r>
      <w:r>
        <w:rPr>
          <w:spacing w:val="11"/>
        </w:rPr>
        <w:t xml:space="preserve"> </w:t>
      </w:r>
      <w:r>
        <w:rPr>
          <w:spacing w:val="2"/>
        </w:rPr>
        <w:t>计12部分。其中，</w:t>
      </w:r>
    </w:p>
    <w:p>
      <w:pPr>
        <w:pStyle w:val="BodyText"/>
        <w:ind w:left="6080"/>
        <w:spacing w:before="280" w:line="209" w:lineRule="auto"/>
        <w:rPr>
          <w:rFonts w:ascii="SimSun" w:hAnsi="SimSun" w:eastAsia="SimSun" w:cs="SimSun"/>
        </w:rPr>
      </w:pPr>
      <w:r>
        <w:rPr>
          <w:spacing w:val="-2"/>
        </w:rPr>
        <w:t>案由规定理解与适用</w:t>
      </w:r>
      <w:r>
        <w:rPr>
          <w:rFonts w:ascii="SimSun" w:hAnsi="SimSun" w:eastAsia="SimSun" w:cs="SimSun"/>
          <w:spacing w:val="-2"/>
        </w:rPr>
        <w:t>pdf</w:t>
      </w:r>
    </w:p>
    <w:p>
      <w:pPr>
        <w:pStyle w:val="BodyText"/>
        <w:ind w:left="390"/>
        <w:spacing w:before="1" w:line="212" w:lineRule="auto"/>
        <w:rPr/>
      </w:pPr>
      <w:r>
        <w:rPr>
          <w:spacing w:val="12"/>
        </w:rPr>
        <w:t>实体法案由包括：(1)人格权纠纷；(2)婚姻家庭、继承纠纷</w:t>
      </w:r>
      <w:r>
        <w:rPr>
          <w:spacing w:val="2"/>
        </w:rPr>
        <w:t xml:space="preserve">                         </w:t>
      </w:r>
      <w:r>
        <w:rPr>
          <w:spacing w:val="12"/>
        </w:rPr>
        <w:t>、</w:t>
      </w:r>
      <w:r>
        <w:rPr>
          <w:spacing w:val="12"/>
        </w:rPr>
        <w:t xml:space="preserve"> </w:t>
      </w:r>
      <w:r>
        <w:rPr>
          <w:spacing w:val="12"/>
        </w:rPr>
        <w:t>准</w:t>
      </w:r>
    </w:p>
    <w:p>
      <w:pPr>
        <w:pStyle w:val="BodyText"/>
        <w:ind w:left="390"/>
        <w:spacing w:before="1" w:line="213" w:lineRule="auto"/>
        <w:rPr/>
      </w:pPr>
      <w:r>
        <w:rPr>
          <w:spacing w:val="16"/>
        </w:rPr>
        <w:t>合同纠纷；(5)知识产权与竞争纠纷；(6)数据、网络虚拟财产纠纷</w:t>
      </w:r>
      <w:r>
        <w:rPr>
          <w:spacing w:val="15"/>
        </w:rPr>
        <w:t>；(7)劳动争议、人事争</w:t>
      </w:r>
    </w:p>
    <w:p>
      <w:pPr>
        <w:spacing w:line="213" w:lineRule="auto"/>
        <w:sectPr>
          <w:headerReference w:type="default" r:id="rId1"/>
          <w:pgSz w:w="11910" w:h="16840"/>
          <w:pgMar w:top="400" w:right="1549" w:bottom="0" w:left="1509" w:header="0" w:footer="0" w:gutter="0"/>
        </w:sectPr>
        <w:rPr/>
      </w:pPr>
    </w:p>
    <w:p>
      <w:pPr>
        <w:pStyle w:val="BodyText"/>
        <w:ind w:left="360" w:right="219"/>
        <w:spacing w:before="238" w:line="347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88938</wp:posOffset>
            </wp:positionH>
            <wp:positionV relativeFrom="paragraph">
              <wp:posOffset>88915</wp:posOffset>
            </wp:positionV>
            <wp:extent cx="6352" cy="304794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304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</w:rPr>
        <w:t>议、新就业形态用工纠纷；(8)海事海商纠纷；(9)与公司、证券、保险、票据等有关的民事</w:t>
      </w:r>
      <w:r>
        <w:rPr>
          <w:spacing w:val="7"/>
        </w:rPr>
        <w:t xml:space="preserve"> </w:t>
      </w:r>
      <w:r>
        <w:rPr>
          <w:spacing w:val="11"/>
        </w:rPr>
        <w:t>纠纷；(10)侵权责任纠纷。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60"/>
        <w:spacing w:before="62" w:line="213" w:lineRule="auto"/>
        <w:rPr/>
      </w:pPr>
      <w:r>
        <w:rPr>
          <w:spacing w:val="9"/>
        </w:rPr>
        <w:t>程序法案由包括：(11)非讼程序案件案由；(12)特殊诉讼程序案件案由。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62" w:line="222" w:lineRule="auto"/>
        <w:rPr/>
      </w:pPr>
      <w:r>
        <w:rPr>
          <w:b/>
          <w:bCs/>
          <w:spacing w:val="-9"/>
        </w:rPr>
        <w:t>横向体系：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60"/>
        <w:spacing w:before="61" w:line="213" w:lineRule="auto"/>
        <w:rPr/>
      </w:pPr>
      <w:r>
        <w:rPr>
          <w:spacing w:val="4"/>
        </w:rPr>
        <w:t>根据由概括到具体的规则设置，分4级。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360" w:right="223"/>
        <w:spacing w:before="62" w:line="352" w:lineRule="auto"/>
        <w:jc w:val="both"/>
        <w:rPr/>
      </w:pPr>
      <w:r>
        <w:rPr>
          <w:spacing w:val="15"/>
        </w:rPr>
        <w:t>例如：物权纠纷(一级案由)</w:t>
      </w:r>
      <w:r>
        <w:rPr>
          <w:spacing w:val="-65"/>
        </w:rPr>
        <w:t xml:space="preserve"> </w:t>
      </w:r>
      <w:r>
        <w:rPr>
          <w:spacing w:val="15"/>
        </w:rPr>
        <w:t>→</w:t>
      </w:r>
      <w:r>
        <w:rPr>
          <w:spacing w:val="-68"/>
        </w:rPr>
        <w:t xml:space="preserve"> </w:t>
      </w:r>
      <w:r>
        <w:rPr>
          <w:spacing w:val="15"/>
        </w:rPr>
        <w:t>所有权纠纷(二级案由)</w:t>
      </w:r>
      <w:r>
        <w:rPr>
          <w:spacing w:val="-65"/>
        </w:rPr>
        <w:t xml:space="preserve"> </w:t>
      </w:r>
      <w:r>
        <w:rPr>
          <w:spacing w:val="15"/>
        </w:rPr>
        <w:t>→</w:t>
      </w:r>
      <w:r>
        <w:rPr>
          <w:spacing w:val="-69"/>
        </w:rPr>
        <w:t xml:space="preserve"> </w:t>
      </w:r>
      <w:r>
        <w:rPr>
          <w:spacing w:val="15"/>
        </w:rPr>
        <w:t>建筑物区分所有</w:t>
      </w:r>
      <w:r>
        <w:rPr>
          <w:spacing w:val="14"/>
        </w:rPr>
        <w:t>权纠纷(三级案由)</w:t>
      </w:r>
      <w:r>
        <w:rPr/>
        <w:t xml:space="preserve"> </w:t>
      </w:r>
      <w:r>
        <w:rPr>
          <w:spacing w:val="8"/>
        </w:rPr>
        <w:t>→业主专有权纠纷(四级案由)。共计：</w:t>
      </w:r>
      <w:r>
        <w:rPr>
          <w:spacing w:val="57"/>
        </w:rPr>
        <w:t xml:space="preserve"> </w:t>
      </w:r>
      <w:r>
        <w:rPr>
          <w:spacing w:val="8"/>
        </w:rPr>
        <w:t>一级案由12个，二级案由59个，三级案由514个，四级</w:t>
      </w:r>
      <w:r>
        <w:rPr/>
        <w:t xml:space="preserve"> </w:t>
      </w:r>
      <w:r>
        <w:rPr>
          <w:spacing w:val="9"/>
        </w:rPr>
        <w:t>案由470个。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62" w:line="221" w:lineRule="auto"/>
        <w:rPr/>
      </w:pPr>
      <w:r>
        <w:rPr>
          <w:spacing w:val="11"/>
        </w:rPr>
        <w:t>(三)</w:t>
      </w:r>
      <w:r>
        <w:rPr>
          <w:spacing w:val="21"/>
        </w:rPr>
        <w:t xml:space="preserve">   </w:t>
      </w:r>
      <w:r>
        <w:rPr>
          <w:b/>
          <w:bCs/>
          <w:color w:val="208090"/>
          <w:spacing w:val="11"/>
        </w:rPr>
        <w:t>定位方法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62" w:line="372" w:lineRule="auto"/>
        <w:rPr/>
      </w:pPr>
      <w:r>
        <w:rPr>
          <w:spacing w:val="12"/>
        </w:rPr>
        <w:t>在确定具体案由时，应当先确定纵向体系上的位置，再确定横向体</w:t>
      </w:r>
      <w:r>
        <w:rPr>
          <w:spacing w:val="11"/>
        </w:rPr>
        <w:t>系上的位置(先纵后横),最终确定</w:t>
      </w:r>
      <w:r>
        <w:rPr/>
        <w:t xml:space="preserve"> </w:t>
      </w:r>
      <w:r>
        <w:rPr>
          <w:spacing w:val="3"/>
        </w:rPr>
        <w:t>具体案由。</w:t>
      </w: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headerReference w:type="default" r:id="rId4"/>
          <w:pgSz w:w="11910" w:h="16840"/>
          <w:pgMar w:top="400" w:right="1579" w:bottom="0" w:left="1539" w:header="0" w:footer="0" w:gutter="0"/>
          <w:cols w:equalWidth="0" w:num="1">
            <w:col w:w="8791" w:space="0"/>
          </w:cols>
        </w:sectPr>
        <w:rPr/>
      </w:pPr>
    </w:p>
    <w:p>
      <w:pPr>
        <w:pStyle w:val="BodyText"/>
        <w:ind w:left="3739"/>
        <w:spacing w:before="41" w:line="222" w:lineRule="auto"/>
        <w:rPr/>
      </w:pPr>
      <w:r>
        <w:rPr>
          <w:spacing w:val="7"/>
        </w:rPr>
        <w:t>二</w:t>
      </w:r>
      <w:r>
        <w:rPr>
          <w:spacing w:val="-29"/>
        </w:rPr>
        <w:t xml:space="preserve"> </w:t>
      </w:r>
      <w:r>
        <w:rPr>
          <w:spacing w:val="7"/>
        </w:rPr>
        <w:t>、纵向定位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2" w:line="221" w:lineRule="auto"/>
        <w:rPr/>
      </w:pPr>
      <w:r>
        <w:rPr>
          <w:spacing w:val="9"/>
        </w:rPr>
        <w:t>(</w:t>
      </w:r>
      <w:r>
        <w:rPr>
          <w:spacing w:val="-45"/>
        </w:rPr>
        <w:t xml:space="preserve"> </w:t>
      </w:r>
      <w:r>
        <w:rPr>
          <w:spacing w:val="9"/>
        </w:rPr>
        <w:t>一</w:t>
      </w:r>
      <w:r>
        <w:rPr>
          <w:spacing w:val="-51"/>
        </w:rPr>
        <w:t xml:space="preserve"> </w:t>
      </w:r>
      <w:r>
        <w:rPr>
          <w:spacing w:val="9"/>
        </w:rPr>
        <w:t>)</w:t>
      </w:r>
      <w:r>
        <w:rPr>
          <w:spacing w:val="4"/>
        </w:rPr>
        <w:t xml:space="preserve">   </w:t>
      </w:r>
      <w:r>
        <w:rPr>
          <w:b/>
          <w:bCs/>
          <w:color w:val="208090"/>
          <w:spacing w:val="9"/>
        </w:rPr>
        <w:t>纵向定位的方法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62" w:line="213" w:lineRule="auto"/>
        <w:rPr/>
      </w:pPr>
      <w:r>
        <w:rPr>
          <w:spacing w:val="3"/>
        </w:rPr>
        <w:t>纵向体系上，应按以下顺序确定案由：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1230"/>
        <w:spacing w:before="62" w:line="222" w:lineRule="auto"/>
        <w:rPr/>
      </w:pPr>
      <w:r>
        <w:rPr>
          <w:spacing w:val="5"/>
        </w:rPr>
        <w:t>非讼程序案件案由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230"/>
        <w:spacing w:before="62" w:line="220" w:lineRule="auto"/>
        <w:rPr/>
      </w:pPr>
      <w:r>
        <w:rPr>
          <w:spacing w:val="4"/>
        </w:rPr>
        <w:t>特殊诉讼程序案件案由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230"/>
        <w:spacing w:before="63" w:line="213" w:lineRule="auto"/>
        <w:rPr/>
      </w:pPr>
      <w:r>
        <w:rPr>
          <w:spacing w:val="3"/>
        </w:rPr>
        <w:t>特殊法律关系纠纷，即包括：</w:t>
      </w:r>
    </w:p>
    <w:p>
      <w:pPr>
        <w:pStyle w:val="BodyText"/>
        <w:ind w:left="1339"/>
        <w:spacing w:before="291" w:line="213" w:lineRule="auto"/>
        <w:rPr/>
      </w:pPr>
      <w:r>
        <w:rPr>
          <w:spacing w:val="8"/>
        </w:rPr>
        <w:t>(1)婚姻家庭、继承纠纷；</w:t>
      </w:r>
    </w:p>
    <w:p>
      <w:pPr>
        <w:pStyle w:val="BodyText"/>
        <w:ind w:left="1339"/>
        <w:spacing w:before="300" w:line="213" w:lineRule="auto"/>
        <w:rPr/>
      </w:pPr>
      <w:r>
        <w:rPr>
          <w:spacing w:val="11"/>
        </w:rPr>
        <w:t>(2)知识产权与竞争纠纷；</w:t>
      </w:r>
    </w:p>
    <w:p>
      <w:pPr>
        <w:pStyle w:val="BodyText"/>
        <w:ind w:left="1339"/>
        <w:spacing w:before="301" w:line="213" w:lineRule="auto"/>
        <w:rPr/>
      </w:pPr>
      <w:r>
        <w:rPr>
          <w:spacing w:val="10"/>
        </w:rPr>
        <w:t>(3)数据、网络虚拟财产纠纷；</w:t>
      </w:r>
    </w:p>
    <w:p>
      <w:pPr>
        <w:pStyle w:val="BodyText"/>
        <w:ind w:left="1339"/>
        <w:spacing w:before="301" w:line="213" w:lineRule="auto"/>
        <w:rPr/>
      </w:pPr>
      <w:r>
        <w:rPr>
          <w:spacing w:val="8"/>
        </w:rPr>
        <w:t>(4)劳动争议、人事争议、新就业形态用工纠纷；</w:t>
      </w:r>
    </w:p>
    <w:p>
      <w:pPr>
        <w:pStyle w:val="BodyText"/>
        <w:ind w:left="1339"/>
        <w:spacing w:before="301" w:line="213" w:lineRule="auto"/>
        <w:rPr/>
      </w:pPr>
      <w:r>
        <w:rPr>
          <w:spacing w:val="12"/>
        </w:rPr>
        <w:t>(5)海事海商纠纷；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39" w:right="306"/>
        <w:spacing w:before="62" w:line="346" w:lineRule="auto"/>
        <w:rPr/>
      </w:pPr>
      <w:r>
        <w:rPr>
          <w:spacing w:val="9"/>
        </w:rPr>
        <w:t>(6)与公司、证券、保险、票据等有关的民事纠纷</w:t>
      </w:r>
      <w:r>
        <w:rPr>
          <w:spacing w:val="3"/>
        </w:rPr>
        <w:t xml:space="preserve"> </w:t>
      </w:r>
      <w:r>
        <w:rPr>
          <w:spacing w:val="26"/>
        </w:rPr>
        <w:t>(注：上述(1)到(6)不区分先后)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62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3"/>
        </w:rPr>
        <w:t>案由规定理解与适用</w:t>
      </w:r>
      <w:r>
        <w:rPr>
          <w:rFonts w:ascii="Times New Roman" w:hAnsi="Times New Roman" w:eastAsia="Times New Roman" w:cs="Times New Roman"/>
          <w:b/>
          <w:bCs/>
          <w:spacing w:val="-3"/>
        </w:rPr>
        <w:t>pdf</w:t>
      </w:r>
    </w:p>
    <w:p>
      <w:pPr>
        <w:spacing w:line="212" w:lineRule="auto"/>
        <w:sectPr>
          <w:type w:val="continuous"/>
          <w:pgSz w:w="11910" w:h="16840"/>
          <w:pgMar w:top="400" w:right="1579" w:bottom="0" w:left="1539" w:header="0" w:footer="0" w:gutter="0"/>
          <w:cols w:equalWidth="0" w:num="2">
            <w:col w:w="5943" w:space="100"/>
            <w:col w:w="2748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2" w:line="221" w:lineRule="auto"/>
        <w:rPr/>
      </w:pPr>
      <w:r>
        <w:rPr>
          <w:spacing w:val="12"/>
        </w:rPr>
        <w:t>合同纠纷(二级案由及以下)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2" w:line="221" w:lineRule="auto"/>
        <w:rPr/>
      </w:pPr>
      <w:r>
        <w:rPr>
          <w:spacing w:val="13"/>
        </w:rPr>
        <w:t>无因管理纠纷(二级案由)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1" w:line="222" w:lineRule="auto"/>
        <w:rPr/>
      </w:pPr>
      <w:r>
        <w:rPr>
          <w:spacing w:val="-2"/>
        </w:rPr>
        <w:t>物权纠纷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1" w:line="221" w:lineRule="auto"/>
        <w:rPr/>
      </w:pPr>
      <w:r>
        <w:rPr>
          <w:spacing w:val="13"/>
        </w:rPr>
        <w:t>不当得利纠纷(二级案由)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2" w:line="221" w:lineRule="auto"/>
        <w:rPr/>
      </w:pPr>
      <w:r>
        <w:rPr>
          <w:spacing w:val="9"/>
        </w:rPr>
        <w:t>特殊侵权责任纠纷(侵权责任纠纷项下三级、四级案由)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2" w:line="222" w:lineRule="auto"/>
        <w:rPr/>
      </w:pPr>
      <w:r>
        <w:rPr>
          <w:spacing w:val="3"/>
        </w:rPr>
        <w:t>人格权纠纷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62" w:line="221" w:lineRule="auto"/>
        <w:rPr/>
      </w:pPr>
      <w:r>
        <w:rPr>
          <w:spacing w:val="9"/>
        </w:rPr>
        <w:t>一般侵权责任纠纷(侵权责任纠纷项下一级、二级案由)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62" w:line="222" w:lineRule="auto"/>
        <w:rPr/>
      </w:pPr>
      <w:r>
        <w:rPr>
          <w:spacing w:val="11"/>
        </w:rPr>
        <w:t>(二)</w:t>
      </w:r>
      <w:r>
        <w:rPr>
          <w:spacing w:val="26"/>
        </w:rPr>
        <w:t xml:space="preserve">   </w:t>
      </w:r>
      <w:r>
        <w:rPr>
          <w:b/>
          <w:bCs/>
          <w:color w:val="208090"/>
          <w:spacing w:val="11"/>
        </w:rPr>
        <w:t>纵向定位的理由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62" w:line="358" w:lineRule="auto"/>
        <w:jc w:val="both"/>
        <w:rPr/>
      </w:pPr>
      <w:r>
        <w:rPr>
          <w:spacing w:val="8"/>
        </w:rPr>
        <w:t>纵向体系按上述顺序检查的原因在于：避免检索某一特定案</w:t>
      </w:r>
      <w:r>
        <w:rPr>
          <w:spacing w:val="7"/>
        </w:rPr>
        <w:t>由时，受到前提问题的影响(例如：张三占</w:t>
      </w:r>
      <w:r>
        <w:rPr/>
        <w:t xml:space="preserve"> </w:t>
      </w:r>
      <w:r>
        <w:rPr>
          <w:spacing w:val="5"/>
        </w:rPr>
        <w:t>有李四的房屋，李四若主张返还，首先应考虑双方是否具有租赁或买卖合同关系，</w:t>
      </w:r>
      <w:r>
        <w:rPr>
          <w:spacing w:val="4"/>
        </w:rPr>
        <w:t>其次考虑是否可主张</w:t>
      </w:r>
      <w:r>
        <w:rPr/>
        <w:t xml:space="preserve"> </w:t>
      </w:r>
      <w:r>
        <w:rPr>
          <w:spacing w:val="4"/>
        </w:rPr>
        <w:t>物权编中的排除妨害，最后再考虑不当得利)。以此确保思考法律问题的完整性。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22"/>
        <w:spacing w:before="62" w:line="348" w:lineRule="auto"/>
        <w:jc w:val="both"/>
        <w:rPr/>
      </w:pPr>
      <w:r>
        <w:rPr>
          <w:spacing w:val="5"/>
        </w:rPr>
        <w:t>需说明的是：纵向定位时应该穿透双方形式上的文件，实质性考虑双方真实纠纷关系。比如：甲欠付乙</w:t>
      </w:r>
      <w:r>
        <w:rPr/>
        <w:t xml:space="preserve"> </w:t>
      </w:r>
      <w:r>
        <w:rPr>
          <w:spacing w:val="5"/>
        </w:rPr>
        <w:t>工资若干，甲写借条为“我欠付乙方工资若干，为我对乙的借款，三月内还清”。该种</w:t>
      </w:r>
      <w:r>
        <w:rPr>
          <w:spacing w:val="4"/>
        </w:rPr>
        <w:t>情形下，名义上</w:t>
      </w:r>
      <w:r>
        <w:rPr/>
        <w:t xml:space="preserve"> </w:t>
      </w:r>
      <w:r>
        <w:rPr>
          <w:spacing w:val="4"/>
        </w:rPr>
        <w:t>属于合同纠纷项下的借款合同纠纷，但实质是劳动合同纠纷。因根据劳动合同纠纷确定相关案由。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63" w:line="222" w:lineRule="auto"/>
        <w:rPr/>
      </w:pPr>
      <w:r>
        <w:rPr>
          <w:spacing w:val="2"/>
        </w:rPr>
        <w:t>纵向定位的理由如下：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62" w:line="222" w:lineRule="auto"/>
        <w:rPr/>
      </w:pPr>
      <w:r>
        <w:rPr>
          <w:b/>
          <w:bCs/>
          <w:spacing w:val="1"/>
        </w:rPr>
        <w:t>非讼程序案件案由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95291</wp:posOffset>
            </wp:positionH>
            <wp:positionV relativeFrom="paragraph">
              <wp:posOffset>99791</wp:posOffset>
            </wp:positionV>
            <wp:extent cx="6352" cy="267965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67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0" w:right="222"/>
        <w:spacing w:before="62" w:line="288" w:lineRule="auto"/>
        <w:rPr/>
      </w:pPr>
      <w:r>
        <w:rPr>
          <w:rFonts w:ascii="SimSun" w:hAnsi="SimSun" w:eastAsia="SimSun" w:cs="SimSun"/>
          <w:spacing w:val="14"/>
        </w:rPr>
        <w:t>1.</w:t>
      </w:r>
      <w:r>
        <w:rPr>
          <w:spacing w:val="14"/>
        </w:rPr>
        <w:t>非讼程序案件是通过提起申请(申请人与被申请人),而不是提起诉讼的方式解决(没有原、</w:t>
      </w:r>
      <w:r>
        <w:rPr>
          <w:spacing w:val="2"/>
        </w:rPr>
        <w:t xml:space="preserve"> </w:t>
      </w:r>
      <w:r>
        <w:rPr>
          <w:spacing w:val="2"/>
        </w:rPr>
        <w:t>被告)。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370" w:right="223"/>
        <w:spacing w:before="62" w:line="287" w:lineRule="auto"/>
        <w:rPr/>
      </w:pPr>
      <w:r>
        <w:rPr>
          <w:spacing w:val="5"/>
        </w:rPr>
        <w:t>2.非讼程序案件不适用《民诉法》简易程序或普通程序，而是适用《民诉法》或特别法规定的专</w:t>
      </w:r>
      <w:r>
        <w:rPr>
          <w:spacing w:val="7"/>
        </w:rPr>
        <w:t xml:space="preserve"> </w:t>
      </w:r>
      <w:r>
        <w:rPr>
          <w:spacing w:val="7"/>
        </w:rPr>
        <w:t>门程序(例如：申请人身安全保护令案由适用的是《反家庭暴力法》第四章的规定)。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2" w:line="220" w:lineRule="auto"/>
        <w:rPr/>
      </w:pPr>
      <w:r>
        <w:rPr>
          <w:spacing w:val="16"/>
        </w:rPr>
        <w:t>3.非讼程序案件均不得上诉(其中部分可以申请复议),与普通诉讼案件(实体法案由)的二审</w:t>
      </w:r>
    </w:p>
    <w:p>
      <w:pPr>
        <w:pStyle w:val="BodyText"/>
        <w:ind w:left="370"/>
        <w:spacing w:before="80" w:line="236" w:lineRule="auto"/>
        <w:rPr>
          <w:rFonts w:ascii="SimSun" w:hAnsi="SimSun" w:eastAsia="SimSun" w:cs="SimSun"/>
        </w:rPr>
      </w:pPr>
      <w:r>
        <w:rPr>
          <w:spacing w:val="-1"/>
          <w:position w:val="-2"/>
        </w:rPr>
        <w:t>终审制有显著差别。</w:t>
      </w:r>
      <w:r>
        <w:rPr>
          <w:spacing w:val="2"/>
          <w:position w:val="-2"/>
        </w:rPr>
        <w:t xml:space="preserve">                                       </w:t>
      </w:r>
      <w:r>
        <w:rPr>
          <w:spacing w:val="1"/>
          <w:position w:val="-2"/>
        </w:rPr>
        <w:t xml:space="preserve">  </w:t>
      </w:r>
      <w:r>
        <w:rPr>
          <w:spacing w:val="-1"/>
          <w:position w:val="1"/>
        </w:rPr>
        <w:t>案由规定理解与适用</w:t>
      </w:r>
      <w:r>
        <w:rPr>
          <w:rFonts w:ascii="SimSun" w:hAnsi="SimSun" w:eastAsia="SimSun" w:cs="SimSun"/>
          <w:spacing w:val="-1"/>
          <w:position w:val="1"/>
        </w:rPr>
        <w:t>pdf</w:t>
      </w:r>
    </w:p>
    <w:p>
      <w:pPr>
        <w:spacing w:line="236" w:lineRule="auto"/>
        <w:sectPr>
          <w:pgSz w:w="11910" w:h="16840"/>
          <w:pgMar w:top="400" w:right="1582" w:bottom="0" w:left="152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219" w:right="33"/>
        <w:spacing w:before="237" w:line="429" w:lineRule="auto"/>
        <w:rPr/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1066815</wp:posOffset>
            </wp:positionH>
            <wp:positionV relativeFrom="page">
              <wp:posOffset>349246</wp:posOffset>
            </wp:positionV>
            <wp:extent cx="6352" cy="971548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971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auto"/>
          <w:spacing w:val="1"/>
        </w:rPr>
        <w:t>由此，“非讼程序案件案由”与“特殊诉讼程序案件案由”、其他实体法案由相</w:t>
      </w:r>
      <w:r>
        <w:rPr>
          <w:u w:val="single" w:color="auto"/>
        </w:rPr>
        <w:t>比，最为特殊。故</w:t>
      </w:r>
      <w:r>
        <w:rPr/>
        <w:t xml:space="preserve"> </w:t>
      </w:r>
      <w:r>
        <w:rPr>
          <w:u w:val="single" w:color="auto"/>
        </w:rPr>
        <w:t>最先考虑。</w:t>
      </w:r>
      <w:r>
        <w:rPr>
          <w:u w:val="single" w:color="auto"/>
        </w:rPr>
        <w:t xml:space="preserve"> 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22"/>
        <w:spacing w:before="62" w:line="220" w:lineRule="auto"/>
        <w:rPr/>
      </w:pPr>
      <w:r>
        <w:rPr>
          <w:b/>
          <w:bCs/>
          <w:spacing w:val="2"/>
        </w:rPr>
        <w:t>特殊诉讼程序案件案由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19" w:right="26"/>
        <w:spacing w:before="62" w:line="369" w:lineRule="auto"/>
        <w:rPr/>
      </w:pPr>
      <w:r>
        <w:rPr>
          <w:rFonts w:ascii="SimSun" w:hAnsi="SimSun" w:eastAsia="SimSun" w:cs="SimSun"/>
          <w:spacing w:val="5"/>
        </w:rPr>
        <w:t>1.</w:t>
      </w:r>
      <w:r>
        <w:rPr>
          <w:spacing w:val="5"/>
        </w:rPr>
        <w:t>特殊诉讼程序与非讼程序案件相比，有原、被告，且适用二审终审制度，特殊性显然不及“非</w:t>
      </w:r>
      <w:r>
        <w:rPr>
          <w:spacing w:val="17"/>
        </w:rPr>
        <w:t xml:space="preserve"> </w:t>
      </w:r>
      <w:r>
        <w:rPr>
          <w:spacing w:val="3"/>
        </w:rPr>
        <w:t>讼程序”,故劣后于非讼程序予以考虑。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62" w:line="350" w:lineRule="auto"/>
        <w:rPr/>
      </w:pPr>
      <w:r>
        <w:rPr>
          <w:spacing w:val="7"/>
        </w:rPr>
        <w:t>需特别指出的是：[第十一部分特殊诉讼程序]中的[五十一、与宣告失踪、宣告死亡案件有关的</w:t>
      </w:r>
      <w:r>
        <w:rPr>
          <w:spacing w:val="12"/>
        </w:rPr>
        <w:t xml:space="preserve"> </w:t>
      </w:r>
      <w:r>
        <w:rPr>
          <w:spacing w:val="7"/>
        </w:rPr>
        <w:t>纠纷]与[第十部分非讼程序]中的[三十三、宣告失踪、宣告死亡案件]并不相同。(1)[与宣告失</w:t>
      </w:r>
      <w:r>
        <w:rPr>
          <w:spacing w:val="2"/>
        </w:rPr>
        <w:t xml:space="preserve"> </w:t>
      </w:r>
      <w:r>
        <w:rPr>
          <w:spacing w:val="5"/>
        </w:rPr>
        <w:t>踪、宣告死亡案件有关的纠纷]相比2011版《民事案件案由》,是从[宣告失踪、宣告死亡案件]中</w:t>
      </w:r>
      <w:r>
        <w:rPr>
          <w:spacing w:val="12"/>
        </w:rPr>
        <w:t xml:space="preserve"> </w:t>
      </w:r>
      <w:r>
        <w:rPr>
          <w:spacing w:val="8"/>
        </w:rPr>
        <w:t>独立出来的，可见两种纠纷具有密切关系。(2)正因为[与宣告失踪、宣告死亡案件有关的纠纷]</w:t>
      </w:r>
      <w:r>
        <w:rPr>
          <w:spacing w:val="1"/>
        </w:rPr>
        <w:t xml:space="preserve"> </w:t>
      </w:r>
      <w:r>
        <w:rPr>
          <w:spacing w:val="12"/>
        </w:rPr>
        <w:t>不是按照特别程序审理，而是按照民事诉讼普通程序审理，故纳入[特殊诉讼程序]的部分(载</w:t>
      </w:r>
      <w:r>
        <w:rPr>
          <w:spacing w:val="8"/>
        </w:rPr>
        <w:t xml:space="preserve"> </w:t>
      </w:r>
      <w:r>
        <w:rPr>
          <w:spacing w:val="-7"/>
        </w:rPr>
        <w:t>于</w:t>
      </w:r>
      <w:r>
        <w:rPr>
          <w:spacing w:val="-20"/>
        </w:rPr>
        <w:t xml:space="preserve"> </w:t>
      </w:r>
      <w:r>
        <w:rPr>
          <w:spacing w:val="-7"/>
        </w:rPr>
        <w:t>：</w:t>
      </w:r>
      <w:r>
        <w:rPr>
          <w:spacing w:val="-35"/>
        </w:rPr>
        <w:t xml:space="preserve"> </w:t>
      </w:r>
      <w:r>
        <w:rPr>
          <w:spacing w:val="-7"/>
        </w:rPr>
        <w:t>《</w:t>
      </w:r>
      <w:r>
        <w:rPr>
          <w:spacing w:val="-7"/>
        </w:rPr>
        <w:t xml:space="preserve"> </w:t>
      </w:r>
      <w:r>
        <w:rPr>
          <w:spacing w:val="-7"/>
        </w:rPr>
        <w:t>最</w:t>
      </w:r>
      <w:r>
        <w:rPr>
          <w:spacing w:val="-22"/>
        </w:rPr>
        <w:t xml:space="preserve"> </w:t>
      </w:r>
      <w:r>
        <w:rPr>
          <w:spacing w:val="-7"/>
        </w:rPr>
        <w:t>高</w:t>
      </w:r>
      <w:r>
        <w:rPr>
          <w:spacing w:val="-25"/>
        </w:rPr>
        <w:t xml:space="preserve"> </w:t>
      </w:r>
      <w:r>
        <w:rPr>
          <w:spacing w:val="-7"/>
        </w:rPr>
        <w:t>人</w:t>
      </w:r>
      <w:r>
        <w:rPr>
          <w:spacing w:val="-7"/>
        </w:rPr>
        <w:t xml:space="preserve"> </w:t>
      </w:r>
      <w:r>
        <w:rPr>
          <w:spacing w:val="-7"/>
        </w:rPr>
        <w:t>民</w:t>
      </w:r>
      <w:r>
        <w:rPr>
          <w:spacing w:val="-26"/>
        </w:rPr>
        <w:t xml:space="preserve"> </w:t>
      </w:r>
      <w:r>
        <w:rPr>
          <w:spacing w:val="-7"/>
        </w:rPr>
        <w:t>法</w:t>
      </w:r>
      <w:r>
        <w:rPr>
          <w:spacing w:val="-7"/>
        </w:rPr>
        <w:t xml:space="preserve"> </w:t>
      </w:r>
      <w:r>
        <w:rPr>
          <w:spacing w:val="-7"/>
        </w:rPr>
        <w:t>院</w:t>
      </w:r>
      <w:r>
        <w:rPr>
          <w:spacing w:val="-28"/>
        </w:rPr>
        <w:t xml:space="preserve"> </w:t>
      </w:r>
      <w:r>
        <w:rPr>
          <w:spacing w:val="-7"/>
        </w:rPr>
        <w:t>新</w:t>
      </w:r>
      <w:r>
        <w:rPr>
          <w:spacing w:val="-16"/>
        </w:rPr>
        <w:t xml:space="preserve"> </w:t>
      </w:r>
      <w:r>
        <w:rPr>
          <w:spacing w:val="-7"/>
        </w:rPr>
        <w:t>民</w:t>
      </w:r>
      <w:r>
        <w:rPr>
          <w:spacing w:val="-23"/>
        </w:rPr>
        <w:t xml:space="preserve"> </w:t>
      </w:r>
      <w:r>
        <w:rPr>
          <w:spacing w:val="-7"/>
        </w:rPr>
        <w:t>事</w:t>
      </w:r>
      <w:r>
        <w:rPr>
          <w:spacing w:val="-25"/>
        </w:rPr>
        <w:t xml:space="preserve"> </w:t>
      </w:r>
      <w:r>
        <w:rPr>
          <w:spacing w:val="-7"/>
        </w:rPr>
        <w:t>案</w:t>
      </w:r>
      <w:r>
        <w:rPr>
          <w:spacing w:val="-29"/>
        </w:rPr>
        <w:t xml:space="preserve"> </w:t>
      </w:r>
      <w:r>
        <w:rPr>
          <w:spacing w:val="-7"/>
        </w:rPr>
        <w:t>件</w:t>
      </w:r>
      <w:r>
        <w:rPr>
          <w:spacing w:val="-25"/>
        </w:rPr>
        <w:t xml:space="preserve"> </w:t>
      </w:r>
      <w:r>
        <w:rPr>
          <w:spacing w:val="-7"/>
        </w:rPr>
        <w:t>案</w:t>
      </w:r>
      <w:r>
        <w:rPr>
          <w:spacing w:val="-14"/>
        </w:rPr>
        <w:t xml:space="preserve"> </w:t>
      </w:r>
      <w:r>
        <w:rPr>
          <w:spacing w:val="-7"/>
        </w:rPr>
        <w:t>由</w:t>
      </w:r>
      <w:r>
        <w:rPr>
          <w:spacing w:val="-29"/>
        </w:rPr>
        <w:t xml:space="preserve"> </w:t>
      </w:r>
      <w:r>
        <w:rPr>
          <w:spacing w:val="-7"/>
        </w:rPr>
        <w:t>规</w:t>
      </w:r>
      <w:r>
        <w:rPr>
          <w:spacing w:val="-30"/>
        </w:rPr>
        <w:t xml:space="preserve"> </w:t>
      </w:r>
      <w:r>
        <w:rPr>
          <w:spacing w:val="-7"/>
        </w:rPr>
        <w:t>定</w:t>
      </w:r>
      <w:r>
        <w:rPr>
          <w:spacing w:val="-28"/>
        </w:rPr>
        <w:t xml:space="preserve"> </w:t>
      </w:r>
      <w:r>
        <w:rPr>
          <w:spacing w:val="-7"/>
        </w:rPr>
        <w:t>理</w:t>
      </w:r>
      <w:r>
        <w:rPr>
          <w:spacing w:val="-29"/>
        </w:rPr>
        <w:t xml:space="preserve"> </w:t>
      </w:r>
      <w:r>
        <w:rPr>
          <w:spacing w:val="-7"/>
        </w:rPr>
        <w:t>解</w:t>
      </w:r>
      <w:r>
        <w:rPr>
          <w:spacing w:val="-20"/>
        </w:rPr>
        <w:t xml:space="preserve"> </w:t>
      </w:r>
      <w:r>
        <w:rPr>
          <w:spacing w:val="-7"/>
        </w:rPr>
        <w:t>与</w:t>
      </w:r>
      <w:r>
        <w:rPr>
          <w:spacing w:val="-25"/>
        </w:rPr>
        <w:t xml:space="preserve"> </w:t>
      </w:r>
      <w:r>
        <w:rPr>
          <w:spacing w:val="-7"/>
        </w:rPr>
        <w:t>适</w:t>
      </w:r>
      <w:r>
        <w:rPr>
          <w:spacing w:val="-25"/>
        </w:rPr>
        <w:t xml:space="preserve"> </w:t>
      </w:r>
      <w:r>
        <w:rPr>
          <w:spacing w:val="-7"/>
        </w:rPr>
        <w:t>用</w:t>
      </w:r>
      <w:r>
        <w:rPr>
          <w:spacing w:val="-7"/>
        </w:rPr>
        <w:t xml:space="preserve"> </w:t>
      </w:r>
      <w:r>
        <w:rPr>
          <w:spacing w:val="-7"/>
        </w:rPr>
        <w:t>(</w:t>
      </w:r>
      <w:r>
        <w:rPr>
          <w:spacing w:val="-22"/>
        </w:rPr>
        <w:t xml:space="preserve"> </w:t>
      </w:r>
      <w:r>
        <w:rPr>
          <w:spacing w:val="-7"/>
        </w:rPr>
        <w:t>下</w:t>
      </w:r>
      <w:r>
        <w:rPr>
          <w:spacing w:val="-27"/>
        </w:rPr>
        <w:t xml:space="preserve"> </w:t>
      </w:r>
      <w:r>
        <w:rPr>
          <w:spacing w:val="-7"/>
        </w:rPr>
        <w:t>册</w:t>
      </w:r>
      <w:r>
        <w:rPr>
          <w:spacing w:val="-31"/>
        </w:rPr>
        <w:t xml:space="preserve"> </w:t>
      </w:r>
      <w:r>
        <w:rPr>
          <w:spacing w:val="-7"/>
        </w:rPr>
        <w:t>)</w:t>
      </w:r>
      <w:r>
        <w:rPr>
          <w:spacing w:val="-22"/>
        </w:rPr>
        <w:t xml:space="preserve"> </w:t>
      </w:r>
      <w:r>
        <w:rPr>
          <w:spacing w:val="-7"/>
        </w:rPr>
        <w:t>》</w:t>
      </w:r>
      <w:r>
        <w:rPr>
          <w:rFonts w:ascii="SimSun" w:hAnsi="SimSun" w:eastAsia="SimSun" w:cs="SimSun"/>
          <w:spacing w:val="-7"/>
        </w:rPr>
        <w:t>P1234    ISBN:</w:t>
      </w:r>
      <w:r>
        <w:rPr>
          <w:rFonts w:ascii="SimSun" w:hAnsi="SimSun" w:eastAsia="SimSun" w:cs="SimSun"/>
        </w:rPr>
        <w:t xml:space="preserve">  </w:t>
      </w:r>
      <w:r>
        <w:rPr>
          <w:spacing w:val="7"/>
        </w:rPr>
        <w:t>9787510933073)。由此也可体现：[非讼程序案件]优先于[特殊诉讼程序]予以考虑的精神。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19" w:right="11"/>
        <w:spacing w:before="62" w:line="351" w:lineRule="auto"/>
        <w:jc w:val="both"/>
        <w:rPr/>
      </w:pPr>
      <w:r>
        <w:rPr>
          <w:spacing w:val="6"/>
        </w:rPr>
        <w:t>2.相较实体法案由，特殊诉讼程序案件案由</w:t>
      </w:r>
      <w:r>
        <w:rPr>
          <w:spacing w:val="5"/>
        </w:rPr>
        <w:t>均是依据《民诉法》规定的特殊诉讼制度进行命名和</w:t>
      </w:r>
      <w:r>
        <w:rPr/>
        <w:t xml:space="preserve"> </w:t>
      </w:r>
      <w:r>
        <w:rPr>
          <w:spacing w:val="6"/>
        </w:rPr>
        <w:t>归类，不需要考虑实体法律关系的性质。只要查看诉讼程序中特殊原告、被告、前</w:t>
      </w:r>
      <w:r>
        <w:rPr>
          <w:spacing w:val="5"/>
        </w:rPr>
        <w:t>置程序即可识</w:t>
      </w:r>
      <w:r>
        <w:rPr/>
        <w:t xml:space="preserve"> </w:t>
      </w:r>
      <w:r>
        <w:rPr>
          <w:spacing w:val="7"/>
        </w:rPr>
        <w:t>别。例如：(1)[与宣告失踪、宣告死亡案件有关的纠纷]中要么原告为被撤销死亡宣告的人，要</w:t>
      </w:r>
      <w:r>
        <w:rPr>
          <w:spacing w:val="13"/>
        </w:rPr>
        <w:t xml:space="preserve"> </w:t>
      </w:r>
      <w:r>
        <w:rPr>
          <w:spacing w:val="9"/>
        </w:rPr>
        <w:t>么被告是失踪人；(2)[公益诉讼]中，原告必然有关机关、组织；(3)[第三人撤销之诉]中必然</w:t>
      </w:r>
      <w:r>
        <w:rPr>
          <w:spacing w:val="2"/>
        </w:rPr>
        <w:t xml:space="preserve"> </w:t>
      </w:r>
      <w:r>
        <w:rPr>
          <w:spacing w:val="10"/>
        </w:rPr>
        <w:t>有已经发生法律效力的裁判文书；(4)[执行程序</w:t>
      </w:r>
      <w:r>
        <w:rPr>
          <w:spacing w:val="9"/>
        </w:rPr>
        <w:t>中的异议之诉]中必然有执行裁定(针对执行异</w:t>
      </w:r>
      <w:r>
        <w:rPr/>
        <w:t xml:space="preserve"> </w:t>
      </w:r>
      <w:r>
        <w:rPr>
          <w:spacing w:val="10"/>
        </w:rPr>
        <w:t>议之诉.追加、变更被执行人异议之诉)、执行分配方案(针对执行</w:t>
      </w:r>
      <w:r>
        <w:rPr>
          <w:spacing w:val="9"/>
        </w:rPr>
        <w:t>异议之诉)。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19" w:right="31"/>
        <w:spacing w:before="62" w:line="398" w:lineRule="auto"/>
        <w:rPr/>
      </w:pPr>
      <w:r>
        <w:rPr>
          <w:u w:val="single" w:color="auto"/>
          <w:spacing w:val="-3"/>
        </w:rPr>
        <w:t>由此，“特殊诉讼程序案件案由”劣后于“非讼程序</w:t>
      </w:r>
      <w:r>
        <w:rPr>
          <w:u w:val="single" w:color="auto"/>
          <w:spacing w:val="-4"/>
        </w:rPr>
        <w:t>案件案由”予以考虑，但优先于其他“实体法案</w:t>
      </w:r>
      <w:r>
        <w:rPr/>
        <w:t xml:space="preserve"> </w:t>
      </w:r>
      <w:r>
        <w:rPr>
          <w:u w:val="single" w:color="auto"/>
          <w:spacing w:val="-3"/>
        </w:rPr>
        <w:t>由”予以考虑。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222"/>
        <w:spacing w:before="62" w:line="222" w:lineRule="auto"/>
        <w:rPr/>
      </w:pPr>
      <w:r>
        <w:rPr>
          <w:b/>
          <w:bCs/>
          <w:spacing w:val="1"/>
        </w:rPr>
        <w:t>特殊法律关系纠纷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219" w:right="28"/>
        <w:spacing w:before="63" w:line="349" w:lineRule="auto"/>
        <w:rPr/>
      </w:pPr>
      <w:r>
        <w:rPr>
          <w:rFonts w:ascii="SimSun" w:hAnsi="SimSun" w:eastAsia="SimSun" w:cs="SimSun"/>
        </w:rPr>
        <w:t>1.</w:t>
      </w:r>
      <w:r>
        <w:rPr/>
        <w:t>根据“从特殊到一般”的基本原则，故优先考虑特殊法律关系的纠纷：①婚姻家庭、继承纠纷；</w:t>
      </w:r>
      <w:r>
        <w:rPr>
          <w:spacing w:val="14"/>
        </w:rPr>
        <w:t xml:space="preserve"> </w:t>
      </w:r>
      <w:r>
        <w:rPr>
          <w:spacing w:val="5"/>
        </w:rPr>
        <w:t>②知识产权与竞争纠纷；③数据、网络虚拟财产纠纷；④劳动争议、人事争议、新就业形态用工</w:t>
      </w:r>
      <w:r>
        <w:rPr>
          <w:spacing w:val="16"/>
        </w:rPr>
        <w:t xml:space="preserve"> </w:t>
      </w:r>
      <w:r>
        <w:rPr>
          <w:spacing w:val="8"/>
        </w:rPr>
        <w:t>纠纷；⑤海事海商纠纷；⑥与公司、证券、保险、票据等有关的民事纠</w:t>
      </w:r>
      <w:r>
        <w:rPr>
          <w:spacing w:val="7"/>
        </w:rPr>
        <w:t>纷(注：上述①到⑥不区</w:t>
      </w:r>
      <w:r>
        <w:rPr/>
        <w:t xml:space="preserve"> </w:t>
      </w:r>
      <w:r>
        <w:rPr>
          <w:spacing w:val="8"/>
        </w:rPr>
        <w:t>分先后)。上述纠纷相比其他实体法案由具有特殊性，属于特</w:t>
      </w:r>
      <w:r>
        <w:rPr>
          <w:spacing w:val="7"/>
        </w:rPr>
        <w:t>别法的规定。且该些规定各自涉及</w:t>
      </w:r>
      <w:r>
        <w:rPr/>
        <w:t xml:space="preserve"> </w:t>
      </w:r>
      <w:r>
        <w:rPr>
          <w:spacing w:val="4"/>
        </w:rPr>
        <w:t>不同特别法，故不会相互冲突，可以列在同一级予以考虑。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19" w:right="12"/>
        <w:spacing w:before="62" w:line="350" w:lineRule="auto"/>
        <w:jc w:val="both"/>
        <w:rPr/>
      </w:pPr>
      <w:r>
        <w:rPr>
          <w:spacing w:val="7"/>
        </w:rPr>
        <w:t>2.该六项可能分别与合同纠纷、物权纠纷、侵权责任纠纷发生竞合。例如：(1)股权转让合同可</w:t>
      </w:r>
      <w:r>
        <w:rPr>
          <w:spacing w:val="16"/>
        </w:rPr>
        <w:t xml:space="preserve"> </w:t>
      </w:r>
      <w:r>
        <w:rPr>
          <w:spacing w:val="1"/>
        </w:rPr>
        <w:t>能同时涉及合同纠纷、与公司有关的纠纷中的股权转让纠纷。根据“特殊优于一般”的规则，</w:t>
      </w:r>
      <w:r>
        <w:rPr/>
        <w:t>应确</w:t>
      </w:r>
      <w:r>
        <w:rPr/>
        <w:t xml:space="preserve"> </w:t>
      </w:r>
      <w:r>
        <w:rPr>
          <w:spacing w:val="8"/>
        </w:rPr>
        <w:t>定案由为股权转让纠纷。(2)用人单位扣留劳动者在个人物品可能同时涉及劳动合同纠纷</w:t>
      </w:r>
      <w:r>
        <w:rPr>
          <w:spacing w:val="7"/>
        </w:rPr>
        <w:t>、返还</w:t>
      </w:r>
      <w:r>
        <w:rPr/>
        <w:t xml:space="preserve"> </w:t>
      </w:r>
      <w:r>
        <w:rPr>
          <w:spacing w:val="-1"/>
        </w:rPr>
        <w:t>原物纠纷。根据“特殊优于一般”的规则，应确定案由为劳动合同纠纷。</w:t>
      </w:r>
    </w:p>
    <w:p>
      <w:pPr>
        <w:pStyle w:val="BodyText"/>
        <w:ind w:left="5912"/>
        <w:spacing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3"/>
        </w:rPr>
        <w:t>案由规定理解与适用</w:t>
      </w:r>
      <w:r>
        <w:rPr>
          <w:rFonts w:ascii="Times New Roman" w:hAnsi="Times New Roman" w:eastAsia="Times New Roman" w:cs="Times New Roman"/>
          <w:b/>
          <w:bCs/>
          <w:spacing w:val="-3"/>
        </w:rPr>
        <w:t>pdf</w:t>
      </w:r>
    </w:p>
    <w:p>
      <w:pPr>
        <w:pStyle w:val="BodyText"/>
        <w:ind w:left="219"/>
        <w:spacing w:before="202" w:line="222" w:lineRule="auto"/>
        <w:rPr/>
      </w:pPr>
      <w:r>
        <w:rPr>
          <w:u w:val="single" w:color="auto"/>
          <w:spacing w:val="-9"/>
        </w:rPr>
        <w:t>故在“实体法案由”中首先考虑“特殊法律关系纠纷”。</w:t>
      </w:r>
    </w:p>
    <w:p>
      <w:pPr>
        <w:spacing w:line="222" w:lineRule="auto"/>
        <w:sectPr>
          <w:pgSz w:w="11910" w:h="16840"/>
          <w:pgMar w:top="400" w:right="1770" w:bottom="0" w:left="1680" w:header="0" w:footer="0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22"/>
        <w:spacing w:before="62" w:line="221" w:lineRule="auto"/>
        <w:rPr/>
      </w:pPr>
      <w:r>
        <w:rPr>
          <w:b/>
          <w:bCs/>
          <w:spacing w:val="11"/>
        </w:rPr>
        <w:t>合同纠纷(二级案由及以下)</w:t>
      </w:r>
    </w:p>
    <w:p>
      <w:pPr>
        <w:spacing w:line="392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100817</wp:posOffset>
            </wp:positionV>
            <wp:extent cx="6352" cy="962021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962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9" w:right="16"/>
        <w:spacing w:before="62" w:line="348" w:lineRule="auto"/>
        <w:jc w:val="both"/>
        <w:rPr/>
      </w:pPr>
      <w:r>
        <w:rPr>
          <w:rFonts w:ascii="SimSun" w:hAnsi="SimSun" w:eastAsia="SimSun" w:cs="SimSun"/>
          <w:spacing w:val="5"/>
        </w:rPr>
        <w:t>1.</w:t>
      </w:r>
      <w:r>
        <w:rPr>
          <w:spacing w:val="5"/>
        </w:rPr>
        <w:t>合同纠纷相比无因管理纠纷、物权纠纷、不当得利纠纷、人格权纠纷、侵权责任纠纷，需要双</w:t>
      </w:r>
      <w:r>
        <w:rPr>
          <w:spacing w:val="10"/>
        </w:rPr>
        <w:t xml:space="preserve"> </w:t>
      </w:r>
      <w:r>
        <w:rPr>
          <w:spacing w:val="2"/>
        </w:rPr>
        <w:t>方当事人的明确约定，最为特殊。无因管理纠纷、物权纠纷、不当得利纠纷、人格权纠纷、</w:t>
      </w:r>
      <w:r>
        <w:rPr>
          <w:spacing w:val="46"/>
        </w:rPr>
        <w:t xml:space="preserve"> </w:t>
      </w:r>
      <w:r>
        <w:rPr>
          <w:spacing w:val="2"/>
        </w:rPr>
        <w:t>一般</w:t>
      </w:r>
      <w:r>
        <w:rPr/>
        <w:t xml:space="preserve"> </w:t>
      </w:r>
      <w:r>
        <w:rPr>
          <w:spacing w:val="4"/>
        </w:rPr>
        <w:t>侵权责任纠纷都是在双方当事人没有约定下产生的纠纷，因此劣后考虑。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19" w:right="7"/>
        <w:spacing w:before="62" w:line="309" w:lineRule="auto"/>
        <w:rPr/>
      </w:pPr>
      <w:r>
        <w:rPr>
          <w:spacing w:val="6"/>
        </w:rPr>
        <w:t>2.对无因管理而言，合同系前提问题。原因</w:t>
      </w:r>
      <w:r>
        <w:rPr>
          <w:spacing w:val="5"/>
        </w:rPr>
        <w:t>在于：无因管理是指当事人未受有委托，无义务而为</w:t>
      </w:r>
      <w:r>
        <w:rPr/>
        <w:t xml:space="preserve"> </w:t>
      </w:r>
      <w:r>
        <w:rPr>
          <w:spacing w:val="10"/>
        </w:rPr>
        <w:t>他人管理事务。如当事人之间具有委托、雇佣或其他合同关系存在，则没有成立无因管理的余</w:t>
      </w:r>
      <w:r>
        <w:rPr>
          <w:spacing w:val="6"/>
        </w:rPr>
        <w:t xml:space="preserve"> </w:t>
      </w:r>
      <w:r>
        <w:rPr>
          <w:spacing w:val="2"/>
        </w:rPr>
        <w:t>地。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219" w:right="12"/>
        <w:spacing w:before="61" w:line="316" w:lineRule="auto"/>
        <w:rPr/>
      </w:pPr>
      <w:r>
        <w:rPr>
          <w:spacing w:val="5"/>
        </w:rPr>
        <w:t>3.对物权纠纷而言，如当事人之间基于合同关系而占有某物，则属有权占有，所有人即不得请求</w:t>
      </w:r>
      <w:r>
        <w:rPr>
          <w:spacing w:val="14"/>
        </w:rPr>
        <w:t xml:space="preserve"> </w:t>
      </w:r>
      <w:r>
        <w:rPr>
          <w:spacing w:val="6"/>
        </w:rPr>
        <w:t>返还、排除妨害。比如：在租赁合同纠纷中，</w:t>
      </w:r>
      <w:r>
        <w:rPr>
          <w:spacing w:val="5"/>
        </w:rPr>
        <w:t>甲将房屋出租给乙，乙违法转租给丙。在甲终止其</w:t>
      </w:r>
      <w:r>
        <w:rPr/>
        <w:t xml:space="preserve"> </w:t>
      </w:r>
      <w:r>
        <w:rPr>
          <w:spacing w:val="5"/>
        </w:rPr>
        <w:t>与乙的租赁合同前，不得要求丙方返还房屋。原因在于：丙是基于其与乙的租赁关系而占用、使</w:t>
      </w:r>
      <w:r>
        <w:rPr>
          <w:spacing w:val="17"/>
        </w:rPr>
        <w:t xml:space="preserve"> </w:t>
      </w:r>
      <w:r>
        <w:rPr>
          <w:spacing w:val="4"/>
        </w:rPr>
        <w:t>用房屋，而乙又与甲有租赁关系，故不构成无权</w:t>
      </w:r>
      <w:r>
        <w:rPr>
          <w:spacing w:val="3"/>
        </w:rPr>
        <w:t>占有。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219" w:right="13"/>
        <w:spacing w:before="62" w:line="310" w:lineRule="auto"/>
        <w:rPr/>
      </w:pPr>
      <w:r>
        <w:rPr>
          <w:rFonts w:ascii="SimSun" w:hAnsi="SimSun" w:eastAsia="SimSun" w:cs="SimSun"/>
          <w:spacing w:val="5"/>
        </w:rPr>
        <w:t>4.</w:t>
      </w:r>
      <w:r>
        <w:rPr>
          <w:spacing w:val="5"/>
        </w:rPr>
        <w:t>对不当得利而言，合同也是前提问题。原因在于：不当得利是指没</w:t>
      </w:r>
      <w:r>
        <w:rPr>
          <w:spacing w:val="4"/>
        </w:rPr>
        <w:t>有法律法律根据取得利益，</w:t>
      </w:r>
      <w:r>
        <w:rPr/>
        <w:t xml:space="preserve"> </w:t>
      </w:r>
      <w:r>
        <w:rPr>
          <w:spacing w:val="5"/>
        </w:rPr>
        <w:t>损害他人。由此，当事人如有合同关系，则不成立不当得利。故合同纠纷应当先于不当得利予以</w:t>
      </w:r>
      <w:r>
        <w:rPr>
          <w:spacing w:val="18"/>
        </w:rPr>
        <w:t xml:space="preserve"> </w:t>
      </w:r>
      <w:r>
        <w:rPr>
          <w:spacing w:val="-2"/>
        </w:rPr>
        <w:t>考虑。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219" w:right="16"/>
        <w:spacing w:before="62" w:line="277" w:lineRule="auto"/>
        <w:rPr/>
      </w:pPr>
      <w:r>
        <w:rPr>
          <w:spacing w:val="8"/>
        </w:rPr>
        <w:t>5.对人格权纠纷、侵权纠纷而言.合同也是</w:t>
      </w:r>
      <w:r>
        <w:rPr>
          <w:spacing w:val="7"/>
        </w:rPr>
        <w:t>前提问题。原因在于：如当事人之间对于肖像等事宜</w:t>
      </w:r>
      <w:r>
        <w:rPr/>
        <w:t xml:space="preserve"> </w:t>
      </w:r>
      <w:r>
        <w:rPr>
          <w:spacing w:val="11"/>
        </w:rPr>
        <w:t>有所约定，则合同的约定(免责事由)应当首先予以</w:t>
      </w:r>
      <w:r>
        <w:rPr>
          <w:spacing w:val="10"/>
        </w:rPr>
        <w:t>考虑。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63" w:line="222" w:lineRule="auto"/>
        <w:rPr/>
      </w:pPr>
      <w:r>
        <w:rPr>
          <w:u w:val="single" w:color="auto"/>
          <w:spacing w:val="-12"/>
        </w:rPr>
        <w:t>故在“实体法案由”中其次考虑“合同纠纷”。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22"/>
        <w:spacing w:before="62" w:line="221" w:lineRule="auto"/>
        <w:rPr/>
      </w:pPr>
      <w:r>
        <w:rPr>
          <w:b/>
          <w:bCs/>
          <w:spacing w:val="12"/>
        </w:rPr>
        <w:t>无因管理纠纷(二级案由)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63" w:line="213" w:lineRule="auto"/>
        <w:rPr/>
      </w:pPr>
      <w:r>
        <w:rPr>
          <w:rFonts w:ascii="SimSun" w:hAnsi="SimSun" w:eastAsia="SimSun" w:cs="SimSun"/>
          <w:spacing w:val="-5"/>
        </w:rPr>
        <w:t>1.</w:t>
      </w:r>
      <w:r>
        <w:rPr>
          <w:spacing w:val="-5"/>
        </w:rPr>
        <w:t>无因管理是法律上拟制的合同，也称为“准合同”。故在“合同纠纷”之后予以考</w:t>
      </w:r>
      <w:r>
        <w:rPr>
          <w:spacing w:val="-6"/>
        </w:rPr>
        <w:t>虑。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219" w:right="12"/>
        <w:spacing w:before="62" w:line="316" w:lineRule="auto"/>
        <w:rPr/>
      </w:pPr>
      <w:r>
        <w:rPr>
          <w:rFonts w:ascii="SimSun" w:hAnsi="SimSun" w:eastAsia="SimSun" w:cs="SimSun"/>
          <w:spacing w:val="5"/>
        </w:rPr>
        <w:t>2.</w:t>
      </w:r>
      <w:r>
        <w:rPr>
          <w:spacing w:val="5"/>
        </w:rPr>
        <w:t>无因管理先于物权纠纷考虑，原因在于：无因管理是物权纠纷的前提</w:t>
      </w:r>
      <w:r>
        <w:rPr>
          <w:spacing w:val="4"/>
        </w:rPr>
        <w:t>问题。例如：甲宅失火，</w:t>
      </w:r>
      <w:r>
        <w:rPr/>
        <w:t xml:space="preserve"> </w:t>
      </w:r>
      <w:r>
        <w:rPr>
          <w:spacing w:val="3"/>
        </w:rPr>
        <w:t>乙破其门窗而入救火，虽损害甲门窗的所有权，但不成立物权纠纷下的“财产损害</w:t>
      </w:r>
      <w:r>
        <w:rPr>
          <w:spacing w:val="2"/>
        </w:rPr>
        <w:t>赔偿纠纷”,因</w:t>
      </w:r>
      <w:r>
        <w:rPr/>
        <w:t xml:space="preserve"> </w:t>
      </w:r>
      <w:r>
        <w:rPr>
          <w:spacing w:val="6"/>
        </w:rPr>
        <w:t>为甲的行为构成无因管理，故阻却其违法性</w:t>
      </w:r>
      <w:r>
        <w:rPr>
          <w:spacing w:val="5"/>
        </w:rPr>
        <w:t>及赔偿责任。同理，其他构成无因管理的行为因不具</w:t>
      </w:r>
      <w:r>
        <w:rPr/>
        <w:t xml:space="preserve"> </w:t>
      </w:r>
      <w:r>
        <w:rPr>
          <w:spacing w:val="3"/>
        </w:rPr>
        <w:t>备违法性，故不可能构成不当得利、人格权损害、侵权责任。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62" w:line="222" w:lineRule="auto"/>
        <w:rPr/>
      </w:pPr>
      <w:r>
        <w:rPr>
          <w:spacing w:val="-9"/>
        </w:rPr>
        <w:t>故在“实体法案由”中第三考虑“无因管理纠纷”。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63" w:line="222" w:lineRule="auto"/>
        <w:rPr/>
      </w:pPr>
      <w:r>
        <w:rPr>
          <w:spacing w:val="-2"/>
        </w:rPr>
        <w:t>物权纠纷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5909" w:right="15" w:hanging="5690"/>
        <w:spacing w:before="62" w:line="1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1.</w:t>
      </w:r>
      <w:r>
        <w:rPr>
          <w:spacing w:val="12"/>
        </w:rPr>
        <w:t>合同纠纷、无因管理纠纷(准合同纠纷)涉及物权变动的原因.而物权纠纷涉及物</w:t>
      </w:r>
      <w:r>
        <w:rPr>
          <w:spacing w:val="11"/>
        </w:rPr>
        <w:t>权变动的结</w:t>
      </w:r>
      <w:r>
        <w:rPr/>
        <w:t xml:space="preserve"> </w:t>
      </w:r>
      <w:r>
        <w:rPr>
          <w:spacing w:val="-2"/>
        </w:rPr>
        <w:t>案由规定理解与适用</w:t>
      </w:r>
      <w:r>
        <w:rPr>
          <w:rFonts w:ascii="SimSun" w:hAnsi="SimSun" w:eastAsia="SimSun" w:cs="SimSun"/>
          <w:spacing w:val="-2"/>
        </w:rPr>
        <w:t>pdf</w:t>
      </w:r>
    </w:p>
    <w:p>
      <w:pPr>
        <w:pStyle w:val="BodyText"/>
        <w:ind w:left="219"/>
        <w:spacing w:before="1" w:line="220" w:lineRule="auto"/>
        <w:rPr/>
      </w:pPr>
      <w:r>
        <w:rPr>
          <w:spacing w:val="3"/>
        </w:rPr>
        <w:t>果。故物权纠纷劣后于合同纠纷、无因管理纠纷予以考虑。</w:t>
      </w:r>
    </w:p>
    <w:p>
      <w:pPr>
        <w:spacing w:line="220" w:lineRule="auto"/>
        <w:sectPr>
          <w:pgSz w:w="11910" w:h="16840"/>
          <w:pgMar w:top="400" w:right="1786" w:bottom="0" w:left="1680" w:header="0" w:footer="0" w:gutter="0"/>
        </w:sectPr>
        <w:rPr/>
      </w:pPr>
    </w:p>
    <w:p>
      <w:pPr>
        <w:pStyle w:val="BodyText"/>
        <w:ind w:left="209" w:right="91"/>
        <w:spacing w:before="241" w:line="351" w:lineRule="auto"/>
        <w:jc w:val="both"/>
        <w:rPr/>
      </w:pP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1066815</wp:posOffset>
            </wp:positionH>
            <wp:positionV relativeFrom="page">
              <wp:posOffset>349246</wp:posOffset>
            </wp:positionV>
            <wp:extent cx="6352" cy="949328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949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2.物权纠纷优先于不当得利纠纷、人格权纠纷、</w:t>
      </w:r>
      <w:r>
        <w:rPr>
          <w:spacing w:val="43"/>
        </w:rPr>
        <w:t xml:space="preserve"> </w:t>
      </w:r>
      <w:r>
        <w:rPr>
          <w:spacing w:val="2"/>
        </w:rPr>
        <w:t>一般侵权责任纠纷考虑，原因在于：物权纠纷是</w:t>
      </w:r>
      <w:r>
        <w:rPr/>
        <w:t xml:space="preserve"> </w:t>
      </w:r>
      <w:r>
        <w:rPr>
          <w:spacing w:val="8"/>
        </w:rPr>
        <w:t>指所有权、用益物权、担保物权被侵害的情形。该种侵害无非</w:t>
      </w:r>
      <w:r>
        <w:rPr>
          <w:spacing w:val="7"/>
        </w:rPr>
        <w:t>是两种形态，(1)一种是“一方受</w:t>
      </w:r>
      <w:r>
        <w:rPr/>
        <w:t xml:space="preserve"> </w:t>
      </w:r>
      <w:r>
        <w:rPr>
          <w:spacing w:val="8"/>
        </w:rPr>
        <w:t>损，另一方获益”。该种情形实质是一种特殊的不当得利(如占有),</w:t>
      </w:r>
      <w:r>
        <w:rPr>
          <w:spacing w:val="7"/>
        </w:rPr>
        <w:t>故物权纠纷优先于不当得利</w:t>
      </w:r>
      <w:r>
        <w:rPr/>
        <w:t xml:space="preserve"> </w:t>
      </w:r>
      <w:r>
        <w:rPr>
          <w:spacing w:val="6"/>
        </w:rPr>
        <w:t>纠纷予以考虑。此外，物权纠纷还可能是构成善</w:t>
      </w:r>
      <w:r>
        <w:rPr>
          <w:spacing w:val="5"/>
        </w:rPr>
        <w:t>意取得，是阻却不当得利发生的情形，故也应在</w:t>
      </w:r>
      <w:r>
        <w:rPr/>
        <w:t xml:space="preserve"> </w:t>
      </w:r>
      <w:r>
        <w:rPr>
          <w:spacing w:val="8"/>
        </w:rPr>
        <w:t>不当得利纠纷之前予以考虑。(2)还有一</w:t>
      </w:r>
      <w:r>
        <w:rPr>
          <w:spacing w:val="7"/>
        </w:rPr>
        <w:t>种是“一方受损，另一方没有获益”。该种情形实质是</w:t>
      </w:r>
      <w:r>
        <w:rPr/>
        <w:t xml:space="preserve"> </w:t>
      </w:r>
      <w:r>
        <w:rPr>
          <w:spacing w:val="10"/>
        </w:rPr>
        <w:t>一种特殊的侵权责任，故物权纠纷优先于人格权纠纷(特别是侵害具有人格象征意义的物)、侵</w:t>
      </w:r>
      <w:r>
        <w:rPr/>
        <w:t xml:space="preserve"> </w:t>
      </w:r>
      <w:r>
        <w:rPr>
          <w:spacing w:val="3"/>
        </w:rPr>
        <w:t>权责任纠纷予以考虑。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62" w:line="222" w:lineRule="auto"/>
        <w:rPr/>
      </w:pPr>
      <w:r>
        <w:rPr>
          <w:u w:val="single" w:color="auto"/>
          <w:spacing w:val="-11"/>
        </w:rPr>
        <w:t>故在“实体法案由”中第四考虑“物权纠纷”。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14" w:right="93" w:firstLine="95"/>
        <w:spacing w:before="62" w:line="352" w:lineRule="auto"/>
        <w:jc w:val="both"/>
        <w:rPr/>
      </w:pPr>
      <w:r>
        <w:rPr>
          <w:spacing w:val="8"/>
        </w:rPr>
        <w:t>需说明的是：(1)在选择案由时，应当区分法律关系</w:t>
      </w:r>
      <w:r>
        <w:rPr>
          <w:spacing w:val="7"/>
        </w:rPr>
        <w:t>涉及的是物权变动的原因行为还是物权变动</w:t>
      </w:r>
      <w:r>
        <w:rPr/>
        <w:t xml:space="preserve"> </w:t>
      </w:r>
      <w:r>
        <w:rPr>
          <w:spacing w:val="8"/>
        </w:rPr>
        <w:t>的结果行为。如涉及物权变动的原因，即因债权性质的合同关系、准合同关系、合</w:t>
      </w:r>
      <w:r>
        <w:rPr>
          <w:spacing w:val="7"/>
        </w:rPr>
        <w:t>同约定引发的</w:t>
      </w:r>
      <w:r>
        <w:rPr/>
        <w:t xml:space="preserve"> </w:t>
      </w:r>
      <w:r>
        <w:rPr>
          <w:spacing w:val="12"/>
        </w:rPr>
        <w:t>纠纷案件，应当选择合同纠纷、无因管理纠纷项下的案由(例如：居住权合同纠纷)。如属于物</w:t>
      </w:r>
      <w:r>
        <w:rPr>
          <w:spacing w:val="9"/>
        </w:rPr>
        <w:t xml:space="preserve"> </w:t>
      </w:r>
      <w:r>
        <w:rPr>
          <w:spacing w:val="13"/>
        </w:rPr>
        <w:t>权变动结果，即因物权设立、权属、效力、</w:t>
      </w:r>
      <w:r>
        <w:rPr>
          <w:spacing w:val="12"/>
        </w:rPr>
        <w:t>使用、收益等物权关系引发的纠纷案件，应当选择</w:t>
      </w:r>
      <w:r>
        <w:rPr/>
        <w:t xml:space="preserve"> </w:t>
      </w:r>
      <w:r>
        <w:rPr>
          <w:spacing w:val="5"/>
        </w:rPr>
        <w:t>“物权纠纷”项下的案由(如：居住权纠纷)。(2)物权纠纷项下有“财产</w:t>
      </w:r>
      <w:r>
        <w:rPr>
          <w:spacing w:val="4"/>
        </w:rPr>
        <w:t>损害赔偿纠纷”的案由。</w:t>
      </w:r>
      <w:r>
        <w:rPr/>
        <w:t xml:space="preserve"> </w:t>
      </w:r>
      <w:r>
        <w:rPr>
          <w:spacing w:val="8"/>
        </w:rPr>
        <w:t>应当注意，赔偿损失是最为基本的民事责任</w:t>
      </w:r>
      <w:r>
        <w:rPr>
          <w:spacing w:val="7"/>
        </w:rPr>
        <w:t>形式之一。在侵权责任和合同责任上都有损害赔偿的</w:t>
      </w:r>
      <w:r>
        <w:rPr/>
        <w:t xml:space="preserve"> </w:t>
      </w:r>
      <w:r>
        <w:rPr>
          <w:spacing w:val="2"/>
        </w:rPr>
        <w:t>规定。而物权纠纷项下“财产损害赔偿”是指物权受到侵害后的损害</w:t>
      </w:r>
      <w:r>
        <w:rPr>
          <w:spacing w:val="1"/>
        </w:rPr>
        <w:t>赔偿。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12"/>
        <w:spacing w:before="62" w:line="221" w:lineRule="auto"/>
        <w:rPr/>
      </w:pPr>
      <w:r>
        <w:rPr>
          <w:b/>
          <w:bCs/>
          <w:spacing w:val="12"/>
        </w:rPr>
        <w:t>不当得利纠纷(二级案由)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09" w:right="75"/>
        <w:spacing w:before="61" w:line="353" w:lineRule="auto"/>
        <w:jc w:val="both"/>
        <w:rPr/>
      </w:pPr>
      <w:r>
        <w:rPr>
          <w:rFonts w:ascii="SimSun" w:hAnsi="SimSun" w:eastAsia="SimSun" w:cs="SimSun"/>
          <w:spacing w:val="6"/>
        </w:rPr>
        <w:t>1.</w:t>
      </w:r>
      <w:r>
        <w:rPr>
          <w:spacing w:val="6"/>
        </w:rPr>
        <w:t>不当得利是指一方受有财产利益，另一方受有财产损害，二者存在因果关系，但无</w:t>
      </w:r>
      <w:r>
        <w:rPr>
          <w:spacing w:val="5"/>
        </w:rPr>
        <w:t>法律上之原</w:t>
      </w:r>
      <w:r>
        <w:rPr/>
        <w:t xml:space="preserve"> </w:t>
      </w:r>
      <w:r>
        <w:rPr>
          <w:spacing w:val="15"/>
        </w:rPr>
        <w:t>因的形态。就财产利益而言，可能是物权利益(例如：</w:t>
      </w:r>
      <w:r>
        <w:rPr>
          <w:spacing w:val="14"/>
        </w:rPr>
        <w:t>占有他人物品),也可能是债权利益(例</w:t>
      </w:r>
      <w:r>
        <w:rPr/>
        <w:t xml:space="preserve"> </w:t>
      </w:r>
      <w:r>
        <w:rPr>
          <w:spacing w:val="3"/>
        </w:rPr>
        <w:t>如：)。由于，物权利益具有特殊性且存在善意取得的问题，是否取得物权也需要优先于损害赔偿</w:t>
      </w:r>
      <w:r>
        <w:rPr>
          <w:spacing w:val="6"/>
        </w:rPr>
        <w:t xml:space="preserve"> </w:t>
      </w:r>
      <w:r>
        <w:rPr>
          <w:spacing w:val="3"/>
        </w:rPr>
        <w:t>予以考虑。故不当得利纠纷应劣后于物权纠纷予以考虑。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09" w:right="97"/>
        <w:spacing w:before="62" w:line="355" w:lineRule="auto"/>
        <w:jc w:val="both"/>
        <w:rPr/>
      </w:pPr>
      <w:r>
        <w:rPr>
          <w:spacing w:val="5"/>
        </w:rPr>
        <w:t>2.就构成要件而言：侵权责任纠纷、人格权纠纷只要求己方受损、与他人有因果关系即可，而不</w:t>
      </w:r>
      <w:r>
        <w:rPr>
          <w:spacing w:val="16"/>
        </w:rPr>
        <w:t xml:space="preserve"> </w:t>
      </w:r>
      <w:r>
        <w:rPr>
          <w:spacing w:val="5"/>
        </w:rPr>
        <w:t>当得利纠纷不仅要求己方受损，还要求对方获益，构成要件更多，故更为特殊。故不</w:t>
      </w:r>
      <w:r>
        <w:rPr>
          <w:spacing w:val="4"/>
        </w:rPr>
        <w:t>当得利纠纷</w:t>
      </w:r>
      <w:r>
        <w:rPr/>
        <w:t xml:space="preserve"> </w:t>
      </w:r>
      <w:r>
        <w:rPr>
          <w:spacing w:val="3"/>
        </w:rPr>
        <w:t>优先于人格权纠纷、侵权责任纠纷予以考虑。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63" w:line="222" w:lineRule="auto"/>
        <w:rPr/>
      </w:pPr>
      <w:r>
        <w:rPr>
          <w:u w:val="single" w:color="auto"/>
          <w:spacing w:val="-12"/>
        </w:rPr>
        <w:t>故在“实体法案由”中第五考虑“物权纠纷”。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12"/>
        <w:spacing w:before="62" w:line="221" w:lineRule="auto"/>
        <w:rPr/>
      </w:pPr>
      <w:r>
        <w:rPr>
          <w:b/>
          <w:bCs/>
        </w:rPr>
        <w:t>特殊侵权责任纠纷</w:t>
      </w:r>
    </w:p>
    <w:p>
      <w:pPr>
        <w:pStyle w:val="BodyText"/>
        <w:ind w:left="352"/>
        <w:spacing w:before="143" w:line="221" w:lineRule="auto"/>
        <w:rPr/>
      </w:pPr>
      <w:r>
        <w:rPr>
          <w:b/>
          <w:bCs/>
          <w:spacing w:val="2"/>
        </w:rPr>
        <w:t>(侵权责任纠纷下的三级、四级案由)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09" w:right="101" w:firstLine="15"/>
        <w:spacing w:before="62" w:line="318" w:lineRule="auto"/>
        <w:jc w:val="both"/>
        <w:rPr/>
      </w:pPr>
      <w:r>
        <w:rPr>
          <w:spacing w:val="7"/>
        </w:rPr>
        <w:t>《案件案由》第四条第4点规定，在案由具体适用的过程中，应当先适用第九部分“侵权责任纠</w:t>
      </w:r>
      <w:r>
        <w:rPr>
          <w:spacing w:val="5"/>
        </w:rPr>
        <w:t xml:space="preserve"> </w:t>
      </w:r>
      <w:r>
        <w:rPr>
          <w:spacing w:val="8"/>
        </w:rPr>
        <w:t>纷”项下根据《民法典》侵权责任编相关法条列</w:t>
      </w:r>
      <w:r>
        <w:rPr>
          <w:spacing w:val="7"/>
        </w:rPr>
        <w:t>出的具体案由(即三级、四级案由);没有相应案</w:t>
      </w:r>
      <w:r>
        <w:rPr/>
        <w:t xml:space="preserve"> </w:t>
      </w:r>
      <w:r>
        <w:rPr>
          <w:spacing w:val="3"/>
        </w:rPr>
        <w:t>由的，再适用其他一级案由下的具体案由。</w:t>
      </w:r>
    </w:p>
    <w:p>
      <w:pPr>
        <w:pStyle w:val="BodyText"/>
        <w:ind w:firstLine="5069"/>
        <w:spacing w:line="1290" w:lineRule="exact"/>
        <w:rPr/>
      </w:pPr>
      <w:r>
        <w:pict>
          <v:shape id="_x0000_s6" style="position:absolute;margin-left:9.4987pt;margin-top:25.3122pt;mso-position-vertical-relative:text;mso-position-horizontal-relative:text;width:238.25pt;height:14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>
                      <w:u w:val="single" w:color="auto"/>
                      <w:spacing w:val="-8"/>
                    </w:rPr>
                    <w:t>故在“实体法案由”中应第六考虑“特殊侵权责任纠纷”。</w:t>
                  </w:r>
                </w:p>
              </w:txbxContent>
            </v:textbox>
          </v:shape>
        </w:pict>
      </w:r>
      <w:r>
        <w:rPr>
          <w:position w:val="-25"/>
        </w:rPr>
        <w:pict>
          <v:group id="_x0000_s8" style="mso-position-vertical-relative:line;mso-position-horizontal-relative:char;width:172.5pt;height:64.5pt;" filled="false" stroked="false" coordsize="3450,1290" coordorigin="0,0">
            <v:shape id="_x0000_s10" style="position:absolute;left:0;top:0;width:3450;height:1290;" filled="false" stroked="false" type="#_x0000_t75">
              <v:imagedata o:title="" r:id="rId10"/>
            </v:shape>
            <v:shape id="_x0000_s12" style="position:absolute;left:-20;top:-20;width:3490;height:1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2"/>
                      <w:spacing w:before="61" w:line="21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b/>
                        <w:bCs/>
                        <w:spacing w:val="-2"/>
                      </w:rPr>
                      <w:t>案由规定理解与适用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spacing w:val="-2"/>
                      </w:rPr>
                      <w:t>pdf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2"/>
        <w:spacing w:before="154" w:line="222" w:lineRule="auto"/>
        <w:rPr/>
      </w:pPr>
      <w:r>
        <w:rPr>
          <w:b/>
          <w:bCs/>
          <w:spacing w:val="-4"/>
        </w:rPr>
        <w:t>人格权纠纷</w:t>
      </w:r>
    </w:p>
    <w:p>
      <w:pPr>
        <w:spacing w:line="222" w:lineRule="auto"/>
        <w:sectPr>
          <w:pgSz w:w="11910" w:h="16840"/>
          <w:pgMar w:top="400" w:right="1710" w:bottom="0" w:left="1680" w:header="0" w:footer="0" w:gutter="0"/>
        </w:sectPr>
        <w:rPr/>
      </w:pPr>
    </w:p>
    <w:p>
      <w:pPr>
        <w:spacing w:line="385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95291</wp:posOffset>
            </wp:positionH>
            <wp:positionV relativeFrom="paragraph">
              <wp:posOffset>96163</wp:posOffset>
            </wp:positionV>
            <wp:extent cx="6352" cy="151129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51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0" w:right="239"/>
        <w:spacing w:before="62" w:line="354" w:lineRule="auto"/>
        <w:jc w:val="both"/>
        <w:rPr/>
      </w:pPr>
      <w:r>
        <w:rPr>
          <w:spacing w:val="5"/>
        </w:rPr>
        <w:t>人格权纠纷与一般侵权责任纠纷相比，存在竞合关系，且一般侵权责任纠纷的外延更大。人格权</w:t>
      </w:r>
      <w:r>
        <w:rPr>
          <w:spacing w:val="5"/>
        </w:rPr>
        <w:t xml:space="preserve"> </w:t>
      </w:r>
      <w:r>
        <w:rPr>
          <w:spacing w:val="5"/>
        </w:rPr>
        <w:t>只涉及人身属性相关的权利，而一般侵权责任纠纷则还包括其他财产属性的权利受害，故人格权</w:t>
      </w:r>
      <w:r>
        <w:rPr>
          <w:spacing w:val="5"/>
        </w:rPr>
        <w:t xml:space="preserve"> </w:t>
      </w:r>
      <w:r>
        <w:rPr>
          <w:spacing w:val="3"/>
        </w:rPr>
        <w:t>纠纷优先于一般侵权责任纠纷予以考虑。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1" w:line="222" w:lineRule="auto"/>
        <w:rPr/>
      </w:pPr>
      <w:r>
        <w:rPr>
          <w:u w:val="single" w:color="auto"/>
          <w:spacing w:val="-10"/>
        </w:rPr>
        <w:t>故在“实体法案由”中应第七考虑“人格权纠纷”。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70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</w:t>
      </w:r>
    </w:p>
    <w:p>
      <w:pPr>
        <w:pStyle w:val="BodyText"/>
        <w:ind w:left="372"/>
        <w:spacing w:before="90" w:line="221" w:lineRule="auto"/>
        <w:rPr/>
      </w:pPr>
      <w:r>
        <w:rPr>
          <w:b/>
          <w:bCs/>
          <w:spacing w:val="1"/>
        </w:rPr>
        <w:t>一般侵权责任纠纷</w:t>
      </w:r>
    </w:p>
    <w:p>
      <w:pPr>
        <w:pStyle w:val="BodyText"/>
        <w:ind w:left="502"/>
        <w:spacing w:before="133" w:line="221" w:lineRule="auto"/>
        <w:rPr/>
      </w:pPr>
      <w:r>
        <w:rPr>
          <w:b/>
          <w:bCs/>
          <w:spacing w:val="3"/>
        </w:rPr>
        <w:t>(侵权责任纠纷下的一级、二级案由)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95291</wp:posOffset>
            </wp:positionH>
            <wp:positionV relativeFrom="paragraph">
              <wp:posOffset>102019</wp:posOffset>
            </wp:positionV>
            <wp:extent cx="6352" cy="142874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4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0" w:right="231"/>
        <w:spacing w:before="62" w:line="354" w:lineRule="auto"/>
        <w:jc w:val="both"/>
        <w:rPr/>
      </w:pPr>
      <w:r>
        <w:rPr>
          <w:spacing w:val="5"/>
        </w:rPr>
        <w:t>鉴于侵权责任纠纷与其他法律关系存在竞合并存关系，且侵权责任法中特殊侵权责任的案由均已</w:t>
      </w:r>
      <w:r>
        <w:rPr>
          <w:spacing w:val="11"/>
        </w:rPr>
        <w:t xml:space="preserve"> </w:t>
      </w:r>
      <w:r>
        <w:rPr>
          <w:spacing w:val="5"/>
        </w:rPr>
        <w:t>在第九项中予以考虑。因此，只有在不归属于前述九项的其他损害，才会被纳入一般侵权责任纠</w:t>
      </w:r>
      <w:r>
        <w:rPr>
          <w:spacing w:val="14"/>
        </w:rPr>
        <w:t xml:space="preserve"> </w:t>
      </w:r>
      <w:r>
        <w:rPr>
          <w:spacing w:val="2"/>
        </w:rPr>
        <w:t>纷的范畴予以考虑。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3" w:line="221" w:lineRule="auto"/>
        <w:rPr/>
      </w:pPr>
      <w:r>
        <w:rPr>
          <w:u w:val="single" w:color="auto"/>
          <w:spacing w:val="-8"/>
        </w:rPr>
        <w:t>故在“实体法案由”中应最后考虑“一般侵权责任纠纷”。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752"/>
        <w:spacing w:before="62" w:line="222" w:lineRule="auto"/>
        <w:outlineLvl w:val="4"/>
        <w:rPr/>
      </w:pPr>
      <w:r>
        <w:rPr>
          <w:b/>
          <w:bCs/>
          <w:spacing w:val="4"/>
        </w:rPr>
        <w:t>三</w:t>
      </w:r>
      <w:r>
        <w:rPr>
          <w:spacing w:val="-39"/>
        </w:rPr>
        <w:t xml:space="preserve"> </w:t>
      </w:r>
      <w:r>
        <w:rPr>
          <w:b/>
          <w:bCs/>
          <w:spacing w:val="4"/>
        </w:rPr>
        <w:t>、横向定位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14"/>
        <w:spacing w:before="62" w:line="366" w:lineRule="auto"/>
        <w:rPr/>
      </w:pPr>
      <w:r>
        <w:rPr>
          <w:spacing w:val="10"/>
        </w:rPr>
        <w:t>横向体系上，应根据案件纠纷特征、请求权基础(法律依据</w:t>
      </w:r>
      <w:r>
        <w:rPr>
          <w:spacing w:val="9"/>
        </w:rPr>
        <w:t>或者合同依据)选定案由。发现选定的案由</w:t>
      </w:r>
      <w:r>
        <w:rPr/>
        <w:t xml:space="preserve"> </w:t>
      </w:r>
      <w:r>
        <w:rPr>
          <w:spacing w:val="4"/>
        </w:rPr>
        <w:t>项下有可以适用更低级案由的，应适用更低级别的案由。具体应遵循以下</w:t>
      </w:r>
      <w:r>
        <w:rPr>
          <w:spacing w:val="3"/>
        </w:rPr>
        <w:t>四项原则：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3" w:line="221" w:lineRule="auto"/>
        <w:rPr/>
      </w:pPr>
      <w:r>
        <w:rPr>
          <w:color w:val="305060"/>
          <w:spacing w:val="-3"/>
        </w:rPr>
        <w:t>(</w:t>
      </w:r>
      <w:r>
        <w:rPr>
          <w:color w:val="305060"/>
          <w:spacing w:val="-43"/>
        </w:rPr>
        <w:t xml:space="preserve"> </w:t>
      </w:r>
      <w:r>
        <w:rPr>
          <w:color w:val="305060"/>
          <w:spacing w:val="-3"/>
        </w:rPr>
        <w:t>一</w:t>
      </w:r>
      <w:r>
        <w:rPr>
          <w:color w:val="305060"/>
          <w:spacing w:val="-57"/>
        </w:rPr>
        <w:t xml:space="preserve"> </w:t>
      </w:r>
      <w:r>
        <w:rPr>
          <w:color w:val="305060"/>
          <w:spacing w:val="-3"/>
        </w:rPr>
        <w:t>)</w:t>
      </w:r>
      <w:r>
        <w:rPr>
          <w:color w:val="305060"/>
          <w:spacing w:val="24"/>
        </w:rPr>
        <w:t xml:space="preserve">   </w:t>
      </w:r>
      <w:r>
        <w:rPr>
          <w:b/>
          <w:bCs/>
          <w:color w:val="2080A0"/>
          <w:spacing w:val="-3"/>
        </w:rPr>
        <w:t>根据请求权基础确定案由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25"/>
        <w:spacing w:before="63" w:line="337" w:lineRule="auto"/>
        <w:rPr/>
      </w:pPr>
      <w:r>
        <w:rPr>
          <w:spacing w:val="5"/>
        </w:rPr>
        <w:t>比如：甲、乙签订房屋买卖合同实质是为了通谋套取银行按揭贷款。此时，甲对该合同提起诉讼，主张</w:t>
      </w:r>
      <w:r>
        <w:rPr/>
        <w:t xml:space="preserve"> </w:t>
      </w:r>
      <w:r>
        <w:rPr>
          <w:spacing w:val="14"/>
        </w:rPr>
        <w:t>合同无效后恢复原有登记。甲的请求权基础为《民法典》</w:t>
      </w:r>
      <w:r>
        <w:rPr>
          <w:spacing w:val="13"/>
        </w:rPr>
        <w:t>146条1款通谋虚伪意思表示。此时，相比</w:t>
      </w:r>
    </w:p>
    <w:p>
      <w:pPr>
        <w:pStyle w:val="BodyText"/>
        <w:ind w:firstLine="25"/>
        <w:spacing w:before="6" w:line="382" w:lineRule="auto"/>
        <w:rPr>
          <w:sz w:val="16"/>
          <w:szCs w:val="16"/>
        </w:rPr>
      </w:pPr>
      <w:r>
        <w:rPr>
          <w:spacing w:val="11"/>
        </w:rPr>
        <w:t>【96.房屋买卖合同纠纷】,案由选定为【80(2)确认合同无效纠纷】更</w:t>
      </w:r>
      <w:r>
        <w:rPr>
          <w:spacing w:val="10"/>
        </w:rPr>
        <w:t>具有显著性，体现主张无效的</w:t>
      </w:r>
      <w:r>
        <w:rPr/>
        <w:t xml:space="preserve"> </w:t>
      </w:r>
      <w:r>
        <w:rPr>
          <w:sz w:val="16"/>
          <w:szCs w:val="16"/>
          <w:spacing w:val="-4"/>
        </w:rPr>
        <w:t>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征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4"/>
        </w:rPr>
        <w:t>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2" w:line="221" w:lineRule="auto"/>
        <w:rPr/>
      </w:pPr>
      <w:r>
        <w:rPr>
          <w:color w:val="204050"/>
          <w:spacing w:val="3"/>
        </w:rPr>
        <w:t>(二)</w:t>
      </w:r>
      <w:r>
        <w:rPr>
          <w:color w:val="204050"/>
          <w:spacing w:val="28"/>
        </w:rPr>
        <w:t xml:space="preserve">   </w:t>
      </w:r>
      <w:r>
        <w:rPr>
          <w:b/>
          <w:bCs/>
          <w:color w:val="2080A0"/>
          <w:spacing w:val="3"/>
        </w:rPr>
        <w:t>根据基础法律关系确定案由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26"/>
        <w:spacing w:before="62" w:line="349" w:lineRule="auto"/>
        <w:jc w:val="both"/>
        <w:rPr/>
      </w:pPr>
      <w:r>
        <w:rPr>
          <w:spacing w:val="5"/>
        </w:rPr>
        <w:t>比如：甲向乙借款，丙提供连带责任保证，丁提供股权质押并登记。此时，甲同时起诉乙还款、起诉丙</w:t>
      </w:r>
      <w:r>
        <w:rPr>
          <w:spacing w:val="4"/>
        </w:rPr>
        <w:t xml:space="preserve"> </w:t>
      </w:r>
      <w:r>
        <w:rPr>
          <w:spacing w:val="5"/>
        </w:rPr>
        <w:t>承担连带责任、起诉丁在质押股权范围内优先受偿。此时，主法律关系是借款合同纠纷，保证、质押是</w:t>
      </w:r>
      <w:r>
        <w:rPr/>
        <w:t xml:space="preserve"> </w:t>
      </w:r>
      <w:r>
        <w:rPr>
          <w:spacing w:val="3"/>
        </w:rPr>
        <w:t>从合同关系。故案由应选定为【108.借款合同纠纷】,而不应</w:t>
      </w:r>
      <w:r>
        <w:rPr>
          <w:spacing w:val="2"/>
        </w:rPr>
        <w:t>选定为【109.保证合同纠纷】【111.质押合</w:t>
      </w:r>
      <w:r>
        <w:rPr/>
        <w:t xml:space="preserve"> </w:t>
      </w:r>
      <w:r>
        <w:rPr>
          <w:spacing w:val="7"/>
        </w:rPr>
        <w:t>同纠纷】,或者同时设定三个案由。在起诉公司履行责任，同时要求该公司股东承担一人股东有限责任</w:t>
      </w:r>
      <w:r>
        <w:rPr>
          <w:spacing w:val="9"/>
        </w:rPr>
        <w:t xml:space="preserve"> </w:t>
      </w:r>
      <w:r>
        <w:rPr>
          <w:spacing w:val="5"/>
        </w:rPr>
        <w:t>或者股东实缴出资责任/出资加速到期责任时，也遵循</w:t>
      </w:r>
      <w:r>
        <w:rPr>
          <w:spacing w:val="4"/>
        </w:rPr>
        <w:t>本条原则，以基础法律关系确定案由。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62" w:line="223" w:lineRule="auto"/>
        <w:rPr>
          <w:rFonts w:ascii="SimSun" w:hAnsi="SimSun" w:eastAsia="SimSun" w:cs="SimSun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3321074</wp:posOffset>
            </wp:positionH>
            <wp:positionV relativeFrom="paragraph">
              <wp:posOffset>-178710</wp:posOffset>
            </wp:positionV>
            <wp:extent cx="2184377" cy="73656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377" cy="73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04050"/>
          <w:spacing w:val="2"/>
          <w:position w:val="6"/>
        </w:rPr>
        <w:t>(三)</w:t>
      </w:r>
      <w:r>
        <w:rPr>
          <w:color w:val="304050"/>
          <w:spacing w:val="27"/>
          <w:position w:val="6"/>
        </w:rPr>
        <w:t xml:space="preserve">   </w:t>
      </w:r>
      <w:r>
        <w:rPr>
          <w:b/>
          <w:bCs/>
          <w:color w:val="2080A0"/>
          <w:spacing w:val="2"/>
          <w:position w:val="6"/>
        </w:rPr>
        <w:t>根据更低级别确定案由</w:t>
      </w:r>
      <w:r>
        <w:rPr>
          <w:color w:val="2080A0"/>
          <w:spacing w:val="2"/>
          <w:position w:val="6"/>
        </w:rPr>
        <w:t xml:space="preserve">                                </w:t>
      </w:r>
      <w:r>
        <w:rPr>
          <w:b/>
          <w:bCs/>
          <w:spacing w:val="2"/>
          <w:position w:val="-6"/>
        </w:rPr>
        <w:t>案由规定理解与适用</w:t>
      </w:r>
      <w:r>
        <w:rPr>
          <w:rFonts w:ascii="SimSun" w:hAnsi="SimSun" w:eastAsia="SimSun" w:cs="SimSun"/>
          <w:b/>
          <w:bCs/>
          <w:position w:val="-6"/>
        </w:rPr>
        <w:t>pdf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right="28"/>
        <w:spacing w:before="63" w:line="347" w:lineRule="auto"/>
        <w:rPr/>
      </w:pPr>
      <w:r>
        <w:rPr>
          <w:spacing w:val="5"/>
        </w:rPr>
        <w:t>接上例而言，【108.借款合同纠纷】为三级案由，鉴于甲、乙均为自然人，故根</w:t>
      </w:r>
      <w:r>
        <w:rPr>
          <w:spacing w:val="4"/>
        </w:rPr>
        <w:t>据理解与适用的相关规</w:t>
      </w:r>
      <w:r>
        <w:rPr/>
        <w:t xml:space="preserve"> </w:t>
      </w:r>
      <w:r>
        <w:rPr>
          <w:spacing w:val="5"/>
        </w:rPr>
        <w:t>定，本案案由为【108.借款合同纠纷】项下的四级案由【民间借贷纠纷】。由此，适</w:t>
      </w:r>
      <w:r>
        <w:rPr>
          <w:spacing w:val="4"/>
        </w:rPr>
        <w:t>用顺序为：四级案</w:t>
      </w:r>
    </w:p>
    <w:p>
      <w:pPr>
        <w:spacing w:line="347" w:lineRule="auto"/>
        <w:sectPr>
          <w:pgSz w:w="11910" w:h="16840"/>
          <w:pgMar w:top="400" w:right="1573" w:bottom="0" w:left="1529" w:header="0" w:footer="0" w:gutter="0"/>
        </w:sectPr>
        <w:rPr/>
      </w:pPr>
    </w:p>
    <w:p>
      <w:pPr>
        <w:pStyle w:val="BodyText"/>
        <w:spacing w:before="246" w:line="221" w:lineRule="auto"/>
        <w:rPr/>
      </w:pPr>
      <w:r>
        <w:rPr>
          <w:spacing w:val="3"/>
        </w:rPr>
        <w:t>由→三级案由→二级案由→一级案由。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62" w:line="221" w:lineRule="auto"/>
        <w:rPr/>
      </w:pPr>
      <w:r>
        <w:rPr>
          <w:spacing w:val="4"/>
        </w:rPr>
        <w:t>(四)</w:t>
      </w:r>
      <w:r>
        <w:rPr>
          <w:spacing w:val="21"/>
        </w:rPr>
        <w:t xml:space="preserve">   </w:t>
      </w:r>
      <w:r>
        <w:rPr>
          <w:b/>
          <w:bCs/>
          <w:color w:val="2080A0"/>
          <w:spacing w:val="4"/>
        </w:rPr>
        <w:t>根据有利于己方原则确定案由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2" w:line="348" w:lineRule="auto"/>
        <w:rPr/>
      </w:pPr>
      <w:r>
        <w:rPr>
          <w:spacing w:val="5"/>
        </w:rPr>
        <w:t>比如：甲、乙签订《广告拍摄及后期制作合同》。甲因乙的工作不满足合同要</w:t>
      </w:r>
      <w:r>
        <w:rPr>
          <w:spacing w:val="4"/>
        </w:rPr>
        <w:t>求，意欲解除双方合同。</w:t>
      </w:r>
      <w:r>
        <w:rPr/>
        <w:t xml:space="preserve"> </w:t>
      </w:r>
      <w:r>
        <w:rPr>
          <w:spacing w:val="7"/>
        </w:rPr>
        <w:t>此时，相比选定【145.广告合同纠纷】,甲方将案</w:t>
      </w:r>
      <w:r>
        <w:rPr>
          <w:spacing w:val="6"/>
        </w:rPr>
        <w:t>由选定为【119.承揽合同纠纷】或【124.委托合同纠</w:t>
      </w:r>
      <w:r>
        <w:rPr/>
        <w:t xml:space="preserve"> </w:t>
      </w:r>
      <w:r>
        <w:rPr>
          <w:spacing w:val="10"/>
        </w:rPr>
        <w:t>纷】显然更好。原因在于：根据承揽合同、委托合同的相关规则，甲方作为要</w:t>
      </w:r>
      <w:r>
        <w:rPr>
          <w:spacing w:val="9"/>
        </w:rPr>
        <w:t>求发包方(委托方)有任</w:t>
      </w:r>
      <w:r>
        <w:rPr/>
        <w:t xml:space="preserve"> </w:t>
      </w:r>
      <w:r>
        <w:rPr>
          <w:spacing w:val="3"/>
        </w:rPr>
        <w:t>意解除权，更能让合同解除，达成诉讼目的。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right="35"/>
        <w:spacing w:before="62" w:line="361" w:lineRule="auto"/>
        <w:rPr/>
      </w:pPr>
      <w:r>
        <w:rPr>
          <w:u w:val="single" w:color="auto"/>
          <w:spacing w:val="-11"/>
        </w:rPr>
        <w:t>需要特别关注的是：“物权纠纷”项下“物权保护纠纷”案由与“所有权纠纷”“用益物权纠</w:t>
      </w:r>
      <w:r>
        <w:rPr>
          <w:u w:val="single" w:color="auto"/>
          <w:spacing w:val="-12"/>
        </w:rPr>
        <w:t>纷”“担保物权纠</w:t>
      </w:r>
      <w:r>
        <w:rPr/>
        <w:t xml:space="preserve"> </w:t>
      </w:r>
      <w:r>
        <w:rPr>
          <w:u w:val="single" w:color="auto"/>
          <w:spacing w:val="-1"/>
        </w:rPr>
        <w:t>纷”案由协调适用的问题。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21"/>
        <w:spacing w:before="61" w:line="339" w:lineRule="auto"/>
        <w:rPr/>
      </w:pPr>
      <w:r>
        <w:rPr>
          <w:spacing w:val="7"/>
        </w:rPr>
        <w:t>根据《案由规定》,“物权纠纷”案由由登记纠纷(涉及不动产登记管理)、物上请求权纠纷、物权类型</w:t>
      </w:r>
      <w:r>
        <w:rPr>
          <w:spacing w:val="1"/>
        </w:rPr>
        <w:t xml:space="preserve"> </w:t>
      </w:r>
      <w:r>
        <w:rPr>
          <w:spacing w:val="9"/>
        </w:rPr>
        <w:t>纠纷、占有保护纠纷(占有本身是一种事实状态，不是权利，但会产生一定的法律效力)四部分组</w:t>
      </w:r>
      <w:r>
        <w:rPr>
          <w:spacing w:val="8"/>
        </w:rPr>
        <w:t>成。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right="14"/>
        <w:spacing w:before="63" w:line="350" w:lineRule="auto"/>
        <w:jc w:val="both"/>
        <w:rPr/>
      </w:pPr>
      <w:r>
        <w:rPr>
          <w:spacing w:val="11"/>
        </w:rPr>
        <w:t>其中：(1)物上请求权纠纷即“物权保护纠纷”,该案由项下包括物权确认纠纷(例如：所有权确认纠</w:t>
      </w:r>
      <w:r>
        <w:rPr>
          <w:spacing w:val="13"/>
        </w:rPr>
        <w:t xml:space="preserve"> </w:t>
      </w:r>
      <w:r>
        <w:rPr>
          <w:spacing w:val="12"/>
        </w:rPr>
        <w:t>纷、用益物权确认纠纷、担保物权确认纠纷),也包括</w:t>
      </w:r>
      <w:r>
        <w:rPr>
          <w:spacing w:val="11"/>
        </w:rPr>
        <w:t>物权侵害纠纷(例如：返还原物纠纷、排除妨害</w:t>
      </w:r>
      <w:r>
        <w:rPr/>
        <w:t xml:space="preserve"> </w:t>
      </w:r>
      <w:r>
        <w:rPr>
          <w:spacing w:val="-3"/>
        </w:rPr>
        <w:t>纠纷、消除危险纠纷等)。(2)物权类型</w:t>
      </w:r>
      <w:r>
        <w:rPr>
          <w:spacing w:val="-4"/>
        </w:rPr>
        <w:t>纠纷则包括“所有权纠纷”“用益物权纠纷”“担保物权纠纷”。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39"/>
        <w:spacing w:before="62" w:line="360" w:lineRule="auto"/>
        <w:rPr/>
      </w:pPr>
      <w:r>
        <w:rPr>
          <w:spacing w:val="1"/>
        </w:rPr>
        <w:t>在适用物权纠纷案由时，会遇到同一事实，既</w:t>
      </w:r>
      <w:r>
        <w:rPr/>
        <w:t>可以归入“物权保护纠纷”项下的案由，也可以归入“所有</w:t>
      </w:r>
      <w:r>
        <w:rPr/>
        <w:t xml:space="preserve"> </w:t>
      </w:r>
      <w:r>
        <w:rPr>
          <w:spacing w:val="-12"/>
        </w:rPr>
        <w:t>权纠纷”“用益物权纠纷”“担保物权纠纷”项</w:t>
      </w:r>
      <w:r>
        <w:rPr>
          <w:spacing w:val="-13"/>
        </w:rPr>
        <w:t>下案由。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31763</wp:posOffset>
            </wp:positionH>
            <wp:positionV relativeFrom="paragraph">
              <wp:posOffset>28359</wp:posOffset>
            </wp:positionV>
            <wp:extent cx="6352" cy="2774937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7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2"/>
        <w:spacing w:before="62" w:line="224" w:lineRule="auto"/>
        <w:rPr/>
      </w:pPr>
      <w:r>
        <w:rPr>
          <w:b/>
          <w:bCs/>
          <w:color w:val="208090"/>
          <w:spacing w:val="-5"/>
        </w:rPr>
        <w:t>例如：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10" w:right="88"/>
        <w:spacing w:before="63" w:line="353" w:lineRule="auto"/>
        <w:tabs>
          <w:tab w:val="left" w:pos="8710"/>
        </w:tabs>
        <w:jc w:val="both"/>
        <w:rPr/>
      </w:pPr>
      <w:r>
        <w:rPr>
          <w:spacing w:val="3"/>
        </w:rPr>
        <w:t>关于“物权保护纠纷”项下的物权确认：所有权纠纷中的共有权确认纠纷，可归入“物权保护纠纷”</w:t>
      </w:r>
      <w:r>
        <w:rPr>
          <w:spacing w:val="9"/>
        </w:rPr>
        <w:t xml:space="preserve"> </w:t>
      </w:r>
      <w:r>
        <w:rPr>
          <w:spacing w:val="3"/>
        </w:rPr>
        <w:t>项下的所有权确认纠纷；用益物权纠纷中的土地承包经营权确认纠纷，可归入“物权保护纠纷”项</w:t>
      </w:r>
      <w:r>
        <w:rPr>
          <w:spacing w:val="4"/>
        </w:rPr>
        <w:t xml:space="preserve">   </w:t>
      </w:r>
      <w:r>
        <w:rPr>
          <w:spacing w:val="8"/>
        </w:rPr>
        <w:t>下的用益物权确认纠纷；债权人要求确认抵押权代持关系的抵押</w:t>
      </w:r>
      <w:r>
        <w:rPr>
          <w:spacing w:val="7"/>
        </w:rPr>
        <w:t>权纠纷(《担保解释》第四条)可</w:t>
      </w:r>
      <w:r>
        <w:rPr/>
        <w:tab/>
      </w:r>
      <w:r>
        <w:rPr/>
        <w:t xml:space="preserve"> </w:t>
      </w:r>
      <w:r>
        <w:rPr>
          <w:spacing w:val="-4"/>
        </w:rPr>
        <w:t>归入“物权保护纠纷”项下的担保物权确认纠纷。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10" w:right="88"/>
        <w:spacing w:before="62" w:line="353" w:lineRule="auto"/>
        <w:rPr/>
      </w:pPr>
      <w:r>
        <w:rPr>
          <w:spacing w:val="3"/>
        </w:rPr>
        <w:t>关于“物权保护纠纷”项下的物权侵害：所有权纠纷中的遗失物返还纠纷，可归入“物权保护纠纷”</w:t>
      </w:r>
      <w:r>
        <w:rPr>
          <w:spacing w:val="9"/>
        </w:rPr>
        <w:t xml:space="preserve"> </w:t>
      </w:r>
      <w:r>
        <w:rPr>
          <w:spacing w:val="3"/>
        </w:rPr>
        <w:t>项下的返还原物纠纷；用益物权纠纷中的居住权纠纷，可归入“物权保护纠纷”项下的排除妨害纠</w:t>
      </w:r>
      <w:r>
        <w:rPr>
          <w:spacing w:val="5"/>
        </w:rPr>
        <w:t xml:space="preserve">   </w:t>
      </w:r>
      <w:r>
        <w:rPr>
          <w:spacing w:val="3"/>
        </w:rPr>
        <w:t>纷；抵押权人要求抵押人停止减少抵押财产价值的抵押权纠纷，可归入“物权保护纠纷”项下的恢</w:t>
      </w:r>
      <w:r>
        <w:rPr>
          <w:spacing w:val="2"/>
        </w:rPr>
        <w:t xml:space="preserve">   </w:t>
      </w:r>
      <w:r>
        <w:rPr>
          <w:spacing w:val="2"/>
        </w:rPr>
        <w:t>复原状纠纷。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62" w:line="352" w:lineRule="auto"/>
        <w:tabs>
          <w:tab w:val="left" w:pos="130"/>
        </w:tabs>
        <w:jc w:val="both"/>
        <w:rPr/>
      </w:pPr>
      <w:r>
        <w:rPr>
          <w:spacing w:val="5"/>
        </w:rPr>
        <w:t>正因为存在上述情况，故在具体适用过程中，当事人的诉讼请求仅涉及“物权保护纠纷”项下的一种物</w:t>
      </w:r>
      <w:r>
        <w:rPr>
          <w:spacing w:val="3"/>
        </w:rPr>
        <w:t xml:space="preserve"> </w:t>
      </w:r>
      <w:r>
        <w:rPr>
          <w:spacing w:val="-1"/>
        </w:rPr>
        <w:t>权请求权或者债权请求权</w:t>
      </w:r>
      <w:r>
        <w:rPr>
          <w:spacing w:val="-1"/>
        </w:rPr>
        <w:t xml:space="preserve"> </w:t>
      </w:r>
      <w:r>
        <w:rPr>
          <w:spacing w:val="-1"/>
        </w:rPr>
        <w:t>的：优先适用“所有权纠纷”“用益物权纠纷”“担保物权纠纷”项下的第四级</w:t>
      </w:r>
      <w:r>
        <w:rPr>
          <w:spacing w:val="8"/>
        </w:rPr>
        <w:t xml:space="preserve"> </w:t>
      </w:r>
      <w:r>
        <w:rPr>
          <w:spacing w:val="4"/>
        </w:rPr>
        <w:t>案由(物权类型纠纷)。没有对应的第四级案由的，适用相应的“物</w:t>
      </w:r>
      <w:r>
        <w:rPr>
          <w:spacing w:val="4"/>
        </w:rPr>
        <w:t xml:space="preserve">   </w:t>
      </w:r>
      <w:r>
        <w:rPr>
          <w:b/>
          <w:bCs/>
          <w:spacing w:val="4"/>
        </w:rPr>
        <w:t>案由规定理解与适用</w:t>
      </w:r>
      <w:r>
        <w:rPr>
          <w:rFonts w:ascii="SimSun" w:hAnsi="SimSun" w:eastAsia="SimSun" w:cs="SimSun"/>
          <w:b/>
          <w:bCs/>
        </w:rPr>
        <w:t>pdf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spacing w:val="4"/>
        </w:rPr>
        <w:t>第三级</w:t>
      </w:r>
      <w:r>
        <w:rPr>
          <w:spacing w:val="14"/>
        </w:rPr>
        <w:t xml:space="preserve"> </w:t>
      </w:r>
      <w:r>
        <w:rPr>
          <w:spacing w:val="9"/>
        </w:rPr>
        <w:t>案由(物上请求权纠纷)。当事人的诉讼请求涉及“物权保护纠纷”项下的两种或者两种以上物权请求</w:t>
      </w:r>
      <w:r>
        <w:rPr>
          <w:spacing w:val="14"/>
        </w:rPr>
        <w:t xml:space="preserve"> </w:t>
      </w:r>
      <w:r>
        <w:rPr>
          <w:spacing w:val="1"/>
        </w:rPr>
        <w:t>权、债权请求权的：适用“所有权纠纷”“用益物权纠纷”“担保物权纠纷”项下的第三级、第二级案由</w:t>
      </w:r>
      <w:r>
        <w:rPr>
          <w:spacing w:val="5"/>
        </w:rPr>
        <w:t xml:space="preserve"> </w:t>
      </w:r>
      <w:r>
        <w:rPr/>
        <w:tab/>
      </w:r>
      <w:r>
        <w:rPr>
          <w:spacing w:val="1"/>
        </w:rPr>
        <w:t>(物权类型纠纷)。</w:t>
      </w:r>
    </w:p>
    <w:p>
      <w:pPr>
        <w:spacing w:line="352" w:lineRule="auto"/>
        <w:sectPr>
          <w:pgSz w:w="11910" w:h="16840"/>
          <w:pgMar w:top="400" w:right="1579" w:bottom="0" w:left="1529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542"/>
        <w:spacing w:before="62" w:line="222" w:lineRule="auto"/>
        <w:outlineLvl w:val="4"/>
        <w:rPr/>
      </w:pPr>
      <w:r>
        <w:rPr>
          <w:b/>
          <w:bCs/>
          <w:spacing w:val="8"/>
        </w:rPr>
        <w:t>四</w:t>
      </w:r>
      <w:r>
        <w:rPr>
          <w:spacing w:val="-40"/>
        </w:rPr>
        <w:t xml:space="preserve"> </w:t>
      </w:r>
      <w:r>
        <w:rPr>
          <w:b/>
          <w:bCs/>
          <w:spacing w:val="8"/>
        </w:rPr>
        <w:t>、其他注意事项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2" w:line="222" w:lineRule="auto"/>
        <w:rPr/>
      </w:pPr>
      <w:r>
        <w:rPr>
          <w:spacing w:val="-10"/>
        </w:rPr>
        <w:t>(</w:t>
      </w:r>
      <w:r>
        <w:rPr>
          <w:spacing w:val="-43"/>
        </w:rPr>
        <w:t xml:space="preserve"> </w:t>
      </w:r>
      <w:r>
        <w:rPr>
          <w:spacing w:val="-10"/>
        </w:rPr>
        <w:t>一</w:t>
      </w:r>
      <w:r>
        <w:rPr>
          <w:spacing w:val="-51"/>
        </w:rPr>
        <w:t xml:space="preserve"> </w:t>
      </w:r>
      <w:r>
        <w:rPr>
          <w:spacing w:val="-10"/>
        </w:rPr>
        <w:t>)</w:t>
      </w:r>
      <w:r>
        <w:rPr>
          <w:spacing w:val="20"/>
        </w:rPr>
        <w:t xml:space="preserve">   </w:t>
      </w:r>
      <w:r>
        <w:rPr>
          <w:b/>
          <w:bCs/>
          <w:color w:val="208090"/>
          <w:spacing w:val="-10"/>
        </w:rPr>
        <w:t>案由的变更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6"/>
        <w:spacing w:before="62" w:line="349" w:lineRule="auto"/>
        <w:rPr/>
      </w:pPr>
      <w:r>
        <w:rPr>
          <w:spacing w:val="14"/>
        </w:rPr>
        <w:t>立案阶段，案由由原告自主选择确定(特别是在请求</w:t>
      </w:r>
      <w:r>
        <w:rPr>
          <w:spacing w:val="13"/>
        </w:rPr>
        <w:t>权竞合的情况下，需要当事人选择)。审理过程</w:t>
      </w:r>
      <w:r>
        <w:rPr/>
        <w:t xml:space="preserve"> </w:t>
      </w:r>
      <w:r>
        <w:rPr>
          <w:spacing w:val="5"/>
        </w:rPr>
        <w:t>中，法院发现可以适用更低级案由的，相应变更个案案由。案由由法院根据</w:t>
      </w:r>
      <w:r>
        <w:rPr>
          <w:spacing w:val="4"/>
        </w:rPr>
        <w:t>查明的法律关系予以变更、</w:t>
      </w:r>
      <w:r>
        <w:rPr/>
        <w:t xml:space="preserve"> </w:t>
      </w:r>
      <w:r>
        <w:rPr>
          <w:spacing w:val="5"/>
        </w:rPr>
        <w:t>确定。审理过程中，法院发现当事人起诉的法律关系与实际诉争的法律关系不一致的，</w:t>
      </w:r>
      <w:r>
        <w:rPr>
          <w:spacing w:val="4"/>
        </w:rPr>
        <w:t>结案时应当根据</w:t>
      </w:r>
      <w:r>
        <w:rPr/>
        <w:t xml:space="preserve"> </w:t>
      </w:r>
      <w:r>
        <w:rPr>
          <w:spacing w:val="5"/>
        </w:rPr>
        <w:t>法庭查明的当事人之间实际存在的法律关系的性质，相应变更个案案由。当事人在诉讼过程</w:t>
      </w:r>
      <w:r>
        <w:rPr>
          <w:spacing w:val="4"/>
        </w:rPr>
        <w:t>中增加或者</w:t>
      </w:r>
      <w:r>
        <w:rPr/>
        <w:t xml:space="preserve"> </w:t>
      </w:r>
      <w:r>
        <w:rPr>
          <w:spacing w:val="4"/>
        </w:rPr>
        <w:t>变更诉讼请求导致当事人诉争的法律关系发生变更的，应当相应变更案由。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1" w:line="222" w:lineRule="auto"/>
        <w:rPr/>
      </w:pPr>
      <w:r>
        <w:rPr/>
        <w:t>(二)</w:t>
      </w:r>
      <w:r>
        <w:rPr>
          <w:spacing w:val="30"/>
        </w:rPr>
        <w:t xml:space="preserve">   </w:t>
      </w:r>
      <w:r>
        <w:rPr>
          <w:b/>
          <w:bCs/>
          <w:color w:val="208090"/>
        </w:rPr>
        <w:t>多个法律关系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62" w:line="358" w:lineRule="auto"/>
        <w:jc w:val="both"/>
        <w:rPr/>
      </w:pPr>
      <w:r>
        <w:rPr>
          <w:spacing w:val="5"/>
        </w:rPr>
        <w:t>案件涉及多个法律关系的，根据当事人诉争的法律关系确定案由。均为诉争法律关系的</w:t>
      </w:r>
      <w:r>
        <w:rPr>
          <w:spacing w:val="4"/>
        </w:rPr>
        <w:t>，则按诉争法律</w:t>
      </w:r>
      <w:r>
        <w:rPr/>
        <w:t xml:space="preserve"> </w:t>
      </w:r>
      <w:r>
        <w:rPr>
          <w:spacing w:val="7"/>
        </w:rPr>
        <w:t>关系并列确定案由。比如：在当事人对对方当事人进行诽谤、侮辱而是否对外公开(降低当</w:t>
      </w:r>
      <w:r>
        <w:rPr>
          <w:spacing w:val="6"/>
        </w:rPr>
        <w:t>事人社会评</w:t>
      </w:r>
      <w:r>
        <w:rPr/>
        <w:t xml:space="preserve"> </w:t>
      </w:r>
      <w:r>
        <w:rPr>
          <w:spacing w:val="2"/>
        </w:rPr>
        <w:t>价)存疑时，案由宜定为名誉权纠纷、</w:t>
      </w:r>
      <w:r>
        <w:rPr>
          <w:spacing w:val="46"/>
        </w:rPr>
        <w:t xml:space="preserve"> </w:t>
      </w:r>
      <w:r>
        <w:rPr>
          <w:spacing w:val="2"/>
        </w:rPr>
        <w:t>一般人格权纠</w:t>
      </w:r>
      <w:r>
        <w:rPr>
          <w:spacing w:val="1"/>
        </w:rPr>
        <w:t>纷。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2" w:line="220" w:lineRule="auto"/>
        <w:rPr/>
      </w:pPr>
      <w:r>
        <w:rPr>
          <w:spacing w:val="2"/>
        </w:rPr>
        <w:t>(三)</w:t>
      </w:r>
      <w:r>
        <w:rPr>
          <w:spacing w:val="24"/>
        </w:rPr>
        <w:t xml:space="preserve">   </w:t>
      </w:r>
      <w:r>
        <w:rPr>
          <w:b/>
          <w:bCs/>
          <w:color w:val="2080A0"/>
          <w:spacing w:val="2"/>
        </w:rPr>
        <w:t>案由不是起诉条件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16"/>
        <w:spacing w:before="62" w:line="367" w:lineRule="auto"/>
        <w:rPr/>
      </w:pPr>
      <w:r>
        <w:rPr>
          <w:spacing w:val="5"/>
        </w:rPr>
        <w:t>案由体系是法院进行民事审判管理的手段。法院不得以当事人诉请没有相应案由可适用为由</w:t>
      </w:r>
      <w:r>
        <w:rPr>
          <w:spacing w:val="4"/>
        </w:rPr>
        <w:t>，裁定不予</w:t>
      </w:r>
      <w:r>
        <w:rPr/>
        <w:t xml:space="preserve"> </w:t>
      </w:r>
      <w:r>
        <w:rPr>
          <w:spacing w:val="3"/>
        </w:rPr>
        <w:t>受理或者裁定驳回起诉。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2" w:line="222" w:lineRule="auto"/>
        <w:rPr/>
      </w:pPr>
      <w:r>
        <w:rPr>
          <w:spacing w:val="5"/>
        </w:rPr>
        <w:t>(四)</w:t>
      </w:r>
      <w:r>
        <w:rPr>
          <w:spacing w:val="21"/>
        </w:rPr>
        <w:t xml:space="preserve">   </w:t>
      </w:r>
      <w:r>
        <w:rPr>
          <w:b/>
          <w:bCs/>
          <w:color w:val="2080A0"/>
          <w:spacing w:val="5"/>
        </w:rPr>
        <w:t>选择性案由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20"/>
        <w:spacing w:before="63" w:line="365" w:lineRule="auto"/>
        <w:rPr/>
      </w:pPr>
      <w:r>
        <w:rPr>
          <w:spacing w:val="5"/>
        </w:rPr>
        <w:t>应根据具体案情，确定相应的个案案由，不应直接全部引用。例如“生命权、身体权</w:t>
      </w:r>
      <w:r>
        <w:rPr>
          <w:spacing w:val="4"/>
        </w:rPr>
        <w:t>、健康权纠纷”案</w:t>
      </w:r>
      <w:r>
        <w:rPr/>
        <w:t xml:space="preserve"> </w:t>
      </w:r>
      <w:r>
        <w:rPr>
          <w:spacing w:val="5"/>
        </w:rPr>
        <w:t>由。应根据实际情况，选择生命权纠纷、身体权纠纷或健康权纠纷，不得直</w:t>
      </w:r>
      <w:r>
        <w:rPr>
          <w:spacing w:val="4"/>
        </w:rPr>
        <w:t>接使用“生命权、身体权、</w:t>
      </w:r>
      <w:r>
        <w:rPr/>
        <w:t xml:space="preserve"> </w:t>
      </w:r>
      <w:r>
        <w:rPr>
          <w:spacing w:val="-3"/>
        </w:rPr>
        <w:t>健康权纠纷”作为案件案由。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2" w:line="222" w:lineRule="auto"/>
        <w:rPr/>
      </w:pPr>
      <w:r>
        <w:rPr>
          <w:spacing w:val="4"/>
        </w:rPr>
        <w:t>(五)</w:t>
      </w:r>
      <w:r>
        <w:rPr>
          <w:spacing w:val="25"/>
        </w:rPr>
        <w:t xml:space="preserve">   </w:t>
      </w:r>
      <w:r>
        <w:rPr>
          <w:b/>
          <w:bCs/>
          <w:color w:val="2080A0"/>
          <w:spacing w:val="4"/>
        </w:rPr>
        <w:t>案由与法律规定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63" w:line="347" w:lineRule="auto"/>
        <w:jc w:val="both"/>
        <w:rPr/>
      </w:pPr>
      <w:r>
        <w:pict>
          <v:group id="_x0000_s14" style="position:absolute;margin-left:6.00265pt;margin-top:80.3174pt;mso-position-vertical-relative:text;mso-position-horizontal-relative:text;width:429.5pt;height:99.05pt;z-index:-251638784;" filled="false" stroked="false" coordsize="8590,1981" coordorigin="0,0">
            <v:shape id="_x0000_s16" style="position:absolute;left:0;top:0;width:8590;height:1981;" filled="false" stroked="false" type="#_x0000_t75">
              <v:imagedata o:title="" r:id="rId15"/>
            </v:shape>
            <v:shape id="_x0000_s18" style="position:absolute;left:-20;top:-20;width:8630;height:20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5932"/>
                      <w:spacing w:before="62" w:line="212" w:lineRule="auto"/>
                      <w:rPr>
                        <w:rFonts w:ascii="Times New Roman" w:hAnsi="Times New Roman" w:eastAsia="Times New Roman" w:cs="Times New Roman"/>
                      </w:rPr>
                    </w:pPr>
                    <w:r>
                      <w:rPr>
                        <w:b/>
                        <w:bCs/>
                        <w:spacing w:val="-2"/>
                      </w:rPr>
                      <w:t>案由规定理解与适用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-2"/>
                      </w:rPr>
                      <w:t>pdf</w:t>
                    </w:r>
                  </w:p>
                  <w:p>
                    <w:pPr>
                      <w:pStyle w:val="BodyText"/>
                      <w:ind w:left="3880"/>
                      <w:spacing w:before="191" w:line="222" w:lineRule="auto"/>
                      <w:rPr/>
                    </w:pPr>
                    <w:r>
                      <w:rPr>
                        <w:spacing w:val="17"/>
                      </w:rPr>
                      <w:t>本文作者</w:t>
                    </w:r>
                  </w:p>
                </w:txbxContent>
              </v:textbox>
            </v:shape>
          </v:group>
        </w:pict>
      </w:r>
      <w:r>
        <w:rPr>
          <w:spacing w:val="9"/>
        </w:rPr>
        <w:t>本指引所涉及的案由仅为一种思考方法。但并不应僵化理解。比如：在处理祖辈骨灰保管权纠纷案件</w:t>
      </w:r>
      <w:r>
        <w:rPr>
          <w:spacing w:val="11"/>
        </w:rPr>
        <w:t xml:space="preserve"> </w:t>
      </w:r>
      <w:r>
        <w:rPr>
          <w:spacing w:val="5"/>
        </w:rPr>
        <w:t>时，可能同时涉及家庭内部达成的保管合同纠纷、立嘱人要求某子女保管的继承纠纷、子女内部矛盾引</w:t>
      </w:r>
      <w:r>
        <w:rPr>
          <w:spacing w:val="12"/>
        </w:rPr>
        <w:t xml:space="preserve"> </w:t>
      </w:r>
      <w:r>
        <w:rPr>
          <w:spacing w:val="5"/>
        </w:rPr>
        <w:t>发的返还原物纠纷、以及涉及祭奠权的一般人格权纠纷。在办理具体案件时，应遵循</w:t>
      </w:r>
      <w:r>
        <w:rPr>
          <w:spacing w:val="4"/>
        </w:rPr>
        <w:t>上述思考方法，但</w:t>
      </w:r>
      <w:r>
        <w:rPr/>
        <w:t xml:space="preserve"> </w:t>
      </w:r>
      <w:r>
        <w:rPr>
          <w:spacing w:val="11"/>
        </w:rPr>
        <w:t>又不应僵化考虑。应结合案情灵活考虑选用最合适的请求权基础(法律依据),进而参照最高人民法院</w:t>
      </w:r>
      <w:r>
        <w:rPr>
          <w:spacing w:val="5"/>
        </w:rPr>
        <w:t xml:space="preserve"> </w:t>
      </w:r>
      <w:r>
        <w:rPr>
          <w:spacing w:val="4"/>
        </w:rPr>
        <w:t>民事案件案由规定理解与适用等书籍，确定案件相应</w:t>
      </w:r>
      <w:r>
        <w:rPr>
          <w:spacing w:val="3"/>
        </w:rPr>
        <w:t>的案由。</w:t>
      </w:r>
    </w:p>
    <w:p>
      <w:pPr>
        <w:spacing w:line="347" w:lineRule="auto"/>
        <w:sectPr>
          <w:pgSz w:w="11910" w:h="16840"/>
          <w:pgMar w:top="400" w:right="1581" w:bottom="0" w:left="1539" w:header="0" w:footer="0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5285449</wp:posOffset>
            </wp:positionH>
            <wp:positionV relativeFrom="paragraph">
              <wp:posOffset>136772</wp:posOffset>
            </wp:positionV>
            <wp:extent cx="6352" cy="64960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649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516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6"/>
        </w:rPr>
        <w:t>田思远律师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973" w:right="3220"/>
        <w:spacing w:before="55" w:line="4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博和汉商律师事务所高级合伙人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上海律协民事专业委员会副主任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723"/>
        <w:spacing w:before="49" w:line="22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专业领域：</w:t>
      </w:r>
    </w:p>
    <w:p>
      <w:pPr>
        <w:pStyle w:val="BodyText"/>
        <w:ind w:left="2803"/>
        <w:spacing w:before="168" w:line="22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商事争议解决、房地产、金融衍生品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3223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tiansiyuan@bhslaw.cn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636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1"/>
        </w:rPr>
        <w:t>邬杉律师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145"/>
        <w:spacing w:before="56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4"/>
        </w:rPr>
        <w:t>博和汉商律师事务所合伙人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723"/>
        <w:spacing w:before="49" w:line="22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专业领域：</w:t>
      </w:r>
    </w:p>
    <w:p>
      <w:pPr>
        <w:pStyle w:val="BodyText"/>
        <w:ind w:left="2803"/>
        <w:spacing w:before="149" w:line="22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商事争议解决、房地产、金融衍生品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3333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wushan@bhslaw.cn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1195989</wp:posOffset>
            </wp:positionH>
            <wp:positionV relativeFrom="paragraph">
              <wp:posOffset>53606</wp:posOffset>
            </wp:positionV>
            <wp:extent cx="4083107" cy="64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107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3523"/>
        <w:spacing w:line="570" w:lineRule="exact"/>
        <w:rPr/>
      </w:pPr>
      <w:r>
        <w:rPr>
          <w:position w:val="-11"/>
        </w:rPr>
        <w:drawing>
          <wp:inline distT="0" distB="0" distL="0" distR="0">
            <wp:extent cx="806502" cy="36197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502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5418780</wp:posOffset>
            </wp:positionH>
            <wp:positionV relativeFrom="paragraph">
              <wp:posOffset>177830</wp:posOffset>
            </wp:positionV>
            <wp:extent cx="6352" cy="141601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41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4983"/>
        <w:spacing w:before="1" w:line="1290" w:lineRule="exact"/>
        <w:rPr/>
      </w:pPr>
      <w:r>
        <w:rPr>
          <w:position w:val="-25"/>
        </w:rPr>
        <w:pict>
          <v:group id="_x0000_s20" style="mso-position-vertical-relative:line;mso-position-horizontal-relative:char;width:173pt;height:64.5pt;" filled="false" stroked="false" coordsize="3460,1290" coordorigin="0,0">
            <v:shape id="_x0000_s22" style="position:absolute;left:0;top:0;width:3460;height:1290;" filled="false" stroked="false" type="#_x0000_t75">
              <v:imagedata o:title="" r:id="rId20"/>
            </v:shape>
            <v:shape id="_x0000_s24" style="position:absolute;left:-20;top:-20;width:3500;height:1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2"/>
                      <w:spacing w:before="56" w:line="212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16"/>
                      </w:rPr>
                      <w:t>案由规定理解与适用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b/>
                        <w:bCs/>
                      </w:rPr>
                      <w:t>pdf</w:t>
                    </w:r>
                  </w:p>
                </w:txbxContent>
              </v:textbox>
            </v:shape>
          </v:group>
        </w:pict>
      </w:r>
    </w:p>
    <w:p>
      <w:pPr>
        <w:spacing w:line="1290" w:lineRule="exact"/>
        <w:sectPr>
          <w:pgSz w:w="11910" w:h="16840"/>
          <w:pgMar w:top="400" w:right="1579" w:bottom="0" w:left="1786" w:header="0" w:footer="0" w:gutter="0"/>
        </w:sectPr>
        <w:rPr/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4170"/>
        <w:spacing w:before="55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02:31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320"/>
        <w:spacing w:before="62" w:line="222" w:lineRule="auto"/>
        <w:rPr/>
      </w:pPr>
      <w:r>
        <w:rPr>
          <w:spacing w:val="4"/>
        </w:rPr>
        <w:t>博和汉商十五周年宣传片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3932"/>
        <w:spacing w:before="62" w:line="222" w:lineRule="auto"/>
        <w:rPr/>
      </w:pPr>
      <w:r>
        <w:rPr>
          <w:b/>
          <w:bCs/>
          <w:color w:val="2080A0"/>
          <w:spacing w:val="28"/>
        </w:rPr>
        <w:t>往期文章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80"/>
        <w:spacing w:before="62" w:line="417" w:lineRule="auto"/>
        <w:rPr/>
      </w:pPr>
      <w:r>
        <w:rPr>
          <w:spacing w:val="16"/>
        </w:rPr>
        <w:t>荣誉|博和汉商及律师入选律新社《精品法律服务品牌指南(2025):企业商事领域(华东)》</w:t>
      </w:r>
      <w:r>
        <w:rPr/>
        <w:t xml:space="preserve"> </w:t>
      </w:r>
      <w:r>
        <w:rPr>
          <w:spacing w:val="7"/>
        </w:rPr>
        <w:t>荣誉|博和汉商律师在第五届上海律师红色影视经典配音大赛中荣获佳绩</w:t>
      </w:r>
    </w:p>
    <w:p>
      <w:pPr>
        <w:pStyle w:val="BodyText"/>
        <w:ind w:left="580"/>
        <w:spacing w:before="1" w:line="217" w:lineRule="auto"/>
        <w:rPr/>
      </w:pPr>
      <w:r>
        <w:rPr>
          <w:spacing w:val="8"/>
        </w:rPr>
        <w:t>活动预告</w:t>
      </w:r>
      <w:r>
        <w:rPr>
          <w:spacing w:val="-32"/>
        </w:rPr>
        <w:t xml:space="preserve"> </w:t>
      </w:r>
      <w:r>
        <w:rPr>
          <w:spacing w:val="8"/>
        </w:rPr>
        <w:t>|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BHS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spacing w:val="8"/>
        </w:rPr>
        <w:t>刑辩之声第六期《何以无罪?刑民交</w:t>
      </w:r>
      <w:r>
        <w:rPr>
          <w:spacing w:val="7"/>
        </w:rPr>
        <w:t>叉案件中的辩护思考》</w:t>
      </w:r>
    </w:p>
    <w:p>
      <w:pPr>
        <w:pStyle w:val="BodyText"/>
        <w:ind w:left="580"/>
        <w:spacing w:before="206" w:line="217" w:lineRule="auto"/>
        <w:rPr/>
      </w:pPr>
      <w:r>
        <w:rPr>
          <w:spacing w:val="10"/>
        </w:rPr>
        <w:t>综述!聚焦新质生产力的刑事法治理论|第十六届博和法律论坛精彩回顾</w:t>
      </w:r>
    </w:p>
    <w:p>
      <w:pPr>
        <w:pStyle w:val="BodyText"/>
        <w:ind w:left="550"/>
        <w:spacing w:before="207" w:line="217" w:lineRule="auto"/>
        <w:rPr/>
      </w:pPr>
      <w:r>
        <w:rPr>
          <w:spacing w:val="9"/>
        </w:rPr>
        <w:t>资讯|博和汉商党总支与威斯特物业党支部、荣和公司党</w:t>
      </w:r>
      <w:r>
        <w:rPr>
          <w:spacing w:val="8"/>
        </w:rPr>
        <w:t>支部开展党建共建活动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140"/>
        <w:spacing w:before="62" w:line="221" w:lineRule="auto"/>
        <w:rPr/>
      </w:pPr>
      <w:r>
        <w:rPr>
          <w:spacing w:val="-4"/>
        </w:rPr>
        <w:t>声</w:t>
      </w:r>
      <w:r>
        <w:rPr>
          <w:spacing w:val="77"/>
        </w:rPr>
        <w:t xml:space="preserve"> </w:t>
      </w:r>
      <w:r>
        <w:rPr>
          <w:spacing w:val="-4"/>
        </w:rPr>
        <w:t>明</w:t>
      </w:r>
    </w:p>
    <w:p>
      <w:pPr>
        <w:pStyle w:val="BodyText"/>
        <w:ind w:left="10" w:right="19" w:hanging="10"/>
        <w:spacing w:before="55" w:line="279" w:lineRule="auto"/>
        <w:rPr/>
      </w:pPr>
      <w:r>
        <w:rPr>
          <w:spacing w:val="-1"/>
        </w:rPr>
        <w:t>本公号刊登文章仅代表作者本人观点，如需转载或引用该等</w:t>
      </w:r>
      <w:r>
        <w:rPr>
          <w:spacing w:val="-2"/>
        </w:rPr>
        <w:t>文章的任何内容，请注明出处。如您有意向就</w:t>
      </w:r>
      <w:r>
        <w:rPr/>
        <w:t xml:space="preserve"> </w:t>
      </w:r>
      <w:r>
        <w:rPr>
          <w:spacing w:val="-2"/>
        </w:rPr>
        <w:t>相关议题进一步探讨交流，欢迎与本所联系。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042"/>
        <w:spacing w:before="62" w:line="212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3314721</wp:posOffset>
            </wp:positionH>
            <wp:positionV relativeFrom="paragraph">
              <wp:posOffset>-249942</wp:posOffset>
            </wp:positionV>
            <wp:extent cx="2184377" cy="81911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377" cy="81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4"/>
        </w:rPr>
        <w:t>案由规定理解与适用</w:t>
      </w:r>
      <w:r>
        <w:rPr>
          <w:rFonts w:ascii="Times New Roman" w:hAnsi="Times New Roman" w:eastAsia="Times New Roman" w:cs="Times New Roman"/>
          <w:b/>
          <w:bCs/>
          <w:spacing w:val="-4"/>
        </w:rPr>
        <w:t>pdf</w:t>
      </w:r>
    </w:p>
    <w:p>
      <w:pPr>
        <w:spacing w:line="212" w:lineRule="auto"/>
        <w:sectPr>
          <w:pgSz w:w="11910" w:h="16840"/>
          <w:pgMar w:top="400" w:right="1674" w:bottom="0" w:left="153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220" w:line="4680" w:lineRule="exact"/>
        <w:rPr/>
      </w:pPr>
      <w:r>
        <w:rPr>
          <w:position w:val="-93"/>
        </w:rPr>
        <w:pict>
          <v:group id="_x0000_s26" style="mso-position-vertical-relative:line;mso-position-horizontal-relative:char;width:441.05pt;height:234.05pt;" filled="false" stroked="false" coordsize="8820,4681" coordorigin="0,0">
            <v:shape id="_x0000_s28" style="position:absolute;left:0;top:0;width:8820;height:4681;" filled="false" stroked="false" type="#_x0000_t75">
              <v:imagedata o:title="" r:id="rId22"/>
            </v:shape>
            <v:shape id="_x0000_s30" style="position:absolute;left:-20;top:-20;width:8860;height:4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/>
                      <w:spacing w:before="190" w:line="198" w:lineRule="auto"/>
                      <w:rPr>
                        <w:rFonts w:ascii="Arial" w:hAnsi="Arial" w:eastAsia="Arial" w:cs="Arial"/>
                        <w:sz w:val="66"/>
                        <w:szCs w:val="66"/>
                      </w:rPr>
                    </w:pPr>
                    <w:r>
                      <w:rPr>
                        <w:rFonts w:ascii="Arial" w:hAnsi="Arial" w:eastAsia="Arial" w:cs="Arial"/>
                        <w:sz w:val="66"/>
                        <w:szCs w:val="66"/>
                        <w:b/>
                        <w:bCs/>
                        <w:color w:val="2070A0"/>
                        <w:spacing w:val="-17"/>
                      </w:rPr>
                      <w:t>BHS</w:t>
                    </w:r>
                  </w:p>
                  <w:p>
                    <w:pPr>
                      <w:ind w:left="529" w:right="3943"/>
                      <w:spacing w:before="89" w:line="280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B  O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4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&amp;    HΛ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2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2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2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-1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2080A0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博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和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汉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商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律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师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事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务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2080A0"/>
                        <w:spacing w:val="-18"/>
                      </w:rPr>
                      <w:t>所</w:t>
                    </w:r>
                  </w:p>
                  <w:p>
                    <w:pPr>
                      <w:ind w:left="529" w:right="3992"/>
                      <w:spacing w:before="242" w:line="285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3"/>
                      </w:rPr>
                      <w:t>博和汉商作为一家深度了解中国实践，极具行业经验的律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2"/>
                      </w:rPr>
                      <w:t>所，以“博采众长、和合天下”为创所宗旨，秉持专业、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4"/>
                      </w:rPr>
                      <w:t>精致、实效、迅捷的服务原则，深度契合客户多样化需</w:t>
                    </w:r>
                  </w:p>
                  <w:p>
                    <w:pPr>
                      <w:ind w:left="529" w:right="3994"/>
                      <w:spacing w:before="1" w:line="285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3"/>
                      </w:rPr>
                      <w:t>求，为客户提供切实可行的法律解决方案，作为客户的忠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2"/>
                      </w:rPr>
                      <w:t>实伙伴，帮助客户实现商业目标。</w:t>
                    </w:r>
                  </w:p>
                </w:txbxContent>
              </v:textbox>
            </v:shape>
          </v:group>
        </w:pic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firstLine="3910"/>
        <w:spacing w:line="1030" w:lineRule="exact"/>
        <w:rPr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82586</wp:posOffset>
            </wp:positionH>
            <wp:positionV relativeFrom="paragraph">
              <wp:posOffset>425649</wp:posOffset>
            </wp:positionV>
            <wp:extent cx="5422866" cy="641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286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drawing>
          <wp:inline distT="0" distB="0" distL="0" distR="0">
            <wp:extent cx="501643" cy="65400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43" cy="6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8"/>
        <w:rPr/>
      </w:pPr>
      <w:r/>
    </w:p>
    <w:p>
      <w:pPr>
        <w:sectPr>
          <w:pgSz w:w="11910" w:h="16840"/>
          <w:pgMar w:top="400" w:right="1549" w:bottom="0" w:left="1539" w:header="0" w:footer="0" w:gutter="0"/>
          <w:cols w:equalWidth="0" w:num="1">
            <w:col w:w="8821" w:space="0"/>
          </w:cols>
        </w:sectPr>
        <w:rPr/>
      </w:pP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1111284</wp:posOffset>
            </wp:positionH>
            <wp:positionV relativeFrom="paragraph">
              <wp:posOffset>0</wp:posOffset>
            </wp:positionV>
            <wp:extent cx="704857" cy="51424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57" cy="5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350"/>
        <w:spacing w:line="4310" w:lineRule="exact"/>
        <w:rPr/>
      </w:pPr>
      <w:r>
        <w:rPr>
          <w:position w:val="-86"/>
        </w:rPr>
        <w:pict>
          <v:group id="_x0000_s32" style="mso-position-vertical-relative:line;mso-position-horizontal-relative:char;width:197pt;height:215.55pt;" filled="false" stroked="false" coordsize="3940,4311" coordorigin="0,0">
            <v:shape id="_x0000_s34" style="position:absolute;left:0;top:0;width:3940;height:4311;" filled="false" stroked="false" type="#_x0000_t75">
              <v:imagedata o:title="" r:id="rId26"/>
            </v:shape>
            <v:shape id="_x0000_s36" style="position:absolute;left:-20;top:-20;width:3980;height:4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60"/>
                      <w:spacing w:before="75" w:line="188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b/>
                        <w:bCs/>
                        <w:color w:val="203040"/>
                        <w:spacing w:val="-9"/>
                      </w:rPr>
                      <w:t>Chambers</w:t>
                    </w:r>
                  </w:p>
                  <w:p>
                    <w:pPr>
                      <w:ind w:left="320"/>
                      <w:spacing w:before="213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2022大中华区争议解决领域</w:t>
                    </w:r>
                  </w:p>
                  <w:p>
                    <w:pPr>
                      <w:ind w:left="320"/>
                      <w:spacing w:before="18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2023大中华区争议解决/公司商事：上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海领域</w:t>
                    </w:r>
                  </w:p>
                  <w:p>
                    <w:pPr>
                      <w:ind w:left="320"/>
                      <w:spacing w:before="15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2023大中华区争议解决领先律师</w:t>
                    </w:r>
                  </w:p>
                  <w:p>
                    <w:pPr>
                      <w:ind w:left="320"/>
                      <w:spacing w:before="18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2024大中华区争议解决/公司商事：上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海领域</w:t>
                    </w:r>
                  </w:p>
                  <w:p>
                    <w:pPr>
                      <w:ind w:left="320"/>
                      <w:spacing w:before="14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2024大中华区争议解决领先律师</w:t>
                    </w:r>
                  </w:p>
                  <w:p>
                    <w:pPr>
                      <w:ind w:left="320"/>
                      <w:spacing w:before="188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2025大中华区争议解决/公司商事：上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海领域</w:t>
                    </w:r>
                  </w:p>
                  <w:p>
                    <w:pPr>
                      <w:ind w:left="320"/>
                      <w:spacing w:before="147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2025大中华区争议解决业界贤达、领先律师</w:t>
                    </w:r>
                  </w:p>
                  <w:p>
                    <w:pPr>
                      <w:ind w:left="320"/>
                      <w:spacing w:before="179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2025全球指南争议解决领域</w:t>
                    </w:r>
                  </w:p>
                  <w:p>
                    <w:pPr>
                      <w:ind w:left="320"/>
                      <w:spacing w:before="177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2025全球指南争议解决业界贤达、领先律师</w:t>
                    </w:r>
                  </w:p>
                </w:txbxContent>
              </v:textbox>
            </v:shape>
          </v:group>
        </w:pic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1206501</wp:posOffset>
            </wp:positionH>
            <wp:positionV relativeFrom="paragraph">
              <wp:posOffset>25450</wp:posOffset>
            </wp:positionV>
            <wp:extent cx="463602" cy="50162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602" cy="50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350"/>
        <w:spacing w:line="2290" w:lineRule="exact"/>
        <w:rPr/>
      </w:pPr>
      <w:r>
        <w:rPr>
          <w:position w:val="-45"/>
        </w:rPr>
        <w:pict>
          <v:group id="_x0000_s38" style="mso-position-vertical-relative:line;mso-position-horizontal-relative:char;width:197pt;height:114.55pt;" filled="false" stroked="false" coordsize="3940,2291" coordorigin="0,0">
            <v:shape id="_x0000_s40" style="position:absolute;left:0;top:0;width:3940;height:2291;" filled="false" stroked="false" type="#_x0000_t75">
              <v:imagedata o:title="" r:id="rId28"/>
            </v:shape>
            <v:shape id="_x0000_s42" style="position:absolute;left:-20;top:-20;width:3980;height:2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9"/>
                      <w:spacing w:before="52" w:line="220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2024亚太地区争议解决：诉讼领域</w:t>
                    </w:r>
                  </w:p>
                  <w:p>
                    <w:pPr>
                      <w:ind w:left="749"/>
                      <w:spacing w:before="99" w:line="220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2025亚太地区争议解决：诉讼领域</w:t>
                    </w:r>
                  </w:p>
                  <w:p>
                    <w:pPr>
                      <w:ind w:left="749"/>
                      <w:spacing w:before="99" w:line="220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2026亚太地区争议解决：诉讼领域</w:t>
                    </w:r>
                  </w:p>
                  <w:p>
                    <w:pPr>
                      <w:ind w:left="320"/>
                      <w:spacing w:before="99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2026亚太中国内地律师榜：上海：领先合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伙人</w:t>
                    </w:r>
                  </w:p>
                  <w:p>
                    <w:pPr>
                      <w:ind w:left="380"/>
                      <w:spacing w:before="118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2026中国精英：上海：争议解决/公司和并购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895365</wp:posOffset>
            </wp:positionH>
            <wp:positionV relativeFrom="paragraph">
              <wp:posOffset>158897</wp:posOffset>
            </wp:positionV>
            <wp:extent cx="1162032" cy="641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2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60"/>
        <w:spacing w:before="67" w:line="188" w:lineRule="auto"/>
        <w:tabs>
          <w:tab w:val="left" w:pos="1160"/>
        </w:tabs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2692449</wp:posOffset>
            </wp:positionH>
            <wp:positionV relativeFrom="paragraph">
              <wp:posOffset>100516</wp:posOffset>
            </wp:positionV>
            <wp:extent cx="6352" cy="69218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69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241331</wp:posOffset>
            </wp:positionH>
            <wp:positionV relativeFrom="paragraph">
              <wp:posOffset>100516</wp:posOffset>
            </wp:positionV>
            <wp:extent cx="6352" cy="69218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69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u w:val="single" w:color="FFA500"/>
          <w:color w:val="205060"/>
        </w:rPr>
        <w:tab/>
      </w:r>
      <w:r>
        <w:rPr>
          <w:rFonts w:ascii="Times New Roman" w:hAnsi="Times New Roman" w:eastAsia="Times New Roman" w:cs="Times New Roman"/>
          <w:sz w:val="23"/>
          <w:szCs w:val="23"/>
          <w:color w:val="205060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05060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05060"/>
          <w:spacing w:val="-1"/>
        </w:rPr>
        <w:t>LEGALBAND</w:t>
      </w:r>
      <w:r>
        <w:rPr>
          <w:rFonts w:ascii="Times New Roman" w:hAnsi="Times New Roman" w:eastAsia="Times New Roman" w:cs="Times New Roman"/>
          <w:sz w:val="23"/>
          <w:szCs w:val="23"/>
          <w:color w:val="205060"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23"/>
          <w:szCs w:val="23"/>
          <w:u w:val="single" w:color="FFA500"/>
          <w:color w:val="205060"/>
        </w:rPr>
        <w:t xml:space="preserve">              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90"/>
        <w:spacing w:before="5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2024年度菁英榜：争议解决律师20强</w:t>
      </w:r>
    </w:p>
    <w:p>
      <w:pPr>
        <w:pStyle w:val="BodyText"/>
        <w:ind w:left="650"/>
        <w:spacing w:before="78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2024年度中国律师特别推荐榜15强：国资国企</w:t>
      </w:r>
    </w:p>
    <w:p>
      <w:pPr>
        <w:pStyle w:val="BodyText"/>
        <w:ind w:left="900"/>
        <w:spacing w:before="39" w:line="201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2025年度客户首选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·全融科站律师152强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line="1849" w:lineRule="exact"/>
        <w:rPr/>
      </w:pPr>
      <w:r>
        <w:rPr>
          <w:position w:val="-36"/>
        </w:rPr>
        <w:pict>
          <v:group id="_x0000_s44" style="mso-position-vertical-relative:line;mso-position-horizontal-relative:char;width:197pt;height:92.5pt;" filled="false" stroked="false" coordsize="3940,1850" coordorigin="0,0">
            <v:shape id="_x0000_s46" style="position:absolute;left:0;top:19;width:3940;height:1831;" filled="false" stroked="false" type="#_x0000_t75">
              <v:imagedata o:title="" r:id="rId32"/>
            </v:shape>
            <v:shape id="_x0000_s48" style="position:absolute;left:-20;top:-20;width:3980;height:1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9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The legal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industry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circle</w:t>
                    </w:r>
                  </w:p>
                  <w:p>
                    <w:pPr>
                      <w:ind w:left="829"/>
                      <w:spacing w:before="28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2024年度中国区客户信赖律师：</w:t>
                    </w:r>
                  </w:p>
                  <w:p>
                    <w:pPr>
                      <w:ind w:left="668" w:right="494" w:hanging="179"/>
                      <w:spacing w:before="107" w:line="325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"/>
                      </w:rPr>
                      <w:t>商业犯罪与刑事合规/政府与公共事务15强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2024中国区实力之星：商业犯罪领域</w:t>
                    </w:r>
                  </w:p>
                  <w:p>
                    <w:pPr>
                      <w:ind w:left="669"/>
                      <w:spacing w:before="6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5"/>
                      </w:rPr>
                      <w:t>2025年度实务精英100强：争议解决</w:t>
                    </w:r>
                  </w:p>
                </w:txbxContent>
              </v:textbox>
            </v:shape>
          </v:group>
        </w:pic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spacing w:line="1011" w:lineRule="exact"/>
        <w:rPr/>
      </w:pPr>
      <w:r>
        <w:rPr>
          <w:position w:val="-20"/>
        </w:rPr>
        <w:pict>
          <v:group id="_x0000_s50" style="mso-position-vertical-relative:line;mso-position-horizontal-relative:char;width:196.5pt;height:50.6pt;" filled="false" stroked="false" coordsize="3930,1011" coordorigin="0,0">
            <v:shape id="_x0000_s52" style="position:absolute;left:0;top:51;width:3930;height:960;" filled="false" stroked="false" type="#_x0000_t75">
              <v:imagedata o:title="" r:id="rId33"/>
            </v:shape>
            <v:shape id="_x0000_s54" style="position:absolute;left:-20;top:-20;width:3970;height:10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9"/>
                      <w:spacing w:before="19" w:line="196" w:lineRule="auto"/>
                      <w:rPr>
                        <w:rFonts w:ascii="Arial" w:hAnsi="Arial" w:eastAsia="Arial" w:cs="Arial"/>
                        <w:sz w:val="29"/>
                        <w:szCs w:val="29"/>
                      </w:rPr>
                    </w:pP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color w:val="D05020"/>
                        <w:spacing w:val="-17"/>
                      </w:rPr>
                      <w:t>Asian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color w:val="D050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color w:val="D05020"/>
                        <w:spacing w:val="-17"/>
                      </w:rPr>
                      <w:t>Legal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color w:val="D050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color w:val="D05020"/>
                        <w:spacing w:val="-17"/>
                      </w:rPr>
                      <w:t>Business</w:t>
                    </w:r>
                  </w:p>
                  <w:p>
                    <w:pPr>
                      <w:ind w:left="349"/>
                      <w:spacing w:before="226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2025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6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ALB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6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China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4"/>
                      </w:rPr>
                      <w:t>区域市场排名：长三角地区</w:t>
                    </w:r>
                  </w:p>
                </w:txbxContent>
              </v:textbox>
            </v:shape>
          </v:group>
        </w:pict>
      </w:r>
    </w:p>
    <w:p>
      <w:pPr>
        <w:spacing w:line="355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1543048</wp:posOffset>
            </wp:positionH>
            <wp:positionV relativeFrom="paragraph">
              <wp:posOffset>139763</wp:posOffset>
            </wp:positionV>
            <wp:extent cx="203138" cy="17141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38" cy="17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763" w:lineRule="exact"/>
        <w:rPr/>
      </w:pPr>
      <w:r>
        <w:rPr>
          <w:position w:val="-35"/>
        </w:rPr>
        <w:pict>
          <v:group id="_x0000_s56" style="mso-position-vertical-relative:line;mso-position-horizontal-relative:char;width:196.5pt;height:88.15pt;" filled="false" stroked="false" coordsize="3930,1763" coordorigin="0,0">
            <v:shape id="_x0000_s58" style="position:absolute;left:0;top:92;width:3930;height:1671;" filled="false" stroked="false" type="#_x0000_t75">
              <v:imagedata o:title="" r:id="rId35"/>
            </v:shape>
            <v:shape id="_x0000_s60" style="position:absolute;left:-20;top:-20;width:3970;height:1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b/>
                        <w:bCs/>
                        <w:color w:val="C03030"/>
                        <w:spacing w:val="-1"/>
                      </w:rPr>
                      <w:t>CHINA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b/>
                        <w:bCs/>
                        <w:color w:val="C03030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b/>
                        <w:bCs/>
                        <w:color w:val="C03030"/>
                        <w:spacing w:val="-1"/>
                      </w:rPr>
                      <w:t>BUSINESS</w:t>
                    </w:r>
                  </w:p>
                  <w:p>
                    <w:pPr>
                      <w:ind w:left="1429"/>
                      <w:spacing w:before="17" w:line="190" w:lineRule="auto"/>
                      <w:rPr>
                        <w:rFonts w:ascii="LiSu" w:hAnsi="LiSu" w:eastAsia="LiSu" w:cs="LiSu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C03040"/>
                        <w:spacing w:val="-2"/>
                      </w:rPr>
                      <w:t>LAW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C03040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C03040"/>
                        <w:spacing w:val="-2"/>
                      </w:rPr>
                      <w:t>JOURNAL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b/>
                        <w:bCs/>
                        <w:spacing w:val="-2"/>
                      </w:rPr>
                      <w:t>诰</w:t>
                    </w:r>
                  </w:p>
                  <w:p>
                    <w:pPr>
                      <w:ind w:left="459"/>
                      <w:spacing w:before="211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List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5"/>
                      </w:rPr>
                      <w:t>法律精英2023中国业务睿见领袖</w:t>
                    </w:r>
                  </w:p>
                  <w:p>
                    <w:pPr>
                      <w:ind w:left="349"/>
                      <w:spacing w:before="78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2024年度卓越律所大奖：政府与公共事务领域</w:t>
                    </w:r>
                  </w:p>
                  <w:p>
                    <w:pPr>
                      <w:ind w:left="459"/>
                      <w:spacing w:before="78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The A-List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1"/>
                      </w:rPr>
                      <w:t>法律精英2025中国业务律师新星</w:t>
                    </w:r>
                  </w:p>
                  <w:p>
                    <w:pPr>
                      <w:ind w:left="459"/>
                      <w:spacing w:before="78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The A-List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1"/>
                      </w:rPr>
                      <w:t>法律精英2025中国业务睿见领袖</w:t>
                    </w:r>
                  </w:p>
                </w:txbxContent>
              </v:textbox>
            </v:shape>
          </v:group>
        </w:pict>
      </w:r>
    </w:p>
    <w:p>
      <w:pPr>
        <w:ind w:firstLine="1719"/>
        <w:spacing w:before="220" w:line="415" w:lineRule="exact"/>
        <w:rPr/>
      </w:pPr>
      <w:r>
        <w:rPr>
          <w:position w:val="-8"/>
        </w:rPr>
        <w:drawing>
          <wp:inline distT="0" distB="0" distL="0" distR="0">
            <wp:extent cx="273094" cy="26348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4" cy="2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55" w:lineRule="exact"/>
        <w:rPr/>
      </w:pPr>
      <w:r>
        <w:rPr>
          <w:position w:val="-29"/>
        </w:rPr>
        <w:pict>
          <v:group id="_x0000_s62" style="mso-position-vertical-relative:line;mso-position-horizontal-relative:char;width:197pt;height:72.75pt;" filled="false" stroked="false" coordsize="3940,1455" coordorigin="0,0">
            <v:shape id="_x0000_s64" style="position:absolute;left:0;top:-14;width:3940;height:1470;" filled="false" stroked="false" type="#_x0000_t75">
              <v:imagedata o:title="" r:id="rId37"/>
            </v:shape>
            <v:shape id="_x0000_s66" style="position:absolute;left:-20;top:-34;width:3980;height:1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79"/>
                      <w:spacing w:before="231" w:line="189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b/>
                        <w:bCs/>
                        <w:spacing w:val="-1"/>
                      </w:rPr>
                      <w:t>BENGAHMARK</w:t>
                    </w:r>
                  </w:p>
                  <w:p>
                    <w:pPr>
                      <w:ind w:left="580"/>
                      <w:spacing w:before="23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2022亚太年度争议解决：商业纠纷领域</w:t>
                    </w:r>
                  </w:p>
                  <w:p>
                    <w:pPr>
                      <w:ind w:left="409"/>
                      <w:spacing w:before="167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>2025年度中国争议解决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>·上海商业纠纷领域</w:t>
                    </w:r>
                  </w:p>
                  <w:p>
                    <w:pPr>
                      <w:ind w:left="1532"/>
                      <w:spacing w:before="7" w:line="21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0"/>
                      </w:rPr>
                      <w:t>案由规定理解与适用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-10"/>
                      </w:rPr>
                      <w:t>pdf</w:t>
                    </w:r>
                  </w:p>
                </w:txbxContent>
              </v:textbox>
            </v:shape>
          </v:group>
        </w:pic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3994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90"/>
        <w:gridCol w:w="104"/>
      </w:tblGrid>
      <w:tr>
        <w:trPr>
          <w:trHeight w:val="626" w:hRule="atLeast"/>
        </w:trPr>
        <w:tc>
          <w:tcPr>
            <w:tcW w:w="3890" w:type="dxa"/>
            <w:vAlign w:val="top"/>
            <w:tcBorders>
              <w:left w:val="single" w:color="FFA500" w:sz="4" w:space="0"/>
              <w:right w:val="single" w:color="FFA500" w:sz="4" w:space="0"/>
            </w:tcBorders>
          </w:tcPr>
          <w:p>
            <w:pPr>
              <w:spacing w:before="1" w:line="197" w:lineRule="auto"/>
              <w:tabs>
                <w:tab w:val="left" w:pos="824"/>
              </w:tabs>
              <w:rPr>
                <w:sz w:val="33"/>
                <w:szCs w:val="33"/>
              </w:rPr>
            </w:pPr>
            <w:r>
              <w:rPr>
                <w:rFonts w:ascii="Arial" w:hAnsi="Arial" w:eastAsia="Arial" w:cs="Arial"/>
                <w:sz w:val="33"/>
                <w:szCs w:val="33"/>
                <w:b/>
                <w:bCs/>
                <w:strike/>
                <w:color w:val="402050"/>
              </w:rPr>
              <w:tab/>
            </w:r>
            <w:r>
              <w:rPr>
                <w:rFonts w:ascii="Arial" w:hAnsi="Arial" w:eastAsia="Arial" w:cs="Arial"/>
                <w:sz w:val="33"/>
                <w:szCs w:val="33"/>
                <w:b/>
                <w:bCs/>
                <w:color w:val="402050"/>
                <w:spacing w:val="12"/>
              </w:rPr>
              <w:t xml:space="preserve">   </w:t>
            </w:r>
            <w:r>
              <w:rPr>
                <w:rFonts w:ascii="Arial" w:hAnsi="Arial" w:eastAsia="Arial" w:cs="Arial"/>
                <w:sz w:val="33"/>
                <w:szCs w:val="33"/>
                <w:b/>
                <w:bCs/>
                <w:color w:val="402050"/>
                <w:spacing w:val="-18"/>
              </w:rPr>
              <w:t>GCProfiles</w:t>
            </w:r>
            <w:r>
              <w:rPr>
                <w:rFonts w:ascii="Arial" w:hAnsi="Arial" w:eastAsia="Arial" w:cs="Arial"/>
                <w:sz w:val="33"/>
                <w:szCs w:val="33"/>
                <w:b/>
                <w:bCs/>
                <w:color w:val="402050"/>
                <w:spacing w:val="-38"/>
              </w:rPr>
              <w:t xml:space="preserve"> </w:t>
            </w:r>
            <w:r>
              <w:rPr>
                <w:sz w:val="33"/>
                <w:szCs w:val="33"/>
                <w:position w:val="18"/>
              </w:rPr>
              <w:drawing>
                <wp:inline distT="0" distB="0" distL="0" distR="0">
                  <wp:extent cx="739176" cy="6401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9176" cy="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39"/>
              <w:spacing w:before="129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2025中国律所年度排夕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5"/>
              </w:rPr>
              <w:t>·</w:t>
            </w:r>
            <w:r>
              <w:rPr>
                <w:sz w:val="16"/>
                <w:szCs w:val="16"/>
                <w:spacing w:val="-41"/>
              </w:rPr>
              <w:t xml:space="preserve"> </w:t>
            </w:r>
            <w:r>
              <w:rPr>
                <w:sz w:val="16"/>
                <w:szCs w:val="16"/>
                <w:spacing w:val="5"/>
              </w:rPr>
              <w:t>争议解五</w:t>
            </w:r>
          </w:p>
        </w:tc>
        <w:tc>
          <w:tcPr>
            <w:tcW w:w="104" w:type="dxa"/>
            <w:vAlign w:val="top"/>
            <w:tcBorders>
              <w:left w:val="single" w:color="FFA5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400" w:right="1549" w:bottom="0" w:left="1539" w:header="0" w:footer="0" w:gutter="0"/>
          <w:cols w:equalWidth="0" w:num="2">
            <w:col w:w="4431" w:space="100"/>
            <w:col w:w="429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50"/>
        <w:spacing w:before="64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ZVLT   区 口I  曰</w:t>
      </w:r>
      <w:r>
        <w:rPr>
          <w:rFonts w:ascii="SimSun" w:hAnsi="SimSun" w:eastAsia="SimSun" w:cs="SimSun"/>
          <w:sz w:val="15"/>
          <w:szCs w:val="15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，业市7TJ</w:t>
      </w:r>
      <w:r>
        <w:rPr>
          <w:rFonts w:ascii="SimSun" w:hAnsi="SimSun" w:eastAsia="SimSun" w:cs="SimSun"/>
          <w:sz w:val="15"/>
          <w:szCs w:val="15"/>
          <w:spacing w:val="-7"/>
        </w:rPr>
        <w:t>X 件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7"/>
        </w:rPr>
        <w:t>压</w: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234978</wp:posOffset>
            </wp:positionH>
            <wp:positionV relativeFrom="paragraph">
              <wp:posOffset>164231</wp:posOffset>
            </wp:positionV>
            <wp:extent cx="2495589" cy="641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8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3774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color w:val="806030"/>
          <w:spacing w:val="-6"/>
        </w:rPr>
        <w:t>业务领域</w:t>
      </w:r>
    </w:p>
    <w:p>
      <w:pPr>
        <w:spacing w:before="99"/>
        <w:rPr/>
      </w:pPr>
      <w:r/>
    </w:p>
    <w:p>
      <w:pPr>
        <w:sectPr>
          <w:headerReference w:type="default" r:id="rId39"/>
          <w:pgSz w:w="11910" w:h="16840"/>
          <w:pgMar w:top="400" w:right="1529" w:bottom="0" w:left="1509" w:header="0" w:footer="0" w:gutter="0"/>
          <w:cols w:equalWidth="0" w:num="1">
            <w:col w:w="8871" w:space="0"/>
          </w:cols>
        </w:sectPr>
        <w:rPr/>
      </w:pPr>
    </w:p>
    <w:p>
      <w:pPr>
        <w:pStyle w:val="BodyText"/>
        <w:ind w:left="1082"/>
        <w:spacing w:before="38" w:line="222" w:lineRule="auto"/>
        <w:rPr/>
      </w:pPr>
      <w:r>
        <w:rPr>
          <w:b/>
          <w:bCs/>
          <w:spacing w:val="3"/>
        </w:rPr>
        <w:t>刑事控告与辩护</w:t>
      </w:r>
    </w:p>
    <w:p>
      <w:pPr>
        <w:pStyle w:val="BodyText"/>
        <w:ind w:left="1082" w:right="352"/>
        <w:spacing w:before="221" w:line="437" w:lineRule="auto"/>
        <w:rPr/>
      </w:pPr>
      <w:r>
        <w:rPr>
          <w:b/>
          <w:bCs/>
        </w:rPr>
        <w:t>反舞弊与企业风险防控</w:t>
      </w:r>
      <w:r>
        <w:rPr>
          <w:spacing w:val="1"/>
        </w:rPr>
        <w:t xml:space="preserve"> </w:t>
      </w:r>
      <w:r>
        <w:rPr>
          <w:b/>
          <w:bCs/>
          <w:spacing w:val="2"/>
        </w:rPr>
        <w:t>银行与金融</w:t>
      </w:r>
    </w:p>
    <w:p>
      <w:pPr>
        <w:pStyle w:val="BodyText"/>
        <w:ind w:left="1082" w:right="733"/>
        <w:spacing w:before="1" w:line="438" w:lineRule="auto"/>
        <w:rPr/>
      </w:pPr>
      <w:r>
        <w:rPr>
          <w:b/>
          <w:bCs/>
        </w:rPr>
        <w:t>房地产与建设工程</w:t>
      </w:r>
      <w:r>
        <w:rPr>
          <w:spacing w:val="4"/>
        </w:rPr>
        <w:t xml:space="preserve"> </w:t>
      </w:r>
      <w:r>
        <w:rPr>
          <w:b/>
          <w:bCs/>
          <w:spacing w:val="2"/>
        </w:rPr>
        <w:t>破产清算与重整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1005"/>
        <w:spacing w:before="37" w:line="437" w:lineRule="auto"/>
        <w:rPr/>
      </w:pPr>
      <w:r>
        <w:rPr>
          <w:b/>
          <w:bCs/>
          <w:spacing w:val="1"/>
        </w:rPr>
        <w:t>商事争议解决</w:t>
      </w:r>
      <w:r>
        <w:rPr>
          <w:spacing w:val="1"/>
        </w:rPr>
        <w:t xml:space="preserve"> </w:t>
      </w:r>
      <w:r>
        <w:rPr>
          <w:b/>
          <w:bCs/>
          <w:spacing w:val="3"/>
        </w:rPr>
        <w:t>刑民交叉</w:t>
      </w:r>
    </w:p>
    <w:p>
      <w:pPr>
        <w:pStyle w:val="BodyText"/>
        <w:ind w:left="355"/>
        <w:spacing w:before="1" w:line="221" w:lineRule="auto"/>
        <w:rPr/>
      </w:pPr>
      <w:r>
        <w:rPr>
          <w:b/>
          <w:bCs/>
          <w:spacing w:val="3"/>
        </w:rPr>
        <w:t>知识产权与竞争法</w:t>
      </w:r>
    </w:p>
    <w:p>
      <w:pPr>
        <w:pStyle w:val="BodyText"/>
        <w:ind w:left="352" w:right="431"/>
        <w:spacing w:before="244" w:line="427" w:lineRule="auto"/>
        <w:rPr/>
      </w:pPr>
      <w:r>
        <w:rPr>
          <w:spacing w:val="3"/>
        </w:rPr>
        <w:t>婚姻家事与财富管理</w:t>
      </w:r>
      <w:r>
        <w:rPr/>
        <w:t xml:space="preserve"> </w:t>
      </w:r>
      <w:r>
        <w:rPr>
          <w:spacing w:val="4"/>
        </w:rPr>
        <w:t>涉外法律服务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1"/>
        <w:spacing w:before="39" w:line="222" w:lineRule="auto"/>
        <w:rPr/>
      </w:pPr>
      <w:r>
        <w:rPr>
          <w:spacing w:val="5"/>
        </w:rPr>
        <w:t>政府与国资国企</w:t>
      </w:r>
    </w:p>
    <w:p>
      <w:pPr>
        <w:pStyle w:val="BodyText"/>
        <w:ind w:left="431" w:right="802"/>
        <w:spacing w:before="221" w:line="439" w:lineRule="auto"/>
        <w:rPr/>
      </w:pPr>
      <w:r>
        <w:rPr>
          <w:spacing w:val="5"/>
        </w:rPr>
        <w:t>投资并购与公司治理</w:t>
      </w:r>
      <w:r>
        <w:rPr>
          <w:spacing w:val="1"/>
        </w:rPr>
        <w:t xml:space="preserve"> </w:t>
      </w:r>
      <w:r>
        <w:rPr>
          <w:spacing w:val="5"/>
        </w:rPr>
        <w:t>文化传媒与科技</w:t>
      </w:r>
    </w:p>
    <w:p>
      <w:pPr>
        <w:pStyle w:val="BodyText"/>
        <w:ind w:left="431"/>
        <w:spacing w:before="17" w:line="222" w:lineRule="auto"/>
        <w:rPr/>
      </w:pPr>
      <w:r>
        <w:rPr>
          <w:spacing w:val="5"/>
        </w:rPr>
        <w:t>劳动与社会保障</w:t>
      </w:r>
    </w:p>
    <w:p>
      <w:pPr>
        <w:pStyle w:val="BodyText"/>
        <w:ind w:left="431"/>
        <w:spacing w:before="210" w:line="219" w:lineRule="auto"/>
        <w:rPr/>
      </w:pPr>
      <w:r>
        <w:rPr>
          <w:spacing w:val="5"/>
        </w:rPr>
        <w:t>执行与不良资产处置</w:t>
      </w:r>
    </w:p>
    <w:p>
      <w:pPr>
        <w:spacing w:line="219" w:lineRule="auto"/>
        <w:sectPr>
          <w:type w:val="continuous"/>
          <w:pgSz w:w="11910" w:h="16840"/>
          <w:pgMar w:top="400" w:right="1529" w:bottom="0" w:left="1509" w:header="0" w:footer="0" w:gutter="0"/>
          <w:cols w:equalWidth="0" w:num="3">
            <w:col w:w="3358" w:space="0"/>
            <w:col w:w="2521" w:space="0"/>
            <w:col w:w="2992" w:space="0"/>
          </w:cols>
        </w:sectPr>
        <w:rPr/>
      </w:pP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254035</wp:posOffset>
            </wp:positionH>
            <wp:positionV relativeFrom="paragraph">
              <wp:posOffset>-2600783</wp:posOffset>
            </wp:positionV>
            <wp:extent cx="2457472" cy="24765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72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2889311</wp:posOffset>
            </wp:positionH>
            <wp:positionV relativeFrom="paragraph">
              <wp:posOffset>-2600783</wp:posOffset>
            </wp:positionV>
            <wp:extent cx="2495513" cy="260277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13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50" w:lineRule="auto"/>
        <w:rPr>
          <w:rFonts w:ascii="Arial"/>
          <w:sz w:val="21"/>
        </w:rPr>
      </w:pPr>
      <w:r/>
    </w:p>
    <w:p>
      <w:pPr>
        <w:spacing w:before="1" w:line="1750" w:lineRule="exact"/>
        <w:rPr/>
      </w:pPr>
      <w:r>
        <w:rPr>
          <w:position w:val="-35"/>
        </w:rPr>
        <w:drawing>
          <wp:inline distT="0" distB="0" distL="0" distR="0">
            <wp:extent cx="5632507" cy="111125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507" cy="11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0" w:right="865" w:firstLine="860"/>
        <w:spacing w:before="72" w:line="472" w:lineRule="auto"/>
        <w:rPr/>
      </w:pPr>
      <w:r>
        <w:rPr>
          <w:sz w:val="22"/>
          <w:szCs w:val="22"/>
          <w:spacing w:val="9"/>
        </w:rPr>
        <w:t>合肥分所|无锡分所|常州分所|南京分所|杭</w:t>
      </w:r>
      <w:r>
        <w:rPr>
          <w:sz w:val="22"/>
          <w:szCs w:val="22"/>
          <w:spacing w:val="8"/>
        </w:rPr>
        <w:t>州分所|盐城分所|郑州分所</w:t>
      </w:r>
      <w:r>
        <w:rPr>
          <w:sz w:val="22"/>
          <w:szCs w:val="22"/>
        </w:rPr>
        <w:t xml:space="preserve"> </w:t>
      </w:r>
      <w:r>
        <w:rPr>
          <w:spacing w:val="16"/>
        </w:rPr>
        <w:t>阅读667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19059</wp:posOffset>
            </wp:positionH>
            <wp:positionV relativeFrom="paragraph">
              <wp:posOffset>24385</wp:posOffset>
            </wp:positionV>
            <wp:extent cx="5588038" cy="635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2"/>
        <w:spacing w:before="62" w:line="222" w:lineRule="auto"/>
        <w:rPr/>
      </w:pPr>
      <w:r>
        <w:rPr>
          <w:b/>
          <w:bCs/>
          <w:spacing w:val="8"/>
        </w:rPr>
        <w:t>留言</w:t>
      </w:r>
    </w:p>
    <w:p>
      <w:pPr>
        <w:spacing w:line="380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5054630</wp:posOffset>
            </wp:positionH>
            <wp:positionV relativeFrom="paragraph">
              <wp:posOffset>251886</wp:posOffset>
            </wp:positionV>
            <wp:extent cx="203213" cy="19686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13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60"/>
        <w:spacing w:before="62" w:line="222" w:lineRule="auto"/>
        <w:rPr/>
      </w:pPr>
      <w:r>
        <w:rPr>
          <w:spacing w:val="-4"/>
        </w:rPr>
        <w:t>写留言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072"/>
        <w:spacing w:before="62" w:line="198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3333779</wp:posOffset>
            </wp:positionH>
            <wp:positionV relativeFrom="paragraph">
              <wp:posOffset>-243997</wp:posOffset>
            </wp:positionV>
            <wp:extent cx="2184377" cy="80649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377" cy="80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4"/>
        </w:rPr>
        <w:t>案由规定理解与适用</w:t>
      </w:r>
      <w:r>
        <w:rPr>
          <w:rFonts w:ascii="Times New Roman" w:hAnsi="Times New Roman" w:eastAsia="Times New Roman" w:cs="Times New Roman"/>
          <w:b/>
          <w:bCs/>
          <w:spacing w:val="-4"/>
        </w:rPr>
        <w:t>pdf</w:t>
      </w:r>
    </w:p>
    <w:p>
      <w:pPr>
        <w:spacing w:line="198" w:lineRule="auto"/>
        <w:sectPr>
          <w:type w:val="continuous"/>
          <w:pgSz w:w="11910" w:h="16840"/>
          <w:pgMar w:top="400" w:right="1529" w:bottom="0" w:left="1509" w:header="0" w:footer="0" w:gutter="0"/>
          <w:cols w:equalWidth="0" w:num="1">
            <w:col w:w="8871" w:space="0"/>
          </w:cols>
        </w:sectPr>
        <w:rPr>
          <w:rFonts w:ascii="Times New Roman" w:hAnsi="Times New Roman" w:eastAsia="Times New Roman" w:cs="Times New Roman"/>
        </w:rPr>
      </w:pPr>
    </w:p>
    <w:p>
      <w:pPr>
        <w:ind w:left="950"/>
        <w:spacing w:before="64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ZVLT   区 口I  曰</w:t>
      </w:r>
      <w:r>
        <w:rPr>
          <w:rFonts w:ascii="SimSun" w:hAnsi="SimSun" w:eastAsia="SimSun" w:cs="SimSun"/>
          <w:sz w:val="15"/>
          <w:szCs w:val="15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，业市7TJ</w:t>
      </w:r>
      <w:r>
        <w:rPr>
          <w:rFonts w:ascii="SimSun" w:hAnsi="SimSun" w:eastAsia="SimSun" w:cs="SimSun"/>
          <w:sz w:val="15"/>
          <w:szCs w:val="15"/>
          <w:spacing w:val="-7"/>
        </w:rPr>
        <w:t>X 件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7"/>
        </w:rPr>
        <w:t>压</w: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234978</wp:posOffset>
            </wp:positionH>
            <wp:positionV relativeFrom="paragraph">
              <wp:posOffset>164231</wp:posOffset>
            </wp:positionV>
            <wp:extent cx="2495589" cy="641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8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3774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color w:val="806030"/>
          <w:spacing w:val="-6"/>
        </w:rPr>
        <w:t>业务领域</w:t>
      </w:r>
    </w:p>
    <w:p>
      <w:pPr>
        <w:spacing w:before="99"/>
        <w:rPr/>
      </w:pPr>
      <w:r/>
    </w:p>
    <w:p>
      <w:pPr>
        <w:sectPr>
          <w:pgSz w:w="11910" w:h="16840"/>
          <w:pgMar w:top="400" w:right="1529" w:bottom="0" w:left="1509" w:header="0" w:footer="0" w:gutter="0"/>
          <w:cols w:equalWidth="0" w:num="1">
            <w:col w:w="8871" w:space="0"/>
          </w:cols>
        </w:sectPr>
        <w:rPr/>
      </w:pPr>
    </w:p>
    <w:p>
      <w:pPr>
        <w:pStyle w:val="BodyText"/>
        <w:ind w:left="1082"/>
        <w:spacing w:before="38" w:line="222" w:lineRule="auto"/>
        <w:rPr/>
      </w:pPr>
      <w:r>
        <w:rPr>
          <w:b/>
          <w:bCs/>
          <w:spacing w:val="3"/>
        </w:rPr>
        <w:t>刑事控告与辩护</w:t>
      </w:r>
    </w:p>
    <w:p>
      <w:pPr>
        <w:pStyle w:val="BodyText"/>
        <w:ind w:left="1082" w:right="352"/>
        <w:spacing w:before="221" w:line="437" w:lineRule="auto"/>
        <w:rPr/>
      </w:pPr>
      <w:r>
        <w:rPr>
          <w:b/>
          <w:bCs/>
        </w:rPr>
        <w:t>反舞弊与企业风险防控</w:t>
      </w:r>
      <w:r>
        <w:rPr>
          <w:spacing w:val="1"/>
        </w:rPr>
        <w:t xml:space="preserve"> </w:t>
      </w:r>
      <w:r>
        <w:rPr>
          <w:b/>
          <w:bCs/>
          <w:spacing w:val="2"/>
        </w:rPr>
        <w:t>银行与金融</w:t>
      </w:r>
    </w:p>
    <w:p>
      <w:pPr>
        <w:pStyle w:val="BodyText"/>
        <w:ind w:left="1082" w:right="733"/>
        <w:spacing w:before="1" w:line="438" w:lineRule="auto"/>
        <w:rPr/>
      </w:pPr>
      <w:r>
        <w:rPr>
          <w:b/>
          <w:bCs/>
        </w:rPr>
        <w:t>房地产与建设工程</w:t>
      </w:r>
      <w:r>
        <w:rPr>
          <w:spacing w:val="4"/>
        </w:rPr>
        <w:t xml:space="preserve"> </w:t>
      </w:r>
      <w:r>
        <w:rPr>
          <w:b/>
          <w:bCs/>
          <w:spacing w:val="2"/>
        </w:rPr>
        <w:t>破产清算与重整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1005"/>
        <w:spacing w:before="37" w:line="437" w:lineRule="auto"/>
        <w:rPr/>
      </w:pPr>
      <w:r>
        <w:rPr>
          <w:b/>
          <w:bCs/>
          <w:spacing w:val="1"/>
        </w:rPr>
        <w:t>商事争议解决</w:t>
      </w:r>
      <w:r>
        <w:rPr>
          <w:spacing w:val="1"/>
        </w:rPr>
        <w:t xml:space="preserve"> </w:t>
      </w:r>
      <w:r>
        <w:rPr>
          <w:b/>
          <w:bCs/>
          <w:spacing w:val="3"/>
        </w:rPr>
        <w:t>刑民交叉</w:t>
      </w:r>
    </w:p>
    <w:p>
      <w:pPr>
        <w:pStyle w:val="BodyText"/>
        <w:ind w:left="355"/>
        <w:spacing w:before="1" w:line="221" w:lineRule="auto"/>
        <w:rPr/>
      </w:pPr>
      <w:r>
        <w:rPr>
          <w:b/>
          <w:bCs/>
          <w:spacing w:val="3"/>
        </w:rPr>
        <w:t>知识产权与竞争法</w:t>
      </w:r>
    </w:p>
    <w:p>
      <w:pPr>
        <w:pStyle w:val="BodyText"/>
        <w:ind w:left="352" w:right="431"/>
        <w:spacing w:before="244" w:line="427" w:lineRule="auto"/>
        <w:rPr/>
      </w:pPr>
      <w:r>
        <w:rPr>
          <w:spacing w:val="3"/>
        </w:rPr>
        <w:t>婚姻家事与财富管理</w:t>
      </w:r>
      <w:r>
        <w:rPr/>
        <w:t xml:space="preserve"> </w:t>
      </w:r>
      <w:r>
        <w:rPr>
          <w:spacing w:val="4"/>
        </w:rPr>
        <w:t>涉外法律服务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1"/>
        <w:spacing w:before="39" w:line="222" w:lineRule="auto"/>
        <w:rPr/>
      </w:pPr>
      <w:r>
        <w:rPr>
          <w:spacing w:val="5"/>
        </w:rPr>
        <w:t>政府与国资国企</w:t>
      </w:r>
    </w:p>
    <w:p>
      <w:pPr>
        <w:pStyle w:val="BodyText"/>
        <w:ind w:left="431" w:right="802"/>
        <w:spacing w:before="221" w:line="439" w:lineRule="auto"/>
        <w:rPr/>
      </w:pPr>
      <w:r>
        <w:rPr>
          <w:spacing w:val="5"/>
        </w:rPr>
        <w:t>投资并购与公司治理</w:t>
      </w:r>
      <w:r>
        <w:rPr>
          <w:spacing w:val="1"/>
        </w:rPr>
        <w:t xml:space="preserve"> </w:t>
      </w:r>
      <w:r>
        <w:rPr>
          <w:spacing w:val="5"/>
        </w:rPr>
        <w:t>文化传媒与科技</w:t>
      </w:r>
    </w:p>
    <w:p>
      <w:pPr>
        <w:pStyle w:val="BodyText"/>
        <w:ind w:left="431"/>
        <w:spacing w:before="17" w:line="222" w:lineRule="auto"/>
        <w:rPr/>
      </w:pPr>
      <w:r>
        <w:rPr>
          <w:spacing w:val="5"/>
        </w:rPr>
        <w:t>劳动与社会保障</w:t>
      </w:r>
    </w:p>
    <w:p>
      <w:pPr>
        <w:pStyle w:val="BodyText"/>
        <w:ind w:left="431"/>
        <w:spacing w:before="210" w:line="219" w:lineRule="auto"/>
        <w:rPr/>
      </w:pPr>
      <w:r>
        <w:rPr>
          <w:spacing w:val="5"/>
        </w:rPr>
        <w:t>执行与不良资产处置</w:t>
      </w:r>
    </w:p>
    <w:p>
      <w:pPr>
        <w:spacing w:line="219" w:lineRule="auto"/>
        <w:sectPr>
          <w:type w:val="continuous"/>
          <w:pgSz w:w="11910" w:h="16840"/>
          <w:pgMar w:top="400" w:right="1529" w:bottom="0" w:left="1509" w:header="0" w:footer="0" w:gutter="0"/>
          <w:cols w:equalWidth="0" w:num="3">
            <w:col w:w="3358" w:space="0"/>
            <w:col w:w="2521" w:space="0"/>
            <w:col w:w="2992" w:space="0"/>
          </w:cols>
        </w:sectPr>
        <w:rPr/>
      </w:pP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254035</wp:posOffset>
            </wp:positionH>
            <wp:positionV relativeFrom="paragraph">
              <wp:posOffset>-2600783</wp:posOffset>
            </wp:positionV>
            <wp:extent cx="2457472" cy="24765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72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2889311</wp:posOffset>
            </wp:positionH>
            <wp:positionV relativeFrom="paragraph">
              <wp:posOffset>-2600783</wp:posOffset>
            </wp:positionV>
            <wp:extent cx="2495513" cy="260277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13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50" w:lineRule="auto"/>
        <w:rPr>
          <w:rFonts w:ascii="Arial"/>
          <w:sz w:val="21"/>
        </w:rPr>
      </w:pPr>
      <w:r/>
    </w:p>
    <w:p>
      <w:pPr>
        <w:spacing w:before="1" w:line="1750" w:lineRule="exact"/>
        <w:rPr/>
      </w:pPr>
      <w:r>
        <w:rPr>
          <w:position w:val="-35"/>
        </w:rPr>
        <w:drawing>
          <wp:inline distT="0" distB="0" distL="0" distR="0">
            <wp:extent cx="5632507" cy="111125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507" cy="11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0" w:right="865" w:firstLine="860"/>
        <w:spacing w:before="72" w:line="472" w:lineRule="auto"/>
        <w:rPr/>
      </w:pPr>
      <w:r>
        <w:rPr>
          <w:sz w:val="22"/>
          <w:szCs w:val="22"/>
          <w:spacing w:val="9"/>
        </w:rPr>
        <w:t>合肥分所|无锡分所|常州分所|南京分所|杭</w:t>
      </w:r>
      <w:r>
        <w:rPr>
          <w:sz w:val="22"/>
          <w:szCs w:val="22"/>
          <w:spacing w:val="8"/>
        </w:rPr>
        <w:t>州分所|盐城分所|郑州分所</w:t>
      </w:r>
      <w:r>
        <w:rPr>
          <w:sz w:val="22"/>
          <w:szCs w:val="22"/>
        </w:rPr>
        <w:t xml:space="preserve"> </w:t>
      </w:r>
      <w:r>
        <w:rPr>
          <w:spacing w:val="16"/>
        </w:rPr>
        <w:t>阅读667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19059</wp:posOffset>
            </wp:positionH>
            <wp:positionV relativeFrom="paragraph">
              <wp:posOffset>24385</wp:posOffset>
            </wp:positionV>
            <wp:extent cx="5588038" cy="63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2"/>
        <w:spacing w:before="62" w:line="222" w:lineRule="auto"/>
        <w:rPr/>
      </w:pPr>
      <w:r>
        <w:rPr>
          <w:b/>
          <w:bCs/>
          <w:spacing w:val="8"/>
        </w:rPr>
        <w:t>留言</w:t>
      </w:r>
    </w:p>
    <w:p>
      <w:pPr>
        <w:spacing w:line="380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5054630</wp:posOffset>
            </wp:positionH>
            <wp:positionV relativeFrom="paragraph">
              <wp:posOffset>251886</wp:posOffset>
            </wp:positionV>
            <wp:extent cx="203213" cy="19686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13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60"/>
        <w:spacing w:before="62" w:line="222" w:lineRule="auto"/>
        <w:rPr/>
      </w:pPr>
      <w:r>
        <w:rPr>
          <w:spacing w:val="-4"/>
        </w:rPr>
        <w:t>写留言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072"/>
        <w:spacing w:before="62" w:line="198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3333779</wp:posOffset>
            </wp:positionH>
            <wp:positionV relativeFrom="paragraph">
              <wp:posOffset>-243997</wp:posOffset>
            </wp:positionV>
            <wp:extent cx="2184377" cy="80649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377" cy="80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4"/>
        </w:rPr>
        <w:t>案由规定理解与适用</w:t>
      </w:r>
      <w:r>
        <w:rPr>
          <w:rFonts w:ascii="Times New Roman" w:hAnsi="Times New Roman" w:eastAsia="Times New Roman" w:cs="Times New Roman"/>
          <w:b/>
          <w:bCs/>
          <w:spacing w:val="-4"/>
        </w:rPr>
        <w:t>pdf</w:t>
      </w:r>
    </w:p>
    <w:sectPr>
      <w:type w:val="continuous"/>
      <w:pgSz w:w="11910" w:h="16840"/>
      <w:pgMar w:top="400" w:right="1529" w:bottom="0" w:left="1509" w:header="0" w:footer="0" w:gutter="0"/>
      <w:cols w:equalWidth="0" w:num="1">
        <w:col w:w="88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8" style="position:absolute;margin-left:92.499pt;margin-top:88.9994pt;mso-position-vertical-relative:page;mso-position-horizontal-relative:page;width:407.55pt;height:155.0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jpeg"/><Relationship Id="rId53" Type="http://schemas.openxmlformats.org/officeDocument/2006/relationships/fontTable" Target="fontTable.xml"/><Relationship Id="rId52" Type="http://schemas.openxmlformats.org/officeDocument/2006/relationships/styles" Target="styles.xml"/><Relationship Id="rId51" Type="http://schemas.openxmlformats.org/officeDocument/2006/relationships/settings" Target="settings.xml"/><Relationship Id="rId50" Type="http://schemas.openxmlformats.org/officeDocument/2006/relationships/image" Target="media/image48.png"/><Relationship Id="rId5" Type="http://schemas.openxmlformats.org/officeDocument/2006/relationships/image" Target="media/image3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jpeg"/><Relationship Id="rId45" Type="http://schemas.openxmlformats.org/officeDocument/2006/relationships/image" Target="media/image43.jpeg"/><Relationship Id="rId44" Type="http://schemas.openxmlformats.org/officeDocument/2006/relationships/image" Target="media/image42.png"/><Relationship Id="rId43" Type="http://schemas.openxmlformats.org/officeDocument/2006/relationships/image" Target="media/image41.jpe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header" Target="header2.xml"/><Relationship Id="rId39" Type="http://schemas.openxmlformats.org/officeDocument/2006/relationships/header" Target="header3.xml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jpeg"/><Relationship Id="rId35" Type="http://schemas.openxmlformats.org/officeDocument/2006/relationships/image" Target="media/image33.png"/><Relationship Id="rId34" Type="http://schemas.openxmlformats.org/officeDocument/2006/relationships/image" Target="media/image32.jpe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jpeg"/><Relationship Id="rId30" Type="http://schemas.openxmlformats.org/officeDocument/2006/relationships/image" Target="media/image28.jpe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image" Target="media/image23.jpeg"/><Relationship Id="rId24" Type="http://schemas.openxmlformats.org/officeDocument/2006/relationships/image" Target="media/image22.jpeg"/><Relationship Id="rId23" Type="http://schemas.openxmlformats.org/officeDocument/2006/relationships/image" Target="media/image21.pn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0" Type="http://schemas.openxmlformats.org/officeDocument/2006/relationships/image" Target="media/image18.jpeg"/><Relationship Id="rId2" Type="http://schemas.openxmlformats.org/officeDocument/2006/relationships/image" Target="media/image1.jpeg"/><Relationship Id="rId19" Type="http://schemas.openxmlformats.org/officeDocument/2006/relationships/image" Target="media/image17.jpeg"/><Relationship Id="rId18" Type="http://schemas.openxmlformats.org/officeDocument/2006/relationships/image" Target="media/image16.jpe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2026-02-05T12:23:25Z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2026-02-05T12:23:27</vt:filetime>
  </property>
  <property fmtid="{D5CDD505-2E9C-101B-9397-08002B2CF9AE}" pid="4" name="UsrData">
    <vt:lpwstr>69841b3a115626001fe561b0wl</vt:lpwstr>
  </property>
</Properties>
</file>