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12" w:afterLines="100" w:line="480" w:lineRule="auto"/>
        <w:jc w:val="center"/>
        <w:rPr>
          <w:rFonts w:hint="eastAsia" w:ascii="仿宋" w:hAnsi="仿宋" w:eastAsia="仿宋" w:cs="仿宋"/>
          <w:sz w:val="44"/>
          <w:szCs w:val="44"/>
          <w:lang w:eastAsia="zh-Hans"/>
        </w:rPr>
      </w:pPr>
      <w:r>
        <w:rPr>
          <w:rFonts w:hint="eastAsia" w:ascii="仿宋" w:hAnsi="仿宋" w:eastAsia="仿宋" w:cs="仿宋"/>
          <w:b/>
          <w:sz w:val="44"/>
          <w:szCs w:val="44"/>
        </w:rPr>
        <w:t>证据目录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原告：深圳市百山创业投资有限公司</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被告：深圳沙河文化体育创意发展有限公司</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p>
    <w:tbl>
      <w:tblPr>
        <w:tblStyle w:val="4"/>
        <w:tblW w:w="10076" w:type="dxa"/>
        <w:tblInd w:w="-8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236"/>
        <w:gridCol w:w="4406"/>
        <w:gridCol w:w="733"/>
        <w:gridCol w:w="950"/>
        <w:gridCol w:w="10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序号</w:t>
            </w:r>
          </w:p>
        </w:tc>
        <w:tc>
          <w:tcPr>
            <w:tcW w:w="2236" w:type="dxa"/>
            <w:vAlign w:val="center"/>
          </w:tcPr>
          <w:p>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证据名称</w:t>
            </w:r>
          </w:p>
        </w:tc>
        <w:tc>
          <w:tcPr>
            <w:tcW w:w="4406" w:type="dxa"/>
            <w:vAlign w:val="center"/>
          </w:tcPr>
          <w:p>
            <w:pPr>
              <w:spacing w:line="360" w:lineRule="auto"/>
              <w:jc w:val="center"/>
              <w:rPr>
                <w:rFonts w:hint="eastAsia" w:ascii="仿宋" w:hAnsi="仿宋" w:eastAsia="仿宋" w:cs="仿宋"/>
                <w:b/>
                <w:sz w:val="24"/>
                <w:szCs w:val="24"/>
                <w:lang w:val="en-US" w:eastAsia="zh-CN"/>
              </w:rPr>
            </w:pPr>
            <w:r>
              <w:rPr>
                <w:rFonts w:hint="eastAsia" w:ascii="仿宋" w:hAnsi="仿宋" w:eastAsia="仿宋" w:cs="仿宋"/>
                <w:b/>
                <w:sz w:val="24"/>
                <w:szCs w:val="24"/>
                <w:lang w:val="en-US" w:eastAsia="zh-CN"/>
              </w:rPr>
              <w:t>证明内容</w:t>
            </w:r>
          </w:p>
        </w:tc>
        <w:tc>
          <w:tcPr>
            <w:tcW w:w="733" w:type="dxa"/>
            <w:vAlign w:val="center"/>
          </w:tcPr>
          <w:p>
            <w:pPr>
              <w:spacing w:line="360" w:lineRule="auto"/>
              <w:jc w:val="center"/>
              <w:rPr>
                <w:rFonts w:hint="eastAsia" w:ascii="仿宋" w:hAnsi="仿宋" w:eastAsia="仿宋" w:cs="仿宋"/>
                <w:b/>
                <w:sz w:val="24"/>
                <w:szCs w:val="24"/>
                <w:lang w:val="en-US" w:eastAsia="zh-CN"/>
              </w:rPr>
            </w:pPr>
            <w:r>
              <w:rPr>
                <w:rFonts w:hint="eastAsia" w:ascii="仿宋" w:hAnsi="仿宋" w:eastAsia="仿宋" w:cs="仿宋"/>
                <w:b/>
                <w:sz w:val="24"/>
                <w:szCs w:val="24"/>
                <w:lang w:val="en-US" w:eastAsia="zh-CN"/>
              </w:rPr>
              <w:t>份数</w:t>
            </w:r>
          </w:p>
        </w:tc>
        <w:tc>
          <w:tcPr>
            <w:tcW w:w="950" w:type="dxa"/>
            <w:vAlign w:val="center"/>
          </w:tcPr>
          <w:p>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页码</w:t>
            </w:r>
          </w:p>
        </w:tc>
        <w:tc>
          <w:tcPr>
            <w:tcW w:w="1042" w:type="dxa"/>
            <w:vAlign w:val="center"/>
          </w:tcPr>
          <w:p>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原告名称变更查询结果</w:t>
            </w:r>
          </w:p>
        </w:tc>
        <w:tc>
          <w:tcPr>
            <w:tcW w:w="4406" w:type="dxa"/>
            <w:vAlign w:val="center"/>
          </w:tcPr>
          <w:p>
            <w:pPr>
              <w:spacing w:line="360" w:lineRule="auto"/>
              <w:jc w:val="both"/>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证明原告名称于2001年7月</w:t>
            </w:r>
            <w:bookmarkStart w:id="0" w:name="_GoBack"/>
            <w:bookmarkEnd w:id="0"/>
            <w:r>
              <w:rPr>
                <w:rFonts w:hint="eastAsia" w:ascii="仿宋" w:hAnsi="仿宋" w:eastAsia="仿宋" w:cs="仿宋"/>
                <w:b w:val="0"/>
                <w:bCs/>
                <w:sz w:val="24"/>
                <w:szCs w:val="24"/>
                <w:lang w:val="en-US" w:eastAsia="zh-CN"/>
              </w:rPr>
              <w:t>24日由</w:t>
            </w:r>
            <w:r>
              <w:rPr>
                <w:rFonts w:hint="eastAsia" w:ascii="仿宋" w:hAnsi="仿宋" w:eastAsia="仿宋" w:cs="仿宋"/>
                <w:bCs/>
                <w:sz w:val="24"/>
                <w:szCs w:val="24"/>
              </w:rPr>
              <w:t>深圳市南山基金管理有限公司</w:t>
            </w:r>
            <w:r>
              <w:rPr>
                <w:rFonts w:hint="eastAsia" w:ascii="仿宋" w:hAnsi="仿宋" w:eastAsia="仿宋" w:cs="仿宋"/>
                <w:bCs/>
                <w:sz w:val="24"/>
                <w:szCs w:val="24"/>
                <w:lang w:val="en-US" w:eastAsia="zh-CN"/>
              </w:rPr>
              <w:t>变更为</w:t>
            </w:r>
            <w:r>
              <w:rPr>
                <w:rFonts w:hint="eastAsia" w:ascii="仿宋" w:hAnsi="仿宋" w:eastAsia="仿宋" w:cs="仿宋"/>
                <w:bCs/>
                <w:sz w:val="24"/>
                <w:szCs w:val="24"/>
              </w:rPr>
              <w:t>深圳市百山创业投资有限公司</w:t>
            </w:r>
            <w:r>
              <w:rPr>
                <w:rFonts w:hint="eastAsia" w:ascii="仿宋" w:hAnsi="仿宋" w:eastAsia="仿宋" w:cs="仿宋"/>
                <w:bCs/>
                <w:sz w:val="24"/>
                <w:szCs w:val="24"/>
                <w:lang w:eastAsia="zh-CN"/>
              </w:rPr>
              <w:t>。</w:t>
            </w:r>
          </w:p>
        </w:tc>
        <w:tc>
          <w:tcPr>
            <w:tcW w:w="733"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被告名称变更查询结果</w:t>
            </w:r>
          </w:p>
        </w:tc>
        <w:tc>
          <w:tcPr>
            <w:tcW w:w="4406" w:type="dxa"/>
            <w:vAlign w:val="center"/>
          </w:tcPr>
          <w:p>
            <w:pPr>
              <w:spacing w:line="360" w:lineRule="auto"/>
              <w:jc w:val="both"/>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证明被告名称于2017年11月1日由</w:t>
            </w:r>
            <w:r>
              <w:rPr>
                <w:rFonts w:hint="eastAsia" w:ascii="仿宋" w:hAnsi="仿宋" w:eastAsia="仿宋" w:cs="仿宋"/>
                <w:bCs/>
                <w:sz w:val="24"/>
                <w:szCs w:val="24"/>
              </w:rPr>
              <w:t>深圳沙河高尔夫球会有限公司</w:t>
            </w:r>
            <w:r>
              <w:rPr>
                <w:rFonts w:hint="eastAsia" w:ascii="仿宋" w:hAnsi="仿宋" w:eastAsia="仿宋" w:cs="仿宋"/>
                <w:bCs/>
                <w:sz w:val="24"/>
                <w:szCs w:val="24"/>
                <w:lang w:val="en-US" w:eastAsia="zh-CN"/>
              </w:rPr>
              <w:t>变更为</w:t>
            </w:r>
            <w:r>
              <w:rPr>
                <w:rFonts w:hint="eastAsia" w:ascii="仿宋" w:hAnsi="仿宋" w:eastAsia="仿宋" w:cs="仿宋"/>
                <w:bCs/>
                <w:sz w:val="24"/>
                <w:szCs w:val="24"/>
              </w:rPr>
              <w:t>深圳沙河文化体育创意发展有限公司</w:t>
            </w:r>
            <w:r>
              <w:rPr>
                <w:rFonts w:hint="eastAsia" w:ascii="仿宋" w:hAnsi="仿宋" w:eastAsia="仿宋" w:cs="仿宋"/>
                <w:bCs/>
                <w:sz w:val="24"/>
                <w:szCs w:val="24"/>
                <w:lang w:eastAsia="zh-CN"/>
              </w:rPr>
              <w:t>。</w:t>
            </w:r>
          </w:p>
        </w:tc>
        <w:tc>
          <w:tcPr>
            <w:tcW w:w="733"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邮件沟通记录（原告于2023年3月15日向被告会员服务部发送）</w:t>
            </w:r>
          </w:p>
        </w:tc>
        <w:tc>
          <w:tcPr>
            <w:tcW w:w="4406" w:type="dxa"/>
            <w:vMerge w:val="restart"/>
            <w:vAlign w:val="center"/>
          </w:tcPr>
          <w:p>
            <w:pPr>
              <w:spacing w:line="360" w:lineRule="auto"/>
              <w:jc w:val="both"/>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共同证明原告因公司业务需要与被告沟通调取原告购入沙河高尔夫球会会籍时向被告提交的材料。</w:t>
            </w:r>
          </w:p>
          <w:p>
            <w:pPr>
              <w:numPr>
                <w:ilvl w:val="-1"/>
                <w:numId w:val="0"/>
              </w:numPr>
              <w:spacing w:line="360" w:lineRule="auto"/>
              <w:ind w:left="0" w:firstLine="0"/>
              <w:jc w:val="both"/>
              <w:rPr>
                <w:rFonts w:hint="eastAsia" w:ascii="仿宋" w:hAnsi="仿宋" w:eastAsia="仿宋" w:cs="仿宋"/>
                <w:b w:val="0"/>
                <w:bCs/>
                <w:sz w:val="24"/>
                <w:szCs w:val="24"/>
                <w:lang w:val="en-US" w:eastAsia="zh-CN"/>
              </w:rPr>
            </w:pPr>
          </w:p>
        </w:tc>
        <w:tc>
          <w:tcPr>
            <w:tcW w:w="733"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《查询函》</w:t>
            </w:r>
          </w:p>
        </w:tc>
        <w:tc>
          <w:tcPr>
            <w:tcW w:w="4406" w:type="dxa"/>
            <w:vMerge w:val="continue"/>
            <w:vAlign w:val="center"/>
          </w:tcPr>
          <w:p>
            <w:pPr>
              <w:numPr>
                <w:ilvl w:val="-1"/>
                <w:numId w:val="0"/>
              </w:numPr>
              <w:spacing w:line="360" w:lineRule="auto"/>
              <w:ind w:left="0" w:firstLine="0"/>
              <w:jc w:val="both"/>
              <w:rPr>
                <w:rFonts w:hint="eastAsia" w:ascii="仿宋" w:hAnsi="仿宋" w:eastAsia="仿宋" w:cs="仿宋"/>
                <w:b w:val="0"/>
                <w:bCs/>
                <w:sz w:val="24"/>
                <w:szCs w:val="24"/>
                <w:lang w:val="en-US" w:eastAsia="zh-CN"/>
              </w:rPr>
            </w:pPr>
          </w:p>
        </w:tc>
        <w:tc>
          <w:tcPr>
            <w:tcW w:w="733"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eastAsia" w:ascii="仿宋" w:hAnsi="仿宋" w:eastAsia="仿宋" w:cs="仿宋"/>
                <w:b w:val="0"/>
                <w:bCs/>
                <w:sz w:val="24"/>
                <w:szCs w:val="24"/>
                <w:lang w:eastAsia="zh-CN"/>
              </w:rPr>
            </w:pPr>
            <w:r>
              <w:rPr>
                <w:rFonts w:hint="eastAsia" w:ascii="仿宋" w:hAnsi="仿宋" w:eastAsia="仿宋" w:cs="仿宋"/>
                <w:b w:val="0"/>
                <w:bCs/>
                <w:sz w:val="24"/>
                <w:szCs w:val="24"/>
                <w:lang w:val="en-US" w:eastAsia="zh-CN"/>
              </w:rPr>
              <w:t>公司会员申请表格和原告公司营业执照及原始邮件（被告会员服务部于2023年3月21日向原告发送）</w:t>
            </w:r>
          </w:p>
        </w:tc>
        <w:tc>
          <w:tcPr>
            <w:tcW w:w="4406" w:type="dxa"/>
            <w:vAlign w:val="center"/>
          </w:tcPr>
          <w:p>
            <w:pPr>
              <w:spacing w:line="360" w:lineRule="auto"/>
              <w:jc w:val="both"/>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证明根据被告向原告提供的原告购入沙河高尔夫球会会籍当时的材料，原告于1998年购入被告球会两个会籍，会员号码分别为</w:t>
            </w:r>
            <w:r>
              <w:rPr>
                <w:rFonts w:hint="eastAsia" w:ascii="仿宋" w:hAnsi="仿宋" w:eastAsia="仿宋" w:cs="仿宋"/>
                <w:bCs/>
                <w:sz w:val="24"/>
                <w:szCs w:val="24"/>
              </w:rPr>
              <w:t>H-092和O-019</w:t>
            </w:r>
            <w:r>
              <w:rPr>
                <w:rFonts w:hint="eastAsia" w:ascii="仿宋" w:hAnsi="仿宋" w:eastAsia="仿宋" w:cs="仿宋"/>
                <w:b w:val="0"/>
                <w:bCs/>
                <w:sz w:val="24"/>
                <w:szCs w:val="24"/>
                <w:lang w:val="en-US" w:eastAsia="zh-CN"/>
              </w:rPr>
              <w:t>，两个被提名人分别为韩霄星和欧亚非。且在原告购入会籍的当时，被告仅要求原告提供公司会员申请表格和原告公司的营业执照，</w:t>
            </w:r>
            <w:r>
              <w:rPr>
                <w:rFonts w:hint="eastAsia" w:ascii="仿宋" w:hAnsi="仿宋" w:eastAsia="仿宋" w:cs="仿宋"/>
                <w:bCs/>
                <w:sz w:val="24"/>
                <w:szCs w:val="24"/>
              </w:rPr>
              <w:t>双方并未就会员期限、会籍转让费等事宜签署合同或者以其他方式达成合意</w:t>
            </w:r>
            <w:r>
              <w:rPr>
                <w:rFonts w:hint="eastAsia" w:ascii="仿宋" w:hAnsi="仿宋" w:eastAsia="仿宋" w:cs="仿宋"/>
                <w:bCs/>
                <w:sz w:val="24"/>
                <w:szCs w:val="24"/>
                <w:lang w:eastAsia="zh-CN"/>
              </w:rPr>
              <w:t>。</w:t>
            </w:r>
          </w:p>
        </w:tc>
        <w:tc>
          <w:tcPr>
            <w:tcW w:w="733"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广东省深圳市其他服务收入专用发票</w:t>
            </w:r>
          </w:p>
        </w:tc>
        <w:tc>
          <w:tcPr>
            <w:tcW w:w="4406" w:type="dxa"/>
            <w:vAlign w:val="center"/>
          </w:tcPr>
          <w:p>
            <w:pPr>
              <w:spacing w:line="360" w:lineRule="auto"/>
              <w:jc w:val="left"/>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证明原告为购入被告球会会籍支付了会籍费958000元，被告于1998年5月13日向原告开具发票。</w:t>
            </w:r>
          </w:p>
        </w:tc>
        <w:tc>
          <w:tcPr>
            <w:tcW w:w="733"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沙河高尔夫球会《会规》和《细则》</w:t>
            </w:r>
          </w:p>
        </w:tc>
        <w:tc>
          <w:tcPr>
            <w:tcW w:w="4406" w:type="dxa"/>
            <w:vMerge w:val="restart"/>
            <w:vAlign w:val="center"/>
          </w:tcPr>
          <w:p>
            <w:pPr>
              <w:spacing w:line="360" w:lineRule="auto"/>
              <w:jc w:val="both"/>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共同证明：</w:t>
            </w:r>
          </w:p>
          <w:p>
            <w:pPr>
              <w:numPr>
                <w:ilvl w:val="0"/>
                <w:numId w:val="2"/>
              </w:numPr>
              <w:spacing w:line="360" w:lineRule="auto"/>
              <w:jc w:val="both"/>
              <w:rPr>
                <w:rFonts w:hint="eastAsia" w:ascii="仿宋" w:hAnsi="仿宋" w:eastAsia="仿宋" w:cs="仿宋"/>
                <w:bCs/>
                <w:sz w:val="24"/>
                <w:szCs w:val="24"/>
                <w:lang w:eastAsia="zh-CN"/>
              </w:rPr>
            </w:pPr>
            <w:r>
              <w:rPr>
                <w:rFonts w:hint="eastAsia" w:ascii="仿宋" w:hAnsi="仿宋" w:eastAsia="仿宋" w:cs="仿宋"/>
                <w:bCs/>
                <w:sz w:val="24"/>
                <w:szCs w:val="24"/>
              </w:rPr>
              <w:t>《会规》</w:t>
            </w:r>
            <w:r>
              <w:rPr>
                <w:rFonts w:hint="eastAsia" w:ascii="仿宋" w:hAnsi="仿宋" w:eastAsia="仿宋" w:cs="仿宋"/>
                <w:bCs/>
                <w:sz w:val="24"/>
                <w:szCs w:val="24"/>
                <w:lang w:eastAsia="zh-CN"/>
              </w:rPr>
              <w:t>、</w:t>
            </w:r>
            <w:r>
              <w:rPr>
                <w:rFonts w:hint="eastAsia" w:ascii="仿宋" w:hAnsi="仿宋" w:eastAsia="仿宋" w:cs="仿宋"/>
                <w:bCs/>
                <w:sz w:val="24"/>
                <w:szCs w:val="24"/>
              </w:rPr>
              <w:t>《细则》</w:t>
            </w:r>
            <w:r>
              <w:rPr>
                <w:rFonts w:hint="eastAsia" w:ascii="仿宋" w:hAnsi="仿宋" w:eastAsia="仿宋" w:cs="仿宋"/>
                <w:bCs/>
                <w:sz w:val="24"/>
                <w:szCs w:val="24"/>
                <w:lang w:val="en-US" w:eastAsia="zh-CN"/>
              </w:rPr>
              <w:t>和《会籍章程及权益》三</w:t>
            </w:r>
            <w:r>
              <w:rPr>
                <w:rFonts w:hint="eastAsia" w:ascii="仿宋" w:hAnsi="仿宋" w:eastAsia="仿宋" w:cs="仿宋"/>
                <w:bCs/>
                <w:sz w:val="24"/>
                <w:szCs w:val="24"/>
              </w:rPr>
              <w:t>份文件是被告工作人员在原告前往被告办公场所当日即2023年2月22日交给原告的，在此之前原告从未收到该</w:t>
            </w:r>
            <w:r>
              <w:rPr>
                <w:rFonts w:hint="eastAsia" w:ascii="仿宋" w:hAnsi="仿宋" w:eastAsia="仿宋" w:cs="仿宋"/>
                <w:bCs/>
                <w:sz w:val="24"/>
                <w:szCs w:val="24"/>
                <w:lang w:val="en-US" w:eastAsia="zh-CN"/>
              </w:rPr>
              <w:t>三</w:t>
            </w:r>
            <w:r>
              <w:rPr>
                <w:rFonts w:hint="eastAsia" w:ascii="仿宋" w:hAnsi="仿宋" w:eastAsia="仿宋" w:cs="仿宋"/>
                <w:bCs/>
                <w:sz w:val="24"/>
                <w:szCs w:val="24"/>
              </w:rPr>
              <w:t>份文件</w:t>
            </w:r>
            <w:r>
              <w:rPr>
                <w:rFonts w:hint="eastAsia" w:ascii="仿宋" w:hAnsi="仿宋" w:eastAsia="仿宋" w:cs="仿宋"/>
                <w:bCs/>
                <w:sz w:val="24"/>
                <w:szCs w:val="24"/>
                <w:lang w:eastAsia="zh-CN"/>
              </w:rPr>
              <w:t>。</w:t>
            </w:r>
          </w:p>
          <w:p>
            <w:pPr>
              <w:numPr>
                <w:ilvl w:val="0"/>
                <w:numId w:val="2"/>
              </w:numPr>
              <w:spacing w:line="360" w:lineRule="auto"/>
              <w:jc w:val="both"/>
              <w:rPr>
                <w:rFonts w:hint="eastAsia" w:ascii="仿宋" w:hAnsi="仿宋" w:eastAsia="仿宋" w:cs="仿宋"/>
                <w:bCs/>
                <w:sz w:val="24"/>
                <w:szCs w:val="24"/>
                <w:lang w:val="en-US" w:eastAsia="zh-CN"/>
              </w:rPr>
            </w:pPr>
            <w:r>
              <w:rPr>
                <w:rFonts w:hint="eastAsia" w:ascii="仿宋" w:hAnsi="仿宋" w:eastAsia="仿宋" w:cs="仿宋"/>
                <w:bCs/>
                <w:sz w:val="24"/>
                <w:szCs w:val="24"/>
              </w:rPr>
              <w:t>《会规》和《细则》的颁布时间为2018年6月1日</w:t>
            </w:r>
            <w:r>
              <w:rPr>
                <w:rFonts w:hint="eastAsia" w:ascii="仿宋" w:hAnsi="仿宋" w:eastAsia="仿宋" w:cs="仿宋"/>
                <w:bCs/>
                <w:sz w:val="24"/>
                <w:szCs w:val="24"/>
                <w:lang w:eastAsia="zh-CN"/>
              </w:rPr>
              <w:t>，</w:t>
            </w:r>
            <w:r>
              <w:rPr>
                <w:rFonts w:hint="eastAsia" w:ascii="仿宋" w:hAnsi="仿宋" w:eastAsia="仿宋" w:cs="仿宋"/>
                <w:bCs/>
                <w:sz w:val="24"/>
                <w:szCs w:val="24"/>
                <w:lang w:val="en-US" w:eastAsia="zh-CN"/>
              </w:rPr>
              <w:t>晚于原告</w:t>
            </w:r>
            <w:r>
              <w:rPr>
                <w:rFonts w:hint="eastAsia" w:ascii="仿宋" w:hAnsi="仿宋" w:eastAsia="仿宋" w:cs="仿宋"/>
                <w:bCs/>
                <w:sz w:val="24"/>
                <w:szCs w:val="24"/>
                <w:lang w:val="en-US" w:eastAsia="zh-Hans"/>
              </w:rPr>
              <w:t>入会时间以及办理</w:t>
            </w:r>
            <w:r>
              <w:rPr>
                <w:rFonts w:hint="eastAsia" w:ascii="仿宋" w:hAnsi="仿宋" w:eastAsia="仿宋" w:cs="仿宋"/>
                <w:bCs/>
                <w:sz w:val="24"/>
                <w:szCs w:val="24"/>
                <w:lang w:val="en-US" w:eastAsia="zh-CN"/>
              </w:rPr>
              <w:t>公司名称变更的时间。</w:t>
            </w:r>
          </w:p>
          <w:p>
            <w:pPr>
              <w:numPr>
                <w:ilvl w:val="0"/>
                <w:numId w:val="2"/>
              </w:numPr>
              <w:spacing w:line="360" w:lineRule="auto"/>
              <w:jc w:val="both"/>
              <w:rPr>
                <w:rFonts w:hint="eastAsia" w:ascii="仿宋" w:hAnsi="仿宋" w:eastAsia="仿宋" w:cs="仿宋"/>
                <w:bCs/>
                <w:sz w:val="24"/>
                <w:szCs w:val="24"/>
                <w:lang w:val="en-US" w:eastAsia="zh-CN"/>
              </w:rPr>
            </w:pPr>
            <w:r>
              <w:rPr>
                <w:rFonts w:hint="eastAsia" w:ascii="仿宋" w:hAnsi="仿宋" w:eastAsia="仿宋" w:cs="仿宋"/>
                <w:bCs/>
                <w:sz w:val="24"/>
                <w:szCs w:val="24"/>
              </w:rPr>
              <w:t>《会规》第19条</w:t>
            </w:r>
            <w:r>
              <w:rPr>
                <w:rFonts w:hint="eastAsia" w:ascii="仿宋" w:hAnsi="仿宋" w:eastAsia="仿宋" w:cs="仿宋"/>
                <w:bCs/>
                <w:sz w:val="24"/>
                <w:szCs w:val="24"/>
                <w:lang w:val="en-US" w:eastAsia="zh-CN"/>
              </w:rPr>
              <w:t>第7）项</w:t>
            </w:r>
            <w:r>
              <w:rPr>
                <w:rFonts w:hint="eastAsia" w:ascii="仿宋" w:hAnsi="仿宋" w:eastAsia="仿宋" w:cs="仿宋"/>
                <w:bCs/>
                <w:sz w:val="24"/>
                <w:szCs w:val="24"/>
              </w:rPr>
              <w:t>、《细则》第十一章</w:t>
            </w:r>
            <w:r>
              <w:rPr>
                <w:rFonts w:hint="eastAsia" w:ascii="仿宋" w:hAnsi="仿宋" w:eastAsia="仿宋" w:cs="仿宋"/>
                <w:bCs/>
                <w:sz w:val="24"/>
                <w:szCs w:val="24"/>
                <w:lang w:val="en-US" w:eastAsia="zh-CN"/>
              </w:rPr>
              <w:t>和</w:t>
            </w:r>
            <w:r>
              <w:rPr>
                <w:rFonts w:hint="eastAsia" w:ascii="仿宋" w:hAnsi="仿宋" w:eastAsia="仿宋" w:cs="仿宋"/>
                <w:bCs/>
                <w:sz w:val="24"/>
                <w:szCs w:val="24"/>
              </w:rPr>
              <w:t>《会籍章程及权益》第16条均</w:t>
            </w:r>
            <w:r>
              <w:rPr>
                <w:rFonts w:hint="eastAsia" w:ascii="仿宋" w:hAnsi="仿宋" w:eastAsia="仿宋" w:cs="仿宋"/>
                <w:bCs/>
                <w:sz w:val="24"/>
                <w:szCs w:val="24"/>
                <w:lang w:val="en-US" w:eastAsia="zh-CN"/>
              </w:rPr>
              <w:t>规定</w:t>
            </w:r>
            <w:r>
              <w:rPr>
                <w:rFonts w:hint="eastAsia" w:ascii="仿宋" w:hAnsi="仿宋" w:eastAsia="仿宋" w:cs="仿宋"/>
                <w:bCs/>
                <w:sz w:val="24"/>
                <w:szCs w:val="24"/>
              </w:rPr>
              <w:t>公司会籍如发生公司名称变更将被视为会籍转让，公司会员需支付更名转让费</w:t>
            </w:r>
            <w:r>
              <w:rPr>
                <w:rFonts w:hint="eastAsia" w:ascii="仿宋" w:hAnsi="仿宋" w:eastAsia="仿宋" w:cs="仿宋"/>
                <w:bCs/>
                <w:sz w:val="24"/>
                <w:szCs w:val="24"/>
                <w:lang w:eastAsia="zh-CN"/>
              </w:rPr>
              <w:t>。</w:t>
            </w:r>
            <w:r>
              <w:rPr>
                <w:rFonts w:hint="eastAsia" w:ascii="仿宋" w:hAnsi="仿宋" w:eastAsia="仿宋" w:cs="仿宋"/>
                <w:bCs/>
                <w:sz w:val="24"/>
                <w:szCs w:val="24"/>
                <w:lang w:val="en-US" w:eastAsia="zh-CN"/>
              </w:rPr>
              <w:t>前述规定</w:t>
            </w:r>
            <w:r>
              <w:rPr>
                <w:rFonts w:hint="eastAsia" w:ascii="仿宋" w:hAnsi="仿宋" w:eastAsia="仿宋" w:cs="仿宋"/>
                <w:bCs/>
                <w:sz w:val="24"/>
                <w:szCs w:val="24"/>
              </w:rPr>
              <w:t>系被告单方制定的格式条款且明显加重原告责任和义务，应属无效</w:t>
            </w:r>
            <w:r>
              <w:rPr>
                <w:rFonts w:hint="eastAsia" w:ascii="仿宋" w:hAnsi="仿宋" w:eastAsia="仿宋" w:cs="仿宋"/>
                <w:bCs/>
                <w:sz w:val="24"/>
                <w:szCs w:val="24"/>
                <w:lang w:eastAsia="zh-CN"/>
              </w:rPr>
              <w:t>。</w:t>
            </w:r>
          </w:p>
          <w:p>
            <w:pPr>
              <w:numPr>
                <w:ilvl w:val="0"/>
                <w:numId w:val="2"/>
              </w:numPr>
              <w:spacing w:line="360" w:lineRule="auto"/>
              <w:jc w:val="both"/>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原告从未签署过《会籍章程及权益》表明接受该文件的全部条款，原被告双方未就该文件第16条规定的“公司更名视为会籍转让”条款达成意思表示一致。</w:t>
            </w:r>
          </w:p>
          <w:p>
            <w:pPr>
              <w:numPr>
                <w:ilvl w:val="0"/>
                <w:numId w:val="2"/>
              </w:numPr>
              <w:spacing w:line="360" w:lineRule="auto"/>
              <w:jc w:val="both"/>
              <w:rPr>
                <w:rFonts w:hint="eastAsia" w:ascii="仿宋" w:hAnsi="仿宋" w:eastAsia="仿宋" w:cs="仿宋"/>
                <w:bCs/>
                <w:sz w:val="24"/>
                <w:szCs w:val="24"/>
                <w:lang w:val="en-US" w:eastAsia="zh-CN"/>
              </w:rPr>
            </w:pPr>
            <w:r>
              <w:rPr>
                <w:rFonts w:hint="eastAsia" w:ascii="仿宋" w:hAnsi="仿宋" w:eastAsia="仿宋" w:cs="仿宋"/>
                <w:bCs/>
                <w:sz w:val="24"/>
                <w:szCs w:val="24"/>
                <w:lang w:eastAsia="zh-CN"/>
              </w:rPr>
              <w:t>《</w:t>
            </w:r>
            <w:r>
              <w:rPr>
                <w:rFonts w:hint="eastAsia" w:ascii="仿宋" w:hAnsi="仿宋" w:eastAsia="仿宋" w:cs="仿宋"/>
                <w:bCs/>
                <w:sz w:val="24"/>
                <w:szCs w:val="24"/>
                <w:lang w:val="en-US" w:eastAsia="zh-CN"/>
              </w:rPr>
              <w:t>会籍章程及权益</w:t>
            </w:r>
            <w:r>
              <w:rPr>
                <w:rFonts w:hint="eastAsia" w:ascii="仿宋" w:hAnsi="仿宋" w:eastAsia="仿宋" w:cs="仿宋"/>
                <w:bCs/>
                <w:sz w:val="24"/>
                <w:szCs w:val="24"/>
                <w:lang w:eastAsia="zh-CN"/>
              </w:rPr>
              <w:t>》</w:t>
            </w:r>
            <w:r>
              <w:rPr>
                <w:rFonts w:hint="eastAsia" w:ascii="仿宋" w:hAnsi="仿宋" w:eastAsia="仿宋" w:cs="仿宋"/>
                <w:bCs/>
                <w:sz w:val="24"/>
                <w:szCs w:val="24"/>
                <w:lang w:val="en-US" w:eastAsia="zh-CN"/>
              </w:rPr>
              <w:t>第30条列明的附件有</w:t>
            </w:r>
            <w:r>
              <w:rPr>
                <w:rFonts w:hint="eastAsia" w:ascii="仿宋" w:hAnsi="仿宋" w:eastAsia="仿宋" w:cs="仿宋"/>
                <w:bCs/>
                <w:sz w:val="24"/>
                <w:szCs w:val="24"/>
              </w:rPr>
              <w:t>《沙河高尔夫球会转让会籍收费一览表》，</w:t>
            </w:r>
            <w:r>
              <w:rPr>
                <w:rFonts w:hint="eastAsia" w:ascii="仿宋" w:hAnsi="仿宋" w:eastAsia="仿宋" w:cs="仿宋"/>
                <w:bCs/>
                <w:sz w:val="24"/>
                <w:szCs w:val="24"/>
                <w:lang w:val="en-US" w:eastAsia="zh-CN"/>
              </w:rPr>
              <w:t>但原告一直未收到过该附件</w:t>
            </w:r>
            <w:r>
              <w:rPr>
                <w:rFonts w:hint="eastAsia" w:ascii="仿宋" w:hAnsi="仿宋" w:eastAsia="仿宋" w:cs="仿宋"/>
                <w:bCs/>
                <w:sz w:val="24"/>
                <w:szCs w:val="24"/>
              </w:rPr>
              <w:t>，也就是说被告没有事先向原告披露球会会籍转让的收费标准，只</w:t>
            </w:r>
            <w:r>
              <w:rPr>
                <w:rFonts w:hint="eastAsia" w:ascii="仿宋" w:hAnsi="仿宋" w:eastAsia="仿宋" w:cs="仿宋"/>
                <w:bCs/>
                <w:sz w:val="24"/>
                <w:szCs w:val="24"/>
                <w:lang w:val="en-US" w:eastAsia="zh-CN"/>
              </w:rPr>
              <w:t>有</w:t>
            </w:r>
            <w:r>
              <w:rPr>
                <w:rFonts w:hint="eastAsia" w:ascii="仿宋" w:hAnsi="仿宋" w:eastAsia="仿宋" w:cs="仿宋"/>
                <w:bCs/>
                <w:sz w:val="24"/>
                <w:szCs w:val="24"/>
              </w:rPr>
              <w:t>事后告知</w:t>
            </w:r>
            <w:r>
              <w:rPr>
                <w:rFonts w:hint="eastAsia" w:ascii="仿宋" w:hAnsi="仿宋" w:eastAsia="仿宋" w:cs="仿宋"/>
                <w:bCs/>
                <w:sz w:val="24"/>
                <w:szCs w:val="24"/>
                <w:lang w:eastAsia="zh-CN"/>
              </w:rPr>
              <w:t>。</w:t>
            </w:r>
          </w:p>
        </w:tc>
        <w:tc>
          <w:tcPr>
            <w:tcW w:w="733"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《会籍章程及权益》</w:t>
            </w:r>
          </w:p>
        </w:tc>
        <w:tc>
          <w:tcPr>
            <w:tcW w:w="4406" w:type="dxa"/>
            <w:vMerge w:val="continue"/>
            <w:vAlign w:val="center"/>
          </w:tcPr>
          <w:p>
            <w:pPr>
              <w:spacing w:line="360" w:lineRule="auto"/>
              <w:jc w:val="left"/>
              <w:rPr>
                <w:rFonts w:hint="eastAsia" w:ascii="仿宋" w:hAnsi="仿宋" w:eastAsia="仿宋" w:cs="仿宋"/>
                <w:b w:val="0"/>
                <w:bCs/>
                <w:sz w:val="24"/>
                <w:szCs w:val="24"/>
                <w:lang w:val="en-US" w:eastAsia="zh-CN"/>
              </w:rPr>
            </w:pPr>
          </w:p>
        </w:tc>
        <w:tc>
          <w:tcPr>
            <w:tcW w:w="733"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《律师函》、邮寄和签收记录</w:t>
            </w:r>
          </w:p>
        </w:tc>
        <w:tc>
          <w:tcPr>
            <w:tcW w:w="4406" w:type="dxa"/>
            <w:vAlign w:val="center"/>
          </w:tcPr>
          <w:p>
            <w:pPr>
              <w:spacing w:line="360" w:lineRule="auto"/>
              <w:jc w:val="left"/>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证明原告在收到《会规》、《细则》和《会籍章程及权益》三份文件以及被告知需要补缴25万元更名转让费后</w:t>
            </w:r>
            <w:r>
              <w:rPr>
                <w:rFonts w:hint="eastAsia" w:ascii="仿宋" w:hAnsi="仿宋" w:eastAsia="仿宋" w:cs="仿宋"/>
                <w:bCs/>
                <w:sz w:val="24"/>
                <w:szCs w:val="24"/>
              </w:rPr>
              <w:t>的第一时间委托律师</w:t>
            </w:r>
            <w:r>
              <w:rPr>
                <w:rFonts w:hint="eastAsia" w:ascii="仿宋" w:hAnsi="仿宋" w:eastAsia="仿宋" w:cs="仿宋"/>
                <w:bCs/>
                <w:sz w:val="24"/>
                <w:szCs w:val="24"/>
                <w:lang w:val="en-US" w:eastAsia="zh-CN"/>
              </w:rPr>
              <w:t>向被告发送《律师函》，</w:t>
            </w:r>
            <w:r>
              <w:rPr>
                <w:rFonts w:hint="eastAsia" w:ascii="仿宋" w:hAnsi="仿宋" w:eastAsia="仿宋" w:cs="仿宋"/>
                <w:bCs/>
                <w:sz w:val="24"/>
                <w:szCs w:val="24"/>
              </w:rPr>
              <w:t>对“公司更名视为会籍转让”的规定提出异议，原被告双方并未就该条款达成意思表示一致。</w:t>
            </w:r>
            <w:r>
              <w:rPr>
                <w:rFonts w:hint="eastAsia" w:ascii="仿宋" w:hAnsi="仿宋" w:eastAsia="仿宋" w:cs="仿宋"/>
                <w:bCs/>
                <w:sz w:val="24"/>
                <w:szCs w:val="24"/>
                <w:lang w:val="en-US" w:eastAsia="zh-CN"/>
              </w:rPr>
              <w:t>该函件已于2023年4月4日被被告签收。</w:t>
            </w:r>
          </w:p>
        </w:tc>
        <w:tc>
          <w:tcPr>
            <w:tcW w:w="733"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邮件沟通记录（被告于2023年4月11日向原告发送）</w:t>
            </w:r>
          </w:p>
        </w:tc>
        <w:tc>
          <w:tcPr>
            <w:tcW w:w="4406" w:type="dxa"/>
            <w:vAlign w:val="center"/>
          </w:tcPr>
          <w:p>
            <w:pPr>
              <w:spacing w:line="360" w:lineRule="auto"/>
              <w:jc w:val="left"/>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证明为办理公司会籍名称变更手续，被告在要求原告提供原告公司最新营业执照、工商变更通知书和公司名称变更确认书之外，还要求原告支付公司名称变更费12.5万元/会籍。</w:t>
            </w:r>
          </w:p>
        </w:tc>
        <w:tc>
          <w:tcPr>
            <w:tcW w:w="733"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原告营业执照、</w:t>
            </w:r>
            <w:r>
              <w:rPr>
                <w:rFonts w:hint="eastAsia" w:ascii="仿宋" w:hAnsi="仿宋" w:eastAsia="仿宋" w:cs="仿宋"/>
                <w:bCs/>
                <w:sz w:val="24"/>
                <w:szCs w:val="24"/>
              </w:rPr>
              <w:t>工商变更通知书和公司名称变更确认书</w:t>
            </w:r>
            <w:r>
              <w:rPr>
                <w:rFonts w:hint="eastAsia" w:ascii="仿宋" w:hAnsi="仿宋" w:eastAsia="仿宋" w:cs="仿宋"/>
                <w:bCs/>
                <w:sz w:val="24"/>
                <w:szCs w:val="24"/>
                <w:lang w:val="en-US" w:eastAsia="zh-CN"/>
              </w:rPr>
              <w:t>以及邮寄和签收记录</w:t>
            </w:r>
          </w:p>
        </w:tc>
        <w:tc>
          <w:tcPr>
            <w:tcW w:w="4406" w:type="dxa"/>
            <w:vMerge w:val="restart"/>
            <w:vAlign w:val="center"/>
          </w:tcPr>
          <w:p>
            <w:pPr>
              <w:spacing w:line="360" w:lineRule="auto"/>
              <w:jc w:val="left"/>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共同证明原告已经按照被告要求提供能够证明原告公司名称变更信息的必要材料，但被告仍要求原告支付两个会籍的更名转让费，拒绝为原告办理会籍名称变更的手续。</w:t>
            </w:r>
          </w:p>
        </w:tc>
        <w:tc>
          <w:tcPr>
            <w:tcW w:w="733"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邮件沟通记录（被告于2023年4月13日向原告发送）</w:t>
            </w:r>
          </w:p>
        </w:tc>
        <w:tc>
          <w:tcPr>
            <w:tcW w:w="4406" w:type="dxa"/>
            <w:vMerge w:val="continue"/>
            <w:vAlign w:val="center"/>
          </w:tcPr>
          <w:p>
            <w:pPr>
              <w:spacing w:line="360" w:lineRule="auto"/>
              <w:jc w:val="left"/>
              <w:rPr>
                <w:rFonts w:hint="eastAsia" w:ascii="仿宋" w:hAnsi="仿宋" w:eastAsia="仿宋" w:cs="仿宋"/>
                <w:b w:val="0"/>
                <w:bCs/>
                <w:sz w:val="24"/>
                <w:szCs w:val="24"/>
                <w:lang w:val="en-US" w:eastAsia="zh-CN"/>
              </w:rPr>
            </w:pPr>
          </w:p>
        </w:tc>
        <w:tc>
          <w:tcPr>
            <w:tcW w:w="733"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《委托代理合同》</w:t>
            </w:r>
          </w:p>
        </w:tc>
        <w:tc>
          <w:tcPr>
            <w:tcW w:w="4406" w:type="dxa"/>
            <w:vMerge w:val="restart"/>
            <w:vAlign w:val="center"/>
          </w:tcPr>
          <w:p>
            <w:pPr>
              <w:spacing w:line="360" w:lineRule="auto"/>
              <w:jc w:val="left"/>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共同证明原告为维护自身合法权益而发生的律师费支出为2万元。</w:t>
            </w:r>
          </w:p>
        </w:tc>
        <w:tc>
          <w:tcPr>
            <w:tcW w:w="733"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numPr>
                <w:ilvl w:val="0"/>
                <w:numId w:val="1"/>
              </w:numPr>
              <w:spacing w:line="360" w:lineRule="auto"/>
              <w:ind w:left="425" w:hanging="425"/>
              <w:jc w:val="center"/>
              <w:rPr>
                <w:rFonts w:hint="eastAsia" w:ascii="仿宋" w:hAnsi="仿宋" w:eastAsia="仿宋" w:cs="仿宋"/>
                <w:b w:val="0"/>
                <w:bCs/>
                <w:sz w:val="24"/>
                <w:szCs w:val="24"/>
                <w:lang w:val="en-US" w:eastAsia="zh-CN"/>
              </w:rPr>
            </w:pPr>
          </w:p>
        </w:tc>
        <w:tc>
          <w:tcPr>
            <w:tcW w:w="2236" w:type="dxa"/>
            <w:vAlign w:val="center"/>
          </w:tcPr>
          <w:p>
            <w:pPr>
              <w:spacing w:line="360" w:lineRule="auto"/>
              <w:jc w:val="center"/>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律师费发票</w:t>
            </w:r>
          </w:p>
        </w:tc>
        <w:tc>
          <w:tcPr>
            <w:tcW w:w="4406" w:type="dxa"/>
            <w:vMerge w:val="continue"/>
            <w:vAlign w:val="center"/>
          </w:tcPr>
          <w:p>
            <w:pPr>
              <w:spacing w:line="360" w:lineRule="auto"/>
              <w:jc w:val="left"/>
              <w:rPr>
                <w:rFonts w:hint="eastAsia" w:ascii="仿宋" w:hAnsi="仿宋" w:eastAsia="仿宋" w:cs="仿宋"/>
                <w:b w:val="0"/>
                <w:bCs/>
                <w:sz w:val="24"/>
                <w:szCs w:val="24"/>
                <w:lang w:val="en-US" w:eastAsia="zh-CN"/>
              </w:rPr>
            </w:pPr>
          </w:p>
        </w:tc>
        <w:tc>
          <w:tcPr>
            <w:tcW w:w="733"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w:t>
            </w:r>
          </w:p>
        </w:tc>
        <w:tc>
          <w:tcPr>
            <w:tcW w:w="950" w:type="dxa"/>
            <w:vAlign w:val="center"/>
          </w:tcPr>
          <w:p>
            <w:pPr>
              <w:spacing w:line="360" w:lineRule="auto"/>
              <w:jc w:val="center"/>
              <w:rPr>
                <w:rFonts w:hint="eastAsia" w:ascii="仿宋" w:hAnsi="仿宋" w:eastAsia="仿宋" w:cs="仿宋"/>
                <w:b w:val="0"/>
                <w:bCs/>
                <w:sz w:val="24"/>
                <w:szCs w:val="24"/>
                <w:lang w:val="en-US" w:eastAsia="zh-CN"/>
              </w:rPr>
            </w:pPr>
          </w:p>
        </w:tc>
        <w:tc>
          <w:tcPr>
            <w:tcW w:w="1042" w:type="dxa"/>
            <w:vAlign w:val="center"/>
          </w:tcPr>
          <w:p>
            <w:pPr>
              <w:spacing w:line="360" w:lineRule="auto"/>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复印件</w:t>
            </w:r>
          </w:p>
        </w:tc>
      </w:tr>
    </w:tbl>
    <w:p>
      <w:pPr>
        <w:spacing w:line="600" w:lineRule="auto"/>
        <w:jc w:val="left"/>
        <w:rPr>
          <w:rFonts w:hint="eastAsia" w:ascii="仿宋" w:hAnsi="仿宋" w:eastAsia="仿宋" w:cs="仿宋"/>
          <w:sz w:val="24"/>
          <w:szCs w:val="24"/>
        </w:rPr>
      </w:pPr>
    </w:p>
    <w:p>
      <w:pPr>
        <w:spacing w:line="600" w:lineRule="auto"/>
        <w:jc w:val="left"/>
        <w:rPr>
          <w:rFonts w:hint="eastAsia" w:ascii="仿宋" w:hAnsi="仿宋" w:eastAsia="仿宋" w:cs="仿宋"/>
          <w:sz w:val="24"/>
          <w:szCs w:val="24"/>
          <w:lang w:val="en-US" w:eastAsia="zh-CN"/>
        </w:rPr>
      </w:pPr>
      <w:r>
        <w:rPr>
          <w:rFonts w:hint="eastAsia" w:ascii="仿宋" w:hAnsi="仿宋" w:eastAsia="仿宋" w:cs="仿宋"/>
          <w:sz w:val="24"/>
          <w:szCs w:val="24"/>
        </w:rPr>
        <w:t>提交人（</w:t>
      </w:r>
      <w:r>
        <w:rPr>
          <w:rFonts w:hint="eastAsia" w:ascii="仿宋" w:hAnsi="仿宋" w:eastAsia="仿宋" w:cs="仿宋"/>
          <w:sz w:val="24"/>
          <w:szCs w:val="24"/>
          <w:lang w:val="en-US" w:eastAsia="zh-CN"/>
        </w:rPr>
        <w:t>原告</w:t>
      </w:r>
      <w:r>
        <w:rPr>
          <w:rFonts w:hint="eastAsia" w:ascii="仿宋" w:hAnsi="仿宋" w:eastAsia="仿宋" w:cs="仿宋"/>
          <w:sz w:val="24"/>
          <w:szCs w:val="24"/>
        </w:rPr>
        <w:t xml:space="preserve">）：深圳市百山创业投资有限公司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eastAsia="zh-Hans"/>
        </w:rPr>
        <w:t>提交时间：</w:t>
      </w:r>
    </w:p>
    <w:p>
      <w:pPr>
        <w:spacing w:line="60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代理人（签字）：</w:t>
      </w:r>
    </w:p>
    <w:p>
      <w:pPr>
        <w:spacing w:line="600" w:lineRule="auto"/>
        <w:jc w:val="left"/>
        <w:rPr>
          <w:rFonts w:hint="eastAsia" w:ascii="仿宋" w:hAnsi="仿宋" w:eastAsia="仿宋" w:cs="仿宋"/>
        </w:rPr>
      </w:pPr>
      <w:r>
        <w:rPr>
          <w:rFonts w:hint="eastAsia" w:ascii="仿宋" w:hAnsi="仿宋" w:eastAsia="仿宋" w:cs="仿宋"/>
          <w:sz w:val="24"/>
          <w:szCs w:val="24"/>
        </w:rPr>
        <w:t>签收人：                                           签收时间：</w:t>
      </w:r>
    </w:p>
    <w:p>
      <w:pPr>
        <w:rPr>
          <w:rFonts w:hint="eastAsia" w:ascii="仿宋" w:hAnsi="仿宋" w:eastAsia="仿宋" w:cs="仿宋"/>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4043304"/>
    </w:sdtPr>
    <w:sdtContent>
      <w:p>
        <w:pPr>
          <w:pStyle w:val="2"/>
          <w:jc w:val="center"/>
        </w:pPr>
        <w:r>
          <w:fldChar w:fldCharType="begin"/>
        </w:r>
        <w:r>
          <w:instrText xml:space="preserve">PAGE   \* MERGEFORMAT</w:instrText>
        </w:r>
        <w:r>
          <w:fldChar w:fldCharType="separate"/>
        </w:r>
        <w:r>
          <w:rPr>
            <w:lang w:val="zh-CN"/>
          </w:rPr>
          <w:t>2</w:t>
        </w:r>
        <w:r>
          <w:fldChar w:fldCharType="end"/>
        </w:r>
      </w:p>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327E4"/>
    <w:multiLevelType w:val="singleLevel"/>
    <w:tmpl w:val="ABA327E4"/>
    <w:lvl w:ilvl="0" w:tentative="0">
      <w:start w:val="1"/>
      <w:numFmt w:val="decimal"/>
      <w:lvlText w:val="%1."/>
      <w:lvlJc w:val="left"/>
      <w:pPr>
        <w:tabs>
          <w:tab w:val="left" w:pos="312"/>
        </w:tabs>
      </w:pPr>
    </w:lvl>
  </w:abstractNum>
  <w:abstractNum w:abstractNumId="1">
    <w:nsid w:val="5F68E28D"/>
    <w:multiLevelType w:val="singleLevel"/>
    <w:tmpl w:val="5F68E28D"/>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JmNTAxYTA0NTllZTU0OWY5NWY0MWNlMzBjNGU2OTYifQ=="/>
  </w:docVars>
  <w:rsids>
    <w:rsidRoot w:val="00000000"/>
    <w:rsid w:val="05EB1CA0"/>
    <w:rsid w:val="0673386F"/>
    <w:rsid w:val="09282BB8"/>
    <w:rsid w:val="0F1D0F22"/>
    <w:rsid w:val="1C607CEF"/>
    <w:rsid w:val="22D75900"/>
    <w:rsid w:val="7E6F324B"/>
    <w:rsid w:val="7FDDB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table" w:styleId="4">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148</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2023-04-23T15:38:00Z</dcterms:created>
  <dc:creator>Jasmine-yueyue</dc:creator>
  <cp:lastModifiedBy>Jasmine-yueyue</cp:lastModifiedBy>
  <dcterms:modified xsi:type="dcterms:W3CDTF">2023-04-24T07:01:54Z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3D8049B9097D08C237254664B29DB9E1_43</vt:lpwstr>
  </property>
</Properties>
</file>