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BF84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文章修改：</w:t>
      </w:r>
    </w:p>
    <w:p w14:paraId="6028EE5E">
      <w:pPr>
        <w:rPr>
          <w:rFonts w:hint="eastAsia"/>
          <w:lang w:val="en-US" w:eastAsia="zh-CN"/>
        </w:rPr>
      </w:pPr>
    </w:p>
    <w:p w14:paraId="2EDEF47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公式（20）中的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Δ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buffer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=α∙</m:t>
        </m:r>
        <m:d>
          <m:dPr>
            <m:ctrlPr>
              <w:rPr>
                <w:rFonts w:hint="default" w:ascii="Cambria Math" w:hAnsi="Cambria Math"/>
                <w:lang w:val="en-US" w:eastAsia="zh-CN"/>
              </w:rPr>
            </m:ctrlPr>
          </m:dPr>
          <m:e>
            <m:f>
              <m:fPr>
                <m:type m:val="lin"/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Times New Roman" w:hAnsi="Times New Roman"/>
                        <w:lang w:val="en-US" w:eastAsia="zh-CN"/>
                      </w:rPr>
                      <m:t>v</m:t>
                    </m: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Times New Roman" w:hAnsi="Times New Roman"/>
                        <w:lang w:val="en-US" w:eastAsia="zh-CN"/>
                      </w:rPr>
                      <m:t>max</m:t>
                    </m: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Times New Roman" w:hAnsi="Times New Roman"/>
                        <w:lang w:val="en-US" w:eastAsia="zh-CN"/>
                      </w:rPr>
                      <m:t>a</m:t>
                    </m: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Times New Roman" w:hAnsi="Times New Roman"/>
                        <w:lang w:val="en-US" w:eastAsia="zh-CN"/>
                      </w:rPr>
                      <m:t>max</m:t>
                    </m: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lang w:val="en-US" w:eastAsia="zh-CN"/>
              </w:rPr>
            </m:ctrlPr>
          </m:e>
        </m:d>
      </m:oMath>
      <w:r>
        <w:rPr>
          <w:rFonts w:hint="eastAsia"/>
          <w:lang w:val="en-US" w:eastAsia="zh-CN"/>
        </w:rPr>
        <w:t xml:space="preserve"> 删掉，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where α </w:t>
      </w:r>
      <w:r>
        <w:rPr>
          <w:rFonts w:hint="default"/>
          <w:lang w:val="en-US" w:eastAsia="zh-CN"/>
        </w:rPr>
        <w:t>is a safety factor set to</w:t>
      </w:r>
      <w:r>
        <w:rPr>
          <w:rFonts w:hint="eastAsia"/>
          <w:lang w:val="en-US" w:eastAsia="zh-CN"/>
        </w:rPr>
        <w:t xml:space="preserve"> 1.2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这句也删掉，后面添加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Δ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buffer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</m:oMath>
      <w:r>
        <w:rPr>
          <w:rFonts w:hint="eastAsia"/>
          <w:lang w:val="en-US" w:eastAsia="zh-CN"/>
        </w:rPr>
        <w:t xml:space="preserve">的取值方式：Based on preliminary real-robot experiments, 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(Δ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buffer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 xml:space="preserve">was set to 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(0.20 s)</m:t>
        </m:r>
      </m:oMath>
      <w:r>
        <w:rPr>
          <w:rFonts w:hint="eastAsia"/>
          <w:lang w:val="en-US" w:eastAsia="zh-CN"/>
        </w:rPr>
        <w:t xml:space="preserve"> and kept fixed throughout all experiments.</w:t>
      </w:r>
    </w:p>
    <w:p w14:paraId="633327A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Algorithm 3 Two-Stage Dynamic Grasping Planning Strategy    这个表格里的vmax，amax等删掉，tinter ← </w:t>
      </w:r>
      <w:r>
        <w:rPr>
          <w:rFonts w:hint="default"/>
          <w:lang w:val="en-US" w:eastAsia="zh-CN"/>
        </w:rPr>
        <w:t>t</w:t>
      </w:r>
      <w:r>
        <w:rPr>
          <w:rFonts w:hint="eastAsia"/>
          <w:lang w:val="en-US" w:eastAsia="zh-CN"/>
        </w:rPr>
        <w:t xml:space="preserve">f + </w:t>
      </w:r>
      <w:r>
        <w:rPr>
          <w:rFonts w:hint="default"/>
          <w:lang w:val="en-US" w:eastAsia="zh-CN"/>
        </w:rPr>
        <w:t>α vmax</w:t>
      </w:r>
      <w:r>
        <w:rPr>
          <w:rFonts w:hint="eastAsia"/>
          <w:lang w:val="en-US" w:eastAsia="zh-CN"/>
        </w:rPr>
        <w:t>/a</w:t>
      </w:r>
      <w:r>
        <w:rPr>
          <w:rFonts w:hint="default"/>
          <w:lang w:val="en-US" w:eastAsia="zh-CN"/>
        </w:rPr>
        <w:t xml:space="preserve">max </w:t>
      </w:r>
      <w:r>
        <w:rPr>
          <w:rFonts w:hint="eastAsia"/>
          <w:lang w:val="en-US" w:eastAsia="zh-CN"/>
        </w:rPr>
        <w:t>这个公式也相应改成+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Δ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buffer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</m:oMath>
      <w:r>
        <w:rPr>
          <w:rFonts w:hint="eastAsia"/>
          <w:lang w:val="en-US" w:eastAsia="zh-CN"/>
        </w:rPr>
        <w:t>的描述</w:t>
      </w:r>
    </w:p>
    <w:p w14:paraId="138E75F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5EFBCA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C.3)中的When tr(P k</w:t>
      </w:r>
      <w:r>
        <w:rPr>
          <w:rFonts w:hint="default"/>
          <w:lang w:val="en-US" w:eastAsia="zh-CN"/>
        </w:rPr>
        <w:t xml:space="preserve">) exceeds a safety threshold or 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sync does not converge,</w:t>
      </w:r>
      <w:r>
        <w:rPr>
          <w:rFonts w:hint="eastAsia"/>
          <w:lang w:val="en-US" w:eastAsia="zh-CN"/>
        </w:rPr>
        <w:t xml:space="preserve"> 改成：</w:t>
      </w:r>
    </w:p>
    <w:p w14:paraId="5C99F5D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 quantify the positional uncertainty, we use the 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3×3</m:t>
        </m:r>
      </m:oMath>
      <w:r>
        <w:rPr>
          <w:rFonts w:hint="eastAsia"/>
          <w:lang w:val="en-US" w:eastAsia="zh-CN"/>
        </w:rPr>
        <w:t xml:space="preserve"> positional covariance submatrix </w:t>
      </w:r>
      <m:oMath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p,k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</m:oMath>
      <w:r>
        <w:rPr>
          <w:rFonts w:hint="eastAsia"/>
          <w:lang w:val="en-US" w:eastAsia="zh-CN"/>
        </w:rPr>
        <w:t xml:space="preserve"> of </w:t>
      </w:r>
      <m:oMath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k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</m:oMath>
      <w:r>
        <w:rPr>
          <w:rFonts w:hint="eastAsia"/>
          <w:lang w:val="en-US" w:eastAsia="zh-CN"/>
        </w:rPr>
        <w:t xml:space="preserve">, corresponding to  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[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x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y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z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]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p>
        </m:sSup>
      </m:oMath>
      <w:r>
        <w:rPr>
          <w:rFonts w:hint="eastAsia"/>
          <w:lang w:val="en-US" w:eastAsia="zh-CN"/>
        </w:rPr>
        <w:t xml:space="preserve">. Its trace represents the sum of the position variances. When 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tr(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p,k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)&gt;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τ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</m:oMath>
      <w:r>
        <w:rPr>
          <w:rFonts w:hint="eastAsia"/>
          <w:lang w:val="en-US" w:eastAsia="zh-CN"/>
        </w:rPr>
        <w:t xml:space="preserve"> or </w:t>
      </w:r>
      <m:oMath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E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sync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</m:oMath>
      <w:r>
        <w:rPr>
          <w:rFonts w:hint="eastAsia"/>
          <w:lang w:val="en-US" w:eastAsia="zh-CN"/>
        </w:rPr>
        <w:t xml:space="preserve"> does not converge, precision placement is temporarily aborted.  We set </w:t>
      </w:r>
      <m:oMath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τ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=4.0×1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−4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 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m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p>
        </m:sSup>
      </m:oMath>
      <w:r>
        <w:rPr>
          <w:rFonts w:hint="eastAsia"/>
          <w:lang w:val="en-US" w:eastAsia="zh-CN"/>
        </w:rPr>
        <w:t xml:space="preserve">, corresponding to an aggregate positional standard deviation of 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0.020 m</m:t>
        </m:r>
      </m:oMath>
      <w:r>
        <w:rPr>
          <w:rFonts w:hint="eastAsia"/>
          <w:lang w:val="en-US" w:eastAsia="zh-CN"/>
        </w:rPr>
        <w:t>.</w:t>
      </w:r>
    </w:p>
    <w:p w14:paraId="0C68D5D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419210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161B40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正文中添加两个个参数表？（缺的参数都列在下面两个表里了）</w:t>
      </w:r>
    </w:p>
    <w:p w14:paraId="0AB98F17">
      <w:pPr>
        <w:pStyle w:val="2"/>
        <w:keepNext w:val="0"/>
        <w:keepLines w:val="0"/>
        <w:widowControl/>
        <w:suppressLineNumbers w:val="0"/>
        <w:rPr>
          <w:rFonts w:hint="eastAsia" w:ascii="NimbusRomNo9L-Regu" w:hAnsi="NimbusRomNo9L-Regu" w:eastAsia="NimbusRomNo9L-Regu" w:cs="NimbusRomNo9L-Regu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Table X. Parameters Used in PX3C and CAOS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952"/>
        <w:gridCol w:w="2081"/>
        <w:gridCol w:w="3562"/>
      </w:tblGrid>
      <w:tr w14:paraId="2D1AC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ED2C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6E5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533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C63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Selection / Source</w:t>
            </w:r>
          </w:p>
        </w:tc>
      </w:tr>
      <w:tr w14:paraId="00C65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967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5D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VoxelGrid leaf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76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 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61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Reconstructed from the experiment record and fixed for reproduction</w:t>
            </w:r>
          </w:p>
        </w:tc>
      </w:tr>
      <w:tr w14:paraId="38FDF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856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DB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RANSAC distance threshold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DB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 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50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Reconstructed from the experiment record and fixed for reproduction</w:t>
            </w:r>
          </w:p>
        </w:tc>
      </w:tr>
      <w:tr w14:paraId="40DA0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3F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DA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RANSAC hypotheses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71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 hypotheses/frame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72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Fixed computational setting</w:t>
            </w:r>
          </w:p>
        </w:tc>
      </w:tr>
      <w:tr w14:paraId="321D5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75F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84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 OBB trim fraction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E2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E1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Reconstructed PCA preprocessing setting</w:t>
            </w:r>
          </w:p>
        </w:tc>
      </w:tr>
      <w:tr w14:paraId="28D27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D02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2B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Neighborhood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N</m:t>
              </m:r>
              <m:r>
                <m:rPr/>
                <w:rPr>
                  <w:rFonts w:hint="default" w:ascii="Cambria Math" w:hAnsi="Cambria Math" w:eastAsia="宋体"/>
                  <w:sz w:val="24"/>
                </w:rPr>
                <m:t>(i))</m:t>
              </m:r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radius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81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A4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Fixed local-neighborhood setting; minimum 3 neighboring points</w:t>
            </w:r>
          </w:p>
        </w:tc>
      </w:tr>
      <w:tr w14:paraId="74AD4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CF7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0001E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τ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</w:rPr>
                      <m:t>thin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56C00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41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Reconstructed thin-slice feature threshold</w:t>
            </w:r>
          </w:p>
        </w:tc>
      </w:tr>
      <w:tr w14:paraId="12427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97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0AEA9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ϵ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</w:rPr>
                      <m:t>prot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4578E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 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D4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Protrusion-feature normalization scale</w:t>
            </w:r>
          </w:p>
        </w:tc>
      </w:tr>
      <w:tr w14:paraId="7DEB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981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00E80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τ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</w:rPr>
                      <m:t>prot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20D08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EB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Reconstructed protrusion-feature threshold</w:t>
            </w:r>
          </w:p>
        </w:tc>
      </w:tr>
      <w:tr w14:paraId="46136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C7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BDE06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τ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</w:rPr>
                      <m:t>norm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58795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76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Reconstructed normal-consistency threshold</w:t>
            </w:r>
          </w:p>
        </w:tc>
      </w:tr>
      <w:tr w14:paraId="37464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61B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C1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Euclidean clustering tolerance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60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0.150 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35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Fixed connected-component clustering setting</w:t>
            </w:r>
          </w:p>
        </w:tc>
      </w:tr>
      <w:tr w14:paraId="16E93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B3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8A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Minimum cluster 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F2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 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02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Fixed connected-component filtering setting</w:t>
            </w:r>
          </w:p>
        </w:tc>
      </w:tr>
      <w:tr w14:paraId="71749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16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B6BFE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τ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</w:rPr>
                      <m:t>in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1F321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0.010 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4E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Inlier-distance threshold</w:t>
            </w:r>
          </w:p>
        </w:tc>
      </w:tr>
      <w:tr w14:paraId="02761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22F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3A84C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w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p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2DE4C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55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Normalized squared position-change weight</w:t>
            </w:r>
          </w:p>
        </w:tc>
      </w:tr>
      <w:tr w14:paraId="205BC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EF9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39137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w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r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255C2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E4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Normalized squared rotation-change weight</w:t>
            </w:r>
          </w:p>
        </w:tc>
      </w:tr>
      <w:tr w14:paraId="5DAD0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DF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08C4E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w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47769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25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Normalized squared scale-change weight</w:t>
            </w:r>
          </w:p>
        </w:tc>
      </w:tr>
      <w:tr w14:paraId="44F04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3D0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AA0A5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η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3C28D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76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Common normalization factor</w:t>
            </w:r>
          </w:p>
        </w:tc>
      </w:tr>
      <w:tr w14:paraId="419D7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2A0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549CB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α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23B29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1D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Weight of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q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cov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</m:oMath>
          </w:p>
        </w:tc>
      </w:tr>
      <w:tr w14:paraId="4B63D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AD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DC4DC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α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7F41B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D8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Weight of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q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in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</m:oMath>
          </w:p>
        </w:tc>
      </w:tr>
      <w:tr w14:paraId="639FF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F8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D8AFB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α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495D1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DB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Weight of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q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stab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</m:oMath>
          </w:p>
        </w:tc>
      </w:tr>
      <w:tr w14:paraId="6FACD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93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6D437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q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min</m:t>
                            </m:r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e>
                          <m:lim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lim>
                        </m:limLow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Name>
                      <m:e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287F4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9A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Low-quality observation threshold</w:t>
            </w:r>
          </w:p>
        </w:tc>
      </w:tr>
      <w:tr w14:paraId="5CF5A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1A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17667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β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max</m:t>
                            </m:r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e>
                          <m:lim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lim>
                        </m:limLow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Name>
                      <m:e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0808E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0.70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vAlign w:val="center"/>
          </w:tcPr>
          <w:p w14:paraId="2FEC0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Maximum adaptive smoothing weight</w:t>
            </w:r>
          </w:p>
        </w:tc>
      </w:tr>
      <w:tr w14:paraId="412A0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D2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AA233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k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46177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21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Adaptive smoothing coefficient</w:t>
            </w:r>
          </w:p>
        </w:tc>
      </w:tr>
    </w:tbl>
    <w:p w14:paraId="39F856F8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Response:</w:t>
      </w:r>
      <w:r>
        <w:rPr>
          <w:rStyle w:val="5"/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供参考</w:t>
      </w:r>
      <w:r>
        <w:rPr>
          <w:rStyle w:val="5"/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9176E6D">
      <w:pPr>
        <w:pStyle w:val="2"/>
        <w:keepNext w:val="0"/>
        <w:keepLines w:val="0"/>
        <w:widowControl/>
        <w:suppressLineNumbers w:val="0"/>
        <w:rPr>
          <w:rFonts w:hint="eastAsia" w:ascii="NimbusRomNo9L-Regu" w:hAnsi="NimbusRomNo9L-Regu" w:eastAsia="NimbusRomNo9L-Regu" w:cs="NimbusRomNo9L-Regu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Thank you for pointing out that several important parameters in the 3D modeling module were not explicitly reported. We have added Table X to Section IV-B to provide the main PX3C and CAOS parameters, including preprocessing settings, geometric-filtering thresholds, clustering parameters, quality-assessment weights, and temporal-smoothing parameters. Parameters that do not have explicit mathematical symbols in the original formulation are reported using their implementation names.</w:t>
      </w:r>
    </w:p>
    <w:p w14:paraId="78EA04CE">
      <w:pPr>
        <w:pStyle w:val="2"/>
        <w:keepNext w:val="0"/>
        <w:keepLines w:val="0"/>
        <w:widowControl/>
        <w:suppressLineNumbers w:val="0"/>
        <w:rPr>
          <w:rFonts w:hint="eastAsia" w:ascii="NimbusRomNo9L-Regu" w:hAnsi="NimbusRomNo9L-Regu" w:eastAsia="NimbusRomNo9L-Regu" w:cs="NimbusRomNo9L-Regu"/>
          <w:color w:val="000000"/>
          <w:kern w:val="0"/>
          <w:sz w:val="19"/>
          <w:szCs w:val="19"/>
          <w:lang w:val="en-US" w:eastAsia="zh-CN" w:bidi="ar"/>
        </w:rPr>
      </w:pPr>
    </w:p>
    <w:p w14:paraId="1B48A277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Style w:val="5"/>
        </w:rPr>
        <w:t>Table X</w:t>
      </w:r>
      <w:r>
        <w:rPr>
          <w:rStyle w:val="5"/>
          <w:rFonts w:hint="eastAsia"/>
          <w:lang w:val="en-US" w:eastAsia="zh-CN"/>
        </w:rPr>
        <w:t>X</w:t>
      </w:r>
      <w:r>
        <w:rPr>
          <w:rStyle w:val="5"/>
        </w:rPr>
        <w:t>. Main parameters of the DKF and motion planner</w:t>
      </w:r>
    </w:p>
    <w:p w14:paraId="68A00B29">
      <w:pPr>
        <w:keepNext w:val="0"/>
        <w:keepLines w:val="0"/>
        <w:widowControl/>
        <w:suppressLineNumbers w:val="0"/>
        <w:jc w:val="left"/>
        <w:rPr>
          <w:rFonts w:hint="default" w:hAnsi="Cambria Math"/>
          <w:i w:val="0"/>
          <w:lang w:val="en-US" w:eastAsia="zh-CN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2463"/>
        <w:gridCol w:w="1440"/>
        <w:gridCol w:w="2617"/>
      </w:tblGrid>
      <w:tr w14:paraId="7F879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776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2AA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BA0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C45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Selection / Source</w:t>
            </w:r>
          </w:p>
        </w:tc>
      </w:tr>
      <w:tr w14:paraId="3BF05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467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DKF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5F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Process-noise covariance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(Q)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6D8A2527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(diag([1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−5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,1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−4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,1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−3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]×3))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0DCEB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Initialized according to the constant-acceleration model and adjusted through preliminary tracking experiments</w:t>
            </w:r>
          </w:p>
        </w:tc>
      </w:tr>
      <w:tr w14:paraId="09B23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CE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DKF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76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Measurement-noise covariance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(R)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1EAB4B26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(diag(2.5×1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−5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,2.5×1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−5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,1.0×1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−4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 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</w:rPr>
                      <m:t>m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0F539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Estimated from repeated static RGB-D measurements</w:t>
            </w:r>
          </w:p>
        </w:tc>
      </w:tr>
      <w:tr w14:paraId="1DB24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B6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DKF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3C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Update interval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(ΔT)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05AAE180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(0.20 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</w:rPr>
                  <m:t>s</m:t>
                </m:r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0AD73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System operating setting</w:t>
            </w:r>
          </w:p>
        </w:tc>
      </w:tr>
      <w:tr w14:paraId="301B0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331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Coarse planning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E1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Interception height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(Δh)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0F391133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(0.080 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</w:rPr>
                  <m:t>m</m:t>
                </m:r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3917A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Determined from the end-effector geometry and required clearance</w:t>
            </w:r>
          </w:p>
        </w:tc>
      </w:tr>
      <w:tr w14:paraId="36F7B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CA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Coarse planning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3B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Average interception velocity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(v)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4D71C525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(1.0 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</w:rPr>
                  <m:t>m/s</m:t>
                </m:r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01BB4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Empirically selected within the feasible operating range</w:t>
            </w:r>
          </w:p>
        </w:tc>
      </w:tr>
      <w:tr w14:paraId="3E3CA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8CD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Coarse planning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04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Newton-Raphson tolerance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01873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(1.0×1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−3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 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</w:rPr>
                  <m:t>s</m:t>
                </m:r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260F3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Numerical convergence setting</w:t>
            </w:r>
          </w:p>
        </w:tc>
      </w:tr>
      <w:tr w14:paraId="2B629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D26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Coarse planning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83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Buffer time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(Δ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buffer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\\</m:t>
              </m:r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95D2D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(0.20 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</w:rPr>
                  <m:t>s</m:t>
                </m:r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53486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Empirically selected through preliminary real-robotbot experiments</w:t>
            </w:r>
          </w:p>
        </w:tc>
      </w:tr>
      <w:tr w14:paraId="217DA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120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Fine synchronization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B9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Velocity reference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ref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11F8DE14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(0.4932 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</w:rPr>
                  <m:t>m/s</m:t>
                </m:r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1CA22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 to the conveyor-belt operating velocity</w:t>
            </w:r>
          </w:p>
        </w:tc>
      </w:tr>
      <w:tr w14:paraId="759AA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5AFD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Fine synchronization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4A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Position weight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(λ)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479BC942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(0.01)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595C5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Selected to balance the normalized velocity and position errors</w:t>
            </w:r>
          </w:p>
        </w:tc>
      </w:tr>
      <w:tr w14:paraId="43D1E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ECC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Fine synchronization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1E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Position reference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d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ref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73D8C4FC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(0.020 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</w:rPr>
                  <m:t>m</m:t>
                </m:r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75ABE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 according to the required positioning accuracy</w:t>
            </w:r>
          </w:p>
        </w:tc>
      </w:tr>
      <w:tr w14:paraId="0C890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543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Fine synchronization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0C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Synchronization threshold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ϵ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safe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216AC5D0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(0.01)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1DAEA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Selected according to the acceptable residual velocity and position errors</w:t>
            </w:r>
          </w:p>
        </w:tc>
      </w:tr>
      <w:tr w14:paraId="0A75E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D8A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 regulation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82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Position-uncertainty threshold 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τ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16555C56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(4.0×1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−4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 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</w:rPr>
                      <m:t>m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14:paraId="3C756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Empirically selected through preliminary validation</w:t>
            </w:r>
          </w:p>
        </w:tc>
      </w:tr>
    </w:tbl>
    <w:p w14:paraId="1C4A4658">
      <w:pPr>
        <w:pStyle w:val="2"/>
        <w:keepNext w:val="0"/>
        <w:keepLines w:val="0"/>
        <w:widowControl/>
        <w:suppressLineNumbers w:val="0"/>
        <w:rPr>
          <w:rFonts w:hint="default" w:ascii="NimbusRomNo9L-Regu" w:hAnsi="NimbusRomNo9L-Regu" w:eastAsia="NimbusRomNo9L-Regu" w:cs="NimbusRomNo9L-Regu"/>
          <w:color w:val="000000"/>
          <w:kern w:val="0"/>
          <w:sz w:val="19"/>
          <w:szCs w:val="19"/>
          <w:lang w:val="en-US" w:eastAsia="zh-CN" w:bidi="ar"/>
        </w:rPr>
      </w:pPr>
    </w:p>
    <w:p w14:paraId="048FBD0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Response（供参考）:</w:t>
      </w:r>
    </w:p>
    <w:p w14:paraId="3A65DB67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t>Thank you for pointing out that several important parameters of the discrete Kalman filter and motion planner were not explicitly reported. To address this issue, we have added a parameter table</w:t>
      </w:r>
      <w:r>
        <w:rPr>
          <w:rFonts w:hint="eastAsia"/>
          <w:lang w:val="en-US" w:eastAsia="zh-CN"/>
        </w:rPr>
        <w:t xml:space="preserve"> xx</w:t>
      </w:r>
      <w:r>
        <w:t xml:space="preserve"> in Section IV-C of the revised manuscript. The parameters are listed in the same order as they appear in the method description, together with their values, units, and selection methods.</w:t>
      </w:r>
    </w:p>
    <w:p w14:paraId="58AADDB7">
      <w:pPr>
        <w:pStyle w:val="2"/>
        <w:keepNext w:val="0"/>
        <w:keepLines w:val="0"/>
        <w:widowControl/>
        <w:suppressLineNumbers w:val="0"/>
      </w:pPr>
      <w:r>
        <w:t>The DKF process-noise covariance was initialized according to the constant-acceleration motion model and adjusted through preliminary tracking experiments, whereas the measurement-noise covariance was estimated from repeated static measurements of the RGB-D sensor. The operating-condition and geometry-related parameters were determined by the system configuration. The remaining planning parameters were selected through preliminary real-robot experiments and then kept fixed throughout the final evaluation.</w:t>
      </w:r>
    </w:p>
    <w:p w14:paraId="19378400">
      <w:pPr>
        <w:pStyle w:val="2"/>
        <w:keepNext w:val="0"/>
        <w:keepLines w:val="0"/>
        <w:widowControl/>
        <w:suppressLineNumbers w:val="0"/>
      </w:pPr>
      <w:r>
        <w:t xml:space="preserve">For the synchronization cost, </w:t>
      </w:r>
      <m:oMath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ref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=0.4932 </m:t>
        </m:r>
        <m:r>
          <m:rPr>
            <m:sty m:val="p"/>
          </m:rPr>
          <w:rPr>
            <w:rFonts w:hint="default" w:ascii="Cambria Math" w:hAnsi="Cambria Math"/>
            <w:sz w:val="24"/>
          </w:rPr>
          <m:t>m/s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</m:oMath>
      <w:r>
        <w:t>corresponds to the conveyor-belt velocity, while</w:t>
      </w:r>
      <m:oMath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ref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=0.020 </m:t>
        </m:r>
        <m:r>
          <m:rPr>
            <m:sty m:val="p"/>
          </m:rPr>
          <w:rPr>
            <w:rFonts w:hint="default" w:ascii="Cambria Math" w:hAnsi="Cambria Math"/>
            <w:sz w:val="24"/>
          </w:rPr>
          <m:t>m</m:t>
        </m:r>
      </m:oMath>
      <w:r>
        <w:t xml:space="preserve"> corresponds to the required positioning accuracy. With</w:t>
      </w:r>
      <m:oMath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λ=0.01</m:t>
        </m:r>
      </m:oMath>
      <w:r>
        <w:t xml:space="preserve"> and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ϵ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safe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=0.01</m:t>
        </m:r>
      </m:oMath>
      <w:r>
        <w:t>, the synchronization condition corresponds to a maximum residual velocity of approximately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0.04932 </m:t>
        </m:r>
        <m:r>
          <m:rPr>
            <m:sty m:val="p"/>
          </m:rPr>
          <w:rPr>
            <w:rFonts w:hint="default" w:ascii="Cambria Math" w:hAnsi="Cambria Math"/>
            <w:sz w:val="24"/>
          </w:rPr>
          <m:t>m/s</m:t>
        </m:r>
      </m:oMath>
      <w:r>
        <w:t xml:space="preserve"> when the position error is zero, or a maximum planar position error of </w:t>
      </w:r>
      <m:oMath>
        <m:r>
          <m:rPr/>
          <w:rPr>
            <w:rFonts w:hint="default" w:ascii="Cambria Math" w:hAnsi="Cambria Math"/>
            <w:sz w:val="24"/>
          </w:rPr>
          <m:t>0.020 </m:t>
        </m:r>
        <m:r>
          <m:rPr>
            <m:sty m:val="p"/>
          </m:rPr>
          <w:rPr>
            <w:rFonts w:hint="default" w:ascii="Cambria Math" w:hAnsi="Cambria Math"/>
            <w:sz w:val="24"/>
          </w:rPr>
          <m:t>m</m:t>
        </m:r>
      </m:oMath>
      <w:r>
        <w:t xml:space="preserve"> when the velocity error is zero. When both errors are nonzero, they are jointly constrained by the normalized synchronization cost.</w:t>
      </w:r>
    </w:p>
    <w:p w14:paraId="053AF202">
      <w:pPr>
        <w:pStyle w:val="2"/>
        <w:keepNext w:val="0"/>
        <w:keepLines w:val="0"/>
        <w:widowControl/>
        <w:suppressLineNumbers w:val="0"/>
      </w:pPr>
      <w:r>
        <w:t xml:space="preserve">We have also clarified the buffer-time setting used in the coarse-planning stage. The heuristic expression </w:t>
      </w:r>
      <m:oMath>
        <m:r>
          <m:rPr/>
          <w:rPr>
            <w:rFonts w:hint="default" w:ascii="Cambria Math" w:hAnsi="Cambria Math"/>
            <w:sz w:val="24"/>
          </w:rPr>
          <m:t>Δ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buffer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=α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func>
              <m:funcPr>
                <m:ctrlPr>
                  <w:rPr>
                    <w:rFonts w:hint="default" w:ascii="Cambria Math" w:hAnsi="Cambria Math"/>
                    <w:sz w:val="24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lim>
                    <m:ctrlPr>
                      <w:rPr>
                        <w:rFonts w:ascii="Cambria Math" w:hAnsi="Cambria Math"/>
                        <w:sz w:val="24"/>
                      </w:rPr>
                    </m:ctrlPr>
                  </m:lim>
                </m:limLow>
                <m:ctrlPr>
                  <w:rPr>
                    <w:rFonts w:hint="default" w:ascii="Cambria Math" w:hAnsi="Cambria Math"/>
                    <w:sz w:val="24"/>
                  </w:rPr>
                </m:ctrlPr>
              </m:fName>
              <m:e>
                <m:ctrlPr>
                  <w:rPr>
                    <w:rFonts w:hint="default" w:ascii="Cambria Math" w:hAnsi="Cambria Math"/>
                    <w:sz w:val="24"/>
                  </w:rPr>
                </m:ctrlPr>
              </m:e>
            </m:func>
            <m:ctrlPr>
              <w:rPr>
                <w:rFonts w:hint="default"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/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a</m:t>
            </m:r>
            <m:ctrlPr>
              <w:rPr>
                <w:rFonts w:hint="default" w:ascii="Cambria Math" w:hAnsi="Cambria Math"/>
                <w:sz w:val="24"/>
              </w:rPr>
            </m:ctrlPr>
          </m:e>
          <m:sub>
            <m:func>
              <m:funcPr>
                <m:ctrlPr>
                  <w:rPr>
                    <w:rFonts w:hint="default" w:ascii="Cambria Math" w:hAnsi="Cambria Math"/>
                    <w:sz w:val="24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lim>
                    <m:ctrlPr>
                      <w:rPr>
                        <w:rFonts w:ascii="Cambria Math" w:hAnsi="Cambria Math"/>
                        <w:sz w:val="24"/>
                      </w:rPr>
                    </m:ctrlPr>
                  </m:lim>
                </m:limLow>
                <m:ctrlPr>
                  <w:rPr>
                    <w:rFonts w:hint="default" w:ascii="Cambria Math" w:hAnsi="Cambria Math"/>
                    <w:sz w:val="24"/>
                  </w:rPr>
                </m:ctrlPr>
              </m:fName>
              <m:e>
                <m:ctrlPr>
                  <w:rPr>
                    <w:rFonts w:hint="default" w:ascii="Cambria Math" w:hAnsi="Cambria Math"/>
                    <w:sz w:val="24"/>
                  </w:rPr>
                </m:ctrlPr>
              </m:e>
            </m:func>
            <m:ctrlPr>
              <w:rPr>
                <w:rFonts w:hint="default" w:ascii="Cambria Math" w:hAnsi="Cambria Math"/>
                <w:sz w:val="24"/>
              </w:rPr>
            </m:ctrlPr>
          </m:sub>
        </m:sSub>
      </m:oMath>
      <w:r>
        <w:t xml:space="preserve"> in the previous version has been removed. Instead, the actual buffer time used in the experiments,</w:t>
      </w:r>
      <m:oMath>
        <m:r>
          <m:rPr/>
          <w:rPr>
            <w:rFonts w:hint="default" w:ascii="Cambria Math" w:hAnsi="Cambria Math"/>
            <w:sz w:val="24"/>
          </w:rPr>
          <m:t>(Δ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buffer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=0.20 </m:t>
        </m:r>
        <m:r>
          <m:rPr>
            <m:sty m:val="p"/>
          </m:rPr>
          <w:rPr>
            <w:rFonts w:hint="default" w:ascii="Cambria Math" w:hAnsi="Cambria Math"/>
            <w:sz w:val="24"/>
          </w:rPr>
          <m:t>s</m:t>
        </m:r>
        <m:r>
          <m:rPr/>
          <w:rPr>
            <w:rFonts w:hint="default" w:ascii="Cambria Math" w:hAnsi="Cambria Math"/>
            <w:sz w:val="24"/>
          </w:rPr>
          <m:t>)</m:t>
        </m:r>
      </m:oMath>
      <w:r>
        <w:t>, is now explicitly reported as an empirically selected parameter. Accordingly,</w:t>
      </w:r>
      <m:oMath>
        <m:r>
          <m:rPr/>
          <w:rPr>
            <w:rFonts w:hint="default" w:ascii="Cambria Math" w:hAnsi="Cambria Math"/>
            <w:sz w:val="24"/>
          </w:rPr>
          <m:t>α,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func>
              <m:funcPr>
                <m:ctrlPr>
                  <w:rPr>
                    <w:rFonts w:hint="default" w:ascii="Cambria Math" w:hAnsi="Cambria Math"/>
                    <w:sz w:val="24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lim>
                    <m:ctrlPr>
                      <w:rPr>
                        <w:rFonts w:ascii="Cambria Math" w:hAnsi="Cambria Math"/>
                        <w:sz w:val="24"/>
                      </w:rPr>
                    </m:ctrlPr>
                  </m:lim>
                </m:limLow>
                <m:ctrlPr>
                  <w:rPr>
                    <w:rFonts w:hint="default" w:ascii="Cambria Math" w:hAnsi="Cambria Math"/>
                    <w:sz w:val="24"/>
                  </w:rPr>
                </m:ctrlPr>
              </m:fName>
              <m:e>
                <m:ctrlPr>
                  <w:rPr>
                    <w:rFonts w:hint="default" w:ascii="Cambria Math" w:hAnsi="Cambria Math"/>
                    <w:sz w:val="24"/>
                  </w:rPr>
                </m:ctrlPr>
              </m:e>
            </m:func>
            <m:ctrlPr>
              <w:rPr>
                <w:rFonts w:hint="default" w:ascii="Cambria Math" w:hAnsi="Cambria Math"/>
                <w:sz w:val="24"/>
              </w:rPr>
            </m:ctrlPr>
          </m:sub>
        </m:sSub>
      </m:oMath>
      <w:r>
        <w:t>, and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sz w:val="24"/>
              </w:rPr>
            </m:ctrlPr>
          </m:e>
          <m:sub>
            <m:func>
              <m:funcPr>
                <m:ctrlPr>
                  <w:rPr>
                    <w:rFonts w:hint="default" w:ascii="Cambria Math" w:hAnsi="Cambria Math"/>
                    <w:sz w:val="24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lim>
                    <m:ctrlPr>
                      <w:rPr>
                        <w:rFonts w:ascii="Cambria Math" w:hAnsi="Cambria Math"/>
                        <w:sz w:val="24"/>
                      </w:rPr>
                    </m:ctrlPr>
                  </m:lim>
                </m:limLow>
                <m:ctrlPr>
                  <w:rPr>
                    <w:rFonts w:hint="default" w:ascii="Cambria Math" w:hAnsi="Cambria Math"/>
                    <w:sz w:val="24"/>
                  </w:rPr>
                </m:ctrlPr>
              </m:fName>
              <m:e>
                <m:ctrlPr>
                  <w:rPr>
                    <w:rFonts w:hint="default" w:ascii="Cambria Math" w:hAnsi="Cambria Math"/>
                    <w:sz w:val="24"/>
                  </w:rPr>
                </m:ctrlPr>
              </m:e>
            </m:func>
            <m:ctrlPr>
              <w:rPr>
                <w:rFonts w:hint="default" w:ascii="Cambria Math" w:hAnsi="Cambria Math"/>
                <w:sz w:val="24"/>
              </w:rPr>
            </m:ctrlPr>
          </m:sub>
        </m:sSub>
      </m:oMath>
      <w:r>
        <w:t>have been removed from the method description, Algorithm 3, and the parameter table.</w:t>
      </w:r>
    </w:p>
    <w:p w14:paraId="2CF455D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imbusRomNo9L-Regu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Minch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E3D27"/>
    <w:rsid w:val="18C650F0"/>
    <w:rsid w:val="29F955C0"/>
    <w:rsid w:val="3D9872E9"/>
    <w:rsid w:val="57614E87"/>
    <w:rsid w:val="593B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883</Words>
  <Characters>4937</Characters>
  <Lines>0</Lines>
  <Paragraphs>0</Paragraphs>
  <TotalTime>416</TotalTime>
  <ScaleCrop>false</ScaleCrop>
  <LinksUpToDate>false</LinksUpToDate>
  <CharactersWithSpaces>5507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2026-09-04T03:52:00Z</dcterms:created>
  <dc:creator>bobby</dc:creator>
  <cp:lastModifiedBy>贾宝芝</cp:lastModifiedBy>
  <dcterms:modified xsi:type="dcterms:W3CDTF">2026-09-08T13:35:26Z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eyJoZGlkIjoiM2FlM2I3MmNlZjNjYmMyZjUyZjk2MzA4ZGUwYjI2MTEiLCJ1c2VySWQiOiI1NDAwNjY2MDUifQ==</vt:lpwstr>
  </property>
  <property fmtid="{D5CDD505-2E9C-101B-9397-08002B2CF9AE}" pid="4" name="ICV">
    <vt:lpwstr>EBB011CEC58D495CA68BB46B9306BC64_12</vt:lpwstr>
  </property>
</Properties>
</file>