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60"/>
        <w:jc w:val="center"/>
      </w:pPr>
      <w:r>
        <w:rPr>
          <w:rFonts w:ascii="Arial" w:hAnsi="Arial" w:eastAsia="SimSun"/>
          <w:b/>
          <w:sz w:val="36"/>
        </w:rPr>
        <w:t>Seg-MoE v2 当前可汇报指标结果报告</w:t>
      </w:r>
    </w:p>
    <w:p>
      <w:pPr>
        <w:spacing w:after="80"/>
        <w:jc w:val="center"/>
      </w:pPr>
      <w:r>
        <w:rPr>
          <w:rFonts w:ascii="Arial" w:hAnsi="Arial" w:eastAsia="SimSun"/>
        </w:rPr>
        <w:t>生成时间：2026-05-21 20:03:24</w:t>
      </w:r>
    </w:p>
    <w:p>
      <w:pPr>
        <w:spacing w:after="80"/>
      </w:pPr>
      <w:r>
        <w:rPr>
          <w:rFonts w:ascii="Arial" w:hAnsi="Arial" w:eastAsia="SimSun"/>
          <w:b/>
        </w:rPr>
        <w:t>说明：本报告只汇总当前工程中已有代码、日志、CSV/JSON 和预测产物能够支撑的结果。Layer2 仍在训练，因此只汇报进度状态，不作为最终性能。</w:t>
      </w:r>
    </w:p>
    <w:p>
      <w:pPr>
        <w:spacing w:after="80"/>
      </w:pPr>
      <w:r>
        <w:rPr>
          <w:rFonts w:ascii="Arial" w:hAnsi="Arial" w:eastAsia="SimSun"/>
        </w:rPr>
        <w:t>主要来源：data/manifest/manifest_summary.csv；data/manifest/geometry_audit_summary.json；data/geometry_fixed/geometry_fix_report.json；Dataset501 anatomy validation summary；reports/layer1_current_case_metrics.csv；MedNeXt/SegMamba Layer1 summary；Dataset503 Layer2 training log。</w:t>
      </w:r>
    </w:p>
    <w:p>
      <w:pPr>
        <w:spacing w:after="120"/>
      </w:pPr>
      <w:r>
        <w:rPr>
          <w:rFonts w:ascii="Arial" w:hAnsi="Arial" w:eastAsia="SimSun"/>
          <w:b/>
          <w:sz w:val="30"/>
        </w:rPr>
        <w:t>1. 数据集与划分结果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20"/>
              </w:rPr>
              <w:t>项目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20"/>
              </w:rPr>
              <w:t>数量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20"/>
              </w:rPr>
              <w:t>比例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总病例数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3632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100.00%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PCA 病例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2153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59.28%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NCA 病例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1479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40.72%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trainval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3087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84.99%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test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545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15.01%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2012-2019 era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879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24.20%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2020-2023 era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2753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75.80%</w:t>
            </w:r>
          </w:p>
        </w:tc>
      </w:tr>
    </w:tbl>
    <w:p>
      <w:pPr>
        <w:spacing w:after="120"/>
      </w:pPr>
      <w:r>
        <w:rPr>
          <w:rFonts w:ascii="Arial" w:hAnsi="Arial" w:eastAsia="SimSun"/>
        </w:rPr>
        <w:t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20"/>
              </w:rPr>
              <w:t>fold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20"/>
              </w:rPr>
              <w:t>val 病例数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20"/>
              </w:rPr>
              <w:t>PCA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20"/>
              </w:rPr>
              <w:t>NCA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fold0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618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366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252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fold1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618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366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252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fold2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617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366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251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fold3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617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366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251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fold4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617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366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251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test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545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323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222</w:t>
            </w:r>
          </w:p>
        </w:tc>
      </w:tr>
    </w:tbl>
    <w:p>
      <w:pPr>
        <w:spacing w:after="120"/>
      </w:pPr>
      <w:r>
        <w:rPr>
          <w:rFonts w:ascii="Arial" w:hAnsi="Arial" w:eastAsia="SimSun"/>
        </w:rPr>
        <w:t/>
      </w:r>
    </w:p>
    <w:p>
      <w:pPr>
        <w:spacing w:after="80"/>
      </w:pPr>
      <w:r>
        <w:rPr>
          <w:rFonts w:ascii="Arial" w:hAnsi="Arial" w:eastAsia="SimSun"/>
        </w:rPr>
        <w:t>说明：当前划分是 patient-level、cohort-balanced 的 5 折交叉验证设计，适合后续 OOF 预测和论文级实验。</w:t>
      </w:r>
    </w:p>
    <w:p>
      <w:pPr>
        <w:spacing w:after="120"/>
      </w:pPr>
      <w:r>
        <w:rPr>
          <w:rFonts w:ascii="Arial" w:hAnsi="Arial" w:eastAsia="SimSun"/>
          <w:b/>
          <w:sz w:val="30"/>
        </w:rPr>
        <w:t>2. 几何审计与修复结果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20"/>
              </w:rPr>
              <w:t>项目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20"/>
              </w:rPr>
              <w:t>数量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总病例数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3632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无需处理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3570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需要 header harmonize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52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需要 resample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10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总修复病例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62</w:t>
            </w:r>
          </w:p>
        </w:tc>
      </w:tr>
    </w:tbl>
    <w:p>
      <w:pPr>
        <w:spacing w:after="120"/>
      </w:pPr>
      <w:r>
        <w:rPr>
          <w:rFonts w:ascii="Arial" w:hAnsi="Arial" w:eastAsia="SimSun"/>
        </w:rPr>
        <w:t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20"/>
              </w:rPr>
              <w:t>模态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20"/>
              </w:rPr>
              <w:t>copy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20"/>
              </w:rPr>
              <w:t>header harmonize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20"/>
              </w:rPr>
              <w:t>resample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T2W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62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ADC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2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50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10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DWI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2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50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10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label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60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2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</w:t>
            </w:r>
          </w:p>
        </w:tc>
      </w:tr>
    </w:tbl>
    <w:p>
      <w:pPr>
        <w:spacing w:after="120"/>
      </w:pPr>
      <w:r>
        <w:rPr>
          <w:rFonts w:ascii="Arial" w:hAnsi="Arial" w:eastAsia="SimSun"/>
        </w:rPr>
        <w:t/>
      </w:r>
    </w:p>
    <w:p>
      <w:pPr>
        <w:spacing w:after="80"/>
      </w:pPr>
      <w:r>
        <w:rPr>
          <w:rFonts w:ascii="Arial" w:hAnsi="Arial" w:eastAsia="SimSun"/>
        </w:rPr>
        <w:t>说明：这部分可作为数据质量控制结果汇报，证明训练前做了空间几何一致性检查。</w:t>
      </w:r>
    </w:p>
    <w:p>
      <w:pPr>
        <w:spacing w:after="120"/>
      </w:pPr>
      <w:r>
        <w:rPr>
          <w:rFonts w:ascii="Arial" w:hAnsi="Arial" w:eastAsia="SimSun"/>
          <w:b/>
          <w:sz w:val="30"/>
        </w:rPr>
        <w:t>3. Anatomy 解剖先验模型结果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20"/>
              </w:rPr>
              <w:t>fold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20"/>
              </w:rPr>
              <w:t>P_WG Dice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20"/>
              </w:rPr>
              <w:t>P_PZ Dice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20"/>
              </w:rPr>
              <w:t>P_TZ Dice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20"/>
              </w:rPr>
              <w:t>foreground mean Dice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fold0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0.9668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0.9086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0.9511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0.9422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fold1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0.9664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0.9075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0.9485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0.9408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fold2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0.9672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0.9087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0.9515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0.9425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fold3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0.9664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0.9072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0.9472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0.9403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fold4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0.9664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0.9068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0.9513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0.9415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平均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0.9667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0.9078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0.9499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0.9414</w:t>
            </w:r>
          </w:p>
        </w:tc>
      </w:tr>
    </w:tbl>
    <w:p>
      <w:pPr>
        <w:spacing w:after="120"/>
      </w:pPr>
      <w:r>
        <w:rPr>
          <w:rFonts w:ascii="Arial" w:hAnsi="Arial" w:eastAsia="SimSun"/>
        </w:rPr>
        <w:t/>
      </w:r>
    </w:p>
    <w:p>
      <w:pPr>
        <w:spacing w:after="80"/>
      </w:pPr>
      <w:r>
        <w:rPr>
          <w:rFonts w:ascii="Arial" w:hAnsi="Arial" w:eastAsia="SimSun"/>
        </w:rPr>
        <w:t>说明：fold0 summary 已补充生成；anatomy 5 折平均 foreground mean Dice 约为 0.9414。</w:t>
      </w:r>
    </w:p>
    <w:p>
      <w:pPr>
        <w:spacing w:after="120"/>
      </w:pPr>
      <w:r>
        <w:rPr>
          <w:rFonts w:ascii="Arial" w:hAnsi="Arial" w:eastAsia="SimSun"/>
          <w:b/>
          <w:sz w:val="30"/>
        </w:rPr>
        <w:t>4. Anatomy / Layer1 / Layer2 中间产物规模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20"/>
              </w:rPr>
              <w:t>产物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20"/>
              </w:rPr>
              <w:t>数量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20"/>
              </w:rPr>
              <w:t>含义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anatomy all prediction manifest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3632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全部病例 anatomy 概率记录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anatomy OOF prediction manifest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3087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trainval 病例 OOF anatomy 预测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gland crop manifest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3632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全部病例腺体 ROI crop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Layer1 三专家 OOF manifest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9261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3087 例 x 3 专家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Layer2 nnU-Net imagesTr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37044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3087 例 x 12 输入通道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Layer2 nnU-Net labelsTr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3087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Layer2 标签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Layer2 nnU-Net sourceLabelsTr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3087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Layer2 source label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Layer2 nnU-Net weightsTr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3087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Layer2 voxel weight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Layer2 MedNeXt imagesTr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37044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3087 例 x 12 输入通道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Layer2 MedNeXt labelsTr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3087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Layer2 标签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Layer2 SegMamba arrays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3087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Layer2 .npz 输入数组</w:t>
            </w:r>
          </w:p>
        </w:tc>
      </w:tr>
    </w:tbl>
    <w:p>
      <w:pPr>
        <w:spacing w:after="120"/>
      </w:pPr>
      <w:r>
        <w:rPr>
          <w:rFonts w:ascii="Arial" w:hAnsi="Arial" w:eastAsia="SimSun"/>
        </w:rPr>
        <w:t/>
      </w:r>
    </w:p>
    <w:p>
      <w:pPr>
        <w:spacing w:after="80"/>
      </w:pPr>
      <w:r>
        <w:rPr>
          <w:rFonts w:ascii="Arial" w:hAnsi="Arial" w:eastAsia="SimSun"/>
        </w:rPr>
        <w:t>说明：Layer2 数据已经准备好，但模型训练结果还没有完整闭环。</w:t>
      </w:r>
    </w:p>
    <w:p>
      <w:pPr>
        <w:spacing w:after="120"/>
      </w:pPr>
      <w:r>
        <w:rPr>
          <w:rFonts w:ascii="Arial" w:hAnsi="Arial" w:eastAsia="SimSun"/>
          <w:b/>
          <w:sz w:val="30"/>
        </w:rPr>
        <w:t>5. Layer1 三专家总体结果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20"/>
              </w:rPr>
              <w:t>模型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20"/>
              </w:rPr>
              <w:t>病例数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20"/>
              </w:rPr>
              <w:t>macro Dice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20"/>
              </w:rPr>
              <w:t>median Dice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20"/>
              </w:rPr>
              <w:t>zero Dice 数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20"/>
              </w:rPr>
              <w:t>Dice &lt; 0.30 数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20"/>
              </w:rPr>
              <w:t>voxel Dice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20"/>
              </w:rPr>
              <w:t>sensitivity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20"/>
              </w:rPr>
              <w:t>precision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nnU-Net Layer1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3087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0.5948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0.7017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317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607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0.7905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0.7866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0.7943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MedNeXt Layer1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3087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0.5846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0.6946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368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652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0.7849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0.7727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0.7974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SegMamba Layer1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3087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0.5366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0.6345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348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808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0.7569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0.7463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0.7678</w:t>
            </w:r>
          </w:p>
        </w:tc>
      </w:tr>
    </w:tbl>
    <w:p>
      <w:pPr>
        <w:spacing w:after="120"/>
      </w:pPr>
      <w:r>
        <w:rPr>
          <w:rFonts w:ascii="Arial" w:hAnsi="Arial" w:eastAsia="SimSun"/>
        </w:rPr>
        <w:t/>
      </w:r>
    </w:p>
    <w:p>
      <w:pPr>
        <w:spacing w:after="80"/>
      </w:pPr>
      <w:r>
        <w:rPr>
          <w:rFonts w:ascii="Arial" w:hAnsi="Arial" w:eastAsia="SimSun"/>
        </w:rPr>
        <w:t>结论：三个 Layer1 专家均已完成 5 折 OOF 验证。nnU-Net 当前整体表现最好，MedNeXt 接近，SegMamba 略低。三者性能存在差异，适合作为 Layer2 的多专家输入来源。</w:t>
      </w:r>
    </w:p>
    <w:p>
      <w:pPr>
        <w:spacing w:after="120"/>
      </w:pPr>
      <w:r>
        <w:rPr>
          <w:rFonts w:ascii="Arial" w:hAnsi="Arial" w:eastAsia="SimSun"/>
          <w:b/>
          <w:sz w:val="30"/>
        </w:rPr>
        <w:t>6. Layer1 三专家分 cohort 结果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20"/>
              </w:rPr>
              <w:t>模型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20"/>
              </w:rPr>
              <w:t>cohort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20"/>
              </w:rPr>
              <w:t>病例数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20"/>
              </w:rPr>
              <w:t>macro Dice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20"/>
              </w:rPr>
              <w:t>median Dice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20"/>
              </w:rPr>
              <w:t>zero Dice 数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20"/>
              </w:rPr>
              <w:t>Dice &lt; 0.30 数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20"/>
              </w:rPr>
              <w:t>voxel Dice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20"/>
              </w:rPr>
              <w:t>sensitivity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20"/>
              </w:rPr>
              <w:t>precision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nnU-Net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PCA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1831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0.6930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0.7667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81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172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0.8278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0.8374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0.8184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nnU-Net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NCA/mimic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1256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0.4518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0.5135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236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435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0.5438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0.4888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0.6129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MedNeXt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PCA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1831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0.6899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0.7670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96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179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0.8195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0.8146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0.8244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MedNeXt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NCA/mimic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1256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0.4310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0.4809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272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473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0.5768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0.5368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0.6231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SegMamba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PCA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1831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0.6594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0.7396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83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220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0.7980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0.7918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0.8044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SegMamba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NCA/mimic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1256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0.3576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0.3332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265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588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0.5154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0.4903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0.5431</w:t>
            </w:r>
          </w:p>
        </w:tc>
      </w:tr>
    </w:tbl>
    <w:p>
      <w:pPr>
        <w:spacing w:after="120"/>
      </w:pPr>
      <w:r>
        <w:rPr>
          <w:rFonts w:ascii="Arial" w:hAnsi="Arial" w:eastAsia="SimSun"/>
        </w:rPr>
        <w:t/>
      </w:r>
    </w:p>
    <w:p>
      <w:pPr>
        <w:spacing w:after="80"/>
      </w:pPr>
      <w:r>
        <w:rPr>
          <w:rFonts w:ascii="Arial" w:hAnsi="Arial" w:eastAsia="SimSun"/>
        </w:rPr>
        <w:t>结论：PCA 病灶上的 Dice 明显高于 NCA/mimic，说明真实 PCA lesion 更容易被模型稳定捕获；NCA mimic 难度更高，也是后续 Layer2 hard-negative refinement 的主要动机。</w:t>
      </w:r>
    </w:p>
    <w:p>
      <w:pPr>
        <w:spacing w:after="120"/>
      </w:pPr>
      <w:r>
        <w:rPr>
          <w:rFonts w:ascii="Arial" w:hAnsi="Arial" w:eastAsia="SimSun"/>
          <w:b/>
          <w:sz w:val="30"/>
        </w:rPr>
        <w:t>7. Layer1 fold-level 结果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20"/>
              </w:rPr>
              <w:t>fold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20"/>
              </w:rPr>
              <w:t>nnU-Net macro Dice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20"/>
              </w:rPr>
              <w:t>MedNeXt macro Dice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20"/>
              </w:rPr>
              <w:t>SegMamba macro Dice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fold0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0.6015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0.5855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0.5613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fold1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0.5985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0.5980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0.5424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fold2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0.5729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0.5740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0.5217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fold3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0.5965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0.5809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0.5278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fold4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0.6047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0.5844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0.5298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平均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0.5948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0.5846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0.5366</w:t>
            </w:r>
          </w:p>
        </w:tc>
      </w:tr>
    </w:tbl>
    <w:p>
      <w:pPr>
        <w:spacing w:after="120"/>
      </w:pPr>
      <w:r>
        <w:rPr>
          <w:rFonts w:ascii="Arial" w:hAnsi="Arial" w:eastAsia="SimSun"/>
        </w:rPr>
        <w:t/>
      </w:r>
    </w:p>
    <w:p>
      <w:pPr>
        <w:spacing w:after="80"/>
      </w:pPr>
      <w:r>
        <w:rPr>
          <w:rFonts w:ascii="Arial" w:hAnsi="Arial" w:eastAsia="SimSun"/>
        </w:rPr>
        <w:t>说明：fold 间波动不大，nnU-Net 和 MedNeXt 比较稳定，SegMamba 整体偏低但仍提供了不同结构专家的预测信息。</w:t>
      </w:r>
    </w:p>
    <w:p>
      <w:pPr>
        <w:spacing w:after="120"/>
      </w:pPr>
      <w:r>
        <w:rPr>
          <w:rFonts w:ascii="Arial" w:hAnsi="Arial" w:eastAsia="SimSun"/>
          <w:b/>
          <w:sz w:val="30"/>
        </w:rPr>
        <w:t>8. Layer2 当前进度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20"/>
              </w:rPr>
              <w:t>项目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20"/>
              </w:rPr>
              <w:t>当前状态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Layer2 nnU-Net fold0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正在训练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当前日志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nnUNet_results/Dataset503_ProstateLayer2/nnUNetTrainerSegMoELayer2__nnUNetResEncUNetMPlans__3d_fullres/fold_0/training_log_2026_5_20_22_33_21.txt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last epoch seen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540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last completed epoch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539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last train loss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0.6051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last val loss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0.4584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last pseudo Dice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0.8275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best pseudo Dice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0.8925 @ epoch 343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best val loss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0.4584 @ epoch 539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checkpoint_best.pth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已存在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progress.png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已存在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validation summary.json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当前未见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prediction_manifest.jsonl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当前未见</w:t>
            </w:r>
          </w:p>
        </w:tc>
      </w:tr>
    </w:tbl>
    <w:p>
      <w:pPr>
        <w:spacing w:after="120"/>
      </w:pPr>
      <w:r>
        <w:rPr>
          <w:rFonts w:ascii="Arial" w:hAnsi="Arial" w:eastAsia="SimSun"/>
        </w:rPr>
        <w:t/>
      </w:r>
    </w:p>
    <w:p>
      <w:pPr>
        <w:spacing w:after="80"/>
      </w:pPr>
      <w:r>
        <w:rPr>
          <w:rFonts w:ascii="Arial" w:hAnsi="Arial" w:eastAsia="SimSun"/>
        </w:rPr>
        <w:t>注意：pseudo Dice 是 nnU-Net 训练过程中的内部监控指标，不等同于最终 validation summary，也不建议直接作为论文结果。Layer2 目前只能汇报为“训练进行中”。</w:t>
      </w:r>
    </w:p>
    <w:p>
      <w:pPr>
        <w:spacing w:after="120"/>
      </w:pPr>
      <w:r>
        <w:rPr>
          <w:rFonts w:ascii="Arial" w:hAnsi="Arial" w:eastAsia="SimSun"/>
          <w:b/>
          <w:sz w:val="30"/>
        </w:rPr>
        <w:t>9. 指标含义说明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20"/>
              </w:rPr>
              <w:t>指标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20"/>
              </w:rPr>
              <w:t>含义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20"/>
              </w:rPr>
              <w:t>解读方式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case count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病例数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说明统计样本规模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macro case Dice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每个病例先算 Dice，再对病例取平均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每例权重相同，更能反映小病灶和失败病例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median Dice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所有病例 Dice 的中位数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比均值更不容易受极端失败病例影响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zero Dice 数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Dice = 0 的病例数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预测与真值完全无重叠，通常是严重失败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Dice &lt; 0.30 数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低 Dice 病例数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用于失败案例分析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voxel Dice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将所有病例 voxel 汇总后计算 Dice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大病灶或大体积区域权重更高，通常比 macro Dice 更乐观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sensitivity / recall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TP / (TP + FN)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越高表示漏检越少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precision / PPV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TP / (TP + FP)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越高表示假阳性越少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TP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true positive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预测为阳性且真值为阳性的 voxel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FP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false positive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预测为阳性但真值为阴性的 voxel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FN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false negative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预测为阴性但真值为阳性的 voxel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TN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true negative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预测为阴性且真值为阴性的 voxel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foreground mean Dice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解剖任务中前景类别的平均 Dice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用于 WG/PZ/TZ 解剖先验，不是病灶 Dice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pseudo Dice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nnU-Net 训练日志中的内部验证近似 Dice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只能看训练趋势，不建议作为最终论文指标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prediction manifest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预测结果索引文件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说明预测产物可被后续模块追踪和消费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OOF prediction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out-of-fold 预测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每个 trainval 病例由未见过该病例的 fold 模型预测，降低数据泄漏风险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source label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来源语义标签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Layer1 区分 PCA lesion 与 NCA mimic；Layer2 区分 positive 与 hard negative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fp_risk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假阳性风险图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rFonts w:ascii="Arial" w:hAnsi="Arial" w:eastAsia="SimSun"/>
                <w:sz w:val="20"/>
              </w:rPr>
              <w:t>来自 Layer1 FP bank，用于 Layer2 hard-negative refinement</w:t>
            </w:r>
          </w:p>
        </w:tc>
      </w:tr>
    </w:tbl>
    <w:p>
      <w:pPr>
        <w:spacing w:after="120"/>
      </w:pPr>
      <w:r>
        <w:rPr>
          <w:rFonts w:ascii="Arial" w:hAnsi="Arial" w:eastAsia="SimSun"/>
        </w:rPr>
        <w:t/>
      </w:r>
    </w:p>
    <w:p>
      <w:pPr>
        <w:spacing w:after="120"/>
      </w:pPr>
      <w:r>
        <w:rPr>
          <w:rFonts w:ascii="Arial" w:hAnsi="Arial" w:eastAsia="SimSun"/>
          <w:b/>
          <w:sz w:val="30"/>
        </w:rPr>
        <w:t>10. PPT 汇报建议表述</w:t>
      </w:r>
    </w:p>
    <w:p>
      <w:pPr>
        <w:spacing w:after="80"/>
      </w:pPr>
      <w:r>
        <w:rPr>
          <w:rFonts w:ascii="Arial" w:hAnsi="Arial" w:eastAsia="SimSun"/>
        </w:rPr>
        <w:t>目前可以分成三类结果汇报：</w:t>
      </w:r>
    </w:p>
    <w:p>
      <w:pPr>
        <w:spacing w:after="80"/>
      </w:pPr>
      <w:r>
        <w:rPr>
          <w:rFonts w:ascii="Arial" w:hAnsi="Arial" w:eastAsia="SimSun"/>
        </w:rPr>
        <w:t>1. 数据与质量控制结果：3632 例、5 折划分、62 例几何修复。</w:t>
      </w:r>
    </w:p>
    <w:p>
      <w:pPr>
        <w:spacing w:after="80"/>
      </w:pPr>
      <w:r>
        <w:rPr>
          <w:rFonts w:ascii="Arial" w:hAnsi="Arial" w:eastAsia="SimSun"/>
        </w:rPr>
        <w:t>2. 已完成模型结果：Anatomy 先验 5 折平均 foreground mean Dice 约 0.9414；Layer1 三专家 OOF 结果完整。</w:t>
      </w:r>
    </w:p>
    <w:p>
      <w:pPr>
        <w:spacing w:after="80"/>
      </w:pPr>
      <w:r>
        <w:rPr>
          <w:rFonts w:ascii="Arial" w:hAnsi="Arial" w:eastAsia="SimSun"/>
        </w:rPr>
        <w:t>3. 正在推进结果：Layer2 数据已导出，nnU-Net fold0 正在训练，但尚无最终 validation/test 指标。</w:t>
      </w:r>
    </w:p>
    <w:p>
      <w:pPr>
        <w:spacing w:after="80"/>
      </w:pPr>
      <w:r>
        <w:rPr>
          <w:rFonts w:ascii="Arial" w:hAnsi="Arial" w:eastAsia="SimSun"/>
        </w:rPr>
        <w:t>推荐总结：当前工程已经完成从数据治理、解剖先验、Layer1 三专家 OOF 到 Layer2 数据构建的完整前置链路；Layer1 结果显示三专家在 PCA 病灶上均有较稳定候选能力，而 NCA/mimic 更具挑战性，支持后续引入 hard-negative Layer2 refinement。目前最终 proposed method 的性能仍需等待 Layer2 5 折和 test set 评估完成。</w:t>
      </w:r>
    </w:p>
    <w:sectPr>
      <w:pgSz w:w="11906" w:h="16838"/>
      <w:pgMar w:top="1440" w:right="1000" w:bottom="1440" w:left="1000" w:header="720" w:footer="720" w:gutter="0"/>
    </w:sectPr>
  </w:body>
</w:document>
</file>