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The difference for analysts is</w:t>
      </w:r>
      <w:r>
        <w:t xml:space="preserve"> </w:t>
      </w:r>
      <w:r>
        <w:t xml:space="preserve">that we do not need to wait for external regulation to demand change.</w:t>
      </w:r>
      <w:r>
        <w:t xml:space="preserve"> </w:t>
      </w:r>
      <w:r>
        <w:t xml:space="preserve">Analytical professionals are in a position to ask these questions of</w:t>
      </w:r>
      <w:r>
        <w:t xml:space="preserve"> </w:t>
      </w:r>
      <w:r>
        <w:t xml:space="preserve">themselves now and build 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Audit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how analytical teams can apply internal audit principles to strengthen governance and build trust in their outputs.</dc:description>
  <cp:keywords/>
  <dcterms:created xsi:type="dcterms:W3CDTF">2026-05-21T09:07:49Z</dcterms:created>
  <dcterms:modified xsi:type="dcterms:W3CDTF">2026-05-21T09:07:49Z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