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Analytics is becoming a profession. Is your organisation leading or following?</w:t>
      </w:r>
    </w:p>
    <w:p>
      <w:pPr>
        <w:pStyle w:val="Author"/>
      </w:pPr>
    </w:p>
    <w:p>
      <w:pPr>
        <w:pStyle w:val="Date"/>
      </w:pPr>
      <w:r>
        <w:t xml:space="preserve">May 2026</w:t>
      </w:r>
    </w:p>
    <w:p>
      <w:pPr>
        <w:pStyle w:val="FirstParagraph"/>
      </w:pPr>
      <w:r>
        <w:t xml:space="preserve">Imagine an advertisement has gone out from an Acute Trust for a new senior analyst. The advert lists some analytical competencies such as SQL, version control, and visualisations, and supervisory experience.</w:t>
      </w:r>
    </w:p>
    <w:p>
      <w:pPr>
        <w:pStyle w:val="BodyText"/>
      </w:pPr>
      <w:r>
        <w:t xml:space="preserve">Candidates are all given a two-part interview. The first is a technical test on a synthetic dataset, parsing SQL and producing insights. The second is a pre-prepared presentation on a relevant topic to a panel including another senior analyst and an operational stakeholder. A couple of interviewees do well and are deemed</w:t>
      </w:r>
      <w:r>
        <w:t xml:space="preserve"> </w:t>
      </w:r>
      <w:r>
        <w:t xml:space="preserve">“appointable”</w:t>
      </w:r>
      <w:r>
        <w:t xml:space="preserve">, with scoring used to select the preferred candidate.</w:t>
      </w:r>
    </w:p>
    <w:p>
      <w:pPr>
        <w:pStyle w:val="BodyText"/>
      </w:pPr>
      <w:r>
        <w:t xml:space="preserve">All of this sounds positive, and is frankly a better way to recruit talent into the Trust than some single-stage interviews that happen with no technical assessment or peer input.</w:t>
      </w:r>
    </w:p>
    <w:p>
      <w:pPr>
        <w:pStyle w:val="BodyText"/>
      </w:pPr>
      <w:r>
        <w:t xml:space="preserve">However, even in this scenario, the Trust is taking a risk on someone. A 45-minute competency assessment and structured interview will give good insight into what a candidate can do with data in controlled conditions, and how well they prepare for expected interview questions.</w:t>
      </w:r>
    </w:p>
    <w:p>
      <w:pPr>
        <w:pStyle w:val="BodyText"/>
      </w:pPr>
      <w:r>
        <w:t xml:space="preserve">It will not provide assurance that in practice the candidate follows good version control and documentation processes day to day, or that they will maintain professional behaviours when under pressure and faced with challenges to their findings. It will not validate that the candidate maintains CPD and embeds new learning into their practice.</w:t>
      </w:r>
    </w:p>
    <w:p>
      <w:pPr>
        <w:pStyle w:val="BodyText"/>
      </w:pPr>
      <w:r>
        <w:t xml:space="preserve">Now imagine the same hiring scenario, but the Trust is recruiting an accountant. The preferred candidates are newly chartered accountants. The interview process still matters for finding the right person, but there is a framework providing assurance to the Trust that no matter who they hire, the candidates have a minimum technical competence verified by examinations, they have a shared methodology that is universally recognised and accepted by others, they have a code of professional conduct and ongoing CPD obligations — all administered by a body which can investigate its members, and if necessary, remove the right to practice.</w:t>
      </w:r>
    </w:p>
    <w:p>
      <w:pPr>
        <w:pStyle w:val="BodyText"/>
      </w:pPr>
      <w:r>
        <w:t xml:space="preserve">The Trust hiring a qualified accountant doesn’t get a better calibre of professional, or someone who is more talented and valuable than an analyst. The Trust instead gets assurance that their competence is verifiable against a known standard, beyond the limits of what a single technical assessment can achieve.</w:t>
      </w:r>
    </w:p>
    <w:p>
      <w:pPr>
        <w:pStyle w:val="BodyText"/>
      </w:pPr>
      <w:r>
        <w:t xml:space="preserve">There is no equivalent assurance when hiring an analyst, because at the moment, the framework to provide such an assurance is still being built.</w:t>
      </w:r>
    </w:p>
    <w:p>
      <w:pPr>
        <w:pStyle w:val="BodyText"/>
      </w:pPr>
      <w:r>
        <w:t xml:space="preserve">Two analysts hired the same month by the same Trust, by different hiring managers, may have very different analytical backgrounds and assumptions about what</w:t>
      </w:r>
      <w:r>
        <w:t xml:space="preserve"> </w:t>
      </w:r>
      <w:r>
        <w:t xml:space="preserve">“good”</w:t>
      </w:r>
      <w:r>
        <w:t xml:space="preserve"> </w:t>
      </w:r>
      <w:r>
        <w:t xml:space="preserve">analysis entails. Different documentation standards and methods, and different instincts about how to report ambiguous or contentious results.</w:t>
      </w:r>
    </w:p>
    <w:p>
      <w:pPr>
        <w:pStyle w:val="BodyText"/>
      </w:pPr>
      <w:r>
        <w:t xml:space="preserve">Diversity of backgrounds and professional experience is a strength for an organisation, but different understandings of best practice are not.</w:t>
      </w:r>
    </w:p>
    <w:p>
      <w:pPr>
        <w:pStyle w:val="BodyText"/>
      </w:pPr>
      <w:r>
        <w:t xml:space="preserve">Analysts currently lack a shared standard for professional conduct, including what an analyst should do when asked to re-interpret the data to match business expectations and preferred narratives. They don’t have a shared standard for technical practices which impact the scalability and resilience of analysis — such as version control, documentation and coding conventions — and they don’t have a code of conduct to back them up when they need to resist unethical pressures.</w:t>
      </w:r>
    </w:p>
    <w:p>
      <w:pPr>
        <w:pStyle w:val="BodyText"/>
      </w:pPr>
      <w:r>
        <w:t xml:space="preserve">Because these standards are not set, staff compensate with informal controls. Analysts end up adhering to the culture of existing teams; institutional knowledge resides in subject matter experts who can support or mentor new hires. Informal arrangements like this can be beneficial, but they are also fragile. When someone leaves, they take more than their expertise — they take knowledge and understanding of current processes which isn’t easily replaced. Their replacement has no shared framework of understanding of how things should be done.</w:t>
      </w:r>
    </w:p>
    <w:p>
      <w:pPr>
        <w:pStyle w:val="BodyText"/>
      </w:pPr>
      <w:r>
        <w:t xml:space="preserve">Consequently, the weaknesses present in analytical teams are predictable. Technical practices are fragmented and inconsistently applied. Analytical governance is based on individual preferences, and professional conduct is informed by culture — instead of the other way around. Without a common framework for communicating and verifying competencies, an organisation cannot guarantee that the outputs they expect from their analyst teams can survive normal workforce turnover and churn.</w:t>
      </w:r>
    </w:p>
    <w:p>
      <w:pPr>
        <w:pStyle w:val="BodyText"/>
      </w:pPr>
      <w:r>
        <w:t xml:space="preserve">During the industrial revolution and the railway mania of the 1800s, the demand for accountancy and auditing services exploded. Money began to be tied up in ever more complex structures, and it was getting difficult to identify a good prospect for investing capital from a bad one.</w:t>
      </w:r>
    </w:p>
    <w:p>
      <w:pPr>
        <w:pStyle w:val="BodyText"/>
      </w:pPr>
      <w:r>
        <w:t xml:space="preserve">It was in this rapidly evolving and consequential environment that accountants were being used to validate claims and identify frauds. But there was no barrier to entry. Anyone could call themselves an accountant without any knowledge or experience, and so they did.</w:t>
      </w:r>
    </w:p>
    <w:p>
      <w:pPr>
        <w:pStyle w:val="BodyText"/>
      </w:pPr>
      <w:r>
        <w:t xml:space="preserve">In the decades following the collapse of the railway mania, the more established accounting practitioners wanted to be able to set themselves apart from the crowd. They needed to reassure clients that — unlike others — they would behave with integrity and professionalism, and that they had the skills they claimed.</w:t>
      </w:r>
    </w:p>
    <w:p>
      <w:pPr>
        <w:pStyle w:val="BodyText"/>
      </w:pPr>
      <w:r>
        <w:t xml:space="preserve">Membership meant agreeing to observe rules of conduct, demonstrating competency, and accepting oversight from the accounting body. This wasn’t just about making better accountants; it was to act as a means to provide assurance to customers that their work could be trusted.</w:t>
      </w:r>
    </w:p>
    <w:p>
      <w:pPr>
        <w:pStyle w:val="BodyText"/>
      </w:pPr>
      <w:r>
        <w:t xml:space="preserve">Unfortunately, the history of financial scandals such as Enron and the 2008 financial crisis shows that this isn’t foolproof. Governing bodies cannot always prevent bad actors, and they themselves can become blind to their own failings. However, they still raise the standard. They ensure that when things do go wrong, the failures are visible and the profession is held accountable.</w:t>
      </w:r>
    </w:p>
    <w:p>
      <w:pPr>
        <w:pStyle w:val="BodyText"/>
      </w:pPr>
      <w:r>
        <w:t xml:space="preserve">Accountants across the world speak the same language. Across different regulatory environments, they will still use double-entry accounting, depreciate assets and calculate gross versus net profit margins. This is what data analytics is missing. There is no standard available for verifying analytical competence, and so there is no certainty that a data analyst from Nottingham will have the same principles and standards as the data analyst from the neighbouring city of Derby.</w:t>
      </w:r>
    </w:p>
    <w:p>
      <w:pPr>
        <w:pStyle w:val="BodyText"/>
      </w:pPr>
      <w:r>
        <w:t xml:space="preserve">There are diverse entry routes into accounting — you can start training with a background in Maths or Music. The barrier to entry remains deliberately low, although the requirements of certification are stringent. Data analysts have the same diversity, and the route to a shared professional framework is being developed with that in mind. The structures of professionalisation that are being built take their inspiration from what came before.</w:t>
      </w:r>
    </w:p>
    <w:p>
      <w:pPr>
        <w:pStyle w:val="BodyText"/>
      </w:pPr>
      <w:r>
        <w:t xml:space="preserve">There are currently several distinct and complementary routes into professionalisation being established.</w:t>
      </w:r>
    </w:p>
    <w:p>
      <w:pPr>
        <w:pStyle w:val="BodyText"/>
      </w:pPr>
      <w:r>
        <w:t xml:space="preserve">The established landscape of vendor and tool certifications at one end (such as Data Analytics certificates provided by Google) and existing chartered qualifications at the other end (such as Chartered Statistician or Chartered IT Professional) don’t directly meet the needs of data scientists and analysts. They require either a formal framework rather than a particular software qualification, or have roles that are broader than statistical work and not primarily IT-infrastructure focused.</w:t>
      </w:r>
    </w:p>
    <w:p>
      <w:pPr>
        <w:pStyle w:val="BodyText"/>
      </w:pPr>
      <w:r>
        <w:t xml:space="preserve">The route most directly comparable to the accountancy example is the Advanced Data Science Professional (AdvDSP) certificate. This certification has been developed by The Alliance for Data Science Professionals — a group including influential bodies such as the Royal Statistical Society, the Institute of Mathematics and the Alan Turing Institute. An application has already been submitted for the AdvDSP to be given chartered status in the UK.</w:t>
      </w:r>
    </w:p>
    <w:p>
      <w:pPr>
        <w:pStyle w:val="BodyText"/>
      </w:pPr>
      <w:r>
        <w:t xml:space="preserve">The AdvDSP requires individuals to demonstrate competency across a substantial number of standards, and covers ethical behaviours, technical competencies, stakeholder communication and governance requirements such as data definition and quality standards. Continual Professional Development is a formal requirement of certificate holders. This is the most demanding, and probably the best credential currently available in this space. It is most suitable for senior analysts and leaders, and it can be retained no matter where their career takes them.</w:t>
      </w:r>
    </w:p>
    <w:p>
      <w:pPr>
        <w:pStyle w:val="BodyText"/>
      </w:pPr>
      <w:r>
        <w:t xml:space="preserve">NHS England (NHSE) set the expectation in March 2026 that over the next 5 years, all Digital, Data and Technology professionals will have professional membership and registration, starting with the most senior leaders.</w:t>
      </w:r>
    </w:p>
    <w:p>
      <w:pPr>
        <w:pStyle w:val="BodyText"/>
      </w:pPr>
      <w:r>
        <w:t xml:space="preserve">For people working in analytics, the Association of Professional Healthcare Analysts (AphA) has developed a professional registration route for analysts at all levels working within healthcare. Newly appointed junior analysts through to their Director can be validated as having relevant experience and insight, and receive support from the body advocating for and representing analysts in healthcare. AphA is a member of The Federation for Informatics Professionals in Health and Social Care (FEDIP), who are partnered with NHSE for this requirement.</w:t>
      </w:r>
    </w:p>
    <w:p>
      <w:pPr>
        <w:pStyle w:val="BodyText"/>
      </w:pPr>
      <w:r>
        <w:t xml:space="preserve">Since the announcement by NHSE, professionalisation is no longer a matter of preference for individuals. The expectation has been set, so the choice is now how willingly organisations engage. Asking analytical staff to register is the bare minimum of compliance, but leadership requires much more.</w:t>
      </w:r>
    </w:p>
    <w:p>
      <w:pPr>
        <w:pStyle w:val="BodyText"/>
      </w:pPr>
      <w:r>
        <w:t xml:space="preserve">Leadership means taking action that directly supports analysts to work toward a common standard, and contributes to its continued development. This can be through releasing analysts for CPD, funding membership and celebrating analysts in the organisation who already hold professional credentials. Where possible, participating in standards development as a formal stakeholder, instead of simply being content to accept the standards that others develop. Most importantly, organisational leadership means requiring their analytical functions to demonstrate best practice in methodologies, governance and conduct — not waiting for a bottom-led improvement, but setting a top-down direction of travel. Organisations should make it clear that they are not satisfied with professional registration alone for senior analysts, but expect them to aspire to more challenging and comprehensive certifications like the AdvDSP, in the same way that senior finance professionals are expected to hold Chartered Accountancy qualifications.</w:t>
      </w:r>
    </w:p>
    <w:p>
      <w:pPr>
        <w:pStyle w:val="BodyText"/>
      </w:pPr>
      <w:r>
        <w:t xml:space="preserve">The organisations that take the lead now will see the return on investment through an analytical function that is more consistent, more engaged, and more accountable. Analysts who see continued learning and development as a core part of their job, not something that is only for their personal benefit. They will benefit from analysts who are confident challenging poor practice and dubious use of data, knowing that they have an external framework which supports their professional judgement.</w:t>
      </w:r>
    </w:p>
    <w:p>
      <w:pPr>
        <w:pStyle w:val="BodyText"/>
      </w:pPr>
      <w:r>
        <w:t xml:space="preserve">Those who don’t engage and passively wait for change will still end up with registered analysts — the NHSE timeline ensures this — but those analysts will still be working in the same organisational culture, one which appears to place no value on the standards of practice and governance they know they should strive for.</w:t>
      </w:r>
    </w:p>
    <w:p>
      <w:pPr>
        <w:pStyle w:val="BodyText"/>
      </w:pPr>
      <w:r>
        <w:t xml:space="preserve">History doesn’t repeat itself, but it often rhymes. Analytics now faces the same choices and hurdles that other professions have overcome before. The consequences of poor analysis are now too large to be ignored, or left to individual organisations to try and mitigate.</w:t>
      </w:r>
    </w:p>
    <w:p>
      <w:pPr>
        <w:pStyle w:val="BodyText"/>
      </w:pPr>
      <w:r>
        <w:t xml:space="preserve">Interview processes, no matter how good, cannot verify every facet of an analyst’s competency, nor ensure consistency across the workforce. Without some external validation, you will be reliant on hope that the controlled conditions of an interview accurately reflect real-life working practices.</w:t>
      </w:r>
    </w:p>
    <w:p>
      <w:pPr>
        <w:pStyle w:val="BodyText"/>
      </w:pPr>
      <w:r>
        <w:t xml:space="preserve">Professionalisation is happening now. Analysts are already becoming registered and certified. The organisations that show they value and endorse their work will have the strongest applicants and the strongest analytical functions in the future.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is becoming a profession. Is your organisation leading or following?</dc:title>
  <dc:creator/>
  <dc:description>Why organisations that lead and celebrate the professionalisation of analysts will benefit the most.</dc:description>
  <cp:keywords/>
  <dcterms:created xsi:type="dcterms:W3CDTF">2026-06-04T05:38:14Z</dcterms:created>
  <dcterms:modified xsi:type="dcterms:W3CDTF">2026-06-04T05:38:14Z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ge-layout">
    <vt:lpwstr>full</vt:lpwstr>
  </property>
  <property fmtid="{D5CDD505-2E9C-101B-9397-08002B2CF9AE}" pid="12" name="toc-title">
    <vt:lpwstr>Table of contents</vt:lpwstr>
  </property>
</Properties>
</file>