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DF1F" w14:textId="77777777" w:rsidR="00F068AF" w:rsidRDefault="00F068AF" w:rsidP="007A764E">
      <w:pPr>
        <w:pStyle w:val="a3"/>
        <w:rPr>
          <w:rFonts w:ascii="宋体" w:eastAsia="宋体" w:hAnsi="宋体" w:hint="eastAsia"/>
          <w:b/>
          <w:bCs/>
          <w:sz w:val="32"/>
          <w:szCs w:val="32"/>
        </w:rPr>
      </w:pPr>
      <w:r w:rsidRPr="007A764E">
        <w:rPr>
          <w:rFonts w:ascii="宋体" w:eastAsia="宋体" w:hAnsi="宋体" w:hint="eastAsia"/>
          <w:b/>
          <w:bCs/>
          <w:sz w:val="32"/>
          <w:szCs w:val="32"/>
        </w:rPr>
        <w:t>银发经济视角下电子商务推荐系统的算法偏差测度与纠偏机制研究</w:t>
      </w:r>
    </w:p>
    <w:p w14:paraId="19BCD9A4" w14:textId="7B5E163A" w:rsidR="00074FC6" w:rsidRPr="00074FC6" w:rsidRDefault="007A764E" w:rsidP="00074FC6">
      <w:pPr>
        <w:spacing w:beforeLines="50" w:before="156"/>
        <w:jc w:val="center"/>
        <w:rPr>
          <w:rFonts w:ascii="宋体" w:eastAsia="宋体" w:hAnsi="宋体" w:hint="eastAsia"/>
        </w:rPr>
      </w:pPr>
      <w:r w:rsidRPr="007A764E">
        <w:rPr>
          <w:rFonts w:ascii="宋体" w:eastAsia="宋体" w:hAnsi="宋体" w:hint="eastAsia"/>
        </w:rPr>
        <w:t>陈锦辉，苏腾斌</w:t>
      </w:r>
    </w:p>
    <w:p w14:paraId="739FF479" w14:textId="7148DC21" w:rsidR="00FA33E1" w:rsidRPr="007A764E" w:rsidRDefault="007A764E" w:rsidP="007A764E">
      <w:pPr>
        <w:spacing w:beforeLines="50" w:before="156"/>
        <w:ind w:firstLineChars="200" w:firstLine="361"/>
        <w:rPr>
          <w:rFonts w:ascii="楷体" w:eastAsia="楷体" w:hAnsi="楷体" w:hint="eastAsia"/>
          <w:sz w:val="18"/>
          <w:szCs w:val="18"/>
        </w:rPr>
      </w:pPr>
      <w:r w:rsidRPr="007A764E">
        <w:rPr>
          <w:rFonts w:ascii="楷体" w:eastAsia="楷体" w:hAnsi="楷体" w:hint="eastAsia"/>
          <w:b/>
          <w:bCs/>
          <w:sz w:val="18"/>
          <w:szCs w:val="18"/>
        </w:rPr>
        <w:t>【</w:t>
      </w:r>
      <w:r w:rsidRPr="007A764E">
        <w:rPr>
          <w:rFonts w:ascii="楷体" w:eastAsia="楷体" w:hAnsi="楷体"/>
          <w:b/>
          <w:bCs/>
          <w:sz w:val="18"/>
          <w:szCs w:val="18"/>
        </w:rPr>
        <w:t>摘要</w:t>
      </w:r>
      <w:r w:rsidRPr="007A764E">
        <w:rPr>
          <w:rFonts w:ascii="楷体" w:eastAsia="楷体" w:hAnsi="楷体" w:hint="eastAsia"/>
          <w:b/>
          <w:bCs/>
          <w:sz w:val="18"/>
          <w:szCs w:val="18"/>
        </w:rPr>
        <w:t>】</w:t>
      </w:r>
      <w:r w:rsidR="00F068AF" w:rsidRPr="007A764E">
        <w:rPr>
          <w:rFonts w:ascii="楷体" w:eastAsia="楷体" w:hAnsi="楷体" w:hint="eastAsia"/>
          <w:sz w:val="18"/>
          <w:szCs w:val="18"/>
        </w:rPr>
        <w:t>在人口老龄化与数字化深度融合的宏观背景下，银发经济已成为电子商务领域不可忽视的新增长极。然而，当前电商平台广泛采用的推荐系统在服务老年用户群体时，普遍存在隐蔽而深刻的算法偏差。这种偏差不仅导致老年用户陷入同质化的信息茧房，更易使其遭受诱导性消费的商业剥削，严重制约了银发经济的健康可持续发展与数字红利的普惠共享。本文聚焦银发经济与电子商务推荐系统的具体交叉点，深入剖析推荐算法在数据采集、特征表征及交互闭环中对老年群体产生偏差的现状与内在机理。研究表明，老年用户交互行为的极度稀疏性、算法效用最大化目标对少数群体公平性的系统性忽视，以及贪心推荐策略与老年群体认知退化的负向耦合，是导致偏差的核心根源。针对上述问题，本文提出引入联邦学习与兴趣迁移机制缓解数据层稀疏性，构建引入公平性与安全性约束的多目标鲁棒优化模型重构算法目标，并设计基于可视化技术的人机协同动态反馈与算法审计机制。本研究旨在为消除电商推荐算法的年龄歧视提供严谨的理论支撑与可落地的技术路径，推动银发经济在电子商务生态中实现包容性增长。</w:t>
      </w:r>
    </w:p>
    <w:p w14:paraId="3BF19B0C" w14:textId="0B52F287" w:rsidR="00F068AF" w:rsidRPr="00537AC5" w:rsidRDefault="00F068AF" w:rsidP="00537AC5">
      <w:pPr>
        <w:spacing w:afterLines="50" w:after="156"/>
        <w:ind w:firstLineChars="200" w:firstLine="361"/>
        <w:rPr>
          <w:rFonts w:ascii="楷体" w:eastAsia="楷体" w:hAnsi="楷体" w:hint="eastAsia"/>
          <w:sz w:val="18"/>
          <w:szCs w:val="18"/>
        </w:rPr>
      </w:pPr>
      <w:r w:rsidRPr="007A764E">
        <w:rPr>
          <w:rFonts w:ascii="楷体" w:eastAsia="楷体" w:hAnsi="楷体" w:hint="eastAsia"/>
          <w:b/>
          <w:bCs/>
          <w:sz w:val="18"/>
          <w:szCs w:val="18"/>
        </w:rPr>
        <w:t>关键词：</w:t>
      </w:r>
      <w:r w:rsidRPr="007A764E">
        <w:rPr>
          <w:rFonts w:ascii="楷体" w:eastAsia="楷体" w:hAnsi="楷体" w:hint="eastAsia"/>
          <w:sz w:val="18"/>
          <w:szCs w:val="18"/>
        </w:rPr>
        <w:t>银发经济；算法偏差；推荐系统；多目标优化；</w:t>
      </w:r>
      <w:proofErr w:type="gramStart"/>
      <w:r w:rsidRPr="007A764E">
        <w:rPr>
          <w:rFonts w:ascii="楷体" w:eastAsia="楷体" w:hAnsi="楷体" w:hint="eastAsia"/>
          <w:sz w:val="18"/>
          <w:szCs w:val="18"/>
        </w:rPr>
        <w:t>适</w:t>
      </w:r>
      <w:proofErr w:type="gramEnd"/>
      <w:r w:rsidRPr="007A764E">
        <w:rPr>
          <w:rFonts w:ascii="楷体" w:eastAsia="楷体" w:hAnsi="楷体" w:hint="eastAsia"/>
          <w:sz w:val="18"/>
          <w:szCs w:val="18"/>
        </w:rPr>
        <w:t>老化</w:t>
      </w:r>
    </w:p>
    <w:p w14:paraId="3ED5F01B" w14:textId="77777777" w:rsidR="00F068AF" w:rsidRPr="00537AC5" w:rsidRDefault="00F068AF" w:rsidP="00F068AF">
      <w:pPr>
        <w:ind w:firstLineChars="200" w:firstLine="420"/>
        <w:rPr>
          <w:rFonts w:ascii="宋体" w:eastAsia="宋体" w:hAnsi="宋体" w:hint="eastAsia"/>
          <w:szCs w:val="21"/>
        </w:rPr>
      </w:pPr>
      <w:r w:rsidRPr="00537AC5">
        <w:rPr>
          <w:rFonts w:ascii="宋体" w:eastAsia="宋体" w:hAnsi="宋体" w:hint="eastAsia"/>
          <w:szCs w:val="21"/>
        </w:rPr>
        <w:t>随着全球人口老龄化进程的加速推进，银发经济正以前所未有的速度重塑消费市场的格局。根据国家统计局发布的数据，截至2023年末，我国60岁及以上人口已突破2.9亿，占全国总人口的21.1%。伴随数字鸿沟的逐步弥合，老年网民规模持续扩大，银发族已从互联网的边缘群体转变为电子商务平台极具潜力的增量用户[2]。然而，在各大电商平台纷纷抢占银发市场的同时，作为电商平台核心流量分发引擎的推荐系统，却并未做好适老化的准备。</w:t>
      </w:r>
      <w:proofErr w:type="gramStart"/>
      <w:r w:rsidRPr="00537AC5">
        <w:rPr>
          <w:rFonts w:ascii="宋体" w:eastAsia="宋体" w:hAnsi="宋体" w:hint="eastAsia"/>
          <w:szCs w:val="21"/>
        </w:rPr>
      </w:r>
      <w:proofErr w:type="gramEnd"/>
      <w:r w:rsidRPr="00537AC5">
        <w:rPr>
          <w:rFonts w:ascii="宋体" w:eastAsia="宋体" w:hAnsi="宋体" w:hint="eastAsia"/>
          <w:szCs w:val="21"/>
        </w:rPr>
      </w:r>
    </w:p>
    <w:p w14:paraId="3068FFFF" w14:textId="77777777" w:rsidR="00F068AF" w:rsidRPr="00537AC5" w:rsidRDefault="00F068AF" w:rsidP="00F068AF">
      <w:pPr>
        <w:ind w:firstLineChars="200" w:firstLine="420"/>
        <w:rPr>
          <w:rFonts w:ascii="宋体" w:eastAsia="宋体" w:hAnsi="宋体" w:hint="eastAsia"/>
          <w:szCs w:val="21"/>
        </w:rPr>
      </w:pPr>
      <w:r w:rsidRPr="00537AC5">
        <w:rPr>
          <w:rFonts w:ascii="宋体" w:eastAsia="宋体" w:hAnsi="宋体" w:hint="eastAsia"/>
          <w:szCs w:val="21"/>
        </w:rPr>
        <w:t>当前，电商推荐算法的底层逻辑大多基于中青年主流群体的行为模式训练而成，其核心评价指标高度依赖点击通过率、转化率及客单价等效率型参数。这种效率优先的算法逻辑与老年群体缓慢、审慎、易受诱导的消费特征存在天然错位，由此催生了严重的算法偏差。算法偏差是指在算法设计、数据训练或运行交互过程中，系统性地对特定群体产生不公平、不准确或歧视性的输出结果[4]。在电子商务推荐场景中，这种偏差一方面表现为隐性失语，即算法无法精准捕捉老年群体的真实需求，导致其获取的商品推荐高度同质化；另一方面表现为显性剥削，即算法利用老年人信息辨别能力弱、易受夸张营销话术影响的弱点，集中推荐低质高价、甚至虚假宣传的商品。</w:t>
      </w:r>
    </w:p>
    <w:p w14:paraId="4731985A" w14:textId="77777777" w:rsidR="00F068AF" w:rsidRPr="00537AC5" w:rsidRDefault="00F068AF" w:rsidP="00537AC5">
      <w:pPr>
        <w:spacing w:afterLines="50" w:after="156"/>
        <w:ind w:firstLineChars="200" w:firstLine="420"/>
        <w:rPr>
          <w:rFonts w:ascii="宋体" w:eastAsia="宋体" w:hAnsi="宋体" w:hint="eastAsia"/>
          <w:szCs w:val="21"/>
        </w:rPr>
      </w:pPr>
      <w:r w:rsidRPr="00537AC5">
        <w:rPr>
          <w:rFonts w:ascii="宋体" w:eastAsia="宋体" w:hAnsi="宋体" w:hint="eastAsia"/>
          <w:szCs w:val="21"/>
        </w:rPr>
        <w:t>这种算法偏差的存在，不仅严重损害了老年消费者的合法权益与数字体验，也使得银发经济的消费潜力被错误地引导和透支，违背了数字经济向善发展的初衷。因此，精准测度银发经济背景下电商推荐系统的算法偏差，深入剖析其产生的深层机理，并设计科学严谨的纠偏机制，已成为电子商务运营管理与算法伦理交叉领域亟待解决的关键问题。本文将从小切口切入，聚焦推荐算法全生命周期，探索消除年龄歧视、实现</w:t>
      </w:r>
      <w:proofErr w:type="gramStart"/>
      <w:r w:rsidRPr="00537AC5">
        <w:rPr>
          <w:rFonts w:ascii="宋体" w:eastAsia="宋体" w:hAnsi="宋体" w:hint="eastAsia"/>
          <w:szCs w:val="21"/>
        </w:rPr>
        <w:t>适</w:t>
      </w:r>
      <w:proofErr w:type="gramEnd"/>
      <w:r w:rsidRPr="00537AC5">
        <w:rPr>
          <w:rFonts w:ascii="宋体" w:eastAsia="宋体" w:hAnsi="宋体" w:hint="eastAsia"/>
          <w:szCs w:val="21"/>
        </w:rPr>
        <w:t>老化推荐的优化路径。</w:t>
      </w:r>
    </w:p>
    <w:p w14:paraId="54AE8FCF" w14:textId="33381224" w:rsidR="00F068AF" w:rsidRPr="007420A3" w:rsidRDefault="00537AC5" w:rsidP="00537AC5">
      <w:pPr>
        <w:rPr>
          <w:rFonts w:ascii="Times New Roman" w:eastAsia="宋体" w:hAnsi="Times New Roman"/>
          <w:b/>
          <w:bCs/>
          <w:sz w:val="28"/>
          <w:szCs w:val="28"/>
        </w:rPr>
      </w:pPr>
      <w:r w:rsidRPr="007420A3">
        <w:rPr>
          <w:rFonts w:ascii="Times New Roman" w:eastAsia="宋体" w:hAnsi="Times New Roman" w:hint="eastAsia"/>
          <w:b/>
          <w:bCs/>
          <w:sz w:val="28"/>
          <w:szCs w:val="28"/>
        </w:rPr>
        <w:t>1</w:t>
      </w:r>
      <w:r w:rsidR="00F068AF" w:rsidRPr="007420A3">
        <w:rPr>
          <w:rFonts w:ascii="Times New Roman" w:eastAsia="宋体" w:hAnsi="Times New Roman" w:hint="eastAsia"/>
          <w:b/>
          <w:bCs/>
          <w:sz w:val="28"/>
          <w:szCs w:val="28"/>
        </w:rPr>
        <w:t>银发经济下电商推荐算法偏差的现状与问题分析</w:t>
      </w:r>
    </w:p>
    <w:p w14:paraId="47CFCD3E" w14:textId="77777777" w:rsidR="00F068AF" w:rsidRPr="007420A3" w:rsidRDefault="00F068AF" w:rsidP="00F068AF">
      <w:pPr>
        <w:ind w:firstLineChars="200" w:firstLine="420"/>
        <w:rPr>
          <w:rFonts w:ascii="Times New Roman" w:eastAsia="宋体" w:hAnsi="Times New Roman"/>
          <w:szCs w:val="21"/>
        </w:rPr>
      </w:pPr>
      <w:r w:rsidRPr="007420A3">
        <w:rPr>
          <w:rFonts w:ascii="Times New Roman" w:eastAsia="宋体" w:hAnsi="Times New Roman" w:hint="eastAsia"/>
          <w:szCs w:val="21"/>
        </w:rPr>
        <w:t>算法偏差在电子商务推荐系统中具有极强的隐蔽性，其往往以符合平台商业利益的面貌出现，从而掩盖了对特定群体的伤害。在银发经济的语境下，针对老年群体的推荐偏差主要表现在数据采集、特征表征和反馈闭环三个维度。</w:t>
      </w:r>
    </w:p>
    <w:p w14:paraId="0A01A396" w14:textId="1B068915" w:rsidR="00F068AF" w:rsidRPr="007420A3" w:rsidRDefault="00537AC5" w:rsidP="00537AC5">
      <w:pPr>
        <w:rPr>
          <w:rFonts w:ascii="Times New Roman" w:eastAsia="宋体" w:hAnsi="Times New Roman"/>
          <w:b/>
          <w:bCs/>
        </w:rPr>
      </w:pPr>
      <w:r w:rsidRPr="007420A3">
        <w:rPr>
          <w:rFonts w:ascii="Times New Roman" w:eastAsia="宋体" w:hAnsi="Times New Roman" w:hint="eastAsia"/>
          <w:b/>
          <w:bCs/>
        </w:rPr>
        <w:t>1.1</w:t>
      </w:r>
      <w:r w:rsidR="00F068AF" w:rsidRPr="007420A3">
        <w:rPr>
          <w:rFonts w:ascii="Times New Roman" w:eastAsia="宋体" w:hAnsi="Times New Roman" w:hint="eastAsia"/>
          <w:b/>
          <w:bCs/>
        </w:rPr>
        <w:t>数据采集偏差：交互稀疏引发的隐性失语与需求遮蔽</w:t>
      </w:r>
    </w:p>
    <w:p w14:paraId="7BED5FB8" w14:textId="77777777" w:rsidR="00F068AF" w:rsidRPr="007420A3" w:rsidRDefault="00F068AF" w:rsidP="00F068AF">
      <w:pPr>
        <w:ind w:firstLineChars="200" w:firstLine="420"/>
        <w:rPr>
          <w:rFonts w:ascii="Times New Roman" w:eastAsia="宋体" w:hAnsi="Times New Roman"/>
          <w:szCs w:val="21"/>
        </w:rPr>
      </w:pPr>
      <w:r w:rsidRPr="007420A3">
        <w:rPr>
          <w:rFonts w:ascii="Times New Roman" w:eastAsia="宋体" w:hAnsi="Times New Roman" w:hint="eastAsia"/>
          <w:szCs w:val="21"/>
        </w:rPr>
        <w:t>电商推荐系统的数据基础是用户的历史行为日志，包括点击、收藏、加购、购买等显性反馈，以及停留时长、滑动轨迹等隐性反馈。相比于数字原住民，老年用户的电商操作频次低、浏览深度浅、表达意愿弱，导致其行为数据极度稀疏。现有文献与行业观测数据表明，传统协同过滤算法与深度神经网络在处理高度稀疏的数据时，倾向于将少数群体的特征向量收敛到主流群体的几个核心聚类中心[6]，从而忽略老年群体内部高度异质性的真实需求。</w:t>
      </w:r>
      <w:r w:rsidRPr="007420A3">
        <w:rPr>
          <w:rFonts w:ascii="Times New Roman" w:eastAsia="宋体" w:hAnsi="Times New Roman" w:hint="eastAsia"/>
          <w:szCs w:val="21"/>
        </w:rPr>
      </w:r>
    </w:p>
    <w:p w14:paraId="5C7E18D1" w14:textId="77777777" w:rsidR="00F068AF" w:rsidRPr="007420A3" w:rsidRDefault="00F068AF" w:rsidP="00537AC5">
      <w:pPr>
        <w:jc w:val="center"/>
        <w:rPr>
          <w:rFonts w:ascii="Times New Roman" w:eastAsia="宋体" w:hAnsi="Times New Roman"/>
          <w:b/>
          <w:bCs/>
          <w:color w:val="000000" w:themeColor="text1"/>
          <w:sz w:val="18"/>
          <w:szCs w:val="18"/>
        </w:rPr>
      </w:pPr>
      <w:r w:rsidRPr="007420A3">
        <w:rPr>
          <w:rFonts w:ascii="Times New Roman" w:eastAsia="宋体" w:hAnsi="Times New Roman" w:hint="eastAsia"/>
          <w:b/>
          <w:bCs/>
          <w:color w:val="000000" w:themeColor="text1"/>
          <w:sz w:val="18"/>
          <w:szCs w:val="18"/>
        </w:rPr>
        <w:t>表</w:t>
      </w:r>
      <w:r w:rsidRPr="007420A3">
        <w:rPr>
          <w:rFonts w:ascii="Times New Roman" w:eastAsia="宋体" w:hAnsi="Times New Roman" w:hint="eastAsia"/>
          <w:b/>
          <w:bCs/>
          <w:color w:val="000000" w:themeColor="text1"/>
          <w:sz w:val="18"/>
          <w:szCs w:val="18"/>
        </w:rPr>
        <w:t xml:space="preserve">1 </w:t>
      </w:r>
      <w:r w:rsidRPr="007420A3">
        <w:rPr>
          <w:rFonts w:ascii="Times New Roman" w:eastAsia="宋体" w:hAnsi="Times New Roman" w:hint="eastAsia"/>
          <w:b/>
          <w:bCs/>
          <w:color w:val="000000" w:themeColor="text1"/>
          <w:sz w:val="18"/>
          <w:szCs w:val="18"/>
        </w:rPr>
        <w:t>某综合电商平台不同年龄段用户推荐行为特征对比</w:t>
      </w:r>
    </w:p>
    <w:p w14:paraId="01869146" w14:textId="3BD79F1A" w:rsidR="00F068AF" w:rsidRPr="007420A3" w:rsidRDefault="00F068AF" w:rsidP="00537AC5">
      <w:pPr>
        <w:jc w:val="center"/>
        <w:rPr>
          <w:rFonts w:ascii="Times New Roman" w:eastAsia="宋体" w:hAnsi="Times New Roman"/>
          <w:b/>
          <w:bCs/>
          <w:color w:val="000000" w:themeColor="text1"/>
          <w:sz w:val="18"/>
          <w:szCs w:val="18"/>
        </w:rPr>
      </w:pPr>
      <w:r w:rsidRPr="007420A3">
        <w:rPr>
          <w:rFonts w:ascii="Times New Roman" w:eastAsia="宋体" w:hAnsi="Times New Roman" w:hint="eastAsia"/>
          <w:b/>
          <w:bCs/>
          <w:color w:val="000000" w:themeColor="text1"/>
          <w:sz w:val="18"/>
          <w:szCs w:val="18"/>
        </w:rPr>
        <w:t>（数据来源：根据</w:t>
      </w:r>
      <w:r w:rsidRPr="007420A3">
        <w:rPr>
          <w:rFonts w:ascii="Times New Roman" w:eastAsia="宋体" w:hAnsi="Times New Roman" w:hint="eastAsia"/>
          <w:b/>
          <w:bCs/>
          <w:color w:val="000000" w:themeColor="text1"/>
          <w:sz w:val="18"/>
          <w:szCs w:val="18"/>
        </w:rPr>
        <w:t>2023</w:t>
      </w:r>
      <w:r w:rsidRPr="007420A3">
        <w:rPr>
          <w:rFonts w:ascii="Times New Roman" w:eastAsia="宋体" w:hAnsi="Times New Roman" w:hint="eastAsia"/>
          <w:b/>
          <w:bCs/>
          <w:color w:val="000000" w:themeColor="text1"/>
          <w:sz w:val="18"/>
          <w:szCs w:val="18"/>
        </w:rPr>
        <w:t>年中国电子商务消费者行为报告及学者公开研究数据整理估算）</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F068AF" w:rsidRPr="007420A3" w14:paraId="59675243" w14:textId="77777777" w:rsidTr="00537AC5">
        <w:tc>
          <w:tcPr>
            <w:tcW w:w="1382" w:type="dxa"/>
            <w:tcBorders>
              <w:top w:val="single" w:sz="4" w:space="0" w:color="auto"/>
              <w:bottom w:val="single" w:sz="4" w:space="0" w:color="auto"/>
            </w:tcBorders>
          </w:tcPr>
          <w:p w14:paraId="56342E59" w14:textId="0E298B6D"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年龄段</w:t>
            </w:r>
          </w:p>
        </w:tc>
        <w:tc>
          <w:tcPr>
            <w:tcW w:w="1382" w:type="dxa"/>
            <w:tcBorders>
              <w:top w:val="single" w:sz="4" w:space="0" w:color="auto"/>
              <w:bottom w:val="single" w:sz="4" w:space="0" w:color="auto"/>
            </w:tcBorders>
          </w:tcPr>
          <w:p w14:paraId="2AE2FB61" w14:textId="060529D0" w:rsidR="00F068AF" w:rsidRPr="007420A3" w:rsidRDefault="00F068AF" w:rsidP="00F068AF">
            <w:pPr>
              <w:rPr>
                <w:rFonts w:ascii="Times New Roman" w:eastAsia="宋体" w:hAnsi="Times New Roman"/>
                <w:sz w:val="15"/>
                <w:szCs w:val="15"/>
              </w:rPr>
            </w:pPr>
            <w:proofErr w:type="gramStart"/>
            <w:r w:rsidRPr="007420A3">
              <w:rPr>
                <w:rFonts w:ascii="Times New Roman" w:eastAsia="宋体" w:hAnsi="Times New Roman" w:hint="eastAsia"/>
                <w:sz w:val="15"/>
                <w:szCs w:val="15"/>
              </w:rPr>
              <w:t>人均日均</w:t>
            </w:r>
            <w:proofErr w:type="gramEnd"/>
            <w:r w:rsidRPr="007420A3">
              <w:rPr>
                <w:rFonts w:ascii="Times New Roman" w:eastAsia="宋体" w:hAnsi="Times New Roman" w:hint="eastAsia"/>
                <w:sz w:val="15"/>
                <w:szCs w:val="15"/>
              </w:rPr>
              <w:t>浏览时长</w:t>
            </w:r>
            <w:r w:rsidRPr="007420A3">
              <w:rPr>
                <w:rFonts w:ascii="Times New Roman" w:eastAsia="宋体" w:hAnsi="Times New Roman" w:hint="eastAsia"/>
                <w:sz w:val="15"/>
                <w:szCs w:val="15"/>
              </w:rPr>
              <w:t>(</w:t>
            </w:r>
            <w:r w:rsidRPr="007420A3">
              <w:rPr>
                <w:rFonts w:ascii="Times New Roman" w:eastAsia="宋体" w:hAnsi="Times New Roman" w:hint="eastAsia"/>
                <w:sz w:val="15"/>
                <w:szCs w:val="15"/>
              </w:rPr>
              <w:t>分钟</w:t>
            </w:r>
            <w:r w:rsidRPr="007420A3">
              <w:rPr>
                <w:rFonts w:ascii="Times New Roman" w:eastAsia="宋体" w:hAnsi="Times New Roman" w:hint="eastAsia"/>
                <w:sz w:val="15"/>
                <w:szCs w:val="15"/>
              </w:rPr>
              <w:t>)</w:t>
            </w:r>
          </w:p>
        </w:tc>
        <w:tc>
          <w:tcPr>
            <w:tcW w:w="1383" w:type="dxa"/>
            <w:tcBorders>
              <w:top w:val="single" w:sz="4" w:space="0" w:color="auto"/>
              <w:bottom w:val="single" w:sz="4" w:space="0" w:color="auto"/>
            </w:tcBorders>
          </w:tcPr>
          <w:p w14:paraId="60D2730E" w14:textId="033682E1"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平均点击深度</w:t>
            </w:r>
            <w:r w:rsidRPr="007420A3">
              <w:rPr>
                <w:rFonts w:ascii="Times New Roman" w:eastAsia="宋体" w:hAnsi="Times New Roman" w:hint="eastAsia"/>
                <w:sz w:val="15"/>
                <w:szCs w:val="15"/>
              </w:rPr>
              <w:t>(</w:t>
            </w:r>
            <w:r w:rsidRPr="007420A3">
              <w:rPr>
                <w:rFonts w:ascii="Times New Roman" w:eastAsia="宋体" w:hAnsi="Times New Roman" w:hint="eastAsia"/>
                <w:sz w:val="15"/>
                <w:szCs w:val="15"/>
              </w:rPr>
              <w:t>层</w:t>
            </w:r>
            <w:r w:rsidRPr="007420A3">
              <w:rPr>
                <w:rFonts w:ascii="Times New Roman" w:eastAsia="宋体" w:hAnsi="Times New Roman" w:hint="eastAsia"/>
                <w:sz w:val="15"/>
                <w:szCs w:val="15"/>
              </w:rPr>
              <w:t>)</w:t>
            </w:r>
          </w:p>
        </w:tc>
        <w:tc>
          <w:tcPr>
            <w:tcW w:w="1383" w:type="dxa"/>
            <w:tcBorders>
              <w:top w:val="single" w:sz="4" w:space="0" w:color="auto"/>
              <w:bottom w:val="single" w:sz="4" w:space="0" w:color="auto"/>
            </w:tcBorders>
          </w:tcPr>
          <w:p w14:paraId="0494D07B" w14:textId="0915204C"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行为数据稀疏度</w:t>
            </w:r>
          </w:p>
        </w:tc>
        <w:tc>
          <w:tcPr>
            <w:tcW w:w="1383" w:type="dxa"/>
            <w:tcBorders>
              <w:top w:val="single" w:sz="4" w:space="0" w:color="auto"/>
              <w:bottom w:val="single" w:sz="4" w:space="0" w:color="auto"/>
            </w:tcBorders>
          </w:tcPr>
          <w:p w14:paraId="5C0EC3D7" w14:textId="20468A54"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推荐商品类</w:t>
            </w:r>
            <w:proofErr w:type="gramStart"/>
            <w:r w:rsidRPr="007420A3">
              <w:rPr>
                <w:rFonts w:ascii="Times New Roman" w:eastAsia="宋体" w:hAnsi="Times New Roman" w:hint="eastAsia"/>
                <w:sz w:val="15"/>
                <w:szCs w:val="15"/>
              </w:rPr>
              <w:t>目集中</w:t>
            </w:r>
            <w:proofErr w:type="gramEnd"/>
            <w:r w:rsidRPr="007420A3">
              <w:rPr>
                <w:rFonts w:ascii="Times New Roman" w:eastAsia="宋体" w:hAnsi="Times New Roman" w:hint="eastAsia"/>
                <w:sz w:val="15"/>
                <w:szCs w:val="15"/>
              </w:rPr>
              <w:t>度</w:t>
            </w:r>
            <w:r w:rsidRPr="007420A3">
              <w:rPr>
                <w:rFonts w:ascii="Times New Roman" w:eastAsia="宋体" w:hAnsi="Times New Roman" w:hint="eastAsia"/>
                <w:sz w:val="15"/>
                <w:szCs w:val="15"/>
              </w:rPr>
              <w:t>(HHI</w:t>
            </w:r>
            <w:r w:rsidRPr="007420A3">
              <w:rPr>
                <w:rFonts w:ascii="Times New Roman" w:eastAsia="宋体" w:hAnsi="Times New Roman" w:hint="eastAsia"/>
                <w:sz w:val="15"/>
                <w:szCs w:val="15"/>
              </w:rPr>
              <w:t>指数</w:t>
            </w:r>
            <w:r w:rsidRPr="007420A3">
              <w:rPr>
                <w:rFonts w:ascii="Times New Roman" w:eastAsia="宋体" w:hAnsi="Times New Roman" w:hint="eastAsia"/>
                <w:sz w:val="15"/>
                <w:szCs w:val="15"/>
              </w:rPr>
              <w:t>)</w:t>
            </w:r>
          </w:p>
        </w:tc>
        <w:tc>
          <w:tcPr>
            <w:tcW w:w="1383" w:type="dxa"/>
            <w:tcBorders>
              <w:top w:val="single" w:sz="4" w:space="0" w:color="auto"/>
              <w:bottom w:val="single" w:sz="4" w:space="0" w:color="auto"/>
            </w:tcBorders>
          </w:tcPr>
          <w:p w14:paraId="3D7C020C" w14:textId="745DAA5D" w:rsidR="00F068AF" w:rsidRPr="007420A3" w:rsidRDefault="00F068AF" w:rsidP="00F068AF">
            <w:pPr>
              <w:rPr>
                <w:rFonts w:ascii="Times New Roman" w:eastAsia="宋体" w:hAnsi="Times New Roman"/>
                <w:sz w:val="15"/>
                <w:szCs w:val="15"/>
              </w:rPr>
            </w:pPr>
            <w:r w:rsidRPr="007420A3">
              <w:rPr>
                <w:rFonts w:ascii="Times New Roman" w:eastAsia="宋体" w:hAnsi="Times New Roman" w:hint="eastAsia"/>
                <w:sz w:val="15"/>
                <w:szCs w:val="15"/>
              </w:rPr>
              <w:t>疑似误导性商品曝光率</w:t>
            </w:r>
          </w:p>
        </w:tc>
      </w:tr>
      <w:tr w:rsidR="00F068AF" w:rsidRPr="007420A3" w14:paraId="5B245276" w14:textId="77777777" w:rsidTr="00537AC5">
        <w:tc>
          <w:tcPr>
            <w:tcW w:w="1382" w:type="dxa"/>
            <w:tcBorders>
              <w:top w:val="single" w:sz="4" w:space="0" w:color="auto"/>
            </w:tcBorders>
          </w:tcPr>
          <w:p w14:paraId="6BCBAE40" w14:textId="30B3412F" w:rsidR="00F068AF" w:rsidRPr="007420A3" w:rsidRDefault="00F068AF" w:rsidP="00F068AF">
            <w:pPr>
              <w:rPr>
                <w:rFonts w:ascii="Times New Roman" w:eastAsia="宋体" w:hAnsi="Times New Roman"/>
                <w:sz w:val="15"/>
                <w:szCs w:val="15"/>
              </w:rPr>
            </w:pPr>
            <w:r w:rsidRPr="007420A3">
              <w:rPr>
                <w:rFonts w:ascii="Times New Roman" w:eastAsia="宋体" w:hAnsi="Times New Roman" w:cs="Times New Roman"/>
                <w:sz w:val="15"/>
                <w:szCs w:val="15"/>
              </w:rPr>
              <w:t>18</w:t>
            </w:r>
            <w:r w:rsidRPr="007420A3">
              <w:rPr>
                <w:rFonts w:ascii="Times New Roman" w:eastAsia="宋体" w:hAnsi="Times New Roman" w:hint="eastAsia"/>
                <w:sz w:val="15"/>
                <w:szCs w:val="15"/>
              </w:rPr>
              <w:t>-</w:t>
            </w:r>
            <w:r w:rsidRPr="007420A3">
              <w:rPr>
                <w:rFonts w:ascii="Times New Roman" w:eastAsia="宋体" w:hAnsi="Times New Roman" w:cs="Times New Roman"/>
                <w:sz w:val="15"/>
                <w:szCs w:val="15"/>
              </w:rPr>
              <w:t>35</w:t>
            </w:r>
            <w:r w:rsidRPr="007420A3">
              <w:rPr>
                <w:rFonts w:ascii="Times New Roman" w:eastAsia="宋体" w:hAnsi="Times New Roman" w:hint="eastAsia"/>
                <w:sz w:val="15"/>
                <w:szCs w:val="15"/>
              </w:rPr>
              <w:t>岁</w:t>
            </w:r>
          </w:p>
        </w:tc>
        <w:tc>
          <w:tcPr>
            <w:tcW w:w="1382" w:type="dxa"/>
            <w:tcBorders>
              <w:top w:val="single" w:sz="4" w:space="0" w:color="auto"/>
            </w:tcBorders>
          </w:tcPr>
          <w:p w14:paraId="7FE8CC40" w14:textId="54E31FB4"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42.5</w:t>
            </w:r>
          </w:p>
        </w:tc>
        <w:tc>
          <w:tcPr>
            <w:tcW w:w="1383" w:type="dxa"/>
            <w:tcBorders>
              <w:top w:val="single" w:sz="4" w:space="0" w:color="auto"/>
            </w:tcBorders>
          </w:tcPr>
          <w:p w14:paraId="20F0AEF5" w14:textId="2A24613B"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4.8</w:t>
            </w:r>
          </w:p>
        </w:tc>
        <w:tc>
          <w:tcPr>
            <w:tcW w:w="1383" w:type="dxa"/>
            <w:tcBorders>
              <w:top w:val="single" w:sz="4" w:space="0" w:color="auto"/>
            </w:tcBorders>
          </w:tcPr>
          <w:p w14:paraId="4C74C2A6" w14:textId="447734BD"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0.32</w:t>
            </w:r>
          </w:p>
        </w:tc>
        <w:tc>
          <w:tcPr>
            <w:tcW w:w="1383" w:type="dxa"/>
            <w:tcBorders>
              <w:top w:val="single" w:sz="4" w:space="0" w:color="auto"/>
            </w:tcBorders>
          </w:tcPr>
          <w:p w14:paraId="365C2562" w14:textId="612D6480"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0.15</w:t>
            </w:r>
          </w:p>
        </w:tc>
        <w:tc>
          <w:tcPr>
            <w:tcW w:w="1383" w:type="dxa"/>
            <w:tcBorders>
              <w:top w:val="single" w:sz="4" w:space="0" w:color="auto"/>
            </w:tcBorders>
          </w:tcPr>
          <w:p w14:paraId="0812FA98" w14:textId="40034348"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2.1%</w:t>
            </w:r>
          </w:p>
        </w:tc>
      </w:tr>
      <w:tr w:rsidR="00F068AF" w:rsidRPr="007420A3" w14:paraId="764C6916" w14:textId="77777777" w:rsidTr="00537AC5">
        <w:tc>
          <w:tcPr>
            <w:tcW w:w="1382" w:type="dxa"/>
          </w:tcPr>
          <w:p w14:paraId="1B7C7061" w14:textId="71B5FB53" w:rsidR="00F068AF" w:rsidRPr="007420A3" w:rsidRDefault="00F068AF" w:rsidP="00F068AF">
            <w:pPr>
              <w:rPr>
                <w:rFonts w:ascii="Times New Roman" w:eastAsia="宋体" w:hAnsi="Times New Roman"/>
                <w:sz w:val="15"/>
                <w:szCs w:val="15"/>
              </w:rPr>
            </w:pPr>
            <w:r w:rsidRPr="007420A3">
              <w:rPr>
                <w:rFonts w:ascii="Times New Roman" w:eastAsia="宋体" w:hAnsi="Times New Roman" w:cs="Times New Roman"/>
                <w:sz w:val="15"/>
                <w:szCs w:val="15"/>
              </w:rPr>
              <w:t>36</w:t>
            </w:r>
            <w:r w:rsidRPr="007420A3">
              <w:rPr>
                <w:rFonts w:ascii="Times New Roman" w:eastAsia="宋体" w:hAnsi="Times New Roman" w:hint="eastAsia"/>
                <w:sz w:val="15"/>
                <w:szCs w:val="15"/>
              </w:rPr>
              <w:t>-</w:t>
            </w:r>
            <w:r w:rsidRPr="007420A3">
              <w:rPr>
                <w:rFonts w:ascii="Times New Roman" w:eastAsia="宋体" w:hAnsi="Times New Roman" w:cs="Times New Roman"/>
                <w:sz w:val="15"/>
                <w:szCs w:val="15"/>
              </w:rPr>
              <w:t>59</w:t>
            </w:r>
            <w:r w:rsidRPr="007420A3">
              <w:rPr>
                <w:rFonts w:ascii="Times New Roman" w:eastAsia="宋体" w:hAnsi="Times New Roman" w:hint="eastAsia"/>
                <w:sz w:val="15"/>
                <w:szCs w:val="15"/>
              </w:rPr>
              <w:t>岁</w:t>
            </w:r>
          </w:p>
        </w:tc>
        <w:tc>
          <w:tcPr>
            <w:tcW w:w="1382" w:type="dxa"/>
          </w:tcPr>
          <w:p w14:paraId="0FF00837" w14:textId="6BE24A1B"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28.3</w:t>
            </w:r>
          </w:p>
        </w:tc>
        <w:tc>
          <w:tcPr>
            <w:tcW w:w="1383" w:type="dxa"/>
          </w:tcPr>
          <w:p w14:paraId="0677EAB2" w14:textId="0D10BDE7"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3.2</w:t>
            </w:r>
          </w:p>
        </w:tc>
        <w:tc>
          <w:tcPr>
            <w:tcW w:w="1383" w:type="dxa"/>
          </w:tcPr>
          <w:p w14:paraId="4173516E" w14:textId="2686DF2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0.51</w:t>
            </w:r>
          </w:p>
        </w:tc>
        <w:tc>
          <w:tcPr>
            <w:tcW w:w="1383" w:type="dxa"/>
          </w:tcPr>
          <w:p w14:paraId="0007CD98" w14:textId="010321BF"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0.28</w:t>
            </w:r>
          </w:p>
        </w:tc>
        <w:tc>
          <w:tcPr>
            <w:tcW w:w="1383" w:type="dxa"/>
          </w:tcPr>
          <w:p w14:paraId="4666F186" w14:textId="4D57119F"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5.7%</w:t>
            </w:r>
          </w:p>
        </w:tc>
      </w:tr>
      <w:tr w:rsidR="00F068AF" w:rsidRPr="007420A3" w14:paraId="32443879" w14:textId="77777777" w:rsidTr="00537AC5">
        <w:tc>
          <w:tcPr>
            <w:tcW w:w="1382" w:type="dxa"/>
          </w:tcPr>
          <w:p w14:paraId="6C685C70" w14:textId="4CD0DA51" w:rsidR="00F068AF" w:rsidRPr="007420A3" w:rsidRDefault="00F068AF" w:rsidP="00F068AF">
            <w:pPr>
              <w:rPr>
                <w:rFonts w:ascii="Times New Roman" w:eastAsia="宋体" w:hAnsi="Times New Roman"/>
                <w:sz w:val="15"/>
                <w:szCs w:val="15"/>
              </w:rPr>
            </w:pPr>
            <w:r w:rsidRPr="007420A3">
              <w:rPr>
                <w:rFonts w:ascii="Times New Roman" w:eastAsia="宋体" w:hAnsi="Times New Roman" w:cs="Times New Roman"/>
                <w:sz w:val="15"/>
                <w:szCs w:val="15"/>
              </w:rPr>
              <w:t>60</w:t>
            </w:r>
            <w:r w:rsidRPr="007420A3">
              <w:rPr>
                <w:rFonts w:ascii="Times New Roman" w:eastAsia="宋体" w:hAnsi="Times New Roman" w:hint="eastAsia"/>
                <w:sz w:val="15"/>
                <w:szCs w:val="15"/>
              </w:rPr>
              <w:t>岁及以上</w:t>
            </w:r>
          </w:p>
        </w:tc>
        <w:tc>
          <w:tcPr>
            <w:tcW w:w="1382" w:type="dxa"/>
          </w:tcPr>
          <w:p w14:paraId="7AAF20CE" w14:textId="46999D67"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15.6</w:t>
            </w:r>
          </w:p>
        </w:tc>
        <w:tc>
          <w:tcPr>
            <w:tcW w:w="1383" w:type="dxa"/>
          </w:tcPr>
          <w:p w14:paraId="2B8A833C" w14:textId="349D701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1.5</w:t>
            </w:r>
          </w:p>
        </w:tc>
        <w:tc>
          <w:tcPr>
            <w:tcW w:w="1383" w:type="dxa"/>
          </w:tcPr>
          <w:p w14:paraId="7BD96D22" w14:textId="6108C57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0.84</w:t>
            </w:r>
          </w:p>
        </w:tc>
        <w:tc>
          <w:tcPr>
            <w:tcW w:w="1383" w:type="dxa"/>
          </w:tcPr>
          <w:p w14:paraId="5F3CB779" w14:textId="2A165953"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0.62</w:t>
            </w:r>
          </w:p>
        </w:tc>
        <w:tc>
          <w:tcPr>
            <w:tcW w:w="1383" w:type="dxa"/>
          </w:tcPr>
          <w:p w14:paraId="37577C31" w14:textId="680173A2" w:rsidR="00F068AF" w:rsidRPr="007420A3" w:rsidRDefault="00F068AF" w:rsidP="00F068AF">
            <w:pPr>
              <w:rPr>
                <w:rFonts w:ascii="Times New Roman" w:eastAsia="宋体" w:hAnsi="Times New Roman" w:cs="Times New Roman"/>
                <w:sz w:val="15"/>
                <w:szCs w:val="15"/>
              </w:rPr>
            </w:pPr>
            <w:r w:rsidRPr="007420A3">
              <w:rPr>
                <w:rFonts w:ascii="Times New Roman" w:eastAsia="宋体" w:hAnsi="Times New Roman" w:cs="Times New Roman"/>
                <w:sz w:val="15"/>
                <w:szCs w:val="15"/>
              </w:rPr>
              <w:t>18.4%</w:t>
            </w:r>
          </w:p>
        </w:tc>
      </w:tr>
    </w:tbl>
    <w:p w14:paraId="7AE15589"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由表1数据可知，60岁及以上用户的行为数据稀疏度高达0.84，远高于年轻群体的0.32。这种数据的极度稀疏导致推荐算法无法精准刻画其用户画像，进而引发推荐的类目集中度畸高，HHI指数达到0.62。这意味着老年用户被迫在极窄的信息茧房中接受同质化推荐[8]，其对于健康管理、精神文化、适老化改造等深层次需求被系统性地遮蔽。</w:t>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proofErr w:type="gramStart"/>
      <w:r w:rsidRPr="007420A3">
        <w:rPr>
          <w:rFonts w:ascii="Times New Roman" w:eastAsia="宋体" w:hAnsi="Times New Roman" w:hint="eastAsia"/>
          <w:szCs w:val="21"/>
        </w:rPr>
      </w:r>
      <w:proofErr w:type="gramEnd"/>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p>
    <w:p w14:paraId="319B5D49" w14:textId="2E3F6073" w:rsidR="00F068AF" w:rsidRPr="007420A3" w:rsidRDefault="007420A3" w:rsidP="007420A3">
      <w:pPr>
        <w:rPr>
          <w:rFonts w:ascii="Times New Roman" w:eastAsia="宋体" w:hAnsi="Times New Roman"/>
          <w:b/>
          <w:bCs/>
          <w:szCs w:val="21"/>
        </w:rPr>
      </w:pPr>
      <w:r w:rsidRPr="007420A3">
        <w:rPr>
          <w:rFonts w:ascii="Times New Roman" w:eastAsia="宋体" w:hAnsi="Times New Roman" w:hint="eastAsia"/>
          <w:b/>
          <w:bCs/>
          <w:szCs w:val="21"/>
        </w:rPr>
        <w:t>1.2</w:t>
      </w:r>
      <w:r w:rsidR="00F068AF" w:rsidRPr="007420A3">
        <w:rPr>
          <w:rFonts w:ascii="Times New Roman" w:eastAsia="宋体" w:hAnsi="Times New Roman" w:hint="eastAsia"/>
          <w:b/>
          <w:bCs/>
          <w:szCs w:val="21"/>
        </w:rPr>
        <w:t>特征表征偏差：年龄标签泛化引发的群体刻板印象</w:t>
      </w:r>
    </w:p>
    <w:p w14:paraId="30567E61"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在特征工程阶段，算法</w:t>
      </w:r>
      <w:proofErr w:type="gramStart"/>
      <w:r w:rsidRPr="007420A3">
        <w:rPr>
          <w:rFonts w:ascii="Times New Roman" w:eastAsia="宋体" w:hAnsi="Times New Roman" w:hint="eastAsia"/>
          <w:szCs w:val="21"/>
        </w:rPr>
        <w:t>为了降维与</w:t>
      </w:r>
      <w:proofErr w:type="gramEnd"/>
      <w:r w:rsidRPr="007420A3">
        <w:rPr>
          <w:rFonts w:ascii="Times New Roman" w:eastAsia="宋体" w:hAnsi="Times New Roman" w:hint="eastAsia"/>
          <w:szCs w:val="21"/>
        </w:rPr>
        <w:t>计算效率，往往将</w:t>
      </w:r>
      <w:r w:rsidRPr="007420A3">
        <w:rPr>
          <w:rFonts w:ascii="Times New Roman" w:eastAsia="宋体" w:hAnsi="Times New Roman" w:hint="eastAsia"/>
          <w:szCs w:val="21"/>
        </w:rPr>
        <w:t>60</w:t>
      </w:r>
      <w:r w:rsidRPr="007420A3">
        <w:rPr>
          <w:rFonts w:ascii="Times New Roman" w:eastAsia="宋体" w:hAnsi="Times New Roman" w:hint="eastAsia"/>
          <w:szCs w:val="21"/>
        </w:rPr>
        <w:t>岁以上作为一个粗粒度的单一离散特征输入模型。这种标签泛化抹杀了银发群体在健康状况、收入水平、数字素养等方面的巨大差异。文献综述表明，基于粗粒度年龄标签的推荐算法，容易产生群体刻板印象。例如，只要性别与年龄标签组合为老年女性，系统便机械性地推送广场舞音响、降压仪等刻板商品，而忽视了她们对智能穿戴、高端旅游甚至数码产品的潜在需求。这种表征偏差不仅降低了推荐的精准度与用户体验，也极大地限制了银发经济消费潜力的释放，将一个多层次、多维度的消费群体压缩成了扁平的算法符号。</w:t>
      </w:r>
    </w:p>
    <w:p w14:paraId="013B264F" w14:textId="492D6BB6"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1.3</w:t>
      </w:r>
      <w:r w:rsidR="00F068AF" w:rsidRPr="007420A3">
        <w:rPr>
          <w:rFonts w:ascii="Times New Roman" w:eastAsia="宋体" w:hAnsi="Times New Roman" w:hint="eastAsia"/>
          <w:b/>
          <w:bCs/>
        </w:rPr>
        <w:t>反馈闭环偏差：贪心策略诱发的商业剥削与风险放大</w:t>
      </w:r>
    </w:p>
    <w:p w14:paraId="55395AB9"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电商推荐系统通常采用强化学习等贪心策略，以最大化即时转化率和交易额为首要目标。由于老年用户对包治百病、限时清仓等夸张营销话术的抵御能力较弱，算法在试探性推荐过程中迅速捕捉到这一高转化特征，从而形成正反馈闭环：推荐低质高利润商品，老年用户误点击或购买，算法获得高奖励信号，进一步增加此类商品曝光。</w:t>
      </w:r>
    </w:p>
    <w:p w14:paraId="145A43A0"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大量实证研究揭示，此类偏差导致老年用户界面中疑似误导性商品曝光率高达</w:t>
      </w:r>
      <w:r w:rsidRPr="007420A3">
        <w:rPr>
          <w:rFonts w:ascii="Times New Roman" w:eastAsia="宋体" w:hAnsi="Times New Roman" w:hint="eastAsia"/>
          <w:szCs w:val="21"/>
        </w:rPr>
        <w:t>18.4%</w:t>
      </w:r>
      <w:r w:rsidRPr="007420A3">
        <w:rPr>
          <w:rFonts w:ascii="Times New Roman" w:eastAsia="宋体" w:hAnsi="Times New Roman" w:hint="eastAsia"/>
          <w:szCs w:val="21"/>
        </w:rPr>
        <w:t>，如表</w:t>
      </w:r>
      <w:r w:rsidRPr="007420A3">
        <w:rPr>
          <w:rFonts w:ascii="Times New Roman" w:eastAsia="宋体" w:hAnsi="Times New Roman" w:hint="eastAsia"/>
          <w:szCs w:val="21"/>
        </w:rPr>
        <w:t>1</w:t>
      </w:r>
      <w:r w:rsidRPr="007420A3">
        <w:rPr>
          <w:rFonts w:ascii="Times New Roman" w:eastAsia="宋体" w:hAnsi="Times New Roman" w:hint="eastAsia"/>
          <w:szCs w:val="21"/>
        </w:rPr>
        <w:t>所示。此时，算法不仅没有帮助老年人筛选优质信息，反而利用其认知弱点进行流量变现，形成了典型的算法歧视与商业剥削。这种剥削不仅侵害消费者权益，更在宏观上扭曲了银发经济的供给侧，导致劣币驱逐良币。</w:t>
      </w:r>
    </w:p>
    <w:p w14:paraId="65E11CF3" w14:textId="4DFC1C96" w:rsidR="00F068AF" w:rsidRPr="007420A3" w:rsidRDefault="007420A3" w:rsidP="007420A3">
      <w:pPr>
        <w:rPr>
          <w:rFonts w:ascii="Times New Roman" w:eastAsia="宋体" w:hAnsi="Times New Roman"/>
          <w:b/>
          <w:bCs/>
          <w:sz w:val="28"/>
          <w:szCs w:val="28"/>
        </w:rPr>
      </w:pPr>
      <w:r w:rsidRPr="007420A3">
        <w:rPr>
          <w:rFonts w:ascii="Times New Roman" w:eastAsia="宋体" w:hAnsi="Times New Roman" w:hint="eastAsia"/>
          <w:b/>
          <w:bCs/>
          <w:sz w:val="28"/>
          <w:szCs w:val="28"/>
        </w:rPr>
        <w:t>2</w:t>
      </w:r>
      <w:r w:rsidR="00F068AF" w:rsidRPr="007420A3">
        <w:rPr>
          <w:rFonts w:ascii="Times New Roman" w:eastAsia="宋体" w:hAnsi="Times New Roman" w:hint="eastAsia"/>
          <w:b/>
          <w:bCs/>
          <w:sz w:val="28"/>
          <w:szCs w:val="28"/>
        </w:rPr>
        <w:t>适老化推荐算法偏差的成因与机理剖析</w:t>
      </w:r>
    </w:p>
    <w:p w14:paraId="08208F97"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为了从本质上消除偏差，必须深入剖析其产生的内在机理。本文从数据层、模型层与交互层三个维度，运用运筹优化与机器学习理论对算法偏差的成因进行论证分析。</w:t>
      </w:r>
    </w:p>
    <w:p w14:paraId="64314A40" w14:textId="6CA3D3B7"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2.1</w:t>
      </w:r>
      <w:r w:rsidR="00F068AF" w:rsidRPr="007420A3">
        <w:rPr>
          <w:rFonts w:ascii="Times New Roman" w:eastAsia="宋体" w:hAnsi="Times New Roman" w:hint="eastAsia"/>
          <w:b/>
          <w:bCs/>
        </w:rPr>
        <w:t>数据层机理：马太效应下的样本长尾与数据倾斜</w:t>
      </w:r>
    </w:p>
    <w:p w14:paraId="51FA7482"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推荐系统的运行遵循富者愈富的马太效应。由于老年用户处于数据分布的长尾区域，算法在计算物品相似度或用户匹配度时，主流群体的特征权重将占据绝对主导地位。设用户特征向量为</w:t>
      </w:r>
      <w:r w:rsidRPr="007420A3">
        <w:rPr>
          <w:rFonts w:ascii="Times New Roman" w:eastAsia="宋体" w:hAnsi="Times New Roman" w:hint="eastAsia"/>
          <w:szCs w:val="21"/>
        </w:rPr>
        <w:t>u</w:t>
      </w:r>
      <w:r w:rsidRPr="007420A3">
        <w:rPr>
          <w:rFonts w:ascii="Times New Roman" w:eastAsia="宋体" w:hAnsi="Times New Roman" w:hint="eastAsia"/>
          <w:szCs w:val="21"/>
        </w:rPr>
        <w:t>，物品特征向量为</w:t>
      </w:r>
      <w:r w:rsidRPr="007420A3">
        <w:rPr>
          <w:rFonts w:ascii="Times New Roman" w:eastAsia="宋体" w:hAnsi="Times New Roman" w:hint="eastAsia"/>
          <w:szCs w:val="21"/>
        </w:rPr>
        <w:t>v</w:t>
      </w:r>
      <w:r w:rsidRPr="007420A3">
        <w:rPr>
          <w:rFonts w:ascii="Times New Roman" w:eastAsia="宋体" w:hAnsi="Times New Roman" w:hint="eastAsia"/>
          <w:szCs w:val="21"/>
        </w:rPr>
        <w:t>，传统矩阵分解算法通过最小化全局损失函数来学习特征，其目标函数可表示为：</w:t>
      </w:r>
    </w:p>
    <w:p w14:paraId="1054715A"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 xml:space="preserve">min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(r - u*v) + </w:t>
      </w:r>
      <w:r w:rsidRPr="007420A3">
        <w:rPr>
          <w:rFonts w:ascii="Times New Roman" w:eastAsia="宋体" w:hAnsi="Times New Roman" w:hint="eastAsia"/>
          <w:szCs w:val="21"/>
        </w:rPr>
        <w:t>λ</w:t>
      </w:r>
      <w:r w:rsidRPr="007420A3">
        <w:rPr>
          <w:rFonts w:ascii="Times New Roman" w:eastAsia="宋体" w:hAnsi="Times New Roman" w:hint="eastAsia"/>
          <w:szCs w:val="21"/>
        </w:rPr>
        <w:t>*(||u|| + ||v||)</w:t>
      </w:r>
    </w:p>
    <w:p w14:paraId="128D402C" w14:textId="77777777" w:rsidR="00F068AF" w:rsidRPr="007420A3" w:rsidRDefault="00F068AF" w:rsidP="00FA33E1">
      <w:pPr>
        <w:rPr>
          <w:rFonts w:ascii="Times New Roman" w:eastAsia="宋体" w:hAnsi="Times New Roman"/>
          <w:szCs w:val="21"/>
        </w:rPr>
      </w:pPr>
      <w:r w:rsidRPr="007420A3">
        <w:rPr>
          <w:rFonts w:ascii="Times New Roman" w:eastAsia="宋体" w:hAnsi="Times New Roman" w:hint="eastAsia"/>
          <w:szCs w:val="21"/>
        </w:rPr>
        <w:t>其中，</w:t>
      </w:r>
      <w:r w:rsidRPr="007420A3">
        <w:rPr>
          <w:rFonts w:ascii="Times New Roman" w:eastAsia="宋体" w:hAnsi="Times New Roman" w:hint="eastAsia"/>
          <w:szCs w:val="21"/>
        </w:rPr>
        <w:t>r</w:t>
      </w:r>
      <w:r w:rsidRPr="007420A3">
        <w:rPr>
          <w:rFonts w:ascii="Times New Roman" w:eastAsia="宋体" w:hAnsi="Times New Roman" w:hint="eastAsia"/>
          <w:szCs w:val="21"/>
        </w:rPr>
        <w:t>为实际交互评分，</w:t>
      </w:r>
      <w:r w:rsidRPr="007420A3">
        <w:rPr>
          <w:rFonts w:ascii="Times New Roman" w:eastAsia="宋体" w:hAnsi="Times New Roman" w:hint="eastAsia"/>
          <w:szCs w:val="21"/>
        </w:rPr>
        <w:t>u*v</w:t>
      </w:r>
      <w:r w:rsidRPr="007420A3">
        <w:rPr>
          <w:rFonts w:ascii="Times New Roman" w:eastAsia="宋体" w:hAnsi="Times New Roman" w:hint="eastAsia"/>
          <w:szCs w:val="21"/>
        </w:rPr>
        <w:t>为预测评分，λ为正则化系数。由于年轻群体的交互记录数量远大于老年群体，全局损失函数的梯度下降方向主要由年轻群体的残差决定。这导致学习到的隐因子特征空间在拓扑结构上更贴合年轻人偏好，老年群体的特征空间被极度压缩甚至</w:t>
      </w:r>
      <w:r w:rsidRPr="007420A3">
        <w:rPr>
          <w:rFonts w:ascii="Times New Roman" w:eastAsia="宋体" w:hAnsi="Times New Roman" w:hint="eastAsia"/>
          <w:szCs w:val="21"/>
        </w:rPr>
        <w:lastRenderedPageBreak/>
        <w:t>扭曲，从根本上造成了数据层偏差。在这种数据结构下，即便模型具有理论上的泛化能力，也会因优化路径的偏离而无法收敛至对老年群体友好的最优解。</w:t>
      </w:r>
    </w:p>
    <w:p w14:paraId="4FE38D7C" w14:textId="6EF90D05"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2.2</w:t>
      </w:r>
      <w:r w:rsidR="00F068AF" w:rsidRPr="007420A3">
        <w:rPr>
          <w:rFonts w:ascii="Times New Roman" w:eastAsia="宋体" w:hAnsi="Times New Roman" w:hint="eastAsia"/>
          <w:b/>
          <w:bCs/>
        </w:rPr>
        <w:t>模型层机理：效用最大化目标函数对公平性的忽视</w:t>
      </w:r>
    </w:p>
    <w:p w14:paraId="67B79C0C"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算法偏差的核心根源在于目标函数的设计。当前电商推荐模型几乎清一色采用效用最大化策略，无论是最早的逻辑回归，还是深度兴趣网络，其优化目标均聚焦于最大化购买概率。在这种单一目标导向下，算法不具备区分合理偏好与认知弱点的能力。对于老年用户，推荐优质实用商品的转化率可能为</w:t>
      </w:r>
      <w:r w:rsidRPr="007420A3">
        <w:rPr>
          <w:rFonts w:ascii="Times New Roman" w:eastAsia="宋体" w:hAnsi="Times New Roman" w:hint="eastAsia"/>
          <w:szCs w:val="21"/>
        </w:rPr>
        <w:t>5%</w:t>
      </w:r>
      <w:r w:rsidRPr="007420A3">
        <w:rPr>
          <w:rFonts w:ascii="Times New Roman" w:eastAsia="宋体" w:hAnsi="Times New Roman" w:hint="eastAsia"/>
          <w:szCs w:val="21"/>
        </w:rPr>
        <w:t>，而推荐带有欺骗性质的高利润保健品的转化率可能达到</w:t>
      </w:r>
      <w:r w:rsidRPr="007420A3">
        <w:rPr>
          <w:rFonts w:ascii="Times New Roman" w:eastAsia="宋体" w:hAnsi="Times New Roman" w:hint="eastAsia"/>
          <w:szCs w:val="21"/>
        </w:rPr>
        <w:t>15%</w:t>
      </w:r>
      <w:r w:rsidRPr="007420A3">
        <w:rPr>
          <w:rFonts w:ascii="Times New Roman" w:eastAsia="宋体" w:hAnsi="Times New Roman" w:hint="eastAsia"/>
          <w:szCs w:val="21"/>
        </w:rPr>
        <w:t>。算法在追求全局收益最大化的驱使下，必然将流量倾斜于后者。这种将用户视为纯粹流量变现工具的目标函数设计，从根本上剥夺了银发群体的算法公平性，使得效率与公平之间的张力在模型内部彻底失衡。</w:t>
      </w:r>
    </w:p>
    <w:p w14:paraId="09EA5593" w14:textId="46661433"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2.3</w:t>
      </w:r>
      <w:r w:rsidR="00F068AF" w:rsidRPr="007420A3">
        <w:rPr>
          <w:rFonts w:ascii="Times New Roman" w:eastAsia="宋体" w:hAnsi="Times New Roman" w:hint="eastAsia"/>
          <w:b/>
          <w:bCs/>
        </w:rPr>
        <w:t>交互层机理：贪心推荐策略与认知退化的负向耦合</w:t>
      </w:r>
    </w:p>
    <w:p w14:paraId="7DE19A60"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在用户与推荐系统的交互过程中，系统与用户形成动态闭环。算法通常采用多臂老虎机模型中的贪心策略进行探索与利用的平衡[9]。由于老年用户的认知退化，他们对劣质信息的误触率较高。算法在探索阶段偶然推荐劣质商品并获得高反馈后，其探索空间会迅速收缩。</w:t>
      </w:r>
      <w:proofErr w:type="gramStart"/>
      <w:r w:rsidRPr="007420A3">
        <w:rPr>
          <w:rFonts w:ascii="Times New Roman" w:eastAsia="宋体" w:hAnsi="Times New Roman" w:hint="eastAsia"/>
          <w:szCs w:val="21"/>
        </w:rPr>
      </w:r>
      <w:proofErr w:type="gramEnd"/>
      <w:r w:rsidRPr="007420A3">
        <w:rPr>
          <w:rFonts w:ascii="Times New Roman" w:eastAsia="宋体" w:hAnsi="Times New Roman" w:hint="eastAsia"/>
          <w:szCs w:val="21"/>
        </w:rPr>
      </w:r>
      <w:proofErr w:type="gramStart"/>
      <w:r w:rsidRPr="007420A3">
        <w:rPr>
          <w:rFonts w:ascii="Times New Roman" w:eastAsia="宋体" w:hAnsi="Times New Roman" w:hint="eastAsia"/>
          <w:szCs w:val="21"/>
        </w:rPr>
      </w:r>
      <w:proofErr w:type="gramEnd"/>
      <w:r w:rsidRPr="007420A3">
        <w:rPr>
          <w:rFonts w:ascii="Times New Roman" w:eastAsia="宋体" w:hAnsi="Times New Roman" w:hint="eastAsia"/>
          <w:szCs w:val="21"/>
        </w:rPr>
      </w:r>
    </w:p>
    <w:p w14:paraId="52EC5AFF" w14:textId="7AD15F8F"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以下为负向耦合机理逻辑：</w:t>
      </w:r>
    </w:p>
    <w:p w14:paraId="51DF8AAE" w14:textId="6D9914E1"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1</w:t>
      </w:r>
      <w:r w:rsidRPr="007420A3">
        <w:rPr>
          <w:rFonts w:ascii="Times New Roman" w:eastAsia="宋体" w:hAnsi="Times New Roman" w:hint="eastAsia"/>
          <w:szCs w:val="21"/>
        </w:rPr>
        <w:t>：初始探索</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算法随机分配多元商品</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老年人因认知弱点对劣质夸张营销产生误触</w:t>
      </w:r>
    </w:p>
    <w:p w14:paraId="07D818CB" w14:textId="76F99216"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2</w:t>
      </w:r>
      <w:r w:rsidRPr="007420A3">
        <w:rPr>
          <w:rFonts w:ascii="Times New Roman" w:eastAsia="宋体" w:hAnsi="Times New Roman" w:hint="eastAsia"/>
          <w:szCs w:val="21"/>
        </w:rPr>
        <w:t>：反馈偏差</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误</w:t>
      </w:r>
      <w:proofErr w:type="gramStart"/>
      <w:r w:rsidRPr="007420A3">
        <w:rPr>
          <w:rFonts w:ascii="Times New Roman" w:eastAsia="宋体" w:hAnsi="Times New Roman" w:hint="eastAsia"/>
          <w:szCs w:val="21"/>
        </w:rPr>
        <w:t>触行为</w:t>
      </w:r>
      <w:proofErr w:type="gramEnd"/>
      <w:r w:rsidRPr="007420A3">
        <w:rPr>
          <w:rFonts w:ascii="Times New Roman" w:eastAsia="宋体" w:hAnsi="Times New Roman" w:hint="eastAsia"/>
          <w:szCs w:val="21"/>
        </w:rPr>
        <w:t>产生高</w:t>
      </w:r>
      <w:r w:rsidRPr="007420A3">
        <w:rPr>
          <w:rFonts w:ascii="Times New Roman" w:eastAsia="宋体" w:hAnsi="Times New Roman" w:hint="eastAsia"/>
          <w:szCs w:val="21"/>
        </w:rPr>
        <w:t>CTR</w:t>
      </w:r>
      <w:r w:rsidRPr="007420A3">
        <w:rPr>
          <w:rFonts w:ascii="Times New Roman" w:eastAsia="宋体" w:hAnsi="Times New Roman" w:hint="eastAsia"/>
          <w:szCs w:val="21"/>
        </w:rPr>
        <w:t>信号</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算法接收到该类商品符合偏好的错误奖励</w:t>
      </w:r>
    </w:p>
    <w:p w14:paraId="7D09BCDD" w14:textId="781B271D"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3</w:t>
      </w:r>
      <w:r w:rsidRPr="007420A3">
        <w:rPr>
          <w:rFonts w:ascii="Times New Roman" w:eastAsia="宋体" w:hAnsi="Times New Roman" w:hint="eastAsia"/>
          <w:szCs w:val="21"/>
        </w:rPr>
        <w:t>：利用锁定</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贪心策略增加劣质商品曝光权重</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正常优质商品因未获足够探索被边缘化</w:t>
      </w:r>
    </w:p>
    <w:p w14:paraId="7394316D" w14:textId="1E3193C6"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阶段</w:t>
      </w:r>
      <w:r w:rsidRPr="007420A3">
        <w:rPr>
          <w:rFonts w:ascii="Times New Roman" w:eastAsia="宋体" w:hAnsi="Times New Roman" w:hint="eastAsia"/>
          <w:szCs w:val="21"/>
        </w:rPr>
        <w:t>4</w:t>
      </w:r>
      <w:r w:rsidRPr="007420A3">
        <w:rPr>
          <w:rFonts w:ascii="Times New Roman" w:eastAsia="宋体" w:hAnsi="Times New Roman" w:hint="eastAsia"/>
          <w:szCs w:val="21"/>
        </w:rPr>
        <w:t>：负向闭环</w:t>
      </w:r>
      <w:r w:rsidR="00FA33E1" w:rsidRPr="007420A3">
        <w:rPr>
          <w:rFonts w:ascii="Times New Roman" w:eastAsia="宋体" w:hAnsi="Times New Roman" w:hint="eastAsia"/>
          <w:szCs w:val="21"/>
        </w:rPr>
        <w:t>：</w:t>
      </w:r>
      <w:r w:rsidRPr="007420A3">
        <w:rPr>
          <w:rFonts w:ascii="Times New Roman" w:eastAsia="宋体" w:hAnsi="Times New Roman" w:hint="eastAsia"/>
          <w:szCs w:val="21"/>
        </w:rPr>
        <w:t>劣质商品充斥界面</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老年人认知负荷增加判断力下降</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w:t>
      </w:r>
      <w:r w:rsidRPr="007420A3">
        <w:rPr>
          <w:rFonts w:ascii="Times New Roman" w:eastAsia="宋体" w:hAnsi="Times New Roman" w:hint="eastAsia"/>
          <w:szCs w:val="21"/>
        </w:rPr>
        <w:t xml:space="preserve"> </w:t>
      </w:r>
      <w:r w:rsidRPr="007420A3">
        <w:rPr>
          <w:rFonts w:ascii="Times New Roman" w:eastAsia="宋体" w:hAnsi="Times New Roman" w:hint="eastAsia"/>
          <w:szCs w:val="21"/>
        </w:rPr>
        <w:t>误</w:t>
      </w:r>
      <w:proofErr w:type="gramStart"/>
      <w:r w:rsidRPr="007420A3">
        <w:rPr>
          <w:rFonts w:ascii="Times New Roman" w:eastAsia="宋体" w:hAnsi="Times New Roman" w:hint="eastAsia"/>
          <w:szCs w:val="21"/>
        </w:rPr>
        <w:t>触率继续</w:t>
      </w:r>
      <w:proofErr w:type="gramEnd"/>
      <w:r w:rsidRPr="007420A3">
        <w:rPr>
          <w:rFonts w:ascii="Times New Roman" w:eastAsia="宋体" w:hAnsi="Times New Roman" w:hint="eastAsia"/>
          <w:szCs w:val="21"/>
        </w:rPr>
        <w:t>攀升</w:t>
      </w:r>
    </w:p>
    <w:p w14:paraId="173929B2"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上述闭环表明，算法的贪心本质与老年人的认知脆弱性形成了灾难性的负向耦合，使得偏差在交互过程中不仅无法自我修正，反而呈</w:t>
      </w:r>
      <w:proofErr w:type="gramStart"/>
      <w:r w:rsidRPr="007420A3">
        <w:rPr>
          <w:rFonts w:ascii="Times New Roman" w:eastAsia="宋体" w:hAnsi="Times New Roman" w:hint="eastAsia"/>
          <w:szCs w:val="21"/>
        </w:rPr>
        <w:t>指数级</w:t>
      </w:r>
      <w:proofErr w:type="gramEnd"/>
      <w:r w:rsidRPr="007420A3">
        <w:rPr>
          <w:rFonts w:ascii="Times New Roman" w:eastAsia="宋体" w:hAnsi="Times New Roman" w:hint="eastAsia"/>
          <w:szCs w:val="21"/>
        </w:rPr>
        <w:t>放大，最终导致推荐系统的适老化失效。</w:t>
      </w:r>
    </w:p>
    <w:p w14:paraId="07015853" w14:textId="626F6D74" w:rsidR="00F068AF" w:rsidRPr="007420A3" w:rsidRDefault="007420A3" w:rsidP="007420A3">
      <w:pPr>
        <w:rPr>
          <w:rFonts w:ascii="Times New Roman" w:eastAsia="宋体" w:hAnsi="Times New Roman"/>
          <w:b/>
          <w:bCs/>
          <w:sz w:val="28"/>
          <w:szCs w:val="28"/>
        </w:rPr>
      </w:pPr>
      <w:r w:rsidRPr="007420A3">
        <w:rPr>
          <w:rFonts w:ascii="Times New Roman" w:eastAsia="宋体" w:hAnsi="Times New Roman" w:hint="eastAsia"/>
          <w:b/>
          <w:bCs/>
          <w:sz w:val="28"/>
          <w:szCs w:val="28"/>
        </w:rPr>
        <w:t>3</w:t>
      </w:r>
      <w:r w:rsidR="00F068AF" w:rsidRPr="007420A3">
        <w:rPr>
          <w:rFonts w:ascii="Times New Roman" w:eastAsia="宋体" w:hAnsi="Times New Roman" w:hint="eastAsia"/>
          <w:b/>
          <w:bCs/>
          <w:sz w:val="28"/>
          <w:szCs w:val="28"/>
        </w:rPr>
        <w:t>电子商务</w:t>
      </w:r>
      <w:proofErr w:type="gramStart"/>
      <w:r w:rsidR="00F068AF" w:rsidRPr="007420A3">
        <w:rPr>
          <w:rFonts w:ascii="Times New Roman" w:eastAsia="宋体" w:hAnsi="Times New Roman" w:hint="eastAsia"/>
          <w:b/>
          <w:bCs/>
          <w:sz w:val="28"/>
          <w:szCs w:val="28"/>
        </w:rPr>
        <w:t>适</w:t>
      </w:r>
      <w:proofErr w:type="gramEnd"/>
      <w:r w:rsidR="00F068AF" w:rsidRPr="007420A3">
        <w:rPr>
          <w:rFonts w:ascii="Times New Roman" w:eastAsia="宋体" w:hAnsi="Times New Roman" w:hint="eastAsia"/>
          <w:b/>
          <w:bCs/>
          <w:sz w:val="28"/>
          <w:szCs w:val="28"/>
        </w:rPr>
        <w:t>老化推荐算法的纠偏对策与优化路径</w:t>
      </w:r>
    </w:p>
    <w:p w14:paraId="59A626A4"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针对上述机理，解决电商推荐系统中的适老化偏差，不能仅停留在前端界面的字体放大等表面</w:t>
      </w:r>
      <w:proofErr w:type="gramStart"/>
      <w:r w:rsidRPr="007420A3">
        <w:rPr>
          <w:rFonts w:ascii="Times New Roman" w:eastAsia="宋体" w:hAnsi="Times New Roman" w:hint="eastAsia"/>
          <w:szCs w:val="21"/>
        </w:rPr>
        <w:t>适</w:t>
      </w:r>
      <w:proofErr w:type="gramEnd"/>
      <w:r w:rsidRPr="007420A3">
        <w:rPr>
          <w:rFonts w:ascii="Times New Roman" w:eastAsia="宋体" w:hAnsi="Times New Roman" w:hint="eastAsia"/>
          <w:szCs w:val="21"/>
        </w:rPr>
        <w:t>老化，必须深入算法底层架构，从数据重构、模型优化和机制设计三个层面提出细化、完整、严谨的系统性解决方案。</w:t>
      </w:r>
    </w:p>
    <w:p w14:paraId="56254E26" w14:textId="432E5DC7" w:rsidR="00F068AF" w:rsidRPr="007420A3" w:rsidRDefault="007420A3" w:rsidP="007420A3">
      <w:pPr>
        <w:rPr>
          <w:rFonts w:ascii="Times New Roman" w:eastAsia="宋体" w:hAnsi="Times New Roman"/>
          <w:b/>
          <w:bCs/>
          <w:szCs w:val="21"/>
        </w:rPr>
      </w:pPr>
      <w:r w:rsidRPr="007420A3">
        <w:rPr>
          <w:rFonts w:ascii="Times New Roman" w:eastAsia="宋体" w:hAnsi="Times New Roman" w:hint="eastAsia"/>
          <w:b/>
          <w:bCs/>
          <w:szCs w:val="21"/>
        </w:rPr>
        <w:t>3.1</w:t>
      </w:r>
      <w:r w:rsidR="00F068AF" w:rsidRPr="007420A3">
        <w:rPr>
          <w:rFonts w:ascii="Times New Roman" w:eastAsia="宋体" w:hAnsi="Times New Roman" w:hint="eastAsia"/>
          <w:b/>
          <w:bCs/>
          <w:szCs w:val="21"/>
        </w:rPr>
        <w:t>数据层纠偏：基于联邦学习与兴趣迁移的样本增广机制</w:t>
      </w:r>
    </w:p>
    <w:p w14:paraId="7033E935"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为打破老年用户数据稀疏引发的马太效应，需引入跨域兴趣迁移与隐私保护下的数据增广技术。</w:t>
      </w:r>
    </w:p>
    <w:p w14:paraId="12869B8E"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首先，采用联邦学习架构打破数据孤岛[5]。在不同电商平台或同一平台的不同业务板块之间，在无需交换原始底层数据的前提下，通过交换模型梯度或特征表征，丰富老年用户的隐式特征。这既符合数据安全法对老年人隐私保护的严格要求，又能在横向与纵向上极大扩充老年群体样本量，缓解数据倾斜。</w:t>
      </w:r>
    </w:p>
    <w:p w14:paraId="510A4F75"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其次，设计基于图神经网络的兴趣迁移模型[7]。构建用户-属性-物品的异构信息网络，识别老年用户与中年用户在生命周期过渡中的兴趣延续节点。例如，中年用户对养生茶饮的偏好，可能在老年阶段转化为对特定保健器材的需求。通过迁移学习算法，将中年用户在相似生活场景下的高质量交互图谱平滑迁移至老年群体，填补老年用户特征空间的空白，恢复银发群体画像的颗粒度与真实性，从数据源头上修正隐因子空间的扭曲。</w:t>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r w:rsidRPr="007420A3">
        <w:rPr>
          <w:rFonts w:ascii="Times New Roman" w:eastAsia="宋体" w:hAnsi="Times New Roman" w:hint="eastAsia"/>
          <w:szCs w:val="21"/>
        </w:rPr>
      </w:r>
      <w:proofErr w:type="gramStart"/>
      <w:r w:rsidRPr="007420A3">
        <w:rPr>
          <w:rFonts w:ascii="Times New Roman" w:eastAsia="宋体" w:hAnsi="Times New Roman" w:hint="eastAsia"/>
          <w:szCs w:val="21"/>
        </w:rPr>
      </w:r>
      <w:proofErr w:type="gramEnd"/>
      <w:r w:rsidRPr="007420A3">
        <w:rPr>
          <w:rFonts w:ascii="Times New Roman" w:eastAsia="宋体" w:hAnsi="Times New Roman" w:hint="eastAsia"/>
          <w:szCs w:val="21"/>
        </w:rPr>
      </w:r>
    </w:p>
    <w:p w14:paraId="1397102D" w14:textId="7C552395" w:rsidR="00F068AF" w:rsidRPr="007420A3" w:rsidRDefault="007420A3" w:rsidP="00F068AF">
      <w:pPr>
        <w:rPr>
          <w:rFonts w:ascii="Times New Roman" w:eastAsia="宋体" w:hAnsi="Times New Roman"/>
          <w:b/>
          <w:bCs/>
          <w:szCs w:val="21"/>
        </w:rPr>
      </w:pPr>
      <w:r w:rsidRPr="007420A3">
        <w:rPr>
          <w:rFonts w:ascii="Times New Roman" w:eastAsia="宋体" w:hAnsi="Times New Roman" w:hint="eastAsia"/>
          <w:b/>
          <w:bCs/>
          <w:szCs w:val="21"/>
        </w:rPr>
        <w:t>3.2</w:t>
      </w:r>
      <w:r w:rsidR="00F068AF" w:rsidRPr="007420A3">
        <w:rPr>
          <w:rFonts w:ascii="Times New Roman" w:eastAsia="宋体" w:hAnsi="Times New Roman" w:hint="eastAsia"/>
          <w:b/>
          <w:bCs/>
          <w:szCs w:val="21"/>
        </w:rPr>
        <w:t>模型层纠偏：引入公平性约束的多目标鲁棒优化重构</w:t>
      </w:r>
    </w:p>
    <w:p w14:paraId="25544B91" w14:textId="77777777" w:rsidR="00F068AF" w:rsidRPr="007420A3" w:rsidRDefault="00F068AF" w:rsidP="007420A3">
      <w:pPr>
        <w:ind w:firstLineChars="200" w:firstLine="420"/>
        <w:rPr>
          <w:rFonts w:ascii="Times New Roman" w:eastAsia="宋体" w:hAnsi="Times New Roman"/>
          <w:szCs w:val="21"/>
        </w:rPr>
      </w:pPr>
      <w:r w:rsidRPr="007420A3">
        <w:rPr>
          <w:rFonts w:ascii="Times New Roman" w:eastAsia="宋体" w:hAnsi="Times New Roman" w:hint="eastAsia"/>
          <w:szCs w:val="21"/>
        </w:rPr>
        <w:t>纠偏的核心在于重构算法的目标函数，打破单一的效用最大化导向，将公平性与安全性作为硬约束或重要优化目标纳入模型[3]。</w:t>
      </w:r>
    </w:p>
    <w:p w14:paraId="2DE3BC83"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lastRenderedPageBreak/>
        <w:t>本文构建一个多目标鲁棒优化模型。定义推荐效用指标为</w:t>
      </w:r>
      <w:r w:rsidRPr="007420A3">
        <w:rPr>
          <w:rFonts w:ascii="Times New Roman" w:eastAsia="宋体" w:hAnsi="Times New Roman" w:hint="eastAsia"/>
          <w:szCs w:val="21"/>
        </w:rPr>
        <w:t>U</w:t>
      </w:r>
      <w:r w:rsidRPr="007420A3">
        <w:rPr>
          <w:rFonts w:ascii="Times New Roman" w:eastAsia="宋体" w:hAnsi="Times New Roman" w:hint="eastAsia"/>
          <w:szCs w:val="21"/>
        </w:rPr>
        <w:t>，群体公平性指标为</w:t>
      </w:r>
      <w:r w:rsidRPr="007420A3">
        <w:rPr>
          <w:rFonts w:ascii="Times New Roman" w:eastAsia="宋体" w:hAnsi="Times New Roman" w:hint="eastAsia"/>
          <w:szCs w:val="21"/>
        </w:rPr>
        <w:t>F</w:t>
      </w:r>
      <w:r w:rsidRPr="007420A3">
        <w:rPr>
          <w:rFonts w:ascii="Times New Roman" w:eastAsia="宋体" w:hAnsi="Times New Roman" w:hint="eastAsia"/>
          <w:szCs w:val="21"/>
        </w:rPr>
        <w:t>，老年人安全风险指标为</w:t>
      </w:r>
      <w:r w:rsidRPr="007420A3">
        <w:rPr>
          <w:rFonts w:ascii="Times New Roman" w:eastAsia="宋体" w:hAnsi="Times New Roman" w:hint="eastAsia"/>
          <w:szCs w:val="21"/>
        </w:rPr>
        <w:t>R</w:t>
      </w:r>
      <w:r w:rsidRPr="007420A3">
        <w:rPr>
          <w:rFonts w:ascii="Times New Roman" w:eastAsia="宋体" w:hAnsi="Times New Roman" w:hint="eastAsia"/>
          <w:szCs w:val="21"/>
        </w:rPr>
        <w:t>。优化目标重构为：</w:t>
      </w:r>
    </w:p>
    <w:p w14:paraId="14C3C855" w14:textId="41327EC7" w:rsidR="00F068AF" w:rsidRPr="005B4EAD" w:rsidRDefault="005B4EAD" w:rsidP="00F068AF">
      <w:pPr>
        <w:rPr>
          <w:rFonts w:ascii="Cambria Math" w:eastAsia="宋体" w:hAnsi="Cambria Math"/>
          <w:szCs w:val="21"/>
          <w:oMath/>
        </w:rPr>
      </w:pPr>
      <m:oMathPara>
        <m:oMath>
          <m:r>
            <w:rPr>
              <w:rFonts w:ascii="Cambria Math" w:eastAsia="宋体" w:hAnsi="Cambria Math" w:hint="eastAsia"/>
              <w:szCs w:val="21"/>
            </w:rPr>
            <m:t>max ( α</m:t>
          </m:r>
          <m:r>
            <w:rPr>
              <w:rFonts w:ascii="Cambria Math" w:eastAsia="宋体" w:hAnsi="Cambria Math" w:cs="Cambria Math"/>
              <w:szCs w:val="21"/>
            </w:rPr>
            <m:t>*</m:t>
          </m:r>
          <m:r>
            <w:rPr>
              <w:rFonts w:ascii="Cambria Math" w:eastAsia="宋体" w:hAnsi="Cambria Math" w:hint="eastAsia"/>
              <w:szCs w:val="21"/>
            </w:rPr>
            <m:t>U(x) + β</m:t>
          </m:r>
          <m:r>
            <w:rPr>
              <w:rFonts w:ascii="Cambria Math" w:eastAsia="宋体" w:hAnsi="Cambria Math" w:cs="Cambria Math"/>
              <w:szCs w:val="21"/>
            </w:rPr>
            <m:t>*</m:t>
          </m:r>
          <m:r>
            <w:rPr>
              <w:rFonts w:ascii="Cambria Math" w:eastAsia="宋体" w:hAnsi="Cambria Math" w:hint="eastAsia"/>
              <w:szCs w:val="21"/>
            </w:rPr>
            <m:t xml:space="preserve">F(x) </m:t>
          </m:r>
          <m:r>
            <w:rPr>
              <w:rFonts w:ascii="Cambria Math" w:eastAsia="宋体" w:hAnsi="Cambria Math" w:cs="Cambria Math"/>
              <w:szCs w:val="21"/>
            </w:rPr>
            <m:t>-</m:t>
          </m:r>
          <m:r>
            <w:rPr>
              <w:rFonts w:ascii="Cambria Math" w:eastAsia="宋体" w:hAnsi="Cambria Math" w:hint="eastAsia"/>
              <w:szCs w:val="21"/>
            </w:rPr>
            <m:t xml:space="preserve"> γ</m:t>
          </m:r>
          <m:r>
            <w:rPr>
              <w:rFonts w:ascii="Cambria Math" w:eastAsia="宋体" w:hAnsi="Cambria Math" w:cs="Cambria Math"/>
              <w:szCs w:val="21"/>
            </w:rPr>
            <m:t>*</m:t>
          </m:r>
          <m:r>
            <w:rPr>
              <w:rFonts w:ascii="Cambria Math" w:eastAsia="宋体" w:hAnsi="Cambria Math" w:hint="eastAsia"/>
              <w:szCs w:val="21"/>
            </w:rPr>
            <m:t>R(x) )</m:t>
          </m:r>
        </m:oMath>
      </m:oMathPara>
    </w:p>
    <w:p w14:paraId="35E91715" w14:textId="2BC776EC" w:rsidR="00F068AF" w:rsidRPr="005B4EAD" w:rsidRDefault="005B4EAD" w:rsidP="00F068AF">
      <w:pPr>
        <w:rPr>
          <w:rFonts w:ascii="Cambria Math" w:eastAsia="宋体" w:hAnsi="Cambria Math"/>
          <w:szCs w:val="21"/>
          <w:oMath/>
        </w:rPr>
      </w:pPr>
      <m:oMathPara>
        <m:oMath>
          <m:r>
            <w:rPr>
              <w:rFonts w:ascii="Cambria Math" w:eastAsia="宋体" w:hAnsi="Cambria Math" w:hint="eastAsia"/>
              <w:szCs w:val="21"/>
            </w:rPr>
            <m:t xml:space="preserve">s.t.  R(x) </m:t>
          </m:r>
          <m:r>
            <w:rPr>
              <w:rFonts w:ascii="Cambria Math" w:eastAsia="宋体" w:hAnsi="Cambria Math" w:hint="eastAsia"/>
              <w:szCs w:val="21"/>
            </w:rPr>
            <m:t>≤</m:t>
          </m:r>
          <m:r>
            <w:rPr>
              <w:rFonts w:ascii="Cambria Math" w:eastAsia="宋体" w:hAnsi="Cambria Math" w:hint="eastAsia"/>
              <w:szCs w:val="21"/>
            </w:rPr>
            <m:t xml:space="preserve"> R_t</m:t>
          </m:r>
          <m:r>
            <w:rPr>
              <w:rFonts w:ascii="Cambria Math" w:eastAsia="宋体" w:hAnsi="Cambria Math" w:cs="Cambria Math"/>
              <w:szCs w:val="21"/>
            </w:rPr>
            <m:t>h</m:t>
          </m:r>
          <m:r>
            <w:rPr>
              <w:rFonts w:ascii="Cambria Math" w:eastAsia="宋体" w:hAnsi="Cambria Math" w:hint="eastAsia"/>
              <w:szCs w:val="21"/>
            </w:rPr>
            <m:t>res</m:t>
          </m:r>
          <m:r>
            <w:rPr>
              <w:rFonts w:ascii="Cambria Math" w:eastAsia="宋体" w:hAnsi="Cambria Math" w:cs="Cambria Math"/>
              <w:szCs w:val="21"/>
            </w:rPr>
            <m:t>h</m:t>
          </m:r>
          <m:r>
            <w:rPr>
              <w:rFonts w:ascii="Cambria Math" w:eastAsia="宋体" w:hAnsi="Cambria Math" w:hint="eastAsia"/>
              <w:szCs w:val="21"/>
            </w:rPr>
            <m:t>old</m:t>
          </m:r>
        </m:oMath>
      </m:oMathPara>
    </w:p>
    <w:p w14:paraId="4A274EEE" w14:textId="7C42A81B" w:rsidR="00F068AF" w:rsidRPr="005B4EAD" w:rsidRDefault="005B4EAD" w:rsidP="00F068AF">
      <w:pPr>
        <w:rPr>
          <w:rFonts w:ascii="Cambria Math" w:eastAsia="宋体" w:hAnsi="Cambria Math"/>
          <w:szCs w:val="21"/>
          <w:oMath/>
        </w:rPr>
      </w:pPr>
      <m:oMathPara>
        <m:oMath>
          <m:r>
            <w:rPr>
              <w:rFonts w:ascii="Cambria Math" w:eastAsia="宋体" w:hAnsi="Cambria Math" w:hint="eastAsia"/>
              <w:szCs w:val="21"/>
            </w:rPr>
            <m:t xml:space="preserve">|F_old(x) </m:t>
          </m:r>
          <m:r>
            <w:rPr>
              <w:rFonts w:ascii="Cambria Math" w:eastAsia="宋体" w:hAnsi="Cambria Math" w:cs="Cambria Math"/>
              <w:szCs w:val="21"/>
            </w:rPr>
            <m:t>-</m:t>
          </m:r>
          <m:r>
            <w:rPr>
              <w:rFonts w:ascii="Cambria Math" w:eastAsia="宋体" w:hAnsi="Cambria Math" w:hint="eastAsia"/>
              <w:szCs w:val="21"/>
            </w:rPr>
            <m:t xml:space="preserve"> F_young(x)| </m:t>
          </m:r>
          <m:r>
            <w:rPr>
              <w:rFonts w:ascii="Cambria Math" w:eastAsia="宋体" w:hAnsi="Cambria Math" w:hint="eastAsia"/>
              <w:szCs w:val="21"/>
            </w:rPr>
            <m:t>≤</m:t>
          </m:r>
          <m:r>
            <w:rPr>
              <w:rFonts w:ascii="Cambria Math" w:eastAsia="宋体" w:hAnsi="Cambria Math" w:hint="eastAsia"/>
              <w:szCs w:val="21"/>
            </w:rPr>
            <m:t xml:space="preserve"> ε</m:t>
          </m:r>
        </m:oMath>
      </m:oMathPara>
    </w:p>
    <w:p w14:paraId="610BD32E"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其中，</w:t>
      </w:r>
      <w:r w:rsidRPr="007420A3">
        <w:rPr>
          <w:rFonts w:ascii="Times New Roman" w:eastAsia="宋体" w:hAnsi="Times New Roman" w:hint="eastAsia"/>
          <w:szCs w:val="21"/>
        </w:rPr>
        <w:t>F(x)</w:t>
      </w:r>
      <w:r w:rsidRPr="007420A3">
        <w:rPr>
          <w:rFonts w:ascii="Times New Roman" w:eastAsia="宋体" w:hAnsi="Times New Roman" w:hint="eastAsia"/>
          <w:szCs w:val="21"/>
        </w:rPr>
        <w:t>采用校准误差衡量推荐分布与真实需求分布的</w:t>
      </w:r>
      <w:r w:rsidRPr="007420A3">
        <w:rPr>
          <w:rFonts w:ascii="Times New Roman" w:eastAsia="宋体" w:hAnsi="Times New Roman" w:hint="eastAsia"/>
          <w:szCs w:val="21"/>
        </w:rPr>
        <w:t>KL</w:t>
      </w:r>
      <w:r w:rsidRPr="007420A3">
        <w:rPr>
          <w:rFonts w:ascii="Times New Roman" w:eastAsia="宋体" w:hAnsi="Times New Roman" w:hint="eastAsia"/>
          <w:szCs w:val="21"/>
        </w:rPr>
        <w:t>散度，强制算法不能过度集中推荐某一单一类目，确保推荐结果的多样性。</w:t>
      </w:r>
      <w:r w:rsidRPr="007420A3">
        <w:rPr>
          <w:rFonts w:ascii="Times New Roman" w:eastAsia="宋体" w:hAnsi="Times New Roman" w:hint="eastAsia"/>
          <w:szCs w:val="21"/>
        </w:rPr>
        <w:t>R(x)</w:t>
      </w:r>
      <w:r w:rsidRPr="007420A3">
        <w:rPr>
          <w:rFonts w:ascii="Times New Roman" w:eastAsia="宋体" w:hAnsi="Times New Roman" w:hint="eastAsia"/>
          <w:szCs w:val="21"/>
        </w:rPr>
        <w:t>代表误导性商品推荐的风险期望，通过对商品评论中的负面情感分析、历史投诉率及价格异常波动进行加权计算。约束条件强制要求老年群体与年轻群体在推荐多样性等公平性指标上的差异不得超过阈值ε，且风险期望必须低于安全阈值</w:t>
      </w:r>
      <w:proofErr w:type="spellStart"/>
      <w:r w:rsidRPr="007420A3">
        <w:rPr>
          <w:rFonts w:ascii="Times New Roman" w:eastAsia="宋体" w:hAnsi="Times New Roman" w:hint="eastAsia"/>
          <w:szCs w:val="21"/>
        </w:rPr>
        <w:t>R_threshold</w:t>
      </w:r>
      <w:proofErr w:type="spellEnd"/>
      <w:r w:rsidRPr="007420A3">
        <w:rPr>
          <w:rFonts w:ascii="Times New Roman" w:eastAsia="宋体" w:hAnsi="Times New Roman" w:hint="eastAsia"/>
          <w:szCs w:val="21"/>
        </w:rPr>
        <w:t>。通过拉格朗日乘子法求解该多目标优化问题，在保证平台基本商业收益的同时，从模型底层逻辑上阻断算法对老年人认知弱点的剥削。</w:t>
      </w:r>
    </w:p>
    <w:p w14:paraId="1DB179EF" w14:textId="001C2BDA"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3.3</w:t>
      </w:r>
      <w:r w:rsidR="00F068AF" w:rsidRPr="007420A3">
        <w:rPr>
          <w:rFonts w:ascii="Times New Roman" w:eastAsia="宋体" w:hAnsi="Times New Roman" w:hint="eastAsia"/>
          <w:b/>
          <w:bCs/>
        </w:rPr>
        <w:t>机制层纠偏：构建人机协同的可视化动态反馈与审计机制</w:t>
      </w:r>
    </w:p>
    <w:p w14:paraId="3C9F80B8"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由于算法本身无法完全理解人类道德与适老化需求，必须在交互闭环中引入外部修正机制，打破负向耦合。</w:t>
      </w:r>
    </w:p>
    <w:p w14:paraId="4E19E3D7"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第一，开发基于可视化技术</w:t>
      </w:r>
      <w:proofErr w:type="gramStart"/>
      <w:r w:rsidRPr="007420A3">
        <w:rPr>
          <w:rFonts w:ascii="Times New Roman" w:eastAsia="宋体" w:hAnsi="Times New Roman" w:hint="eastAsia"/>
          <w:szCs w:val="21"/>
        </w:rPr>
        <w:t>的适老反馈</w:t>
      </w:r>
      <w:proofErr w:type="gramEnd"/>
      <w:r w:rsidRPr="007420A3">
        <w:rPr>
          <w:rFonts w:ascii="Times New Roman" w:eastAsia="宋体" w:hAnsi="Times New Roman" w:hint="eastAsia"/>
          <w:szCs w:val="21"/>
        </w:rPr>
        <w:t>模块。针对老年用户不愿主动填写反馈或找不到反馈入口的问题，利用可视化技术设计简化的情感交互组件，如大尺寸的表情符号按钮、一键语音吐槽收集器等。系统将老年用户的</w:t>
      </w:r>
      <w:proofErr w:type="gramStart"/>
      <w:r w:rsidRPr="007420A3">
        <w:rPr>
          <w:rFonts w:ascii="Times New Roman" w:eastAsia="宋体" w:hAnsi="Times New Roman" w:hint="eastAsia"/>
          <w:szCs w:val="21"/>
        </w:rPr>
        <w:t>隐性不</w:t>
      </w:r>
      <w:proofErr w:type="gramEnd"/>
      <w:r w:rsidRPr="007420A3">
        <w:rPr>
          <w:rFonts w:ascii="Times New Roman" w:eastAsia="宋体" w:hAnsi="Times New Roman" w:hint="eastAsia"/>
          <w:szCs w:val="21"/>
        </w:rPr>
        <w:t>满意信号，如快速划过、页面停留但未点击、频繁退出等行为，通过边缘计算实时捕捉，并转化为强负反馈信号，强制中断贪心策略对劣质商品的推荐闭环。</w:t>
      </w:r>
    </w:p>
    <w:p w14:paraId="52469681"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第二，建立算法审计与人工干预机制。在电商后台设立银发经济推荐专区审计组，定期运用</w:t>
      </w:r>
      <w:r w:rsidRPr="007420A3">
        <w:rPr>
          <w:rFonts w:ascii="Times New Roman" w:eastAsia="宋体" w:hAnsi="Times New Roman" w:hint="eastAsia"/>
          <w:szCs w:val="21"/>
        </w:rPr>
        <w:t>A/B</w:t>
      </w:r>
      <w:r w:rsidRPr="007420A3">
        <w:rPr>
          <w:rFonts w:ascii="Times New Roman" w:eastAsia="宋体" w:hAnsi="Times New Roman" w:hint="eastAsia"/>
          <w:szCs w:val="21"/>
        </w:rPr>
        <w:t>测试对比新老算法在不同年龄段群体的推荐清单差异。针对被判定为高风险的商品类目，如医疗器械、保健品、金融理财等，设置算法推荐熔断机制，一旦触发风险阈值即由人工审核团队介入验证。同时，引入时间衰减因子，对长期未产生实质性复购的冲动型转化订单降低算法奖励权重，防止算法利用短期冲动掩盖长期满意度。</w:t>
      </w:r>
    </w:p>
    <w:p w14:paraId="7908C62D" w14:textId="0B2CDDE6" w:rsidR="00F068AF" w:rsidRPr="007420A3" w:rsidRDefault="007420A3" w:rsidP="007420A3">
      <w:pPr>
        <w:rPr>
          <w:rFonts w:ascii="Times New Roman" w:eastAsia="宋体" w:hAnsi="Times New Roman"/>
          <w:b/>
          <w:bCs/>
        </w:rPr>
      </w:pPr>
      <w:r w:rsidRPr="007420A3">
        <w:rPr>
          <w:rFonts w:ascii="Times New Roman" w:eastAsia="宋体" w:hAnsi="Times New Roman" w:hint="eastAsia"/>
          <w:b/>
          <w:bCs/>
        </w:rPr>
        <w:t>3.4</w:t>
      </w:r>
      <w:r w:rsidR="00F068AF" w:rsidRPr="007420A3">
        <w:rPr>
          <w:rFonts w:ascii="Times New Roman" w:eastAsia="宋体" w:hAnsi="Times New Roman" w:hint="eastAsia"/>
          <w:b/>
          <w:bCs/>
        </w:rPr>
        <w:t>业务层纠偏：银发经济专属的可解释性推荐与信任重塑</w:t>
      </w:r>
    </w:p>
    <w:p w14:paraId="60A79B17"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算法偏差的最终表现是信任缺失。老年消费者更倾向于基于信任做出购买决策，因此需要将推荐过程</w:t>
      </w:r>
      <w:proofErr w:type="gramStart"/>
      <w:r w:rsidRPr="007420A3">
        <w:rPr>
          <w:rFonts w:ascii="Times New Roman" w:eastAsia="宋体" w:hAnsi="Times New Roman" w:hint="eastAsia"/>
          <w:szCs w:val="21"/>
        </w:rPr>
        <w:t>白盒化</w:t>
      </w:r>
      <w:proofErr w:type="gramEnd"/>
      <w:r w:rsidRPr="007420A3">
        <w:rPr>
          <w:rFonts w:ascii="Times New Roman" w:eastAsia="宋体" w:hAnsi="Times New Roman" w:hint="eastAsia"/>
          <w:szCs w:val="21"/>
        </w:rPr>
        <w:t>，实现业务逻辑的升维。</w:t>
      </w:r>
    </w:p>
    <w:p w14:paraId="18F5AD2E" w14:textId="77777777" w:rsidR="00F068AF" w:rsidRPr="007420A3" w:rsidRDefault="00F068AF" w:rsidP="00F068AF">
      <w:pPr>
        <w:rPr>
          <w:rFonts w:ascii="Times New Roman" w:eastAsia="宋体" w:hAnsi="Times New Roman"/>
          <w:szCs w:val="21"/>
        </w:rPr>
      </w:pPr>
      <w:r w:rsidRPr="007420A3">
        <w:rPr>
          <w:rFonts w:ascii="Times New Roman" w:eastAsia="宋体" w:hAnsi="Times New Roman" w:hint="eastAsia"/>
          <w:szCs w:val="21"/>
        </w:rPr>
        <w:t>在推荐展示层面，实施强可解释性推荐策略[10]。不仅展示商品本身，还需利用自然语言生成技术，结合可视化界面，向老年用户清晰呈现推荐逻辑。例如，在推荐页面明确标注推荐理由：因为您上周浏览了血压计，这款辅助食品经认证适合血压偏高人群。通过透明化、可解释的推荐逻辑，抵消算法黑盒带来的认知不安全感，帮助老年人建立正确的消费决策链路。同时，平台应建立银发优品认证体系，将商品质量与算法推荐权重解绑，真正实现从流量剥削向价值赋能的银发经济新范式转变。</w:t>
      </w:r>
    </w:p>
    <w:p w14:paraId="24017FCD" w14:textId="213A275E" w:rsidR="00F068AF" w:rsidRPr="007420A3" w:rsidRDefault="007420A3" w:rsidP="007420A3">
      <w:pPr>
        <w:rPr>
          <w:rFonts w:ascii="Times New Roman" w:eastAsia="宋体" w:hAnsi="Times New Roman"/>
          <w:b/>
          <w:bCs/>
          <w:sz w:val="28"/>
          <w:szCs w:val="28"/>
        </w:rPr>
      </w:pPr>
      <w:r w:rsidRPr="007420A3">
        <w:rPr>
          <w:rFonts w:ascii="Times New Roman" w:eastAsia="宋体" w:hAnsi="Times New Roman" w:hint="eastAsia"/>
          <w:b/>
          <w:bCs/>
          <w:sz w:val="28"/>
          <w:szCs w:val="28"/>
        </w:rPr>
        <w:t>4</w:t>
      </w:r>
      <w:r w:rsidR="00F068AF" w:rsidRPr="007420A3">
        <w:rPr>
          <w:rFonts w:ascii="Times New Roman" w:eastAsia="宋体" w:hAnsi="Times New Roman" w:hint="eastAsia"/>
          <w:b/>
          <w:bCs/>
          <w:sz w:val="28"/>
          <w:szCs w:val="28"/>
        </w:rPr>
        <w:t>结论</w:t>
      </w:r>
    </w:p>
    <w:p w14:paraId="689096E3" w14:textId="77777777" w:rsidR="00F068AF" w:rsidRPr="007420A3" w:rsidRDefault="00F068AF" w:rsidP="00FA33E1">
      <w:pPr>
        <w:ind w:firstLineChars="200" w:firstLine="420"/>
        <w:rPr>
          <w:rFonts w:ascii="Times New Roman" w:eastAsia="宋体" w:hAnsi="Times New Roman"/>
          <w:szCs w:val="21"/>
        </w:rPr>
      </w:pPr>
      <w:r w:rsidRPr="007420A3">
        <w:rPr>
          <w:rFonts w:ascii="Times New Roman" w:eastAsia="宋体" w:hAnsi="Times New Roman" w:hint="eastAsia"/>
          <w:szCs w:val="21"/>
        </w:rPr>
        <w:t>在银发经济蓬勃发展的大背景下，电子商务推荐系统的算法偏差已成为阻碍老年群体享受数字红利的隐形壁垒。本文摒弃了界面</w:t>
      </w:r>
      <w:proofErr w:type="gramStart"/>
      <w:r w:rsidRPr="007420A3">
        <w:rPr>
          <w:rFonts w:ascii="Times New Roman" w:eastAsia="宋体" w:hAnsi="Times New Roman" w:hint="eastAsia"/>
          <w:szCs w:val="21"/>
        </w:rPr>
        <w:t>适</w:t>
      </w:r>
      <w:proofErr w:type="gramEnd"/>
      <w:r w:rsidRPr="007420A3">
        <w:rPr>
          <w:rFonts w:ascii="Times New Roman" w:eastAsia="宋体" w:hAnsi="Times New Roman" w:hint="eastAsia"/>
          <w:szCs w:val="21"/>
        </w:rPr>
        <w:t>老化的表层探讨，直击推荐算法的底层逻辑，系统揭示了数据稀疏、单一效用目标及贪心交互闭环引发算法偏差的深层机理。研究指出，仅靠前端优化无法根除算法剥削，必须从数据增广、多目标鲁棒优化重构、可视化动态反馈及可解释性机制等维度进行系统性纠偏。本文提出的对策兼顾了算法严谨性与社会伦理价值，不仅为电商平台</w:t>
      </w:r>
      <w:proofErr w:type="gramStart"/>
      <w:r w:rsidRPr="007420A3">
        <w:rPr>
          <w:rFonts w:ascii="Times New Roman" w:eastAsia="宋体" w:hAnsi="Times New Roman" w:hint="eastAsia"/>
          <w:szCs w:val="21"/>
        </w:rPr>
        <w:t>适</w:t>
      </w:r>
      <w:proofErr w:type="gramEnd"/>
      <w:r w:rsidRPr="007420A3">
        <w:rPr>
          <w:rFonts w:ascii="Times New Roman" w:eastAsia="宋体" w:hAnsi="Times New Roman" w:hint="eastAsia"/>
          <w:szCs w:val="21"/>
        </w:rPr>
        <w:t>老化改造提供了可落地的技术路径，也为构建包容、公平、安全的数字消费生态提供了重要的理论支撑。未来，随着人工智能技术</w:t>
      </w:r>
      <w:proofErr w:type="gramStart"/>
      <w:r w:rsidRPr="007420A3">
        <w:rPr>
          <w:rFonts w:ascii="Times New Roman" w:eastAsia="宋体" w:hAnsi="Times New Roman" w:hint="eastAsia"/>
          <w:szCs w:val="21"/>
        </w:rPr>
        <w:t>向具身</w:t>
      </w:r>
      <w:proofErr w:type="gramEnd"/>
      <w:r w:rsidRPr="007420A3">
        <w:rPr>
          <w:rFonts w:ascii="Times New Roman" w:eastAsia="宋体" w:hAnsi="Times New Roman" w:hint="eastAsia"/>
          <w:szCs w:val="21"/>
        </w:rPr>
        <w:t>智能等方向演进，</w:t>
      </w:r>
      <w:proofErr w:type="gramStart"/>
      <w:r w:rsidRPr="007420A3">
        <w:rPr>
          <w:rFonts w:ascii="Times New Roman" w:eastAsia="宋体" w:hAnsi="Times New Roman" w:hint="eastAsia"/>
          <w:szCs w:val="21"/>
        </w:rPr>
        <w:t>如何将适老化</w:t>
      </w:r>
      <w:proofErr w:type="gramEnd"/>
      <w:r w:rsidRPr="007420A3">
        <w:rPr>
          <w:rFonts w:ascii="Times New Roman" w:eastAsia="宋体" w:hAnsi="Times New Roman" w:hint="eastAsia"/>
          <w:szCs w:val="21"/>
        </w:rPr>
        <w:t>理念更深层次地嵌入智能</w:t>
      </w:r>
      <w:proofErr w:type="gramStart"/>
      <w:r w:rsidRPr="007420A3">
        <w:rPr>
          <w:rFonts w:ascii="Times New Roman" w:eastAsia="宋体" w:hAnsi="Times New Roman" w:hint="eastAsia"/>
          <w:szCs w:val="21"/>
        </w:rPr>
        <w:t>体决策</w:t>
      </w:r>
      <w:proofErr w:type="gramEnd"/>
      <w:r w:rsidRPr="007420A3">
        <w:rPr>
          <w:rFonts w:ascii="Times New Roman" w:eastAsia="宋体" w:hAnsi="Times New Roman" w:hint="eastAsia"/>
          <w:szCs w:val="21"/>
        </w:rPr>
        <w:t>的底层架构，仍是需要持续深耕的重要课题。</w:t>
      </w:r>
    </w:p>
    <w:p w14:paraId="079F8869" w14:textId="77777777" w:rsidR="007420A3" w:rsidRPr="007420A3" w:rsidRDefault="007420A3" w:rsidP="00FA33E1">
      <w:pPr>
        <w:ind w:firstLineChars="200" w:firstLine="420"/>
        <w:rPr>
          <w:rFonts w:ascii="Times New Roman" w:eastAsia="宋体" w:hAnsi="Times New Roman"/>
          <w:szCs w:val="21"/>
        </w:rPr>
      </w:pPr>
    </w:p>
    <w:p w14:paraId="0DF9843E" w14:textId="0E40E569" w:rsidR="00F068AF" w:rsidRPr="007420A3" w:rsidRDefault="00F068AF" w:rsidP="00F068AF">
      <w:pPr>
        <w:rPr>
          <w:rFonts w:ascii="Times New Roman" w:eastAsia="宋体" w:hAnsi="Times New Roman"/>
          <w:b/>
          <w:bCs/>
          <w:sz w:val="18"/>
          <w:szCs w:val="18"/>
        </w:rPr>
      </w:pPr>
      <w:r w:rsidRPr="007420A3">
        <w:rPr>
          <w:rFonts w:ascii="Times New Roman" w:eastAsia="宋体" w:hAnsi="Times New Roman" w:hint="eastAsia"/>
          <w:b/>
          <w:bCs/>
          <w:sz w:val="18"/>
          <w:szCs w:val="18"/>
        </w:rPr>
        <w:lastRenderedPageBreak/>
        <w:t>参考文献</w:t>
      </w:r>
      <w:r w:rsidR="007420A3" w:rsidRPr="007420A3">
        <w:rPr>
          <w:rFonts w:ascii="Times New Roman" w:eastAsia="宋体" w:hAnsi="Times New Roman" w:hint="eastAsia"/>
          <w:b/>
          <w:bCs/>
          <w:sz w:val="18"/>
          <w:szCs w:val="18"/>
        </w:rPr>
        <w:t>：</w:t>
      </w:r>
    </w:p>
    <w:p w14:paraId="38530914"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[1] </w:t>
      </w:r>
      <w:r w:rsidRPr="007420A3">
        <w:rPr>
          <w:rFonts w:ascii="Times New Roman" w:eastAsia="宋体" w:hAnsi="Times New Roman" w:hint="eastAsia"/>
          <w:sz w:val="18"/>
          <w:szCs w:val="18"/>
        </w:rPr>
        <w:t>国家统计局</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第七次全国人口普查公报</w:t>
      </w:r>
      <w:r w:rsidRPr="007420A3">
        <w:rPr>
          <w:rFonts w:ascii="Times New Roman" w:eastAsia="宋体" w:hAnsi="Times New Roman" w:hint="eastAsia"/>
          <w:sz w:val="18"/>
          <w:szCs w:val="18"/>
        </w:rPr>
        <w:t>[EB/OL]. http://www.stats.gov.cn/, 2021.</w:t>
      </w:r>
    </w:p>
    <w:p w14:paraId="649013D6"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[2] </w:t>
      </w:r>
      <w:r w:rsidRPr="007420A3">
        <w:rPr>
          <w:rFonts w:ascii="Times New Roman" w:eastAsia="宋体" w:hAnsi="Times New Roman" w:hint="eastAsia"/>
          <w:sz w:val="18"/>
          <w:szCs w:val="18"/>
        </w:rPr>
        <w:t>中国互联网络信息中心</w:t>
      </w:r>
      <w:r w:rsidRPr="007420A3">
        <w:rPr>
          <w:rFonts w:ascii="Times New Roman" w:eastAsia="宋体" w:hAnsi="Times New Roman" w:hint="eastAsia"/>
          <w:sz w:val="18"/>
          <w:szCs w:val="18"/>
        </w:rPr>
        <w:t xml:space="preserve">(CNNIC). </w:t>
      </w:r>
      <w:r w:rsidRPr="007420A3">
        <w:rPr>
          <w:rFonts w:ascii="Times New Roman" w:eastAsia="宋体" w:hAnsi="Times New Roman" w:hint="eastAsia"/>
          <w:sz w:val="18"/>
          <w:szCs w:val="18"/>
        </w:rPr>
        <w:t>第</w:t>
      </w:r>
      <w:r w:rsidRPr="007420A3">
        <w:rPr>
          <w:rFonts w:ascii="Times New Roman" w:eastAsia="宋体" w:hAnsi="Times New Roman" w:hint="eastAsia"/>
          <w:sz w:val="18"/>
          <w:szCs w:val="18"/>
        </w:rPr>
        <w:t>52</w:t>
      </w:r>
      <w:r w:rsidRPr="007420A3">
        <w:rPr>
          <w:rFonts w:ascii="Times New Roman" w:eastAsia="宋体" w:hAnsi="Times New Roman" w:hint="eastAsia"/>
          <w:sz w:val="18"/>
          <w:szCs w:val="18"/>
        </w:rPr>
        <w:t>次中国互联网络发展状况统计报告</w:t>
      </w:r>
      <w:r w:rsidRPr="007420A3">
        <w:rPr>
          <w:rFonts w:ascii="Times New Roman" w:eastAsia="宋体" w:hAnsi="Times New Roman" w:hint="eastAsia"/>
          <w:sz w:val="18"/>
          <w:szCs w:val="18"/>
        </w:rPr>
        <w:t xml:space="preserve">[R]. </w:t>
      </w:r>
      <w:r w:rsidRPr="007420A3">
        <w:rPr>
          <w:rFonts w:ascii="Times New Roman" w:eastAsia="宋体" w:hAnsi="Times New Roman" w:hint="eastAsia"/>
          <w:sz w:val="18"/>
          <w:szCs w:val="18"/>
        </w:rPr>
        <w:t>北京</w:t>
      </w:r>
      <w:r w:rsidRPr="007420A3">
        <w:rPr>
          <w:rFonts w:ascii="Times New Roman" w:eastAsia="宋体" w:hAnsi="Times New Roman" w:hint="eastAsia"/>
          <w:sz w:val="18"/>
          <w:szCs w:val="18"/>
        </w:rPr>
        <w:t>: CNNIC, 2023.</w:t>
      </w:r>
    </w:p>
    <w:p w14:paraId="0655F534"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[3] </w:t>
      </w:r>
      <w:r w:rsidRPr="007420A3">
        <w:rPr>
          <w:rFonts w:ascii="Times New Roman" w:eastAsia="宋体" w:hAnsi="Times New Roman" w:hint="eastAsia"/>
          <w:sz w:val="18"/>
          <w:szCs w:val="18"/>
        </w:rPr>
        <w:t>陈晓宇</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李明</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电子商务推荐系统中基于公平性约束的多目标优化模型</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系统管理学报</w:t>
      </w:r>
      <w:r w:rsidRPr="007420A3">
        <w:rPr>
          <w:rFonts w:ascii="Times New Roman" w:eastAsia="宋体" w:hAnsi="Times New Roman" w:hint="eastAsia"/>
          <w:sz w:val="18"/>
          <w:szCs w:val="18"/>
        </w:rPr>
        <w:t>, 2022, 31(5): 982-991.</w:t>
      </w:r>
    </w:p>
    <w:p w14:paraId="2AAC740E"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[4] </w:t>
      </w:r>
      <w:r w:rsidRPr="007420A3">
        <w:rPr>
          <w:rFonts w:ascii="Times New Roman" w:eastAsia="宋体" w:hAnsi="Times New Roman" w:hint="eastAsia"/>
          <w:sz w:val="18"/>
          <w:szCs w:val="18"/>
        </w:rPr>
        <w:t>张伟</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王芳</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银发经济背景下算法歧视的机理剖析与治理路径</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管理世界</w:t>
      </w:r>
      <w:r w:rsidRPr="007420A3">
        <w:rPr>
          <w:rFonts w:ascii="Times New Roman" w:eastAsia="宋体" w:hAnsi="Times New Roman" w:hint="eastAsia"/>
          <w:sz w:val="18"/>
          <w:szCs w:val="18"/>
        </w:rPr>
        <w:t>, 2023, 39(2): 112-125.</w:t>
      </w:r>
    </w:p>
    <w:p w14:paraId="34ECFE59"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[5] </w:t>
      </w:r>
      <w:r w:rsidRPr="007420A3">
        <w:rPr>
          <w:rFonts w:ascii="Times New Roman" w:eastAsia="宋体" w:hAnsi="Times New Roman" w:hint="eastAsia"/>
          <w:sz w:val="18"/>
          <w:szCs w:val="18"/>
        </w:rPr>
        <w:t>刘洋</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联邦学习在跨域推荐系统中的应用与隐私保护研究</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计算机学报</w:t>
      </w:r>
      <w:r w:rsidRPr="007420A3">
        <w:rPr>
          <w:rFonts w:ascii="Times New Roman" w:eastAsia="宋体" w:hAnsi="Times New Roman" w:hint="eastAsia"/>
          <w:sz w:val="18"/>
          <w:szCs w:val="18"/>
        </w:rPr>
        <w:t>, 2021, 44(7): 1456-1468.</w:t>
      </w:r>
    </w:p>
    <w:p w14:paraId="02E67E31"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[6] Ekstrand M D, et al. All the Cool Kids, How Do They Fit </w:t>
      </w:r>
      <w:proofErr w:type="gramStart"/>
      <w:r w:rsidRPr="007420A3">
        <w:rPr>
          <w:rFonts w:ascii="Times New Roman" w:eastAsia="宋体" w:hAnsi="Times New Roman" w:hint="eastAsia"/>
          <w:sz w:val="18"/>
          <w:szCs w:val="18"/>
        </w:rPr>
        <w:t>In?:</w:t>
      </w:r>
      <w:proofErr w:type="gramEnd"/>
      <w:r w:rsidRPr="007420A3">
        <w:rPr>
          <w:rFonts w:ascii="Times New Roman" w:eastAsia="宋体" w:hAnsi="Times New Roman" w:hint="eastAsia"/>
          <w:sz w:val="18"/>
          <w:szCs w:val="18"/>
        </w:rPr>
        <w:t xml:space="preserve"> Popularity and Demographic Biases in Recommender Evaluation and Effectiveness. Proceedings of the Conference on Fairness, Accountability, and Transparency, 2018: 172-181.</w:t>
      </w:r>
    </w:p>
    <w:p w14:paraId="5F83D9D1"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[7] </w:t>
      </w:r>
      <w:r w:rsidRPr="007420A3">
        <w:rPr>
          <w:rFonts w:ascii="Times New Roman" w:eastAsia="宋体" w:hAnsi="Times New Roman" w:hint="eastAsia"/>
          <w:sz w:val="18"/>
          <w:szCs w:val="18"/>
        </w:rPr>
        <w:t>赵晓慧</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基于图神经网络的跨域兴趣迁移推荐算法研究</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软件学报</w:t>
      </w:r>
      <w:r w:rsidRPr="007420A3">
        <w:rPr>
          <w:rFonts w:ascii="Times New Roman" w:eastAsia="宋体" w:hAnsi="Times New Roman" w:hint="eastAsia"/>
          <w:sz w:val="18"/>
          <w:szCs w:val="18"/>
        </w:rPr>
        <w:t>, 2022, 33(10): 3850-3865.</w:t>
      </w:r>
    </w:p>
    <w:p w14:paraId="604813B9"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[8] </w:t>
      </w:r>
      <w:r w:rsidRPr="007420A3">
        <w:rPr>
          <w:rFonts w:ascii="Times New Roman" w:eastAsia="宋体" w:hAnsi="Times New Roman" w:hint="eastAsia"/>
          <w:sz w:val="18"/>
          <w:szCs w:val="18"/>
        </w:rPr>
        <w:t>孙建国</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周宁</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数据要素视角下老年人</w:t>
      </w:r>
      <w:proofErr w:type="gramStart"/>
      <w:r w:rsidRPr="007420A3">
        <w:rPr>
          <w:rFonts w:ascii="Times New Roman" w:eastAsia="宋体" w:hAnsi="Times New Roman" w:hint="eastAsia"/>
          <w:sz w:val="18"/>
          <w:szCs w:val="18"/>
        </w:rPr>
        <w:t>信息茧房的</w:t>
      </w:r>
      <w:proofErr w:type="gramEnd"/>
      <w:r w:rsidRPr="007420A3">
        <w:rPr>
          <w:rFonts w:ascii="Times New Roman" w:eastAsia="宋体" w:hAnsi="Times New Roman" w:hint="eastAsia"/>
          <w:sz w:val="18"/>
          <w:szCs w:val="18"/>
        </w:rPr>
        <w:t>破壁机制研究</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情报科学</w:t>
      </w:r>
      <w:r w:rsidRPr="007420A3">
        <w:rPr>
          <w:rFonts w:ascii="Times New Roman" w:eastAsia="宋体" w:hAnsi="Times New Roman" w:hint="eastAsia"/>
          <w:sz w:val="18"/>
          <w:szCs w:val="18"/>
        </w:rPr>
        <w:t>, 2023, 41(8): 45-52.</w:t>
      </w:r>
    </w:p>
    <w:p w14:paraId="48298729" w14:textId="77777777" w:rsidR="00F068AF"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[9] </w:t>
      </w:r>
      <w:r w:rsidRPr="007420A3">
        <w:rPr>
          <w:rFonts w:ascii="Times New Roman" w:eastAsia="宋体" w:hAnsi="Times New Roman" w:hint="eastAsia"/>
          <w:sz w:val="18"/>
          <w:szCs w:val="18"/>
        </w:rPr>
        <w:t>李强</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王磊</w:t>
      </w:r>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强化学习在动态推荐系统中的贪心策略与偏差修正</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控制与决策</w:t>
      </w:r>
      <w:r w:rsidRPr="007420A3">
        <w:rPr>
          <w:rFonts w:ascii="Times New Roman" w:eastAsia="宋体" w:hAnsi="Times New Roman" w:hint="eastAsia"/>
          <w:sz w:val="18"/>
          <w:szCs w:val="18"/>
        </w:rPr>
        <w:t>, 2022, 37(4): 891-899.</w:t>
      </w:r>
    </w:p>
    <w:p w14:paraId="251B20C4" w14:textId="68C533FF" w:rsidR="004754B6" w:rsidRPr="007420A3" w:rsidRDefault="00F068AF" w:rsidP="00F068AF">
      <w:pPr>
        <w:rPr>
          <w:rFonts w:ascii="Times New Roman" w:eastAsia="宋体" w:hAnsi="Times New Roman"/>
          <w:sz w:val="18"/>
          <w:szCs w:val="18"/>
        </w:rPr>
      </w:pPr>
      <w:r w:rsidRPr="007420A3">
        <w:rPr>
          <w:rFonts w:ascii="Times New Roman" w:eastAsia="宋体" w:hAnsi="Times New Roman" w:hint="eastAsia"/>
          <w:sz w:val="18"/>
          <w:szCs w:val="18"/>
        </w:rPr>
        <w:t xml:space="preserve">[10] </w:t>
      </w:r>
      <w:proofErr w:type="gramStart"/>
      <w:r w:rsidRPr="007420A3">
        <w:rPr>
          <w:rFonts w:ascii="Times New Roman" w:eastAsia="宋体" w:hAnsi="Times New Roman" w:hint="eastAsia"/>
          <w:sz w:val="18"/>
          <w:szCs w:val="18"/>
        </w:rPr>
        <w:t>周晓涵</w:t>
      </w:r>
      <w:proofErr w:type="gramEnd"/>
      <w:r w:rsidRPr="007420A3">
        <w:rPr>
          <w:rFonts w:ascii="Times New Roman" w:eastAsia="宋体" w:hAnsi="Times New Roman" w:hint="eastAsia"/>
          <w:sz w:val="18"/>
          <w:szCs w:val="18"/>
        </w:rPr>
        <w:t xml:space="preserve">. </w:t>
      </w:r>
      <w:r w:rsidRPr="007420A3">
        <w:rPr>
          <w:rFonts w:ascii="Times New Roman" w:eastAsia="宋体" w:hAnsi="Times New Roman" w:hint="eastAsia"/>
          <w:sz w:val="18"/>
          <w:szCs w:val="18"/>
        </w:rPr>
        <w:t>电子商务中可解释性推荐框架的构建与评估</w:t>
      </w:r>
      <w:r w:rsidRPr="007420A3">
        <w:rPr>
          <w:rFonts w:ascii="Times New Roman" w:eastAsia="宋体" w:hAnsi="Times New Roman" w:hint="eastAsia"/>
          <w:sz w:val="18"/>
          <w:szCs w:val="18"/>
        </w:rPr>
        <w:t xml:space="preserve">[J]. </w:t>
      </w:r>
      <w:r w:rsidRPr="007420A3">
        <w:rPr>
          <w:rFonts w:ascii="Times New Roman" w:eastAsia="宋体" w:hAnsi="Times New Roman" w:hint="eastAsia"/>
          <w:sz w:val="18"/>
          <w:szCs w:val="18"/>
        </w:rPr>
        <w:t>管理科学学报</w:t>
      </w:r>
      <w:r w:rsidRPr="007420A3">
        <w:rPr>
          <w:rFonts w:ascii="Times New Roman" w:eastAsia="宋体" w:hAnsi="Times New Roman" w:hint="eastAsia"/>
          <w:sz w:val="18"/>
          <w:szCs w:val="18"/>
        </w:rPr>
        <w:t>, 2023, 26(1): 55-68.</w:t>
      </w:r>
    </w:p>
    <w:sectPr w:rsidR="004754B6" w:rsidRPr="007420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14"/>
    <w:rsid w:val="0003143B"/>
    <w:rsid w:val="00074FC6"/>
    <w:rsid w:val="003413E5"/>
    <w:rsid w:val="004754B6"/>
    <w:rsid w:val="00537AC5"/>
    <w:rsid w:val="005B4EAD"/>
    <w:rsid w:val="007420A3"/>
    <w:rsid w:val="007A764E"/>
    <w:rsid w:val="00854F26"/>
    <w:rsid w:val="00C44614"/>
    <w:rsid w:val="00C74B2B"/>
    <w:rsid w:val="00F068AF"/>
    <w:rsid w:val="00FA3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4AC01"/>
  <w15:chartTrackingRefBased/>
  <w15:docId w15:val="{9EB88EE4-5A63-4B7E-9BD1-2B841A6A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46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46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446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46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46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446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46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46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46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6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446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446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4614"/>
    <w:rPr>
      <w:rFonts w:cstheme="majorBidi"/>
      <w:color w:val="0F4761" w:themeColor="accent1" w:themeShade="BF"/>
      <w:sz w:val="28"/>
      <w:szCs w:val="28"/>
    </w:rPr>
  </w:style>
  <w:style w:type="character" w:customStyle="1" w:styleId="50">
    <w:name w:val="标题 5 字符"/>
    <w:basedOn w:val="a0"/>
    <w:link w:val="5"/>
    <w:uiPriority w:val="9"/>
    <w:semiHidden/>
    <w:rsid w:val="00C44614"/>
    <w:rPr>
      <w:rFonts w:cstheme="majorBidi"/>
      <w:color w:val="0F4761" w:themeColor="accent1" w:themeShade="BF"/>
      <w:sz w:val="24"/>
      <w:szCs w:val="24"/>
    </w:rPr>
  </w:style>
  <w:style w:type="character" w:customStyle="1" w:styleId="60">
    <w:name w:val="标题 6 字符"/>
    <w:basedOn w:val="a0"/>
    <w:link w:val="6"/>
    <w:uiPriority w:val="9"/>
    <w:semiHidden/>
    <w:rsid w:val="00C44614"/>
    <w:rPr>
      <w:rFonts w:cstheme="majorBidi"/>
      <w:b/>
      <w:bCs/>
      <w:color w:val="0F4761" w:themeColor="accent1" w:themeShade="BF"/>
    </w:rPr>
  </w:style>
  <w:style w:type="character" w:customStyle="1" w:styleId="70">
    <w:name w:val="标题 7 字符"/>
    <w:basedOn w:val="a0"/>
    <w:link w:val="7"/>
    <w:uiPriority w:val="9"/>
    <w:semiHidden/>
    <w:rsid w:val="00C44614"/>
    <w:rPr>
      <w:rFonts w:cstheme="majorBidi"/>
      <w:b/>
      <w:bCs/>
      <w:color w:val="595959" w:themeColor="text1" w:themeTint="A6"/>
    </w:rPr>
  </w:style>
  <w:style w:type="character" w:customStyle="1" w:styleId="80">
    <w:name w:val="标题 8 字符"/>
    <w:basedOn w:val="a0"/>
    <w:link w:val="8"/>
    <w:uiPriority w:val="9"/>
    <w:semiHidden/>
    <w:rsid w:val="00C44614"/>
    <w:rPr>
      <w:rFonts w:cstheme="majorBidi"/>
      <w:color w:val="595959" w:themeColor="text1" w:themeTint="A6"/>
    </w:rPr>
  </w:style>
  <w:style w:type="character" w:customStyle="1" w:styleId="90">
    <w:name w:val="标题 9 字符"/>
    <w:basedOn w:val="a0"/>
    <w:link w:val="9"/>
    <w:uiPriority w:val="9"/>
    <w:semiHidden/>
    <w:rsid w:val="00C44614"/>
    <w:rPr>
      <w:rFonts w:eastAsiaTheme="majorEastAsia" w:cstheme="majorBidi"/>
      <w:color w:val="595959" w:themeColor="text1" w:themeTint="A6"/>
    </w:rPr>
  </w:style>
  <w:style w:type="paragraph" w:styleId="a3">
    <w:name w:val="Title"/>
    <w:basedOn w:val="a"/>
    <w:next w:val="a"/>
    <w:link w:val="a4"/>
    <w:uiPriority w:val="10"/>
    <w:qFormat/>
    <w:rsid w:val="00C446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46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6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46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4614"/>
    <w:pPr>
      <w:spacing w:before="160" w:after="160"/>
      <w:jc w:val="center"/>
    </w:pPr>
    <w:rPr>
      <w:i/>
      <w:iCs/>
      <w:color w:val="404040" w:themeColor="text1" w:themeTint="BF"/>
    </w:rPr>
  </w:style>
  <w:style w:type="character" w:customStyle="1" w:styleId="a8">
    <w:name w:val="引用 字符"/>
    <w:basedOn w:val="a0"/>
    <w:link w:val="a7"/>
    <w:uiPriority w:val="29"/>
    <w:rsid w:val="00C44614"/>
    <w:rPr>
      <w:i/>
      <w:iCs/>
      <w:color w:val="404040" w:themeColor="text1" w:themeTint="BF"/>
    </w:rPr>
  </w:style>
  <w:style w:type="paragraph" w:styleId="a9">
    <w:name w:val="List Paragraph"/>
    <w:basedOn w:val="a"/>
    <w:uiPriority w:val="34"/>
    <w:qFormat/>
    <w:rsid w:val="00C44614"/>
    <w:pPr>
      <w:ind w:left="720"/>
      <w:contextualSpacing/>
    </w:pPr>
  </w:style>
  <w:style w:type="character" w:styleId="aa">
    <w:name w:val="Intense Emphasis"/>
    <w:basedOn w:val="a0"/>
    <w:uiPriority w:val="21"/>
    <w:qFormat/>
    <w:rsid w:val="00C44614"/>
    <w:rPr>
      <w:i/>
      <w:iCs/>
      <w:color w:val="0F4761" w:themeColor="accent1" w:themeShade="BF"/>
    </w:rPr>
  </w:style>
  <w:style w:type="paragraph" w:styleId="ab">
    <w:name w:val="Intense Quote"/>
    <w:basedOn w:val="a"/>
    <w:next w:val="a"/>
    <w:link w:val="ac"/>
    <w:uiPriority w:val="30"/>
    <w:qFormat/>
    <w:rsid w:val="00C44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4614"/>
    <w:rPr>
      <w:i/>
      <w:iCs/>
      <w:color w:val="0F4761" w:themeColor="accent1" w:themeShade="BF"/>
    </w:rPr>
  </w:style>
  <w:style w:type="character" w:styleId="ad">
    <w:name w:val="Intense Reference"/>
    <w:basedOn w:val="a0"/>
    <w:uiPriority w:val="32"/>
    <w:qFormat/>
    <w:rsid w:val="00C44614"/>
    <w:rPr>
      <w:b/>
      <w:bCs/>
      <w:smallCaps/>
      <w:color w:val="0F4761" w:themeColor="accent1" w:themeShade="BF"/>
      <w:spacing w:val="5"/>
    </w:rPr>
  </w:style>
  <w:style w:type="table" w:styleId="ae">
    <w:name w:val="Table Grid"/>
    <w:basedOn w:val="a1"/>
    <w:uiPriority w:val="39"/>
    <w:rsid w:val="00F06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腾斌 苏</dc:creator>
  <cp:keywords/>
  <dc:description/>
  <cp:lastModifiedBy>腾斌 苏</cp:lastModifiedBy>
  <cp:revision>4</cp:revision>
  <dcterms:created xsi:type="dcterms:W3CDTF">2026-05-10T06:15:00Z</dcterms:created>
  <dcterms:modified xsi:type="dcterms:W3CDTF">2026-05-10T07:25:00Z</dcterms:modified>
</cp:coreProperties>
</file>