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Linked List Mark Scheme Enquiry</w:t>
      </w:r>
    </w:p>
    <w:p>
      <w:r>
        <w:t>Jiazhou Wu | Cambridge International Computer Science 9618/23 | May/June 2026</w:t>
      </w:r>
    </w:p>
    <w:p>
      <w:pPr>
        <w:pStyle w:val="Heading1"/>
      </w:pPr>
      <w:r>
        <w:t>Status</w:t>
      </w:r>
    </w:p>
    <w:p>
      <w:r>
        <w:t>Technical clarification remains in progress. Cambridge has referred the query to its Subject Support team for review with an Assessment Manager. No accepted correction or change of marks is claimed.</w:t>
      </w:r>
    </w:p>
    <w:p>
      <w:pPr>
        <w:pStyle w:val="Heading1"/>
      </w:pPr>
      <w:r>
        <w:t>The question</w:t>
      </w:r>
    </w:p>
    <w:p>
      <w:r>
        <w:t>Question 6(c)(ii) asks about special cases when deleting a data item from a linked list. My response identified deletion of the last node. The published mark scheme supplied with the correspondence lists the item not being in the list, the item being the only item, and the item being first; it does not list the last-node case.</w:t>
      </w:r>
    </w:p>
    <w:p>
      <w:pPr>
        <w:pStyle w:val="Heading1"/>
      </w:pPr>
      <w:r>
        <w:t>Investigation and action</w:t>
      </w:r>
    </w:p>
    <w:p>
      <w:r>
        <w:t>I compared the published mark scheme with university teaching materials, including Boston University CS112 and Stanford CS106B linked-list resources. I worked with my school exam officer to request technical clarification on whether this alternative should be accepted. The school correspondence explicitly distinguishes the technical query from an Enquiry About Results submission.</w:t>
      </w:r>
    </w:p>
    <w:p>
      <w:pPr>
        <w:pStyle w:val="Heading1"/>
      </w:pPr>
      <w:r>
        <w:t>Correspondence record</w:t>
      </w:r>
    </w:p>
    <w:p>
      <w:r>
        <w:t>The exam officer sent the query on 17 August 2026. Cambridge replied on 18 August that Subject Support was reviewing it with an Assessment Manager. That reply was forwarded to me on 4 September. The query is still in progress as of 6 September 2026.</w:t>
      </w:r>
    </w:p>
    <w:p>
      <w:pPr>
        <w:pStyle w:val="Heading1"/>
      </w:pPr>
      <w:r>
        <w:t>Supporting material</w:t>
      </w:r>
    </w:p>
    <w:p>
      <w:r>
        <w:t>Published 9618/23 May/June 2026 mark scheme, page 10; the supporting reasoning document attached to the correspondence; university linked-list teaching material cited in that document. The correspondence also raises a separate null-pointer wording query in Question 6(b).</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