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7bf21c34d3f0b4416943d0d29c6492f5295ea4"/>
    <w:p>
      <w:pPr>
        <w:pStyle w:val="Heading1"/>
      </w:pPr>
      <w:r>
        <w:t xml:space="preserve">DKO Paper Review — Comprehensive Feedback Checklist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“When Does Conformer Geometry Help? Complementarity of 3D Ensemble Statistics and 2D Fingerprints for Molecular Property Prediction”</w:t>
      </w:r>
    </w:p>
    <w:p>
      <w:r>
        <w:pict>
          <v:rect style="width:0;height:1.5pt" o:hralign="center" o:hrstd="t" o:hr="t"/>
        </w:pict>
      </w:r>
    </w:p>
    <w:bookmarkStart w:id="14" w:name="part-1-content-writing"/>
    <w:p>
      <w:pPr>
        <w:pStyle w:val="Heading2"/>
      </w:pPr>
      <w:r>
        <w:t xml:space="preserve">Part 1: Content &amp; Writing</w:t>
      </w:r>
    </w:p>
    <w:bookmarkStart w:id="9" w:name="critical-errors"/>
    <w:p>
      <w:pPr>
        <w:pStyle w:val="Heading3"/>
      </w:pPr>
      <w:r>
        <w:t xml:space="preserve">Critical Errors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SCC decision rule is contradicted by your own data.</w:t>
      </w:r>
      <w:r>
        <w:t xml:space="preserve"> </w:t>
      </w:r>
      <w:r>
        <w:t xml:space="preserve">The Discussion claims</w:t>
      </w:r>
      <w:r>
        <w:t xml:space="preserve"> </w:t>
      </w:r>
      <w:r>
        <w:t xml:space="preserve">“datasets with median SCC &gt; 25 are more likely to benefit from conformer features.”</w:t>
      </w:r>
      <w:r>
        <w:t xml:space="preserve"> </w:t>
      </w:r>
      <w:r>
        <w:t xml:space="preserve">But Table 7 shows FreeSolv has median SCC =</w:t>
      </w:r>
      <w:r>
        <w:t xml:space="preserve"> </w:t>
      </w:r>
      <w:r>
        <w:rPr>
          <w:b/>
          <w:bCs/>
        </w:rPr>
        <w:t xml:space="preserve">0.01</w:t>
      </w:r>
      <w:r>
        <w:t xml:space="preserve">, yet Table 3 shows FreeSolv improves by</w:t>
      </w:r>
      <w:r>
        <w:t xml:space="preserve"> </w:t>
      </w:r>
      <w:r>
        <w:rPr>
          <w:b/>
          <w:bCs/>
        </w:rPr>
        <w:t xml:space="preserve">−3.9%</w:t>
      </w:r>
      <w:r>
        <w:t xml:space="preserve"> </w:t>
      </w:r>
      <w:r>
        <w:t xml:space="preserve">in the hybrid. This directly contradicts the SCC &gt; 25 rule. The resolution is that FreeSolv’s improvement comes from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(first-order), not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(second-order) — Table 3 shows FP+μ already captures most of the gain (2.939 → 2.831) while FP+Σ actually hurts (2.939 → 3.119). But this critical distinction between</w:t>
      </w:r>
      <w:r>
        <w:t xml:space="preserve"> </w:t>
      </w:r>
      <w:r>
        <w:t xml:space="preserve">“when do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conformer features help”</w:t>
      </w:r>
      <w:r>
        <w:t xml:space="preserve"> </w:t>
      </w:r>
      <w:r>
        <w:t xml:space="preserve">vs. </w:t>
      </w:r>
      <w:r>
        <w:t xml:space="preserve">“when do</w:t>
      </w:r>
      <w:r>
        <w:t xml:space="preserve"> </w:t>
      </w:r>
      <w:r>
        <w:rPr>
          <w:i/>
          <w:iCs/>
        </w:rPr>
        <w:t xml:space="preserve">covariance</w:t>
      </w:r>
      <w:r>
        <w:t xml:space="preserve"> </w:t>
      </w:r>
      <w:r>
        <w:t xml:space="preserve">features help”</w:t>
      </w:r>
      <w:r>
        <w:t xml:space="preserve"> </w:t>
      </w:r>
      <w:r>
        <w:t xml:space="preserve">is never made explicit. The SCC rule as stated is wrong or at best misleading.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BACE appears out of nowhere in Section 4.8.</w:t>
      </w:r>
      <w:r>
        <w:t xml:space="preserve"> </w:t>
      </w:r>
      <w:r>
        <w:t xml:space="preserve">“effective rank at 90% ranging from 353 (QM9) to 685 (BACE)”</w:t>
      </w:r>
      <w:r>
        <w:t xml:space="preserve"> </w:t>
      </w:r>
      <w:r>
        <w:t xml:space="preserve">— BACE is never introduced in Section 4.1 (Datasets) and is never mentioned elsewhere in the paper. This is either an error (wrong dataset name) or a missing dataset description.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Table 7 contains a non-numeric value.</w:t>
      </w:r>
      <w:r>
        <w:t xml:space="preserve"> </w:t>
      </w:r>
      <w:r>
        <w:t xml:space="preserve">FreeSolv’s</w:t>
      </w:r>
      <w:r>
        <w:t xml:space="preserve"> </w:t>
      </w:r>
      <w:r>
        <w:t xml:space="preserve">“Max”</w:t>
      </w:r>
      <w:r>
        <w:t xml:space="preserve"> </w:t>
      </w:r>
      <w:r>
        <w:t xml:space="preserve">column reads</w:t>
      </w:r>
      <w:r>
        <w:t xml:space="preserve"> </w:t>
      </w:r>
      <w:r>
        <w:rPr>
          <w:b/>
          <w:bCs/>
        </w:rPr>
        <w:t xml:space="preserve">“low”</w:t>
      </w:r>
      <w:r>
        <w:t xml:space="preserve"> </w:t>
      </w:r>
      <w:r>
        <w:t xml:space="preserve">instead of a number. This is clearly a placeholder/bug that was never fixed before submission. This alone could get the paper desk-rejected.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Feature encoding is critically underspecified (Section 3.1).</w:t>
      </w:r>
      <w:r>
        <w:t xml:space="preserve"> </w:t>
      </w:r>
      <w:r>
        <w:t xml:space="preserve">“feature vector x_i ∈ ℝ^D encoding interatomic distances, angles, and torsions (D = 1024 for real datasets)”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are distances, angles, and torsions encoded into a 1024-dimensional vector? Are these all pairwise distances? Selected atom pairs? Binned histograms? How are they ordered for molecules of different sizes? This is a core methodological detail that is completely missing. A reviewer cannot reproduce the method without it.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“dko_separate_nets”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described.</w:t>
      </w:r>
      <w:r>
        <w:t xml:space="preserve"> </w:t>
      </w:r>
      <w:r>
        <w:t xml:space="preserve">It appears in Table 1 (ranking last at 13th) and Table 6 but is never defined in Section 3.3 (DKO Variants) or anywhere in the text. Similarly,</w:t>
      </w:r>
      <w:r>
        <w:t xml:space="preserve"> </w:t>
      </w:r>
      <w:r>
        <w:t xml:space="preserve">“single_conformer”</w:t>
      </w:r>
      <w:r>
        <w:t xml:space="preserve"> </w:t>
      </w:r>
      <w:r>
        <w:t xml:space="preserve">and</w:t>
      </w:r>
      <w:r>
        <w:t xml:space="preserve"> </w:t>
      </w:r>
      <w:r>
        <w:t xml:space="preserve">“deepsets”</w:t>
      </w:r>
      <w:r>
        <w:t xml:space="preserve"> </w:t>
      </w:r>
      <w:r>
        <w:t xml:space="preserve">appear in Table 6 without any description.</w:t>
      </w:r>
    </w:p>
    <w:bookmarkEnd w:id="9"/>
    <w:bookmarkStart w:id="10" w:name="undefined-terms-acronyms"/>
    <w:p>
      <w:pPr>
        <w:pStyle w:val="Heading3"/>
      </w:pPr>
      <w:r>
        <w:t xml:space="preserve">Undefined Terms / Acronyms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“n.s.”</w:t>
      </w:r>
      <w:r>
        <w:t xml:space="preserve"> </w:t>
      </w:r>
      <w:r>
        <w:t xml:space="preserve">in Table 4 — presumably</w:t>
      </w:r>
      <w:r>
        <w:t xml:space="preserve"> </w:t>
      </w:r>
      <w:r>
        <w:t xml:space="preserve">“not significant”</w:t>
      </w:r>
      <w:r>
        <w:t xml:space="preserve"> </w:t>
      </w:r>
      <w:r>
        <w:t xml:space="preserve">but never defined. Spell out on first use or add a table footnote.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“−”</w:t>
      </w:r>
      <w:r>
        <w:t xml:space="preserve"> </w:t>
      </w:r>
      <w:r>
        <w:t xml:space="preserve">in Table 3’s Δ row — ambiguous. Does this mean</w:t>
      </w:r>
      <w:r>
        <w:t xml:space="preserve"> </w:t>
      </w:r>
      <w:r>
        <w:t xml:space="preserve">“no improvement,”</w:t>
      </w:r>
      <w:r>
        <w:t xml:space="preserve"> </w:t>
      </w:r>
      <w:r>
        <w:t xml:space="preserve">“not computed,”</w:t>
      </w:r>
      <w:r>
        <w:t xml:space="preserve"> </w:t>
      </w:r>
      <w:r>
        <w:t xml:space="preserve">or</w:t>
      </w:r>
      <w:r>
        <w:t xml:space="preserve"> </w:t>
      </w:r>
      <w:r>
        <w:t xml:space="preserve">“not applicable”</w:t>
      </w:r>
      <w:r>
        <w:t xml:space="preserve">? Must be defined in the caption.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|ρ|</w:t>
      </w:r>
      <w:r>
        <w:t xml:space="preserve"> </w:t>
      </w:r>
      <w:r>
        <w:t xml:space="preserve">in abstract and Section 4.6 — is this Spearman or Pearson? The abstract says</w:t>
      </w:r>
      <w:r>
        <w:t xml:space="preserve"> </w:t>
      </w:r>
      <w:r>
        <w:t xml:space="preserve">“feature–target |ρ| = 0.044”</w:t>
      </w:r>
      <w:r>
        <w:t xml:space="preserve"> </w:t>
      </w:r>
      <w:r>
        <w:t xml:space="preserve">but uses the same symbol ρ that typically denotes Spearman. Section 4.7 later uses</w:t>
      </w:r>
      <w:r>
        <w:t xml:space="preserve"> </w:t>
      </w:r>
      <w:r>
        <w:t xml:space="preserve">“|r|”</w:t>
      </w:r>
      <w:r>
        <w:t xml:space="preserve"> </w:t>
      </w:r>
      <w:r>
        <w:t xml:space="preserve">for Pearson. Be consistent and explicit.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SCC name is misleading.</w:t>
      </w:r>
      <w:r>
        <w:t xml:space="preserve"> </w:t>
      </w:r>
      <w:r>
        <w:t xml:space="preserve">“Structural Change Coefficient”</w:t>
      </w:r>
      <w:r>
        <w:t xml:space="preserve"> </w:t>
      </w:r>
      <w:r>
        <w:t xml:space="preserve">implies measuring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structure, but Equation 4 shows it’s just tr(Σ) = total variance across conformer features. It measures conformer</w:t>
      </w:r>
      <w:r>
        <w:t xml:space="preserve"> </w:t>
      </w:r>
      <w:r>
        <w:rPr>
          <w:i/>
          <w:iCs/>
        </w:rPr>
        <w:t xml:space="preserve">diversity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variation</w:t>
      </w:r>
      <w:r>
        <w:t xml:space="preserve">, not</w:t>
      </w:r>
      <w:r>
        <w:t xml:space="preserve"> </w:t>
      </w:r>
      <w:r>
        <w:rPr>
          <w:i/>
          <w:iCs/>
        </w:rPr>
        <w:t xml:space="preserve">change</w:t>
      </w:r>
      <w:r>
        <w:t xml:space="preserve">. The name will confuse readers who associate</w:t>
      </w:r>
      <w:r>
        <w:t xml:space="preserve"> </w:t>
      </w:r>
      <w:r>
        <w:t xml:space="preserve">“structural change”</w:t>
      </w:r>
      <w:r>
        <w:t xml:space="preserve"> </w:t>
      </w:r>
      <w:r>
        <w:t xml:space="preserve">with temporal or causal processes.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ETKDG</w:t>
      </w:r>
      <w:r>
        <w:t xml:space="preserve"> </w:t>
      </w:r>
      <w:r>
        <w:t xml:space="preserve">(Section 3.1) — never spelled out (Experimental Torsion-angle preference with Knowledge and Distance Geometry).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MMFF94</w:t>
      </w:r>
      <w:r>
        <w:t xml:space="preserve"> </w:t>
      </w:r>
      <w:r>
        <w:t xml:space="preserve">(Section 3.1) — never spelled out (Merck Molecular Force Field 94).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PMI, SASA, USR</w:t>
      </w:r>
      <w:r>
        <w:t xml:space="preserve"> </w:t>
      </w:r>
      <w:r>
        <w:t xml:space="preserve">— introduced in the abstract as</w:t>
      </w:r>
      <w:r>
        <w:t xml:space="preserve"> </w:t>
      </w:r>
      <w:r>
        <w:t xml:space="preserve">“(PMI, SASA, USR)”</w:t>
      </w:r>
      <w:r>
        <w:t xml:space="preserve"> </w:t>
      </w:r>
      <w:r>
        <w:t xml:space="preserve">but only SASA and USR are defined in Section 3.4. PMI is never spelled out (Principal Moments of Inertia).</w:t>
      </w:r>
    </w:p>
    <w:bookmarkEnd w:id="10"/>
    <w:bookmarkStart w:id="11" w:name="logical-argumentative-gaps"/>
    <w:p>
      <w:pPr>
        <w:pStyle w:val="Heading3"/>
      </w:pPr>
      <w:r>
        <w:t xml:space="preserve">Logical / Argumentative Gaps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SCC is not scale-invariant.</w:t>
      </w:r>
      <w:r>
        <w:t xml:space="preserve"> </w:t>
      </w:r>
      <w:r>
        <w:t xml:space="preserve">tr(Σ) depends entirely on the units of the features in x_i. If distances are in Angstroms and angles in radians, the trace mixes incomparable scales. Normalizing features would change SCC values entirely. The</w:t>
      </w:r>
      <w:r>
        <w:t xml:space="preserve"> </w:t>
      </w:r>
      <w:r>
        <w:t xml:space="preserve">“SCC &gt; 25”</w:t>
      </w:r>
      <w:r>
        <w:t xml:space="preserve"> </w:t>
      </w:r>
      <w:r>
        <w:t xml:space="preserve">threshold is therefore arbitrary and non-transferable to other feature encodings. This fundamental limitation is never discussed.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“700+ experiments”</w:t>
      </w:r>
      <w:r>
        <w:rPr>
          <w:b/>
          <w:bCs/>
        </w:rPr>
        <w:t xml:space="preserve"> </w:t>
      </w:r>
      <w:r>
        <w:rPr>
          <w:b/>
          <w:bCs/>
        </w:rPr>
        <w:t xml:space="preserve">claim is marketing.</w:t>
      </w:r>
      <w:r>
        <w:t xml:space="preserve"> </w:t>
      </w:r>
      <w:r>
        <w:t xml:space="preserve">13 models × 4–8 datasets × 3–10 seeds easily produces 700+ runs. This framing inflates the perceived scope. Consider dropping this or replacing with a more precise description of the experimental matrix.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BDE failure is over-interpreted.</w:t>
      </w:r>
      <w:r>
        <w:t xml:space="preserve"> </w:t>
      </w:r>
      <w:r>
        <w:t xml:space="preserve">Section 4.6 and Discussion claim conformer geometry is</w:t>
      </w:r>
      <w:r>
        <w:t xml:space="preserve"> </w:t>
      </w:r>
      <w:r>
        <w:t xml:space="preserve">“fundamentally uninformative for bond-breaking energetics”</w:t>
      </w:r>
      <w:r>
        <w:t xml:space="preserve"> </w:t>
      </w:r>
      <w:r>
        <w:t xml:space="preserve">based on |ρ| = 0.044. But |ρ| measures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correlation only. There could be nonlinear relationships that linear correlation cannot detect. Soften to</w:t>
      </w:r>
      <w:r>
        <w:t xml:space="preserve"> </w:t>
      </w:r>
      <w:r>
        <w:t xml:space="preserve">“linearly uncorrelated”</w:t>
      </w:r>
      <w:r>
        <w:t xml:space="preserve"> </w:t>
      </w:r>
      <w:r>
        <w:t xml:space="preserve">or use mutual information to support the stronger claim.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claim that simple invariants beat complex representations (Section 4.8) lacks rigorous explanation.</w:t>
      </w:r>
      <w:r>
        <w:t xml:space="preserve"> </w:t>
      </w:r>
      <w:r>
        <w:t xml:space="preserve">The argument is: top-10 eigenvalues capture 4–8% of variance → PCA loses information → scalar invariants are better. But this doesn’t follow. If information is spread across many dimensions,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dimensions should help, not fewer. The real reason scalar invariants win is likely regularization / overfitting on small datasets, not information content. This should be discussed.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Classification failure is buried in Limitations.</w:t>
      </w:r>
      <w:r>
        <w:t xml:space="preserve"> </w:t>
      </w:r>
      <w:r>
        <w:t xml:space="preserve">“Classification tasks (BACE, BBBP) showed degenerate behavior for DKO variants”</w:t>
      </w:r>
      <w:r>
        <w:t xml:space="preserve"> </w:t>
      </w:r>
      <w:r>
        <w:t xml:space="preserve">— if the method fails entirely on classification, this is a major scope limitation that should be stated prominently (e.g., in the Introduction when scoping the contributions), not hidden in the final paragraph.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No train/val/test split details.</w:t>
      </w:r>
      <w:r>
        <w:t xml:space="preserve"> </w:t>
      </w:r>
      <w:r>
        <w:t xml:space="preserve">Section 4.1 describes datasets but never specifies how data is split. Are scaffold splits used? Random splits? This is critical for molecular property prediction — random splits are known to inflate performance via memorization of similar molecules.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“Cholesky-like factorization”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3.2)</w:t>
      </w:r>
      <w:r>
        <w:t xml:space="preserve"> </w:t>
      </w:r>
      <w:r>
        <w:t xml:space="preserve">is imprecise. K = LL⊤ with L ∈ ℝ^{k×D} and k = 64 &lt; D = 1024 is a low-rank PSD parameterization, not a Cholesky factorization (which produces lower-triangular L with k = D). Calling it</w:t>
      </w:r>
      <w:r>
        <w:t xml:space="preserve"> </w:t>
      </w:r>
      <w:r>
        <w:t xml:space="preserve">“Cholesky-like”</w:t>
      </w:r>
      <w:r>
        <w:t xml:space="preserve"> </w:t>
      </w:r>
      <w:r>
        <w:t xml:space="preserve">is misleading. Call it what it is: a low-rank kernel parameterization.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Why n = 50 conformers?</w:t>
      </w:r>
      <w:r>
        <w:t xml:space="preserve"> </w:t>
      </w:r>
      <w:r>
        <w:t xml:space="preserve">Section 3.1 states this without justification. Is this enough for conformational diversity? Does performance change with n = 10, 100, 200? This is a critical hyperparameter that is never ablated.</w:t>
      </w:r>
    </w:p>
    <w:bookmarkEnd w:id="11"/>
    <w:bookmarkStart w:id="12" w:name="writing-quality-issues"/>
    <w:p>
      <w:pPr>
        <w:pStyle w:val="Heading3"/>
      </w:pPr>
      <w:r>
        <w:t xml:space="preserve">Writing Quality Issues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Abstract is overloaded.</w:t>
      </w:r>
      <w:r>
        <w:t xml:space="preserve"> </w:t>
      </w:r>
      <w:r>
        <w:t xml:space="preserve">At ~200 words, it tries to cover: the benchmark finding (FP wins), the complementarity result, the taxonomy, the mechanistic analysis, AND the SCC metric. For a 6-page paper, focus on 2–3 key points. The abstract reads like a compressed version of the entire paper rather than a hook.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“5-scalar covariance invariants”</w:t>
      </w:r>
      <w:r>
        <w:rPr>
          <w:b/>
          <w:bCs/>
        </w:rPr>
        <w:t xml:space="preserve"> </w:t>
      </w:r>
      <w:r>
        <w:rPr>
          <w:b/>
          <w:bCs/>
        </w:rPr>
        <w:t xml:space="preserve">in abstract is jargon.</w:t>
      </w:r>
      <w:r>
        <w:t xml:space="preserve"> </w:t>
      </w:r>
      <w:r>
        <w:t xml:space="preserve">A reader unfamiliar with the paper has no idea what this means. Rephrase:</w:t>
      </w:r>
      <w:r>
        <w:t xml:space="preserve"> </w:t>
      </w:r>
      <w:r>
        <w:t xml:space="preserve">“five simple summary statistics of the covariance matrix.”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Section 4.4 title</w:t>
      </w:r>
      <w:r>
        <w:rPr>
          <w:b/>
          <w:bCs/>
        </w:rPr>
        <w:t xml:space="preserve"> </w:t>
      </w:r>
      <w:r>
        <w:rPr>
          <w:b/>
          <w:bCs/>
        </w:rPr>
        <w:t xml:space="preserve">“The Key Result”</w:t>
      </w:r>
      <w:r>
        <w:rPr>
          <w:b/>
          <w:bCs/>
        </w:rPr>
        <w:t xml:space="preserve"> </w:t>
      </w:r>
      <w:r>
        <w:rPr>
          <w:b/>
          <w:bCs/>
        </w:rPr>
        <w:t xml:space="preserve">is editorializing.</w:t>
      </w:r>
      <w:r>
        <w:t xml:space="preserve"> </w:t>
      </w:r>
      <w:r>
        <w:t xml:space="preserve">Let the reader decide what’s key. Use a descriptive title like</w:t>
      </w:r>
      <w:r>
        <w:t xml:space="preserve"> </w:t>
      </w:r>
      <w:r>
        <w:t xml:space="preserve">“Hybrid FP + Conformer Complementarity.”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Contribution (5) is inflated.</w:t>
      </w:r>
      <w:r>
        <w:t xml:space="preserve"> </w:t>
      </w:r>
      <w:r>
        <w:t xml:space="preserve">“Empirical decision rule: The SCC metric can provide a priori guidance”</w:t>
      </w:r>
      <w:r>
        <w:t xml:space="preserve"> </w:t>
      </w:r>
      <w:r>
        <w:t xml:space="preserve">— this is one observation (threshold &gt; 25), not a contribution on par with the framework or benchmark. It’s also undermined by the FreeSolv contradiction (see Critical Errors). Consider merging into contribution (3) or (4).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Inconsistent dataset naming.</w:t>
      </w:r>
      <w:r>
        <w:t xml:space="preserve"> </w:t>
      </w:r>
      <w:r>
        <w:t xml:space="preserve">The paper uses</w:t>
      </w:r>
      <w:r>
        <w:t xml:space="preserve"> </w:t>
      </w:r>
      <w:r>
        <w:t xml:space="preserve">“Lipo”</w:t>
      </w:r>
      <w:r>
        <w:t xml:space="preserve"> </w:t>
      </w:r>
      <w:r>
        <w:t xml:space="preserve">(Tables 1, 4) and</w:t>
      </w:r>
      <w:r>
        <w:t xml:space="preserve"> </w:t>
      </w:r>
      <w:r>
        <w:t xml:space="preserve">“Lipophilicity”</w:t>
      </w:r>
      <w:r>
        <w:t xml:space="preserve"> </w:t>
      </w:r>
      <w:r>
        <w:t xml:space="preserve">(Section 4.1, Table 3, Discussion) interchangeably. Pick one.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The Discussion is well-structured</w:t>
      </w:r>
      <w:r>
        <w:t xml:space="preserve"> </w:t>
      </w:r>
      <w:r>
        <w:t xml:space="preserve">with italicized topic sentences (taxonomy, simplicity principle, practical implications) but the</w:t>
      </w:r>
      <w:r>
        <w:t xml:space="preserve"> </w:t>
      </w:r>
      <w:r>
        <w:t xml:space="preserve">“Why attention beats DKO on Kraken but not ESOL”</w:t>
      </w:r>
      <w:r>
        <w:t xml:space="preserve"> </w:t>
      </w:r>
      <w:r>
        <w:t xml:space="preserve">subsection feels wedged in. It breaks the taxonomy flow. Move it earlier or integrate it.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Conclusion and Limitations section conflates two things.</w:t>
      </w:r>
      <w:r>
        <w:t xml:space="preserve"> </w:t>
      </w:r>
      <w:r>
        <w:t xml:space="preserve">Separate them: have a brief Conclusion paragraph, then a Limitations paragraph. Currently the transition from</w:t>
      </w:r>
      <w:r>
        <w:t xml:space="preserve"> </w:t>
      </w:r>
      <w:r>
        <w:t xml:space="preserve">“our central finding is complementarity”</w:t>
      </w:r>
      <w:r>
        <w:t xml:space="preserve"> </w:t>
      </w:r>
      <w:r>
        <w:t xml:space="preserve">to</w:t>
      </w:r>
      <w:r>
        <w:t xml:space="preserve"> </w:t>
      </w:r>
      <w:r>
        <w:t xml:space="preserve">“Our conformer features are derived from RDKit ETKDG conformers…”</w:t>
      </w:r>
      <w:r>
        <w:t xml:space="preserve"> </w:t>
      </w:r>
      <w:r>
        <w:t xml:space="preserve">is abrupt.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15 references is unusually low</w:t>
      </w:r>
      <w:r>
        <w:t xml:space="preserve"> </w:t>
      </w:r>
      <w:r>
        <w:t xml:space="preserve">for a paper claiming a</w:t>
      </w:r>
      <w:r>
        <w:t xml:space="preserve"> </w:t>
      </w:r>
      <w:r>
        <w:t xml:space="preserve">“comprehensive benchmark.”</w:t>
      </w:r>
      <w:r>
        <w:t xml:space="preserve"> </w:t>
      </w:r>
      <w:r>
        <w:t xml:space="preserve">Missing obvious citations: SchNet, DimeNet/DimeNet++, PaiNN (all mentioned in Limitations but never cited), SphereNet, GemNet, TorchMD-NET, Uni-Mol. The Related Work section needs significant expansion.</w:t>
      </w:r>
    </w:p>
    <w:bookmarkEnd w:id="12"/>
    <w:bookmarkStart w:id="13" w:name="minor-writing-nits"/>
    <w:p>
      <w:pPr>
        <w:pStyle w:val="Heading3"/>
      </w:pPr>
      <w:r>
        <w:t xml:space="preserve">Minor Writing Nits</w:t>
      </w:r>
    </w:p>
    <w:p>
      <w:pPr>
        <w:pStyle w:val="Compact"/>
        <w:numPr>
          <w:ilvl w:val="0"/>
          <w:numId w:val="1029"/>
        </w:numPr>
      </w:pPr>
      <w:r>
        <w:t xml:space="preserve">Abstract:</w:t>
      </w:r>
      <w:r>
        <w:t xml:space="preserve"> </w:t>
      </w:r>
      <w:r>
        <w:t xml:space="preserve">“ESOL −9.9% RMSE”</w:t>
      </w:r>
      <w:r>
        <w:t xml:space="preserve"> </w:t>
      </w:r>
      <w:r>
        <w:t xml:space="preserve">is ambiguous — reads as</w:t>
      </w:r>
      <w:r>
        <w:t xml:space="preserve"> </w:t>
      </w:r>
      <w:r>
        <w:t xml:space="preserve">“RMSE of negative 9.9 percent.”</w:t>
      </w:r>
      <w:r>
        <w:t xml:space="preserve"> </w:t>
      </w:r>
      <w:r>
        <w:t xml:space="preserve">Rephrase to</w:t>
      </w:r>
      <w:r>
        <w:t xml:space="preserve"> </w:t>
      </w:r>
      <w:r>
        <w:t xml:space="preserve">“9.9% RMSE reduction on ESOL.”</w:t>
      </w:r>
    </w:p>
    <w:p>
      <w:pPr>
        <w:pStyle w:val="Compact"/>
        <w:numPr>
          <w:ilvl w:val="0"/>
          <w:numId w:val="1030"/>
        </w:numPr>
      </w:pPr>
      <w:r>
        <w:t xml:space="preserve">Section 3.4:</w:t>
      </w:r>
      <w:r>
        <w:t xml:space="preserve"> </w:t>
      </w:r>
      <w:r>
        <w:t xml:space="preserve">“28 property-relevant 3D descriptors”</w:t>
      </w:r>
      <w:r>
        <w:t xml:space="preserve"> </w:t>
      </w:r>
      <w:r>
        <w:t xml:space="preserve">— but the individual counts in each category don’t visibly add to 28. Provide per-category counts (e.g.,</w:t>
      </w:r>
      <w:r>
        <w:t xml:space="preserve"> </w:t>
      </w:r>
      <w:r>
        <w:t xml:space="preserve">“6 shape, 5 surface, 12 USR, 5 global”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Section 4.2:</w:t>
      </w:r>
      <w:r>
        <w:t xml:space="preserve"> </w:t>
      </w:r>
      <w:r>
        <w:t xml:space="preserve">“The original DKO with PCA-compressed covariance ranks 12th”</w:t>
      </w:r>
      <w:r>
        <w:t xml:space="preserve"> </w:t>
      </w:r>
      <w:r>
        <w:t xml:space="preserve">— burying the fact that your base method performs poorly is not ideal. Address it head-on:</w:t>
      </w:r>
      <w:r>
        <w:t xml:space="preserve"> </w:t>
      </w:r>
      <w:r>
        <w:t xml:space="preserve">“The original DKO ranks 12th, motivating our eigendecomposition variants.”</w:t>
      </w:r>
    </w:p>
    <w:p>
      <w:pPr>
        <w:pStyle w:val="Compact"/>
        <w:numPr>
          <w:ilvl w:val="0"/>
          <w:numId w:val="1032"/>
        </w:numPr>
      </w:pPr>
      <w:r>
        <w:t xml:space="preserve">Section 4.6:</w:t>
      </w:r>
      <w:r>
        <w:t xml:space="preserve"> </w:t>
      </w:r>
      <w:r>
        <w:t xml:space="preserve">“a 6.7× gap”</w:t>
      </w:r>
      <w:r>
        <w:t xml:space="preserve"> </w:t>
      </w:r>
      <w:r>
        <w:t xml:space="preserve">— gap in what metric? RMSE? R²? Unclear.</w:t>
      </w:r>
    </w:p>
    <w:p>
      <w:pPr>
        <w:pStyle w:val="Compact"/>
        <w:numPr>
          <w:ilvl w:val="0"/>
          <w:numId w:val="1033"/>
        </w:numPr>
      </w:pPr>
      <w:r>
        <w:t xml:space="preserve">The 5 scalar invariants (trace, log-determinant, Frobenius norm, top eigenvalue ratio, spectral ratio) — note that some are mathematically redundant. Frobenius norm² = Σλ_i², trace = Σλ_i. These aren’t independent. Briefly acknowledge this.</w:t>
      </w:r>
    </w:p>
    <w:p>
      <w:pPr>
        <w:pStyle w:val="Compact"/>
        <w:numPr>
          <w:ilvl w:val="0"/>
          <w:numId w:val="1034"/>
        </w:numPr>
      </w:pPr>
      <w:r>
        <w:t xml:space="preserve">“QM9-Gap/HOMO/LUMO”</w:t>
      </w:r>
      <w:r>
        <w:t xml:space="preserve"> </w:t>
      </w:r>
      <w:r>
        <w:t xml:space="preserve">— never clarified whether these are HOMO, LUMO, and HOMO-LUMO gap, or something else. Define once.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art-2-figures-formatting"/>
    <w:p>
      <w:pPr>
        <w:pStyle w:val="Heading2"/>
      </w:pPr>
      <w:r>
        <w:t xml:space="preserve">Part 2: Figures &amp; Formatting</w:t>
      </w:r>
    </w:p>
    <w:bookmarkStart w:id="15" w:name="critical-issue-no-figures-at-all"/>
    <w:p>
      <w:pPr>
        <w:pStyle w:val="Heading3"/>
      </w:pPr>
      <w:r>
        <w:t xml:space="preserve">Critical Issue: No Figures At All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The paper contains zero figures.</w:t>
      </w:r>
      <w:r>
        <w:t xml:space="preserve"> </w:t>
      </w:r>
      <w:r>
        <w:t xml:space="preserve">This is a major weakness. For a paper asking</w:t>
      </w:r>
      <w:r>
        <w:t xml:space="preserve"> </w:t>
      </w:r>
      <w:r>
        <w:t xml:space="preserve">“when does conformer geometry help?”</w:t>
      </w:r>
      <w:r>
        <w:t xml:space="preserve">, visual communication is essential. At minimum, add: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(1) A DKO architecture diagram</w:t>
      </w:r>
      <w:r>
        <w:t xml:space="preserve"> </w:t>
      </w:r>
      <w:r>
        <w:t xml:space="preserve">showing the pipeline: conformers → features → μ/Σ → kernel → branch prediction → fusion. Without this, the method is hard to visualize.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(2) A performance comparison plot</w:t>
      </w:r>
      <w:r>
        <w:t xml:space="preserve"> </w:t>
      </w:r>
      <w:r>
        <w:t xml:space="preserve">(e.g., grouped bar chart or radar plot) showing FP-only vs. hybrid across datasets. This would make the complementarity finding immediately visible instead of requiring readers to parse Table 3.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(3) A property taxonomy visual</w:t>
      </w:r>
      <w:r>
        <w:t xml:space="preserve"> </w:t>
      </w:r>
      <w:r>
        <w:t xml:space="preserve">— a simple 2×2 or categorized diagram showing which property types benefit from conformer geometry. This is the paper’s most actionable contribution and deserves a figure.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(4) An SCC vs. improvement scatter plot</w:t>
      </w:r>
      <w:r>
        <w:t xml:space="preserve"> </w:t>
      </w:r>
      <w:r>
        <w:t xml:space="preserve">showing the relationship between conformer diversity and hybrid improvement across datasets. This would make the SCC decision rule tangible (or expose its weakness).</w:t>
      </w:r>
    </w:p>
    <w:bookmarkEnd w:id="15"/>
    <w:bookmarkStart w:id="16" w:name="table-issues"/>
    <w:p>
      <w:pPr>
        <w:pStyle w:val="Heading3"/>
      </w:pPr>
      <w:r>
        <w:t xml:space="preserve">Table Issues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Table 1 uses only 3 seeds.</w:t>
      </w:r>
      <w:r>
        <w:t xml:space="preserve"> </w:t>
      </w:r>
      <w:r>
        <w:t xml:space="preserve">For 13 models compared by average rank, 3 seeds provides very low statistical power to distinguish ranks. The mean±std format is appropriate but the standard deviations show that many models have overlapping confidence intervals (e.g., dko_gated 1.635±0.023 vs. dko_router 1.670±0.023 on ESOL). State explicitly when rank differences are/aren’t significant.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Table 2 bold formatting is inconsistent.</w:t>
      </w:r>
      <w:r>
        <w:t xml:space="preserve"> </w:t>
      </w:r>
      <w:r>
        <w:t xml:space="preserve">FP+XGB values are bolded in all rows, even though the point is that FP beats neural methods. Bold the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value in each row, or bold neither and let the Gap column speak.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Table 3’s Δ row has</w:t>
      </w:r>
      <w:r>
        <w:rPr>
          <w:b/>
          <w:bCs/>
        </w:rPr>
        <w:t xml:space="preserve"> </w:t>
      </w:r>
      <w:r>
        <w:rPr>
          <w:b/>
          <w:bCs/>
        </w:rPr>
        <w:t xml:space="preserve">“−”</w:t>
      </w:r>
      <w:r>
        <w:rPr>
          <w:b/>
          <w:bCs/>
        </w:rPr>
        <w:t xml:space="preserve"> </w:t>
      </w:r>
      <w:r>
        <w:rPr>
          <w:b/>
          <w:bCs/>
        </w:rPr>
        <w:t xml:space="preserve">entries without explanation.</w:t>
      </w:r>
      <w:r>
        <w:t xml:space="preserve"> </w:t>
      </w:r>
      <w:r>
        <w:t xml:space="preserve">Add a footnote:</w:t>
      </w:r>
      <w:r>
        <w:t xml:space="preserve"> </w:t>
      </w:r>
      <w:r>
        <w:t xml:space="preserve">“−: no improvement observed”</w:t>
      </w:r>
      <w:r>
        <w:t xml:space="preserve"> </w:t>
      </w:r>
      <w:r>
        <w:t xml:space="preserve">or whatever it means.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Table 5 shows only 3 of 13 models.</w:t>
      </w:r>
      <w:r>
        <w:t xml:space="preserve"> </w:t>
      </w:r>
      <w:r>
        <w:t xml:space="preserve">Why? Where are the other DKO variants on MARCEL? If they were run but omitted, state why. If not run, say so. As-is, it looks like cherry-picking.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Table 6 (Appendix A)</w:t>
      </w:r>
      <w:r>
        <w:t xml:space="preserve"> </w:t>
      </w:r>
      <w:r>
        <w:t xml:space="preserve">introduces model names (</w:t>
      </w:r>
      <w:r>
        <w:t xml:space="preserve">“single_conformer”</w:t>
      </w:r>
      <w:r>
        <w:t xml:space="preserve">,</w:t>
      </w:r>
      <w:r>
        <w:t xml:space="preserve"> </w:t>
      </w:r>
      <w:r>
        <w:t xml:space="preserve">“deepsets”</w:t>
      </w:r>
      <w:r>
        <w:t xml:space="preserve">,</w:t>
      </w:r>
      <w:r>
        <w:t xml:space="preserve"> </w:t>
      </w:r>
      <w:r>
        <w:t xml:space="preserve">“dko_separate”</w:t>
      </w:r>
      <w:r>
        <w:t xml:space="preserve">) that aren’t defined anywhere in the paper.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Table 7 (Appendix C)</w:t>
      </w:r>
      <w:r>
        <w:t xml:space="preserve">: The</w:t>
      </w:r>
      <w:r>
        <w:t xml:space="preserve"> </w:t>
      </w:r>
      <w:r>
        <w:t xml:space="preserve">“low”</w:t>
      </w:r>
      <w:r>
        <w:t xml:space="preserve"> </w:t>
      </w:r>
      <w:r>
        <w:t xml:space="preserve">value for FreeSolv Max is not a number. Fix immediately.</w:t>
      </w:r>
    </w:p>
    <w:bookmarkEnd w:id="16"/>
    <w:bookmarkStart w:id="17" w:name="formatting-layout"/>
    <w:p>
      <w:pPr>
        <w:pStyle w:val="Heading3"/>
      </w:pPr>
      <w:r>
        <w:t xml:space="preserve">Formatting / Layout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Appendix B (</w:t>
      </w:r>
      <w:r>
        <w:rPr>
          <w:b/>
          <w:bCs/>
        </w:rPr>
        <w:t xml:space="preserve">“Bug Discovery Narrative”</w:t>
      </w:r>
      <w:r>
        <w:rPr>
          <w:b/>
          <w:bCs/>
        </w:rPr>
        <w:t xml:space="preserve">) is unusual and risky.</w:t>
      </w:r>
      <w:r>
        <w:t xml:space="preserve"> </w:t>
      </w:r>
      <w:r>
        <w:t xml:space="preserve">Describing 5 implementation bugs in your own method raises questions about code quality and what bugs remain undiscovered. While transparency is admirable, reframe this as</w:t>
      </w:r>
      <w:r>
        <w:t xml:space="preserve"> </w:t>
      </w:r>
      <w:r>
        <w:t xml:space="preserve">“Implementation Ablation”</w:t>
      </w:r>
      <w:r>
        <w:t xml:space="preserve"> </w:t>
      </w:r>
      <w:r>
        <w:t xml:space="preserve">or</w:t>
      </w:r>
      <w:r>
        <w:t xml:space="preserve"> </w:t>
      </w:r>
      <w:r>
        <w:t xml:space="preserve">“Hyperparameter Sensitivity Analysis”</w:t>
      </w:r>
      <w:r>
        <w:t xml:space="preserve"> </w:t>
      </w:r>
      <w:r>
        <w:t xml:space="preserve">— describing the same findings as systematic investigation rather than bug reports. The current framing (</w:t>
      </w:r>
      <w:r>
        <w:t xml:space="preserve">“Bug Discovery”</w:t>
      </w:r>
      <w:r>
        <w:t xml:space="preserve">) undermines confidence.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Appendix C (SCC Analysis)</w:t>
      </w:r>
      <w:r>
        <w:t xml:space="preserve"> </w:t>
      </w:r>
      <w:r>
        <w:t xml:space="preserve">is only 1 table and 2 sentences. Either expand it to be substantive or fold it into the main text.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 code/data availability statement.</w:t>
      </w:r>
      <w:r>
        <w:t xml:space="preserve"> </w:t>
      </w:r>
      <w:r>
        <w:t xml:space="preserve">Even for blind review, state</w:t>
      </w:r>
      <w:r>
        <w:t xml:space="preserve"> </w:t>
      </w:r>
      <w:r>
        <w:t xml:space="preserve">“Code will be released upon acceptance”</w:t>
      </w:r>
      <w:r>
        <w:t xml:space="preserve"> </w:t>
      </w:r>
      <w:r>
        <w:t xml:space="preserve">or provide an anonymous repository link.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No reproducibility checklist.</w:t>
      </w:r>
      <w:r>
        <w:t xml:space="preserve"> </w:t>
      </w:r>
      <w:r>
        <w:t xml:space="preserve">Many ML venues now require one. Check submission requirements.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ummary-assessment"/>
    <w:p>
      <w:pPr>
        <w:pStyle w:val="Heading2"/>
      </w:pPr>
      <w:r>
        <w:t xml:space="preserve">Summary Assessment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The fingerprint baseline result is genuinely important and honestly reported. The property taxonomy (solvation vs. steric vs. electronic) is the paper’s most useful contribution. The complementarity finding is well-supported on solvation tasks. The mechanistic analysis adds depth beyond pure benchmarking.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Zero figures makes the paper unusually hard to parse. The SCC decision rule is contradicted by FreeSolv. Feature encoding is critically underspecified. The</w:t>
      </w:r>
      <w:r>
        <w:t xml:space="preserve"> </w:t>
      </w:r>
      <w:r>
        <w:t xml:space="preserve">“Bug Discovery”</w:t>
      </w:r>
      <w:r>
        <w:t xml:space="preserve"> </w:t>
      </w:r>
      <w:r>
        <w:t xml:space="preserve">appendix undermines confidence. Missing train/test split details and important baselines (3D GNNs).</w:t>
      </w:r>
    </w:p>
    <w:p>
      <w:pPr>
        <w:pStyle w:val="BodyText"/>
      </w:pPr>
      <w:r>
        <w:rPr>
          <w:b/>
          <w:bCs/>
        </w:rPr>
        <w:t xml:space="preserve">Top 7 fixes before submission (priority order):</w:t>
      </w:r>
    </w:p>
    <w:p>
      <w:pPr>
        <w:pStyle w:val="Compact"/>
        <w:numPr>
          <w:ilvl w:val="0"/>
          <w:numId w:val="1047"/>
        </w:numPr>
      </w:pPr>
      <w:r>
        <w:t xml:space="preserve">Fix Table 7’s</w:t>
      </w:r>
      <w:r>
        <w:t xml:space="preserve"> </w:t>
      </w:r>
      <w:r>
        <w:t xml:space="preserve">“low”</w:t>
      </w:r>
      <w:r>
        <w:t xml:space="preserve"> </w:t>
      </w:r>
      <w:r>
        <w:t xml:space="preserve">placeholder — this is a desk-reject risk</w:t>
      </w:r>
    </w:p>
    <w:p>
      <w:pPr>
        <w:pStyle w:val="Compact"/>
        <w:numPr>
          <w:ilvl w:val="0"/>
          <w:numId w:val="1047"/>
        </w:numPr>
      </w:pPr>
      <w:r>
        <w:t xml:space="preserve">Add at least 2 figures (architecture diagram + performance comparison)</w:t>
      </w:r>
    </w:p>
    <w:p>
      <w:pPr>
        <w:pStyle w:val="Compact"/>
        <w:numPr>
          <w:ilvl w:val="0"/>
          <w:numId w:val="1047"/>
        </w:numPr>
      </w:pPr>
      <w:r>
        <w:t xml:space="preserve">Specify the feature encoding (how x_i ∈ ℝ^1024 is constructed)</w:t>
      </w:r>
    </w:p>
    <w:p>
      <w:pPr>
        <w:pStyle w:val="Compact"/>
        <w:numPr>
          <w:ilvl w:val="0"/>
          <w:numId w:val="1047"/>
        </w:numPr>
      </w:pPr>
      <w:r>
        <w:t xml:space="preserve">Resolve the SCC vs. FreeSolv contradiction — either refine the rule or drop Contribution (5)</w:t>
      </w:r>
    </w:p>
    <w:p>
      <w:pPr>
        <w:pStyle w:val="Compact"/>
        <w:numPr>
          <w:ilvl w:val="0"/>
          <w:numId w:val="1047"/>
        </w:numPr>
      </w:pPr>
      <w:r>
        <w:t xml:space="preserve">Add train/val/test split details</w:t>
      </w:r>
    </w:p>
    <w:p>
      <w:pPr>
        <w:pStyle w:val="Compact"/>
        <w:numPr>
          <w:ilvl w:val="0"/>
          <w:numId w:val="1047"/>
        </w:numPr>
      </w:pPr>
      <w:r>
        <w:t xml:space="preserve">Define BACE or remove it from Section 4.8</w:t>
      </w:r>
    </w:p>
    <w:p>
      <w:pPr>
        <w:pStyle w:val="Compact"/>
        <w:numPr>
          <w:ilvl w:val="0"/>
          <w:numId w:val="1047"/>
        </w:numPr>
      </w:pPr>
      <w:r>
        <w:t xml:space="preserve">Rename Appendix B from</w:t>
      </w:r>
      <w:r>
        <w:t xml:space="preserve"> </w:t>
      </w:r>
      <w:r>
        <w:t xml:space="preserve">“Bug Discovery Narrative”</w:t>
      </w:r>
      <w:r>
        <w:t xml:space="preserve"> </w:t>
      </w:r>
      <w:r>
        <w:t xml:space="preserve">to</w:t>
      </w:r>
      <w:r>
        <w:t xml:space="preserve"> </w:t>
      </w:r>
      <w:r>
        <w:t xml:space="preserve">“Implementation Ablation”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2026-02-21T22:51:51Z</dcterms:created>
  <dcterms:modified xsi:type="dcterms:W3CDTF">2026-02-21T22:51:51Z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