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at Columbia, quantum computing track —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 —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 — Diraq and UNSW Sydney, Sep 2026 – May 2027, co-supervised by Dr. Nard Dumoulin Stuyck and Prof.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iQuHACK 2026 — Overall Winner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behind Iterative Quantum Amplitude Estimation; measured query scaling matched the O(1/ε) bound against an O(1/ε²) quasi-Monte Carlo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client-side; 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Noise-Aware Adiabatic Simulation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transverse-field Ising model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Qiskit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IBM Heron hardware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Digitized adiabatic ground-state preparation on Heron's native fractional RZZ gates, roughly halving logical-to-physical translation error, with palindromic Trotter steps and a schedule flattened where the gap closes.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multi-agent quantum algorithm discovery engine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Python, Gemini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Agents propose problems, design circuits, verify them by stabilizer and oracle simulation, and fit complexity scaling across 795 runs.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 — SMS survey data into actuarial and climate-risk features for agricultural loss estimation.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 — distributed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physics simulations and decision models for the core technology pipelines, plus benchmarks validating the learned policies.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 —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NYUAD Quantum Hackathon for Social Good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 — weekly sessions on Hamiltonian simulation and LCU.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Qiskit, Cirq, PennyLane, CUDA-Q · Hamiltonian simulation, phase estimation, amplitude amplification and estimation, QSVT and block encoding, LCU · surface codes, MWPM and Union-Find decoding · VQE, QAOA · noise modeling and transpilation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Go, Java, TypeScript, MATLAB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TensorFlow, scikit-learn, Hugging Face, CUDA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spectral graph theory, tensor networks, probability, optimization, quantum complexity (BQP, QMA)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2026-08-21T00:37:08.551Z</dcterms:created>
  <dcterms:modified xsi:type="dcterms:W3CDTF">2026-08-21T00:37:08.551Z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