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Optimization &amp; ML.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Introduction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behind Iterative Quantum Amplitude Estimation; measured query scaling matched the O(1/ε) bound against an O(1/ε²) quasi-Monte Carlo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client-side; 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Noise-Aware Adiabatic Simulation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transverse-field Ising model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Qiskit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IBM Heron hardware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Digitized adiabatic ground-state preparation on Heron's native fractional RZZ gates, roughly halving logical-to-physical translation error, with palindromic Trotter steps and a schedule flattened where the gap closes.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multi-agent quantum algorithm discovery engine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LLM agents, circuit synthesis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Agents propose problems, design circuits, verify them by simulation, and fit complexity scaling across 795 runs.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2025): survey data into actuarial and climate-risk features.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2025):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physics simulations and decision models for the core technology pipelines, plus benchmarks validating the learned policies.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2020):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 and Qiskit Runtime, CUDA-Q, Stim, PyMatching, QuTiP · Hamiltonian simulation, phase estimation, amplitude amplification and estimation, QSVT and block encoding, LCU · surface codes, MWPM and Union-Find decoding · VQE, QAOA · randomized benchmarking, tomography, noise modeling, transpilation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MATLAB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CUDA, Hugging Face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2026-08-21T16:23:07.309Z</dcterms:created>
  <dcterms:modified xsi:type="dcterms:W3CDTF">2026-08-21T16:23:07.309Z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