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Introduction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Measured query scaling matched the O(1/ε) bound against an O(1/ε²) quasi-Monte Carlo classical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survey data into actuarial and climate-risk features.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the high-fidelity combat and ISR simulation core: closed-form line-of-sight and radar horizon, energy-maneuverability flyout, subsystem damage, datalink fusion, and ECI-to-ECEF satellite access.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Synced weapon and platform envelopes from a 156k-node knowledge graph into the simulator, behind a GraphRAG-judged ingestion pipeline.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 and Qiskit Runtime (IBM Heron hardware), CUDA-Q, Stim, PyMatching, QuTiP · Hamiltonian simulation, phase estimation, amplitude estimation, QSVT, LCU · surface codes, MWPM and Union-Find decoding · randomized benchmarking, tomography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MATLAB, JavaScript, TypeScript, Go, Java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2026-08-21T19:47:59.709Z</dcterms:created>
  <dcterms:modified xsi:type="dcterms:W3CDTF">2026-08-21T19:47:59.710Z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