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Optimization &amp; ML.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Introduction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Measured query scaling matched the O(1/ε) bound against an O(1/ε²) quasi-Monte Carlo classical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2025): survey data into actuarial and climate-risk features.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2025):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high-fidelity physics and sensor simulation core: closed-form line-of-sight and horizon geometry, energy-maneuverability flyout, and ECI-to-ECEF coordinate transforms.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Synced platform capability data from a knowledge graph into the simulator via a retrieval-judged, human-approved pipeline.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2020):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 and Qiskit Runtime, CUDA-Q, Stim, PyMatching, QuTiP · Hamiltonian simulation, phase and amplitude estimation, QSVT, LCU, VQE, QAOA · surface codes, MWPM and Union-Find decoding · randomized benchmarking, tomography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MATLAB, JavaScript, TypeScript, Go, Java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CUDA, Hugging Face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2026-08-21T20:05:09.161Z</dcterms:created>
  <dcterms:modified xsi:type="dcterms:W3CDTF">2026-08-21T20:05:09.161Z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