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05" w:type="dxa"/>
        <w:tblLook w:val="04A0" w:firstRow="1" w:lastRow="0" w:firstColumn="1" w:lastColumn="0" w:noHBand="0" w:noVBand="1"/>
      </w:tblPr>
      <w:tblGrid>
        <w:gridCol w:w="1265"/>
        <w:gridCol w:w="1790"/>
        <w:gridCol w:w="6750"/>
      </w:tblGrid>
      <w:tr w:rsidR="00B5344D" w14:paraId="056BA4FB" w14:textId="77777777" w:rsidTr="00B5344D">
        <w:tc>
          <w:tcPr>
            <w:tcW w:w="1265" w:type="dxa"/>
          </w:tcPr>
          <w:p w14:paraId="55028F77" w14:textId="77777777" w:rsidR="00B5344D" w:rsidRDefault="00B5344D" w:rsidP="008F2D03">
            <w:r>
              <w:t>menuName</w:t>
            </w:r>
          </w:p>
        </w:tc>
        <w:tc>
          <w:tcPr>
            <w:tcW w:w="1790" w:type="dxa"/>
          </w:tcPr>
          <w:p w14:paraId="5E46A0B8" w14:textId="77777777" w:rsidR="00B5344D" w:rsidRDefault="00B5344D" w:rsidP="008F2D03">
            <w:r>
              <w:t>menuValue</w:t>
            </w:r>
          </w:p>
        </w:tc>
        <w:tc>
          <w:tcPr>
            <w:tcW w:w="6750" w:type="dxa"/>
          </w:tcPr>
          <w:p w14:paraId="5690A08A" w14:textId="771676C7" w:rsidR="00B5344D" w:rsidRDefault="00B5344D" w:rsidP="008F2D03">
            <w:r>
              <w:t>menuInfo</w:t>
            </w:r>
          </w:p>
        </w:tc>
      </w:tr>
      <w:tr w:rsidR="00B5344D" w14:paraId="284BF93A" w14:textId="77777777" w:rsidTr="00B5344D">
        <w:tc>
          <w:tcPr>
            <w:tcW w:w="1265" w:type="dxa"/>
          </w:tcPr>
          <w:p w14:paraId="0DA4D24E" w14:textId="727940BA" w:rsidR="00B5344D" w:rsidRDefault="00B5344D" w:rsidP="008F2D03">
            <w:r>
              <w:t>NEWS &amp; UPDATES</w:t>
            </w:r>
          </w:p>
        </w:tc>
        <w:tc>
          <w:tcPr>
            <w:tcW w:w="1790" w:type="dxa"/>
          </w:tcPr>
          <w:p w14:paraId="0724B8C1" w14:textId="472340E3" w:rsidR="00B5344D" w:rsidRDefault="00B5344D" w:rsidP="008F2D03">
            <w:r>
              <w:t>newsAndUpdates</w:t>
            </w:r>
          </w:p>
        </w:tc>
        <w:tc>
          <w:tcPr>
            <w:tcW w:w="6750" w:type="dxa"/>
          </w:tcPr>
          <w:p w14:paraId="71347D50" w14:textId="46F5F3F3" w:rsidR="00B5344D" w:rsidRDefault="00B5344D" w:rsidP="008F2D03">
            <w:r>
              <w:t>&lt;h2&gt;Feb. 1</w:t>
            </w:r>
            <w:r w:rsidRPr="00B5344D">
              <w:rPr>
                <w:vertAlign w:val="superscript"/>
              </w:rPr>
              <w:t>st</w:t>
            </w:r>
            <w:r>
              <w:t xml:space="preserve"> Update&lt;/h2&gt;&lt;br&gt;&lt;ul&gt;&lt;li&gt;State Health Assessment Core Module 2023 Update posted on the </w:t>
            </w:r>
            <w:proofErr w:type="gramStart"/>
            <w:r>
              <w:t>homepage.&lt;</w:t>
            </w:r>
            <w:proofErr w:type="gramEnd"/>
            <w:r>
              <w:t>/li&gt;&lt;li&gt;New conditions added to the CCB Cause List, including: Malnutrition, Obesity, and more.&lt;/li&gt;&lt;/ul&gt;</w:t>
            </w:r>
          </w:p>
          <w:p w14:paraId="6782EDAF" w14:textId="77777777" w:rsidR="00B5344D" w:rsidRDefault="00B5344D" w:rsidP="008F2D03">
            <w:r>
              <w:t>&lt;hr&gt;</w:t>
            </w:r>
          </w:p>
          <w:p w14:paraId="26D0835B" w14:textId="6C9DEA76" w:rsidR="00B5344D" w:rsidRDefault="00B5344D" w:rsidP="008F2D03">
            <w:r>
              <w:t>&lt;h2&gt;Jan. 1</w:t>
            </w:r>
            <w:r w:rsidRPr="00B5344D">
              <w:rPr>
                <w:vertAlign w:val="superscript"/>
              </w:rPr>
              <w:t>st</w:t>
            </w:r>
            <w:r>
              <w:t xml:space="preserve"> Update&lt;/h2&gt;&lt;br&gt;New conditions added to the CCB Cause List, including: &lt;ul&gt;&lt;li&gt;Cardiac Arrest&lt;/li&gt;&lt;li&gt;Parkinson’s Disease&lt;/li&gt;&lt;li&gt;Supreventricular Arythmia&lt;/li&gt;&lt;/ul&gt;</w:t>
            </w:r>
          </w:p>
        </w:tc>
      </w:tr>
      <w:tr w:rsidR="00B5344D" w14:paraId="6A86981B" w14:textId="77777777" w:rsidTr="00B5344D">
        <w:tc>
          <w:tcPr>
            <w:tcW w:w="1265" w:type="dxa"/>
          </w:tcPr>
          <w:p w14:paraId="05A4DE45" w14:textId="5EA9B4A2" w:rsidR="00B5344D" w:rsidRDefault="00B5344D" w:rsidP="008F2D03">
            <w:r>
              <w:t>ABOUT CCB</w:t>
            </w:r>
          </w:p>
        </w:tc>
        <w:tc>
          <w:tcPr>
            <w:tcW w:w="1790" w:type="dxa"/>
          </w:tcPr>
          <w:p w14:paraId="20EFB963" w14:textId="1E302931" w:rsidR="00B5344D" w:rsidRDefault="00B5344D" w:rsidP="008F2D03">
            <w:r>
              <w:t>aboutCCB</w:t>
            </w:r>
          </w:p>
        </w:tc>
        <w:tc>
          <w:tcPr>
            <w:tcW w:w="6750" w:type="dxa"/>
          </w:tcPr>
          <w:p w14:paraId="3C2C8998" w14:textId="7861F053" w:rsidR="002A6740" w:rsidRDefault="002A6740" w:rsidP="002A6740">
            <w:r>
              <w:t>&lt;</w:t>
            </w:r>
            <w:r w:rsidR="003C5A06">
              <w:t>p&gt;</w:t>
            </w:r>
            <w:r>
              <w:t xml:space="preserve">The California Community Burden of Disease and Cost Engine (CCB) is a tool to explore data on burden of disease in multiple levels of geographic granularity in order to answer and generate questions, both simple and complex, about the intersection between health disparities and </w:t>
            </w:r>
            <w:proofErr w:type="gramStart"/>
            <w:r>
              <w:t>place.&lt;</w:t>
            </w:r>
            <w:proofErr w:type="gramEnd"/>
            <w:r w:rsidR="003C5A06">
              <w:t>/p</w:t>
            </w:r>
            <w:r>
              <w:t>&gt;</w:t>
            </w:r>
          </w:p>
          <w:p w14:paraId="414BBB64" w14:textId="5479671B" w:rsidR="002A6740" w:rsidRDefault="002A6740" w:rsidP="002A6740">
            <w:r>
              <w:t>&lt;</w:t>
            </w:r>
            <w:r w:rsidR="003C5A06">
              <w:t>p</w:t>
            </w:r>
            <w:r>
              <w:t xml:space="preserve">&gt;This tool is designed for use by CDPH programs, local health departments, and community partners for epidemiologic analysis and to provide systematic scientific insight to inform public health planning, evaluation and </w:t>
            </w:r>
            <w:proofErr w:type="gramStart"/>
            <w:r>
              <w:t>action.&lt;</w:t>
            </w:r>
            <w:proofErr w:type="gramEnd"/>
            <w:r w:rsidR="003C5A06">
              <w:t>/p</w:t>
            </w:r>
            <w:r>
              <w:t>&gt;</w:t>
            </w:r>
          </w:p>
          <w:p w14:paraId="27A7C6E9" w14:textId="7A5FF437" w:rsidR="00B5344D" w:rsidRDefault="002A6740" w:rsidP="002A6740">
            <w:r>
              <w:t>&lt;</w:t>
            </w:r>
            <w:r w:rsidR="003C5A06">
              <w:t>p</w:t>
            </w:r>
            <w:r>
              <w:t xml:space="preserve">&gt;The CCB currently displays over 15 years of California condition-specific mortality burden data, using a range of measures, displayed at the statewide, county, community, and census tract levels,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w:t>
            </w:r>
            <w:proofErr w:type="gramStart"/>
            <w:r>
              <w:t>area.&lt;</w:t>
            </w:r>
            <w:proofErr w:type="gramEnd"/>
            <w:r>
              <w:t>/</w:t>
            </w:r>
            <w:r w:rsidR="003C5A06">
              <w:t>p&gt;</w:t>
            </w:r>
          </w:p>
        </w:tc>
      </w:tr>
      <w:tr w:rsidR="00B5344D" w14:paraId="5A73C80B" w14:textId="77777777" w:rsidTr="00B5344D">
        <w:tc>
          <w:tcPr>
            <w:tcW w:w="1265" w:type="dxa"/>
          </w:tcPr>
          <w:p w14:paraId="48863E3E" w14:textId="4E346065" w:rsidR="00B5344D" w:rsidRDefault="004C0C1E" w:rsidP="008F2D03">
            <w:r>
              <w:t>LGHC</w:t>
            </w:r>
          </w:p>
        </w:tc>
        <w:tc>
          <w:tcPr>
            <w:tcW w:w="1790" w:type="dxa"/>
          </w:tcPr>
          <w:p w14:paraId="610EA2B8" w14:textId="12D3371D" w:rsidR="00B5344D" w:rsidRDefault="004C0C1E" w:rsidP="008F2D03">
            <w:r>
              <w:t>lghc</w:t>
            </w:r>
          </w:p>
        </w:tc>
        <w:tc>
          <w:tcPr>
            <w:tcW w:w="6750" w:type="dxa"/>
          </w:tcPr>
          <w:p w14:paraId="3B187180" w14:textId="541FEA2C" w:rsidR="004C0C1E" w:rsidRDefault="004C0C1E" w:rsidP="002A6740">
            <w:r>
              <w:t>&lt;h3&gt;</w:t>
            </w:r>
            <w:r w:rsidRPr="004C0C1E">
              <w:t>Building it Together: A Safe and Healthy California for All</w:t>
            </w:r>
            <w:r>
              <w:t>&lt;/h3&gt;</w:t>
            </w:r>
          </w:p>
          <w:p w14:paraId="76B0061A" w14:textId="109BDF3B" w:rsidR="004C0C1E" w:rsidRDefault="004C0C1E" w:rsidP="002A6740">
            <w:r>
              <w:t>&lt;p&gt;</w:t>
            </w:r>
            <w:r w:rsidRPr="004C0C1E">
              <w:t xml:space="preserve">Let’s Get Healthy California provides an ongoing statewide collaborative and systematic approach for assessing and monitoring the health status of California, identifying and prioritizing opportunities for health improvement, and promoting collective action towards comprehensive solutions that address the root causes of California’s toughest health </w:t>
            </w:r>
            <w:proofErr w:type="gramStart"/>
            <w:r w:rsidRPr="004C0C1E">
              <w:t>challenges.</w:t>
            </w:r>
            <w:r>
              <w:t>&lt;</w:t>
            </w:r>
            <w:proofErr w:type="gramEnd"/>
            <w:r>
              <w:t>/p&gt;</w:t>
            </w:r>
          </w:p>
          <w:p w14:paraId="509DA193" w14:textId="77777777" w:rsidR="00B5344D" w:rsidRDefault="004C0C1E" w:rsidP="002A6740">
            <w:r>
              <w:t>&lt;p&gt;</w:t>
            </w:r>
            <w:r w:rsidRPr="004C0C1E">
              <w:t xml:space="preserve">The State Health Assessment (SHA) provides a snapshot of health for the entire population, across a range of conditions and factors. Let’s Get Healthy California – the SHA – identifies key health issues and contributing factors, elevates disparities and inequities, and identifies assets and resources that can be mobilized to address these health improvement opportunities. The SHA provides a strong foundation to </w:t>
            </w:r>
            <w:r w:rsidRPr="004C0C1E">
              <w:lastRenderedPageBreak/>
              <w:t xml:space="preserve">inform program and policy planning and development. Learn more about the </w:t>
            </w:r>
            <w:r>
              <w:t>&lt;a href=”</w:t>
            </w:r>
            <w:hyperlink r:id="rId4" w:history="1">
              <w:r w:rsidRPr="00DA7557">
                <w:rPr>
                  <w:rStyle w:val="Hyperlink"/>
                </w:rPr>
                <w:t>https://letsgethealthy.ca.gov/the-story/state-health-assessment/</w:t>
              </w:r>
            </w:hyperlink>
            <w:r>
              <w:t>”&gt;</w:t>
            </w:r>
            <w:r w:rsidRPr="004C0C1E">
              <w:t xml:space="preserve">State Health </w:t>
            </w:r>
            <w:proofErr w:type="gramStart"/>
            <w:r w:rsidRPr="004C0C1E">
              <w:t>Assessment.</w:t>
            </w:r>
            <w:r>
              <w:t>&lt;</w:t>
            </w:r>
            <w:proofErr w:type="gramEnd"/>
            <w:r>
              <w:t>/a&gt;&lt;/p&gt;</w:t>
            </w:r>
          </w:p>
          <w:p w14:paraId="3D698BF3" w14:textId="68EDCA6E" w:rsidR="004C0C1E" w:rsidRDefault="004C0C1E" w:rsidP="002A6740">
            <w:r>
              <w:t>&lt;p&gt;</w:t>
            </w:r>
            <w:r w:rsidRPr="004C0C1E">
              <w:t xml:space="preserve">The state health improvement plan (SHIP) connects a wide variety of plans, programs, and initiatives across California, at both the state and local level. Let’s Get Healthy California (LGHC) – the SHIP – lays out an overarching framework and strategic approach to unify efforts across the state that are working to address shared priorities identified within LGHC. Learn more about the </w:t>
            </w:r>
            <w:r>
              <w:t>&lt;a href</w:t>
            </w:r>
            <w:r w:rsidR="00854B39">
              <w:t>=</w:t>
            </w:r>
            <w:hyperlink r:id="rId5" w:history="1">
              <w:r w:rsidR="000203D7" w:rsidRPr="00DA7557">
                <w:rPr>
                  <w:rStyle w:val="Hyperlink"/>
                </w:rPr>
                <w:t>https://letsgethealthy.ca.gov/the-story/state-health-improvement-plan/</w:t>
              </w:r>
            </w:hyperlink>
            <w:r w:rsidR="000203D7">
              <w:t>&gt;</w:t>
            </w:r>
            <w:r w:rsidRPr="004C0C1E">
              <w:t xml:space="preserve">State Health Improvement </w:t>
            </w:r>
            <w:proofErr w:type="gramStart"/>
            <w:r w:rsidRPr="004C0C1E">
              <w:t>Plan.</w:t>
            </w:r>
            <w:r>
              <w:t>&lt;</w:t>
            </w:r>
            <w:proofErr w:type="gramEnd"/>
            <w:r>
              <w:t>/a&gt;&lt;/p&gt;</w:t>
            </w:r>
          </w:p>
          <w:p w14:paraId="098550A7" w14:textId="391393D1" w:rsidR="004C0C1E" w:rsidRDefault="004C0C1E" w:rsidP="002A6740">
            <w:r>
              <w:t>&lt;p&gt;</w:t>
            </w:r>
            <w:r w:rsidRPr="004C0C1E">
              <w:t xml:space="preserve">The Emerging Issues (EI) process serves as an extension of the State Health Assessment (SHA) and the State Health Improvement Plan (SHIP) by building capacity to respond to emerging issues and cross-cutting priorities that arise between the SHA/SHIP cycle. The EI process identifies potential health concerns, examines these topics with subject matter experts, determines the public health role in these issues, and plans next steps as it relates to intervention and/or adoption into the broader SHA/SHIP </w:t>
            </w:r>
            <w:proofErr w:type="gramStart"/>
            <w:r w:rsidRPr="004C0C1E">
              <w:t>framework.</w:t>
            </w:r>
            <w:r>
              <w:t>&lt;</w:t>
            </w:r>
            <w:proofErr w:type="gramEnd"/>
            <w:r>
              <w:t>/p&gt;</w:t>
            </w:r>
          </w:p>
        </w:tc>
      </w:tr>
      <w:tr w:rsidR="00DC7263" w14:paraId="21EC0ED0" w14:textId="77777777" w:rsidTr="00B5344D">
        <w:tc>
          <w:tcPr>
            <w:tcW w:w="1265" w:type="dxa"/>
          </w:tcPr>
          <w:p w14:paraId="09686353" w14:textId="0BF9DF66" w:rsidR="00DC7263" w:rsidRDefault="00DC7263" w:rsidP="008F2D03">
            <w:r>
              <w:lastRenderedPageBreak/>
              <w:t>OPP</w:t>
            </w:r>
          </w:p>
        </w:tc>
        <w:tc>
          <w:tcPr>
            <w:tcW w:w="1790" w:type="dxa"/>
          </w:tcPr>
          <w:p w14:paraId="04B714CA" w14:textId="07543AC3" w:rsidR="00DC7263" w:rsidRDefault="00DC7263" w:rsidP="008F2D03">
            <w:r>
              <w:t>opp</w:t>
            </w:r>
          </w:p>
        </w:tc>
        <w:tc>
          <w:tcPr>
            <w:tcW w:w="6750" w:type="dxa"/>
          </w:tcPr>
          <w:p w14:paraId="7918D565" w14:textId="77777777" w:rsidR="00DC7263" w:rsidRDefault="00DC7263" w:rsidP="002A6740">
            <w:r>
              <w:t>&lt;h3&gt;</w:t>
            </w:r>
            <w:r w:rsidRPr="00DC7263">
              <w:t xml:space="preserve">OFFICE OF STRATEGIC DEVELOPMENT AND EXTERNAL RELATIONS (FUSION </w:t>
            </w:r>
            <w:proofErr w:type="gramStart"/>
            <w:r w:rsidRPr="00DC7263">
              <w:t>CENTER)</w:t>
            </w:r>
            <w:r>
              <w:t>&lt;</w:t>
            </w:r>
            <w:proofErr w:type="gramEnd"/>
            <w:r>
              <w:t>/h3&gt;</w:t>
            </w:r>
          </w:p>
          <w:p w14:paraId="16F8E9C8" w14:textId="71C7DFFA" w:rsidR="00DC7263" w:rsidRDefault="00DC7263" w:rsidP="00DC7263">
            <w:r>
              <w:t>&lt;p&gt;</w:t>
            </w:r>
            <w:r>
              <w:t xml:space="preserve">The Fusion Center is a nimble, strategic team that strengthens department capacity to address crosscutting priorities defined by public </w:t>
            </w:r>
            <w:proofErr w:type="gramStart"/>
            <w:r>
              <w:t>health.</w:t>
            </w:r>
            <w:r>
              <w:t>&lt;</w:t>
            </w:r>
            <w:proofErr w:type="gramEnd"/>
            <w:r>
              <w:t>/p&gt;</w:t>
            </w:r>
            <w:r>
              <w:t xml:space="preserve"> </w:t>
            </w:r>
          </w:p>
          <w:p w14:paraId="7EA52E3E" w14:textId="0ED77C8B" w:rsidR="00DC7263" w:rsidRDefault="00DC7263" w:rsidP="00DC7263">
            <w:r>
              <w:t>&lt;p&gt;</w:t>
            </w:r>
            <w:r>
              <w:t xml:space="preserve">The Fusion Center aims to involve programs across CDPH, state and local government, and partners in order to leverage expertise and information through comprehensive assessment, integrated planning, and collective </w:t>
            </w:r>
            <w:proofErr w:type="gramStart"/>
            <w:r>
              <w:t>action.</w:t>
            </w:r>
            <w:r>
              <w:t>&lt;</w:t>
            </w:r>
            <w:proofErr w:type="gramEnd"/>
            <w:r>
              <w:t>/p&gt;</w:t>
            </w:r>
          </w:p>
        </w:tc>
      </w:tr>
    </w:tbl>
    <w:p w14:paraId="3752081F" w14:textId="77777777" w:rsidR="00E243DE" w:rsidRDefault="00E243DE"/>
    <w:sectPr w:rsidR="00E24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4D"/>
    <w:rsid w:val="000203D7"/>
    <w:rsid w:val="002A6740"/>
    <w:rsid w:val="003C5A06"/>
    <w:rsid w:val="004C0C1E"/>
    <w:rsid w:val="00854B39"/>
    <w:rsid w:val="00B5344D"/>
    <w:rsid w:val="00DC7263"/>
    <w:rsid w:val="00E2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931F"/>
  <w15:chartTrackingRefBased/>
  <w15:docId w15:val="{1A90DC56-32EF-8940-B657-16035F99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44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34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0C1E"/>
    <w:rPr>
      <w:color w:val="0563C1" w:themeColor="hyperlink"/>
      <w:u w:val="single"/>
    </w:rPr>
  </w:style>
  <w:style w:type="character" w:styleId="UnresolvedMention">
    <w:name w:val="Unresolved Mention"/>
    <w:basedOn w:val="DefaultParagraphFont"/>
    <w:uiPriority w:val="99"/>
    <w:semiHidden/>
    <w:unhideWhenUsed/>
    <w:rsid w:val="004C0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6071">
      <w:bodyDiv w:val="1"/>
      <w:marLeft w:val="0"/>
      <w:marRight w:val="0"/>
      <w:marTop w:val="0"/>
      <w:marBottom w:val="0"/>
      <w:divBdr>
        <w:top w:val="none" w:sz="0" w:space="0" w:color="auto"/>
        <w:left w:val="none" w:sz="0" w:space="0" w:color="auto"/>
        <w:bottom w:val="none" w:sz="0" w:space="0" w:color="auto"/>
        <w:right w:val="none" w:sz="0" w:space="0" w:color="auto"/>
      </w:divBdr>
    </w:div>
    <w:div w:id="805202982">
      <w:bodyDiv w:val="1"/>
      <w:marLeft w:val="0"/>
      <w:marRight w:val="0"/>
      <w:marTop w:val="0"/>
      <w:marBottom w:val="0"/>
      <w:divBdr>
        <w:top w:val="none" w:sz="0" w:space="0" w:color="auto"/>
        <w:left w:val="none" w:sz="0" w:space="0" w:color="auto"/>
        <w:bottom w:val="none" w:sz="0" w:space="0" w:color="auto"/>
        <w:right w:val="none" w:sz="0" w:space="0" w:color="auto"/>
      </w:divBdr>
    </w:div>
    <w:div w:id="1077359425">
      <w:bodyDiv w:val="1"/>
      <w:marLeft w:val="0"/>
      <w:marRight w:val="0"/>
      <w:marTop w:val="0"/>
      <w:marBottom w:val="0"/>
      <w:divBdr>
        <w:top w:val="none" w:sz="0" w:space="0" w:color="auto"/>
        <w:left w:val="none" w:sz="0" w:space="0" w:color="auto"/>
        <w:bottom w:val="none" w:sz="0" w:space="0" w:color="auto"/>
        <w:right w:val="none" w:sz="0" w:space="0" w:color="auto"/>
      </w:divBdr>
    </w:div>
    <w:div w:id="1447580235">
      <w:bodyDiv w:val="1"/>
      <w:marLeft w:val="0"/>
      <w:marRight w:val="0"/>
      <w:marTop w:val="0"/>
      <w:marBottom w:val="0"/>
      <w:divBdr>
        <w:top w:val="none" w:sz="0" w:space="0" w:color="auto"/>
        <w:left w:val="none" w:sz="0" w:space="0" w:color="auto"/>
        <w:bottom w:val="none" w:sz="0" w:space="0" w:color="auto"/>
        <w:right w:val="none" w:sz="0" w:space="0" w:color="auto"/>
      </w:divBdr>
    </w:div>
    <w:div w:id="147260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tsgethealthy.ca.gov/the-story/state-health-improvement-plan/" TargetMode="External"/><Relationship Id="rId4" Type="http://schemas.openxmlformats.org/officeDocument/2006/relationships/hyperlink" Target="https://letsgethealthy.ca.gov/the-story/state-health-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Jaspo Bruh</cp:lastModifiedBy>
  <cp:revision>6</cp:revision>
  <dcterms:created xsi:type="dcterms:W3CDTF">2023-02-06T12:02:00Z</dcterms:created>
  <dcterms:modified xsi:type="dcterms:W3CDTF">2023-11-12T21:57:00Z</dcterms:modified>
</cp:coreProperties>
</file>