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Molecular Docking Experiment Report</w:t>
        <w:br/>
      </w:r>
    </w:p>
    <w:p>
      <w:pPr>
        <w:pStyle w:val="Heading1"/>
      </w:pPr>
      <w:r>
        <w:t>1. Objective</w:t>
      </w:r>
    </w:p>
    <w:p>
      <w:r>
        <w:t>To perform molecular docking of Acetazolamide with Carbonic Anhydrase II using AutoDock Vina and analyze binding affinity and clustering results.</w:t>
      </w:r>
    </w:p>
    <w:p>
      <w:pPr>
        <w:pStyle w:val="Heading1"/>
      </w:pPr>
      <w:r>
        <w:t>2. Materials</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Details</w:t>
            </w:r>
          </w:p>
        </w:tc>
      </w:tr>
      <w:tr>
        <w:tc>
          <w:tcPr>
            <w:tcW w:type="dxa" w:w="4320"/>
          </w:tcPr>
          <w:p>
            <w:r>
              <w:t>Software</w:t>
            </w:r>
          </w:p>
        </w:tc>
        <w:tc>
          <w:tcPr>
            <w:tcW w:type="dxa" w:w="4320"/>
          </w:tcPr>
          <w:p>
            <w:r>
              <w:t>AutoDock Vina / AutoDock Tools</w:t>
            </w:r>
          </w:p>
        </w:tc>
      </w:tr>
      <w:tr>
        <w:tc>
          <w:tcPr>
            <w:tcW w:type="dxa" w:w="4320"/>
          </w:tcPr>
          <w:p>
            <w:r>
              <w:t>Receptor</w:t>
            </w:r>
          </w:p>
        </w:tc>
        <w:tc>
          <w:tcPr>
            <w:tcW w:type="dxa" w:w="4320"/>
          </w:tcPr>
          <w:p>
            <w:r>
              <w:t>Carbonic Anhydrase II</w:t>
            </w:r>
          </w:p>
        </w:tc>
      </w:tr>
      <w:tr>
        <w:tc>
          <w:tcPr>
            <w:tcW w:type="dxa" w:w="4320"/>
          </w:tcPr>
          <w:p>
            <w:r>
              <w:t>Ligand</w:t>
            </w:r>
          </w:p>
        </w:tc>
        <w:tc>
          <w:tcPr>
            <w:tcW w:type="dxa" w:w="4320"/>
          </w:tcPr>
          <w:p>
            <w:r>
              <w:t>Acetazolamide</w:t>
            </w:r>
          </w:p>
        </w:tc>
      </w:tr>
      <w:tr>
        <w:tc>
          <w:tcPr>
            <w:tcW w:type="dxa" w:w="4320"/>
          </w:tcPr>
          <w:p>
            <w:r>
              <w:t>PDB ID</w:t>
            </w:r>
          </w:p>
        </w:tc>
        <w:tc>
          <w:tcPr>
            <w:tcW w:type="dxa" w:w="4320"/>
          </w:tcPr>
          <w:p>
            <w:r>
              <w:t>3HS4</w:t>
            </w:r>
          </w:p>
        </w:tc>
      </w:tr>
      <w:tr>
        <w:tc>
          <w:tcPr>
            <w:tcW w:type="dxa" w:w="4320"/>
          </w:tcPr>
          <w:p>
            <w:r>
              <w:t>Docking Type</w:t>
            </w:r>
          </w:p>
        </w:tc>
        <w:tc>
          <w:tcPr>
            <w:tcW w:type="dxa" w:w="4320"/>
          </w:tcPr>
          <w:p>
            <w:r>
              <w:t>Blind docking</w:t>
            </w:r>
          </w:p>
        </w:tc>
      </w:tr>
    </w:tbl>
    <w:p>
      <w:pPr>
        <w:pStyle w:val="Heading1"/>
      </w:pPr>
      <w:r>
        <w:t>3. Methodology</w:t>
      </w:r>
    </w:p>
    <w:p>
      <w:r>
        <w:t>The receptor (3HS4) was downloaded and prepared by removing water molecules and adding polar hydrogens. The ligand Acetazolamide was prepared and saved in PDBQT format. Grid box was defined covering the active site containing Zn2+ ion. Docking was performed using AutoDock Vina. The results were analyzed using clustering RMSD of 2.0 Å.</w:t>
      </w:r>
    </w:p>
    <w:p>
      <w:pPr>
        <w:pStyle w:val="Heading1"/>
      </w:pPr>
      <w:r>
        <w:t>4. Results</w:t>
      </w:r>
    </w:p>
    <w:tbl>
      <w:tblPr>
        <w:tblW w:type="auto" w:w="0"/>
        <w:tblLook w:firstColumn="1" w:firstRow="1" w:lastColumn="0" w:lastRow="0" w:noHBand="0" w:noVBand="1" w:val="04A0"/>
      </w:tblPr>
      <w:tblGrid>
        <w:gridCol w:w="2880"/>
        <w:gridCol w:w="2880"/>
        <w:gridCol w:w="2880"/>
      </w:tblGrid>
      <w:tr>
        <w:tc>
          <w:tcPr>
            <w:tcW w:type="dxa" w:w="2880"/>
          </w:tcPr>
          <w:p>
            <w:r>
              <w:t>Cluster</w:t>
            </w:r>
          </w:p>
        </w:tc>
        <w:tc>
          <w:tcPr>
            <w:tcW w:type="dxa" w:w="2880"/>
          </w:tcPr>
          <w:p>
            <w:r>
              <w:t>Binding Energy (kcal/mol)</w:t>
            </w:r>
          </w:p>
        </w:tc>
        <w:tc>
          <w:tcPr>
            <w:tcW w:type="dxa" w:w="2880"/>
          </w:tcPr>
          <w:p>
            <w:r>
              <w:t>Observation</w:t>
            </w:r>
          </w:p>
        </w:tc>
      </w:tr>
      <w:tr>
        <w:tc>
          <w:tcPr>
            <w:tcW w:type="dxa" w:w="2880"/>
          </w:tcPr>
          <w:p>
            <w:r>
              <w:t>1</w:t>
            </w:r>
          </w:p>
        </w:tc>
        <w:tc>
          <w:tcPr>
            <w:tcW w:type="dxa" w:w="2880"/>
          </w:tcPr>
          <w:p>
            <w:r>
              <w:t>-5.2 to -4.8</w:t>
            </w:r>
          </w:p>
        </w:tc>
        <w:tc>
          <w:tcPr>
            <w:tcW w:type="dxa" w:w="2880"/>
          </w:tcPr>
          <w:p>
            <w:r>
              <w:t>Major cluster observed</w:t>
            </w:r>
          </w:p>
        </w:tc>
      </w:tr>
      <w:tr>
        <w:tc>
          <w:tcPr>
            <w:tcW w:type="dxa" w:w="2880"/>
          </w:tcPr>
          <w:p>
            <w:r>
              <w:t>2</w:t>
            </w:r>
          </w:p>
        </w:tc>
        <w:tc>
          <w:tcPr>
            <w:tcW w:type="dxa" w:w="2880"/>
          </w:tcPr>
          <w:p>
            <w:r>
              <w:t>-4.8 to -4.5</w:t>
            </w:r>
          </w:p>
        </w:tc>
        <w:tc>
          <w:tcPr>
            <w:tcW w:type="dxa" w:w="2880"/>
          </w:tcPr>
          <w:p>
            <w:r>
              <w:t>Secondary poses</w:t>
            </w:r>
          </w:p>
        </w:tc>
      </w:tr>
      <w:tr>
        <w:tc>
          <w:tcPr>
            <w:tcW w:type="dxa" w:w="2880"/>
          </w:tcPr>
          <w:p>
            <w:r>
              <w:t>3</w:t>
            </w:r>
          </w:p>
        </w:tc>
        <w:tc>
          <w:tcPr>
            <w:tcW w:type="dxa" w:w="2880"/>
          </w:tcPr>
          <w:p>
            <w:r>
              <w:t>-4.5 to -4.0</w:t>
            </w:r>
          </w:p>
        </w:tc>
        <w:tc>
          <w:tcPr>
            <w:tcW w:type="dxa" w:w="2880"/>
          </w:tcPr>
          <w:p>
            <w:r>
              <w:t>Less stable conformations</w:t>
            </w:r>
          </w:p>
        </w:tc>
      </w:tr>
    </w:tbl>
    <w:p>
      <w:pPr>
        <w:pStyle w:val="Heading1"/>
      </w:pPr>
      <w:r>
        <w:t>5. Discussion</w:t>
      </w:r>
    </w:p>
    <w:p>
      <w:r>
        <w:t>The histogram shows clustering around -5.0 kcal/mol indicating stable binding. The ligand interacts with the Zn2+ ion present in Carbonic Anhydrase II which is characteristic for Acetazolamide binding. Multiple conformations were observed but the most populated cluster corresponds to the best binding energy. This confirms reproducibility of docking for this receptor-ligand system.</w:t>
      </w:r>
    </w:p>
    <w:p>
      <w:pPr>
        <w:pStyle w:val="Heading1"/>
      </w:pPr>
      <w:r>
        <w:t>6. Conclusion</w:t>
      </w:r>
    </w:p>
    <w:p>
      <w:r>
        <w:t>Docking of Acetazolamide with Carbonic Anhydrase II produced stable binding with binding energies around -5 kcal/mol. The clustering pattern indicates consistent binding orientation near the Zn2+ active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