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1F4E79"/>
          <w:sz w:val="44"/>
        </w:rPr>
        <w:t>13-MAJITHA CONSTITUENCY</w:t>
      </w:r>
    </w:p>
    <w:p>
      <w:pPr>
        <w:spacing w:before="0" w:after="280"/>
      </w:pPr>
      <w:r>
        <w:rPr>
          <w:rFonts w:ascii="Calibri" w:hAnsi="Calibri"/>
          <w:color w:val="595959"/>
          <w:sz w:val="24"/>
        </w:rPr>
        <w:t>Executive Electoral Intelligence &amp; Strategic Operations Report</w:t>
        <w:br/>
        <w:t>2022 Vidhan Sabha Election vs 2024 Lok Sabha Polling (Amritsar PC)</w:t>
      </w:r>
    </w:p>
    <w:p>
      <w:pPr>
        <w:pStyle w:val="Heading1"/>
        <w:spacing w:before="240" w:after="120"/>
      </w:pPr>
      <w:r>
        <w:rPr>
          <w:rFonts w:ascii="Calibri" w:hAnsi="Calibri"/>
          <w:color w:val="1F4E79"/>
          <w:sz w:val="28"/>
        </w:rPr>
        <w:t>1. Executive Summary &amp; Macro Political Trajectory</w:t>
      </w:r>
    </w:p>
    <w:p>
      <w:pPr>
        <w:spacing w:line="276" w:lineRule="auto" w:after="120"/>
      </w:pPr>
      <w:r>
        <w:t>A rigorous, booth-by-booth comparative audit of all polling stations in 13-Majitha demonstrates a seismic structural shift across this historical Panthic stronghold between 2022 and 2024:</w:t>
        <w:br/>
        <w:br/>
        <w:t>• Akali Dal Bastion Under Pressure: Shiromani Akali Dal's candidate Anil Joshi secured 40,981 votes (39.48%), leading in 129 booths. However, this represents a sharp drop of 15,858 votes (-7.29% swing) compared to Ganieve Kaur Majithia's 56,839 votes (46.77%) and 185 booth wins in 2022.</w:t>
        <w:br/>
        <w:t>• AAP Substantial Inroads (+22 Booth Surge): Aam Aadmi Party's Kuldeep Singh Dhaliwal captured 28,530 votes (27.49%), expanding AAP's booth wins from 17 booths in 2022 to 39 booths in 2024—a net gain of +22 booths across rural Majitha.</w:t>
        <w:br/>
        <w:t>• BJP Urban Breakthrough: BJP expanded dramatically from 1,625 votes (1.34%) in 2022 to 8,056 votes (7.76%) under Taranjit Singh Sandhu Samundri, winning 10 urban/semi-urban booths directly from the Akali Dal.</w:t>
        <w:br/>
        <w:t>• INC Contraction: Congress candidate Gurjeet Singh Aujla polled 16,505 votes (15.90%), down by -9,411 votes (-5.42% swing) from 2022 (25,916 votes, 21.32%), winning 9 booths.</w:t>
      </w:r>
    </w:p>
    <w:p>
      <w:pPr>
        <w:pStyle w:val="Heading1"/>
        <w:spacing w:before="240" w:after="120"/>
      </w:pPr>
      <w:r>
        <w:rPr>
          <w:rFonts w:ascii="Calibri" w:hAnsi="Calibri"/>
          <w:color w:val="1F4E79"/>
          <w:sz w:val="28"/>
        </w:rPr>
        <w:t>2. Official Party Performance &amp; Leadership Attribution (2022 vs 2024)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</w:tblGrid>
      <w:tr>
        <w:tc>
          <w:tcPr>
            <w:tcW w:type="dxa" w:w="1120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Party</w:t>
            </w:r>
          </w:p>
        </w:tc>
        <w:tc>
          <w:tcPr>
            <w:tcW w:type="dxa" w:w="1120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2022 Candidate</w:t>
            </w:r>
          </w:p>
        </w:tc>
        <w:tc>
          <w:tcPr>
            <w:tcW w:type="dxa" w:w="1120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2022 Votes</w:t>
            </w:r>
          </w:p>
        </w:tc>
        <w:tc>
          <w:tcPr>
            <w:tcW w:type="dxa" w:w="1120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2022 %</w:t>
            </w:r>
          </w:p>
        </w:tc>
        <w:tc>
          <w:tcPr>
            <w:tcW w:type="dxa" w:w="1120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2024 Candidate</w:t>
            </w:r>
          </w:p>
        </w:tc>
        <w:tc>
          <w:tcPr>
            <w:tcW w:type="dxa" w:w="1120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2024 Votes</w:t>
            </w:r>
          </w:p>
        </w:tc>
        <w:tc>
          <w:tcPr>
            <w:tcW w:type="dxa" w:w="1120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2024 %</w:t>
            </w:r>
          </w:p>
        </w:tc>
        <w:tc>
          <w:tcPr>
            <w:tcW w:type="dxa" w:w="1120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Swing %</w:t>
            </w:r>
          </w:p>
        </w:tc>
        <w:tc>
          <w:tcPr>
            <w:tcW w:type="dxa" w:w="1120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2024 Wins</w:t>
            </w:r>
          </w:p>
        </w:tc>
      </w:tr>
      <w:tr>
        <w:tc>
          <w:tcPr>
            <w:tcW w:type="dxa" w:w="112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SAD</w:t>
            </w:r>
          </w:p>
        </w:tc>
        <w:tc>
          <w:tcPr>
            <w:tcW w:type="dxa" w:w="112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Ganieve Kaur Majithia</w:t>
            </w:r>
          </w:p>
        </w:tc>
        <w:tc>
          <w:tcPr>
            <w:tcW w:type="dxa" w:w="112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7"/>
              </w:rPr>
              <w:t>56,839</w:t>
            </w:r>
          </w:p>
        </w:tc>
        <w:tc>
          <w:tcPr>
            <w:tcW w:type="dxa" w:w="112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7"/>
              </w:rPr>
              <w:t>46.77%</w:t>
            </w:r>
          </w:p>
        </w:tc>
        <w:tc>
          <w:tcPr>
            <w:tcW w:type="dxa" w:w="112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Anil Joshi</w:t>
            </w:r>
          </w:p>
        </w:tc>
        <w:tc>
          <w:tcPr>
            <w:tcW w:type="dxa" w:w="112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7"/>
              </w:rPr>
              <w:t>40,981</w:t>
            </w:r>
          </w:p>
        </w:tc>
        <w:tc>
          <w:tcPr>
            <w:tcW w:type="dxa" w:w="112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7"/>
              </w:rPr>
              <w:t>39.48%</w:t>
            </w:r>
          </w:p>
        </w:tc>
        <w:tc>
          <w:tcPr>
            <w:tcW w:type="dxa" w:w="112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7"/>
              </w:rPr>
              <w:t>-7.28%</w:t>
            </w:r>
          </w:p>
        </w:tc>
        <w:tc>
          <w:tcPr>
            <w:tcW w:type="dxa" w:w="112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7"/>
              </w:rPr>
              <w:t>129</w:t>
            </w:r>
          </w:p>
        </w:tc>
      </w:tr>
      <w:tr>
        <w:tc>
          <w:tcPr>
            <w:tcW w:type="dxa" w:w="1120"/>
            <w:tcMar>
              <w:top w:w="70" w:type="dxa"/>
              <w:bottom w:w="70" w:type="dxa"/>
              <w:left w:w="90" w:type="dxa"/>
              <w:right w:w="90" w:type="dxa"/>
            </w:tcMar>
            <w:shd w:fill="F9FAFB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AAP</w:t>
            </w:r>
          </w:p>
        </w:tc>
        <w:tc>
          <w:tcPr>
            <w:tcW w:type="dxa" w:w="1120"/>
            <w:tcMar>
              <w:top w:w="70" w:type="dxa"/>
              <w:bottom w:w="70" w:type="dxa"/>
              <w:left w:w="90" w:type="dxa"/>
              <w:right w:w="90" w:type="dxa"/>
            </w:tcMar>
            <w:shd w:fill="F9FAFB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Sukhjinder Raj Singh Lalli</w:t>
            </w:r>
          </w:p>
        </w:tc>
        <w:tc>
          <w:tcPr>
            <w:tcW w:type="dxa" w:w="1120"/>
            <w:tcMar>
              <w:top w:w="70" w:type="dxa"/>
              <w:bottom w:w="70" w:type="dxa"/>
              <w:left w:w="90" w:type="dxa"/>
              <w:right w:w="90" w:type="dxa"/>
            </w:tcMar>
            <w:shd w:fill="F9FAFB"/>
          </w:tcPr>
          <w:p>
            <w:pPr>
              <w:jc w:val="right"/>
            </w:pPr>
            <w:r>
              <w:rPr>
                <w:rFonts w:ascii="Calibri" w:hAnsi="Calibri"/>
                <w:sz w:val="17"/>
              </w:rPr>
              <w:t>30,683</w:t>
            </w:r>
          </w:p>
        </w:tc>
        <w:tc>
          <w:tcPr>
            <w:tcW w:type="dxa" w:w="1120"/>
            <w:tcMar>
              <w:top w:w="70" w:type="dxa"/>
              <w:bottom w:w="70" w:type="dxa"/>
              <w:left w:w="90" w:type="dxa"/>
              <w:right w:w="90" w:type="dxa"/>
            </w:tcMar>
            <w:shd w:fill="F9FAFB"/>
          </w:tcPr>
          <w:p>
            <w:pPr>
              <w:jc w:val="right"/>
            </w:pPr>
            <w:r>
              <w:rPr>
                <w:rFonts w:ascii="Calibri" w:hAnsi="Calibri"/>
                <w:sz w:val="17"/>
              </w:rPr>
              <w:t>25.25%</w:t>
            </w:r>
          </w:p>
        </w:tc>
        <w:tc>
          <w:tcPr>
            <w:tcW w:type="dxa" w:w="1120"/>
            <w:tcMar>
              <w:top w:w="70" w:type="dxa"/>
              <w:bottom w:w="70" w:type="dxa"/>
              <w:left w:w="90" w:type="dxa"/>
              <w:right w:w="90" w:type="dxa"/>
            </w:tcMar>
            <w:shd w:fill="F9FAFB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Kuldeep Singh Dhaliwal</w:t>
            </w:r>
          </w:p>
        </w:tc>
        <w:tc>
          <w:tcPr>
            <w:tcW w:type="dxa" w:w="1120"/>
            <w:tcMar>
              <w:top w:w="70" w:type="dxa"/>
              <w:bottom w:w="70" w:type="dxa"/>
              <w:left w:w="90" w:type="dxa"/>
              <w:right w:w="90" w:type="dxa"/>
            </w:tcMar>
            <w:shd w:fill="F9FAFB"/>
          </w:tcPr>
          <w:p>
            <w:pPr>
              <w:jc w:val="right"/>
            </w:pPr>
            <w:r>
              <w:rPr>
                <w:rFonts w:ascii="Calibri" w:hAnsi="Calibri"/>
                <w:sz w:val="17"/>
              </w:rPr>
              <w:t>28,530</w:t>
            </w:r>
          </w:p>
        </w:tc>
        <w:tc>
          <w:tcPr>
            <w:tcW w:type="dxa" w:w="1120"/>
            <w:tcMar>
              <w:top w:w="70" w:type="dxa"/>
              <w:bottom w:w="70" w:type="dxa"/>
              <w:left w:w="90" w:type="dxa"/>
              <w:right w:w="90" w:type="dxa"/>
            </w:tcMar>
            <w:shd w:fill="F9FAFB"/>
          </w:tcPr>
          <w:p>
            <w:pPr>
              <w:jc w:val="right"/>
            </w:pPr>
            <w:r>
              <w:rPr>
                <w:rFonts w:ascii="Calibri" w:hAnsi="Calibri"/>
                <w:sz w:val="17"/>
              </w:rPr>
              <w:t>27.49%</w:t>
            </w:r>
          </w:p>
        </w:tc>
        <w:tc>
          <w:tcPr>
            <w:tcW w:type="dxa" w:w="1120"/>
            <w:tcMar>
              <w:top w:w="70" w:type="dxa"/>
              <w:bottom w:w="70" w:type="dxa"/>
              <w:left w:w="90" w:type="dxa"/>
              <w:right w:w="90" w:type="dxa"/>
            </w:tcMar>
            <w:shd w:fill="F9FAFB"/>
          </w:tcPr>
          <w:p>
            <w:pPr>
              <w:jc w:val="right"/>
            </w:pPr>
            <w:r>
              <w:rPr>
                <w:rFonts w:ascii="Calibri" w:hAnsi="Calibri"/>
                <w:sz w:val="17"/>
              </w:rPr>
              <w:t>+2.24%</w:t>
            </w:r>
          </w:p>
        </w:tc>
        <w:tc>
          <w:tcPr>
            <w:tcW w:type="dxa" w:w="1120"/>
            <w:tcMar>
              <w:top w:w="70" w:type="dxa"/>
              <w:bottom w:w="70" w:type="dxa"/>
              <w:left w:w="90" w:type="dxa"/>
              <w:right w:w="90" w:type="dxa"/>
            </w:tcMar>
            <w:shd w:fill="F9FAFB"/>
          </w:tcPr>
          <w:p>
            <w:pPr>
              <w:jc w:val="right"/>
            </w:pPr>
            <w:r>
              <w:rPr>
                <w:rFonts w:ascii="Calibri" w:hAnsi="Calibri"/>
                <w:sz w:val="17"/>
              </w:rPr>
              <w:t>39</w:t>
            </w:r>
          </w:p>
        </w:tc>
      </w:tr>
      <w:tr>
        <w:tc>
          <w:tcPr>
            <w:tcW w:type="dxa" w:w="112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INC</w:t>
            </w:r>
          </w:p>
        </w:tc>
        <w:tc>
          <w:tcPr>
            <w:tcW w:type="dxa" w:w="112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Jagwinder Pal Singh Jagga</w:t>
            </w:r>
          </w:p>
        </w:tc>
        <w:tc>
          <w:tcPr>
            <w:tcW w:type="dxa" w:w="112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7"/>
              </w:rPr>
              <w:t>25,916</w:t>
            </w:r>
          </w:p>
        </w:tc>
        <w:tc>
          <w:tcPr>
            <w:tcW w:type="dxa" w:w="112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7"/>
              </w:rPr>
              <w:t>21.32%</w:t>
            </w:r>
          </w:p>
        </w:tc>
        <w:tc>
          <w:tcPr>
            <w:tcW w:type="dxa" w:w="112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Gurjeet Singh Aujla</w:t>
            </w:r>
          </w:p>
        </w:tc>
        <w:tc>
          <w:tcPr>
            <w:tcW w:type="dxa" w:w="112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7"/>
              </w:rPr>
              <w:t>16,505</w:t>
            </w:r>
          </w:p>
        </w:tc>
        <w:tc>
          <w:tcPr>
            <w:tcW w:type="dxa" w:w="112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7"/>
              </w:rPr>
              <w:t>15.90%</w:t>
            </w:r>
          </w:p>
        </w:tc>
        <w:tc>
          <w:tcPr>
            <w:tcW w:type="dxa" w:w="112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7"/>
              </w:rPr>
              <w:t>-5.42%</w:t>
            </w:r>
          </w:p>
        </w:tc>
        <w:tc>
          <w:tcPr>
            <w:tcW w:type="dxa" w:w="112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7"/>
              </w:rPr>
              <w:t>9</w:t>
            </w:r>
          </w:p>
        </w:tc>
      </w:tr>
      <w:tr>
        <w:tc>
          <w:tcPr>
            <w:tcW w:type="dxa" w:w="1120"/>
            <w:tcMar>
              <w:top w:w="70" w:type="dxa"/>
              <w:bottom w:w="70" w:type="dxa"/>
              <w:left w:w="90" w:type="dxa"/>
              <w:right w:w="90" w:type="dxa"/>
            </w:tcMar>
            <w:shd w:fill="F9FAFB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BJP</w:t>
            </w:r>
          </w:p>
        </w:tc>
        <w:tc>
          <w:tcPr>
            <w:tcW w:type="dxa" w:w="1120"/>
            <w:tcMar>
              <w:top w:w="70" w:type="dxa"/>
              <w:bottom w:w="70" w:type="dxa"/>
              <w:left w:w="90" w:type="dxa"/>
              <w:right w:w="90" w:type="dxa"/>
            </w:tcMar>
            <w:shd w:fill="F9FAFB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Pardeep Singh</w:t>
            </w:r>
          </w:p>
        </w:tc>
        <w:tc>
          <w:tcPr>
            <w:tcW w:type="dxa" w:w="1120"/>
            <w:tcMar>
              <w:top w:w="70" w:type="dxa"/>
              <w:bottom w:w="70" w:type="dxa"/>
              <w:left w:w="90" w:type="dxa"/>
              <w:right w:w="90" w:type="dxa"/>
            </w:tcMar>
            <w:shd w:fill="F9FAFB"/>
          </w:tcPr>
          <w:p>
            <w:pPr>
              <w:jc w:val="right"/>
            </w:pPr>
            <w:r>
              <w:rPr>
                <w:rFonts w:ascii="Calibri" w:hAnsi="Calibri"/>
                <w:sz w:val="17"/>
              </w:rPr>
              <w:t>1,625</w:t>
            </w:r>
          </w:p>
        </w:tc>
        <w:tc>
          <w:tcPr>
            <w:tcW w:type="dxa" w:w="1120"/>
            <w:tcMar>
              <w:top w:w="70" w:type="dxa"/>
              <w:bottom w:w="70" w:type="dxa"/>
              <w:left w:w="90" w:type="dxa"/>
              <w:right w:w="90" w:type="dxa"/>
            </w:tcMar>
            <w:shd w:fill="F9FAFB"/>
          </w:tcPr>
          <w:p>
            <w:pPr>
              <w:jc w:val="right"/>
            </w:pPr>
            <w:r>
              <w:rPr>
                <w:rFonts w:ascii="Calibri" w:hAnsi="Calibri"/>
                <w:sz w:val="17"/>
              </w:rPr>
              <w:t>1.34%</w:t>
            </w:r>
          </w:p>
        </w:tc>
        <w:tc>
          <w:tcPr>
            <w:tcW w:type="dxa" w:w="1120"/>
            <w:tcMar>
              <w:top w:w="70" w:type="dxa"/>
              <w:bottom w:w="70" w:type="dxa"/>
              <w:left w:w="90" w:type="dxa"/>
              <w:right w:w="90" w:type="dxa"/>
            </w:tcMar>
            <w:shd w:fill="F9FAFB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Taranjit Sandhu Samundri</w:t>
            </w:r>
          </w:p>
        </w:tc>
        <w:tc>
          <w:tcPr>
            <w:tcW w:type="dxa" w:w="1120"/>
            <w:tcMar>
              <w:top w:w="70" w:type="dxa"/>
              <w:bottom w:w="70" w:type="dxa"/>
              <w:left w:w="90" w:type="dxa"/>
              <w:right w:w="90" w:type="dxa"/>
            </w:tcMar>
            <w:shd w:fill="F9FAFB"/>
          </w:tcPr>
          <w:p>
            <w:pPr>
              <w:jc w:val="right"/>
            </w:pPr>
            <w:r>
              <w:rPr>
                <w:rFonts w:ascii="Calibri" w:hAnsi="Calibri"/>
                <w:sz w:val="17"/>
              </w:rPr>
              <w:t>8,056</w:t>
            </w:r>
          </w:p>
        </w:tc>
        <w:tc>
          <w:tcPr>
            <w:tcW w:type="dxa" w:w="1120"/>
            <w:tcMar>
              <w:top w:w="70" w:type="dxa"/>
              <w:bottom w:w="70" w:type="dxa"/>
              <w:left w:w="90" w:type="dxa"/>
              <w:right w:w="90" w:type="dxa"/>
            </w:tcMar>
            <w:shd w:fill="F9FAFB"/>
          </w:tcPr>
          <w:p>
            <w:pPr>
              <w:jc w:val="right"/>
            </w:pPr>
            <w:r>
              <w:rPr>
                <w:rFonts w:ascii="Calibri" w:hAnsi="Calibri"/>
                <w:sz w:val="17"/>
              </w:rPr>
              <w:t>7.76%</w:t>
            </w:r>
          </w:p>
        </w:tc>
        <w:tc>
          <w:tcPr>
            <w:tcW w:type="dxa" w:w="1120"/>
            <w:tcMar>
              <w:top w:w="70" w:type="dxa"/>
              <w:bottom w:w="70" w:type="dxa"/>
              <w:left w:w="90" w:type="dxa"/>
              <w:right w:w="90" w:type="dxa"/>
            </w:tcMar>
            <w:shd w:fill="F9FAFB"/>
          </w:tcPr>
          <w:p>
            <w:pPr>
              <w:jc w:val="right"/>
            </w:pPr>
            <w:r>
              <w:rPr>
                <w:rFonts w:ascii="Calibri" w:hAnsi="Calibri"/>
                <w:sz w:val="17"/>
              </w:rPr>
              <w:t>+6.42%</w:t>
            </w:r>
          </w:p>
        </w:tc>
        <w:tc>
          <w:tcPr>
            <w:tcW w:type="dxa" w:w="1120"/>
            <w:tcMar>
              <w:top w:w="70" w:type="dxa"/>
              <w:bottom w:w="70" w:type="dxa"/>
              <w:left w:w="90" w:type="dxa"/>
              <w:right w:w="90" w:type="dxa"/>
            </w:tcMar>
            <w:shd w:fill="F9FAFB"/>
          </w:tcPr>
          <w:p>
            <w:pPr>
              <w:jc w:val="right"/>
            </w:pPr>
            <w:r>
              <w:rPr>
                <w:rFonts w:ascii="Calibri" w:hAnsi="Calibri"/>
                <w:sz w:val="17"/>
              </w:rPr>
              <w:t>10</w:t>
            </w:r>
          </w:p>
        </w:tc>
      </w:tr>
      <w:tr>
        <w:tc>
          <w:tcPr>
            <w:tcW w:type="dxa" w:w="1120"/>
            <w:tcMar>
              <w:top w:w="70" w:type="dxa"/>
              <w:bottom w:w="70" w:type="dxa"/>
              <w:left w:w="90" w:type="dxa"/>
              <w:right w:w="90" w:type="dxa"/>
            </w:tcMar>
            <w:shd w:fill="EBF1F5"/>
          </w:tcPr>
          <w:p>
            <w:pPr>
              <w:jc w:val="left"/>
            </w:pPr>
            <w:r>
              <w:rPr>
                <w:rFonts w:ascii="Calibri" w:hAnsi="Calibri"/>
                <w:b/>
                <w:sz w:val="17"/>
              </w:rPr>
              <w:t>Total</w:t>
            </w:r>
          </w:p>
        </w:tc>
        <w:tc>
          <w:tcPr>
            <w:tcW w:type="dxa" w:w="1120"/>
            <w:tcMar>
              <w:top w:w="70" w:type="dxa"/>
              <w:bottom w:w="70" w:type="dxa"/>
              <w:left w:w="90" w:type="dxa"/>
              <w:right w:w="90" w:type="dxa"/>
            </w:tcMar>
            <w:shd w:fill="EBF1F5"/>
          </w:tcPr>
          <w:p>
            <w:pPr>
              <w:jc w:val="left"/>
            </w:pPr>
            <w:r>
              <w:rPr>
                <w:rFonts w:ascii="Calibri" w:hAnsi="Calibri"/>
                <w:b/>
                <w:sz w:val="17"/>
              </w:rPr>
              <w:t>All Candidates (Form-20)</w:t>
            </w:r>
          </w:p>
        </w:tc>
        <w:tc>
          <w:tcPr>
            <w:tcW w:type="dxa" w:w="1120"/>
            <w:tcMar>
              <w:top w:w="70" w:type="dxa"/>
              <w:bottom w:w="70" w:type="dxa"/>
              <w:left w:w="90" w:type="dxa"/>
              <w:right w:w="90" w:type="dxa"/>
            </w:tcMar>
            <w:shd w:fill="EBF1F5"/>
          </w:tcPr>
          <w:p>
            <w:pPr>
              <w:jc w:val="right"/>
            </w:pPr>
            <w:r>
              <w:rPr>
                <w:rFonts w:ascii="Calibri" w:hAnsi="Calibri"/>
                <w:b/>
                <w:sz w:val="17"/>
              </w:rPr>
              <w:t>121,532</w:t>
            </w:r>
          </w:p>
        </w:tc>
        <w:tc>
          <w:tcPr>
            <w:tcW w:type="dxa" w:w="1120"/>
            <w:tcMar>
              <w:top w:w="70" w:type="dxa"/>
              <w:bottom w:w="70" w:type="dxa"/>
              <w:left w:w="90" w:type="dxa"/>
              <w:right w:w="90" w:type="dxa"/>
            </w:tcMar>
            <w:shd w:fill="EBF1F5"/>
          </w:tcPr>
          <w:p>
            <w:pPr>
              <w:jc w:val="right"/>
            </w:pPr>
            <w:r>
              <w:rPr>
                <w:rFonts w:ascii="Calibri" w:hAnsi="Calibri"/>
                <w:b/>
                <w:sz w:val="17"/>
              </w:rPr>
              <w:t>100.0%</w:t>
            </w:r>
          </w:p>
        </w:tc>
        <w:tc>
          <w:tcPr>
            <w:tcW w:type="dxa" w:w="1120"/>
            <w:tcMar>
              <w:top w:w="70" w:type="dxa"/>
              <w:bottom w:w="70" w:type="dxa"/>
              <w:left w:w="90" w:type="dxa"/>
              <w:right w:w="90" w:type="dxa"/>
            </w:tcMar>
            <w:shd w:fill="EBF1F5"/>
          </w:tcPr>
          <w:p>
            <w:pPr>
              <w:jc w:val="left"/>
            </w:pPr>
            <w:r>
              <w:rPr>
                <w:rFonts w:ascii="Calibri" w:hAnsi="Calibri"/>
                <w:b/>
                <w:sz w:val="17"/>
              </w:rPr>
              <w:t>All Candidates (Form-20)</w:t>
            </w:r>
          </w:p>
        </w:tc>
        <w:tc>
          <w:tcPr>
            <w:tcW w:type="dxa" w:w="1120"/>
            <w:tcMar>
              <w:top w:w="70" w:type="dxa"/>
              <w:bottom w:w="70" w:type="dxa"/>
              <w:left w:w="90" w:type="dxa"/>
              <w:right w:w="90" w:type="dxa"/>
            </w:tcMar>
            <w:shd w:fill="EBF1F5"/>
          </w:tcPr>
          <w:p>
            <w:pPr>
              <w:jc w:val="right"/>
            </w:pPr>
            <w:r>
              <w:rPr>
                <w:rFonts w:ascii="Calibri" w:hAnsi="Calibri"/>
                <w:b/>
                <w:sz w:val="17"/>
              </w:rPr>
              <w:t>103,790</w:t>
            </w:r>
          </w:p>
        </w:tc>
        <w:tc>
          <w:tcPr>
            <w:tcW w:type="dxa" w:w="1120"/>
            <w:tcMar>
              <w:top w:w="70" w:type="dxa"/>
              <w:bottom w:w="70" w:type="dxa"/>
              <w:left w:w="90" w:type="dxa"/>
              <w:right w:w="90" w:type="dxa"/>
            </w:tcMar>
            <w:shd w:fill="EBF1F5"/>
          </w:tcPr>
          <w:p>
            <w:pPr>
              <w:jc w:val="right"/>
            </w:pPr>
            <w:r>
              <w:rPr>
                <w:rFonts w:ascii="Calibri" w:hAnsi="Calibri"/>
                <w:b/>
                <w:sz w:val="17"/>
              </w:rPr>
              <w:t>100.0%</w:t>
            </w:r>
          </w:p>
        </w:tc>
        <w:tc>
          <w:tcPr>
            <w:tcW w:type="dxa" w:w="1120"/>
            <w:tcMar>
              <w:top w:w="70" w:type="dxa"/>
              <w:bottom w:w="70" w:type="dxa"/>
              <w:left w:w="90" w:type="dxa"/>
              <w:right w:w="90" w:type="dxa"/>
            </w:tcMar>
            <w:shd w:fill="EBF1F5"/>
          </w:tcPr>
          <w:p>
            <w:pPr>
              <w:jc w:val="right"/>
            </w:pPr>
            <w:r>
              <w:rPr>
                <w:rFonts w:ascii="Calibri" w:hAnsi="Calibri"/>
                <w:b/>
                <w:sz w:val="17"/>
              </w:rPr>
              <w:t>-14.60%</w:t>
            </w:r>
          </w:p>
        </w:tc>
        <w:tc>
          <w:tcPr>
            <w:tcW w:type="dxa" w:w="1120"/>
            <w:tcMar>
              <w:top w:w="70" w:type="dxa"/>
              <w:bottom w:w="70" w:type="dxa"/>
              <w:left w:w="90" w:type="dxa"/>
              <w:right w:w="90" w:type="dxa"/>
            </w:tcMar>
            <w:shd w:fill="EBF1F5"/>
          </w:tcPr>
          <w:p>
            <w:pPr>
              <w:jc w:val="right"/>
            </w:pPr>
            <w:r>
              <w:rPr>
                <w:rFonts w:ascii="Calibri" w:hAnsi="Calibri"/>
                <w:b/>
                <w:sz w:val="17"/>
              </w:rPr>
              <w:t>187</w:t>
            </w:r>
          </w:p>
        </w:tc>
      </w:tr>
    </w:tbl>
    <w:p>
      <w:pPr>
        <w:pStyle w:val="Heading1"/>
        <w:spacing w:before="280" w:after="120"/>
      </w:pPr>
      <w:r>
        <w:rPr>
          <w:rFonts w:ascii="Calibri" w:hAnsi="Calibri"/>
          <w:color w:val="1F4E79"/>
          <w:sz w:val="28"/>
        </w:rPr>
        <w:t>3. Ground Booth Migration &amp; 4x4 Transition Matrix</w:t>
      </w:r>
    </w:p>
    <w:p>
      <w:pPr>
        <w:spacing w:line="276" w:lineRule="auto" w:after="120"/>
      </w:pPr>
      <w:r>
        <w:t>Out of 187 active polling stations evaluated in 2024, 116 booths were retained by the 2022 incumbent party, while 71 booths flipped. The detailed migration dynamics reveal:</w:t>
        <w:br/>
        <w:t>• SAD Retained 115 booths, but lost 35 booths to AAP, 10 booths to BJP, and 9 booths to INC.</w:t>
        <w:br/>
        <w:t>• AAP expanded from 17 booth wins in 2022 to 39 booth wins in 2024 (gaining 35 from SAD and 3 from INC).</w:t>
        <w:br/>
        <w:t>• BJP broke through in 10 urban/peri-urban booths previously controlled by SAD.</w:t>
        <w:br/>
        <w:t>• INC captured 9 rural booths from SAD.</w:t>
      </w:r>
    </w:p>
    <w:p>
      <w:pPr>
        <w:pStyle w:val="Heading1"/>
        <w:spacing w:before="280" w:after="120"/>
      </w:pPr>
      <w:r>
        <w:rPr>
          <w:rFonts w:ascii="Calibri" w:hAnsi="Calibri"/>
          <w:color w:val="1F4E79"/>
          <w:sz w:val="28"/>
        </w:rPr>
        <w:t>4. 90-Day Tactical Ground Operations Strategy (Target 2027)</w:t>
      </w:r>
    </w:p>
    <w:p>
      <w:pPr>
        <w:spacing w:line="276" w:lineRule="auto"/>
      </w:pPr>
      <w:r>
        <w:t>To consolidate AAP's 39-booth footprint and systematically dismantle the remaining SAD bastions, the campaign will execute a disciplined 90-day field deployment cycle:</w:t>
        <w:br/>
        <w:br/>
        <w:t>• Phase 1 (Days 1–30): Cadre Audit &amp; Cluster Leadership. Establish 12-member active youth units in all 39 won booths and designate 2 dedicated booth captains in the 54 vulnerable Akali deficit booths (margin &lt; 100 votes).</w:t>
        <w:br/>
        <w:t>• Phase 2 (Days 31–45): Direct Farmer &amp; Panthic Dialogue. Conduct village-level grievance roundtables focusing on canal water tail-end delivery, uninterrupted agricultural power supply, and state welfare coverage.</w:t>
        <w:br/>
        <w:t>• Phase 3 (Days 46–60): Civic &amp; Urban Outreach. Neutralize BJP's gains in urban Majitha wards through merchant meetings, local infrastructure works, and small business support.</w:t>
        <w:br/>
        <w:t>• Phase 4 (Days 61–75): Secondary Re-Engagement. Revisit swing households with verified resolution receipts of their grievances.</w:t>
        <w:br/>
        <w:t>• Phase 5 (Days 76–90): Pre-Election Readiness &amp; GOTV Simulation. Audit complete voter roll mappings and finalize booth mobilization committees.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