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32"/>
          <w:szCs w:val="32"/>
        </w:rPr>
        <w:t xml:space="preserve">UJEPH</w:t>
      </w:r>
    </w:p>
    <w:p>
      <w:pPr>
        <w:spacing w:after="60" w:before="60"/>
        <w:jc w:val="center"/>
      </w:pPr>
      <w:r>
        <w:rPr>
          <w:i/>
          <w:iCs/>
          <w:color w:val="595959"/>
          <w:sz w:val="18"/>
          <w:szCs w:val="18"/>
        </w:rPr>
        <w:t xml:space="preserve">[Nom officiel complet de l'université à confirmer]</w:t>
      </w:r>
    </w:p>
    <w:p>
      <w:pPr>
        <w:spacing w:before="60"/>
        <w:jc w:val="center"/>
      </w:pPr>
      <w:r>
        <w:rPr>
          <w:color w:val="1f4e5f"/>
        </w:rPr>
        <w:t xml:space="preserve">___________________________________________</w:t>
      </w:r>
    </w:p>
    <w:p>
      <w:pPr>
        <w:spacing w:before="700"/>
        <w:jc w:val="center"/>
      </w:pPr>
      <w:r>
        <w:rPr>
          <w:i/>
          <w:iCs/>
          <w:color w:val="595959"/>
          <w:sz w:val="20"/>
          <w:szCs w:val="20"/>
        </w:rPr>
        <w:t xml:space="preserve">[Faculté à confirmer — ex. Faculté des Sciences et Technologies]</w:t>
      </w:r>
    </w:p>
    <w:p>
      <w:pPr>
        <w:spacing w:after="200" w:before="900"/>
        <w:jc w:val="center"/>
      </w:pPr>
      <w:r>
        <w:rPr>
          <w:b/>
          <w:bCs/>
          <w:sz w:val="36"/>
          <w:szCs w:val="36"/>
        </w:rPr>
        <w:t xml:space="preserve">PROGRAMME DE LICENCE</w:t>
      </w:r>
    </w:p>
    <w:p>
      <w:pPr>
        <w:spacing w:after="400"/>
        <w:jc w:val="center"/>
      </w:pPr>
      <w:r>
        <w:rPr>
          <w:b/>
          <w:bCs/>
          <w:color w:val="1f4e5f"/>
          <w:sz w:val="36"/>
          <w:szCs w:val="36"/>
        </w:rPr>
        <w:t xml:space="preserve">EN SCIENCES INFORMATIQUES</w:t>
      </w:r>
    </w:p>
    <w:p>
      <w:pPr>
        <w:spacing w:after="100"/>
        <w:jc w:val="center"/>
      </w:pPr>
      <w:r>
        <w:rPr>
          <w:sz w:val="22"/>
          <w:szCs w:val="22"/>
        </w:rPr>
        <w:t xml:space="preserve">Cursus en 4 ans — 8 semestres — 240 crédits</w:t>
      </w:r>
    </w:p>
    <w:p>
      <w:pPr>
        <w:spacing w:after="100"/>
        <w:jc w:val="center"/>
      </w:pPr>
      <w:r>
        <w:rPr>
          <w:color w:val="595959"/>
          <w:sz w:val="20"/>
          <w:szCs w:val="20"/>
        </w:rPr>
        <w:t xml:space="preserve">Système LMD, référencé au cadre de l'enseignement supérieur haïtien (MENFP / CIES)</w:t>
      </w:r>
    </w:p>
    <w:p>
      <w:pPr>
        <w:spacing w:after="100"/>
        <w:jc w:val="center"/>
      </w:pPr>
      <w:r>
        <w:rPr>
          <w:color w:val="595959"/>
          <w:sz w:val="20"/>
          <w:szCs w:val="20"/>
        </w:rPr>
        <w:t xml:space="preserve">et aligné sur le référentiel international ACM/IEEE Computer Science Curricula</w:t>
      </w:r>
    </w:p>
    <w:p>
      <w:pPr>
        <w:spacing w:before="1400"/>
        <w:jc w:val="center"/>
      </w:pPr>
      <w:r>
        <w:rPr>
          <w:i/>
          <w:iCs/>
          <w:color w:val="595959"/>
          <w:sz w:val="18"/>
          <w:szCs w:val="18"/>
        </w:rPr>
        <w:t xml:space="preserve">Document de travail — Version 1.0 — Août 2026</w:t>
      </w:r>
    </w:p>
    <w:p>
      <w:pPr>
        <w:spacing w:before="40"/>
        <w:jc w:val="center"/>
      </w:pPr>
      <w:r>
        <w:rPr>
          <w:i/>
          <w:iCs/>
          <w:color w:val="595959"/>
          <w:sz w:val="18"/>
          <w:szCs w:val="18"/>
        </w:rPr>
        <w:t xml:space="preserve">Préparé pour révision et validation par le conseil académique de l'UJEPH</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I. Préambule et justification du programme</w:t>
      </w:r>
    </w:p>
    <w:p>
      <w:pPr>
        <w:spacing w:after="160" w:line="276"/>
        <w:jc w:val="both"/>
      </w:pPr>
      <w:r>
        <w:rPr>
          <w:b w:val="false"/>
          <w:bCs w:val="false"/>
          <w:i w:val="false"/>
          <w:iCs w:val="false"/>
        </w:rPr>
        <w:t xml:space="preserve">Le présent document propose la structure complète du programme de Licence en Sciences Informatiques de l'UJEPH. Il a pour but de doter l'université d'un cursus rigoureux, cohérent avec les standards internationaux du domaine, tout en restant ancré dans les réalités et les besoins du marché haïtien.</w:t>
      </w:r>
    </w:p>
    <w:p>
      <w:pPr>
        <w:spacing w:after="160" w:line="276"/>
        <w:jc w:val="both"/>
      </w:pPr>
      <w:r>
        <w:rPr>
          <w:b w:val="false"/>
          <w:bCs w:val="false"/>
          <w:i w:val="false"/>
          <w:iCs w:val="false"/>
        </w:rPr>
        <w:t xml:space="preserve">La demande en compétences numériques en Haïti (développement d'applications web et mobile, administration de systèmes, gestion de bases de données, cybersécurité, intelligence artificielle) dépasse largement l'offre actuelle de diplômés qualifiés. Ce programme vise à former des informaticiens immédiatement opérationnels — capables de concevoir, développer, déployer et sécuriser des systèmes d'information — tout en leur donnant les bases théoriques nécessaires à une poursuite d'études (Master, spécialisations) en Haïti comme à l'étranger.</w:t>
      </w:r>
    </w:p>
    <w:p>
      <w:pPr>
        <w:spacing w:after="160" w:line="276"/>
        <w:jc w:val="both"/>
      </w:pPr>
      <w:r>
        <w:rPr>
          <w:b w:val="false"/>
          <w:bCs w:val="false"/>
          <w:i w:val="false"/>
          <w:iCs w:val="false"/>
        </w:rPr>
        <w:t xml:space="preserve">Ce document est un projet de travail destiné à être révisé, amendé et validé par le conseil académique de l'UJEPH avant tout dépôt officiel auprès des autorités compétentes (MENFP / CIES). Les champs entre crochets (nom légal de l'établissement, faculté de rattachement, composition du conseil académique) sont à compléter par l'administration.</w:t>
      </w:r>
    </w:p>
    <w:p>
      <w:pPr>
        <w:pStyle w:val="Heading1"/>
        <w:spacing w:after="200" w:before="400"/>
      </w:pPr>
      <w:r>
        <w:t xml:space="preserve">II. Objectifs du programme et profil de sortie</w:t>
      </w:r>
    </w:p>
    <w:p>
      <w:pPr>
        <w:pStyle w:val="Heading2"/>
        <w:spacing w:after="150" w:before="300"/>
      </w:pPr>
      <w:r>
        <w:t xml:space="preserve">2.1 Objectif général</w:t>
      </w:r>
    </w:p>
    <w:p>
      <w:pPr>
        <w:spacing w:after="160" w:line="276"/>
        <w:jc w:val="both"/>
      </w:pPr>
      <w:r>
        <w:rPr>
          <w:b w:val="false"/>
          <w:bCs w:val="false"/>
          <w:i w:val="false"/>
          <w:iCs w:val="false"/>
        </w:rPr>
        <w:t xml:space="preserve">Former, en quatre années, des licenciés en Sciences Informatiques possédant une maîtrise solide des fondements théoriques de l'informatique et une capacité éprouvée à concevoir et réaliser des systèmes logiciels complets, robustes et sécurisés, adaptés au contexte technologique et économique haïtien.</w:t>
      </w:r>
    </w:p>
    <w:p>
      <w:pPr>
        <w:pStyle w:val="Heading2"/>
        <w:spacing w:after="150" w:before="300"/>
      </w:pPr>
      <w:r>
        <w:t xml:space="preserve">2.2 Compétences génériques visées</w:t>
      </w:r>
    </w:p>
    <w:p>
      <w:pPr>
        <w:pStyle w:val="ListParagraph"/>
        <w:numPr>
          <w:ilvl w:val="0"/>
          <w:numId w:val="2"/>
        </w:numPr>
        <w:spacing w:after="80"/>
      </w:pPr>
      <w:r>
        <w:t xml:space="preserve">Modéliser un problème et concevoir une solution algorithmique rigoureuse.</w:t>
      </w:r>
    </w:p>
    <w:p>
      <w:pPr>
        <w:pStyle w:val="ListParagraph"/>
        <w:numPr>
          <w:ilvl w:val="0"/>
          <w:numId w:val="2"/>
        </w:numPr>
        <w:spacing w:after="80"/>
      </w:pPr>
      <w:r>
        <w:t xml:space="preserve">Concevoir, développer et maintenir des applications web et mobiles de qualité professionnelle.</w:t>
      </w:r>
    </w:p>
    <w:p>
      <w:pPr>
        <w:pStyle w:val="ListParagraph"/>
        <w:numPr>
          <w:ilvl w:val="0"/>
          <w:numId w:val="2"/>
        </w:numPr>
        <w:spacing w:after="80"/>
      </w:pPr>
      <w:r>
        <w:t xml:space="preserve">Concevoir et administrer des bases de données relationnelles et non-relationnelles.</w:t>
      </w:r>
    </w:p>
    <w:p>
      <w:pPr>
        <w:pStyle w:val="ListParagraph"/>
        <w:numPr>
          <w:ilvl w:val="0"/>
          <w:numId w:val="2"/>
        </w:numPr>
        <w:spacing w:after="80"/>
      </w:pPr>
      <w:r>
        <w:t xml:space="preserve">Déployer, sécuriser et administrer des systèmes et des réseaux informatiques.</w:t>
      </w:r>
    </w:p>
    <w:p>
      <w:pPr>
        <w:pStyle w:val="ListParagraph"/>
        <w:numPr>
          <w:ilvl w:val="0"/>
          <w:numId w:val="2"/>
        </w:numPr>
        <w:spacing w:after="80"/>
      </w:pPr>
      <w:r>
        <w:t xml:space="preserve">Travailler en équipe selon les méthodologies de génie logiciel reconnues (agilité, gestion de projet, tests, intégration continue).</w:t>
      </w:r>
    </w:p>
    <w:p>
      <w:pPr>
        <w:pStyle w:val="ListParagraph"/>
        <w:numPr>
          <w:ilvl w:val="0"/>
          <w:numId w:val="2"/>
        </w:numPr>
        <w:spacing w:after="80"/>
      </w:pPr>
      <w:r>
        <w:t xml:space="preserve">Communiquer efficacement à l'écrit et à l'oral, en français comme en anglais technique, avec des publics techniques et non techniques.</w:t>
      </w:r>
    </w:p>
    <w:p>
      <w:pPr>
        <w:pStyle w:val="ListParagraph"/>
        <w:numPr>
          <w:ilvl w:val="0"/>
          <w:numId w:val="2"/>
        </w:numPr>
        <w:spacing w:after="80"/>
      </w:pPr>
      <w:r>
        <w:t xml:space="preserve">Adopter une démarche éthique et responsable dans la conception et l'usage des technologies (protection des données, propriété intellectuelle).</w:t>
      </w:r>
    </w:p>
    <w:p>
      <w:pPr>
        <w:pStyle w:val="ListParagraph"/>
        <w:numPr>
          <w:ilvl w:val="0"/>
          <w:numId w:val="2"/>
        </w:numPr>
        <w:spacing w:after="80"/>
      </w:pPr>
      <w:r>
        <w:t xml:space="preserve">Faire preuve d'autonomie, d'esprit critique et de capacité d'apprentissage continu face à l'évolution rapide du secteur.</w:t>
      </w:r>
    </w:p>
    <w:p>
      <w:pPr>
        <w:pStyle w:val="Heading2"/>
        <w:spacing w:after="150" w:before="300"/>
      </w:pPr>
      <w:r>
        <w:t xml:space="preserve">2.3 Profil de sortie et débouchés</w:t>
      </w:r>
    </w:p>
    <w:p>
      <w:pPr>
        <w:spacing w:after="160" w:line="276"/>
        <w:jc w:val="both"/>
      </w:pPr>
      <w:r>
        <w:rPr>
          <w:b w:val="false"/>
          <w:bCs w:val="false"/>
          <w:i w:val="false"/>
          <w:iCs w:val="false"/>
        </w:rPr>
        <w:t xml:space="preserve">À l'issue de la licence, le diplômé peut occuper des postes tels que : développeur d'applications web et mobiles, administrateur systèmes et réseaux, analyste/administrateur de bases de données, chargé de projets informatiques, technicien en cybersécurité, ou entreprendre la création de sa propre entreprise de services numériques. Le diplôme constitue également une base solide pour la poursuite d'études en Master (informatique, data science, cybersécurité, génie logiciel) en Haïti ou à l'étranger.</w:t>
      </w:r>
    </w:p>
    <w:p>
      <w:pPr>
        <w:pStyle w:val="Heading1"/>
        <w:spacing w:after="200" w:before="400"/>
      </w:pPr>
      <w:r>
        <w:t xml:space="preserve">III. Conditions d'admission</w:t>
      </w:r>
    </w:p>
    <w:p>
      <w:pPr>
        <w:pStyle w:val="ListParagraph"/>
        <w:numPr>
          <w:ilvl w:val="0"/>
          <w:numId w:val="2"/>
        </w:numPr>
        <w:spacing w:after="80"/>
      </w:pPr>
      <w:r>
        <w:t xml:space="preserve">Être titulaire du baccalauréat haïtien (ou d'un diplôme reconnu équivalent par le MENFP).</w:t>
      </w:r>
    </w:p>
    <w:p>
      <w:pPr>
        <w:pStyle w:val="ListParagraph"/>
        <w:numPr>
          <w:ilvl w:val="0"/>
          <w:numId w:val="2"/>
        </w:numPr>
        <w:spacing w:after="80"/>
      </w:pPr>
      <w:r>
        <w:t xml:space="preserve">Réussir l'examen d'entrée de l'UJEPH, incluant une épreuve de mathématiques et une épreuve de logique/aptitude.</w:t>
      </w:r>
    </w:p>
    <w:p>
      <w:pPr>
        <w:pStyle w:val="ListParagraph"/>
        <w:numPr>
          <w:ilvl w:val="0"/>
          <w:numId w:val="2"/>
        </w:numPr>
        <w:spacing w:after="80"/>
      </w:pPr>
      <w:r>
        <w:t xml:space="preserve">Passerelles : admission en L2 ou L3 possible sur dossier pour les candidats titulaires d'un diplôme technique (BTS, DUT ou équivalent) en informatique, après étude de dossier par le conseil académique.</w:t>
      </w:r>
    </w:p>
    <w:p>
      <w:pPr>
        <w:pStyle w:val="Heading1"/>
        <w:spacing w:after="200" w:before="400"/>
      </w:pPr>
      <w:r>
        <w:t xml:space="preserve">IV. Organisation générale des études</w:t>
      </w:r>
    </w:p>
    <w:p>
      <w:pPr>
        <w:pStyle w:val="Heading2"/>
        <w:spacing w:after="150" w:before="300"/>
      </w:pPr>
      <w:r>
        <w:t xml:space="preserve">4.1 Structure LMD et système de crédits</w:t>
      </w:r>
    </w:p>
    <w:p>
      <w:pPr>
        <w:spacing w:after="160" w:line="276"/>
        <w:jc w:val="both"/>
      </w:pPr>
      <w:r>
        <w:rPr>
          <w:b w:val="false"/>
          <w:bCs w:val="false"/>
          <w:i w:val="false"/>
          <w:iCs w:val="false"/>
        </w:rPr>
        <w:t xml:space="preserve">Le programme est organisé selon le système Licence-Master-Doctorat (LMD), sur 4 années académiques réparties en 8 semestres (S1 à S8). Chaque semestre représente 30 crédits, pour un total de 240 crédits sur l'ensemble du cursus — une architecture compatible avec les systèmes de crédits européens (ECTS) et nord-américains, facilitant la mobilité et la poursuite d'études à l'international.</w:t>
      </w:r>
    </w:p>
    <w:p>
      <w:pPr>
        <w:spacing w:after="160" w:line="276"/>
        <w:jc w:val="both"/>
      </w:pPr>
      <w:r>
        <w:rPr>
          <w:b w:val="false"/>
          <w:bCs w:val="false"/>
          <w:i w:val="false"/>
          <w:iCs w:val="false"/>
        </w:rPr>
        <w:t xml:space="preserve">Convention retenue pour ce document : 1 crédit correspond à environ 15 heures d'enseignement encadré (cours magistraux, travaux dirigés et travaux pratiques confondus), auxquelles s'ajoute un volume équivalent de travail personnel de l'étudiant. Cette convention est indicative et pourra être ajustée par le conseil académique selon les standards retenus par l'UJEPH pour ses autres facultés.</w:t>
      </w:r>
    </w:p>
    <w:p>
      <w:pPr>
        <w:pStyle w:val="Heading2"/>
        <w:spacing w:after="150" w:before="300"/>
      </w:pPr>
      <w:r>
        <w:t xml:space="preserve">4.2 Unités d'enseignement (UE)</w:t>
      </w:r>
    </w:p>
    <w:p>
      <w:pPr>
        <w:spacing w:after="160" w:line="276"/>
        <w:jc w:val="both"/>
      </w:pPr>
      <w:r>
        <w:rPr>
          <w:b w:val="false"/>
          <w:bCs w:val="false"/>
          <w:i w:val="false"/>
          <w:iCs w:val="false"/>
        </w:rPr>
        <w:t xml:space="preserve">Chaque semestre est composé d'Unités d'Enseignement (UE), obligatoires ou optionnelles. Les UE optionnelles n'apparaissent qu'aux semestres 7 et 8, dans le cadre des parcours de spécialisation (voir section VI).</w:t>
      </w:r>
    </w:p>
    <w:p>
      <w:pPr>
        <w:spacing w:after="160" w:line="276"/>
        <w:jc w:val="both"/>
      </w:pPr>
      <w:r>
        <w:rPr>
          <w:b w:val="false"/>
          <w:bCs w:val="false"/>
          <w:i w:val="false"/>
          <w:iCs w:val="false"/>
        </w:rPr>
        <w:t xml:space="preserve">Cette structure (UE identifiée par un code, un intitulé, un nombre de crédits, un type Obligatoire/Optionnelle, rattachée à un semestre S1/S2 par année) correspond directement au modèle de données déjà utilisé par le système de gestion académique de l'UJEPH, ce qui permettra une saisie directe du programme dans l'outil une fois celui-ci validé.</w:t>
      </w:r>
    </w:p>
    <w:p>
      <w:r>
        <w:br w:type="page"/>
      </w:r>
    </w:p>
    <w:p>
      <w:pPr>
        <w:pStyle w:val="Heading1"/>
        <w:spacing w:after="200" w:before="400"/>
      </w:pPr>
      <w:r>
        <w:t xml:space="preserve">V. Structure du cursus par semestre</w:t>
      </w:r>
    </w:p>
    <w:p>
      <w:pPr>
        <w:spacing w:after="160" w:line="276"/>
        <w:jc w:val="left"/>
      </w:pPr>
      <w:r>
        <w:rPr>
          <w:b w:val="false"/>
          <w:bCs w:val="false"/>
          <w:i w:val="false"/>
          <w:iCs w:val="false"/>
        </w:rPr>
        <w:t xml:space="preserve">Les tableaux ci-dessous détaillent, semestre par semestre, les UE composant le programme. Les crédits de chaque semestre totalisent 30, pour un cumul de 240 sur les 4 années.</w:t>
      </w:r>
    </w:p>
    <w:p>
      <w:pPr>
        <w:pStyle w:val="Heading2"/>
        <w:spacing w:after="150" w:before="300"/>
      </w:pPr>
      <w:r>
        <w:t xml:space="preserve">Année 1 — Semestre 1 (L1-S1)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INF101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Introduction à l'informatique et algorithmique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INF102</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Programmation impérative (langage C)</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6</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90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MAT101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Mathématiques pour l'informatique I (algèbre, logique)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6</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90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INF103</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Architecture des ordinateurs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INF104</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Introduction aux systèmes d'exploitation</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45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MET101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Méthodologie du travail universitaire</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45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ANG101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Anglais technique I</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2</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30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pPr>
        <w:pStyle w:val="Heading2"/>
        <w:spacing w:after="150" w:before="300"/>
      </w:pPr>
      <w:r>
        <w:t xml:space="preserve">Année 1 — Semestre 2 (L1-S2)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INF105</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Programmation orientée objet (Java)</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6</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90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INF102</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INF106</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Structures de données et algorithmes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6</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90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INF101, INF102</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MAT102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Mathématiques pour l'informatique II (analyse, probabilités)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MAT101</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INF107</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Systèmes d'exploitation</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INF104</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INF108</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Bases de données I (modélisation, SQL)</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ANG102</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Anglais technique II</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2</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30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ANG101</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ETH101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Éthique et déontologie professionnelle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2</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30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r>
        <w:br w:type="page"/>
      </w:r>
    </w:p>
    <w:p>
      <w:pPr>
        <w:pStyle w:val="Heading2"/>
        <w:spacing w:after="150" w:before="300"/>
      </w:pPr>
      <w:r>
        <w:t xml:space="preserve">Année 2 — Semestre 3 (L2-S1)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INF201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Structures de données avancées et complexité algorithmique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INF106</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INF202</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Programmation web I (HTML, CSS, JavaScript)</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INF105</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INF203</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Bases de données II (transactions, administration)</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INF108</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RES201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Réseaux informatiques I</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GL201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Génie logiciel I (cycles de vie, UML)</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INF105</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MAT201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Probabilités et statistiques appliquées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MAT102</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ANG201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Communication professionnelle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45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ANG102</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pPr>
        <w:pStyle w:val="Heading2"/>
        <w:spacing w:after="150" w:before="300"/>
      </w:pPr>
      <w:r>
        <w:t xml:space="preserve">Année 2 — Semestre 4 (L2-S2)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INF204</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Programmation web II (frameworks, back-end)</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INF202</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RES202</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Réseaux informatiques II (protocoles, TCP/IP)</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RES201</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INF205</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Administration des systèmes (Linux)</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INF107</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GL202</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Génie logiciel II (méthodes agiles, tests)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GL201</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MAT202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Structures discrètes et théorie des graphes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MAT101</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STG201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Stage d'observation en entreprise</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120 h (terrain)</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PRJ201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Projet intégrateur de fin de L2</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INF106, INF203</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r>
        <w:br w:type="page"/>
      </w:r>
    </w:p>
    <w:p>
      <w:pPr>
        <w:pStyle w:val="Heading2"/>
        <w:spacing w:after="150" w:before="300"/>
      </w:pPr>
      <w:r>
        <w:t xml:space="preserve">Année 3 — Semestre 5 (L3-S1)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INF301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Systèmes d'information et analyse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INF203</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SEC301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Sécurité informatique I (fondamentaux)</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RES202</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IA301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Intelligence artificielle I (introduction, apprentissage automatique)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MAT201</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GL301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Architecture logicielle et design patterns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GL202</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INF302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Développement mobile I</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INF105</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GES301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Gestion de projets informatiques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GL202</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ANG301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Anglais technique IV</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45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ANG201</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pPr>
        <w:pStyle w:val="Heading2"/>
        <w:spacing w:after="150" w:before="300"/>
      </w:pPr>
      <w:r>
        <w:t xml:space="preserve">Année 3 — Semestre 6 (L3-S2)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BDD302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Bases de données avancées et Big Data</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INF301</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SEC302</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Sécurité informatique II (cryptographie, sécurité réseau)</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SEC301</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IA302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Apprentissage automatique avancé et réseaux de neurones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IA301</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CLD301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Cloud computing et virtualisation</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INF205</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INF303</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Développement mobile II</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INF302</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ENT301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Entrepreneuriat et innovation technologique</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STG301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Stage pratique I en entreprise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160 h (terrain)</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STG201</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r>
        <w:br w:type="page"/>
      </w:r>
    </w:p>
    <w:p>
      <w:pPr>
        <w:pStyle w:val="Heading2"/>
        <w:spacing w:after="150" w:before="300"/>
      </w:pPr>
      <w:r>
        <w:t xml:space="preserve">Année 4 — Semestre 7 (L4-S1)</w:t>
      </w:r>
    </w:p>
    <w:p>
      <w:pPr>
        <w:spacing w:after="160" w:line="276"/>
        <w:jc w:val="left"/>
      </w:pPr>
      <w:r>
        <w:rPr>
          <w:b w:val="false"/>
          <w:bCs w:val="false"/>
          <w:i w:val="false"/>
          <w:iCs w:val="false"/>
        </w:rPr>
        <w:t xml:space="preserve">Les UE OPT-1 et OPT-2 sont choisies par l'étudiant au sein d'un même parcours de spécialisation (voir section VI).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SYS401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Architectures distribuées et systèmes parallèles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RES202, INF205</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GL401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Génie logiciel avancé (microservices, DevOps)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5</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75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GL301</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DAT401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Science des données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MAT201, BDD302</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OPT-1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Option de parcours 1 (voir tableau des parcours)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Optionnelle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OPT-2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Option de parcours 2 (voir tableau des parcours)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Optionnelle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SEM401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Séminaire de recherche et rédaction scientifique</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DRT401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Droit du numérique et propriété intellectuelle</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4</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60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pPr>
        <w:pStyle w:val="Heading2"/>
        <w:spacing w:after="150" w:before="300"/>
      </w:pPr>
      <w:r>
        <w:t xml:space="preserve">Année 4 — Semestre 8 (L4-S2)</w:t>
      </w:r>
    </w:p>
    <w:p>
      <w:pPr>
        <w:spacing w:after="160" w:line="276"/>
        <w:jc w:val="left"/>
      </w:pPr>
      <w:r>
        <w:rPr>
          <w:b w:val="false"/>
          <w:bCs w:val="false"/>
          <w:i w:val="false"/>
          <w:iCs w:val="false"/>
        </w:rPr>
        <w:t xml:space="preserve">L'UE OPT-3 poursuit le même parcours choisi au semestre 7. Ce dernier semestre est délibérément allégé en cours (4 UE) pour laisser la place au stage professionnel et au mémoire.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800"/>
        <w:gridCol w:w="1300"/>
        <w:gridCol w:w="2180"/>
      </w:tblGrid>
      <w:tr>
        <w:trPr>
          <w:tblHeader/>
        </w:trPr>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Code</w:t>
            </w:r>
          </w:p>
        </w:tc>
        <w:tc>
          <w:tcPr>
            <w:tcW w:type="dxa" w:w="3800"/>
            <w:shd w:fill="1f4e5f" w:color="auto" w:val="clear"/>
            <w:tcMar>
              <w:top w:type="dxa" w:w="80"/>
              <w:left w:type="dxa" w:w="100"/>
              <w:bottom w:type="dxa" w:w="80"/>
              <w:right w:type="dxa" w:w="100"/>
            </w:tcMar>
            <w:vAlign w:val="center"/>
          </w:tcPr>
          <w:p>
            <w:pPr>
              <w:jc w:val="left"/>
            </w:pPr>
            <w:r>
              <w:rPr>
                <w:b/>
                <w:bCs/>
                <w:color w:val="FFFFFF"/>
                <w:sz w:val="18"/>
                <w:szCs w:val="18"/>
              </w:rPr>
              <w:t xml:space="preserve">Intitulé de l'UE</w:t>
            </w:r>
          </w:p>
        </w:tc>
        <w:tc>
          <w:tcPr>
            <w:tcW w:type="dxa" w:w="1200"/>
            <w:shd w:fill="1f4e5f" w:color="auto" w:val="clear"/>
            <w:tcMar>
              <w:top w:type="dxa" w:w="80"/>
              <w:left w:type="dxa" w:w="100"/>
              <w:bottom w:type="dxa" w:w="80"/>
              <w:right w:type="dxa" w:w="100"/>
            </w:tcMar>
            <w:vAlign w:val="center"/>
          </w:tcPr>
          <w:p>
            <w:pPr>
              <w:jc w:val="center"/>
            </w:pPr>
            <w:r>
              <w:rPr>
                <w:b/>
                <w:bCs/>
                <w:color w:val="FFFFFF"/>
                <w:sz w:val="18"/>
                <w:szCs w:val="18"/>
              </w:rPr>
              <w:t xml:space="preserve">Type</w:t>
            </w:r>
          </w:p>
        </w:tc>
        <w:tc>
          <w:tcPr>
            <w:tcW w:type="dxa" w:w="80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1300"/>
            <w:shd w:fill="1f4e5f" w:color="auto" w:val="clear"/>
            <w:tcMar>
              <w:top w:type="dxa" w:w="80"/>
              <w:left w:type="dxa" w:w="100"/>
              <w:bottom w:type="dxa" w:w="80"/>
              <w:right w:type="dxa" w:w="100"/>
            </w:tcMar>
            <w:vAlign w:val="center"/>
          </w:tcPr>
          <w:p>
            <w:pPr>
              <w:jc w:val="center"/>
            </w:pPr>
            <w:r>
              <w:rPr>
                <w:b/>
                <w:bCs/>
                <w:color w:val="FFFFFF"/>
                <w:sz w:val="18"/>
                <w:szCs w:val="18"/>
              </w:rPr>
              <w:t xml:space="preserve">Vol. horaire</w:t>
            </w:r>
          </w:p>
        </w:tc>
        <w:tc>
          <w:tcPr>
            <w:tcW w:type="dxa" w:w="2180"/>
            <w:shd w:fill="1f4e5f" w:color="auto" w:val="clear"/>
            <w:tcMar>
              <w:top w:type="dxa" w:w="80"/>
              <w:left w:type="dxa" w:w="100"/>
              <w:bottom w:type="dxa" w:w="80"/>
              <w:right w:type="dxa" w:w="100"/>
            </w:tcMar>
            <w:vAlign w:val="center"/>
          </w:tcPr>
          <w:p>
            <w:pPr>
              <w:jc w:val="left"/>
            </w:pPr>
            <w:r>
              <w:rPr>
                <w:b/>
                <w:bCs/>
                <w:color w:val="FFFFFF"/>
                <w:sz w:val="18"/>
                <w:szCs w:val="18"/>
              </w:rPr>
              <w:t xml:space="preserve">Préalable(s)</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STG401</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Stage professionnel de fin d'études</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10</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480 h (terrain)</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STG301</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PFE401</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Projet de fin d'études / Mémoire de licence</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14</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210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PRJ201, GL401</w:t>
            </w:r>
          </w:p>
        </w:tc>
      </w:tr>
      <w:tr>
        <w:tc>
          <w:tcPr>
            <w:tcW w:type="dxa" w:w="800"/>
            <w:tcMar>
              <w:top w:type="dxa" w:w="60"/>
              <w:left w:type="dxa" w:w="100"/>
              <w:bottom w:type="dxa" w:w="60"/>
              <w:right w:type="dxa" w:w="100"/>
            </w:tcMar>
            <w:vAlign w:val="center"/>
          </w:tcPr>
          <w:p>
            <w:pPr>
              <w:jc w:val="center"/>
            </w:pPr>
            <w:r>
              <w:rPr>
                <w:b/>
                <w:bCs/>
                <w:i w:val="false"/>
                <w:iCs w:val="false"/>
                <w:sz w:val="18"/>
                <w:szCs w:val="18"/>
              </w:rPr>
              <w:t xml:space="preserve">SEM402</w:t>
            </w:r>
          </w:p>
        </w:tc>
        <w:tc>
          <w:tcPr>
            <w:tcW w:type="dxa" w:w="3800"/>
            <w:tcMar>
              <w:top w:type="dxa" w:w="60"/>
              <w:left w:type="dxa" w:w="100"/>
              <w:bottom w:type="dxa" w:w="60"/>
              <w:right w:type="dxa" w:w="100"/>
            </w:tcMar>
            <w:vAlign w:val="center"/>
          </w:tcPr>
          <w:p>
            <w:pPr>
              <w:jc w:val="left"/>
            </w:pPr>
            <w:r>
              <w:rPr>
                <w:b w:val="false"/>
                <w:bCs w:val="false"/>
                <w:i w:val="false"/>
                <w:iCs w:val="false"/>
                <w:sz w:val="18"/>
                <w:szCs w:val="18"/>
              </w:rPr>
              <w:t xml:space="preserve">Séminaire de soutenance et professionnalisation</w:t>
            </w:r>
          </w:p>
        </w:tc>
        <w:tc>
          <w:tcPr>
            <w:tcW w:type="dxa" w:w="1200"/>
            <w:tcMar>
              <w:top w:type="dxa" w:w="60"/>
              <w:left w:type="dxa" w:w="100"/>
              <w:bottom w:type="dxa" w:w="60"/>
              <w:right w:type="dxa" w:w="100"/>
            </w:tcMar>
            <w:vAlign w:val="center"/>
          </w:tcPr>
          <w:p>
            <w:pPr>
              <w:jc w:val="center"/>
            </w:pPr>
            <w:r>
              <w:rPr>
                <w:b w:val="false"/>
                <w:bCs w:val="false"/>
                <w:i/>
                <w:iCs/>
                <w:sz w:val="18"/>
                <w:szCs w:val="18"/>
              </w:rPr>
              <w:t xml:space="preserve">Obligatoire</w:t>
            </w:r>
          </w:p>
        </w:tc>
        <w:tc>
          <w:tcPr>
            <w:tcW w:type="dxa" w:w="800"/>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tcMar>
              <w:top w:type="dxa" w:w="60"/>
              <w:left w:type="dxa" w:w="100"/>
              <w:bottom w:type="dxa" w:w="60"/>
              <w:right w:type="dxa" w:w="100"/>
            </w:tcMar>
            <w:vAlign w:val="center"/>
          </w:tcPr>
          <w:p>
            <w:pPr>
              <w:jc w:val="center"/>
            </w:pPr>
            <w:r>
              <w:rPr>
                <w:b w:val="false"/>
                <w:bCs w:val="false"/>
                <w:i w:val="false"/>
                <w:iCs w:val="false"/>
                <w:sz w:val="18"/>
                <w:szCs w:val="18"/>
              </w:rPr>
              <w:t xml:space="preserve">45 h</w:t>
            </w:r>
          </w:p>
        </w:tc>
        <w:tc>
          <w:tcPr>
            <w:tcW w:type="dxa" w:w="2180"/>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OPT-3</w:t>
            </w:r>
          </w:p>
        </w:tc>
        <w:tc>
          <w:tcPr>
            <w:tcW w:type="dxa" w:w="380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Option de parcours 3 (voir tableau des parcours)</w:t>
            </w:r>
          </w:p>
        </w:tc>
        <w:tc>
          <w:tcPr>
            <w:tcW w:type="dxa" w:w="1200"/>
            <w:shd w:fill="eef3f5" w:color="auto" w:val="clear"/>
            <w:tcMar>
              <w:top w:type="dxa" w:w="60"/>
              <w:left w:type="dxa" w:w="100"/>
              <w:bottom w:type="dxa" w:w="60"/>
              <w:right w:type="dxa" w:w="100"/>
            </w:tcMar>
            <w:vAlign w:val="center"/>
          </w:tcPr>
          <w:p>
            <w:pPr>
              <w:jc w:val="center"/>
            </w:pPr>
            <w:r>
              <w:rPr>
                <w:b w:val="false"/>
                <w:bCs w:val="false"/>
                <w:i/>
                <w:iCs/>
                <w:sz w:val="18"/>
                <w:szCs w:val="18"/>
              </w:rPr>
              <w:t xml:space="preserve">Optionnelle</w:t>
            </w:r>
          </w:p>
        </w:tc>
        <w:tc>
          <w:tcPr>
            <w:tcW w:type="dxa" w:w="80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3</w:t>
            </w:r>
          </w:p>
        </w:tc>
        <w:tc>
          <w:tcPr>
            <w:tcW w:type="dxa" w:w="130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45 h</w:t>
            </w:r>
          </w:p>
        </w:tc>
        <w:tc>
          <w:tcPr>
            <w:tcW w:type="dxa" w:w="2180"/>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w:t>
            </w:r>
          </w:p>
        </w:tc>
      </w:tr>
      <w:tr>
        <w:tc>
          <w:tcPr>
            <w:tcW w:type="dxa" w:w="5800"/>
            <w:gridSpan w:val="3"/>
            <w:shd w:fill="d9e2e6" w:color="auto" w:val="clear"/>
            <w:tcMar>
              <w:top w:type="dxa" w:w="60"/>
              <w:left w:type="dxa" w:w="100"/>
              <w:bottom w:type="dxa" w:w="60"/>
              <w:right w:type="dxa" w:w="100"/>
            </w:tcMar>
          </w:tcPr>
          <w:p>
            <w:pPr>
              <w:jc w:val="right"/>
            </w:pPr>
            <w:r>
              <w:rPr>
                <w:b/>
                <w:bCs/>
                <w:sz w:val="18"/>
                <w:szCs w:val="18"/>
              </w:rPr>
              <w:t xml:space="preserve">Total du semestre</w:t>
            </w:r>
          </w:p>
        </w:tc>
        <w:tc>
          <w:tcPr>
            <w:tcW w:type="dxa" w:w="800"/>
            <w:shd w:fill="d9e2e6" w:color="auto" w:val="clear"/>
            <w:tcMar>
              <w:top w:type="dxa" w:w="60"/>
              <w:left w:type="dxa" w:w="100"/>
              <w:bottom w:type="dxa" w:w="60"/>
              <w:right w:type="dxa" w:w="100"/>
            </w:tcMar>
          </w:tcPr>
          <w:p>
            <w:pPr>
              <w:jc w:val="center"/>
            </w:pPr>
            <w:r>
              <w:rPr>
                <w:b/>
                <w:bCs/>
                <w:sz w:val="18"/>
                <w:szCs w:val="18"/>
              </w:rPr>
              <w:t xml:space="preserve">30 cr.</w:t>
            </w:r>
          </w:p>
        </w:tc>
        <w:tc>
          <w:tcPr>
            <w:tcW w:type="dxa" w:w="3480"/>
            <w:gridSpan w:val="2"/>
            <w:shd w:fill="d9e2e6" w:color="auto" w:val="clear"/>
            <w:tcMar>
              <w:top w:type="dxa" w:w="60"/>
              <w:left w:type="dxa" w:w="100"/>
              <w:bottom w:type="dxa" w:w="60"/>
              <w:right w:type="dxa" w:w="100"/>
            </w:tcMar>
          </w:tcPr>
          <w:p>
            <w:r>
              <w:rPr>
                <w:i/>
                <w:iCs/>
                <w:color w:val="595959"/>
                <w:sz w:val="16"/>
                <w:szCs w:val="16"/>
              </w:rPr>
              <w:t xml:space="preserve">450 h d'enseignement encadré</w:t>
            </w:r>
          </w:p>
        </w:tc>
      </w:tr>
    </w:tbl>
    <w:p>
      <w:r>
        <w:br w:type="page"/>
      </w:r>
    </w:p>
    <w:p>
      <w:pPr>
        <w:pStyle w:val="Heading1"/>
        <w:spacing w:after="200" w:before="400"/>
      </w:pPr>
      <w:r>
        <w:t xml:space="preserve">VI. Parcours de spécialisation (semestres 7 et 8)</w:t>
      </w:r>
    </w:p>
    <w:p>
      <w:pPr>
        <w:spacing w:after="160" w:line="276"/>
        <w:jc w:val="both"/>
      </w:pPr>
      <w:r>
        <w:rPr>
          <w:b w:val="false"/>
          <w:bCs w:val="false"/>
          <w:i w:val="false"/>
          <w:iCs w:val="false"/>
        </w:rPr>
        <w:t xml:space="preserve">À partir du semestre 7, chaque étudiant choisit un parcours de spécialisation parmi les trois proposés ci-dessous, reflétant les domaines porteurs identifiés pour le marché haïtien et international. Le parcours détermine le contenu des UE optionnelles OPT-1, OPT-2 (semestre 7) et OPT-3 (semestre 8).</w:t>
      </w:r>
    </w:p>
    <w:p>
      <w:pPr>
        <w:pStyle w:val="Heading2"/>
        <w:spacing w:after="150" w:before="300"/>
      </w:pPr>
      <w:r>
        <w:t xml:space="preserve">Parcours A — Génie Logiciel et Applications SaaS</w:t>
      </w:r>
    </w:p>
    <w:p>
      <w:pPr>
        <w:pStyle w:val="ListParagraph"/>
        <w:numPr>
          <w:ilvl w:val="0"/>
          <w:numId w:val="2"/>
        </w:numPr>
        <w:spacing w:after="80"/>
      </w:pPr>
      <w:r>
        <w:t xml:space="preserve">OPT-A1 — Parcours Génie Logiciel &amp; SaaS — Développement d'applications multi-tenant</w:t>
      </w:r>
    </w:p>
    <w:p>
      <w:pPr>
        <w:pStyle w:val="ListParagraph"/>
        <w:numPr>
          <w:ilvl w:val="0"/>
          <w:numId w:val="2"/>
        </w:numPr>
        <w:spacing w:after="80"/>
      </w:pPr>
      <w:r>
        <w:t xml:space="preserve">OPT-A2 — Parcours Génie Logiciel &amp; SaaS — Intégration et déploiement continus (DevOps)</w:t>
      </w:r>
    </w:p>
    <w:p>
      <w:pPr>
        <w:pStyle w:val="ListParagraph"/>
        <w:numPr>
          <w:ilvl w:val="0"/>
          <w:numId w:val="2"/>
        </w:numPr>
        <w:spacing w:after="80"/>
      </w:pPr>
      <w:r>
        <w:t xml:space="preserve">OPT-A3 — Parcours Génie Logiciel &amp; SaaS — Ingénierie des exigences avancée</w:t>
      </w:r>
    </w:p>
    <w:p>
      <w:pPr>
        <w:pStyle w:val="Heading2"/>
        <w:spacing w:after="150" w:before="300"/>
      </w:pPr>
      <w:r>
        <w:t xml:space="preserve">Parcours B — Données et Intelligence Artificielle</w:t>
      </w:r>
    </w:p>
    <w:p>
      <w:pPr>
        <w:pStyle w:val="ListParagraph"/>
        <w:numPr>
          <w:ilvl w:val="0"/>
          <w:numId w:val="2"/>
        </w:numPr>
        <w:spacing w:after="80"/>
      </w:pPr>
      <w:r>
        <w:t xml:space="preserve">OPT-B1 — Parcours Données &amp; Intelligence Artificielle — Fouille de données avancée</w:t>
      </w:r>
    </w:p>
    <w:p>
      <w:pPr>
        <w:pStyle w:val="ListParagraph"/>
        <w:numPr>
          <w:ilvl w:val="0"/>
          <w:numId w:val="2"/>
        </w:numPr>
        <w:spacing w:after="80"/>
      </w:pPr>
      <w:r>
        <w:t xml:space="preserve">OPT-B2 — Parcours Données &amp; Intelligence Artificielle — Vision par ordinateur</w:t>
      </w:r>
    </w:p>
    <w:p>
      <w:pPr>
        <w:pStyle w:val="ListParagraph"/>
        <w:numPr>
          <w:ilvl w:val="0"/>
          <w:numId w:val="2"/>
        </w:numPr>
        <w:spacing w:after="80"/>
      </w:pPr>
      <w:r>
        <w:t xml:space="preserve">OPT-B3 — Parcours Données &amp; Intelligence Artificielle — Traitement automatique du langage</w:t>
      </w:r>
    </w:p>
    <w:p>
      <w:pPr>
        <w:pStyle w:val="Heading2"/>
        <w:spacing w:after="150" w:before="300"/>
      </w:pPr>
      <w:r>
        <w:t xml:space="preserve">Parcours C — Réseaux, Systèmes et Cybersécurité</w:t>
      </w:r>
    </w:p>
    <w:p>
      <w:pPr>
        <w:pStyle w:val="ListParagraph"/>
        <w:numPr>
          <w:ilvl w:val="0"/>
          <w:numId w:val="2"/>
        </w:numPr>
        <w:spacing w:after="80"/>
      </w:pPr>
      <w:r>
        <w:t xml:space="preserve">OPT-C1 — Parcours Réseaux, Systèmes &amp; Cybersécurité — Administration réseaux avancée</w:t>
      </w:r>
    </w:p>
    <w:p>
      <w:pPr>
        <w:pStyle w:val="ListParagraph"/>
        <w:numPr>
          <w:ilvl w:val="0"/>
          <w:numId w:val="2"/>
        </w:numPr>
        <w:spacing w:after="80"/>
      </w:pPr>
      <w:r>
        <w:t xml:space="preserve">OPT-C2 — Parcours Réseaux, Systèmes &amp; Cybersécurité — Sécurité offensive et tests d'intrusion</w:t>
      </w:r>
    </w:p>
    <w:p>
      <w:pPr>
        <w:pStyle w:val="ListParagraph"/>
        <w:numPr>
          <w:ilvl w:val="0"/>
          <w:numId w:val="2"/>
        </w:numPr>
        <w:spacing w:after="80"/>
      </w:pPr>
      <w:r>
        <w:t xml:space="preserve">OPT-C3 — Parcours Réseaux, Systèmes &amp; Cybersécurité — Cloud et virtualisation avancée</w:t>
      </w:r>
    </w:p>
    <w:p>
      <w:pPr>
        <w:spacing w:after="160" w:line="276"/>
        <w:jc w:val="both"/>
      </w:pPr>
      <w:r>
        <w:rPr>
          <w:b w:val="false"/>
          <w:bCs w:val="false"/>
          <w:i/>
          <w:iCs/>
        </w:rPr>
        <w:t xml:space="preserve">Le nombre et le contenu détaillé de ces parcours pourront être ajustés par le conseil académique en fonction des ressources enseignantes disponibles et des besoins observés du marché.</w:t>
      </w:r>
    </w:p>
    <w:p>
      <w:pPr>
        <w:pStyle w:val="Heading1"/>
        <w:spacing w:after="200" w:before="400"/>
      </w:pPr>
      <w:r>
        <w:t xml:space="preserve">VII. Stages et projet de fin d'études</w:t>
      </w:r>
    </w:p>
    <w:p>
      <w:pPr>
        <w:pStyle w:val="Heading2"/>
        <w:spacing w:after="150" w:before="300"/>
      </w:pPr>
      <w:r>
        <w:t xml:space="preserve">7.1 Stage d'observation (S4)</w:t>
      </w:r>
    </w:p>
    <w:p>
      <w:pPr>
        <w:spacing w:after="160" w:line="276"/>
        <w:jc w:val="both"/>
      </w:pPr>
      <w:r>
        <w:rPr>
          <w:b w:val="false"/>
          <w:bCs w:val="false"/>
          <w:i w:val="false"/>
          <w:iCs w:val="false"/>
        </w:rPr>
        <w:t xml:space="preserve">D'une durée indicative de 120 heures, ce stage permet à l'étudiant de découvrir le milieu professionnel dès la deuxième année, sans attente de production technique particulière — un rapport d'observation est exigé.</w:t>
      </w:r>
    </w:p>
    <w:p>
      <w:pPr>
        <w:pStyle w:val="Heading2"/>
        <w:spacing w:after="150" w:before="300"/>
      </w:pPr>
      <w:r>
        <w:t xml:space="preserve">7.2 Stage pratique (S6)</w:t>
      </w:r>
    </w:p>
    <w:p>
      <w:pPr>
        <w:spacing w:after="160" w:line="276"/>
        <w:jc w:val="both"/>
      </w:pPr>
      <w:r>
        <w:rPr>
          <w:b w:val="false"/>
          <w:bCs w:val="false"/>
          <w:i w:val="false"/>
          <w:iCs w:val="false"/>
        </w:rPr>
        <w:t xml:space="preserve">D'une durée indicative de 160 heures, ce stage implique une contribution technique réelle (encadrée) au sein d'une organisation d'accueil, évaluée conjointement par le maître de stage et un enseignant référent.</w:t>
      </w:r>
    </w:p>
    <w:p>
      <w:pPr>
        <w:pStyle w:val="Heading2"/>
        <w:spacing w:after="150" w:before="300"/>
      </w:pPr>
      <w:r>
        <w:t xml:space="preserve">7.3 Stage professionnel de fin d'études (S8)</w:t>
      </w:r>
    </w:p>
    <w:p>
      <w:pPr>
        <w:spacing w:after="160" w:line="276"/>
        <w:jc w:val="both"/>
      </w:pPr>
      <w:r>
        <w:rPr>
          <w:b w:val="false"/>
          <w:bCs w:val="false"/>
          <w:i w:val="false"/>
          <w:iCs w:val="false"/>
        </w:rPr>
        <w:t xml:space="preserve">D'une durée indicative de 480 heures (environ 3 mois), ce stage est le prolongement direct du projet de fin d'études. L'étudiant y occupe des fonctions proches de celles d'un junior développeur/administrateur, sous la double supervision de l'entreprise d'accueil et de l'UJEPH.</w:t>
      </w:r>
    </w:p>
    <w:p>
      <w:pPr>
        <w:pStyle w:val="Heading2"/>
        <w:spacing w:after="150" w:before="300"/>
      </w:pPr>
      <w:r>
        <w:t xml:space="preserve">7.4 Projet de fin d'études / Mémoire de licence (S8)</w:t>
      </w:r>
    </w:p>
    <w:p>
      <w:pPr>
        <w:spacing w:after="160" w:line="276"/>
        <w:jc w:val="both"/>
      </w:pPr>
      <w:r>
        <w:rPr>
          <w:b w:val="false"/>
          <w:bCs w:val="false"/>
          <w:i w:val="false"/>
          <w:iCs w:val="false"/>
        </w:rPr>
        <w:t xml:space="preserve">Travail individuel (ou en binôme, selon l'ampleur du sujet) de conception et de réalisation d'un système informatique complet, documenté dans un mémoire et soutenu devant un jury. Le sujet peut être proposé par une entreprise (dans le prolongement du stage professionnel), par un enseignant, ou par l'étudiant lui-même sous réserve de validation par le conseil académique.</w:t>
      </w:r>
    </w:p>
    <w:p>
      <w:pPr>
        <w:pStyle w:val="Heading1"/>
        <w:spacing w:after="200" w:before="400"/>
      </w:pPr>
      <w:r>
        <w:t xml:space="preserve">VIII. Modalités d'évaluation et de passage</w:t>
      </w:r>
    </w:p>
    <w:p>
      <w:pPr>
        <w:pStyle w:val="ListParagraph"/>
        <w:numPr>
          <w:ilvl w:val="0"/>
          <w:numId w:val="2"/>
        </w:numPr>
        <w:spacing w:after="80"/>
      </w:pPr>
      <w:r>
        <w:t xml:space="preserve">Notation sur 100 points par UE, note de passage fixée à 60/100 — convention identique à celle déjà en vigueur dans le système de gestion académique de l'UJEPH.</w:t>
      </w:r>
    </w:p>
    <w:p>
      <w:pPr>
        <w:pStyle w:val="ListParagraph"/>
        <w:numPr>
          <w:ilvl w:val="0"/>
          <w:numId w:val="2"/>
        </w:numPr>
        <w:spacing w:after="80"/>
      </w:pPr>
      <w:r>
        <w:t xml:space="preserve">Une session de reprise (« Reprise ») est prévue pour toute UE non validée en session normale, selon le calendrier académique fixé chaque année.</w:t>
      </w:r>
    </w:p>
    <w:p>
      <w:pPr>
        <w:pStyle w:val="ListParagraph"/>
        <w:numPr>
          <w:ilvl w:val="0"/>
          <w:numId w:val="2"/>
        </w:numPr>
        <w:spacing w:after="80"/>
      </w:pPr>
      <w:r>
        <w:t xml:space="preserve">Le passage au semestre suivant est prononcé par le conseil académique sur la base des crédits cumulés et des UE prérequises réellement validées.</w:t>
      </w:r>
    </w:p>
    <w:p>
      <w:pPr>
        <w:pStyle w:val="ListParagraph"/>
        <w:numPr>
          <w:ilvl w:val="0"/>
          <w:numId w:val="2"/>
        </w:numPr>
        <w:spacing w:after="80"/>
      </w:pPr>
      <w:r>
        <w:t xml:space="preserve">Le stage professionnel de fin d'études et le projet de fin d'études sont soumis à une soutenance devant jury, incluant au moins un professionnel du secteur.</w:t>
      </w:r>
    </w:p>
    <w:p>
      <w:pPr>
        <w:pStyle w:val="ListParagraph"/>
        <w:numPr>
          <w:ilvl w:val="0"/>
          <w:numId w:val="2"/>
        </w:numPr>
        <w:spacing w:after="80"/>
      </w:pPr>
      <w:r>
        <w:t xml:space="preserve">Une note de vie universitaire (assiduité, comportement académique) pourra être intégrée aux modalités selon le règlement intérieur de l'UJEPH.</w:t>
      </w:r>
    </w:p>
    <w:p>
      <w:pPr>
        <w:pStyle w:val="Heading1"/>
        <w:spacing w:after="200" w:before="400"/>
      </w:pPr>
      <w:r>
        <w:t xml:space="preserve">IX. Débouchés professionnels et poursuite d'études</w:t>
      </w:r>
    </w:p>
    <w:p>
      <w:pPr>
        <w:pStyle w:val="Heading2"/>
        <w:spacing w:after="150" w:before="300"/>
      </w:pPr>
      <w:r>
        <w:t xml:space="preserve">9.1 Insertion professionnelle directe</w:t>
      </w:r>
    </w:p>
    <w:p>
      <w:pPr>
        <w:pStyle w:val="ListParagraph"/>
        <w:numPr>
          <w:ilvl w:val="0"/>
          <w:numId w:val="2"/>
        </w:numPr>
        <w:spacing w:after="80"/>
      </w:pPr>
      <w:r>
        <w:t xml:space="preserve">Développeur d'applications web et mobiles</w:t>
      </w:r>
    </w:p>
    <w:p>
      <w:pPr>
        <w:pStyle w:val="ListParagraph"/>
        <w:numPr>
          <w:ilvl w:val="0"/>
          <w:numId w:val="2"/>
        </w:numPr>
        <w:spacing w:after="80"/>
      </w:pPr>
      <w:r>
        <w:t xml:space="preserve">Administrateur systèmes, réseaux ou bases de données</w:t>
      </w:r>
    </w:p>
    <w:p>
      <w:pPr>
        <w:pStyle w:val="ListParagraph"/>
        <w:numPr>
          <w:ilvl w:val="0"/>
          <w:numId w:val="2"/>
        </w:numPr>
        <w:spacing w:after="80"/>
      </w:pPr>
      <w:r>
        <w:t xml:space="preserve">Analyste ou chargé de projets informatiques</w:t>
      </w:r>
    </w:p>
    <w:p>
      <w:pPr>
        <w:pStyle w:val="ListParagraph"/>
        <w:numPr>
          <w:ilvl w:val="0"/>
          <w:numId w:val="2"/>
        </w:numPr>
        <w:spacing w:after="80"/>
      </w:pPr>
      <w:r>
        <w:t xml:space="preserve">Technicien en cybersécurité</w:t>
      </w:r>
    </w:p>
    <w:p>
      <w:pPr>
        <w:pStyle w:val="ListParagraph"/>
        <w:numPr>
          <w:ilvl w:val="0"/>
          <w:numId w:val="2"/>
        </w:numPr>
        <w:spacing w:after="80"/>
      </w:pPr>
      <w:r>
        <w:t xml:space="preserve">Entrepreneur / créateur d'entreprise de services numériques</w:t>
      </w:r>
    </w:p>
    <w:p>
      <w:pPr>
        <w:pStyle w:val="Heading2"/>
        <w:spacing w:after="150" w:before="300"/>
      </w:pPr>
      <w:r>
        <w:t xml:space="preserve">9.2 Poursuite d'études</w:t>
      </w:r>
    </w:p>
    <w:p>
      <w:pPr>
        <w:spacing w:after="160" w:line="276"/>
        <w:jc w:val="both"/>
      </w:pPr>
      <w:r>
        <w:rPr>
          <w:b w:val="false"/>
          <w:bCs w:val="false"/>
          <w:i w:val="false"/>
          <w:iCs w:val="false"/>
        </w:rPr>
        <w:t xml:space="preserve">Le volume de 240 crédits et la présence d'un mémoire de fin d'études permettent une admission directe en Master (1re année) dans les domaines de l'informatique, du génie logiciel, de la science des données ou de la cybersécurité, en Haïti comme dans les universités étrangères appliquant le système LMD ou un système de crédits équivalent (ECTS, crédits nord-américains).</w:t>
      </w:r>
    </w:p>
    <w:p>
      <w:r>
        <w:br w:type="page"/>
      </w:r>
    </w:p>
    <w:p>
      <w:pPr>
        <w:pStyle w:val="Heading1"/>
        <w:spacing w:after="200" w:before="400"/>
      </w:pPr>
      <w:r>
        <w:t xml:space="preserve">X. Tableau récapitulatif des crédits par semestre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1f4e5f" w:color="auto" w:val="clear"/>
            <w:tcMar>
              <w:top w:type="dxa" w:w="80"/>
              <w:left w:type="dxa" w:w="100"/>
              <w:bottom w:type="dxa" w:w="80"/>
              <w:right w:type="dxa" w:w="100"/>
            </w:tcMar>
            <w:vAlign w:val="center"/>
          </w:tcPr>
          <w:p>
            <w:pPr>
              <w:jc w:val="center"/>
            </w:pPr>
            <w:r>
              <w:rPr>
                <w:b/>
                <w:bCs/>
                <w:color w:val="FFFFFF"/>
                <w:sz w:val="18"/>
                <w:szCs w:val="18"/>
              </w:rPr>
              <w:t xml:space="preserve">Année</w:t>
            </w:r>
          </w:p>
        </w:tc>
        <w:tc>
          <w:tcPr>
            <w:tcW w:type="dxa" w:w="2520"/>
            <w:shd w:fill="1f4e5f" w:color="auto" w:val="clear"/>
            <w:tcMar>
              <w:top w:type="dxa" w:w="80"/>
              <w:left w:type="dxa" w:w="100"/>
              <w:bottom w:type="dxa" w:w="80"/>
              <w:right w:type="dxa" w:w="100"/>
            </w:tcMar>
            <w:vAlign w:val="center"/>
          </w:tcPr>
          <w:p>
            <w:pPr>
              <w:jc w:val="center"/>
            </w:pPr>
            <w:r>
              <w:rPr>
                <w:b/>
                <w:bCs/>
                <w:color w:val="FFFFFF"/>
                <w:sz w:val="18"/>
                <w:szCs w:val="18"/>
              </w:rPr>
              <w:t xml:space="preserve">Semestre</w:t>
            </w:r>
          </w:p>
        </w:tc>
        <w:tc>
          <w:tcPr>
            <w:tcW w:type="dxa" w:w="2520"/>
            <w:shd w:fill="1f4e5f" w:color="auto" w:val="clear"/>
            <w:tcMar>
              <w:top w:type="dxa" w:w="80"/>
              <w:left w:type="dxa" w:w="100"/>
              <w:bottom w:type="dxa" w:w="80"/>
              <w:right w:type="dxa" w:w="100"/>
            </w:tcMar>
            <w:vAlign w:val="center"/>
          </w:tcPr>
          <w:p>
            <w:pPr>
              <w:jc w:val="center"/>
            </w:pPr>
            <w:r>
              <w:rPr>
                <w:b/>
                <w:bCs/>
                <w:color w:val="FFFFFF"/>
                <w:sz w:val="18"/>
                <w:szCs w:val="18"/>
              </w:rPr>
              <w:t xml:space="preserve">Crédits</w:t>
            </w:r>
          </w:p>
        </w:tc>
        <w:tc>
          <w:tcPr>
            <w:tcW w:type="dxa" w:w="2520"/>
            <w:shd w:fill="1f4e5f" w:color="auto" w:val="clear"/>
            <w:tcMar>
              <w:top w:type="dxa" w:w="80"/>
              <w:left w:type="dxa" w:w="100"/>
              <w:bottom w:type="dxa" w:w="80"/>
              <w:right w:type="dxa" w:w="100"/>
            </w:tcMar>
            <w:vAlign w:val="center"/>
          </w:tcPr>
          <w:p>
            <w:pPr>
              <w:jc w:val="center"/>
            </w:pPr>
            <w:r>
              <w:rPr>
                <w:b/>
                <w:bCs/>
                <w:color w:val="FFFFFF"/>
                <w:sz w:val="18"/>
                <w:szCs w:val="18"/>
              </w:rPr>
              <w:t xml:space="preserve">Cumul</w:t>
            </w:r>
          </w:p>
        </w:tc>
      </w:tr>
      <w:tr>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Année 1</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S1</w:t>
            </w:r>
          </w:p>
        </w:tc>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30 cr.</w:t>
            </w:r>
          </w:p>
        </w:tc>
      </w:tr>
      <w:tr>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Année 1</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S2</w:t>
            </w:r>
          </w:p>
        </w:tc>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60 cr.</w:t>
            </w:r>
          </w:p>
        </w:tc>
      </w:tr>
      <w:tr>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Année 2</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S3</w:t>
            </w:r>
          </w:p>
        </w:tc>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90 cr.</w:t>
            </w:r>
          </w:p>
        </w:tc>
      </w:tr>
      <w:tr>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Année 2</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S4</w:t>
            </w:r>
          </w:p>
        </w:tc>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120 cr.</w:t>
            </w:r>
          </w:p>
        </w:tc>
      </w:tr>
      <w:tr>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Année 3</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S5</w:t>
            </w:r>
          </w:p>
        </w:tc>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150 cr.</w:t>
            </w:r>
          </w:p>
        </w:tc>
      </w:tr>
      <w:tr>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Année 3</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S6</w:t>
            </w:r>
          </w:p>
        </w:tc>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180 cr.</w:t>
            </w:r>
          </w:p>
        </w:tc>
      </w:tr>
      <w:tr>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Année 4</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S7</w:t>
            </w:r>
          </w:p>
        </w:tc>
        <w:tc>
          <w:tcPr>
            <w:tcW w:type="dxa" w:w="2520"/>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tcMar>
              <w:top w:type="dxa" w:w="60"/>
              <w:left w:type="dxa" w:w="100"/>
              <w:bottom w:type="dxa" w:w="60"/>
              <w:right w:type="dxa" w:w="100"/>
            </w:tcMar>
            <w:vAlign w:val="center"/>
          </w:tcPr>
          <w:p>
            <w:pPr>
              <w:jc w:val="center"/>
            </w:pPr>
            <w:r>
              <w:rPr>
                <w:b/>
                <w:bCs/>
                <w:i w:val="false"/>
                <w:iCs w:val="false"/>
                <w:sz w:val="18"/>
                <w:szCs w:val="18"/>
              </w:rPr>
              <w:t xml:space="preserve">210 cr.</w:t>
            </w:r>
          </w:p>
        </w:tc>
      </w:tr>
      <w:tr>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Année 4</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S8</w:t>
            </w:r>
          </w:p>
        </w:tc>
        <w:tc>
          <w:tcPr>
            <w:tcW w:type="dxa" w:w="2520"/>
            <w:shd w:fill="eef3f5" w:color="auto" w:val="clear"/>
            <w:tcMar>
              <w:top w:type="dxa" w:w="60"/>
              <w:left w:type="dxa" w:w="100"/>
              <w:bottom w:type="dxa" w:w="60"/>
              <w:right w:type="dxa" w:w="100"/>
            </w:tcMar>
            <w:vAlign w:val="center"/>
          </w:tcPr>
          <w:p>
            <w:pPr>
              <w:jc w:val="center"/>
            </w:pPr>
            <w:r>
              <w:rPr>
                <w:b w:val="false"/>
                <w:bCs w:val="false"/>
                <w:i w:val="false"/>
                <w:iCs w:val="false"/>
                <w:sz w:val="18"/>
                <w:szCs w:val="18"/>
              </w:rPr>
              <w:t xml:space="preserve">30 cr.</w:t>
            </w:r>
          </w:p>
        </w:tc>
        <w:tc>
          <w:tcPr>
            <w:tcW w:type="dxa" w:w="2520"/>
            <w:shd w:fill="eef3f5" w:color="auto" w:val="clear"/>
            <w:tcMar>
              <w:top w:type="dxa" w:w="60"/>
              <w:left w:type="dxa" w:w="100"/>
              <w:bottom w:type="dxa" w:w="60"/>
              <w:right w:type="dxa" w:w="100"/>
            </w:tcMar>
            <w:vAlign w:val="center"/>
          </w:tcPr>
          <w:p>
            <w:pPr>
              <w:jc w:val="center"/>
            </w:pPr>
            <w:r>
              <w:rPr>
                <w:b/>
                <w:bCs/>
                <w:i w:val="false"/>
                <w:iCs w:val="false"/>
                <w:sz w:val="18"/>
                <w:szCs w:val="18"/>
              </w:rPr>
              <w:t xml:space="preserve">240 cr.</w:t>
            </w:r>
          </w:p>
        </w:tc>
      </w:tr>
      <w:tr>
        <w:tc>
          <w:tcPr>
            <w:tcW w:type="dxa" w:w="7560"/>
            <w:gridSpan w:val="3"/>
            <w:shd w:fill="d9e2e6" w:color="auto" w:val="clear"/>
            <w:tcMar>
              <w:top w:type="dxa" w:w="60"/>
              <w:left w:type="dxa" w:w="100"/>
              <w:bottom w:type="dxa" w:w="60"/>
              <w:right w:type="dxa" w:w="100"/>
            </w:tcMar>
          </w:tcPr>
          <w:p>
            <w:pPr>
              <w:jc w:val="right"/>
            </w:pPr>
            <w:r>
              <w:rPr>
                <w:b/>
                <w:bCs/>
              </w:rPr>
              <w:t xml:space="preserve">TOTAL DE LA LICENCE</w:t>
            </w:r>
          </w:p>
        </w:tc>
        <w:tc>
          <w:tcPr>
            <w:tcW w:type="dxa" w:w="2520"/>
            <w:shd w:fill="d9e2e6" w:color="auto" w:val="clear"/>
            <w:tcMar>
              <w:top w:type="dxa" w:w="60"/>
              <w:left w:type="dxa" w:w="100"/>
              <w:bottom w:type="dxa" w:w="60"/>
              <w:right w:type="dxa" w:w="100"/>
            </w:tcMar>
          </w:tcPr>
          <w:p>
            <w:pPr>
              <w:jc w:val="center"/>
            </w:pPr>
            <w:r>
              <w:rPr>
                <w:b/>
                <w:bCs/>
              </w:rPr>
              <w:t xml:space="preserve">240 cr.</w:t>
            </w:r>
          </w:p>
        </w:tc>
      </w:tr>
    </w:tbl>
    <w:p>
      <w:r>
        <w:br w:type="page"/>
      </w:r>
    </w:p>
    <w:p>
      <w:pPr>
        <w:pStyle w:val="Heading1"/>
        <w:spacing w:after="200" w:before="400"/>
      </w:pPr>
      <w:r>
        <w:t xml:space="preserve">Annexe — Correspondance avec le référentiel ACM/IEEE Computer Science Curricula</w:t>
      </w:r>
    </w:p>
    <w:p>
      <w:pPr>
        <w:spacing w:after="160" w:line="276"/>
        <w:jc w:val="both"/>
      </w:pPr>
      <w:r>
        <w:rPr>
          <w:b w:val="false"/>
          <w:bCs w:val="false"/>
          <w:i w:val="false"/>
          <w:iCs w:val="false"/>
        </w:rPr>
        <w:t xml:space="preserve">Le tableau suivant établit une correspondance indicative entre les grands domaines de connaissance (« Knowledge Areas ») du référentiel international ACM/IEEE CS2013 et les UE du présent programme, afin de faciliter une éventuelle démarche d'accréditation internationale ou de reconnaissance mutuelle des diplômes.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shd w:fill="1f4e5f" w:color="auto" w:val="clear"/>
            <w:tcMar>
              <w:top w:type="dxa" w:w="80"/>
              <w:left w:type="dxa" w:w="100"/>
              <w:bottom w:type="dxa" w:w="80"/>
              <w:right w:type="dxa" w:w="100"/>
            </w:tcMar>
            <w:vAlign w:val="center"/>
          </w:tcPr>
          <w:p>
            <w:pPr>
              <w:jc w:val="left"/>
            </w:pPr>
            <w:r>
              <w:rPr>
                <w:b/>
                <w:bCs/>
                <w:color w:val="FFFFFF"/>
                <w:sz w:val="18"/>
                <w:szCs w:val="18"/>
              </w:rPr>
              <w:t xml:space="preserve">Domaine ACM/IEEE (Knowledge Area)</w:t>
            </w:r>
          </w:p>
        </w:tc>
        <w:tc>
          <w:tcPr>
            <w:tcW w:type="dxa" w:w="5544"/>
            <w:shd w:fill="1f4e5f" w:color="auto" w:val="clear"/>
            <w:tcMar>
              <w:top w:type="dxa" w:w="80"/>
              <w:left w:type="dxa" w:w="100"/>
              <w:bottom w:type="dxa" w:w="80"/>
              <w:right w:type="dxa" w:w="100"/>
            </w:tcMar>
            <w:vAlign w:val="center"/>
          </w:tcPr>
          <w:p>
            <w:pPr>
              <w:jc w:val="left"/>
            </w:pPr>
            <w:r>
              <w:rPr>
                <w:b/>
                <w:bCs/>
                <w:color w:val="FFFFFF"/>
                <w:sz w:val="18"/>
                <w:szCs w:val="18"/>
              </w:rPr>
              <w:t xml:space="preserve">UE correspondantes du programme</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Algorithms &amp; Complexity</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INF101, INF106, INF201</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Architecture &amp; Organization</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INF103</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Artificial Intelligence</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IA301, IA302</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Information Assurance &amp; Security</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SEC301, SEC302, OPT-C1/C2/C3</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Information Management</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INF108, INF203, BDD302</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Networking &amp; Communication</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RES201, RES202, OPT-C1</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Operating Systems</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INF104, INF107, INF205</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Platform-Based Development</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INF202, INF204, INF302, INF303</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Parallel &amp; Distributed Computing</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SYS401, CLD301</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Programming Languages</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INF102, INF105</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Software Development Fundamentals</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INF101, INF102, INF105, INF106</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Software Engineering</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GL201, GL202, GL301, GL401</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Systems Fundamentals</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INF103, INF104, MAT202</w:t>
            </w:r>
          </w:p>
        </w:tc>
      </w:tr>
      <w:tr>
        <w:tc>
          <w:tcPr>
            <w:tcW w:type="dxa" w:w="4536"/>
            <w:shd w:fill="eef3f5" w:color="auto" w:val="clear"/>
            <w:tcMar>
              <w:top w:type="dxa" w:w="60"/>
              <w:left w:type="dxa" w:w="100"/>
              <w:bottom w:type="dxa" w:w="60"/>
              <w:right w:type="dxa" w:w="100"/>
            </w:tcMar>
            <w:vAlign w:val="center"/>
          </w:tcPr>
          <w:p>
            <w:pPr>
              <w:jc w:val="left"/>
            </w:pPr>
            <w:r>
              <w:rPr>
                <w:b/>
                <w:bCs/>
                <w:i w:val="false"/>
                <w:iCs w:val="false"/>
                <w:sz w:val="18"/>
                <w:szCs w:val="18"/>
              </w:rPr>
              <w:t xml:space="preserve">Social Issues &amp; Professional Practice</w:t>
            </w:r>
          </w:p>
        </w:tc>
        <w:tc>
          <w:tcPr>
            <w:tcW w:type="dxa" w:w="5544"/>
            <w:shd w:fill="eef3f5" w:color="auto" w:val="clear"/>
            <w:tcMar>
              <w:top w:type="dxa" w:w="60"/>
              <w:left w:type="dxa" w:w="100"/>
              <w:bottom w:type="dxa" w:w="60"/>
              <w:right w:type="dxa" w:w="100"/>
            </w:tcMar>
            <w:vAlign w:val="center"/>
          </w:tcPr>
          <w:p>
            <w:pPr>
              <w:jc w:val="left"/>
            </w:pPr>
            <w:r>
              <w:rPr>
                <w:b w:val="false"/>
                <w:bCs w:val="false"/>
                <w:i w:val="false"/>
                <w:iCs w:val="false"/>
                <w:sz w:val="18"/>
                <w:szCs w:val="18"/>
              </w:rPr>
              <w:t xml:space="preserve">ETH101, DRT401, ANG201, GES301</w:t>
            </w:r>
          </w:p>
        </w:tc>
      </w:tr>
      <w:tr>
        <w:tc>
          <w:tcPr>
            <w:tcW w:type="dxa" w:w="4536"/>
            <w:tcMar>
              <w:top w:type="dxa" w:w="60"/>
              <w:left w:type="dxa" w:w="100"/>
              <w:bottom w:type="dxa" w:w="60"/>
              <w:right w:type="dxa" w:w="100"/>
            </w:tcMar>
            <w:vAlign w:val="center"/>
          </w:tcPr>
          <w:p>
            <w:pPr>
              <w:jc w:val="left"/>
            </w:pPr>
            <w:r>
              <w:rPr>
                <w:b/>
                <w:bCs/>
                <w:i w:val="false"/>
                <w:iCs w:val="false"/>
                <w:sz w:val="18"/>
                <w:szCs w:val="18"/>
              </w:rPr>
              <w:t xml:space="preserve">Data Science / Analytics</w:t>
            </w:r>
          </w:p>
        </w:tc>
        <w:tc>
          <w:tcPr>
            <w:tcW w:type="dxa" w:w="5544"/>
            <w:tcMar>
              <w:top w:type="dxa" w:w="60"/>
              <w:left w:type="dxa" w:w="100"/>
              <w:bottom w:type="dxa" w:w="60"/>
              <w:right w:type="dxa" w:w="100"/>
            </w:tcMar>
            <w:vAlign w:val="center"/>
          </w:tcPr>
          <w:p>
            <w:pPr>
              <w:jc w:val="left"/>
            </w:pPr>
            <w:r>
              <w:rPr>
                <w:b w:val="false"/>
                <w:bCs w:val="false"/>
                <w:i w:val="false"/>
                <w:iCs w:val="false"/>
                <w:sz w:val="18"/>
                <w:szCs w:val="18"/>
              </w:rPr>
              <w:t xml:space="preserve">MAT201, DAT401</w:t>
            </w:r>
          </w:p>
        </w:tc>
      </w:tr>
    </w:tbl>
    <w:p>
      <w:pPr>
        <w:spacing w:before="400"/>
      </w:pPr>
      <w:r>
        <w:rPr>
          <w:i/>
          <w:iCs/>
          <w:color w:val="595959"/>
          <w:sz w:val="18"/>
          <w:szCs w:val="18"/>
        </w:rPr>
        <w:t xml:space="preserve">Fin du document — Version 1.0, à soumettre au conseil académique de l'UJEPH pour révision et validation.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4e5f"/>
      <w:sz w:val="28"/>
      <w:szCs w:val="28"/>
    </w:rPr>
  </w:style>
  <w:style w:type="paragraph" w:styleId="Heading2">
    <w:name w:val="Heading 2"/>
    <w:basedOn w:val="Normal"/>
    <w:next w:val="Normal"/>
    <w:qFormat/>
    <w:pPr>
      <w:spacing w:after="150" w:before="300"/>
      <w:outlineLvl w:val="1"/>
    </w:pPr>
    <w:rPr>
      <w:b/>
      <w:bCs/>
      <w:color w:val="1f4e5f"/>
      <w:sz w:val="24"/>
      <w:szCs w:val="24"/>
    </w:rPr>
  </w:style>
  <w:style w:type="paragraph" w:styleId="Heading3">
    <w:name w:val="Heading 3"/>
    <w:basedOn w:val="Normal"/>
    <w:next w:val="Normal"/>
    <w:qFormat/>
    <w:pPr>
      <w:spacing w:after="100" w:before="200"/>
      <w:outlineLvl w:val="2"/>
    </w:pPr>
    <w:rP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2026-08-03T15:14:17.707Z</dcterms:created>
  <dcterms:modified xsi:type="dcterms:W3CDTF">2026-08-03T15:14:17.709Z</dcterms:modified>
</cp:coreProperties>
</file>

<file path=docProps/custom.xml><?xml version="1.0" encoding="utf-8"?>
<Properties xmlns="http://schemas.openxmlformats.org/officeDocument/2006/custom-properties" xmlns:vt="http://schemas.openxmlformats.org/officeDocument/2006/docPropsVTypes"/>
</file>