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d'organisation — Fête de quartier annuelle</w:t>
      </w:r>
    </w:p>
    <w:p>
      <w:r>
        <w:rPr>
          <w:b/>
          <w:sz w:val="26"/>
        </w:rPr>
        <w:t>1. Avant l'événement</w:t>
      </w:r>
    </w:p>
    <w:p>
      <w:pPr>
        <w:ind w:left="709"/>
      </w:pPr>
      <w:r>
        <w:t>a. Réserver la salle municipale</w:t>
      </w:r>
    </w:p>
    <w:p>
      <w:pPr>
        <w:ind w:left="709"/>
      </w:pPr>
      <w:r>
        <w:t>b. Envoyer les invitations aux habitants</w:t>
      </w:r>
    </w:p>
    <w:p>
      <w:pPr>
        <w:ind w:left="709"/>
      </w:pPr>
      <w:r>
        <w:t>c. Commander le matériel (chaises, sonorisation)</w:t>
      </w:r>
    </w:p>
    <w:p>
      <w:r>
        <w:rPr>
          <w:b/>
          <w:sz w:val="26"/>
        </w:rPr>
        <w:t>2. Pendant l'événement</w:t>
      </w:r>
    </w:p>
    <w:p>
      <w:pPr>
        <w:ind w:left="709"/>
      </w:pPr>
      <w:r>
        <w:t>a. Accueil et inscription des invités</w:t>
      </w:r>
    </w:p>
    <w:p>
      <w:pPr>
        <w:ind w:left="709"/>
      </w:pPr>
      <w:r>
        <w:t>b. Animation et jeux pour les enfants</w:t>
      </w:r>
    </w:p>
    <w:p>
      <w:pPr>
        <w:ind w:left="709"/>
      </w:pPr>
      <w:r>
        <w:t>c. Service de la collation</w:t>
      </w:r>
    </w:p>
    <w:p>
      <w:r>
        <w:rPr>
          <w:b/>
          <w:sz w:val="26"/>
        </w:rPr>
        <w:t>3. Après l'événement</w:t>
      </w:r>
    </w:p>
    <w:p>
      <w:pPr>
        <w:ind w:left="709"/>
      </w:pPr>
      <w:r>
        <w:t>a. Envoyer les remerciements</w:t>
      </w:r>
    </w:p>
    <w:p>
      <w:pPr>
        <w:ind w:left="709"/>
      </w:pPr>
      <w:r>
        <w:t>b. Rédiger le bilan financier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