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Détail des dépenses trimestrielles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8640"/>
            <w:gridSpan w:val="2"/>
            <w:shd w:val="clear" w:color="auto" w:fill="1B4F72"/>
          </w:tcPr>
          <w:p>
            <w:pPr>
              <w:jc w:val="center"/>
            </w:pPr>
            <w:r>
              <w:rPr>
                <w:b/>
                <w:color w:val="FFFFFF"/>
              </w:rPr>
              <w:t>Dépenses T1 2026</w:t>
            </w:r>
          </w:p>
        </w:tc>
      </w:tr>
      <w:tr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Catégorie</w:t>
            </w:r>
          </w:p>
        </w:tc>
        <w:tc>
          <w:tcPr>
            <w:tcW w:type="dxa" w:w="4320"/>
            <w:shd w:val="clear" w:color="auto" w:fill="D6E4F0"/>
          </w:tcPr>
          <w:p>
            <w:r>
              <w:rPr>
                <w:b/>
              </w:rPr>
              <w:t>Montant (HTG)</w:t>
            </w:r>
          </w:p>
        </w:tc>
      </w:tr>
      <w:tr>
        <w:tc>
          <w:tcPr>
            <w:tcW w:type="dxa" w:w="4320"/>
          </w:tcPr>
          <w:p>
            <w:r>
              <w:t>Location de salle</w:t>
            </w:r>
          </w:p>
        </w:tc>
        <w:tc>
          <w:tcPr>
            <w:tcW w:type="dxa" w:w="4320"/>
          </w:tcPr>
          <w:p>
            <w:r>
              <w:t>610</w:t>
            </w:r>
          </w:p>
        </w:tc>
      </w:tr>
      <w:tr>
        <w:tc>
          <w:tcPr>
            <w:tcW w:type="dxa" w:w="4320"/>
          </w:tcPr>
          <w:p>
            <w:r>
              <w:t>Fournitures</w:t>
            </w:r>
          </w:p>
        </w:tc>
        <w:tc>
          <w:tcPr>
            <w:tcW w:type="dxa" w:w="4320"/>
          </w:tcPr>
          <w:p>
            <w:r>
              <w:t>450</w:t>
            </w:r>
          </w:p>
        </w:tc>
      </w:tr>
      <w:tr>
        <w:tc>
          <w:tcPr>
            <w:tcW w:type="dxa" w:w="4320"/>
          </w:tcPr>
          <w:p>
            <w:r>
              <w:t>Transport</w:t>
            </w:r>
          </w:p>
        </w:tc>
        <w:tc>
          <w:tcPr>
            <w:tcW w:type="dxa" w:w="4320"/>
          </w:tcPr>
          <w:p>
            <w:r>
              <w:t>280</w:t>
            </w:r>
          </w:p>
        </w:tc>
      </w:tr>
      <w:tr>
        <w:tc>
          <w:tcPr>
            <w:tcW w:type="dxa" w:w="4320"/>
          </w:tcPr>
          <w:p>
            <w:r>
              <w:t>Communication</w:t>
            </w:r>
          </w:p>
        </w:tc>
        <w:tc>
          <w:tcPr>
            <w:tcW w:type="dxa" w:w="4320"/>
          </w:tcPr>
          <w:p>
            <w:r>
              <w:t>120</w:t>
            </w:r>
          </w:p>
        </w:tc>
      </w:tr>
      <w:tr>
        <w:tc>
          <w:tcPr>
            <w:tcW w:type="dxa" w:w="4320"/>
            <w:shd w:val="clear" w:color="auto" w:fill="F4D03F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  <w:shd w:val="clear" w:color="auto" w:fill="F4D03F"/>
          </w:tcPr>
          <w:p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=SUM(ABOVE) \# "#,##0"</w:instrText>
            </w:r>
            <w:r>
              <w:rPr>
                <w:b/>
              </w:rPr>
              <w:fldChar w:fldCharType="separate"/>
            </w:r>
            <w:r>
              <w:rPr>
                <w:b/>
              </w:rPr>
              <w:t>1 460</w:t>
            </w:r>
            <w:r>
              <w:rPr>
                <w:b/>
              </w:rPr>
              <w:fldChar w:fldCharType="end"/>
            </w:r>
          </w:p>
        </w:tc>
      </w:tr>
    </w:tbl>
    <w:p/>
    <w:p>
      <w:r>
        <w:t>(Ce total est un vrai champ Word =SUM(ABOVE) : si tu modifies un montant, fais un clic droit dessus puis « Mettre à jour les champs » pour le recalculer automatiquement.)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