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Bulletin associatif — Édition de printemps</w:t>
      </w:r>
    </w:p>
    <w:p/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line="240" w:lineRule="auto"/>
      </w:pPr>
      <w:r>
        <w:rPr>
          <w:b/>
          <w:color w:val="1B4F72"/>
          <w:sz w:val="80"/>
        </w:rPr>
        <w:t>N</w:t>
      </w:r>
      <w:r>
        <w:t>otre association a le plaisir de vous présenter, dans ce numéro de printemps, un bilan complet de nos activités récentes ainsi que nos projets pour la saison à venir. Grâce à l'engagement constant de nos bénévoles, plusieurs initiatives ont vu le jour cette année, touchant directement plus de trois cents familles du quartier.</w:t>
      </w:r>
    </w:p>
    <w:p>
      <w:r>
        <w:t>Parmi les temps forts, la fête de quartier annuelle a rassemblé un public record, confirmant l'attachement de la communauté à ces moments de partage collectif. L'atelier de sensibilisation au recyclage a quant à lui permis de former une vingtaine de jeunes bénévoles à des gestes simples mais efficaces.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425" w:num="2"/>
          <w:docGrid w:linePitch="360"/>
        </w:sectPr>
      </w:pPr>
    </w:p>
    <w:p/>
    <w:p>
      <w:r>
        <w:rPr>
          <w:i/>
        </w:rPr>
        <w:t>(Note pédagogique : la grande lettre initiale ci-dessus est une approximation visuelle. En classe, utilisez la vraie fonctionnalité Lettrine — Insertion &gt; Lettrine, chapitre 16 du manuel — qui intègre la lettre dans le flux du texte environnant.)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425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