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3.png" ContentType="image/png"/>
  <Override PartName="/word/media/rId42.png" ContentType="image/png"/>
  <Override PartName="/word/media/rId47.png" ContentType="image/png"/>
  <Override PartName="/word/media/rId71.png" ContentType="image/png"/>
  <Override PartName="/word/media/rId75.png" ContentType="image/png"/>
  <Override PartName="/word/media/rId101.png" ContentType="image/png"/>
  <Override PartName="/word/media/rId126.png" ContentType="image/png"/>
  <Override PartName="/word/media/rId130.png" ContentType="image/png"/>
  <Override PartName="/word/media/rId152.png" ContentType="image/png"/>
  <Override PartName="/word/media/rId158.png" ContentType="image/png"/>
  <Override PartName="/word/media/rId179.png" ContentType="image/png"/>
  <Override PartName="/word/media/rId203.png" ContentType="image/png"/>
  <Override PartName="/word/media/rId226.png" ContentType="image/png"/>
  <Override PartName="/word/media/rId231.png" ContentType="image/png"/>
  <Override PartName="/word/media/rId252.png" ContentType="image/png"/>
  <Override PartName="/word/media/rId258.png" ContentType="image/png"/>
  <Override PartName="/word/media/rId279.png" ContentType="image/png"/>
  <Override PartName="/word/media/rId284.png" ContentType="image/png"/>
  <Override PartName="/word/media/rId304.png" ContentType="image/png"/>
  <Override PartName="/word/media/rId326.png" ContentType="image/png"/>
  <Override PartName="/word/media/rId330.png" ContentType="image/png"/>
  <Override PartName="/word/media/rId419.png" ContentType="image/png"/>
  <Override PartName="/word/media/rId425.png" ContentType="image/png"/>
  <Override PartName="/word/media/rId538.png" ContentType="image/png"/>
  <Override PartName="/word/media/rId562.png" ContentType="image/png"/>
  <Override PartName="/word/media/rId587.png" ContentType="image/png"/>
  <Override PartName="/word/media/rId638.png" ContentType="image/png"/>
  <Override PartName="/word/media/rId643.png" ContentType="image/png"/>
  <Override PartName="/word/media/rId666.png" ContentType="image/png"/>
  <Override PartName="/word/media/rId693.png" ContentType="image/png"/>
  <Override PartName="/word/media/rId714.png" ContentType="image/png"/>
  <Override PartName="/word/media/rId721.png" ContentType="image/png"/>
  <Override PartName="/word/media/rId769.png" ContentType="image/png"/>
  <Override PartName="/word/media/rId796.png" ContentType="image/png"/>
  <Override PartName="/word/media/rId817.png" ContentType="image/png"/>
  <Override PartName="/word/media/rId841.png" ContentType="image/png"/>
  <Override PartName="/word/media/rId871.png" ContentType="image/png"/>
  <Override PartName="/word/media/rId961.png" ContentType="image/png"/>
  <Override PartName="/word/media/rId1031.png" ContentType="image/png"/>
  <Override PartName="/word/media/rId1106.png" ContentType="image/png"/>
  <Override PartName="/word/media/rId1132.png" ContentType="image/png"/>
  <Override PartName="/word/media/rId1159.png" ContentType="image/png"/>
  <Override PartName="/word/media/rId1204.png" ContentType="image/png"/>
  <Override PartName="/word/media/rId1232.png" ContentType="image/png"/>
  <Override PartName="/word/media/rId1436.png" ContentType="image/png"/>
  <Override PartName="/word/media/rId1485.png" ContentType="image/png"/>
  <Override PartName="/word/media/rId1509.png" ContentType="image/png"/>
  <Override PartName="/word/media/rId1535.png" ContentType="image/png"/>
  <Override PartName="/word/media/rId1580.png" ContentType="image/png"/>
  <Override PartName="/word/media/rId1606.png" ContentType="image/png"/>
  <Override PartName="/word/media/rId1652.png" ContentType="image/png"/>
  <Override PartName="/word/media/rId1678.png" ContentType="image/png"/>
  <Override PartName="/word/media/rId1705.png" ContentType="image/png"/>
  <Override PartName="/word/media/rId1728.png" ContentType="image/png"/>
  <Override PartName="/word/media/rId1753.png" ContentType="image/png"/>
  <Override PartName="/word/media/rId1822.png" ContentType="image/png"/>
  <Override PartName="/word/media/rId1890.png" ContentType="image/png"/>
  <Override PartName="/word/media/rId1916.png" ContentType="image/png"/>
  <Override PartName="/word/media/rId196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Manuel professionnel d'Administration Systeme et Infrastructure</w:t>
      </w:r>
    </w:p>
    <w:p>
      <w:pPr>
        <w:pStyle w:val="Author"/>
      </w:pPr>
      <w:r>
        <w:t xml:space="preserve">Jaslin Occius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10" w:name="X8fc398ea4e939683e0c64ce13835ade752afa72"/>
    <w:p>
      <w:pPr>
        <w:pStyle w:val="Heading1"/>
      </w:pPr>
      <w:r>
        <w:t xml:space="preserve">Manuel professionnel d’Administration Système et Infrastructure</w:t>
      </w:r>
    </w:p>
    <w:bookmarkStart w:id="9" w:name="X45b81767347aba000db2ed46cb15f55b83443a2"/>
    <w:p>
      <w:pPr>
        <w:pStyle w:val="Heading3"/>
      </w:pPr>
      <w:r>
        <w:t xml:space="preserve">Virtualisation, cloud, DevOps, identité, supervision et cybersécurité</w:t>
      </w:r>
    </w:p>
    <w:p>
      <w:pPr>
        <w:pStyle w:val="FirstParagraph"/>
      </w:pPr>
      <w:r>
        <w:t xml:space="preserve">Un guide de référence pour étudiants, administrateurs débutants et professionnels : Windows Server et Linux avancés, virtualisation (VMware, Hyper-V, Proxmox), conteneurs et Kubernetes, cloud (AWS, Azure, GCP), automatisation (Ansible, Terraform), supervision et gouvernance de la sécurité — avec ateliers, exercices corrigés et un projet fil rouge complet.</w:t>
      </w:r>
    </w:p>
    <w:p>
      <w:r>
        <w:pict>
          <v:rect style="width:0;height:1.5pt" o:hralign="center" o:hrstd="t" o:hr="t"/>
        </w:pict>
      </w:r>
    </w:p>
    <w:p>
      <w:pPr>
        <w:pStyle w:val="FirstParagraph"/>
      </w:pPr>
      <w:r>
        <w:rPr>
          <w:b/>
          <w:bCs/>
        </w:rPr>
        <w:t xml:space="preserve">Jaslin Occius</w:t>
      </w:r>
    </w:p>
    <w:p>
      <w:pPr>
        <w:pStyle w:val="BodyText"/>
      </w:pPr>
      <w:r>
        <w:rPr>
          <w:i/>
          <w:iCs/>
        </w:rPr>
        <w:t xml:space="preserve">Rédigé pour l’enseignement de la programmation et de l’administration système</w:t>
      </w:r>
    </w:p>
    <w:bookmarkEnd w:id="9"/>
    <w:bookmarkEnd w:id="10"/>
    <w:p>
      <w:pPr>
        <w:pStyle w:val="BodyText"/>
      </w:pPr>
      <w:r>
        <w:t xml:space="preserve">CHAPITRE 1</w:t>
      </w:r>
    </w:p>
    <w:bookmarkStart w:id="38" w:name="le-métier-dadministrateur-système"/>
    <w:p>
      <w:pPr>
        <w:pStyle w:val="Heading1"/>
      </w:pPr>
      <w:r>
        <w:t xml:space="preserve">Le métier d’administrateur système</w:t>
      </w:r>
    </w:p>
    <w:p>
      <w:pPr>
        <w:pStyle w:val="FirstParagraph"/>
      </w:pPr>
      <w:r>
        <w:t xml:space="preserve">🎯 Objectif du chapitre</w:t>
      </w:r>
      <w:r>
        <w:t xml:space="preserve"> </w:t>
      </w:r>
      <w:r>
        <w:t xml:space="preserve">Comprendre ce que fait réellement un administrateur système au quotidien — au-delà de l’image populaire du</w:t>
      </w:r>
      <w:r>
        <w:t xml:space="preserve"> </w:t>
      </w:r>
      <w:r>
        <w:t xml:space="preserve">“informaticien qui répare tout”</w:t>
      </w:r>
      <w:r>
        <w:t xml:space="preserve"> </w:t>
      </w:r>
      <w:r>
        <w:t xml:space="preserve">— et savoir le situer précisément dans l’organisation IT d’une entreprise : ses frontières avec l’ingénieur réseau, le DBA, l’analyste sécurité, l’ingénieur DevOps et le support technique. À la fin de ce chapitre, tu sauras nommer les cinq responsabilités centrales du métier (disponibilité, sécurité, performance, sauvegarde, documentation), reconnaître dans quel type de structure tu es susceptible d’exercer, et expliquer en entretien — avec des mots précis, pas des formules toutes faites — en quoi consiste réellement ce métier.</w:t>
      </w:r>
    </w:p>
    <w:p>
      <w:pPr>
        <w:pStyle w:val="BodyText"/>
      </w:pPr>
      <w:r>
        <w:t xml:space="preserve">🎬 Mise en situation</w:t>
      </w:r>
      <w:r>
        <w:t xml:space="preserve"> </w:t>
      </w:r>
      <w:r>
        <w:t xml:space="preserve">Tu viens d’être recruté comme administrateur système junior dans une compagnie d’assurance de 200 employés, avec un siège à Port-au-Prince et un second bureau qui vient d’ouvrir au Cap-Haïtien. Le premier jour, le DSI (Directeur des Systèmes d’Information) te fait faire le tour et te dit une phrase que tu vas te répéter souvent dans les mois qui suivent :</w:t>
      </w:r>
      <w:r>
        <w:t xml:space="preserve"> </w:t>
      </w:r>
      <w:r>
        <w:t xml:space="preserve">“Ici, tu ne vas pas seulement redémarrer des ordinateurs. Tu vas être responsable que tout tourne, que tout le monde puisse travailler, et que si quelque chose casse à 2h du matin, quelqu’un sache exactement quoi faire — même si ce n’est pas toi qui es d’astreinte.”</w:t>
      </w:r>
      <w:r>
        <w:t xml:space="preserve"> </w:t>
      </w:r>
      <w:r>
        <w:t xml:space="preserve">Il te tend un badge d’accès à la salle serveur, un compte sur l’outil de tickets, et un planning d’astreinte qui commence dans deux semaines. Tu n’as pas encore tapé une seule commande. Ce chapitre pose les bases de ce que ce métier recouvre réellement, avant même d’ouvrir un terminal — parce que comprendre le rôle précède toujours la technique, jamais l’inverse.</w:t>
      </w:r>
    </w:p>
    <w:bookmarkStart w:id="11" w:name="X7b555e66bc36741c8c8ea64686b6289d87a3273"/>
    <w:p>
      <w:pPr>
        <w:pStyle w:val="Heading2"/>
      </w:pPr>
      <w:r>
        <w:t xml:space="preserve">1.1 Qu’est-ce qu’un administrateur système, vraiment</w:t>
      </w:r>
    </w:p>
    <w:p>
      <w:pPr>
        <w:pStyle w:val="FirstParagraph"/>
      </w:pPr>
      <w:r>
        <w:t xml:space="preserve">Dans l’imaginaire collectif, l’administrateur système (</w:t>
      </w:r>
      <w:r>
        <w:t xml:space="preserve">“sysadmin”</w:t>
      </w:r>
      <w:r>
        <w:t xml:space="preserve"> </w:t>
      </w:r>
      <w:r>
        <w:t xml:space="preserve">dans le jargon du métier) est la personne qu’on appelle quand l’imprimante ne répond plus ou que l’ordinateur d’un collègue</w:t>
      </w:r>
      <w:r>
        <w:t xml:space="preserve"> </w:t>
      </w:r>
      <w:r>
        <w:t xml:space="preserve">“fait des choses bizarres”</w:t>
      </w:r>
      <w:r>
        <w:t xml:space="preserve">. Cette image n’est pas totalement fausse dans une très petite structure — mais elle est très incomplète, et elle sous-estime largement la réalité du métier tel qu’il s’exerce dans une organisation qui a dépassé la dizaine d’employés.</w:t>
      </w:r>
    </w:p>
    <w:p>
      <w:pPr>
        <w:pStyle w:val="BodyText"/>
      </w:pPr>
      <w:r>
        <w:rPr>
          <w:b/>
          <w:bCs/>
        </w:rPr>
        <w:t xml:space="preserve">Un administrateur système est la personne responsable du bon fonctionnement, de la sécurité et de la disponibilité de l’infrastructure informatique</w:t>
      </w:r>
      <w:r>
        <w:t xml:space="preserve"> </w:t>
      </w:r>
      <w:r>
        <w:t xml:space="preserve">: les serveurs (physiques ou virtuels), les systèmes d’exploitation qui tournent dessus, les services qu’ils hébergent (messagerie, fichiers partagés, applications métier, bases de données), les comptes utilisateurs et leurs droits, et — de plus en plus — les ressources hébergées dans le cloud. Le sysadmin ne développe généralement pas les applications métier lui-même (c’est le rôle des développeurs) ; il fournit et maintient</w:t>
      </w:r>
      <w:r>
        <w:t xml:space="preserve"> </w:t>
      </w:r>
      <w:r>
        <w:rPr>
          <w:b/>
          <w:bCs/>
        </w:rPr>
        <w:t xml:space="preserve">l’environnement dans lequel ces applications s’exécutent</w:t>
      </w:r>
      <w:r>
        <w:t xml:space="preserve">, de façon fiable, sécurisée et mesurable.</w:t>
      </w:r>
    </w:p>
    <w:p>
      <w:pPr>
        <w:pStyle w:val="BodyText"/>
      </w:pPr>
      <w:r>
        <w:t xml:space="preserve">💡 Analogie — le plombier-électricien d’un immeuble</w:t>
      </w:r>
      <w:r>
        <w:t xml:space="preserve"> </w:t>
      </w:r>
      <w:r>
        <w:t xml:space="preserve">Un administrateur système, c’est un peu le plombier-électricien d’un immeuble de bureaux. Personne ne pense à lui quand l’eau coule au robinet et que la lumière s’allume au bon moment — c’est</w:t>
      </w:r>
      <w:r>
        <w:t xml:space="preserve"> </w:t>
      </w:r>
      <w:r>
        <w:t xml:space="preserve">censé</w:t>
      </w:r>
      <w:r>
        <w:t xml:space="preserve"> </w:t>
      </w:r>
      <w:r>
        <w:t xml:space="preserve">fonctionner, silencieusement, en permanence. Mais dès qu’une fuite apparaît un vendredi à 17h, ou qu’un court-circuit coupe l’électricité d’un étage entier, c’est lui qu’on appelle en urgence, et c’est sa compétence (et sa capacité à garder son calme) qui détermine si l’incident dure 20 minutes ou toute la nuit. Le vrai travail d’un bon administrateur système, comme celui d’un bon plombier-électricien, se voit surtout à travers son</w:t>
      </w:r>
      <w:r>
        <w:t xml:space="preserve"> </w:t>
      </w:r>
      <w:r>
        <w:t xml:space="preserve">absence</w:t>
      </w:r>
      <w:r>
        <w:t xml:space="preserve"> </w:t>
      </w:r>
      <w:r>
        <w:t xml:space="preserve">d’incidents — ce qui rend le métier difficile à valoriser auprès de ceux qui ne le pratiquent pas.</w:t>
      </w:r>
    </w:p>
    <w:p>
      <w:pPr>
        <w:pStyle w:val="BodyText"/>
      </w:pPr>
      <w:r>
        <w:t xml:space="preserve">📌 À retenir</w:t>
      </w:r>
      <w:r>
        <w:t xml:space="preserve"> </w:t>
      </w:r>
      <w:r>
        <w:t xml:space="preserve">Administrateur système = responsable de l’infrastructure (serveurs, OS, réseau local, stockage, identités, sauvegardes) sur laquelle les applications et les utilisateurs de l’entreprise s’appuient. Ce n’est ni un développeur d’applications, ni un simple technicien de dépannage poste de travail — même si, dans une petite structure, la même personne peut légitimement porter plusieurs de ces casquettes à la fois (section 1.7).</w:t>
      </w:r>
    </w:p>
    <w:bookmarkEnd w:id="11"/>
    <w:bookmarkStart w:id="12" w:name="X5236aec51e01a0b6ac8053aa7ff5d65d1e286f0"/>
    <w:p>
      <w:pPr>
        <w:pStyle w:val="Heading2"/>
      </w:pPr>
      <w:r>
        <w:t xml:space="preserve">1.2 L’administrateur système face aux métiers voisins</w:t>
      </w:r>
    </w:p>
    <w:p>
      <w:pPr>
        <w:pStyle w:val="FirstParagraph"/>
      </w:pPr>
      <w:r>
        <w:t xml:space="preserve">C’est l’une des sources de confusion les plus fréquentes chez les débutants, y compris en entretien : le mot</w:t>
      </w:r>
      <w:r>
        <w:t xml:space="preserve"> </w:t>
      </w:r>
      <w:r>
        <w:t xml:space="preserve">“informaticien”</w:t>
      </w:r>
      <w:r>
        <w:t xml:space="preserve"> </w:t>
      </w:r>
      <w:r>
        <w:t xml:space="preserve">recouvre en réalité une dizaine de métiers très différents, avec des frontières qui varient selon la taille de l’entreprise. Voici les métiers avec lesquels un sysadmin travaille le plus souvent, et où se situent les frontières (poreuses, mais réelles) :</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Métier</w:t>
            </w:r>
          </w:p>
        </w:tc>
        <w:tc>
          <w:tcPr/>
          <w:p>
            <w:pPr>
              <w:pStyle w:val="Compact"/>
            </w:pPr>
            <w:r>
              <w:t xml:space="preserve">Ce qu’il possède réellement</w:t>
            </w:r>
          </w:p>
        </w:tc>
        <w:tc>
          <w:tcPr/>
          <w:p>
            <w:pPr>
              <w:pStyle w:val="Compact"/>
            </w:pPr>
            <w:r>
              <w:t xml:space="preserve">Ce qu’il NE possède pas (en général)</w:t>
            </w:r>
          </w:p>
        </w:tc>
      </w:tr>
      <w:tr>
        <w:tc>
          <w:tcPr/>
          <w:p>
            <w:pPr>
              <w:pStyle w:val="Compact"/>
            </w:pPr>
            <w:r>
              <w:rPr>
                <w:b/>
                <w:bCs/>
              </w:rPr>
              <w:t xml:space="preserve">Administrateur système</w:t>
            </w:r>
            <w:r>
              <w:t xml:space="preserve"> </w:t>
            </w:r>
            <w:r>
              <w:t xml:space="preserve">(ce manuel)</w:t>
            </w:r>
          </w:p>
        </w:tc>
        <w:tc>
          <w:tcPr/>
          <w:p>
            <w:pPr>
              <w:pStyle w:val="Compact"/>
            </w:pPr>
            <w:r>
              <w:t xml:space="preserve">Serveurs, OS, virtualisation, identités (AD/LDAP), sauvegardes, supervision de l’infrastructure</w:t>
            </w:r>
          </w:p>
        </w:tc>
        <w:tc>
          <w:tcPr/>
          <w:p>
            <w:pPr>
              <w:pStyle w:val="Compact"/>
            </w:pPr>
            <w:r>
              <w:t xml:space="preserve">Le code des applications métier, la conception du réseau d’entreprise complet</w:t>
            </w:r>
          </w:p>
        </w:tc>
      </w:tr>
      <w:tr>
        <w:tc>
          <w:tcPr/>
          <w:p>
            <w:pPr>
              <w:pStyle w:val="Compact"/>
            </w:pPr>
            <w:r>
              <w:rPr>
                <w:b/>
                <w:bCs/>
              </w:rPr>
              <w:t xml:space="preserve">Administrateur/Ingénieur réseau</w:t>
            </w:r>
          </w:p>
        </w:tc>
        <w:tc>
          <w:tcPr/>
          <w:p>
            <w:pPr>
              <w:pStyle w:val="Compact"/>
            </w:pPr>
            <w:r>
              <w:t xml:space="preserve">Switches, routeurs, VLAN, pare-feu, VPN, câblage, Wi-Fi</w:t>
            </w:r>
          </w:p>
        </w:tc>
        <w:tc>
          <w:tcPr/>
          <w:p>
            <w:pPr>
              <w:pStyle w:val="Compact"/>
            </w:pPr>
            <w:r>
              <w:t xml:space="preserve">Les serveurs et ce qui tourne dessus</w:t>
            </w:r>
          </w:p>
        </w:tc>
      </w:tr>
      <w:tr>
        <w:tc>
          <w:tcPr/>
          <w:p>
            <w:pPr>
              <w:pStyle w:val="Compact"/>
            </w:pPr>
            <w:r>
              <w:rPr>
                <w:b/>
                <w:bCs/>
              </w:rPr>
              <w:t xml:space="preserve">DBA</w:t>
            </w:r>
            <w:r>
              <w:t xml:space="preserve"> </w:t>
            </w:r>
            <w:r>
              <w:t xml:space="preserve">(administrateur de bases de données)</w:t>
            </w:r>
          </w:p>
        </w:tc>
        <w:tc>
          <w:tcPr/>
          <w:p>
            <w:pPr>
              <w:pStyle w:val="Compact"/>
            </w:pPr>
            <w:r>
              <w:t xml:space="preserve">Performance et intégrité des bases de données, sauvegardes de données, réplication</w:t>
            </w:r>
          </w:p>
        </w:tc>
        <w:tc>
          <w:tcPr/>
          <w:p>
            <w:pPr>
              <w:pStyle w:val="Compact"/>
            </w:pPr>
            <w:r>
              <w:t xml:space="preserve">Le serveur physique/virtuel qui héberge la base (sauf structures très réduites)</w:t>
            </w:r>
          </w:p>
        </w:tc>
      </w:tr>
      <w:tr>
        <w:tc>
          <w:tcPr/>
          <w:p>
            <w:pPr>
              <w:pStyle w:val="Compact"/>
            </w:pPr>
            <w:r>
              <w:rPr>
                <w:b/>
                <w:bCs/>
              </w:rPr>
              <w:t xml:space="preserve">Ingénieur DevOps</w:t>
            </w:r>
          </w:p>
        </w:tc>
        <w:tc>
          <w:tcPr/>
          <w:p>
            <w:pPr>
              <w:pStyle w:val="Compact"/>
            </w:pPr>
            <w:r>
              <w:t xml:space="preserve">Automatisation du déploiement, pipelines CI/CD, infrastructure as code, culture Dev+Ops</w:t>
            </w:r>
          </w:p>
        </w:tc>
        <w:tc>
          <w:tcPr/>
          <w:p>
            <w:pPr>
              <w:pStyle w:val="Compact"/>
            </w:pPr>
            <w:r>
              <w:t xml:space="preserve">La gestion quotidienne</w:t>
            </w:r>
            <w:r>
              <w:t xml:space="preserve"> </w:t>
            </w:r>
            <w:r>
              <w:t xml:space="preserve">“à la main”</w:t>
            </w:r>
            <w:r>
              <w:t xml:space="preserve"> </w:t>
            </w:r>
            <w:r>
              <w:t xml:space="preserve">d’un parc de serveurs existant</w:t>
            </w:r>
          </w:p>
        </w:tc>
      </w:tr>
      <w:tr>
        <w:tc>
          <w:tcPr/>
          <w:p>
            <w:pPr>
              <w:pStyle w:val="Compact"/>
            </w:pPr>
            <w:r>
              <w:rPr>
                <w:b/>
                <w:bCs/>
              </w:rPr>
              <w:t xml:space="preserve">Analyste sécurité / SOC</w:t>
            </w:r>
          </w:p>
        </w:tc>
        <w:tc>
          <w:tcPr/>
          <w:p>
            <w:pPr>
              <w:pStyle w:val="Compact"/>
            </w:pPr>
            <w:r>
              <w:t xml:space="preserve">Détection d’incidents, réponse à incident, conformité, audits</w:t>
            </w:r>
          </w:p>
        </w:tc>
        <w:tc>
          <w:tcPr/>
          <w:p>
            <w:pPr>
              <w:pStyle w:val="Compact"/>
            </w:pPr>
            <w:r>
              <w:t xml:space="preserve">L’administration courante des systèmes (mais collabore étroitement avec le sysadmin)</w:t>
            </w:r>
          </w:p>
        </w:tc>
      </w:tr>
      <w:tr>
        <w:tc>
          <w:tcPr/>
          <w:p>
            <w:pPr>
              <w:pStyle w:val="Compact"/>
            </w:pPr>
            <w:r>
              <w:rPr>
                <w:b/>
                <w:bCs/>
              </w:rPr>
              <w:t xml:space="preserve">Architecte cloud</w:t>
            </w:r>
          </w:p>
        </w:tc>
        <w:tc>
          <w:tcPr/>
          <w:p>
            <w:pPr>
              <w:pStyle w:val="Compact"/>
            </w:pPr>
            <w:r>
              <w:t xml:space="preserve">Conception d’architectures cloud à grande échelle, choix de services managés</w:t>
            </w:r>
          </w:p>
        </w:tc>
        <w:tc>
          <w:tcPr/>
          <w:p>
            <w:pPr>
              <w:pStyle w:val="Compact"/>
            </w:pPr>
            <w:r>
              <w:t xml:space="preserve">L’exploitation quotidienne</w:t>
            </w:r>
            <w:r>
              <w:t xml:space="preserve"> </w:t>
            </w:r>
            <w:r>
              <w:t xml:space="preserve">“terrain”</w:t>
            </w:r>
            <w:r>
              <w:t xml:space="preserve"> </w:t>
            </w:r>
            <w:r>
              <w:t xml:space="preserve">(souvent déléguée à des sysadmins cloud)</w:t>
            </w:r>
          </w:p>
        </w:tc>
      </w:tr>
      <w:tr>
        <w:tc>
          <w:tcPr/>
          <w:p>
            <w:pPr>
              <w:pStyle w:val="Compact"/>
            </w:pPr>
            <w:r>
              <w:rPr>
                <w:b/>
                <w:bCs/>
              </w:rPr>
              <w:t xml:space="preserve">Support technique (helpdesk)</w:t>
            </w:r>
          </w:p>
        </w:tc>
        <w:tc>
          <w:tcPr/>
          <w:p>
            <w:pPr>
              <w:pStyle w:val="Compact"/>
            </w:pPr>
            <w:r>
              <w:t xml:space="preserve">Premier contact avec l’utilisateur, incidents simples, poste de travail</w:t>
            </w:r>
          </w:p>
        </w:tc>
        <w:tc>
          <w:tcPr/>
          <w:p>
            <w:pPr>
              <w:pStyle w:val="Compact"/>
            </w:pPr>
            <w:r>
              <w:t xml:space="preserve">L’infrastructure serveur, les décisions d’architecture</w:t>
            </w:r>
          </w:p>
        </w:tc>
      </w:tr>
    </w:tbl>
    <w:p>
      <w:pPr>
        <w:pStyle w:val="BodyText"/>
      </w:pPr>
      <w:r>
        <w:t xml:space="preserve">⚠️ Erreur de compréhension fréquente :</w:t>
      </w:r>
      <w:r>
        <w:t xml:space="preserve"> </w:t>
      </w:r>
      <w:r>
        <w:t xml:space="preserve">“sysadmin = celui qui répare tout”</w:t>
      </w:r>
      <w:r>
        <w:t xml:space="preserve"> </w:t>
      </w:r>
      <w:r>
        <w:t xml:space="preserve">Dans une entreprise de 15 personnes, il est parfaitement normal — et même inévitable — qu’une seule personne cumule sysadmin, réseau, un peu de sécurité et parfois du support niveau 1. Mais dans une entreprise de 300 employés ou davantage, ces rôles se séparent en équipes distinctes avec des responsabilités précises et des accès différents. Comprendre cette distinction change directement ce qu’on doit apprendre en priorité : un sysadmin dans une grande structure a besoin de profondeur sur son périmètre (Windows Server, Linux, virtualisation, identité) ; un sysadmin dans une petite structure a besoin de largeur (un peu de tout, y compris du réseau et du support).</w:t>
      </w:r>
    </w:p>
    <w:p>
      <w:pPr>
        <w:pStyle w:val="BodyText"/>
      </w:pPr>
      <w:r>
        <w:t xml:space="preserve">✅ Bonne pratique — assume ta posture selon la structure</w:t>
      </w:r>
      <w:r>
        <w:t xml:space="preserve"> </w:t>
      </w:r>
      <w:r>
        <w:t xml:space="preserve">Si tu es (ou tu vises) un poste dans une petite structure, ne rougis jamais d’être généraliste — c’est une compétence à part entière, et souvent la plus difficile à trouver sur le marché. Si tu vises une grande structure ou un poste très spécialisé, commence à choisir un axe de spécialisation dès que tu maîtrises les fondamentaux de ce manuel (typiquement après la Partie 6 ou 7) : virtualisation, cloud, sécurité, ou automatisation sont les quatre axes qui recrutent le plus en 2026.</w:t>
      </w:r>
    </w:p>
    <w:bookmarkEnd w:id="12"/>
    <w:bookmarkStart w:id="16" w:name="X5b3f3cf31758b0a8753fa40a2f26e4ab63c3f55"/>
    <w:p>
      <w:pPr>
        <w:pStyle w:val="Heading2"/>
      </w:pPr>
      <w:r>
        <w:t xml:space="preserve">1.3 Où se situe le sysadmin dans l’organisation IT</w:t>
      </w:r>
    </w:p>
    <w:p>
      <w:pPr>
        <w:pStyle w:val="FirstParagraph"/>
      </w:pPr>
      <w:r>
        <w:t xml:space="preserve">Pour comprendre à quel moment on fait appel à un administrateur système — et à quel moment ce n’est</w:t>
      </w:r>
      <w:r>
        <w:t xml:space="preserve"> </w:t>
      </w:r>
      <w:r>
        <w:t xml:space="preserve">pas</w:t>
      </w:r>
      <w:r>
        <w:t xml:space="preserve"> </w:t>
      </w:r>
      <w:r>
        <w:t xml:space="preserve">à lui de répondre — il faut voir la chaîne complète d’une organisation IT structurée. Voici l’organigramme type d’une direction des systèmes d’information (DSI) de taille moyenne :</w:t>
      </w:r>
    </w:p>
    <w:p>
      <w:pPr>
        <w:pStyle w:val="CaptionedFigure"/>
      </w:pPr>
      <w:r>
        <w:drawing>
          <wp:inline>
            <wp:extent cx="5334000" cy="2249277"/>
            <wp:effectExtent b="0" l="0" r="0" t="0"/>
            <wp:docPr descr="Diagramme" title="" id="14" name="Picture"/>
            <a:graphic>
              <a:graphicData uri="http://schemas.openxmlformats.org/drawingml/2006/picture">
                <pic:pic>
                  <pic:nvPicPr>
                    <pic:cNvPr descr="C:/Users/ingja/Desktop/jarvis-starter-kit/livrables/formations/manuel-administration-systeme/assets/diagrams/d-01-le-metier-administrateur-systeme-diagramme-1.png" id="15" name="Picture"/>
                    <pic:cNvPicPr>
                      <a:picLocks noChangeArrowheads="1" noChangeAspect="1"/>
                    </pic:cNvPicPr>
                  </pic:nvPicPr>
                  <pic:blipFill>
                    <a:blip r:embed="rId13"/>
                    <a:stretch>
                      <a:fillRect/>
                    </a:stretch>
                  </pic:blipFill>
                  <pic:spPr bwMode="auto">
                    <a:xfrm>
                      <a:off x="0" y="0"/>
                      <a:ext cx="5334000" cy="2249277"/>
                    </a:xfrm>
                    <a:prstGeom prst="rect">
                      <a:avLst/>
                    </a:prstGeom>
                    <a:noFill/>
                    <a:ln w="9525">
                      <a:noFill/>
                      <a:headEnd/>
                      <a:tailEnd/>
                    </a:ln>
                  </pic:spPr>
                </pic:pic>
              </a:graphicData>
            </a:graphic>
          </wp:inline>
        </w:drawing>
      </w:r>
    </w:p>
    <w:p>
      <w:pPr>
        <w:pStyle w:val="ImageCaption"/>
      </w:pPr>
      <w:r>
        <w:t xml:space="preserve">Diagramme</w:t>
      </w:r>
    </w:p>
    <w:p>
      <w:pPr>
        <w:pStyle w:val="BodyText"/>
      </w:pPr>
      <w:r>
        <w:t xml:space="preserve">💡 Explication du schéma — la chaîne d’escalade</w:t>
      </w:r>
      <w:r>
        <w:t xml:space="preserve"> </w:t>
      </w:r>
      <w:r>
        <w:t xml:space="preserve">Un incident n’atterrit presque jamais directement sur le bureau de l’administrateur système. Il commence typiquement au Support Niveau 1 (l’utilisateur signale</w:t>
      </w:r>
      <w:r>
        <w:t xml:space="preserve"> </w:t>
      </w:r>
      <w:r>
        <w:t xml:space="preserve">“je n’arrive pas à me connecter”</w:t>
      </w:r>
      <w:r>
        <w:t xml:space="preserve">), qui tente une résolution rapide à partir de procédures connues. S’il n’y arrive pas, il escalade au Niveau 2, qui creuse davantage. Si le problème touche l’infrastructure elle-même (un serveur, un service central, une panne réseau) plutôt qu’un poste individuel, il remonte à l’administrateur système ou réseau concerné. Comprendre cette chaîne évite un piège classique du débutant : vouloir tout résoudre soi-même sans processus, ce qui casse justement la raison d’être de cette organisation en couches.</w:t>
      </w:r>
    </w:p>
    <w:p>
      <w:pPr>
        <w:pStyle w:val="BodyText"/>
      </w:pPr>
      <w:r>
        <w:t xml:space="preserve">🧠 À mémoriser — les 4 pôles d’une DSI structurée</w:t>
      </w:r>
      <w:r>
        <w:t xml:space="preserve"> </w:t>
      </w:r>
      <w:r>
        <w:t xml:space="preserve">1.</w:t>
      </w:r>
      <w:r>
        <w:t xml:space="preserve"> </w:t>
      </w:r>
      <w:r>
        <w:rPr>
          <w:b/>
          <w:bCs/>
        </w:rPr>
        <w:t xml:space="preserve">Infrastructure</w:t>
      </w:r>
      <w:r>
        <w:t xml:space="preserve"> </w:t>
      </w:r>
      <w:r>
        <w:t xml:space="preserve">: serveurs, réseau, cloud — l’administrateur système y appartient.</w:t>
      </w:r>
      <w:r>
        <w:t xml:space="preserve"> </w:t>
      </w:r>
      <w:r>
        <w:t xml:space="preserve">2.</w:t>
      </w:r>
      <w:r>
        <w:t xml:space="preserve"> </w:t>
      </w:r>
      <w:r>
        <w:rPr>
          <w:b/>
          <w:bCs/>
        </w:rPr>
        <w:t xml:space="preserve">Sécurité</w:t>
      </w:r>
      <w:r>
        <w:t xml:space="preserve"> </w:t>
      </w:r>
      <w:r>
        <w:t xml:space="preserve">: détection, réponse à incident, conformité (RSSI, SOC).</w:t>
      </w:r>
      <w:r>
        <w:t xml:space="preserve"> </w:t>
      </w:r>
      <w:r>
        <w:t xml:space="preserve">3.</w:t>
      </w:r>
      <w:r>
        <w:t xml:space="preserve"> </w:t>
      </w:r>
      <w:r>
        <w:rPr>
          <w:b/>
          <w:bCs/>
        </w:rPr>
        <w:t xml:space="preserve">Développement</w:t>
      </w:r>
      <w:r>
        <w:t xml:space="preserve"> </w:t>
      </w:r>
      <w:r>
        <w:t xml:space="preserve">: applications métier, bases de données, DevOps.</w:t>
      </w:r>
      <w:r>
        <w:t xml:space="preserve"> </w:t>
      </w:r>
      <w:r>
        <w:t xml:space="preserve">4.</w:t>
      </w:r>
      <w:r>
        <w:t xml:space="preserve"> </w:t>
      </w:r>
      <w:r>
        <w:rPr>
          <w:b/>
          <w:bCs/>
        </w:rPr>
        <w:t xml:space="preserve">Support</w:t>
      </w:r>
      <w:r>
        <w:t xml:space="preserve"> </w:t>
      </w:r>
      <w:r>
        <w:t xml:space="preserve">: premier contact utilisateur, escalade progressive (N1 → N2 → spécialiste).</w:t>
      </w:r>
    </w:p>
    <w:bookmarkEnd w:id="16"/>
    <w:bookmarkStart w:id="17" w:name="X303e9b79543e772cc2bab0a168d73b88db93db6"/>
    <w:p>
      <w:pPr>
        <w:pStyle w:val="Heading2"/>
      </w:pPr>
      <w:r>
        <w:t xml:space="preserve">1.4 Les cinq responsabilités concrètes du métier</w:t>
      </w:r>
    </w:p>
    <w:p>
      <w:pPr>
        <w:pStyle w:val="FirstParagraph"/>
      </w:pPr>
      <w:r>
        <w:t xml:space="preserve">Au-delà des définitions, voici ce qui occupe réellement le temps et l’attention d’un administrateur système, résumé en cinq responsabilités qui reviendront, sous une forme ou une autre, dans presque tous les chapitres de ce manuel :</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Responsabilité</w:t>
            </w:r>
          </w:p>
        </w:tc>
        <w:tc>
          <w:tcPr/>
          <w:p>
            <w:pPr>
              <w:pStyle w:val="Compact"/>
            </w:pPr>
            <w:r>
              <w:t xml:space="preserve">Ce que ça signifie concrètement</w:t>
            </w:r>
          </w:p>
        </w:tc>
        <w:tc>
          <w:tcPr/>
          <w:p>
            <w:pPr>
              <w:pStyle w:val="Compact"/>
            </w:pPr>
            <w:r>
              <w:t xml:space="preserve">Exemple de tâche</w:t>
            </w:r>
          </w:p>
        </w:tc>
      </w:tr>
      <w:tr>
        <w:tc>
          <w:tcPr/>
          <w:p>
            <w:pPr>
              <w:pStyle w:val="Compact"/>
            </w:pPr>
            <w:r>
              <w:rPr>
                <w:b/>
                <w:bCs/>
              </w:rPr>
              <w:t xml:space="preserve">Disponibilité</w:t>
            </w:r>
          </w:p>
        </w:tc>
        <w:tc>
          <w:tcPr/>
          <w:p>
            <w:pPr>
              <w:pStyle w:val="Compact"/>
            </w:pPr>
            <w:r>
              <w:t xml:space="preserve">S’assurer que les services sont accessibles quand les utilisateurs en ont besoin</w:t>
            </w:r>
          </w:p>
        </w:tc>
        <w:tc>
          <w:tcPr/>
          <w:p>
            <w:pPr>
              <w:pStyle w:val="Compact"/>
            </w:pPr>
            <w:r>
              <w:t xml:space="preserve">Configurer un cluster de basculement (chapitre 13), surveiller l’espace disque avant qu’il ne sature</w:t>
            </w:r>
          </w:p>
        </w:tc>
      </w:tr>
      <w:tr>
        <w:tc>
          <w:tcPr/>
          <w:p>
            <w:pPr>
              <w:pStyle w:val="Compact"/>
            </w:pPr>
            <w:r>
              <w:rPr>
                <w:b/>
                <w:bCs/>
              </w:rPr>
              <w:t xml:space="preserve">Sécurité</w:t>
            </w:r>
          </w:p>
        </w:tc>
        <w:tc>
          <w:tcPr/>
          <w:p>
            <w:pPr>
              <w:pStyle w:val="Compact"/>
            </w:pPr>
            <w:r>
              <w:t xml:space="preserve">Réduire la surface d’attaque, contrôler les accès, appliquer les correctifs</w:t>
            </w:r>
          </w:p>
        </w:tc>
        <w:tc>
          <w:tcPr/>
          <w:p>
            <w:pPr>
              <w:pStyle w:val="Compact"/>
            </w:pPr>
            <w:r>
              <w:t xml:space="preserve">Appliquer le principe du moindre privilège, planifier les mises à jour de sécurité (WSUS, chapitre 12)</w:t>
            </w:r>
          </w:p>
        </w:tc>
      </w:tr>
      <w:tr>
        <w:tc>
          <w:tcPr/>
          <w:p>
            <w:pPr>
              <w:pStyle w:val="Compact"/>
            </w:pPr>
            <w:r>
              <w:rPr>
                <w:b/>
                <w:bCs/>
              </w:rPr>
              <w:t xml:space="preserve">Performance</w:t>
            </w:r>
          </w:p>
        </w:tc>
        <w:tc>
          <w:tcPr/>
          <w:p>
            <w:pPr>
              <w:pStyle w:val="Compact"/>
            </w:pPr>
            <w:r>
              <w:t xml:space="preserve">Anticiper la charge avant qu’elle ne dégrade le service</w:t>
            </w:r>
          </w:p>
        </w:tc>
        <w:tc>
          <w:tcPr/>
          <w:p>
            <w:pPr>
              <w:pStyle w:val="Compact"/>
            </w:pPr>
            <w:r>
              <w:t xml:space="preserve">Surveiller l’utilisation CPU/RAM/disque dans le temps, planifier une montée en capacité</w:t>
            </w:r>
          </w:p>
        </w:tc>
      </w:tr>
      <w:tr>
        <w:tc>
          <w:tcPr/>
          <w:p>
            <w:pPr>
              <w:pStyle w:val="Compact"/>
            </w:pPr>
            <w:r>
              <w:rPr>
                <w:b/>
                <w:bCs/>
              </w:rPr>
              <w:t xml:space="preserve">Sauvegarde et restauration</w:t>
            </w:r>
          </w:p>
        </w:tc>
        <w:tc>
          <w:tcPr/>
          <w:p>
            <w:pPr>
              <w:pStyle w:val="Compact"/>
            </w:pPr>
            <w:r>
              <w:t xml:space="preserve">Garantir que les données peuvent être récupérées après un incident</w:t>
            </w:r>
          </w:p>
        </w:tc>
        <w:tc>
          <w:tcPr/>
          <w:p>
            <w:pPr>
              <w:pStyle w:val="Compact"/>
            </w:pPr>
            <w:r>
              <w:t xml:space="preserve">Vérifier qu’une sauvegarde peut réellement être restaurée — pas seulement qu’elle</w:t>
            </w:r>
            <w:r>
              <w:t xml:space="preserve"> </w:t>
            </w:r>
            <w:r>
              <w:t xml:space="preserve">“s’est bien terminée”</w:t>
            </w:r>
          </w:p>
        </w:tc>
      </w:tr>
      <w:tr>
        <w:tc>
          <w:tcPr/>
          <w:p>
            <w:pPr>
              <w:pStyle w:val="Compact"/>
            </w:pPr>
            <w:r>
              <w:rPr>
                <w:b/>
                <w:bCs/>
              </w:rPr>
              <w:t xml:space="preserve">Documentation</w:t>
            </w:r>
          </w:p>
        </w:tc>
        <w:tc>
          <w:tcPr/>
          <w:p>
            <w:pPr>
              <w:pStyle w:val="Compact"/>
            </w:pPr>
            <w:r>
              <w:t xml:space="preserve">Transmettre la connaissance au-delà de sa propre mémoire</w:t>
            </w:r>
          </w:p>
        </w:tc>
        <w:tc>
          <w:tcPr/>
          <w:p>
            <w:pPr>
              <w:pStyle w:val="Compact"/>
            </w:pPr>
            <w:r>
              <w:t xml:space="preserve">Rédiger un runbook pour une procédure d’urgence, tenir à jour un schéma d’architecture</w:t>
            </w:r>
          </w:p>
        </w:tc>
      </w:tr>
    </w:tbl>
    <w:p>
      <w:pPr>
        <w:pStyle w:val="BodyText"/>
      </w:pPr>
      <w:r>
        <w:t xml:space="preserve">🔒 Sécurité — une sauvegarde jamais testée n’est pas une sauvegarde</w:t>
      </w:r>
      <w:r>
        <w:t xml:space="preserve"> </w:t>
      </w:r>
      <w:r>
        <w:t xml:space="preserve">C’est l’un des pièges les plus coûteux du métier, et il revient sans cesse dans les retours d’expérience d’incidents réels : une tâche de sauvegarde peut se terminer</w:t>
      </w:r>
      <w:r>
        <w:t xml:space="preserve"> </w:t>
      </w:r>
      <w:r>
        <w:t xml:space="preserve">“avec succès”</w:t>
      </w:r>
      <w:r>
        <w:t xml:space="preserve"> </w:t>
      </w:r>
      <w:r>
        <w:t xml:space="preserve">pendant des mois sans que personne n’ait jamais vérifié qu’un fichier de sauvegarde peut réellement être restauré. Le jour où un serveur tombe pour de bon, découvrir que la sauvegarde est corrompue, incomplète, ou tout simplement inexploitable est l’un des pires moments qu’un administrateur système puisse vivre. Ce sujet est traité en profondeur dans la Partie 5 (stockage et continuité d’activité), mais retiens dès ce premier chapitre le réflexe : une sauvegarde n’a de valeur que le jour où on a prouvé qu’elle se restaure.</w:t>
      </w:r>
    </w:p>
    <w:p>
      <w:pPr>
        <w:pStyle w:val="BodyText"/>
      </w:pPr>
      <w:r>
        <w:t xml:space="preserve">🚀 Performance — anticiper plutôt que subir</w:t>
      </w:r>
      <w:r>
        <w:t xml:space="preserve"> </w:t>
      </w:r>
      <w:r>
        <w:t xml:space="preserve">Un bon administrateur système ne se contente pas de réagir aux alertes : il surveille des tendances dans le temps (croissance de l’espace disque utilisé, montée progressive de la charge CPU) pour agir</w:t>
      </w:r>
      <w:r>
        <w:t xml:space="preserve"> </w:t>
      </w:r>
      <w:r>
        <w:t xml:space="preserve">avant</w:t>
      </w:r>
      <w:r>
        <w:t xml:space="preserve"> </w:t>
      </w:r>
      <w:r>
        <w:t xml:space="preserve">que le seuil critique soit atteint. C’est la différence entre</w:t>
      </w:r>
      <w:r>
        <w:t xml:space="preserve"> </w:t>
      </w:r>
      <w:r>
        <w:t xml:space="preserve">“le disque C: est plein, tout est bloqué”</w:t>
      </w:r>
      <w:r>
        <w:t xml:space="preserve"> </w:t>
      </w:r>
      <w:r>
        <w:t xml:space="preserve">(réactif, stressant, souvent en pleine nuit) et</w:t>
      </w:r>
      <w:r>
        <w:t xml:space="preserve"> </w:t>
      </w:r>
      <w:r>
        <w:t xml:space="preserve">“le disque C: sera plein dans trois semaines au rythme actuel, j’ai prévu l’extension pour la semaine prochaine”</w:t>
      </w:r>
      <w:r>
        <w:t xml:space="preserve"> </w:t>
      </w:r>
      <w:r>
        <w:t xml:space="preserve">(proactif, maîtrisé). Cette discipline s’appuie sur la supervision, couverte en profondeur dans la Partie 10.</w:t>
      </w:r>
    </w:p>
    <w:bookmarkEnd w:id="17"/>
    <w:bookmarkStart w:id="18" w:name="une-journée-type-sans-enjoliver"/>
    <w:p>
      <w:pPr>
        <w:pStyle w:val="Heading2"/>
      </w:pPr>
      <w:r>
        <w:t xml:space="preserve">1.5 Une journée type, sans enjoliver</w:t>
      </w:r>
    </w:p>
    <w:p>
      <w:pPr>
        <w:pStyle w:val="FirstParagraph"/>
      </w:pPr>
      <w:r>
        <w:t xml:space="preserve">Les formations en ligne montrent souvent le métier à travers des captures d’écran impeccables et des commandes qui fonctionnent du premier coup. La réalité du quotidien est un peu différente — pas moins intéressante, mais plus mélangée. Voici, de façon honnête, à quoi ressemble une journée ordinaire (pas une journée de crise) :</w:t>
      </w:r>
    </w:p>
    <w:p>
      <w:pPr>
        <w:pStyle w:val="BodyText"/>
      </w:pPr>
      <w:r>
        <w:rPr>
          <w:b/>
          <w:bCs/>
        </w:rPr>
        <w:t xml:space="preserve">8h00</w:t>
      </w:r>
      <w:r>
        <w:t xml:space="preserve"> </w:t>
      </w:r>
      <w:r>
        <w:t xml:space="preserve">— Café, puis un premier réflexe : consulter le tableau de bord de supervision (Partie 10) pour voir si quelque chose s’est dégradé pendant la nuit. Rien d’urgent aujourd’hui, mais une alerte</w:t>
      </w:r>
      <w:r>
        <w:t xml:space="preserve"> </w:t>
      </w:r>
      <w:r>
        <w:t xml:space="preserve">“espace disque à 78%”</w:t>
      </w:r>
      <w:r>
        <w:t xml:space="preserve"> </w:t>
      </w:r>
      <w:r>
        <w:t xml:space="preserve">sur un serveur de fichiers, à surveiller.</w:t>
      </w:r>
    </w:p>
    <w:p>
      <w:pPr>
        <w:pStyle w:val="BodyText"/>
      </w:pPr>
      <w:r>
        <w:rPr>
          <w:b/>
          <w:bCs/>
        </w:rPr>
        <w:t xml:space="preserve">8h30</w:t>
      </w:r>
      <w:r>
        <w:t xml:space="preserve"> </w:t>
      </w:r>
      <w:r>
        <w:t xml:space="preserve">— Un ticket du support N2 arrive : un utilisateur ne peut plus accéder à un dossier partagé depuis la veille. Diagnostic rapide (section 1.6 et chapitre suivant sur la méthode) : ce n’est pas un problème réseau (d’autres dossiers du même serveur sont accessibles), c’est un problème de permissions — quelqu’un a modifié les droits sur ce dossier précis. Corrigé en 10 minutes, ticket fermé, cause notée dans le journal des changements.</w:t>
      </w:r>
    </w:p>
    <w:p>
      <w:pPr>
        <w:pStyle w:val="BodyText"/>
      </w:pPr>
      <w:r>
        <w:rPr>
          <w:b/>
          <w:bCs/>
        </w:rPr>
        <w:t xml:space="preserve">9h00</w:t>
      </w:r>
      <w:r>
        <w:t xml:space="preserve"> </w:t>
      </w:r>
      <w:r>
        <w:t xml:space="preserve">— Réunion d’équipe hebdomadaire de 15 minutes (</w:t>
      </w:r>
      <w:r>
        <w:t xml:space="preserve">“stand-up”</w:t>
      </w:r>
      <w:r>
        <w:t xml:space="preserve">) : chacun résume ce qu’il fait aujourd’hui. Tu mentionnes l’alerte disque du matin et la planification d’une extension.</w:t>
      </w:r>
    </w:p>
    <w:p>
      <w:pPr>
        <w:pStyle w:val="BodyText"/>
      </w:pPr>
      <w:r>
        <w:rPr>
          <w:b/>
          <w:bCs/>
        </w:rPr>
        <w:t xml:space="preserve">9h30 à 11h30</w:t>
      </w:r>
      <w:r>
        <w:t xml:space="preserve"> </w:t>
      </w:r>
      <w:r>
        <w:t xml:space="preserve">— Travail de fond planifié : mise à jour d’un runbook de procédure d’urgence (jamais fait depuis 6 mois, il ne correspond plus à l’infrastructure actuelle), puis test d’une restauration de sauvegarde sur un environnement de test, exactement le réflexe évoqué plus haut.</w:t>
      </w:r>
    </w:p>
    <w:p>
      <w:pPr>
        <w:pStyle w:val="BodyText"/>
      </w:pPr>
      <w:r>
        <w:rPr>
          <w:b/>
          <w:bCs/>
        </w:rPr>
        <w:t xml:space="preserve">11h30</w:t>
      </w:r>
      <w:r>
        <w:t xml:space="preserve"> </w:t>
      </w:r>
      <w:r>
        <w:t xml:space="preserve">— Un message urgent : le service de messagerie interne semble lent pour plusieurs utilisateurs. Diagnostic en cours quand le problème se résout de lui-même 20 minutes plus tard — cause probable : un pic de charge temporaire. Note prise pour surveiller si ça se reproduit (un incident isolé se surveille ; un incident qui se répète devient un projet).</w:t>
      </w:r>
    </w:p>
    <w:p>
      <w:pPr>
        <w:pStyle w:val="BodyText"/>
      </w:pPr>
      <w:r>
        <w:rPr>
          <w:b/>
          <w:bCs/>
        </w:rPr>
        <w:t xml:space="preserve">Après-midi</w:t>
      </w:r>
      <w:r>
        <w:t xml:space="preserve"> </w:t>
      </w:r>
      <w:r>
        <w:t xml:space="preserve">— Un chantier de fond : préparation de la migration d’un serveur applicatif vers une nouvelle version de l’OS, prévue dans trois semaines. Ce travail inclut la lecture de la documentation officielle des changements (les fameuses</w:t>
      </w:r>
      <w:r>
        <w:t xml:space="preserve"> </w:t>
      </w:r>
      <w:r>
        <w:t xml:space="preserve">“release notes”</w:t>
      </w:r>
      <w:r>
        <w:t xml:space="preserve">), la préparation d’un environnement de test, et la rédaction d’un plan de bascule avec un plan de retour arrière si ça se passe mal.</w:t>
      </w:r>
    </w:p>
    <w:p>
      <w:pPr>
        <w:pStyle w:val="BodyText"/>
      </w:pPr>
      <w:r>
        <w:rPr>
          <w:b/>
          <w:bCs/>
        </w:rPr>
        <w:t xml:space="preserve">17h00</w:t>
      </w:r>
      <w:r>
        <w:t xml:space="preserve"> </w:t>
      </w:r>
      <w:r>
        <w:t xml:space="preserve">— Dernier passage sur le tableau de bord de supervision avant de partir, transmission de l’astreinte à un collègue pour la nuit.</w:t>
      </w:r>
    </w:p>
    <w:p>
      <w:pPr>
        <w:pStyle w:val="BodyText"/>
      </w:pPr>
      <w:r>
        <w:t xml:space="preserve">❌ Mauvaise pratique — l’héroïsme permanent</w:t>
      </w:r>
      <w:r>
        <w:t xml:space="preserve"> </w:t>
      </w:r>
      <w:r>
        <w:t xml:space="preserve">Certains environnements (souvent ceux qui manquent de discipline de documentation et de supervision) transforment chaque journée en enchaînement de pompiers à éteindre. Ce mode</w:t>
      </w:r>
      <w:r>
        <w:t xml:space="preserve"> </w:t>
      </w:r>
      <w:r>
        <w:t xml:space="preserve">“héroïque”</w:t>
      </w:r>
      <w:r>
        <w:t xml:space="preserve"> </w:t>
      </w:r>
      <w:r>
        <w:t xml:space="preserve">est parfois valorisé socialement dans l’équipe (</w:t>
      </w:r>
      <w:r>
        <w:t xml:space="preserve">“c’est encore lui qui a sauvé la situation hier soir”</w:t>
      </w:r>
      <w:r>
        <w:t xml:space="preserve">) — mais c’est en réalité un symptôme d’organisation défaillante, pas une preuve de compétence. Un bon administrateur système préfère une journée ennuyeuse, où rien de grave ne se produit parce que tout a été anticipé, à une journée héroïque où tout est sauvé de justesse. Ce réflexe est difficile à acquérir en début de carrière, où l’adrénaline d’un incident résolu de justesse peut sembler gratifiante — mais c’est un piège à repérer tôt.</w:t>
      </w:r>
    </w:p>
    <w:bookmarkEnd w:id="18"/>
    <w:bookmarkStart w:id="19" w:name="X011139cf09f2f9e7c168b466b56588b3544e2f9"/>
    <w:p>
      <w:pPr>
        <w:pStyle w:val="Heading2"/>
      </w:pPr>
      <w:r>
        <w:t xml:space="preserve">1.6 Les compétences du métier : techniques et humaines</w:t>
      </w:r>
    </w:p>
    <w:p>
      <w:pPr>
        <w:pStyle w:val="FirstParagraph"/>
      </w:pPr>
      <w:r>
        <w:t xml:space="preserve">💡 Le profil</w:t>
      </w:r>
      <w:r>
        <w:t xml:space="preserve"> </w:t>
      </w:r>
      <w:r>
        <w:t xml:space="preserve">“en T”</w:t>
      </w:r>
      <w:r>
        <w:t xml:space="preserve"> </w:t>
      </w:r>
      <w:r>
        <w:t xml:space="preserve">(T-shaped)</w:t>
      </w:r>
      <w:r>
        <w:t xml:space="preserve"> </w:t>
      </w:r>
      <w:r>
        <w:t xml:space="preserve">La plupart des administrateurs système expérimentés développent un profil dit</w:t>
      </w:r>
      <w:r>
        <w:t xml:space="preserve"> </w:t>
      </w:r>
      <w:r>
        <w:t xml:space="preserve">“en T”</w:t>
      </w:r>
      <w:r>
        <w:t xml:space="preserve"> </w:t>
      </w:r>
      <w:r>
        <w:t xml:space="preserve">: une</w:t>
      </w:r>
      <w:r>
        <w:t xml:space="preserve"> </w:t>
      </w:r>
      <w:r>
        <w:rPr>
          <w:b/>
          <w:bCs/>
        </w:rPr>
        <w:t xml:space="preserve">largeur</w:t>
      </w:r>
      <w:r>
        <w:t xml:space="preserve"> </w:t>
      </w:r>
      <w:r>
        <w:t xml:space="preserve">de connaissances suffisante sur l’ensemble de l’écosystème (réseau, sécurité, virtualisation, cloud, scripting — la barre horizontale du T), et une</w:t>
      </w:r>
      <w:r>
        <w:t xml:space="preserve"> </w:t>
      </w:r>
      <w:r>
        <w:rPr>
          <w:b/>
          <w:bCs/>
        </w:rPr>
        <w:t xml:space="preserve">profondeur</w:t>
      </w:r>
      <w:r>
        <w:t xml:space="preserve"> </w:t>
      </w:r>
      <w:r>
        <w:t xml:space="preserve">réelle sur un ou deux domaines précis (par exemple, une vraie expertise Active Directory, ou une maîtrise poussée de Kubernetes — la barre verticale du T). Ce manuel est construit pour donner cette largeur d’ensemble ; la profondeur se construit ensuite, par la pratique et la spécialisation progressive.</w:t>
      </w:r>
    </w:p>
    <w:p>
      <w:pPr>
        <w:pStyle w:val="BodyText"/>
      </w:pPr>
      <w:r>
        <w:rPr>
          <w:b/>
          <w:bCs/>
        </w:rPr>
        <w:t xml:space="preserve">Compétences techniques (le</w:t>
      </w:r>
      <w:r>
        <w:rPr>
          <w:b/>
          <w:bCs/>
        </w:rPr>
        <w:t xml:space="preserve"> </w:t>
      </w:r>
      <w:r>
        <w:rPr>
          <w:b/>
          <w:bCs/>
        </w:rPr>
        <w:t xml:space="preserve">“quoi”</w:t>
      </w:r>
      <w:r>
        <w:rPr>
          <w:b/>
          <w:bCs/>
        </w:rPr>
        <w:t xml:space="preserve">)</w:t>
      </w:r>
      <w:r>
        <w:t xml:space="preserve">, dans l’ordre où ce manuel les aborde :</w:t>
      </w:r>
      <w:r>
        <w:t xml:space="preserve"> </w:t>
      </w:r>
      <w:r>
        <w:t xml:space="preserve">- Administration Windows Server et Linux au quotidien (Parties 2 et 3).</w:t>
      </w:r>
      <w:r>
        <w:t xml:space="preserve"> </w:t>
      </w:r>
      <w:r>
        <w:t xml:space="preserve">- Identité et authentification : Active Directory, LDAP, Kerberos (Partie 4).</w:t>
      </w:r>
      <w:r>
        <w:t xml:space="preserve"> </w:t>
      </w:r>
      <w:r>
        <w:t xml:space="preserve">- Stockage et continuité d’activité (Partie 5).</w:t>
      </w:r>
      <w:r>
        <w:t xml:space="preserve"> </w:t>
      </w:r>
      <w:r>
        <w:t xml:space="preserve">- Virtualisation et conteneurisation (Parties 6 et 7).</w:t>
      </w:r>
      <w:r>
        <w:t xml:space="preserve"> </w:t>
      </w:r>
      <w:r>
        <w:t xml:space="preserve">- Cloud computing (Partie 8).</w:t>
      </w:r>
      <w:r>
        <w:t xml:space="preserve"> </w:t>
      </w:r>
      <w:r>
        <w:t xml:space="preserve">- Automatisation et Infrastructure as Code (Partie 9).</w:t>
      </w:r>
      <w:r>
        <w:t xml:space="preserve"> </w:t>
      </w:r>
      <w:r>
        <w:t xml:space="preserve">- Supervision et observabilité (Partie 10).</w:t>
      </w:r>
      <w:r>
        <w:t xml:space="preserve"> </w:t>
      </w:r>
      <w:r>
        <w:t xml:space="preserve">- Réseau d’entreprise avancé (Partie 11).</w:t>
      </w:r>
      <w:r>
        <w:t xml:space="preserve"> </w:t>
      </w:r>
      <w:r>
        <w:t xml:space="preserve">- Cybersécurité et gouvernance (Partie 12).</w:t>
      </w:r>
    </w:p>
    <w:p>
      <w:pPr>
        <w:pStyle w:val="BodyText"/>
      </w:pPr>
      <w:r>
        <w:rPr>
          <w:b/>
          <w:bCs/>
        </w:rPr>
        <w:t xml:space="preserve">Compétences humaines (le</w:t>
      </w:r>
      <w:r>
        <w:rPr>
          <w:b/>
          <w:bCs/>
        </w:rPr>
        <w:t xml:space="preserve"> </w:t>
      </w:r>
      <w:r>
        <w:rPr>
          <w:b/>
          <w:bCs/>
        </w:rPr>
        <w:t xml:space="preserve">“comment”</w:t>
      </w:r>
      <w:r>
        <w:rPr>
          <w:b/>
          <w:bCs/>
        </w:rPr>
        <w:t xml:space="preserve">), tout aussi déterminantes pour la réussite dans ce métier :</w:t>
      </w:r>
      <w:r>
        <w:t xml:space="preserve"> </w:t>
      </w:r>
      <w:r>
        <w:t xml:space="preserve">-</w:t>
      </w:r>
      <w:r>
        <w:t xml:space="preserve"> </w:t>
      </w:r>
      <w:r>
        <w:rPr>
          <w:b/>
          <w:bCs/>
        </w:rPr>
        <w:t xml:space="preserve">Communiquer sous pression</w:t>
      </w:r>
      <w:r>
        <w:t xml:space="preserve"> </w:t>
      </w:r>
      <w:r>
        <w:t xml:space="preserve">: expliquer un incident en cours à un responsable non technique sans jargon inutile ni fausse certitude.</w:t>
      </w:r>
      <w:r>
        <w:t xml:space="preserve"> </w:t>
      </w:r>
      <w:r>
        <w:t xml:space="preserve">-</w:t>
      </w:r>
      <w:r>
        <w:t xml:space="preserve"> </w:t>
      </w:r>
      <w:r>
        <w:rPr>
          <w:b/>
          <w:bCs/>
        </w:rPr>
        <w:t xml:space="preserve">Documenter par réflexe</w:t>
      </w:r>
      <w:r>
        <w:t xml:space="preserve">, pas seulement quand on y pense — la mémoire d’une seule personne n’est jamais une stratégie d’entreprise fiable.</w:t>
      </w:r>
      <w:r>
        <w:t xml:space="preserve"> </w:t>
      </w:r>
      <w:r>
        <w:t xml:space="preserve">-</w:t>
      </w:r>
      <w:r>
        <w:t xml:space="preserve"> </w:t>
      </w:r>
      <w:r>
        <w:rPr>
          <w:b/>
          <w:bCs/>
        </w:rPr>
        <w:t xml:space="preserve">Admettre</w:t>
      </w:r>
      <w:r>
        <w:rPr>
          <w:b/>
          <w:bCs/>
        </w:rPr>
        <w:t xml:space="preserve"> </w:t>
      </w:r>
      <w:r>
        <w:rPr>
          <w:b/>
          <w:bCs/>
        </w:rPr>
        <w:t xml:space="preserve">“je ne sais pas encore”</w:t>
      </w:r>
      <w:r>
        <w:t xml:space="preserve"> </w:t>
      </w:r>
      <w:r>
        <w:t xml:space="preserve">plutôt que deviner une solution à l’aveugle sur un système en production — un réflexe qui distingue nettement le junior prudent du junior dangereux.</w:t>
      </w:r>
      <w:r>
        <w:t xml:space="preserve"> </w:t>
      </w:r>
      <w:r>
        <w:t xml:space="preserve">-</w:t>
      </w:r>
      <w:r>
        <w:t xml:space="preserve"> </w:t>
      </w:r>
      <w:r>
        <w:rPr>
          <w:b/>
          <w:bCs/>
        </w:rPr>
        <w:t xml:space="preserve">Gérer une astreinte</w:t>
      </w:r>
      <w:r>
        <w:t xml:space="preserve"> </w:t>
      </w:r>
      <w:r>
        <w:t xml:space="preserve">: rester joignable, savoir évaluer rapidement la gravité réelle d’une alerte à 3h du matin, et savoir quand escalader plutôt qu’insister seul.</w:t>
      </w:r>
    </w:p>
    <w:p>
      <w:pPr>
        <w:pStyle w:val="BodyText"/>
      </w:pPr>
      <w:r>
        <w:t xml:space="preserve">✅ Bonne pratique — le doute méthodique avant l’action</w:t>
      </w:r>
      <w:r>
        <w:t xml:space="preserve"> </w:t>
      </w:r>
      <w:r>
        <w:t xml:space="preserve">Sur un système en production, la question à se poser avant chaque commande n’est jamais</w:t>
      </w:r>
      <w:r>
        <w:t xml:space="preserve"> </w:t>
      </w:r>
      <w:r>
        <w:t xml:space="preserve">“est-ce que ça va marcher ?”</w:t>
      </w:r>
      <w:r>
        <w:t xml:space="preserve"> </w:t>
      </w:r>
      <w:r>
        <w:t xml:space="preserve">mais</w:t>
      </w:r>
      <w:r>
        <w:t xml:space="preserve"> </w:t>
      </w:r>
      <w:r>
        <w:t xml:space="preserve">“qu’est-ce qui se passe si ça ne marche pas ?”</w:t>
      </w:r>
      <w:r>
        <w:t xml:space="preserve">. Un administrateur système expérimenté n’est pas celui qui ne se trompe jamais — c’est celui dont les erreurs restent toujours réversibles, parce qu’il a pris l’habitude de se poser cette question avant d’agir, pas après.</w:t>
      </w:r>
    </w:p>
    <w:bookmarkEnd w:id="19"/>
    <w:bookmarkStart w:id="20" w:name="Xe5ffd8f20f975cd4d6c885306f699171c2cc002"/>
    <w:p>
      <w:pPr>
        <w:pStyle w:val="Heading2"/>
      </w:pPr>
      <w:r>
        <w:t xml:space="preserve">1.7 Les environnements où l’on exerce ce métier</w:t>
      </w:r>
    </w:p>
    <w:p>
      <w:pPr>
        <w:pStyle w:val="FirstParagraph"/>
      </w:pPr>
      <w:r>
        <w:t xml:space="preserve">Le métier ne se vit pas de la même façon selon le type de structure. Voici un panorama réaliste, utile autant pour choisir sa trajectoire de carrière que pour comprendre pourquoi deux administrateurs système peuvent avoir des quotidiens très différents :</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Environnement</w:t>
            </w:r>
          </w:p>
        </w:tc>
        <w:tc>
          <w:tcPr/>
          <w:p>
            <w:pPr>
              <w:pStyle w:val="Compact"/>
            </w:pPr>
            <w:r>
              <w:t xml:space="preserve">Ce qui caractérise le poste</w:t>
            </w:r>
          </w:p>
        </w:tc>
        <w:tc>
          <w:tcPr/>
          <w:p>
            <w:pPr>
              <w:pStyle w:val="Compact"/>
            </w:pPr>
            <w:r>
              <w:t xml:space="preserve">Intensité de l’astreinte</w:t>
            </w:r>
          </w:p>
        </w:tc>
      </w:tr>
      <w:tr>
        <w:tc>
          <w:tcPr/>
          <w:p>
            <w:pPr>
              <w:pStyle w:val="Compact"/>
            </w:pPr>
            <w:r>
              <w:rPr>
                <w:b/>
                <w:bCs/>
              </w:rPr>
              <w:t xml:space="preserve">PME généraliste</w:t>
            </w:r>
            <w:r>
              <w:t xml:space="preserve"> </w:t>
            </w:r>
            <w:r>
              <w:t xml:space="preserve">(10-100 employés)</w:t>
            </w:r>
          </w:p>
        </w:tc>
        <w:tc>
          <w:tcPr/>
          <w:p>
            <w:pPr>
              <w:pStyle w:val="Compact"/>
            </w:pPr>
            <w:r>
              <w:t xml:space="preserve">Un ou deux administrateurs couvrent tout : serveurs, réseau, un peu de sécurité, parfois le support</w:t>
            </w:r>
          </w:p>
        </w:tc>
        <w:tc>
          <w:tcPr/>
          <w:p>
            <w:pPr>
              <w:pStyle w:val="Compact"/>
            </w:pPr>
            <w:r>
              <w:t xml:space="preserve">Modérée, souvent portée par la même personne en continu</w:t>
            </w:r>
          </w:p>
        </w:tc>
      </w:tr>
      <w:tr>
        <w:tc>
          <w:tcPr/>
          <w:p>
            <w:pPr>
              <w:pStyle w:val="Compact"/>
            </w:pPr>
            <w:r>
              <w:rPr>
                <w:b/>
                <w:bCs/>
              </w:rPr>
              <w:t xml:space="preserve">Grande entreprise</w:t>
            </w:r>
            <w:r>
              <w:t xml:space="preserve"> </w:t>
            </w:r>
            <w:r>
              <w:t xml:space="preserve">(300+ employés)</w:t>
            </w:r>
          </w:p>
        </w:tc>
        <w:tc>
          <w:tcPr/>
          <w:p>
            <w:pPr>
              <w:pStyle w:val="Compact"/>
            </w:pPr>
            <w:r>
              <w:t xml:space="preserve">Équipes spécialisées, processus formalisés (ITIL, chapitre 2), ségrégation stricte des accès</w:t>
            </w:r>
          </w:p>
        </w:tc>
        <w:tc>
          <w:tcPr/>
          <w:p>
            <w:pPr>
              <w:pStyle w:val="Compact"/>
            </w:pPr>
            <w:r>
              <w:t xml:space="preserve">Rotation d’équipe organisée, astreinte partagée</w:t>
            </w:r>
          </w:p>
        </w:tc>
      </w:tr>
      <w:tr>
        <w:tc>
          <w:tcPr/>
          <w:p>
            <w:pPr>
              <w:pStyle w:val="Compact"/>
            </w:pPr>
            <w:r>
              <w:rPr>
                <w:b/>
                <w:bCs/>
              </w:rPr>
              <w:t xml:space="preserve">Hébergeur / fournisseur cloud</w:t>
            </w:r>
          </w:p>
        </w:tc>
        <w:tc>
          <w:tcPr/>
          <w:p>
            <w:pPr>
              <w:pStyle w:val="Compact"/>
            </w:pPr>
            <w:r>
              <w:t xml:space="preserve">Infrastructure à très grande échelle, automatisation poussée, criticité extrême (clients externes dépendent du service)</w:t>
            </w:r>
          </w:p>
        </w:tc>
        <w:tc>
          <w:tcPr/>
          <w:p>
            <w:pPr>
              <w:pStyle w:val="Compact"/>
            </w:pPr>
            <w:r>
              <w:t xml:space="preserve">Très structurée, souvent 24/7 avec plusieurs fuseaux horaires</w:t>
            </w:r>
          </w:p>
        </w:tc>
      </w:tr>
      <w:tr>
        <w:tc>
          <w:tcPr/>
          <w:p>
            <w:pPr>
              <w:pStyle w:val="Compact"/>
            </w:pPr>
            <w:r>
              <w:rPr>
                <w:b/>
                <w:bCs/>
              </w:rPr>
              <w:t xml:space="preserve">Administration publique</w:t>
            </w:r>
          </w:p>
        </w:tc>
        <w:tc>
          <w:tcPr/>
          <w:p>
            <w:pPr>
              <w:pStyle w:val="Compact"/>
            </w:pPr>
            <w:r>
              <w:t xml:space="preserve">Contraintes réglementaires fortes, cycles de décision plus lents, priorité à la stabilité sur l’innovation</w:t>
            </w:r>
          </w:p>
        </w:tc>
        <w:tc>
          <w:tcPr/>
          <w:p>
            <w:pPr>
              <w:pStyle w:val="Compact"/>
            </w:pPr>
            <w:r>
              <w:t xml:space="preserve">Variable, souvent modérée hors incidents majeurs</w:t>
            </w:r>
          </w:p>
        </w:tc>
      </w:tr>
      <w:tr>
        <w:tc>
          <w:tcPr/>
          <w:p>
            <w:pPr>
              <w:pStyle w:val="Compact"/>
            </w:pPr>
            <w:r>
              <w:rPr>
                <w:b/>
                <w:bCs/>
              </w:rPr>
              <w:t xml:space="preserve">Data center / colocation</w:t>
            </w:r>
          </w:p>
        </w:tc>
        <w:tc>
          <w:tcPr/>
          <w:p>
            <w:pPr>
              <w:pStyle w:val="Compact"/>
            </w:pPr>
            <w:r>
              <w:t xml:space="preserve">Responsabilité de l’infrastructure physique et de sa disponibilité pour plusieurs clients hébergés</w:t>
            </w:r>
          </w:p>
        </w:tc>
        <w:tc>
          <w:tcPr/>
          <w:p>
            <w:pPr>
              <w:pStyle w:val="Compact"/>
            </w:pPr>
            <w:r>
              <w:t xml:space="preserve">Très élevée, interventions physiques possibles à toute heure</w:t>
            </w:r>
          </w:p>
        </w:tc>
      </w:tr>
      <w:tr>
        <w:tc>
          <w:tcPr/>
          <w:p>
            <w:pPr>
              <w:pStyle w:val="Compact"/>
            </w:pPr>
            <w:r>
              <w:rPr>
                <w:b/>
                <w:bCs/>
              </w:rPr>
              <w:t xml:space="preserve">MSP (prestataire de services managés)</w:t>
            </w:r>
          </w:p>
        </w:tc>
        <w:tc>
          <w:tcPr/>
          <w:p>
            <w:pPr>
              <w:pStyle w:val="Compact"/>
            </w:pPr>
            <w:r>
              <w:t xml:space="preserve">Gestion de l’infrastructure de plusieurs entreprises clientes en parallèle, contextes très variés</w:t>
            </w:r>
          </w:p>
        </w:tc>
        <w:tc>
          <w:tcPr/>
          <w:p>
            <w:pPr>
              <w:pStyle w:val="Compact"/>
            </w:pPr>
            <w:r>
              <w:t xml:space="preserve">Élevée, avec des engagements contractuels (SLA) par client</w:t>
            </w:r>
          </w:p>
        </w:tc>
      </w:tr>
    </w:tbl>
    <w:p>
      <w:pPr>
        <w:pStyle w:val="BodyText"/>
      </w:pPr>
      <w:r>
        <w:t xml:space="preserve">🏢</w:t>
      </w:r>
      <w:r>
        <w:t xml:space="preserve"> </w:t>
      </w:r>
      <w:r>
        <w:rPr>
          <w:b/>
          <w:bCs/>
        </w:rPr>
        <w:t xml:space="preserve">En entreprise — un même titre, des réalités très différentes.</w:t>
      </w:r>
      <w:r>
        <w:t xml:space="preserve"> </w:t>
      </w:r>
      <w:r>
        <w:t xml:space="preserve">Deux personnes avec exactement le même titre de poste (</w:t>
      </w:r>
      <w:r>
        <w:t xml:space="preserve">“Administrateur système”</w:t>
      </w:r>
      <w:r>
        <w:t xml:space="preserve">) peuvent avoir des quotidiens presque incomparables selon l’environnement ci-dessus. En entretien d’embauche, une des questions les plus utiles à poser (et qui impressionne favorablement un recruteur, car elle montre une compréhension mûre du métier) est justement :</w:t>
      </w:r>
      <w:r>
        <w:t xml:space="preserve"> </w:t>
      </w:r>
      <w:r>
        <w:rPr>
          <w:i/>
          <w:iCs/>
        </w:rPr>
        <w:t xml:space="preserve">“Dans cette structure, l’administrateur système gère-t-il aussi le réseau et le support niveau 1, ou ces rôles sont-ils déjà séparés ?”</w:t>
      </w:r>
    </w:p>
    <w:bookmarkEnd w:id="20"/>
    <w:bookmarkStart w:id="21" w:name="panorama-de-ce-que-ce-manuel-va-couvrir"/>
    <w:p>
      <w:pPr>
        <w:pStyle w:val="Heading2"/>
      </w:pPr>
      <w:r>
        <w:t xml:space="preserve">1.8 Panorama de ce que ce manuel va couvrir</w:t>
      </w:r>
    </w:p>
    <w:p>
      <w:pPr>
        <w:pStyle w:val="SourceCode"/>
      </w:pPr>
      <w:r>
        <w:rPr>
          <w:rStyle w:val="VerbatimChar"/>
        </w:rPr>
        <w:t xml:space="preserve">Manuel professionnel d'Administration Systeme et Infrastructure</w:t>
      </w:r>
      <w:r>
        <w:br/>
      </w:r>
      <w:r>
        <w:rPr>
          <w:rStyle w:val="VerbatimChar"/>
        </w:rPr>
        <w:t xml:space="preserve">│</w:t>
      </w:r>
      <w:r>
        <w:br/>
      </w:r>
      <w:r>
        <w:rPr>
          <w:rStyle w:val="VerbatimChar"/>
        </w:rPr>
        <w:t xml:space="preserve">├─ Partie 1  : Le metier et la posture professionnelle          (ch. 1-4)</w:t>
      </w:r>
      <w:r>
        <w:br/>
      </w:r>
      <w:r>
        <w:rPr>
          <w:rStyle w:val="VerbatimChar"/>
        </w:rPr>
        <w:t xml:space="preserve">│</w:t>
      </w:r>
      <w:r>
        <w:br/>
      </w:r>
      <w:r>
        <w:rPr>
          <w:rStyle w:val="VerbatimChar"/>
        </w:rPr>
        <w:t xml:space="preserve">├─ Partie 2  : Administration Windows Server avancee             (ch. 5-13)</w:t>
      </w:r>
      <w:r>
        <w:br/>
      </w:r>
      <w:r>
        <w:rPr>
          <w:rStyle w:val="VerbatimChar"/>
        </w:rPr>
        <w:t xml:space="preserve">├─ Partie 3  : Administration Linux avancee                      (ch. 14-21)</w:t>
      </w:r>
      <w:r>
        <w:br/>
      </w:r>
      <w:r>
        <w:rPr>
          <w:rStyle w:val="VerbatimChar"/>
        </w:rPr>
        <w:t xml:space="preserve">│</w:t>
      </w:r>
      <w:r>
        <w:br/>
      </w:r>
      <w:r>
        <w:rPr>
          <w:rStyle w:val="VerbatimChar"/>
        </w:rPr>
        <w:t xml:space="preserve">├─ Partie 4  : Identite, authentification et annuaires           (ch. 22-26)</w:t>
      </w:r>
      <w:r>
        <w:br/>
      </w:r>
      <w:r>
        <w:rPr>
          <w:rStyle w:val="VerbatimChar"/>
        </w:rPr>
        <w:t xml:space="preserve">├─ Partie 5  : Stockage et continuite d'activite (PRA/PCA)       (ch. 27-32)</w:t>
      </w:r>
      <w:r>
        <w:br/>
      </w:r>
      <w:r>
        <w:rPr>
          <w:rStyle w:val="VerbatimChar"/>
        </w:rPr>
        <w:t xml:space="preserve">│</w:t>
      </w:r>
      <w:r>
        <w:br/>
      </w:r>
      <w:r>
        <w:rPr>
          <w:rStyle w:val="VerbatimChar"/>
        </w:rPr>
        <w:t xml:space="preserve">├─ Partie 6  : Virtualisation (VMware, Hyper-V, Proxmox)         (ch. 33-38)</w:t>
      </w:r>
      <w:r>
        <w:br/>
      </w:r>
      <w:r>
        <w:rPr>
          <w:rStyle w:val="VerbatimChar"/>
        </w:rPr>
        <w:t xml:space="preserve">├─ Partie 7  : Conteneurisation et orchestration (Docker, K8s)   (ch. 39-44)</w:t>
      </w:r>
      <w:r>
        <w:br/>
      </w:r>
      <w:r>
        <w:rPr>
          <w:rStyle w:val="VerbatimChar"/>
        </w:rPr>
        <w:t xml:space="preserve">│</w:t>
      </w:r>
      <w:r>
        <w:br/>
      </w:r>
      <w:r>
        <w:rPr>
          <w:rStyle w:val="VerbatimChar"/>
        </w:rPr>
        <w:t xml:space="preserve">├─ Partie 8  : Cloud computing (AWS, Azure, GCP)                 (ch. 45-50)</w:t>
      </w:r>
      <w:r>
        <w:br/>
      </w:r>
      <w:r>
        <w:rPr>
          <w:rStyle w:val="VerbatimChar"/>
        </w:rPr>
        <w:t xml:space="preserve">├─ Partie 9  : Automatisation et Infrastructure as Code          (ch. 51-57)</w:t>
      </w:r>
      <w:r>
        <w:br/>
      </w:r>
      <w:r>
        <w:rPr>
          <w:rStyle w:val="VerbatimChar"/>
        </w:rPr>
        <w:t xml:space="preserve">│</w:t>
      </w:r>
      <w:r>
        <w:br/>
      </w:r>
      <w:r>
        <w:rPr>
          <w:rStyle w:val="VerbatimChar"/>
        </w:rPr>
        <w:t xml:space="preserve">├─ Partie 10 : Supervision, journalisation et observabilite      (ch. 58-64)</w:t>
      </w:r>
      <w:r>
        <w:br/>
      </w:r>
      <w:r>
        <w:rPr>
          <w:rStyle w:val="VerbatimChar"/>
        </w:rPr>
        <w:t xml:space="preserve">├─ Partie 11 : Reseau d'entreprise avance                        (ch. 65-70)</w:t>
      </w:r>
      <w:r>
        <w:br/>
      </w:r>
      <w:r>
        <w:rPr>
          <w:rStyle w:val="VerbatimChar"/>
        </w:rPr>
        <w:t xml:space="preserve">├─ Partie 12 : Cybersecurite et gouvernance                      (ch. 71-79)</w:t>
      </w:r>
      <w:r>
        <w:br/>
      </w:r>
      <w:r>
        <w:rPr>
          <w:rStyle w:val="VerbatimChar"/>
        </w:rPr>
        <w:t xml:space="preserve">│</w:t>
      </w:r>
      <w:r>
        <w:br/>
      </w:r>
      <w:r>
        <w:rPr>
          <w:rStyle w:val="VerbatimChar"/>
        </w:rPr>
        <w:t xml:space="preserve">└─ Partie 13 : Projet final - infrastructure hybride complete    (ch. 80-86)</w:t>
      </w:r>
    </w:p>
    <w:p>
      <w:pPr>
        <w:pStyle w:val="FirstParagraph"/>
      </w:pPr>
      <w:r>
        <w:t xml:space="preserve">Chaque partie s’appuie sur les précédentes. Les Parties 2 à 5 forment le socle</w:t>
      </w:r>
      <w:r>
        <w:t xml:space="preserve"> </w:t>
      </w:r>
      <w:r>
        <w:t xml:space="preserve">“sur site”</w:t>
      </w:r>
      <w:r>
        <w:t xml:space="preserve"> </w:t>
      </w:r>
      <w:r>
        <w:t xml:space="preserve">(on-premise) qu’un administrateur système doit maîtriser en premier, quel que soit l’environnement visé ; les Parties 6 à 9 modernisent ce socle (virtualisation, conteneurs, cloud, automatisation) ; les Parties 10 à 12 rendent l’ensemble observable, robuste et gouverné ; et la Partie 13 rassemble tout dans un projet fil rouge complet, à l’image de ce que vivrait réellement un administrateur système en poste.</w:t>
      </w:r>
    </w:p>
    <w:bookmarkEnd w:id="21"/>
    <w:bookmarkStart w:id="22" w:name="X42454b02504ca5dd6b9b3f7168e8c3705586953"/>
    <w:p>
      <w:pPr>
        <w:pStyle w:val="Heading2"/>
      </w:pPr>
      <w:r>
        <w:t xml:space="preserve">Atelier — Qui fait quoi dans cette entreprise ?</w:t>
      </w:r>
    </w:p>
    <w:p>
      <w:pPr>
        <w:pStyle w:val="FirstParagraph"/>
      </w:pPr>
      <w:r>
        <w:t xml:space="preserve">🛠️ Atelier 1 — Cartographier l’écosystème IT</w:t>
      </w:r>
    </w:p>
    <w:p>
      <w:pPr>
        <w:pStyle w:val="BodyText"/>
      </w:pPr>
      <w:r>
        <w:rPr>
          <w:b/>
          <w:bCs/>
        </w:rPr>
        <w:t xml:space="preserve">Objectif</w:t>
      </w:r>
      <w:r>
        <w:t xml:space="preserve"> </w:t>
      </w:r>
      <w:r>
        <w:t xml:space="preserve">: s’entraîner à identifier, à partir d’une situation concrète, quel métier de l’écosystème IT (section 1.2 et 1.3) est réellement responsable — la compétence la plus utile de ce chapitre pour comprendre où s’arrête ton propre rôle en poste.</w:t>
      </w:r>
    </w:p>
    <w:p>
      <w:pPr>
        <w:pStyle w:val="BodyText"/>
      </w:pPr>
      <w:r>
        <w:rPr>
          <w:b/>
          <w:bCs/>
        </w:rPr>
        <w:t xml:space="preserve">Préparation</w:t>
      </w:r>
      <w:r>
        <w:t xml:space="preserve"> </w:t>
      </w:r>
      <w:r>
        <w:t xml:space="preserve">: aucune installation nécessaire. Prends une feuille ou un fichier texte.</w:t>
      </w:r>
    </w:p>
    <w:p>
      <w:pPr>
        <w:pStyle w:val="BodyText"/>
      </w:pPr>
      <w:r>
        <w:rPr>
          <w:b/>
          <w:bCs/>
        </w:rPr>
        <w:t xml:space="preserve">Étapes détaillées</w:t>
      </w:r>
      <w:r>
        <w:t xml:space="preserve"> </w:t>
      </w:r>
      <w:r>
        <w:t xml:space="preserve">:</w:t>
      </w:r>
    </w:p>
    <w:p>
      <w:pPr>
        <w:pStyle w:val="Compact"/>
        <w:numPr>
          <w:ilvl w:val="0"/>
          <w:numId w:val="1001"/>
        </w:numPr>
      </w:pPr>
      <w:r>
        <w:t xml:space="preserve">Pour chacune des six situations suivantes, écris quel métier est</w:t>
      </w:r>
      <w:r>
        <w:t xml:space="preserve"> </w:t>
      </w:r>
      <w:r>
        <w:rPr>
          <w:b/>
          <w:bCs/>
        </w:rPr>
        <w:t xml:space="preserve">normalement responsable en premier</w:t>
      </w:r>
      <w:r>
        <w:t xml:space="preserve">, puis à qui il devrait escalader si le problème dépasse son périmètre :</w:t>
      </w:r>
    </w:p>
    <w:p>
      <w:pPr>
        <w:pStyle w:val="Compact"/>
        <w:numPr>
          <w:ilvl w:val="1"/>
          <w:numId w:val="1002"/>
        </w:numPr>
      </w:pPr>
    </w:p>
    <w:p>
      <w:pPr>
        <w:pStyle w:val="Compact"/>
        <w:numPr>
          <w:ilvl w:val="2"/>
          <w:numId w:val="1003"/>
        </w:numPr>
      </w:pPr>
      <w:r>
        <w:t xml:space="preserve">Un employé ne peut plus imprimer depuis ce matin, uniquement lui.</w:t>
      </w:r>
    </w:p>
    <w:p>
      <w:pPr>
        <w:pStyle w:val="Compact"/>
        <w:numPr>
          <w:ilvl w:val="1"/>
          <w:numId w:val="1002"/>
        </w:numPr>
      </w:pPr>
    </w:p>
    <w:p>
      <w:pPr>
        <w:pStyle w:val="Compact"/>
        <w:numPr>
          <w:ilvl w:val="2"/>
          <w:numId w:val="1004"/>
        </w:numPr>
      </w:pPr>
      <w:r>
        <w:t xml:space="preserve">Le serveur de fichiers central refuse toute connexion pour l’ensemble du bureau du Cap-Haïtien.</w:t>
      </w:r>
    </w:p>
    <w:p>
      <w:pPr>
        <w:pStyle w:val="Compact"/>
        <w:numPr>
          <w:ilvl w:val="1"/>
          <w:numId w:val="1002"/>
        </w:numPr>
      </w:pPr>
    </w:p>
    <w:p>
      <w:pPr>
        <w:pStyle w:val="Compact"/>
        <w:numPr>
          <w:ilvl w:val="2"/>
          <w:numId w:val="1005"/>
        </w:numPr>
      </w:pPr>
      <w:r>
        <w:t xml:space="preserve">Une alerte de sécurité signale une tentative de connexion suspecte depuis un pays inhabituel sur un compte administrateur.</w:t>
      </w:r>
    </w:p>
    <w:p>
      <w:pPr>
        <w:pStyle w:val="Compact"/>
        <w:numPr>
          <w:ilvl w:val="1"/>
          <w:numId w:val="1002"/>
        </w:numPr>
      </w:pPr>
    </w:p>
    <w:p>
      <w:pPr>
        <w:pStyle w:val="Compact"/>
        <w:numPr>
          <w:ilvl w:val="2"/>
          <w:numId w:val="1006"/>
        </w:numPr>
      </w:pPr>
      <w:r>
        <w:t xml:space="preserve">Une application métier interne affiche une erreur de base de données depuis un déploiement d’hier soir.</w:t>
      </w:r>
    </w:p>
    <w:p>
      <w:pPr>
        <w:pStyle w:val="Compact"/>
        <w:numPr>
          <w:ilvl w:val="1"/>
          <w:numId w:val="1002"/>
        </w:numPr>
      </w:pPr>
    </w:p>
    <w:p>
      <w:pPr>
        <w:pStyle w:val="Compact"/>
        <w:numPr>
          <w:ilvl w:val="2"/>
          <w:numId w:val="1007"/>
        </w:numPr>
      </w:pPr>
      <w:r>
        <w:t xml:space="preserve">Le Wi-Fi de la salle de réunion du 3ème étage ne fonctionne plus, mais le reste du bureau va bien.</w:t>
      </w:r>
    </w:p>
    <w:p>
      <w:pPr>
        <w:pStyle w:val="Compact"/>
        <w:numPr>
          <w:ilvl w:val="1"/>
          <w:numId w:val="1002"/>
        </w:numPr>
      </w:pPr>
    </w:p>
    <w:p>
      <w:pPr>
        <w:pStyle w:val="Compact"/>
        <w:numPr>
          <w:ilvl w:val="2"/>
          <w:numId w:val="1008"/>
        </w:numPr>
      </w:pPr>
      <w:r>
        <w:t xml:space="preserve">La direction demande un rapport mensuel automatique sur l’état de conformité des mises à jour de sécurité de tous les serveurs.</w:t>
      </w:r>
    </w:p>
    <w:p>
      <w:pPr>
        <w:pStyle w:val="Compact"/>
        <w:numPr>
          <w:ilvl w:val="0"/>
          <w:numId w:val="1001"/>
        </w:numPr>
      </w:pPr>
      <w:r>
        <w:t xml:space="preserve">Compare tes réponses à la section</w:t>
      </w:r>
      <w:r>
        <w:t xml:space="preserve"> </w:t>
      </w:r>
      <w:r>
        <w:t xml:space="preserve">“Résultat attendu”</w:t>
      </w:r>
      <w:r>
        <w:t xml:space="preserve"> </w:t>
      </w:r>
      <w:r>
        <w:t xml:space="preserve">ci-dessous.</w:t>
      </w:r>
    </w:p>
    <w:p>
      <w:pPr>
        <w:pStyle w:val="Compact"/>
        <w:numPr>
          <w:ilvl w:val="0"/>
          <w:numId w:val="1001"/>
        </w:numPr>
      </w:pPr>
      <w:r>
        <w:t xml:space="preserve">Pour chaque réponse où tu t’es trompé, relis la section 1.2 ou 1.3 correspondante avant de continuer.</w:t>
      </w:r>
    </w:p>
    <w:p>
      <w:pPr>
        <w:pStyle w:val="FirstParagraph"/>
      </w:pPr>
      <w:r>
        <w:rPr>
          <w:b/>
          <w:bCs/>
        </w:rPr>
        <w:t xml:space="preserve">Résultat attendu</w:t>
      </w:r>
      <w:r>
        <w:t xml:space="preserve"> </w:t>
      </w:r>
      <w:r>
        <w:t xml:space="preserve">:</w:t>
      </w:r>
      <w:r>
        <w:t xml:space="preserve"> </w:t>
      </w:r>
      <w:r>
        <w:t xml:space="preserve">- a)</w:t>
      </w:r>
      <w:r>
        <w:t xml:space="preserve"> </w:t>
      </w:r>
      <w:r>
        <w:rPr>
          <w:b/>
          <w:bCs/>
        </w:rPr>
        <w:t xml:space="preserve">Support Niveau 1</w:t>
      </w:r>
      <w:r>
        <w:t xml:space="preserve"> </w:t>
      </w:r>
      <w:r>
        <w:t xml:space="preserve">— incident isolé sur un poste individuel, pas d’infrastructure impliquée à ce stade.</w:t>
      </w:r>
      <w:r>
        <w:t xml:space="preserve"> </w:t>
      </w:r>
      <w:r>
        <w:t xml:space="preserve">- b)</w:t>
      </w:r>
      <w:r>
        <w:t xml:space="preserve"> </w:t>
      </w:r>
      <w:r>
        <w:rPr>
          <w:b/>
          <w:bCs/>
        </w:rPr>
        <w:t xml:space="preserve">Administrateur système</w:t>
      </w:r>
      <w:r>
        <w:t xml:space="preserve"> </w:t>
      </w:r>
      <w:r>
        <w:t xml:space="preserve">— panne d’un service central affectant tout un site, remontée directement depuis le support N2.</w:t>
      </w:r>
      <w:r>
        <w:t xml:space="preserve"> </w:t>
      </w:r>
      <w:r>
        <w:t xml:space="preserve">- c)</w:t>
      </w:r>
      <w:r>
        <w:t xml:space="preserve"> </w:t>
      </w:r>
      <w:r>
        <w:rPr>
          <w:b/>
          <w:bCs/>
        </w:rPr>
        <w:t xml:space="preserve">Analyste sécurité / SOC</w:t>
      </w:r>
      <w:r>
        <w:t xml:space="preserve">, en coordination avec l’administrateur système pour la partie technique (verrouillage du compte, analyse des journaux).</w:t>
      </w:r>
      <w:r>
        <w:t xml:space="preserve"> </w:t>
      </w:r>
      <w:r>
        <w:t xml:space="preserve">- d)</w:t>
      </w:r>
      <w:r>
        <w:t xml:space="preserve"> </w:t>
      </w:r>
      <w:r>
        <w:rPr>
          <w:b/>
          <w:bCs/>
        </w:rPr>
        <w:t xml:space="preserve">DBA en première ligne</w:t>
      </w:r>
      <w:r>
        <w:t xml:space="preserve">, avec le développeur de l’application si la cause est liée au code déployé la veille — pas l’administrateur système, sauf si le serveur de base de données lui-même est en cause.</w:t>
      </w:r>
      <w:r>
        <w:t xml:space="preserve"> </w:t>
      </w:r>
      <w:r>
        <w:t xml:space="preserve">- e)</w:t>
      </w:r>
      <w:r>
        <w:t xml:space="preserve"> </w:t>
      </w:r>
      <w:r>
        <w:rPr>
          <w:b/>
          <w:bCs/>
        </w:rPr>
        <w:t xml:space="preserve">Administrateur réseau</w:t>
      </w:r>
      <w:r>
        <w:t xml:space="preserve"> </w:t>
      </w:r>
      <w:r>
        <w:t xml:space="preserve">— problème localisé à un point d’accès Wi-Fi, pas aux serveurs.</w:t>
      </w:r>
      <w:r>
        <w:t xml:space="preserve"> </w:t>
      </w:r>
      <w:r>
        <w:t xml:space="preserve">- f)</w:t>
      </w:r>
      <w:r>
        <w:t xml:space="preserve"> </w:t>
      </w:r>
      <w:r>
        <w:rPr>
          <w:b/>
          <w:bCs/>
        </w:rPr>
        <w:t xml:space="preserve">Administrateur système</w:t>
      </w:r>
      <w:r>
        <w:t xml:space="preserve">, typiquement via un outil de supervision (Partie 10) — c’est exactement le type de responsabilité</w:t>
      </w:r>
      <w:r>
        <w:t xml:space="preserve"> </w:t>
      </w:r>
      <w:r>
        <w:t xml:space="preserve">“conformité”</w:t>
      </w:r>
      <w:r>
        <w:t xml:space="preserve"> </w:t>
      </w:r>
      <w:r>
        <w:t xml:space="preserve">évoqué en section 1.4.</w:t>
      </w:r>
    </w:p>
    <w:p>
      <w:pPr>
        <w:pStyle w:val="BodyText"/>
      </w:pPr>
      <w:r>
        <w:rPr>
          <w:b/>
          <w:bCs/>
        </w:rPr>
        <w:t xml:space="preserve">Dépannage</w:t>
      </w:r>
      <w:r>
        <w:t xml:space="preserve"> </w:t>
      </w:r>
      <w:r>
        <w:t xml:space="preserve">: si tu hésites entre deux métiers, pose-toi la question centrale de la section 1.2 —</w:t>
      </w:r>
      <w:r>
        <w:t xml:space="preserve"> </w:t>
      </w:r>
      <w:r>
        <w:rPr>
          <w:i/>
          <w:iCs/>
        </w:rPr>
        <w:t xml:space="preserve">“Est-ce que le problème touche un poste individuel (support), le réseau physique (réseau), l’infrastructure serveur (sysadmin), les données elles-mêmes (DBA), ou une intention malveillante (sécurité) ?”</w:t>
      </w:r>
    </w:p>
    <w:bookmarkEnd w:id="22"/>
    <w:bookmarkStart w:id="23" w:name="erreurs-fréquentes"/>
    <w:p>
      <w:pPr>
        <w:pStyle w:val="Heading2"/>
      </w:pPr>
      <w:r>
        <w:t xml:space="preserve">Erreurs fréquentes</w:t>
      </w:r>
    </w:p>
    <w:p>
      <w:pPr>
        <w:pStyle w:val="FirstParagraph"/>
      </w:pPr>
      <w:r>
        <w:t xml:space="preserve">⚠️ Erreur n°1 — Confondre le métier avec le dépannage de poste de travail</w:t>
      </w:r>
      <w:r>
        <w:t xml:space="preserve"> </w:t>
      </w:r>
      <w:r>
        <w:t xml:space="preserve">Le dépannage de poste de travail (imprimante, logiciel bloqué, souris qui ne répond plus) est le rôle du support technique, pas de l’administrateur système — même si, dans une petite structure, la même personne peut faire les deux. Se présenter en entretien comme</w:t>
      </w:r>
      <w:r>
        <w:t xml:space="preserve"> </w:t>
      </w:r>
      <w:r>
        <w:t xml:space="preserve">“je répare les ordinateurs”</w:t>
      </w:r>
      <w:r>
        <w:t xml:space="preserve"> </w:t>
      </w:r>
      <w:r>
        <w:t xml:space="preserve">plutôt que</w:t>
      </w:r>
      <w:r>
        <w:t xml:space="preserve"> </w:t>
      </w:r>
      <w:r>
        <w:t xml:space="preserve">“je maintiens la disponibilité et la sécurité de l’infrastructure”</w:t>
      </w:r>
      <w:r>
        <w:t xml:space="preserve"> </w:t>
      </w:r>
      <w:r>
        <w:t xml:space="preserve">donne une image très réduite — et fausse — du niveau de responsabilité réel du poste.</w:t>
      </w:r>
    </w:p>
    <w:p>
      <w:pPr>
        <w:pStyle w:val="BodyText"/>
      </w:pPr>
      <w:r>
        <w:t xml:space="preserve">⚠️ Erreur n°2 — Croire que le métier se résume à réagir aux pannes</w:t>
      </w:r>
      <w:r>
        <w:t xml:space="preserve"> </w:t>
      </w:r>
      <w:r>
        <w:t xml:space="preserve">Comme vu en section 1.5, la majorité du temps d’un bon administrateur système est consacrée à des tâches proactives : supervision, documentation, tests de sauvegarde, planification de capacité, veille de sécurité. Les incidents existent et font partie du métier, mais un environnement où l’on ne fait que</w:t>
      </w:r>
      <w:r>
        <w:t xml:space="preserve"> </w:t>
      </w:r>
      <w:r>
        <w:t xml:space="preserve">“réagir”</w:t>
      </w:r>
      <w:r>
        <w:t xml:space="preserve"> </w:t>
      </w:r>
      <w:r>
        <w:t xml:space="preserve">en permanence est le signe d’un manque de discipline organisationnelle — pas une fatalité du métier.</w:t>
      </w:r>
    </w:p>
    <w:p>
      <w:pPr>
        <w:pStyle w:val="BodyText"/>
      </w:pPr>
      <w:r>
        <w:t xml:space="preserve">⚠️ Erreur n°3 — Sous-estimer la documentation et la communication</w:t>
      </w:r>
      <w:r>
        <w:t xml:space="preserve"> </w:t>
      </w:r>
      <w:r>
        <w:t xml:space="preserve">Beaucoup de débutants pensent que la valeur d’un administrateur système se mesure uniquement à sa compétence technique pure. En réalité, un administrateur système très compétent techniquement mais qui ne documente rien et communique mal en situation de crise crée un risque réel pour l’organisation : la connaissance reste enfermée dans sa tête, et disparaît avec lui le jour où il change de poste ou tombe malade pendant un incident.</w:t>
      </w:r>
    </w:p>
    <w:bookmarkEnd w:id="23"/>
    <w:bookmarkStart w:id="24" w:name="X25a23ab062373bd36673f61036b9ad8ed07b4f8"/>
    <w:p>
      <w:pPr>
        <w:pStyle w:val="Heading2"/>
      </w:pPr>
      <w:r>
        <w:t xml:space="preserve">Diagnostiquer sans paniquer : une démarche avant même de savoir taper une commande</w:t>
      </w:r>
    </w:p>
    <w:p>
      <w:pPr>
        <w:pStyle w:val="FirstParagraph"/>
      </w:pPr>
      <w:r>
        <w:t xml:space="preserve">Avant d’apprendre la moindre commande technique (ce sera l’objet de tous les chapitres suivants), il existe une démarche mentale que tout administrateur système applique, consciemment ou non, face à un problème. La détailler dès ce premier chapitre te fera gagner un temps précieux pour la suite du manuel :</w:t>
      </w:r>
    </w:p>
    <w:p>
      <w:pPr>
        <w:pStyle w:val="BodyText"/>
      </w:pPr>
      <w:r>
        <w:t xml:space="preserve">🩺 Situation :</w:t>
      </w:r>
      <w:r>
        <w:t xml:space="preserve"> </w:t>
      </w:r>
      <w:r>
        <w:t xml:space="preserve">“Un utilisateur dit que ça ne marche pas”</w:t>
      </w:r>
    </w:p>
    <w:p>
      <w:pPr>
        <w:pStyle w:val="Compact"/>
        <w:numPr>
          <w:ilvl w:val="0"/>
          <w:numId w:val="1009"/>
        </w:numPr>
      </w:pPr>
      <w:r>
        <w:rPr>
          <w:b/>
          <w:bCs/>
        </w:rPr>
        <w:t xml:space="preserve">Diagnostic</w:t>
      </w:r>
      <w:r>
        <w:t xml:space="preserve"> </w:t>
      </w:r>
      <w:r>
        <w:t xml:space="preserve">: cette phrase seule ne veut presque rien dire. La première étape n’est jamais technique — c’est de</w:t>
      </w:r>
      <w:r>
        <w:t xml:space="preserve"> </w:t>
      </w:r>
      <w:r>
        <w:rPr>
          <w:b/>
          <w:bCs/>
        </w:rPr>
        <w:t xml:space="preserve">restreindre le problème</w:t>
      </w:r>
      <w:r>
        <w:t xml:space="preserve"> </w:t>
      </w:r>
      <w:r>
        <w:t xml:space="preserve">en posant quatre questions :</w:t>
      </w:r>
      <w:r>
        <w:t xml:space="preserve"> </w:t>
      </w:r>
      <w:r>
        <w:rPr>
          <w:i/>
          <w:iCs/>
        </w:rPr>
        <w:t xml:space="preserve">Qui</w:t>
      </w:r>
      <w:r>
        <w:t xml:space="preserve"> </w:t>
      </w:r>
      <w:r>
        <w:t xml:space="preserve">est concerné (une seule personne, un service, tout le monde) ?</w:t>
      </w:r>
      <w:r>
        <w:t xml:space="preserve"> </w:t>
      </w:r>
      <w:r>
        <w:rPr>
          <w:i/>
          <w:iCs/>
        </w:rPr>
        <w:t xml:space="preserve">Quoi</w:t>
      </w:r>
      <w:r>
        <w:t xml:space="preserve"> </w:t>
      </w:r>
      <w:r>
        <w:t xml:space="preserve">exactement ne fonctionne pas (préciser l’action précise qui échoue) ?</w:t>
      </w:r>
      <w:r>
        <w:t xml:space="preserve"> </w:t>
      </w:r>
      <w:r>
        <w:rPr>
          <w:i/>
          <w:iCs/>
        </w:rPr>
        <w:t xml:space="preserve">Depuis quand</w:t>
      </w:r>
      <w:r>
        <w:t xml:space="preserve"> </w:t>
      </w:r>
      <w:r>
        <w:t xml:space="preserve">(un changement récent a-t-il eu lieu juste avant) ?</w:t>
      </w:r>
      <w:r>
        <w:t xml:space="preserve"> </w:t>
      </w:r>
      <w:r>
        <w:rPr>
          <w:i/>
          <w:iCs/>
        </w:rPr>
        <w:t xml:space="preserve">Un seul endroit ou plusieurs</w:t>
      </w:r>
      <w:r>
        <w:t xml:space="preserve"> </w:t>
      </w:r>
      <w:r>
        <w:t xml:space="preserve">(le problème existe-t-il aussi depuis un autre poste, un autre réseau) ?</w:t>
      </w:r>
    </w:p>
    <w:p>
      <w:pPr>
        <w:pStyle w:val="Compact"/>
        <w:numPr>
          <w:ilvl w:val="0"/>
          <w:numId w:val="1009"/>
        </w:numPr>
      </w:pPr>
      <w:r>
        <w:rPr>
          <w:b/>
          <w:bCs/>
        </w:rPr>
        <w:t xml:space="preserve">Comment vérifier</w:t>
      </w:r>
      <w:r>
        <w:t xml:space="preserve"> </w:t>
      </w:r>
      <w:r>
        <w:t xml:space="preserve">: reproduire le problème soi-même si possible, ou demander une capture d’écran précise du message d’erreur exact — jamais se fier uniquement à une description verbale approximative.</w:t>
      </w:r>
    </w:p>
    <w:p>
      <w:pPr>
        <w:pStyle w:val="Compact"/>
        <w:numPr>
          <w:ilvl w:val="0"/>
          <w:numId w:val="1009"/>
        </w:numPr>
      </w:pPr>
      <w:r>
        <w:rPr>
          <w:b/>
          <w:bCs/>
        </w:rPr>
        <w:t xml:space="preserve">Résolution</w:t>
      </w:r>
      <w:r>
        <w:t xml:space="preserve"> </w:t>
      </w:r>
      <w:r>
        <w:t xml:space="preserve">: une fois le périmètre du problème clarifié, on peut déterminer avec beaucoup plus de certitude à quel métier de la section 1.2 il appartient réellement, et éviter de perdre du temps sur une fausse piste.</w:t>
      </w:r>
    </w:p>
    <w:p>
      <w:pPr>
        <w:pStyle w:val="FirstParagraph"/>
      </w:pPr>
      <w:r>
        <w:t xml:space="preserve">🩺 Situation :</w:t>
      </w:r>
      <w:r>
        <w:t xml:space="preserve"> </w:t>
      </w:r>
      <w:r>
        <w:t xml:space="preserve">“Une alerte de supervision arrive en pleine nuit”</w:t>
      </w:r>
    </w:p>
    <w:p>
      <w:pPr>
        <w:pStyle w:val="Compact"/>
        <w:numPr>
          <w:ilvl w:val="0"/>
          <w:numId w:val="1010"/>
        </w:numPr>
      </w:pPr>
      <w:r>
        <w:rPr>
          <w:b/>
          <w:bCs/>
        </w:rPr>
        <w:t xml:space="preserve">Diagnostic</w:t>
      </w:r>
      <w:r>
        <w:t xml:space="preserve"> </w:t>
      </w:r>
      <w:r>
        <w:t xml:space="preserve">: avant toute action technique, évaluer l’</w:t>
      </w:r>
      <w:r>
        <w:rPr>
          <w:b/>
          <w:bCs/>
        </w:rPr>
        <w:t xml:space="preserve">impact réel</w:t>
      </w:r>
      <w:r>
        <w:t xml:space="preserve"> </w:t>
      </w:r>
      <w:r>
        <w:t xml:space="preserve">(combien d’utilisateurs ou de services sont affectés maintenant, pas dans l’absolu) et l’</w:t>
      </w:r>
      <w:r>
        <w:rPr>
          <w:b/>
          <w:bCs/>
        </w:rPr>
        <w:t xml:space="preserve">urgence réelle</w:t>
      </w:r>
      <w:r>
        <w:t xml:space="preserve"> </w:t>
      </w:r>
      <w:r>
        <w:t xml:space="preserve">(le problème s’aggrave-t-il, ou est-il stable ?).</w:t>
      </w:r>
    </w:p>
    <w:p>
      <w:pPr>
        <w:pStyle w:val="Compact"/>
        <w:numPr>
          <w:ilvl w:val="0"/>
          <w:numId w:val="1010"/>
        </w:numPr>
      </w:pPr>
      <w:r>
        <w:rPr>
          <w:b/>
          <w:bCs/>
        </w:rPr>
        <w:t xml:space="preserve">Comment vérifier</w:t>
      </w:r>
      <w:r>
        <w:t xml:space="preserve"> </w:t>
      </w:r>
      <w:r>
        <w:t xml:space="preserve">: consulter le tableau de bord de supervision pour confirmer que l’alerte reflète bien un problème actuel, et non un faux positif ponctuel déjà résolu — un réflexe qui évite bien des interventions inutiles à 3h du matin.</w:t>
      </w:r>
    </w:p>
    <w:p>
      <w:pPr>
        <w:pStyle w:val="Compact"/>
        <w:numPr>
          <w:ilvl w:val="0"/>
          <w:numId w:val="1010"/>
        </w:numPr>
      </w:pPr>
      <w:r>
        <w:rPr>
          <w:b/>
          <w:bCs/>
        </w:rPr>
        <w:t xml:space="preserve">Résolution</w:t>
      </w:r>
      <w:r>
        <w:t xml:space="preserve"> </w:t>
      </w:r>
      <w:r>
        <w:t xml:space="preserve">: si l’impact est réel et significatif, agir ou escalader immédiatement selon la procédure d’astreinte de l’organisation ; si l’impact est faible ou incertain, il est souvent légitime de surveiller quelques minutes avant d’intervenir en urgence — la panique n’a jamais résolu un incident plus vite que le calme méthodique.</w:t>
      </w:r>
    </w:p>
    <w:bookmarkEnd w:id="24"/>
    <w:bookmarkStart w:id="25" w:name="en-entreprise"/>
    <w:p>
      <w:pPr>
        <w:pStyle w:val="Heading2"/>
      </w:pPr>
      <w:r>
        <w:t xml:space="preserve">En entreprise</w:t>
      </w:r>
    </w:p>
    <w:p>
      <w:pPr>
        <w:pStyle w:val="FirstParagraph"/>
      </w:pPr>
      <w:r>
        <w:t xml:space="preserve">Dans la pratique professionnelle, quelques constats reviennent presque systématiquement, quelle que soit la taille de l’organisation :</w:t>
      </w:r>
    </w:p>
    <w:p>
      <w:pPr>
        <w:pStyle w:val="Compact"/>
        <w:numPr>
          <w:ilvl w:val="0"/>
          <w:numId w:val="1011"/>
        </w:numPr>
      </w:pPr>
      <w:r>
        <w:rPr>
          <w:b/>
          <w:bCs/>
        </w:rPr>
        <w:t xml:space="preserve">Bonne pratique répandue</w:t>
      </w:r>
      <w:r>
        <w:t xml:space="preserve"> </w:t>
      </w:r>
      <w:r>
        <w:t xml:space="preserve">: les entreprises matures organisent des rotations d’astreinte formalisées, avec une procédure claire d’escalade (qui appeler, dans quel ordre, à partir de quel niveau de gravité) — jamais une seule personne</w:t>
      </w:r>
      <w:r>
        <w:t xml:space="preserve"> </w:t>
      </w:r>
      <w:r>
        <w:t xml:space="preserve">“toujours disponible par défaut”</w:t>
      </w:r>
      <w:r>
        <w:t xml:space="preserve">, qui finit inévitablement par s’épuiser.</w:t>
      </w:r>
    </w:p>
    <w:p>
      <w:pPr>
        <w:pStyle w:val="Compact"/>
        <w:numPr>
          <w:ilvl w:val="0"/>
          <w:numId w:val="1011"/>
        </w:numPr>
      </w:pPr>
      <w:r>
        <w:rPr>
          <w:b/>
          <w:bCs/>
        </w:rPr>
        <w:t xml:space="preserve">Bonne pratique répandue</w:t>
      </w:r>
      <w:r>
        <w:t xml:space="preserve"> </w:t>
      </w:r>
      <w:r>
        <w:t xml:space="preserve">: après un incident significatif, les équipes matures organisent un</w:t>
      </w:r>
      <w:r>
        <w:t xml:space="preserve"> </w:t>
      </w:r>
      <w:r>
        <w:t xml:space="preserve">“post-mortem sans blâme”</w:t>
      </w:r>
      <w:r>
        <w:t xml:space="preserve"> </w:t>
      </w:r>
      <w:r>
        <w:t xml:space="preserve">(</w:t>
      </w:r>
      <w:r>
        <w:rPr>
          <w:i/>
          <w:iCs/>
        </w:rPr>
        <w:t xml:space="preserve">blameless postmortem</w:t>
      </w:r>
      <w:r>
        <w:t xml:space="preserve">) : l’objectif est de comprendre la chaîne de causes réelles et d’améliorer le processus, jamais de désigner un coupable — une culture qui encourage la transparence plutôt que la dissimulation d’erreurs.</w:t>
      </w:r>
    </w:p>
    <w:p>
      <w:pPr>
        <w:pStyle w:val="Compact"/>
        <w:numPr>
          <w:ilvl w:val="0"/>
          <w:numId w:val="1011"/>
        </w:numPr>
      </w:pPr>
      <w:r>
        <w:rPr>
          <w:b/>
          <w:bCs/>
        </w:rPr>
        <w:t xml:space="preserve">Erreur classique observée</w:t>
      </w:r>
      <w:r>
        <w:t xml:space="preserve"> </w:t>
      </w:r>
      <w:r>
        <w:t xml:space="preserve">: la connaissance critique de l’infrastructure repose sur une seule personne (</w:t>
      </w:r>
      <w:r>
        <w:t xml:space="preserve">“bus factor”</w:t>
      </w:r>
      <w:r>
        <w:t xml:space="preserve"> </w:t>
      </w:r>
      <w:r>
        <w:t xml:space="preserve">de 1), sans documentation ni doublure. Quand cette personne part, tombe malade, ou est simplement en vacances pendant un incident majeur, l’organisation se retrouve démunie — un risque que ce manuel t’aidera à éviter par la discipline de documentation abordée à chaque chapitre.</w:t>
      </w:r>
    </w:p>
    <w:bookmarkEnd w:id="25"/>
    <w:bookmarkStart w:id="26" w:name="entretien-technique"/>
    <w:p>
      <w:pPr>
        <w:pStyle w:val="Heading2"/>
      </w:pPr>
      <w:r>
        <w:t xml:space="preserve">Entretien technique</w:t>
      </w:r>
    </w:p>
    <w:p>
      <w:pPr>
        <w:pStyle w:val="FirstParagraph"/>
      </w:pPr>
      <w:r>
        <w:t xml:space="preserve">💼 Questions fréquemment posées en entretien</w:t>
      </w:r>
    </w:p>
    <w:p>
      <w:pPr>
        <w:pStyle w:val="BodyText"/>
      </w:pPr>
      <w:r>
        <w:rPr>
          <w:b/>
          <w:bCs/>
        </w:rPr>
        <w:t xml:space="preserve">Q1.</w:t>
      </w:r>
      <w:r>
        <w:rPr>
          <w:b/>
          <w:bCs/>
        </w:rPr>
        <w:t xml:space="preserve"> </w:t>
      </w:r>
      <w:r>
        <w:rPr>
          <w:b/>
          <w:bCs/>
        </w:rPr>
        <w:t xml:space="preserve">“Quelle est, selon toi, la différence entre un administrateur système et un ingénieur DevOps ?”</w:t>
      </w:r>
      <w:r>
        <w:t xml:space="preserve"> </w:t>
      </w:r>
      <w:r>
        <w:t xml:space="preserve">Réponse attendue : l’administrateur système se concentre traditionnellement sur l’exploitation et la maintenance quotidienne d’une infrastructure existante (souvent manuelle ou semi-automatisée) ; l’ingénieur DevOps se concentre sur l’automatisation du cycle complet de déploiement et sur le rapprochement culturel entre équipes de développement et d’exploitation, en s’appuyant fortement sur l’Infrastructure as Code (Partie 9). En pratique, ces deux rôles se chevauchent de plus en plus dans les organisations modernes — beaucoup d’administrateurs système évoluent progressivement vers des pratiques DevOps.</w:t>
      </w:r>
      <w:r>
        <w:t xml:space="preserve"> </w:t>
      </w:r>
      <w:r>
        <w:rPr>
          <w:i/>
          <w:iCs/>
        </w:rPr>
        <w:t xml:space="preserve">Piège fréquent</w:t>
      </w:r>
      <w:r>
        <w:t xml:space="preserve"> </w:t>
      </w:r>
      <w:r>
        <w:t xml:space="preserve">: répondre</w:t>
      </w:r>
      <w:r>
        <w:t xml:space="preserve"> </w:t>
      </w:r>
      <w:r>
        <w:t xml:space="preserve">“c’est la même chose”</w:t>
      </w:r>
      <w:r>
        <w:t xml:space="preserve"> </w:t>
      </w:r>
      <w:r>
        <w:t xml:space="preserve">ou, à l’inverse, présenter les deux comme totalement étrangers l’un à l’autre — les deux réponses trahissent une compréhension superficielle.</w:t>
      </w:r>
    </w:p>
    <w:p>
      <w:pPr>
        <w:pStyle w:val="BodyText"/>
      </w:pPr>
      <w:r>
        <w:rPr>
          <w:b/>
          <w:bCs/>
        </w:rPr>
        <w:t xml:space="preserve">Q2.</w:t>
      </w:r>
      <w:r>
        <w:rPr>
          <w:b/>
          <w:bCs/>
        </w:rPr>
        <w:t xml:space="preserve"> </w:t>
      </w:r>
      <w:r>
        <w:rPr>
          <w:b/>
          <w:bCs/>
        </w:rPr>
        <w:t xml:space="preserve">“Comment gérerais-tu une astreinte, concrètement ?”</w:t>
      </w:r>
      <w:r>
        <w:t xml:space="preserve"> </w:t>
      </w:r>
      <w:r>
        <w:t xml:space="preserve">Réponse attendue : rester joignable pendant la période définie, savoir accéder rapidement aux outils de diagnostic et à la documentation d’astreinte (runbooks), évaluer rapidement la gravité réelle d’une alerte avant d’agir dans la précipitation, et savoir reconnaître les limites de ce qu’on peut résoudre seul pour escalader à temps plutôt que de s’obstiner.</w:t>
      </w:r>
    </w:p>
    <w:p>
      <w:pPr>
        <w:pStyle w:val="BodyText"/>
      </w:pPr>
      <w:r>
        <w:rPr>
          <w:b/>
          <w:bCs/>
        </w:rPr>
        <w:t xml:space="preserve">Q3.</w:t>
      </w:r>
      <w:r>
        <w:rPr>
          <w:b/>
          <w:bCs/>
        </w:rPr>
        <w:t xml:space="preserve"> </w:t>
      </w:r>
      <w:r>
        <w:rPr>
          <w:b/>
          <w:bCs/>
        </w:rPr>
        <w:t xml:space="preserve">“Raconte un incident, même scolaire ou personnel, que tu as diagnostiqué de façon méthodique.”</w:t>
      </w:r>
      <w:r>
        <w:t xml:space="preserve"> </w:t>
      </w:r>
      <w:r>
        <w:t xml:space="preserve">Réponse attendue : le recruteur cherche ici une démarche structurée (restreindre le problème, formuler une hypothèse, la vérifier, agir), pas nécessairement un exploit technique impressionnant. Un exemple simple mais raconté avec une méthode claire (comme celle de la section</w:t>
      </w:r>
      <w:r>
        <w:t xml:space="preserve"> </w:t>
      </w:r>
      <w:r>
        <w:t xml:space="preserve">“Diagnostiquer sans paniquer”</w:t>
      </w:r>
      <w:r>
        <w:t xml:space="preserve"> </w:t>
      </w:r>
      <w:r>
        <w:t xml:space="preserve">ci-dessus) est souvent plus convaincant qu’un exemple complexe raconté sans structure.</w:t>
      </w:r>
    </w:p>
    <w:bookmarkEnd w:id="26"/>
    <w:bookmarkStart w:id="27" w:name="Xe4567c0ec0bc742b2349df130d2c0991d837e29"/>
    <w:p>
      <w:pPr>
        <w:pStyle w:val="Heading2"/>
      </w:pPr>
      <w:r>
        <w:t xml:space="preserve">Optimisation, sécurité et maintenabilité — les réflexes dès ce chapitre</w:t>
      </w:r>
    </w:p>
    <w:p>
      <w:pPr>
        <w:pStyle w:val="FirstParagraph"/>
      </w:pPr>
      <w:r>
        <w:t xml:space="preserve">🔒 Sécurité</w:t>
      </w:r>
      <w:r>
        <w:t xml:space="preserve"> </w:t>
      </w:r>
      <w:r>
        <w:t xml:space="preserve">Le principe du</w:t>
      </w:r>
      <w:r>
        <w:t xml:space="preserve"> </w:t>
      </w:r>
      <w:r>
        <w:rPr>
          <w:b/>
          <w:bCs/>
        </w:rPr>
        <w:t xml:space="preserve">moindre privilège</w:t>
      </w:r>
      <w:r>
        <w:t xml:space="preserve"> </w:t>
      </w:r>
      <w:r>
        <w:t xml:space="preserve">— donner à chaque personne et chaque système exactement les droits nécessaires à sa fonction, ni plus ni moins — est une posture, pas seulement une commande technique. Elle s’applique dès la définition d’un rôle IT : un développeur n’a normalement pas besoin d’un accès administrateur aux serveurs de production, et un stagiaire support n’a normalement pas besoin d’accès aux sauvegardes. Ce principe sera appliqué concrètement tout au long de ce manuel (Active Directory, RBAC Kubernetes, IAM cloud).</w:t>
      </w:r>
    </w:p>
    <w:p>
      <w:pPr>
        <w:pStyle w:val="BodyText"/>
      </w:pPr>
      <w:r>
        <w:t xml:space="preserve">✅ Maintenabilité</w:t>
      </w:r>
      <w:r>
        <w:t xml:space="preserve"> </w:t>
      </w:r>
      <w:r>
        <w:t xml:space="preserve">Prends dès maintenant l’habitude de documenter une décision au moment où tu la prends, pas après coup</w:t>
      </w:r>
      <w:r>
        <w:t xml:space="preserve"> </w:t>
      </w:r>
      <w:r>
        <w:t xml:space="preserve">“quand tu auras le temps”</w:t>
      </w:r>
      <w:r>
        <w:t xml:space="preserve"> </w:t>
      </w:r>
      <w:r>
        <w:t xml:space="preserve">— ce moment n’arrive presque jamais. Un simple fichier texte daté (</w:t>
      </w:r>
      <w:r>
        <w:t xml:space="preserve">“le 12 mars, j’ai changé X parce que Y”</w:t>
      </w:r>
      <w:r>
        <w:t xml:space="preserve">) vaut infiniment mieux qu’aucune trace du tout, et constitue le point de départ naturel du runbook évoqué tout au long de ce manuel.</w:t>
      </w:r>
    </w:p>
    <w:p>
      <w:pPr>
        <w:pStyle w:val="BodyText"/>
      </w:pPr>
      <w:r>
        <w:t xml:space="preserve">🚀 Performance</w:t>
      </w:r>
      <w:r>
        <w:t xml:space="preserve"> </w:t>
      </w:r>
      <w:r>
        <w:t xml:space="preserve">Prends l’habitude, dès ce premier chapitre, de distinguer un problème</w:t>
      </w:r>
      <w:r>
        <w:t xml:space="preserve"> </w:t>
      </w:r>
      <w:r>
        <w:rPr>
          <w:b/>
          <w:bCs/>
        </w:rPr>
        <w:t xml:space="preserve">isolé</w:t>
      </w:r>
      <w:r>
        <w:t xml:space="preserve"> </w:t>
      </w:r>
      <w:r>
        <w:t xml:space="preserve">(qui se surveille) d’un problème</w:t>
      </w:r>
      <w:r>
        <w:t xml:space="preserve"> </w:t>
      </w:r>
      <w:r>
        <w:rPr>
          <w:b/>
          <w:bCs/>
        </w:rPr>
        <w:t xml:space="preserve">récurrent</w:t>
      </w:r>
      <w:r>
        <w:t xml:space="preserve"> </w:t>
      </w:r>
      <w:r>
        <w:t xml:space="preserve">(qui devient un projet à part entière, avec une cause racine à corriger). Cette distinction, appliquée avec rigueur, est ce qui différencie une équipe qui s’améliore dans le temps d’une équipe qui répète indéfiniment les mêmes incidents.</w:t>
      </w:r>
    </w:p>
    <w:bookmarkEnd w:id="27"/>
    <w:bookmarkStart w:id="28" w:name="résumé-du-chapitre"/>
    <w:p>
      <w:pPr>
        <w:pStyle w:val="Heading2"/>
      </w:pPr>
      <w:r>
        <w:t xml:space="preserve">Résumé du chapitre</w:t>
      </w:r>
    </w:p>
    <w:p>
      <w:pPr>
        <w:pStyle w:val="Compact"/>
        <w:numPr>
          <w:ilvl w:val="0"/>
          <w:numId w:val="1012"/>
        </w:numPr>
      </w:pPr>
      <w:r>
        <w:t xml:space="preserve">Un administrateur système est responsable de l’infrastructure informatique (serveurs, OS, identités, sauvegardes) — pas des applications elles-mêmes, ni uniquement du dépannage de poste de travail.</w:t>
      </w:r>
    </w:p>
    <w:p>
      <w:pPr>
        <w:pStyle w:val="Compact"/>
        <w:numPr>
          <w:ilvl w:val="0"/>
          <w:numId w:val="1012"/>
        </w:numPr>
      </w:pPr>
      <w:r>
        <w:t xml:space="preserve">Le métier se situe dans un écosystème IT plus large : réseau, DBA, DevOps, sécurité et support ont chacun leur périmètre propre, avec des frontières qui se resserrent à mesure que l’organisation grandit.</w:t>
      </w:r>
    </w:p>
    <w:p>
      <w:pPr>
        <w:pStyle w:val="Compact"/>
        <w:numPr>
          <w:ilvl w:val="0"/>
          <w:numId w:val="1012"/>
        </w:numPr>
      </w:pPr>
      <w:r>
        <w:t xml:space="preserve">Les cinq responsabilités centrales du métier sont la disponibilité, la sécurité, la performance, la sauvegarde/restauration et la documentation.</w:t>
      </w:r>
    </w:p>
    <w:p>
      <w:pPr>
        <w:pStyle w:val="Compact"/>
        <w:numPr>
          <w:ilvl w:val="0"/>
          <w:numId w:val="1012"/>
        </w:numPr>
      </w:pPr>
      <w:r>
        <w:t xml:space="preserve">Le quotidien réel mélange tâches proactives (majoritaires dans un environnement mature) et incidents réactifs — jamais uniquement l’un ou l’autre.</w:t>
      </w:r>
    </w:p>
    <w:p>
      <w:pPr>
        <w:pStyle w:val="Compact"/>
        <w:numPr>
          <w:ilvl w:val="0"/>
          <w:numId w:val="1012"/>
        </w:numPr>
      </w:pPr>
      <w:r>
        <w:t xml:space="preserve">Les compétences humaines (communication, documentation, gestion du stress, humilité technique) pèsent autant que les compétences techniques dans la réussite du métier.</w:t>
      </w:r>
    </w:p>
    <w:p>
      <w:pPr>
        <w:pStyle w:val="Compact"/>
        <w:numPr>
          <w:ilvl w:val="0"/>
          <w:numId w:val="1012"/>
        </w:numPr>
      </w:pPr>
      <w:r>
        <w:t xml:space="preserve">Ce manuel couvre, dans l’ordre, l’administration Windows/Linux avancée, l’identité, le stockage/continuité, la virtualisation, les conteneurs, le cloud, l’automatisation, la supervision, le réseau avancé, la cybersécurité, et un projet final complet.</w:t>
      </w:r>
    </w:p>
    <w:bookmarkEnd w:id="28"/>
    <w:bookmarkStart w:id="29" w:name="quiz"/>
    <w:p>
      <w:pPr>
        <w:pStyle w:val="Heading2"/>
      </w:pPr>
      <w:r>
        <w:t xml:space="preserve">Quiz</w:t>
      </w:r>
    </w:p>
    <w:p>
      <w:pPr>
        <w:pStyle w:val="FirstParagraph"/>
      </w:pPr>
      <w:r>
        <w:t xml:space="preserve">📝 QCM (une seule bonne réponse par question)</w:t>
      </w:r>
    </w:p>
    <w:p>
      <w:pPr>
        <w:pStyle w:val="Compact"/>
        <w:numPr>
          <w:ilvl w:val="0"/>
          <w:numId w:val="1013"/>
        </w:numPr>
      </w:pPr>
      <w:r>
        <w:t xml:space="preserve">Un administrateur système est principalement responsable de :</w:t>
      </w:r>
    </w:p>
    <w:p>
      <w:pPr>
        <w:pStyle w:val="Compact"/>
        <w:numPr>
          <w:ilvl w:val="1"/>
          <w:numId w:val="1014"/>
        </w:numPr>
      </w:pPr>
    </w:p>
    <w:p>
      <w:pPr>
        <w:pStyle w:val="Compact"/>
        <w:numPr>
          <w:ilvl w:val="2"/>
          <w:numId w:val="1015"/>
        </w:numPr>
      </w:pPr>
      <w:r>
        <w:t xml:space="preserve">Écrire le code des applications métier</w:t>
      </w:r>
    </w:p>
    <w:p>
      <w:pPr>
        <w:pStyle w:val="Compact"/>
        <w:numPr>
          <w:ilvl w:val="1"/>
          <w:numId w:val="1014"/>
        </w:numPr>
      </w:pPr>
    </w:p>
    <w:p>
      <w:pPr>
        <w:pStyle w:val="Compact"/>
        <w:numPr>
          <w:ilvl w:val="2"/>
          <w:numId w:val="1016"/>
        </w:numPr>
      </w:pPr>
      <w:r>
        <w:t xml:space="preserve">L’infrastructure sur laquelle les applications et les utilisateurs s’appuient</w:t>
      </w:r>
    </w:p>
    <w:p>
      <w:pPr>
        <w:pStyle w:val="Compact"/>
        <w:numPr>
          <w:ilvl w:val="1"/>
          <w:numId w:val="1014"/>
        </w:numPr>
      </w:pPr>
    </w:p>
    <w:p>
      <w:pPr>
        <w:pStyle w:val="Compact"/>
        <w:numPr>
          <w:ilvl w:val="2"/>
          <w:numId w:val="1017"/>
        </w:numPr>
      </w:pPr>
      <w:r>
        <w:t xml:space="preserve">Réparer uniquement les postes de travail individuels</w:t>
      </w:r>
    </w:p>
    <w:p>
      <w:pPr>
        <w:pStyle w:val="Compact"/>
        <w:numPr>
          <w:ilvl w:val="1"/>
          <w:numId w:val="1014"/>
        </w:numPr>
      </w:pPr>
    </w:p>
    <w:p>
      <w:pPr>
        <w:pStyle w:val="Compact"/>
        <w:numPr>
          <w:ilvl w:val="2"/>
          <w:numId w:val="1018"/>
        </w:numPr>
      </w:pPr>
      <w:r>
        <w:t xml:space="preserve">La conception graphique des interfaces utilisateur</w:t>
      </w:r>
    </w:p>
    <w:p>
      <w:pPr>
        <w:pStyle w:val="Compact"/>
        <w:numPr>
          <w:ilvl w:val="0"/>
          <w:numId w:val="1013"/>
        </w:numPr>
      </w:pPr>
      <w:r>
        <w:t xml:space="preserve">Dans la chaîne d’escalade type d’une DSI, un incident touchant un poste individuel est d’abord traité par :</w:t>
      </w:r>
    </w:p>
    <w:p>
      <w:pPr>
        <w:pStyle w:val="Compact"/>
        <w:numPr>
          <w:ilvl w:val="1"/>
          <w:numId w:val="1019"/>
        </w:numPr>
      </w:pPr>
    </w:p>
    <w:p>
      <w:pPr>
        <w:pStyle w:val="Compact"/>
        <w:numPr>
          <w:ilvl w:val="2"/>
          <w:numId w:val="1020"/>
        </w:numPr>
      </w:pPr>
      <w:r>
        <w:t xml:space="preserve">L’administrateur système</w:t>
      </w:r>
    </w:p>
    <w:p>
      <w:pPr>
        <w:pStyle w:val="Compact"/>
        <w:numPr>
          <w:ilvl w:val="1"/>
          <w:numId w:val="1019"/>
        </w:numPr>
      </w:pPr>
    </w:p>
    <w:p>
      <w:pPr>
        <w:pStyle w:val="Compact"/>
        <w:numPr>
          <w:ilvl w:val="2"/>
          <w:numId w:val="1021"/>
        </w:numPr>
      </w:pPr>
      <w:r>
        <w:t xml:space="preserve">Le RSSI</w:t>
      </w:r>
    </w:p>
    <w:p>
      <w:pPr>
        <w:pStyle w:val="Compact"/>
        <w:numPr>
          <w:ilvl w:val="1"/>
          <w:numId w:val="1019"/>
        </w:numPr>
      </w:pPr>
    </w:p>
    <w:p>
      <w:pPr>
        <w:pStyle w:val="Compact"/>
        <w:numPr>
          <w:ilvl w:val="2"/>
          <w:numId w:val="1022"/>
        </w:numPr>
      </w:pPr>
      <w:r>
        <w:t xml:space="preserve">Le support technique Niveau 1</w:t>
      </w:r>
    </w:p>
    <w:p>
      <w:pPr>
        <w:pStyle w:val="Compact"/>
        <w:numPr>
          <w:ilvl w:val="1"/>
          <w:numId w:val="1019"/>
        </w:numPr>
      </w:pPr>
    </w:p>
    <w:p>
      <w:pPr>
        <w:pStyle w:val="Compact"/>
        <w:numPr>
          <w:ilvl w:val="2"/>
          <w:numId w:val="1023"/>
        </w:numPr>
      </w:pPr>
      <w:r>
        <w:t xml:space="preserve">L’architecte cloud</w:t>
      </w:r>
    </w:p>
    <w:p>
      <w:pPr>
        <w:pStyle w:val="Compact"/>
        <w:numPr>
          <w:ilvl w:val="0"/>
          <w:numId w:val="1013"/>
        </w:numPr>
      </w:pPr>
      <w:r>
        <w:t xml:space="preserve">Une sauvegarde qui se termine</w:t>
      </w:r>
      <w:r>
        <w:t xml:space="preserve"> </w:t>
      </w:r>
      <w:r>
        <w:t xml:space="preserve">“avec succès”</w:t>
      </w:r>
      <w:r>
        <w:t xml:space="preserve"> </w:t>
      </w:r>
      <w:r>
        <w:t xml:space="preserve">chaque nuit mais n’a jamais été testée en restauration est :</w:t>
      </w:r>
    </w:p>
    <w:p>
      <w:pPr>
        <w:pStyle w:val="Compact"/>
        <w:numPr>
          <w:ilvl w:val="1"/>
          <w:numId w:val="1024"/>
        </w:numPr>
      </w:pPr>
    </w:p>
    <w:p>
      <w:pPr>
        <w:pStyle w:val="Compact"/>
        <w:numPr>
          <w:ilvl w:val="2"/>
          <w:numId w:val="1025"/>
        </w:numPr>
      </w:pPr>
      <w:r>
        <w:t xml:space="preserve">Une garantie suffisante</w:t>
      </w:r>
    </w:p>
    <w:p>
      <w:pPr>
        <w:pStyle w:val="Compact"/>
        <w:numPr>
          <w:ilvl w:val="1"/>
          <w:numId w:val="1024"/>
        </w:numPr>
      </w:pPr>
    </w:p>
    <w:p>
      <w:pPr>
        <w:pStyle w:val="Compact"/>
        <w:numPr>
          <w:ilvl w:val="2"/>
          <w:numId w:val="1026"/>
        </w:numPr>
      </w:pPr>
      <w:r>
        <w:t xml:space="preserve">Un risque non prouvé, potentiellement inexploitable en cas de besoin réel</w:t>
      </w:r>
    </w:p>
    <w:p>
      <w:pPr>
        <w:pStyle w:val="Compact"/>
        <w:numPr>
          <w:ilvl w:val="1"/>
          <w:numId w:val="1024"/>
        </w:numPr>
      </w:pPr>
    </w:p>
    <w:p>
      <w:pPr>
        <w:pStyle w:val="Compact"/>
        <w:numPr>
          <w:ilvl w:val="2"/>
          <w:numId w:val="1027"/>
        </w:numPr>
      </w:pPr>
      <w:r>
        <w:t xml:space="preserve">Une pratique recommandée par défaut</w:t>
      </w:r>
    </w:p>
    <w:p>
      <w:pPr>
        <w:pStyle w:val="Compact"/>
        <w:numPr>
          <w:ilvl w:val="1"/>
          <w:numId w:val="1024"/>
        </w:numPr>
      </w:pPr>
    </w:p>
    <w:p>
      <w:pPr>
        <w:pStyle w:val="Compact"/>
        <w:numPr>
          <w:ilvl w:val="2"/>
          <w:numId w:val="1028"/>
        </w:numPr>
      </w:pPr>
      <w:r>
        <w:t xml:space="preserve">Uniquement un problème pour les très grandes entreprises</w:t>
      </w:r>
    </w:p>
    <w:p>
      <w:pPr>
        <w:pStyle w:val="FirstParagraph"/>
      </w:pPr>
      <w:r>
        <w:rPr>
          <w:b/>
          <w:bCs/>
        </w:rPr>
        <w:t xml:space="preserve">Corrigé</w:t>
      </w:r>
      <w:r>
        <w:t xml:space="preserve"> </w:t>
      </w:r>
      <w:r>
        <w:t xml:space="preserve">: 1-b, 2-c, 3-b.</w:t>
      </w:r>
    </w:p>
    <w:p>
      <w:pPr>
        <w:pStyle w:val="BodyText"/>
      </w:pPr>
      <w:r>
        <w:t xml:space="preserve">📝 Vrai ou Faux</w:t>
      </w:r>
    </w:p>
    <w:p>
      <w:pPr>
        <w:pStyle w:val="Compact"/>
        <w:numPr>
          <w:ilvl w:val="0"/>
          <w:numId w:val="1029"/>
        </w:numPr>
      </w:pPr>
      <w:r>
        <w:t xml:space="preserve">Dans une entreprise de 300 employés ou plus, il est normal que les rôles sysadmin, réseau et sécurité soient tenus par des équipes distinctes. —</w:t>
      </w:r>
      <w:r>
        <w:t xml:space="preserve"> </w:t>
      </w:r>
      <w:r>
        <w:rPr>
          <w:b/>
          <w:bCs/>
        </w:rPr>
        <w:t xml:space="preserve">Vrai</w:t>
      </w:r>
      <w:r>
        <w:t xml:space="preserve">.</w:t>
      </w:r>
    </w:p>
    <w:p>
      <w:pPr>
        <w:pStyle w:val="Compact"/>
        <w:numPr>
          <w:ilvl w:val="0"/>
          <w:numId w:val="1029"/>
        </w:numPr>
      </w:pPr>
      <w:r>
        <w:t xml:space="preserve">Le métier d’administrateur système se résume essentiellement à réagir aux pannes au fur et à mesure qu’elles arrivent. —</w:t>
      </w:r>
      <w:r>
        <w:t xml:space="preserve"> </w:t>
      </w:r>
      <w:r>
        <w:rPr>
          <w:b/>
          <w:bCs/>
        </w:rPr>
        <w:t xml:space="preserve">Faux</w:t>
      </w:r>
      <w:r>
        <w:t xml:space="preserve"> </w:t>
      </w:r>
      <w:r>
        <w:t xml:space="preserve">(la majorité du temps, dans un environnement mature, est consacrée à des tâches proactives).</w:t>
      </w:r>
    </w:p>
    <w:p>
      <w:pPr>
        <w:pStyle w:val="Compact"/>
        <w:numPr>
          <w:ilvl w:val="0"/>
          <w:numId w:val="1029"/>
        </w:numPr>
      </w:pPr>
      <w:r>
        <w:t xml:space="preserve">Un</w:t>
      </w:r>
      <w:r>
        <w:t xml:space="preserve"> </w:t>
      </w:r>
      <w:r>
        <w:t xml:space="preserve">“post-mortem sans blâme”</w:t>
      </w:r>
      <w:r>
        <w:t xml:space="preserve"> </w:t>
      </w:r>
      <w:r>
        <w:t xml:space="preserve">a pour objectif de désigner la personne responsable d’un incident. —</w:t>
      </w:r>
      <w:r>
        <w:t xml:space="preserve"> </w:t>
      </w:r>
      <w:r>
        <w:rPr>
          <w:b/>
          <w:bCs/>
        </w:rPr>
        <w:t xml:space="preserve">Faux</w:t>
      </w:r>
      <w:r>
        <w:t xml:space="preserve"> </w:t>
      </w:r>
      <w:r>
        <w:t xml:space="preserve">(l’objectif est de comprendre la cause réelle et d’améliorer le processus, sans chercher de coupable).</w:t>
      </w:r>
    </w:p>
    <w:p>
      <w:pPr>
        <w:pStyle w:val="Compact"/>
        <w:numPr>
          <w:ilvl w:val="0"/>
          <w:numId w:val="1029"/>
        </w:numPr>
      </w:pPr>
      <w:r>
        <w:t xml:space="preserve">Documenter une décision au moment où elle est prise est plus fiable que compter sur sa mémoire. —</w:t>
      </w:r>
      <w:r>
        <w:t xml:space="preserve"> </w:t>
      </w:r>
      <w:r>
        <w:rPr>
          <w:b/>
          <w:bCs/>
        </w:rPr>
        <w:t xml:space="preserve">Vrai</w:t>
      </w:r>
      <w:r>
        <w:t xml:space="preserve">.</w:t>
      </w:r>
    </w:p>
    <w:p>
      <w:pPr>
        <w:pStyle w:val="FirstParagraph"/>
      </w:pPr>
      <w:r>
        <w:t xml:space="preserve">📝 Questions ouvertes</w:t>
      </w:r>
    </w:p>
    <w:p>
      <w:pPr>
        <w:pStyle w:val="Compact"/>
        <w:numPr>
          <w:ilvl w:val="0"/>
          <w:numId w:val="1030"/>
        </w:numPr>
      </w:pPr>
      <w:r>
        <w:t xml:space="preserve">Explique, en tes propres mots, pourquoi le principe du moindre privilège s’applique aussi bien aux personnes qu’aux systèmes.</w:t>
      </w:r>
    </w:p>
    <w:p>
      <w:pPr>
        <w:pStyle w:val="Compact"/>
        <w:numPr>
          <w:ilvl w:val="0"/>
          <w:numId w:val="1030"/>
        </w:numPr>
      </w:pPr>
      <w:r>
        <w:t xml:space="preserve">Un ami te dit :</w:t>
      </w:r>
      <w:r>
        <w:t xml:space="preserve"> </w:t>
      </w:r>
      <w:r>
        <w:t xml:space="preserve">“L’administration système, c’est un métier voué à disparaître à cause du cloud.”</w:t>
      </w:r>
      <w:r>
        <w:t xml:space="preserve"> </w:t>
      </w:r>
      <w:r>
        <w:t xml:space="preserve">Que lui réponds-tu, en t’appuyant sur ce chapitre ?</w:t>
      </w:r>
    </w:p>
    <w:p>
      <w:pPr>
        <w:pStyle w:val="FirstParagraph"/>
      </w:pPr>
      <w:r>
        <w:rPr>
          <w:b/>
          <w:bCs/>
        </w:rPr>
        <w:t xml:space="preserve">Corrigé 1</w:t>
      </w:r>
      <w:r>
        <w:t xml:space="preserve"> </w:t>
      </w:r>
      <w:r>
        <w:t xml:space="preserve">: le principe du moindre privilège vise à limiter les dégâts possibles en cas d’erreur ou de compromission — que l’acteur soit une personne (un employé dont le compte serait piraté ne devrait pas pouvoir tout casser) ou un système (une application compromise ne devrait pas pouvoir accéder à des ressources hors de son périmètre). Réduire les privilèges au strict nécessaire réduit mécaniquement la surface de dégâts possibles, dans les deux cas.</w:t>
      </w:r>
    </w:p>
    <w:p>
      <w:pPr>
        <w:pStyle w:val="BodyText"/>
      </w:pPr>
      <w:r>
        <w:rPr>
          <w:b/>
          <w:bCs/>
        </w:rPr>
        <w:t xml:space="preserve">Corrigé 2</w:t>
      </w:r>
      <w:r>
        <w:t xml:space="preserve"> </w:t>
      </w:r>
      <w:r>
        <w:t xml:space="preserve">: le cloud ne supprime pas le métier, il le transforme — les responsabilités de disponibilité, sécurité, performance, sauvegarde et documentation (section 1.4) restent toutes présentes dans un environnement cloud, mais certaines tâches d’exploitation matérielle sont déléguées au fournisseur. Les administrateurs système qui montent en compétence sur le cloud (Partie 8) et l’automatisation (Partie 9) restent très recherchés ; ceux qui refusent d’évoluer risquent effectivement de voir leur périmètre se réduire — la transformation du métier, pas sa disparition, est le constat le plus honnête.</w:t>
      </w:r>
    </w:p>
    <w:bookmarkEnd w:id="29"/>
    <w:bookmarkStart w:id="30" w:name="exercices"/>
    <w:p>
      <w:pPr>
        <w:pStyle w:val="Heading2"/>
      </w:pPr>
      <w:r>
        <w:t xml:space="preserve">Exercices</w:t>
      </w:r>
    </w:p>
    <w:p>
      <w:pPr>
        <w:pStyle w:val="FirstParagraph"/>
      </w:pPr>
      <w:r>
        <w:t xml:space="preserve">📝 Exercice 1.1</w:t>
      </w:r>
    </w:p>
    <w:p>
      <w:pPr>
        <w:pStyle w:val="BodyText"/>
      </w:pPr>
      <w:r>
        <w:t xml:space="preserve">Reprends la journée type décrite en section 1.5. Identifie, pour chacune des activités mentionnées, si elle relève d’une des cinq responsabilités de la section 1.4 (disponibilité, sécurité, performance, sauvegarde/restauration, documentation) — certaines activités peuvent en toucher plusieurs.</w:t>
      </w:r>
    </w:p>
    <w:p>
      <w:pPr>
        <w:pStyle w:val="BodyText"/>
      </w:pPr>
      <w:r>
        <w:rPr>
          <w:b/>
          <w:bCs/>
        </w:rPr>
        <w:t xml:space="preserve">Corrigé :</w:t>
      </w:r>
      <w:r>
        <w:t xml:space="preserve"> </w:t>
      </w:r>
      <w:r>
        <w:t xml:space="preserve">Consultation du tableau de bord (disponibilité + performance) ; correction des permissions du dossier partagé (disponibilité, et indirectement sécurité si l’erreur de permission exposait des données) ; test de restauration de sauvegarde (sauvegarde/restauration) ; mise à jour du runbook (documentation) ; diagnostic du ralentissement de la messagerie (disponibilité + performance) ; préparation de la migration avec plan de retour arrière (disponibilité + documentation).</w:t>
      </w:r>
    </w:p>
    <w:p>
      <w:pPr>
        <w:pStyle w:val="BodyText"/>
      </w:pPr>
      <w:r>
        <w:t xml:space="preserve">📝 Exercice 1.2</w:t>
      </w:r>
    </w:p>
    <w:p>
      <w:pPr>
        <w:pStyle w:val="BodyText"/>
      </w:pPr>
      <w:r>
        <w:t xml:space="preserve">Reprends le scénario d’ouverture du chapitre (la compagnie d’assurance avec un bureau à Port-au-Prince et un nouveau bureau au Cap-Haïtien). En 4 à 6 phrases, décris trois questions concrètes que tu poserais à ton DSI lors de ta première semaine pour comprendre précisément le périmètre réel de ton poste, en t’appuyant sur les sections 1.2, 1.3 et 1.7.</w:t>
      </w:r>
    </w:p>
    <w:p>
      <w:pPr>
        <w:pStyle w:val="BodyText"/>
      </w:pPr>
      <w:r>
        <w:rPr>
          <w:b/>
          <w:bCs/>
        </w:rPr>
        <w:t xml:space="preserve">Corrigé (exemple de réponse) :</w:t>
      </w:r>
      <w:r>
        <w:t xml:space="preserve"> </w:t>
      </w:r>
      <w:r>
        <w:t xml:space="preserve">Je demanderais d’abord si le poste couvre uniquement les serveurs et l’infrastructure, ou aussi le réseau et le support niveau 1 — la frontière typique d’une petite ou moyenne structure (section 1.2 et 1.7). Ensuite, je demanderais comment fonctionne la chaîne d’escalade actuelle entre le support et moi, pour comprendre à quel moment un incident est censé m’arriver (section 1.3). Enfin, je demanderais s’il existe déjà une documentation d’infrastructure et des runbooks d’astreinte, ou si cette documentation reste à construire — une information essentielle pour savoir dans quel état de maturité organisationnelle j’arrive, et si le nouveau bureau du Cap-Haïtien a ses propres procédures ou dépend entièrement du siège.</w:t>
      </w:r>
    </w:p>
    <w:bookmarkEnd w:id="30"/>
    <w:bookmarkStart w:id="31" w:name="checklist-de-fin-de-chapitre"/>
    <w:p>
      <w:pPr>
        <w:pStyle w:val="Heading2"/>
      </w:pPr>
      <w:r>
        <w:t xml:space="preserve">Checklist de fin de chapitre</w:t>
      </w:r>
    </w:p>
    <w:p>
      <w:pPr>
        <w:pStyle w:val="FirstParagraph"/>
      </w:pPr>
      <w:r>
        <w:t xml:space="preserve">☐ Je peux expliquer ce qu’est un administrateur système sans dire</w:t>
      </w:r>
      <w:r>
        <w:t xml:space="preserve"> </w:t>
      </w:r>
      <w:r>
        <w:t xml:space="preserve">“celui qui répare les ordinateurs”</w:t>
      </w:r>
      <w:r>
        <w:t xml:space="preserve">.</w:t>
      </w:r>
    </w:p>
    <w:p>
      <w:pPr>
        <w:pStyle w:val="BodyText"/>
      </w:pPr>
      <w:r>
        <w:t xml:space="preserve">☐ Je sais distinguer le périmètre du sysadmin de celui du réseau, du DBA, du DevOps, de la sécurité et du support.</w:t>
      </w:r>
    </w:p>
    <w:p>
      <w:pPr>
        <w:pStyle w:val="BodyText"/>
      </w:pPr>
      <w:r>
        <w:t xml:space="preserve">☐ Je connais les cinq responsabilités centrales du métier (disponibilité, sécurité, performance, sauvegarde, documentation).</w:t>
      </w:r>
    </w:p>
    <w:p>
      <w:pPr>
        <w:pStyle w:val="BodyText"/>
      </w:pPr>
      <w:r>
        <w:t xml:space="preserve">☐ Je comprends pourquoi une sauvegarde jamais testée n’est pas une garantie réelle.</w:t>
      </w:r>
    </w:p>
    <w:p>
      <w:pPr>
        <w:pStyle w:val="BodyText"/>
      </w:pPr>
      <w:r>
        <w:t xml:space="preserve">☐ Je sais expliquer la différence entre un incident isolé et un incident récurrent.</w:t>
      </w:r>
    </w:p>
    <w:p>
      <w:pPr>
        <w:pStyle w:val="BodyText"/>
      </w:pPr>
      <w:r>
        <w:t xml:space="preserve">☐ Je connais la démarche de base pour restreindre un problème avant de le diagnostiquer techniquement.</w:t>
      </w:r>
    </w:p>
    <w:p>
      <w:pPr>
        <w:pStyle w:val="BodyText"/>
      </w:pPr>
      <w:r>
        <w:t xml:space="preserve">☐ Je sais situer le métier selon le type d’organisation (PME, grande entreprise, hébergeur, secteur public, datacenter, MSP).</w:t>
      </w:r>
    </w:p>
    <w:bookmarkEnd w:id="31"/>
    <w:bookmarkStart w:id="32" w:name="faq"/>
    <w:p>
      <w:pPr>
        <w:pStyle w:val="Heading2"/>
      </w:pPr>
      <w:r>
        <w:t xml:space="preserve">FAQ</w:t>
      </w:r>
    </w:p>
    <w:p>
      <w:pPr>
        <w:pStyle w:val="FirstParagraph"/>
      </w:pPr>
      <w:r>
        <w:t xml:space="preserve">Faut-il être développeur pour devenir administrateur système ?</w:t>
      </w:r>
    </w:p>
    <w:p>
      <w:pPr>
        <w:pStyle w:val="BodyText"/>
      </w:pPr>
      <w:r>
        <w:t xml:space="preserve">Non, ce n’est pas un prérequis. Le scripting (Bash, PowerShell, Python — couvert dans les Parties 2, 3 et 9) est en revanche une compétence de plus en plus indispensable pour automatiser des tâches répétitives, sans nécessiter le niveau d’un développeur d’applications.</w:t>
      </w:r>
    </w:p>
    <w:p>
      <w:pPr>
        <w:pStyle w:val="BodyText"/>
      </w:pPr>
      <w:r>
        <w:t xml:space="preserve">Le cloud va-t-il rendre ce métier obsolète ?</w:t>
      </w:r>
    </w:p>
    <w:p>
      <w:pPr>
        <w:pStyle w:val="BodyText"/>
      </w:pPr>
      <w:r>
        <w:t xml:space="preserve">Non — il le transforme, comme évoqué dans le quiz de ce chapitre. Les responsabilités fondamentales (disponibilité, sécurité, performance, sauvegarde, documentation) restent identiques ; les outils et le niveau d’abstraction évoluent. C’est justement pourquoi ce manuel couvre le cloud (Partie 8) comme une extension naturelle des compétences on-premise, pas comme un sujet séparé.</w:t>
      </w:r>
    </w:p>
    <w:p>
      <w:pPr>
        <w:pStyle w:val="BodyText"/>
      </w:pPr>
      <w:r>
        <w:t xml:space="preserve">Dois-je choisir entre Windows et Linux dès le début ?</w:t>
      </w:r>
    </w:p>
    <w:p>
      <w:pPr>
        <w:pStyle w:val="BodyText"/>
      </w:pPr>
      <w:r>
        <w:t xml:space="preserve">Non, et ce serait même une erreur stratégique. La quasi-totalité des environnements professionnels réels mélangent les deux (Windows Server pour l’identité et les postes de travail, Linux pour une grande partie des serveurs applicatifs et du cloud). Ce manuel couvre les deux en profondeur (Parties 2 et 3), volontairement dans cet ordre pédagogique.</w:t>
      </w:r>
    </w:p>
    <w:p>
      <w:pPr>
        <w:pStyle w:val="BodyText"/>
      </w:pPr>
      <w:r>
        <w:t xml:space="preserve">Est-ce un métier compatible avec le travail en freelance ou en petite structure ?</w:t>
      </w:r>
    </w:p>
    <w:p>
      <w:pPr>
        <w:pStyle w:val="BodyText"/>
      </w:pPr>
      <w:r>
        <w:t xml:space="preserve">Oui, notamment via les missions de type MSP (prestataire de services managés, section 1.7) ou d’accompagnement ponctuel de PME qui n’ont pas les moyens d’employer un administrateur système à temps plein — un contexte particulièrement pertinent en Haïti, où beaucoup de petites structures fonctionnent exactement sur ce modèle.</w:t>
      </w:r>
    </w:p>
    <w:bookmarkEnd w:id="32"/>
    <w:bookmarkStart w:id="37" w:name="références-et-pour-aller-plus-loin"/>
    <w:p>
      <w:pPr>
        <w:pStyle w:val="Heading2"/>
      </w:pPr>
      <w:r>
        <w:t xml:space="preserve">Références et pour aller plus loin</w:t>
      </w:r>
    </w:p>
    <w:p>
      <w:pPr>
        <w:pStyle w:val="Compact"/>
        <w:numPr>
          <w:ilvl w:val="0"/>
          <w:numId w:val="1031"/>
        </w:numPr>
      </w:pPr>
      <w:r>
        <w:t xml:space="preserve">Microsoft Learn — Parcours</w:t>
      </w:r>
      <w:r>
        <w:t xml:space="preserve"> </w:t>
      </w:r>
      <w:r>
        <w:t xml:space="preserve">“Administrateur système Windows Server”</w:t>
      </w:r>
      <w:r>
        <w:t xml:space="preserve"> </w:t>
      </w:r>
      <w:r>
        <w:t xml:space="preserve">:</w:t>
      </w:r>
      <w:r>
        <w:t xml:space="preserve"> </w:t>
      </w:r>
      <w:hyperlink r:id="rId33">
        <w:r>
          <w:rPr>
            <w:rStyle w:val="Hyperlink"/>
          </w:rPr>
          <w:t xml:space="preserve">https://learn.microsoft.com</w:t>
        </w:r>
      </w:hyperlink>
    </w:p>
    <w:p>
      <w:pPr>
        <w:pStyle w:val="Compact"/>
        <w:numPr>
          <w:ilvl w:val="0"/>
          <w:numId w:val="1031"/>
        </w:numPr>
      </w:pPr>
      <w:r>
        <w:t xml:space="preserve">Red Hat — Documentation et parcours de certification RHCSA/RHCA :</w:t>
      </w:r>
      <w:r>
        <w:t xml:space="preserve"> </w:t>
      </w:r>
      <w:hyperlink r:id="rId34">
        <w:r>
          <w:rPr>
            <w:rStyle w:val="Hyperlink"/>
          </w:rPr>
          <w:t xml:space="preserve">https://www.redhat.com/fr/services/certification</w:t>
        </w:r>
      </w:hyperlink>
    </w:p>
    <w:p>
      <w:pPr>
        <w:pStyle w:val="Compact"/>
        <w:numPr>
          <w:ilvl w:val="0"/>
          <w:numId w:val="1031"/>
        </w:numPr>
      </w:pPr>
      <w:r>
        <w:t xml:space="preserve">ITIL v4 — Vue d’ensemble officielle (Axelos/PeopleCert) :</w:t>
      </w:r>
      <w:r>
        <w:t xml:space="preserve"> </w:t>
      </w:r>
      <w:hyperlink r:id="rId35">
        <w:r>
          <w:rPr>
            <w:rStyle w:val="Hyperlink"/>
          </w:rPr>
          <w:t xml:space="preserve">https://www.axelos.com/certifications/itil-service-management</w:t>
        </w:r>
      </w:hyperlink>
    </w:p>
    <w:p>
      <w:pPr>
        <w:pStyle w:val="Compact"/>
        <w:numPr>
          <w:ilvl w:val="0"/>
          <w:numId w:val="1031"/>
        </w:numPr>
      </w:pPr>
      <w:r>
        <w:t xml:space="preserve">NIST — Cybersecurity Framework, vue d’ensemble :</w:t>
      </w:r>
      <w:r>
        <w:t xml:space="preserve"> </w:t>
      </w:r>
      <w:hyperlink r:id="rId36">
        <w:r>
          <w:rPr>
            <w:rStyle w:val="Hyperlink"/>
          </w:rPr>
          <w:t xml:space="preserve">https://www.nist.gov/cyberframework</w:t>
        </w:r>
      </w:hyperlink>
    </w:p>
    <w:p>
      <w:pPr>
        <w:pStyle w:val="Compact"/>
        <w:numPr>
          <w:ilvl w:val="0"/>
          <w:numId w:val="1031"/>
        </w:numPr>
      </w:pPr>
      <w:r>
        <w:rPr>
          <w:i/>
          <w:iCs/>
        </w:rPr>
        <w:t xml:space="preserve">The Practice of System and Network Administration</w:t>
      </w:r>
      <w:r>
        <w:t xml:space="preserve">, Thomas A. Limoncelli, Christina J. Hogan, Strata R. Chalup (Addison-Wesley) — référence historique et toujours pertinente sur les fondamentaux du métier.</w:t>
      </w:r>
    </w:p>
    <w:p>
      <w:pPr>
        <w:pStyle w:val="FirstParagraph"/>
      </w:pPr>
      <w:r>
        <w:rPr>
          <w:i/>
          <w:iCs/>
        </w:rPr>
        <w:t xml:space="preserve">Chapitre suivant : ITIL v4 appliqué au quotidien — comprendre le cadre de référence qui structure la plupart des organisations IT matures, et comment il s’applique concrètement à ton travail de tous les jours.</w:t>
      </w:r>
    </w:p>
    <w:p>
      <w:pPr>
        <w:pStyle w:val="BodyText"/>
      </w:pPr>
      <w:r>
        <w:t xml:space="preserve">CHAPITRE 2</w:t>
      </w:r>
    </w:p>
    <w:bookmarkEnd w:id="37"/>
    <w:bookmarkEnd w:id="38"/>
    <w:bookmarkStart w:id="66" w:name="itil-v4-appliqué-au-quotidien"/>
    <w:p>
      <w:pPr>
        <w:pStyle w:val="Heading1"/>
      </w:pPr>
      <w:r>
        <w:t xml:space="preserve">ITIL v4 appliqué au quotidien</w:t>
      </w:r>
    </w:p>
    <w:p>
      <w:pPr>
        <w:pStyle w:val="FirstParagraph"/>
      </w:pPr>
      <w:r>
        <w:t xml:space="preserve">🎯 Objectif du chapitre</w:t>
      </w:r>
      <w:r>
        <w:t xml:space="preserve"> </w:t>
      </w:r>
      <w:r>
        <w:t xml:space="preserve">Comprendre ITIL v4 non pas comme une liste d’acronymes à mémoriser pour un examen, mais comme un langage commun qui structure le travail quotidien d’un administrateur système dans une organisation mature. À la fin de ce chapitre, tu sauras distinguer précisément un</w:t>
      </w:r>
      <w:r>
        <w:t xml:space="preserve"> </w:t>
      </w:r>
      <w:r>
        <w:t xml:space="preserve">incident</w:t>
      </w:r>
      <w:r>
        <w:t xml:space="preserve">, un</w:t>
      </w:r>
      <w:r>
        <w:t xml:space="preserve"> </w:t>
      </w:r>
      <w:r>
        <w:t xml:space="preserve">problème</w:t>
      </w:r>
      <w:r>
        <w:t xml:space="preserve"> </w:t>
      </w:r>
      <w:r>
        <w:t xml:space="preserve">et un</w:t>
      </w:r>
      <w:r>
        <w:t xml:space="preserve"> </w:t>
      </w:r>
      <w:r>
        <w:t xml:space="preserve">changement</w:t>
      </w:r>
      <w:r>
        <w:t xml:space="preserve"> </w:t>
      </w:r>
      <w:r>
        <w:t xml:space="preserve">— la confusion la plus fréquente chez les débutants — et tu comprendras pourquoi un outil de tickets, une réunion CAB ou une fenêtre de maintenance existent et à quoi ils servent réellement, pas seulement</w:t>
      </w:r>
      <w:r>
        <w:t xml:space="preserve"> </w:t>
      </w:r>
      <w:r>
        <w:t xml:space="preserve">“parce que c’est la procédure”</w:t>
      </w:r>
      <w:r>
        <w:t xml:space="preserve">.</w:t>
      </w:r>
    </w:p>
    <w:p>
      <w:pPr>
        <w:pStyle w:val="BodyText"/>
      </w:pPr>
      <w:r>
        <w:t xml:space="preserve">🎬 Mise en situation</w:t>
      </w:r>
      <w:r>
        <w:t xml:space="preserve"> </w:t>
      </w:r>
      <w:r>
        <w:t xml:space="preserve">Deuxième semaine dans la compagnie d’assurance du chapitre précédent. Tu remarques que chaque demande passe par un outil de tickets avec des catégories précises :</w:t>
      </w:r>
      <w:r>
        <w:t xml:space="preserve"> </w:t>
      </w:r>
      <w:r>
        <w:t xml:space="preserve">“Incident”</w:t>
      </w:r>
      <w:r>
        <w:t xml:space="preserve">,</w:t>
      </w:r>
      <w:r>
        <w:t xml:space="preserve"> </w:t>
      </w:r>
      <w:r>
        <w:t xml:space="preserve">“Problème”</w:t>
      </w:r>
      <w:r>
        <w:t xml:space="preserve">,</w:t>
      </w:r>
      <w:r>
        <w:t xml:space="preserve"> </w:t>
      </w:r>
      <w:r>
        <w:t xml:space="preserve">“Demande de changement”</w:t>
      </w:r>
      <w:r>
        <w:t xml:space="preserve">. Un collègue plus ancien t’explique, en buvant son café :</w:t>
      </w:r>
      <w:r>
        <w:t xml:space="preserve"> </w:t>
      </w:r>
      <w:r>
        <w:t xml:space="preserve">“On n’a pas toujours fait ça. Il y a trois ans, un technicien a redémarré un serveur de production un vendredi après-midi pour</w:t>
      </w:r>
      <w:r>
        <w:t xml:space="preserve"> </w:t>
      </w:r>
      <w:r>
        <w:t xml:space="preserve">‘tester un correctif rapide’</w:t>
      </w:r>
      <w:r>
        <w:t xml:space="preserve">, sans prévenir personne. Le serveur n’est jamais revenu proprement — mauvaise version de driver, personne ne savait comment revenir en arrière. Tout le système de gestion des sinistres est resté hors service pendant 14 heures, un samedi, pendant que les agents essayaient de joindre quelqu’un qui savait ce qui s’était passé.”</w:t>
      </w:r>
      <w:r>
        <w:t xml:space="preserve"> </w:t>
      </w:r>
      <w:r>
        <w:t xml:space="preserve">Depuis cet incident, la DSI a mis en place un processus formel de changement, avec une validation avant toute intervention en production. Ce chapitre t’explique ce cadre — ITIL v4 — et surtout</w:t>
      </w:r>
      <w:r>
        <w:t xml:space="preserve"> </w:t>
      </w:r>
      <w:r>
        <w:t xml:space="preserve">pourquoi</w:t>
      </w:r>
      <w:r>
        <w:t xml:space="preserve"> </w:t>
      </w:r>
      <w:r>
        <w:t xml:space="preserve">chacune de ses briques existe, à partir d’un incident réel comme celui-ci plutôt que d’une théorie abstraite.</w:t>
      </w:r>
    </w:p>
    <w:bookmarkStart w:id="39" w:name="quest-ce-quitil-vraiment"/>
    <w:p>
      <w:pPr>
        <w:pStyle w:val="Heading2"/>
      </w:pPr>
      <w:r>
        <w:t xml:space="preserve">2.1 Qu’est-ce qu’ITIL, vraiment</w:t>
      </w:r>
    </w:p>
    <w:p>
      <w:pPr>
        <w:pStyle w:val="FirstParagraph"/>
      </w:pPr>
      <w:r>
        <w:rPr>
          <w:b/>
          <w:bCs/>
        </w:rPr>
        <w:t xml:space="preserve">ITIL</w:t>
      </w:r>
      <w:r>
        <w:t xml:space="preserve"> </w:t>
      </w:r>
      <w:r>
        <w:t xml:space="preserve">(</w:t>
      </w:r>
      <w:r>
        <w:rPr>
          <w:i/>
          <w:iCs/>
        </w:rPr>
        <w:t xml:space="preserve">Information Technology Infrastructure Library</w:t>
      </w:r>
      <w:r>
        <w:t xml:space="preserve">) est un ensemble de bonnes pratiques pour la gestion des services informatiques, aujourd’hui dans sa quatrième version majeure (ITIL v4, publiée à partir de 2019). Ce n’est ni une loi, ni une norme obligatoire, ni un logiciel : c’est un</w:t>
      </w:r>
      <w:r>
        <w:t xml:space="preserve"> </w:t>
      </w:r>
      <w:r>
        <w:rPr>
          <w:b/>
          <w:bCs/>
        </w:rPr>
        <w:t xml:space="preserve">cadre de référence</w:t>
      </w:r>
      <w:r>
        <w:t xml:space="preserve"> </w:t>
      </w:r>
      <w:r>
        <w:t xml:space="preserve">— un vocabulaire commun et des processus éprouvés, que chaque organisation adapte à sa propre taille et à ses propres besoins.</w:t>
      </w:r>
    </w:p>
    <w:p>
      <w:pPr>
        <w:pStyle w:val="BodyText"/>
      </w:pPr>
      <w:r>
        <w:t xml:space="preserve">💡 Analogie — le code de la route</w:t>
      </w:r>
      <w:r>
        <w:t xml:space="preserve"> </w:t>
      </w:r>
      <w:r>
        <w:t xml:space="preserve">ITIL, c’est un peu comme le code de la route. Rien n’oblige légalement une entreprise à l’appliquer à la lettre, exactement comme rien n’oblige un cycliste à rouler dans une ville sans jamais avoir lu le code de la route. Mais un code de la route existe parce que, sans lui, chaque carrefour devient une négociation risquée entre conducteurs qui ne savent pas à quoi s’attendre des autres. ITIL joue le même rôle dans une organisation IT : il donne des règles communes (qui a la priorité, qui valide quoi, dans quel ordre) qui évitent les collisions — comme celle du technicien du scénario d’ouverture, qui a</w:t>
      </w:r>
      <w:r>
        <w:t xml:space="preserve"> </w:t>
      </w:r>
      <w:r>
        <w:t xml:space="preserve">“grillé un feu rouge”</w:t>
      </w:r>
      <w:r>
        <w:t xml:space="preserve"> </w:t>
      </w:r>
      <w:r>
        <w:t xml:space="preserve">en modifiant la production sans validation ni plan de retour arrière.</w:t>
      </w:r>
    </w:p>
    <w:p>
      <w:pPr>
        <w:pStyle w:val="BodyText"/>
      </w:pPr>
      <w:r>
        <w:t xml:space="preserve">📌 À retenir</w:t>
      </w:r>
      <w:r>
        <w:t xml:space="preserve"> </w:t>
      </w:r>
      <w:r>
        <w:t xml:space="preserve">ITIL n’est pas une certification que tu dois obtenir pour faire ce métier (contrairement à une idée reçue fréquente), et ce n’est pas un logiciel que tu installes. C’est un cadre conceptuel : les logiciels de gestion de tickets (ServiceNow, Jira Service Management, GLPI, Zammad…) sont des</w:t>
      </w:r>
      <w:r>
        <w:t xml:space="preserve"> </w:t>
      </w:r>
      <w:r>
        <w:t xml:space="preserve">outils</w:t>
      </w:r>
      <w:r>
        <w:t xml:space="preserve"> </w:t>
      </w:r>
      <w:r>
        <w:t xml:space="preserve">qui permettent d’appliquer concrètement les processus qu’ITIL décrit — l’outil n’est jamais la source du processus, seulement son support.</w:t>
      </w:r>
    </w:p>
    <w:bookmarkEnd w:id="39"/>
    <w:bookmarkStart w:id="40" w:name="Xe79bb23d1f60a05a226c6c471b9e2fbf7423900"/>
    <w:p>
      <w:pPr>
        <w:pStyle w:val="Heading2"/>
      </w:pPr>
      <w:r>
        <w:t xml:space="preserve">2.2 Le Système de Valeur des Services, en bref</w:t>
      </w:r>
    </w:p>
    <w:p>
      <w:pPr>
        <w:pStyle w:val="FirstParagraph"/>
      </w:pPr>
      <w:r>
        <w:t xml:space="preserve">ITIL v4 a introduit une évolution importante par rapport à la version précédente (ITIL v3, encore très répandue dans beaucoup d’entreprises) : au lieu d’une suite rigide de processus séquentiels, ITIL v4 propose un</w:t>
      </w:r>
      <w:r>
        <w:t xml:space="preserve"> </w:t>
      </w:r>
      <w:r>
        <w:rPr>
          <w:b/>
          <w:bCs/>
        </w:rPr>
        <w:t xml:space="preserve">Système de Valeur des Services</w:t>
      </w:r>
      <w:r>
        <w:t xml:space="preserve"> </w:t>
      </w:r>
      <w:r>
        <w:t xml:space="preserve">(SVS), plus flexible, organisé autour de sept principes directeurs. Ce manuel ne détaille pas l’ensemble du SVS (ce n’est pas un manuel de préparation à la certification ITIL Foundation) — mais trois de ces principes directeurs sont directement utiles dans ton travail quotidien, dès ce chapitre :</w:t>
      </w:r>
    </w:p>
    <w:p>
      <w:pPr>
        <w:pStyle w:val="BodyText"/>
      </w:pPr>
      <w:r>
        <w:t xml:space="preserve">🧠 À mémoriser — 3 principes directeurs ITIL utiles au quotidien</w:t>
      </w:r>
      <w:r>
        <w:t xml:space="preserve"> </w:t>
      </w:r>
      <w:r>
        <w:t xml:space="preserve">1.</w:t>
      </w:r>
      <w:r>
        <w:t xml:space="preserve"> </w:t>
      </w:r>
      <w:r>
        <w:t xml:space="preserve">Se concentrer sur la valeur</w:t>
      </w:r>
      <w:r>
        <w:t xml:space="preserve"> </w:t>
      </w:r>
      <w:r>
        <w:t xml:space="preserve">: chaque action doit servir, au bout du compte, l’utilisateur ou le client — pas exister pour elle-même. Un processus qui ralentit tout sans réduire de risque réel n’est pas un bon processus, même s’il</w:t>
      </w:r>
      <w:r>
        <w:t xml:space="preserve"> </w:t>
      </w:r>
      <w:r>
        <w:t xml:space="preserve">“suit ITIL”</w:t>
      </w:r>
      <w:r>
        <w:t xml:space="preserve"> </w:t>
      </w:r>
      <w:r>
        <w:t xml:space="preserve">sur le papier.</w:t>
      </w:r>
      <w:r>
        <w:t xml:space="preserve"> </w:t>
      </w:r>
      <w:r>
        <w:t xml:space="preserve">2.</w:t>
      </w:r>
      <w:r>
        <w:t xml:space="preserve"> </w:t>
      </w:r>
      <w:r>
        <w:t xml:space="preserve">Progresser de manière itérative avec un retour d’information</w:t>
      </w:r>
      <w:r>
        <w:t xml:space="preserve"> </w:t>
      </w:r>
      <w:r>
        <w:t xml:space="preserve">: ne cherche jamais à construire un processus parfait du premier coup ; commence simple, observe ce qui casse, améliore.</w:t>
      </w:r>
      <w:r>
        <w:t xml:space="preserve"> </w:t>
      </w:r>
      <w:r>
        <w:t xml:space="preserve">3.</w:t>
      </w:r>
      <w:r>
        <w:t xml:space="preserve"> </w:t>
      </w:r>
      <w:r>
        <w:t xml:space="preserve">Collaborer et favoriser la visibilité</w:t>
      </w:r>
      <w:r>
        <w:t xml:space="preserve"> </w:t>
      </w:r>
      <w:r>
        <w:t xml:space="preserve">: la cause profonde de l’incident du scénario d’ouverture n’était pas technique — c’était l’absence de communication avant une action risquée.</w:t>
      </w:r>
    </w:p>
    <w:p>
      <w:pPr>
        <w:pStyle w:val="BodyText"/>
      </w:pPr>
      <w:r>
        <w:t xml:space="preserve">⚠️ Un piège de débutant : réciter ITIL sans comprendre pourquoi</w:t>
      </w:r>
      <w:r>
        <w:t xml:space="preserve"> </w:t>
      </w:r>
      <w:r>
        <w:t xml:space="preserve">Beaucoup de débutants apprennent les noms des processus ITIL par cœur pour un entretien, sans jamais avoir vécu concrètement pourquoi ils existent. La bonne approche est inverse : comprends d’abord le problème réel que chaque processus résout (comme celui du scénario d’ouverture pour la gestion du changement), et le vocabulaire ITIL devient alors une évidence, pas une liste à mémoriser.</w:t>
      </w:r>
    </w:p>
    <w:bookmarkEnd w:id="40"/>
    <w:bookmarkStart w:id="41" w:name="X8196b515e74e69fda24aaf703762e5e7465291c"/>
    <w:p>
      <w:pPr>
        <w:pStyle w:val="Heading2"/>
      </w:pPr>
      <w:r>
        <w:t xml:space="preserve">2.3 Incident, problème, changement : la distinction la plus importante de ce chapitre</w:t>
      </w:r>
    </w:p>
    <w:p>
      <w:pPr>
        <w:pStyle w:val="FirstParagraph"/>
      </w:pPr>
      <w:r>
        <w:t xml:space="preserve">C’est ici que se concentre la confusion la plus fréquente chez les administrateurs système débutants — y compris en entretien d’embauche. Ces trois mots ont un sens</w:t>
      </w:r>
      <w:r>
        <w:t xml:space="preserve"> </w:t>
      </w:r>
      <w:r>
        <w:rPr>
          <w:b/>
          <w:bCs/>
        </w:rPr>
        <w:t xml:space="preserve">précis et différent</w:t>
      </w:r>
      <w:r>
        <w:t xml:space="preserve"> </w:t>
      </w:r>
      <w:r>
        <w:t xml:space="preserve">en ITIL, alors qu’ils sont souvent utilisés de façon interchangeable dans le langage courant.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Concept</w:t>
            </w:r>
          </w:p>
        </w:tc>
        <w:tc>
          <w:tcPr/>
          <w:p>
            <w:pPr>
              <w:pStyle w:val="Compact"/>
            </w:pPr>
            <w:r>
              <w:t xml:space="preserve">Définition ITIL</w:t>
            </w:r>
          </w:p>
        </w:tc>
        <w:tc>
          <w:tcPr/>
          <w:p>
            <w:pPr>
              <w:pStyle w:val="Compact"/>
            </w:pPr>
            <w:r>
              <w:t xml:space="preserve">Objectif</w:t>
            </w:r>
          </w:p>
        </w:tc>
        <w:tc>
          <w:tcPr/>
          <w:p>
            <w:pPr>
              <w:pStyle w:val="Compact"/>
            </w:pPr>
            <w:r>
              <w:t xml:space="preserve">Exemple concret</w:t>
            </w:r>
          </w:p>
        </w:tc>
      </w:tr>
      <w:tr>
        <w:tc>
          <w:tcPr/>
          <w:p>
            <w:pPr>
              <w:pStyle w:val="Compact"/>
            </w:pPr>
            <w:r>
              <w:rPr>
                <w:b/>
                <w:bCs/>
              </w:rPr>
              <w:t xml:space="preserve">Incident</w:t>
            </w:r>
          </w:p>
        </w:tc>
        <w:tc>
          <w:tcPr/>
          <w:p>
            <w:pPr>
              <w:pStyle w:val="Compact"/>
            </w:pPr>
            <w:r>
              <w:t xml:space="preserve">Une interruption non planifiée d’un service, ou une dégradation de sa qualité</w:t>
            </w:r>
          </w:p>
        </w:tc>
        <w:tc>
          <w:tcPr/>
          <w:p>
            <w:pPr>
              <w:pStyle w:val="Compact"/>
            </w:pPr>
            <w:r>
              <w:t xml:space="preserve">Rétablir le service</w:t>
            </w:r>
            <w:r>
              <w:t xml:space="preserve"> </w:t>
            </w:r>
            <w:r>
              <w:rPr>
                <w:b/>
                <w:bCs/>
              </w:rPr>
              <w:t xml:space="preserve">le plus vite possible</w:t>
            </w:r>
          </w:p>
        </w:tc>
        <w:tc>
          <w:tcPr/>
          <w:p>
            <w:pPr>
              <w:pStyle w:val="Compact"/>
            </w:pPr>
            <w:r>
              <w:t xml:space="preserve">Le serveur de messagerie ne répond plus</w:t>
            </w:r>
          </w:p>
        </w:tc>
      </w:tr>
      <w:tr>
        <w:tc>
          <w:tcPr/>
          <w:p>
            <w:pPr>
              <w:pStyle w:val="Compact"/>
            </w:pPr>
            <w:r>
              <w:rPr>
                <w:b/>
                <w:bCs/>
              </w:rPr>
              <w:t xml:space="preserve">Problème</w:t>
            </w:r>
          </w:p>
        </w:tc>
        <w:tc>
          <w:tcPr/>
          <w:p>
            <w:pPr>
              <w:pStyle w:val="Compact"/>
            </w:pPr>
            <w:r>
              <w:t xml:space="preserve">La</w:t>
            </w:r>
            <w:r>
              <w:t xml:space="preserve"> </w:t>
            </w:r>
            <w:r>
              <w:rPr>
                <w:b/>
                <w:bCs/>
              </w:rPr>
              <w:t xml:space="preserve">cause sous-jacente</w:t>
            </w:r>
            <w:r>
              <w:t xml:space="preserve"> </w:t>
            </w:r>
            <w:r>
              <w:t xml:space="preserve">d’un ou plusieurs incidents (parfois pas encore identifiée)</w:t>
            </w:r>
          </w:p>
        </w:tc>
        <w:tc>
          <w:tcPr/>
          <w:p>
            <w:pPr>
              <w:pStyle w:val="Compact"/>
            </w:pPr>
            <w:r>
              <w:t xml:space="preserve">Comprendre la cause racine et</w:t>
            </w:r>
            <w:r>
              <w:t xml:space="preserve"> </w:t>
            </w:r>
            <w:r>
              <w:rPr>
                <w:b/>
                <w:bCs/>
              </w:rPr>
              <w:t xml:space="preserve">empêcher la récurrence</w:t>
            </w:r>
          </w:p>
        </w:tc>
        <w:tc>
          <w:tcPr/>
          <w:p>
            <w:pPr>
              <w:pStyle w:val="Compact"/>
            </w:pPr>
            <w:r>
              <w:t xml:space="preserve">Le serveur de messagerie plante chaque lundi matin depuis 3 semaines — pourquoi ?</w:t>
            </w:r>
          </w:p>
        </w:tc>
      </w:tr>
      <w:tr>
        <w:tc>
          <w:tcPr/>
          <w:p>
            <w:pPr>
              <w:pStyle w:val="Compact"/>
            </w:pPr>
            <w:r>
              <w:rPr>
                <w:b/>
                <w:bCs/>
              </w:rPr>
              <w:t xml:space="preserve">Changement</w:t>
            </w:r>
          </w:p>
        </w:tc>
        <w:tc>
          <w:tcPr/>
          <w:p>
            <w:pPr>
              <w:pStyle w:val="Compact"/>
            </w:pPr>
            <w:r>
              <w:t xml:space="preserve">Toute action planifiée d’ajout, modification ou retrait de quelque chose qui affecte un service</w:t>
            </w:r>
          </w:p>
        </w:tc>
        <w:tc>
          <w:tcPr/>
          <w:p>
            <w:pPr>
              <w:pStyle w:val="Compact"/>
            </w:pPr>
            <w:r>
              <w:t xml:space="preserve">Réaliser une modification</w:t>
            </w:r>
            <w:r>
              <w:t xml:space="preserve"> </w:t>
            </w:r>
            <w:r>
              <w:rPr>
                <w:b/>
                <w:bCs/>
              </w:rPr>
              <w:t xml:space="preserve">de façon maîtrisée</w:t>
            </w:r>
            <w:r>
              <w:t xml:space="preserve">, avec un risque évalué à l’avance</w:t>
            </w:r>
          </w:p>
        </w:tc>
        <w:tc>
          <w:tcPr/>
          <w:p>
            <w:pPr>
              <w:pStyle w:val="Compact"/>
            </w:pPr>
            <w:r>
              <w:t xml:space="preserve">Appliquer un correctif, migrer une base de données, changer une configuration réseau</w:t>
            </w:r>
          </w:p>
        </w:tc>
      </w:tr>
    </w:tbl>
    <w:p>
      <w:pPr>
        <w:pStyle w:val="BodyText"/>
      </w:pPr>
      <w:r>
        <w:t xml:space="preserve">💡 Analogie — le médecin urgentiste et l’épidémiologiste</w:t>
      </w:r>
      <w:r>
        <w:t xml:space="preserve"> </w:t>
      </w:r>
      <w:r>
        <w:t xml:space="preserve">Face à un patient qui arrive en urgence, un médecin urgentiste a un seul objectif immédiat : stabiliser le patient, le plus vite possible, même sans connaître encore la cause exacte (c’est la</w:t>
      </w:r>
      <w:r>
        <w:t xml:space="preserve"> </w:t>
      </w:r>
      <w:r>
        <w:t xml:space="preserve">gestion d’incident</w:t>
      </w:r>
      <w:r>
        <w:t xml:space="preserve">). Un épidémiologiste, lui, étudie pourquoi des dizaines de patients similaires arrivent chaque semaine avec les mêmes symptômes, pour éliminer la cause à la source — une contamination, une pratique dangereuse (c’est la</w:t>
      </w:r>
      <w:r>
        <w:t xml:space="preserve"> </w:t>
      </w:r>
      <w:r>
        <w:t xml:space="preserve">gestion des problèmes</w:t>
      </w:r>
      <w:r>
        <w:t xml:space="preserve">). Les deux rôles sont indispensables, mais confondre leurs objectifs serait dangereux : soigner un symptôme sans jamais chercher la cause, ou au contraire retarder les soins d’urgence pour</w:t>
      </w:r>
      <w:r>
        <w:t xml:space="preserve"> </w:t>
      </w:r>
      <w:r>
        <w:t xml:space="preserve">“d’abord comprendre pourquoi”</w:t>
      </w:r>
      <w:r>
        <w:t xml:space="preserve">, coûterait cher dans les deux cas.</w:t>
      </w:r>
    </w:p>
    <w:p>
      <w:pPr>
        <w:pStyle w:val="BodyText"/>
      </w:pPr>
      <w:r>
        <w:t xml:space="preserve">❌ Mauvaise pratique — traiter un incident récurrent comme un incident isolé</w:t>
      </w:r>
      <w:r>
        <w:t xml:space="preserve"> </w:t>
      </w:r>
      <w:r>
        <w:t xml:space="preserve">Rappelle-toi la section 1.4 du chapitre 1 : un incident isolé se surveille, un incident récurrent devient un projet. Résoudre le même incident cinq fois de suite en une semaine, sans jamais ouvrir un</w:t>
      </w:r>
      <w:r>
        <w:t xml:space="preserve"> </w:t>
      </w:r>
      <w:r>
        <w:t xml:space="preserve">problème</w:t>
      </w:r>
      <w:r>
        <w:t xml:space="preserve"> </w:t>
      </w:r>
      <w:r>
        <w:t xml:space="preserve">pour en chercher la cause racine, est l’erreur la plus coûteuse en temps qu’une équipe puisse commettre — chaque résolution rapide traite le symptôme, jamais la cause, et l’incident revient inévitablement.</w:t>
      </w:r>
    </w:p>
    <w:bookmarkEnd w:id="41"/>
    <w:bookmarkStart w:id="45" w:name="la-gestion-des-incidents-en-détail"/>
    <w:p>
      <w:pPr>
        <w:pStyle w:val="Heading2"/>
      </w:pPr>
      <w:r>
        <w:t xml:space="preserve">2.4 La gestion des incidents en détail</w:t>
      </w:r>
    </w:p>
    <w:p>
      <w:pPr>
        <w:pStyle w:val="FirstParagraph"/>
      </w:pPr>
      <w:r>
        <w:t xml:space="preserve">Le cycle de vie d’un incident suit une séquence assez stable d’une organisation à l’autre :</w:t>
      </w:r>
    </w:p>
    <w:p>
      <w:pPr>
        <w:pStyle w:val="CaptionedFigure"/>
      </w:pPr>
      <w:r>
        <w:drawing>
          <wp:inline>
            <wp:extent cx="5334000" cy="1333500"/>
            <wp:effectExtent b="0" l="0" r="0" t="0"/>
            <wp:docPr descr="Diagramme" title="" id="43" name="Picture"/>
            <a:graphic>
              <a:graphicData uri="http://schemas.openxmlformats.org/drawingml/2006/picture">
                <pic:pic>
                  <pic:nvPicPr>
                    <pic:cNvPr descr="C:/Users/ingja/Desktop/jarvis-starter-kit/livrables/formations/manuel-administration-systeme/assets/diagrams/d-02-itil-v4-au-quotidien-diagramme-1.png" id="44" name="Picture"/>
                    <pic:cNvPicPr>
                      <a:picLocks noChangeArrowheads="1" noChangeAspect="1"/>
                    </pic:cNvPicPr>
                  </pic:nvPicPr>
                  <pic:blipFill>
                    <a:blip r:embed="rId42"/>
                    <a:stretch>
                      <a:fillRect/>
                    </a:stretch>
                  </pic:blipFill>
                  <pic:spPr bwMode="auto">
                    <a:xfrm>
                      <a:off x="0" y="0"/>
                      <a:ext cx="5334000" cy="1333500"/>
                    </a:xfrm>
                    <a:prstGeom prst="rect">
                      <a:avLst/>
                    </a:prstGeom>
                    <a:noFill/>
                    <a:ln w="9525">
                      <a:noFill/>
                      <a:headEnd/>
                      <a:tailEnd/>
                    </a:ln>
                  </pic:spPr>
                </pic:pic>
              </a:graphicData>
            </a:graphic>
          </wp:inline>
        </w:drawing>
      </w:r>
    </w:p>
    <w:p>
      <w:pPr>
        <w:pStyle w:val="ImageCaption"/>
      </w:pPr>
      <w:r>
        <w:t xml:space="preserve">Diagramme</w:t>
      </w:r>
    </w:p>
    <w:p>
      <w:pPr>
        <w:pStyle w:val="BodyText"/>
      </w:pPr>
      <w:r>
        <w:t xml:space="preserve">💡 Explication du schéma</w:t>
      </w:r>
      <w:r>
        <w:t xml:space="preserve"> </w:t>
      </w:r>
      <w:r>
        <w:t xml:space="preserve">Ce cycle rejoint directement la chaîne d’escalade vue au chapitre 1 (section 1.3) : un incident circule entre les niveaux jusqu’à ce qu’il trouve la compétence capable de le résoudre. La clôture n’est jamais automatique dès que</w:t>
      </w:r>
      <w:r>
        <w:t xml:space="preserve"> </w:t>
      </w:r>
      <w:r>
        <w:t xml:space="preserve">“ça remarche”</w:t>
      </w:r>
      <w:r>
        <w:t xml:space="preserve"> </w:t>
      </w:r>
      <w:r>
        <w:t xml:space="preserve">du point de vue technique — une bonne pratique répandue est de confirmer avec l’utilisateur concerné que le service est réellement rétabli de son point de vue, pas seulement du point de vue du tableau de bord de supervision.</w:t>
      </w:r>
    </w:p>
    <w:p>
      <w:pPr>
        <w:pStyle w:val="BodyText"/>
      </w:pPr>
      <w:r>
        <w:rPr>
          <w:b/>
          <w:bCs/>
        </w:rPr>
        <w:t xml:space="preserve">La priorisation</w:t>
      </w:r>
      <w:r>
        <w:t xml:space="preserve"> </w:t>
      </w:r>
      <w:r>
        <w:t xml:space="preserve">d’un incident ne dépend jamais uniquement de sa gravité technique apparente, mais du croisement entre deux facteurs :</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Urgence faible</w:t>
            </w:r>
          </w:p>
        </w:tc>
        <w:tc>
          <w:tcPr/>
          <w:p>
            <w:pPr>
              <w:pStyle w:val="Compact"/>
            </w:pPr>
            <w:r>
              <w:t xml:space="preserve">Urgence élevée</w:t>
            </w:r>
          </w:p>
        </w:tc>
      </w:tr>
      <w:tr>
        <w:tc>
          <w:tcPr/>
          <w:p>
            <w:pPr>
              <w:pStyle w:val="Compact"/>
            </w:pPr>
            <w:r>
              <w:rPr>
                <w:b/>
                <w:bCs/>
              </w:rPr>
              <w:t xml:space="preserve">Impact élevé</w:t>
            </w:r>
            <w:r>
              <w:t xml:space="preserve"> </w:t>
            </w:r>
            <w:r>
              <w:t xml:space="preserve">(beaucoup d’utilisateurs, service critique)</w:t>
            </w:r>
          </w:p>
        </w:tc>
        <w:tc>
          <w:tcPr/>
          <w:p>
            <w:pPr>
              <w:pStyle w:val="Compact"/>
            </w:pPr>
            <w:r>
              <w:t xml:space="preserve">Priorité moyenne</w:t>
            </w:r>
          </w:p>
        </w:tc>
        <w:tc>
          <w:tcPr/>
          <w:p>
            <w:pPr>
              <w:pStyle w:val="Compact"/>
            </w:pPr>
            <w:r>
              <w:rPr>
                <w:b/>
                <w:bCs/>
              </w:rPr>
              <w:t xml:space="preserve">Priorité critique</w:t>
            </w:r>
          </w:p>
        </w:tc>
      </w:tr>
      <w:tr>
        <w:tc>
          <w:tcPr/>
          <w:p>
            <w:pPr>
              <w:pStyle w:val="Compact"/>
            </w:pPr>
            <w:r>
              <w:rPr>
                <w:b/>
                <w:bCs/>
              </w:rPr>
              <w:t xml:space="preserve">Impact faible</w:t>
            </w:r>
            <w:r>
              <w:t xml:space="preserve"> </w:t>
            </w:r>
            <w:r>
              <w:t xml:space="preserve">(un seul utilisateur, service secondaire)</w:t>
            </w:r>
          </w:p>
        </w:tc>
        <w:tc>
          <w:tcPr/>
          <w:p>
            <w:pPr>
              <w:pStyle w:val="Compact"/>
            </w:pPr>
            <w:r>
              <w:t xml:space="preserve">Priorité basse</w:t>
            </w:r>
          </w:p>
        </w:tc>
        <w:tc>
          <w:tcPr/>
          <w:p>
            <w:pPr>
              <w:pStyle w:val="Compact"/>
            </w:pPr>
            <w:r>
              <w:t xml:space="preserve">Priorité moyenne</w:t>
            </w:r>
          </w:p>
        </w:tc>
      </w:tr>
    </w:tbl>
    <w:p>
      <w:pPr>
        <w:pStyle w:val="BodyText"/>
      </w:pPr>
      <w:r>
        <w:t xml:space="preserve">🔒 Sécurité — un incident de sécurité suit un chemin différent</w:t>
      </w:r>
      <w:r>
        <w:t xml:space="preserve"> </w:t>
      </w:r>
      <w:r>
        <w:t xml:space="preserve">Un incident présentant une composante de sécurité (compromission suspectée, fuite de données potentielle) ne suit pas nécessairement le circuit standard de priorisation impact/urgence — il doit être signalé immédiatement à l’analyste sécurité ou au SOC (chapitre 1, section 1.3), même si son impact apparent semble limité au moment de la détection. Une intrusion détectée tôt et signalée immédiatement coûte infiniment moins cher qu’une intrusion découverte tardivement parce qu’elle a été traitée comme un incident technique ordinaire.</w:t>
      </w:r>
    </w:p>
    <w:bookmarkEnd w:id="45"/>
    <w:bookmarkStart w:id="46" w:name="X7bf4d2158fd98635f48e90c0a09c92a0f9b0531"/>
    <w:p>
      <w:pPr>
        <w:pStyle w:val="Heading2"/>
      </w:pPr>
      <w:r>
        <w:t xml:space="preserve">2.5 La gestion des problèmes : chercher la cause, pas seulement soigner le symptôme</w:t>
      </w:r>
    </w:p>
    <w:p>
      <w:pPr>
        <w:pStyle w:val="FirstParagraph"/>
      </w:pPr>
      <w:r>
        <w:t xml:space="preserve">La gestion des problèmes se distingue par son objectif : elle ne cherche pas à rétablir un service rapidement (c’est le rôle de la gestion d’incidents), mais à</w:t>
      </w:r>
      <w:r>
        <w:t xml:space="preserve"> </w:t>
      </w:r>
      <w:r>
        <w:rPr>
          <w:b/>
          <w:bCs/>
        </w:rPr>
        <w:t xml:space="preserve">comprendre pourquoi</w:t>
      </w:r>
      <w:r>
        <w:t xml:space="preserve"> </w:t>
      </w:r>
      <w:r>
        <w:t xml:space="preserve">un ou plusieurs incidents se produisent, pour empêcher qu’ils se reproduisent.</w:t>
      </w:r>
    </w:p>
    <w:p>
      <w:pPr>
        <w:pStyle w:val="BodyText"/>
      </w:pPr>
      <w:r>
        <w:rPr>
          <w:b/>
          <w:bCs/>
        </w:rPr>
        <w:t xml:space="preserve">Deux formes de gestion des problèmes existent :</w:t>
      </w:r>
      <w:r>
        <w:t xml:space="preserve"> </w:t>
      </w:r>
      <w:r>
        <w:t xml:space="preserve">-</w:t>
      </w:r>
      <w:r>
        <w:t xml:space="preserve"> </w:t>
      </w:r>
      <w:r>
        <w:rPr>
          <w:b/>
          <w:bCs/>
        </w:rPr>
        <w:t xml:space="preserve">Réactive</w:t>
      </w:r>
      <w:r>
        <w:t xml:space="preserve"> </w:t>
      </w:r>
      <w:r>
        <w:t xml:space="preserve">: ouverte après qu’un incident (ou une série d’incidents similaires) a déjà eu lieu — c’est la forme la plus courante en début de maturité organisationnelle.</w:t>
      </w:r>
      <w:r>
        <w:t xml:space="preserve"> </w:t>
      </w:r>
      <w:r>
        <w:t xml:space="preserve">-</w:t>
      </w:r>
      <w:r>
        <w:t xml:space="preserve"> </w:t>
      </w:r>
      <w:r>
        <w:rPr>
          <w:b/>
          <w:bCs/>
        </w:rPr>
        <w:t xml:space="preserve">Proactive</w:t>
      </w:r>
      <w:r>
        <w:t xml:space="preserve"> </w:t>
      </w:r>
      <w:r>
        <w:t xml:space="preserve">: identifie des risques</w:t>
      </w:r>
      <w:r>
        <w:t xml:space="preserve"> </w:t>
      </w:r>
      <w:r>
        <w:rPr>
          <w:i/>
          <w:iCs/>
        </w:rPr>
        <w:t xml:space="preserve">avant</w:t>
      </w:r>
      <w:r>
        <w:t xml:space="preserve"> </w:t>
      </w:r>
      <w:r>
        <w:t xml:space="preserve">qu’un incident ne survienne, en analysant des tendances (par exemple, un espace disque qui se remplit progressivement — exactement l’exemple de performance proactive du chapitre 1, section 1.4).</w:t>
      </w:r>
    </w:p>
    <w:p>
      <w:pPr>
        <w:pStyle w:val="BodyText"/>
      </w:pPr>
      <w:r>
        <w:t xml:space="preserve">✅ Bonne pratique — la base des erreurs connues (KEDB)</w:t>
      </w:r>
      <w:r>
        <w:t xml:space="preserve"> </w:t>
      </w:r>
      <w:r>
        <w:t xml:space="preserve">Une organisation mature tient une</w:t>
      </w:r>
      <w:r>
        <w:t xml:space="preserve"> </w:t>
      </w:r>
      <w:r>
        <w:t xml:space="preserve">base des erreurs connues</w:t>
      </w:r>
      <w:r>
        <w:t xml:space="preserve"> </w:t>
      </w:r>
      <w:r>
        <w:t xml:space="preserve">(</w:t>
      </w:r>
      <w:r>
        <w:rPr>
          <w:i/>
          <w:iCs/>
        </w:rPr>
        <w:t xml:space="preserve">Known Error Database</w:t>
      </w:r>
      <w:r>
        <w:t xml:space="preserve">, KEDB) : un répertoire des causes racines déjà identifiées, avec leur solution de contournement (</w:t>
      </w:r>
      <w:r>
        <w:rPr>
          <w:i/>
          <w:iCs/>
        </w:rPr>
        <w:t xml:space="preserve">workaround</w:t>
      </w:r>
      <w:r>
        <w:t xml:space="preserve">) si la cause n’a pas encore pu être corrigée définitivement. Face à un nouvel incident, la première question à se poser est souvent :</w:t>
      </w:r>
      <w:r>
        <w:t xml:space="preserve"> </w:t>
      </w:r>
      <w:r>
        <w:t xml:space="preserve">“cette situation ressemble-t-elle à une erreur déjà connue et documentée ?”</w:t>
      </w:r>
      <w:r>
        <w:t xml:space="preserve"> </w:t>
      </w:r>
      <w:r>
        <w:t xml:space="preserve">— un réflexe qui rejoint directement la discipline de documentation évoquée au chapitre 1 (section 1.6).</w:t>
      </w:r>
    </w:p>
    <w:p>
      <w:pPr>
        <w:pStyle w:val="BodyText"/>
      </w:pPr>
      <w:r>
        <w:t xml:space="preserve">🚀 Performance — le retour sur investissement de la gestion des problèmes</w:t>
      </w:r>
      <w:r>
        <w:t xml:space="preserve"> </w:t>
      </w:r>
      <w:r>
        <w:t xml:space="preserve">Résoudre un incident prend généralement quelques minutes à quelques heures. Analyser sa cause racine en profondeur peut prendre plusieurs jours de travail d’investigation. Cet investissement se justifie pourtant très vite dès qu’un incident revient plus de deux ou trois fois : le temps cumulé passé à répéter la même résolution dépasse presque toujours, au bout de quelques semaines, le temps qu’aurait pris une vraie analyse de cause racine.</w:t>
      </w:r>
    </w:p>
    <w:bookmarkEnd w:id="46"/>
    <w:bookmarkStart w:id="50" w:name="Xef73ae9821ab647900deca4bb48396dbad3dfbb"/>
    <w:p>
      <w:pPr>
        <w:pStyle w:val="Heading2"/>
      </w:pPr>
      <w:r>
        <w:t xml:space="preserve">2.6 La gestion des changements : le cœur du scénario d’ouverture</w:t>
      </w:r>
    </w:p>
    <w:p>
      <w:pPr>
        <w:pStyle w:val="FirstParagraph"/>
      </w:pPr>
      <w:r>
        <w:t xml:space="preserve">Revenons directement à l’incident du scénario d’ouverture : un technicien a modifié un serveur de production sans validation ni plan de retour arrière, provoquant 14 heures d’interruption. La</w:t>
      </w:r>
      <w:r>
        <w:t xml:space="preserve"> </w:t>
      </w:r>
      <w:r>
        <w:rPr>
          <w:b/>
          <w:bCs/>
        </w:rPr>
        <w:t xml:space="preserve">gestion des changements</w:t>
      </w:r>
      <w:r>
        <w:t xml:space="preserve"> </w:t>
      </w:r>
      <w:r>
        <w:t xml:space="preserve">existe précisément pour éviter ce scénario, en distinguant trois types de changement, avec un niveau de contrôle proportionné au risque réel :</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Type de changement</w:t>
            </w:r>
          </w:p>
        </w:tc>
        <w:tc>
          <w:tcPr/>
          <w:p>
            <w:pPr>
              <w:pStyle w:val="Compact"/>
            </w:pPr>
            <w:r>
              <w:t xml:space="preserve">Caractéristique</w:t>
            </w:r>
          </w:p>
        </w:tc>
        <w:tc>
          <w:tcPr/>
          <w:p>
            <w:pPr>
              <w:pStyle w:val="Compact"/>
            </w:pPr>
            <w:r>
              <w:t xml:space="preserve">Exemple</w:t>
            </w:r>
          </w:p>
        </w:tc>
        <w:tc>
          <w:tcPr/>
          <w:p>
            <w:pPr>
              <w:pStyle w:val="Compact"/>
            </w:pPr>
            <w:r>
              <w:t xml:space="preserve">Validation requise</w:t>
            </w:r>
          </w:p>
        </w:tc>
      </w:tr>
      <w:tr>
        <w:tc>
          <w:tcPr/>
          <w:p>
            <w:pPr>
              <w:pStyle w:val="Compact"/>
            </w:pPr>
            <w:r>
              <w:rPr>
                <w:b/>
                <w:bCs/>
              </w:rPr>
              <w:t xml:space="preserve">Standard</w:t>
            </w:r>
          </w:p>
        </w:tc>
        <w:tc>
          <w:tcPr/>
          <w:p>
            <w:pPr>
              <w:pStyle w:val="Compact"/>
            </w:pPr>
            <w:r>
              <w:t xml:space="preserve">Faible risque, déjà réalisé plusieurs fois, procédure pré-approuvée</w:t>
            </w:r>
          </w:p>
        </w:tc>
        <w:tc>
          <w:tcPr/>
          <w:p>
            <w:pPr>
              <w:pStyle w:val="Compact"/>
            </w:pPr>
            <w:r>
              <w:t xml:space="preserve">Créer un compte utilisateur standard, appliquer un correctif mineur déjà testé</w:t>
            </w:r>
          </w:p>
        </w:tc>
        <w:tc>
          <w:tcPr/>
          <w:p>
            <w:pPr>
              <w:pStyle w:val="Compact"/>
            </w:pPr>
            <w:r>
              <w:t xml:space="preserve">Aucune validation individuelle — la procédure elle-même a été validée une fois pour toutes</w:t>
            </w:r>
          </w:p>
        </w:tc>
      </w:tr>
      <w:tr>
        <w:tc>
          <w:tcPr/>
          <w:p>
            <w:pPr>
              <w:pStyle w:val="Compact"/>
            </w:pPr>
            <w:r>
              <w:rPr>
                <w:b/>
                <w:bCs/>
              </w:rPr>
              <w:t xml:space="preserve">Normal</w:t>
            </w:r>
          </w:p>
        </w:tc>
        <w:tc>
          <w:tcPr/>
          <w:p>
            <w:pPr>
              <w:pStyle w:val="Compact"/>
            </w:pPr>
            <w:r>
              <w:t xml:space="preserve">Risque réel, nécessite une évaluation au cas par cas</w:t>
            </w:r>
          </w:p>
        </w:tc>
        <w:tc>
          <w:tcPr/>
          <w:p>
            <w:pPr>
              <w:pStyle w:val="Compact"/>
            </w:pPr>
            <w:r>
              <w:t xml:space="preserve">Migrer une base de données, changer la configuration d’un pare-feu</w:t>
            </w:r>
          </w:p>
        </w:tc>
        <w:tc>
          <w:tcPr/>
          <w:p>
            <w:pPr>
              <w:pStyle w:val="Compact"/>
            </w:pPr>
            <w:r>
              <w:t xml:space="preserve">Revue par un</w:t>
            </w:r>
            <w:r>
              <w:t xml:space="preserve"> </w:t>
            </w:r>
            <w:r>
              <w:rPr>
                <w:b/>
                <w:bCs/>
              </w:rPr>
              <w:t xml:space="preserve">CAB</w:t>
            </w:r>
            <w:r>
              <w:t xml:space="preserve"> </w:t>
            </w:r>
            <w:r>
              <w:t xml:space="preserve">(</w:t>
            </w:r>
            <w:r>
              <w:rPr>
                <w:i/>
                <w:iCs/>
              </w:rPr>
              <w:t xml:space="preserve">Change Advisory Board</w:t>
            </w:r>
            <w:r>
              <w:t xml:space="preserve">) avant exécution</w:t>
            </w:r>
          </w:p>
        </w:tc>
      </w:tr>
      <w:tr>
        <w:tc>
          <w:tcPr/>
          <w:p>
            <w:pPr>
              <w:pStyle w:val="Compact"/>
            </w:pPr>
            <w:r>
              <w:rPr>
                <w:b/>
                <w:bCs/>
              </w:rPr>
              <w:t xml:space="preserve">Urgent</w:t>
            </w:r>
          </w:p>
        </w:tc>
        <w:tc>
          <w:tcPr/>
          <w:p>
            <w:pPr>
              <w:pStyle w:val="Compact"/>
            </w:pPr>
            <w:r>
              <w:t xml:space="preserve">Risque réel mais délai incompatible avec le circuit normal (souvent lié à un incident critique en cours)</w:t>
            </w:r>
          </w:p>
        </w:tc>
        <w:tc>
          <w:tcPr/>
          <w:p>
            <w:pPr>
              <w:pStyle w:val="Compact"/>
            </w:pPr>
            <w:r>
              <w:t xml:space="preserve">Appliquer en urgence un correctif de sécurité critique activement exploité</w:t>
            </w:r>
          </w:p>
        </w:tc>
        <w:tc>
          <w:tcPr/>
          <w:p>
            <w:pPr>
              <w:pStyle w:val="Compact"/>
            </w:pPr>
            <w:r>
              <w:t xml:space="preserve">Validation accélérée par un nombre réduit de décideurs, tracée après coup</w:t>
            </w:r>
          </w:p>
        </w:tc>
      </w:tr>
    </w:tbl>
    <w:p>
      <w:pPr>
        <w:pStyle w:val="CaptionedFigure"/>
      </w:pPr>
      <w:r>
        <w:drawing>
          <wp:inline>
            <wp:extent cx="5334000" cy="5912385"/>
            <wp:effectExtent b="0" l="0" r="0" t="0"/>
            <wp:docPr descr="Diagramme" title="" id="48" name="Picture"/>
            <a:graphic>
              <a:graphicData uri="http://schemas.openxmlformats.org/drawingml/2006/picture">
                <pic:pic>
                  <pic:nvPicPr>
                    <pic:cNvPr descr="C:/Users/ingja/Desktop/jarvis-starter-kit/livrables/formations/manuel-administration-systeme/assets/diagrams/d-02-itil-v4-au-quotidien-diagramme-2.png" id="49" name="Picture"/>
                    <pic:cNvPicPr>
                      <a:picLocks noChangeArrowheads="1" noChangeAspect="1"/>
                    </pic:cNvPicPr>
                  </pic:nvPicPr>
                  <pic:blipFill>
                    <a:blip r:embed="rId47"/>
                    <a:stretch>
                      <a:fillRect/>
                    </a:stretch>
                  </pic:blipFill>
                  <pic:spPr bwMode="auto">
                    <a:xfrm>
                      <a:off x="0" y="0"/>
                      <a:ext cx="5334000" cy="5912385"/>
                    </a:xfrm>
                    <a:prstGeom prst="rect">
                      <a:avLst/>
                    </a:prstGeom>
                    <a:noFill/>
                    <a:ln w="9525">
                      <a:noFill/>
                      <a:headEnd/>
                      <a:tailEnd/>
                    </a:ln>
                  </pic:spPr>
                </pic:pic>
              </a:graphicData>
            </a:graphic>
          </wp:inline>
        </w:drawing>
      </w:r>
    </w:p>
    <w:p>
      <w:pPr>
        <w:pStyle w:val="ImageCaption"/>
      </w:pPr>
      <w:r>
        <w:t xml:space="preserve">Diagramme</w:t>
      </w:r>
    </w:p>
    <w:p>
      <w:pPr>
        <w:pStyle w:val="BodyText"/>
      </w:pPr>
      <w:r>
        <w:t xml:space="preserve">⚠️ Erreur de compréhension fréquente : croire que</w:t>
      </w:r>
      <w:r>
        <w:t xml:space="preserve"> </w:t>
      </w:r>
      <w:r>
        <w:t xml:space="preserve">“urgent”</w:t>
      </w:r>
      <w:r>
        <w:t xml:space="preserve"> </w:t>
      </w:r>
      <w:r>
        <w:t xml:space="preserve">veut dire</w:t>
      </w:r>
      <w:r>
        <w:t xml:space="preserve"> </w:t>
      </w:r>
      <w:r>
        <w:t xml:space="preserve">“sans validation”</w:t>
      </w:r>
      <w:r>
        <w:t xml:space="preserve"> </w:t>
      </w:r>
      <w:r>
        <w:t xml:space="preserve">Un changement urgent n’est pas un changement</w:t>
      </w:r>
      <w:r>
        <w:t xml:space="preserve"> </w:t>
      </w:r>
      <w:r>
        <w:t xml:space="preserve">sans</w:t>
      </w:r>
      <w:r>
        <w:t xml:space="preserve"> </w:t>
      </w:r>
      <w:r>
        <w:t xml:space="preserve">contrôle — c’est un changement dont le circuit de validation est</w:t>
      </w:r>
      <w:r>
        <w:t xml:space="preserve"> </w:t>
      </w:r>
      <w:r>
        <w:rPr>
          <w:b/>
          <w:bCs/>
        </w:rPr>
        <w:t xml:space="preserve">accéléré</w:t>
      </w:r>
      <w:r>
        <w:t xml:space="preserve">, pas supprimé. La différence est cruciale : même en urgence, quelqu’un d’autre que l’exécutant confirme que l’action est raisonnable et qu’un plan de retour arrière existe. C’est exactement ce qui a manqué dans l’incident du scénario d’ouverture — le technicien a traité son intervention comme si elle n’exigeait aucune validation, ni même une simple prévention de l’équipe.</w:t>
      </w:r>
    </w:p>
    <w:p>
      <w:pPr>
        <w:pStyle w:val="BodyText"/>
      </w:pPr>
      <w:r>
        <w:rPr>
          <w:b/>
          <w:bCs/>
        </w:rPr>
        <w:t xml:space="preserve">Tout changement normal ou urgent doit inclure, avant exécution :</w:t>
      </w:r>
      <w:r>
        <w:t xml:space="preserve"> </w:t>
      </w:r>
      <w:r>
        <w:t xml:space="preserve">- Une description précise de ce qui va être modifié.</w:t>
      </w:r>
      <w:r>
        <w:t xml:space="preserve"> </w:t>
      </w:r>
      <w:r>
        <w:t xml:space="preserve">- Une évaluation du risque et de l’impact si ça se passe mal.</w:t>
      </w:r>
      <w:r>
        <w:t xml:space="preserve"> </w:t>
      </w:r>
      <w:r>
        <w:t xml:space="preserve">- Un</w:t>
      </w:r>
      <w:r>
        <w:t xml:space="preserve"> </w:t>
      </w:r>
      <w:r>
        <w:rPr>
          <w:b/>
          <w:bCs/>
        </w:rPr>
        <w:t xml:space="preserve">plan de retour arrière</w:t>
      </w:r>
      <w:r>
        <w:t xml:space="preserve"> </w:t>
      </w:r>
      <w:r>
        <w:t xml:space="preserve">(</w:t>
      </w:r>
      <w:r>
        <w:rPr>
          <w:i/>
          <w:iCs/>
        </w:rPr>
        <w:t xml:space="preserve">rollback</w:t>
      </w:r>
      <w:r>
        <w:t xml:space="preserve">) testé ou au moins documenté — pas juste</w:t>
      </w:r>
      <w:r>
        <w:t xml:space="preserve"> </w:t>
      </w:r>
      <w:r>
        <w:t xml:space="preserve">“on verra bien”</w:t>
      </w:r>
      <w:r>
        <w:t xml:space="preserve">.</w:t>
      </w:r>
      <w:r>
        <w:t xml:space="preserve"> </w:t>
      </w:r>
      <w:r>
        <w:t xml:space="preserve">- Une fenêtre de maintenance communiquée aux utilisateurs concernés, quand c’est pertinent.</w:t>
      </w:r>
    </w:p>
    <w:p>
      <w:pPr>
        <w:pStyle w:val="BodyText"/>
      </w:pPr>
      <w:r>
        <w:t xml:space="preserve">🏢</w:t>
      </w:r>
      <w:r>
        <w:t xml:space="preserve"> </w:t>
      </w:r>
      <w:r>
        <w:rPr>
          <w:b/>
          <w:bCs/>
        </w:rPr>
        <w:t xml:space="preserve">Le CAB en pratique.</w:t>
      </w:r>
      <w:r>
        <w:t xml:space="preserve"> </w:t>
      </w:r>
      <w:r>
        <w:t xml:space="preserve">Dans une grande organisation, le CAB est une réunion régulière (souvent hebdomadaire) réunissant des représentants de plusieurs équipes (infrastructure, sécurité, métier) qui examinent les changements normaux prévus. Dans une PME, ce rôle peut se réduire à un simple message écrit à un responsable, avec un accusé de réception avant d’agir — l’esprit du processus (une paire d’yeux supplémentaire avant un risque) compte plus que sa forme exacte.</w:t>
      </w:r>
    </w:p>
    <w:bookmarkEnd w:id="50"/>
    <w:bookmarkStart w:id="51" w:name="Xdadf09672c41c89f630a19408b701b4beb68afc"/>
    <w:p>
      <w:pPr>
        <w:pStyle w:val="Heading2"/>
      </w:pPr>
      <w:r>
        <w:t xml:space="preserve">2.7 Comment ces trois processus s’articulent au quotidien</w:t>
      </w:r>
    </w:p>
    <w:p>
      <w:pPr>
        <w:pStyle w:val="FirstParagraph"/>
      </w:pPr>
      <w:r>
        <w:t xml:space="preserve">Un exemple concret permet de voir comment incident, problème et changement collaborent dans un scénario réaliste, dans la continuité directe de la journée type du chapitre 1 (section 1.5) :</w:t>
      </w:r>
    </w:p>
    <w:p>
      <w:pPr>
        <w:pStyle w:val="BodyText"/>
      </w:pPr>
      <w:r>
        <w:rPr>
          <w:b/>
          <w:bCs/>
        </w:rPr>
        <w:t xml:space="preserve">Lundi, 9h15</w:t>
      </w:r>
      <w:r>
        <w:t xml:space="preserve"> </w:t>
      </w:r>
      <w:r>
        <w:t xml:space="preserve">— Plusieurs utilisateurs signalent une lenteur sur l’application de gestion des sinistres. Un</w:t>
      </w:r>
      <w:r>
        <w:t xml:space="preserve"> </w:t>
      </w:r>
      <w:r>
        <w:rPr>
          <w:b/>
          <w:bCs/>
        </w:rPr>
        <w:t xml:space="preserve">incident</w:t>
      </w:r>
      <w:r>
        <w:t xml:space="preserve"> </w:t>
      </w:r>
      <w:r>
        <w:t xml:space="preserve">est ouvert, priorité moyenne (impact partiel, urgence modérée). Diagnostic rapide : redémarrage d’un service applicatif, le service revient à la normale. Incident clos.</w:t>
      </w:r>
    </w:p>
    <w:p>
      <w:pPr>
        <w:pStyle w:val="BodyText"/>
      </w:pPr>
      <w:r>
        <w:rPr>
          <w:b/>
          <w:bCs/>
        </w:rPr>
        <w:t xml:space="preserve">Mardi, 9h10</w:t>
      </w:r>
      <w:r>
        <w:t xml:space="preserve"> </w:t>
      </w:r>
      <w:r>
        <w:t xml:space="preserve">— Même symptôme signalé, même solution appliquée. Incident clos une nouvelle fois.</w:t>
      </w:r>
    </w:p>
    <w:p>
      <w:pPr>
        <w:pStyle w:val="BodyText"/>
      </w:pPr>
      <w:r>
        <w:rPr>
          <w:b/>
          <w:bCs/>
        </w:rPr>
        <w:t xml:space="preserve">Mercredi, 9h05</w:t>
      </w:r>
      <w:r>
        <w:t xml:space="preserve"> </w:t>
      </w:r>
      <w:r>
        <w:t xml:space="preserve">— Troisième occurrence. À ce stade, le réflexe correct (section 2.3, encadré mauvaise pratique) est d’ouvrir un</w:t>
      </w:r>
      <w:r>
        <w:t xml:space="preserve"> </w:t>
      </w:r>
      <w:r>
        <w:rPr>
          <w:b/>
          <w:bCs/>
        </w:rPr>
        <w:t xml:space="preserve">problème</w:t>
      </w:r>
      <w:r>
        <w:t xml:space="preserve"> </w:t>
      </w:r>
      <w:r>
        <w:t xml:space="preserve">:</w:t>
      </w:r>
      <w:r>
        <w:t xml:space="preserve"> </w:t>
      </w:r>
      <w:r>
        <w:rPr>
          <w:i/>
          <w:iCs/>
        </w:rPr>
        <w:t xml:space="preserve">“Pourquoi ce service ralentit-il systématiquement le matin ?”</w:t>
      </w:r>
      <w:r>
        <w:t xml:space="preserve"> </w:t>
      </w:r>
      <w:r>
        <w:t xml:space="preserve">— l’investigation révèle une tâche planifiée mal dimensionnée qui sature la mémoire du serveur chaque matin à 9h.</w:t>
      </w:r>
    </w:p>
    <w:p>
      <w:pPr>
        <w:pStyle w:val="BodyText"/>
      </w:pPr>
      <w:r>
        <w:rPr>
          <w:b/>
          <w:bCs/>
        </w:rPr>
        <w:t xml:space="preserve">Jeudi</w:t>
      </w:r>
      <w:r>
        <w:t xml:space="preserve"> </w:t>
      </w:r>
      <w:r>
        <w:t xml:space="preserve">— La cause racine identifiée, un</w:t>
      </w:r>
      <w:r>
        <w:t xml:space="preserve"> </w:t>
      </w:r>
      <w:r>
        <w:rPr>
          <w:b/>
          <w:bCs/>
        </w:rPr>
        <w:t xml:space="preserve">changement normal</w:t>
      </w:r>
      <w:r>
        <w:t xml:space="preserve"> </w:t>
      </w:r>
      <w:r>
        <w:t xml:space="preserve">est soumis : reconfigurer la tâche planifiée pour limiter sa consommation mémoire, avec un plan de retour arrière (remettre l’ancienne configuration si le comportement empire). Validé, planifié pour une fenêtre de maintenance le vendredi soir.</w:t>
      </w:r>
    </w:p>
    <w:p>
      <w:pPr>
        <w:pStyle w:val="BodyText"/>
      </w:pPr>
      <w:r>
        <w:rPr>
          <w:b/>
          <w:bCs/>
        </w:rPr>
        <w:t xml:space="preserve">Vendredi soir</w:t>
      </w:r>
      <w:r>
        <w:t xml:space="preserve"> </w:t>
      </w:r>
      <w:r>
        <w:t xml:space="preserve">— Le changement est exécuté, vérifié, documenté. Le problème peut être clos car sa cause racine a été corrigée définitivement — plus seulement contournée.</w:t>
      </w:r>
    </w:p>
    <w:bookmarkEnd w:id="51"/>
    <w:bookmarkStart w:id="52" w:name="atelier-incident-problème-ou-changement"/>
    <w:p>
      <w:pPr>
        <w:pStyle w:val="Heading2"/>
      </w:pPr>
      <w:r>
        <w:t xml:space="preserve">Atelier — Incident, problème ou changement ?</w:t>
      </w:r>
    </w:p>
    <w:p>
      <w:pPr>
        <w:pStyle w:val="FirstParagraph"/>
      </w:pPr>
      <w:r>
        <w:t xml:space="preserve">🛠️ Atelier 2 — Classer six situations</w:t>
      </w:r>
    </w:p>
    <w:p>
      <w:pPr>
        <w:pStyle w:val="BodyText"/>
      </w:pPr>
      <w:r>
        <w:rPr>
          <w:b/>
          <w:bCs/>
        </w:rPr>
        <w:t xml:space="preserve">Objectif</w:t>
      </w:r>
      <w:r>
        <w:t xml:space="preserve"> </w:t>
      </w:r>
      <w:r>
        <w:t xml:space="preserve">: s’entraîner à identifier immédiatement, face à une situation donnée, s’il s’agit d’un incident, d’un problème ou d’un changement — la compétence la plus directement transférable de ce chapitre vers ton futur poste.</w:t>
      </w:r>
    </w:p>
    <w:p>
      <w:pPr>
        <w:pStyle w:val="BodyText"/>
      </w:pPr>
      <w:r>
        <w:rPr>
          <w:b/>
          <w:bCs/>
        </w:rPr>
        <w:t xml:space="preserve">Préparation</w:t>
      </w:r>
      <w:r>
        <w:t xml:space="preserve"> </w:t>
      </w:r>
      <w:r>
        <w:t xml:space="preserve">: aucune installation nécessaire.</w:t>
      </w:r>
    </w:p>
    <w:p>
      <w:pPr>
        <w:pStyle w:val="BodyText"/>
      </w:pPr>
      <w:r>
        <w:rPr>
          <w:b/>
          <w:bCs/>
        </w:rPr>
        <w:t xml:space="preserve">Étapes détaillées</w:t>
      </w:r>
      <w:r>
        <w:t xml:space="preserve"> </w:t>
      </w:r>
      <w:r>
        <w:t xml:space="preserve">:</w:t>
      </w:r>
    </w:p>
    <w:p>
      <w:pPr>
        <w:pStyle w:val="Compact"/>
        <w:numPr>
          <w:ilvl w:val="0"/>
          <w:numId w:val="1032"/>
        </w:numPr>
      </w:pPr>
      <w:r>
        <w:t xml:space="preserve">Pour chacune des six situations suivantes, indique s’il s’agit d’un incident, d’un problème ou d’un changement, et justifie en une phrase :</w:t>
      </w:r>
    </w:p>
    <w:p>
      <w:pPr>
        <w:pStyle w:val="Compact"/>
        <w:numPr>
          <w:ilvl w:val="1"/>
          <w:numId w:val="1033"/>
        </w:numPr>
      </w:pPr>
    </w:p>
    <w:p>
      <w:pPr>
        <w:pStyle w:val="Compact"/>
        <w:numPr>
          <w:ilvl w:val="2"/>
          <w:numId w:val="1034"/>
        </w:numPr>
      </w:pPr>
      <w:r>
        <w:t xml:space="preserve">Un serveur de fichiers devient inaccessible pour tout un service à 14h.</w:t>
      </w:r>
    </w:p>
    <w:p>
      <w:pPr>
        <w:pStyle w:val="Compact"/>
        <w:numPr>
          <w:ilvl w:val="1"/>
          <w:numId w:val="1033"/>
        </w:numPr>
      </w:pPr>
    </w:p>
    <w:p>
      <w:pPr>
        <w:pStyle w:val="Compact"/>
        <w:numPr>
          <w:ilvl w:val="2"/>
          <w:numId w:val="1035"/>
        </w:numPr>
      </w:pPr>
      <w:r>
        <w:t xml:space="preserve">Une équipe demande la migration planifiée d’une application vers un nouveau serveur le mois prochain.</w:t>
      </w:r>
    </w:p>
    <w:p>
      <w:pPr>
        <w:pStyle w:val="Compact"/>
        <w:numPr>
          <w:ilvl w:val="1"/>
          <w:numId w:val="1033"/>
        </w:numPr>
      </w:pPr>
    </w:p>
    <w:p>
      <w:pPr>
        <w:pStyle w:val="Compact"/>
        <w:numPr>
          <w:ilvl w:val="2"/>
          <w:numId w:val="1036"/>
        </w:numPr>
      </w:pPr>
      <w:r>
        <w:t xml:space="preserve">Une analyse révèle que trois pannes du mois dernier partagent la même cause : un câble réseau défectueux dans une baie de brassage.</w:t>
      </w:r>
    </w:p>
    <w:p>
      <w:pPr>
        <w:pStyle w:val="Compact"/>
        <w:numPr>
          <w:ilvl w:val="1"/>
          <w:numId w:val="1033"/>
        </w:numPr>
      </w:pPr>
    </w:p>
    <w:p>
      <w:pPr>
        <w:pStyle w:val="Compact"/>
        <w:numPr>
          <w:ilvl w:val="2"/>
          <w:numId w:val="1037"/>
        </w:numPr>
      </w:pPr>
      <w:r>
        <w:t xml:space="preserve">Un utilisateur ne peut plus se connecter à son compte ce matin, cas isolé.</w:t>
      </w:r>
    </w:p>
    <w:p>
      <w:pPr>
        <w:pStyle w:val="Compact"/>
        <w:numPr>
          <w:ilvl w:val="1"/>
          <w:numId w:val="1033"/>
        </w:numPr>
      </w:pPr>
    </w:p>
    <w:p>
      <w:pPr>
        <w:pStyle w:val="Compact"/>
        <w:numPr>
          <w:ilvl w:val="2"/>
          <w:numId w:val="1038"/>
        </w:numPr>
      </w:pPr>
      <w:r>
        <w:t xml:space="preserve">L’équipe sécurité demande l’application immédiate d’un correctif critique activement exploité par des attaquants.</w:t>
      </w:r>
    </w:p>
    <w:p>
      <w:pPr>
        <w:pStyle w:val="Compact"/>
        <w:numPr>
          <w:ilvl w:val="1"/>
          <w:numId w:val="1033"/>
        </w:numPr>
      </w:pPr>
    </w:p>
    <w:p>
      <w:pPr>
        <w:pStyle w:val="Compact"/>
        <w:numPr>
          <w:ilvl w:val="2"/>
          <w:numId w:val="1039"/>
        </w:numPr>
      </w:pPr>
      <w:r>
        <w:t xml:space="preserve">Une enquête est ouverte pour comprendre pourquoi la sauvegarde nocturne échoue un jour sur trois depuis deux semaines, sans qu’aucun service n’ait encore été interrompu.</w:t>
      </w:r>
    </w:p>
    <w:p>
      <w:pPr>
        <w:pStyle w:val="Compact"/>
        <w:numPr>
          <w:ilvl w:val="0"/>
          <w:numId w:val="1032"/>
        </w:numPr>
      </w:pPr>
      <w:r>
        <w:t xml:space="preserve">Compare tes réponses à la section</w:t>
      </w:r>
      <w:r>
        <w:t xml:space="preserve"> </w:t>
      </w:r>
      <w:r>
        <w:t xml:space="preserve">“Résultat attendu”</w:t>
      </w:r>
      <w:r>
        <w:t xml:space="preserve"> </w:t>
      </w:r>
      <w:r>
        <w:t xml:space="preserve">ci-dessous.</w:t>
      </w:r>
    </w:p>
    <w:p>
      <w:pPr>
        <w:pStyle w:val="FirstParagraph"/>
      </w:pPr>
      <w:r>
        <w:rPr>
          <w:b/>
          <w:bCs/>
        </w:rPr>
        <w:t xml:space="preserve">Résultat attendu</w:t>
      </w:r>
      <w:r>
        <w:t xml:space="preserve"> </w:t>
      </w:r>
      <w:r>
        <w:t xml:space="preserve">:</w:t>
      </w:r>
      <w:r>
        <w:t xml:space="preserve"> </w:t>
      </w:r>
      <w:r>
        <w:t xml:space="preserve">- a)</w:t>
      </w:r>
      <w:r>
        <w:t xml:space="preserve"> </w:t>
      </w:r>
      <w:r>
        <w:rPr>
          <w:b/>
          <w:bCs/>
        </w:rPr>
        <w:t xml:space="preserve">Incident</w:t>
      </w:r>
      <w:r>
        <w:t xml:space="preserve"> </w:t>
      </w:r>
      <w:r>
        <w:t xml:space="preserve">— interruption non planifiée d’un service.</w:t>
      </w:r>
      <w:r>
        <w:t xml:space="preserve"> </w:t>
      </w:r>
      <w:r>
        <w:t xml:space="preserve">- b)</w:t>
      </w:r>
      <w:r>
        <w:t xml:space="preserve"> </w:t>
      </w:r>
      <w:r>
        <w:rPr>
          <w:b/>
          <w:bCs/>
        </w:rPr>
        <w:t xml:space="preserve">Changement</w:t>
      </w:r>
      <w:r>
        <w:t xml:space="preserve"> </w:t>
      </w:r>
      <w:r>
        <w:t xml:space="preserve">(normal) — action planifiée, à évaluer et valider avant exécution.</w:t>
      </w:r>
      <w:r>
        <w:t xml:space="preserve"> </w:t>
      </w:r>
      <w:r>
        <w:t xml:space="preserve">- c)</w:t>
      </w:r>
      <w:r>
        <w:t xml:space="preserve"> </w:t>
      </w:r>
      <w:r>
        <w:rPr>
          <w:b/>
          <w:bCs/>
        </w:rPr>
        <w:t xml:space="preserve">Problème</w:t>
      </w:r>
      <w:r>
        <w:t xml:space="preserve"> </w:t>
      </w:r>
      <w:r>
        <w:t xml:space="preserve">— recherche de cause racine commune à plusieurs incidents passés.</w:t>
      </w:r>
      <w:r>
        <w:t xml:space="preserve"> </w:t>
      </w:r>
      <w:r>
        <w:t xml:space="preserve">- d)</w:t>
      </w:r>
      <w:r>
        <w:t xml:space="preserve"> </w:t>
      </w:r>
      <w:r>
        <w:rPr>
          <w:b/>
          <w:bCs/>
        </w:rPr>
        <w:t xml:space="preserve">Incident</w:t>
      </w:r>
      <w:r>
        <w:t xml:space="preserve"> </w:t>
      </w:r>
      <w:r>
        <w:t xml:space="preserve">— interruption non planifiée, impact limité à un utilisateur.</w:t>
      </w:r>
      <w:r>
        <w:t xml:space="preserve"> </w:t>
      </w:r>
      <w:r>
        <w:t xml:space="preserve">- e)</w:t>
      </w:r>
      <w:r>
        <w:t xml:space="preserve"> </w:t>
      </w:r>
      <w:r>
        <w:rPr>
          <w:b/>
          <w:bCs/>
        </w:rPr>
        <w:t xml:space="preserve">Changement urgent</w:t>
      </w:r>
      <w:r>
        <w:t xml:space="preserve"> </w:t>
      </w:r>
      <w:r>
        <w:t xml:space="preserve">— action nécessaire, mais dont le délai est incompatible avec le circuit normal.</w:t>
      </w:r>
      <w:r>
        <w:t xml:space="preserve"> </w:t>
      </w:r>
      <w:r>
        <w:t xml:space="preserve">- f)</w:t>
      </w:r>
      <w:r>
        <w:t xml:space="preserve"> </w:t>
      </w:r>
      <w:r>
        <w:rPr>
          <w:b/>
          <w:bCs/>
        </w:rPr>
        <w:t xml:space="preserve">Problème proactif</w:t>
      </w:r>
      <w:r>
        <w:t xml:space="preserve"> </w:t>
      </w:r>
      <w:r>
        <w:t xml:space="preserve">— aucun service n’a encore été interrompu, mais un risque a été identifié et fait l’objet d’une investigation avant qu’un incident ne survienne.</w:t>
      </w:r>
    </w:p>
    <w:p>
      <w:pPr>
        <w:pStyle w:val="BodyText"/>
      </w:pPr>
      <w:r>
        <w:rPr>
          <w:b/>
          <w:bCs/>
        </w:rPr>
        <w:t xml:space="preserve">Dépannage</w:t>
      </w:r>
      <w:r>
        <w:t xml:space="preserve"> </w:t>
      </w:r>
      <w:r>
        <w:t xml:space="preserve">: si tu hésites entre incident et problème, pose-toi la question de la section 2.3 —</w:t>
      </w:r>
      <w:r>
        <w:t xml:space="preserve"> </w:t>
      </w:r>
      <w:r>
        <w:rPr>
          <w:i/>
          <w:iCs/>
        </w:rPr>
        <w:t xml:space="preserve">cherches-tu à rétablir un service maintenant, ou à comprendre une cause qui explique plusieurs situations ?</w:t>
      </w:r>
      <w:r>
        <w:t xml:space="preserve"> </w:t>
      </w:r>
      <w:r>
        <w:t xml:space="preserve">Si tu hésites entre incident et changement, demande-toi si la situation était</w:t>
      </w:r>
      <w:r>
        <w:t xml:space="preserve"> </w:t>
      </w:r>
      <w:r>
        <w:rPr>
          <w:b/>
          <w:bCs/>
        </w:rPr>
        <w:t xml:space="preserve">planifiée</w:t>
      </w:r>
      <w:r>
        <w:t xml:space="preserve"> </w:t>
      </w:r>
      <w:r>
        <w:t xml:space="preserve">(changement) ou</w:t>
      </w:r>
      <w:r>
        <w:t xml:space="preserve"> </w:t>
      </w:r>
      <w:r>
        <w:rPr>
          <w:b/>
          <w:bCs/>
        </w:rPr>
        <w:t xml:space="preserve">subie</w:t>
      </w:r>
      <w:r>
        <w:t xml:space="preserve"> </w:t>
      </w:r>
      <w:r>
        <w:t xml:space="preserve">(incident).</w:t>
      </w:r>
    </w:p>
    <w:bookmarkEnd w:id="52"/>
    <w:bookmarkStart w:id="53" w:name="erreurs-fréquentes-1"/>
    <w:p>
      <w:pPr>
        <w:pStyle w:val="Heading2"/>
      </w:pPr>
      <w:r>
        <w:t xml:space="preserve">Erreurs fréquentes</w:t>
      </w:r>
    </w:p>
    <w:p>
      <w:pPr>
        <w:pStyle w:val="FirstParagraph"/>
      </w:pPr>
      <w:r>
        <w:t xml:space="preserve">⚠️ Erreur n°1 — Confondre incident et problème</w:t>
      </w:r>
      <w:r>
        <w:t xml:space="preserve"> </w:t>
      </w:r>
      <w:r>
        <w:t xml:space="preserve">C’est, de loin, l’erreur la plus fréquente. Un moyen simple de trancher : un incident se ferme quand le service est rétabli, même sans connaître la cause exacte ; un problème ne se ferme que quand la cause racine est corrigée ou qu’une décision explicite est prise de vivre avec (un contournement documenté et accepté).</w:t>
      </w:r>
    </w:p>
    <w:p>
      <w:pPr>
        <w:pStyle w:val="BodyText"/>
      </w:pPr>
      <w:r>
        <w:t xml:space="preserve">⚠️ Erreur n°2 — Traiter tout changement comme un changement normal lourd</w:t>
      </w:r>
      <w:r>
        <w:t xml:space="preserve"> </w:t>
      </w:r>
      <w:r>
        <w:t xml:space="preserve">À l’inverse du scénario d’ouverture (aucune validation), une organisation peut basculer dans l’excès inverse : soumettre au CAB des changements triviaux et déjà éprouvés des dizaines de fois, ralentissant tout sans réduire de risque réel. C’est exactement ce que le principe directeur</w:t>
      </w:r>
      <w:r>
        <w:t xml:space="preserve"> </w:t>
      </w:r>
      <w:r>
        <w:t xml:space="preserve">“se concentrer sur la valeur”</w:t>
      </w:r>
      <w:r>
        <w:t xml:space="preserve"> </w:t>
      </w:r>
      <w:r>
        <w:t xml:space="preserve">(section 2.2) vise à éviter — un changement standard bien défini existe justement pour ces cas.</w:t>
      </w:r>
    </w:p>
    <w:p>
      <w:pPr>
        <w:pStyle w:val="BodyText"/>
      </w:pPr>
      <w:r>
        <w:t xml:space="preserve">⚠️ Erreur n°3 — Considérer ITIL comme une fin en soi</w:t>
      </w:r>
      <w:r>
        <w:t xml:space="preserve"> </w:t>
      </w:r>
      <w:r>
        <w:t xml:space="preserve">Suivre un processus à la lettre sans jamais se demander s’il sert encore son objectif réel est une dérive fréquente dans les grandes organisations (</w:t>
      </w:r>
      <w:r>
        <w:t xml:space="preserve">“c’est la procédure”</w:t>
      </w:r>
      <w:r>
        <w:t xml:space="preserve"> </w:t>
      </w:r>
      <w:r>
        <w:t xml:space="preserve">devient une réponse suffisante en soi). Un bon administrateur système applique ITIL parce qu’il en comprend la raison d’être (éviter les incidents comme celui du scénario d’ouverture), pas parce que</w:t>
      </w:r>
      <w:r>
        <w:t xml:space="preserve"> </w:t>
      </w:r>
      <w:r>
        <w:t xml:space="preserve">“c’est écrit qu’il faut faire comme ça”</w:t>
      </w:r>
      <w:r>
        <w:t xml:space="preserve">.</w:t>
      </w:r>
    </w:p>
    <w:bookmarkEnd w:id="53"/>
    <w:bookmarkStart w:id="54" w:name="X7c050bb3658f58696f76c5b069e1bb35f2cdf52"/>
    <w:p>
      <w:pPr>
        <w:pStyle w:val="Heading2"/>
      </w:pPr>
      <w:r>
        <w:t xml:space="preserve">Diagnostiquer : incident, problème ou changement ?</w:t>
      </w:r>
    </w:p>
    <w:p>
      <w:pPr>
        <w:pStyle w:val="FirstParagraph"/>
      </w:pPr>
      <w:r>
        <w:t xml:space="preserve">🩺 Situation :</w:t>
      </w:r>
      <w:r>
        <w:t xml:space="preserve"> </w:t>
      </w:r>
      <w:r>
        <w:t xml:space="preserve">“On ne sait pas si on doit ouvrir un incident ou un problème”</w:t>
      </w:r>
    </w:p>
    <w:p>
      <w:pPr>
        <w:pStyle w:val="Compact"/>
        <w:numPr>
          <w:ilvl w:val="0"/>
          <w:numId w:val="1040"/>
        </w:numPr>
      </w:pPr>
      <w:r>
        <w:rPr>
          <w:b/>
          <w:bCs/>
        </w:rPr>
        <w:t xml:space="preserve">Diagnostic</w:t>
      </w:r>
      <w:r>
        <w:t xml:space="preserve"> </w:t>
      </w:r>
      <w:r>
        <w:t xml:space="preserve">: pose la question de la section 2.3 — y a-t-il, en ce moment même, une interruption ou une dégradation de service ? Si oui, un incident existe déjà (ou doit être ouvert) indépendamment de la suite. La question du problème (la cause) est toujours secondaire par rapport au rétablissement du service.</w:t>
      </w:r>
    </w:p>
    <w:p>
      <w:pPr>
        <w:pStyle w:val="Compact"/>
        <w:numPr>
          <w:ilvl w:val="0"/>
          <w:numId w:val="1040"/>
        </w:numPr>
      </w:pPr>
      <w:r>
        <w:rPr>
          <w:b/>
          <w:bCs/>
        </w:rPr>
        <w:t xml:space="preserve">Comment vérifier</w:t>
      </w:r>
      <w:r>
        <w:t xml:space="preserve"> </w:t>
      </w:r>
      <w:r>
        <w:t xml:space="preserve">: si le service fonctionne normalement au moment où on se pose la question, mais qu’une inquiétude ou une tendance suspecte existe, c’est un problème proactif — pas un incident.</w:t>
      </w:r>
    </w:p>
    <w:p>
      <w:pPr>
        <w:pStyle w:val="Compact"/>
        <w:numPr>
          <w:ilvl w:val="0"/>
          <w:numId w:val="1040"/>
        </w:numPr>
      </w:pPr>
      <w:r>
        <w:rPr>
          <w:b/>
          <w:bCs/>
        </w:rPr>
        <w:t xml:space="preserve">Résolution</w:t>
      </w:r>
      <w:r>
        <w:t xml:space="preserve"> </w:t>
      </w:r>
      <w:r>
        <w:t xml:space="preserve">: dans le doute, ouvre toujours l’incident d’abord si un service est réellement affecté ; le lien vers un problème (nouveau ou existant) peut être établi ensuite, une fois le service rétabli.</w:t>
      </w:r>
    </w:p>
    <w:p>
      <w:pPr>
        <w:pStyle w:val="FirstParagraph"/>
      </w:pPr>
      <w:r>
        <w:t xml:space="preserve">🩺 Situation :</w:t>
      </w:r>
      <w:r>
        <w:t xml:space="preserve"> </w:t>
      </w:r>
      <w:r>
        <w:t xml:space="preserve">“Une modification semble mineure, faut-il vraiment ouvrir un changement ?”</w:t>
      </w:r>
    </w:p>
    <w:p>
      <w:pPr>
        <w:pStyle w:val="Compact"/>
        <w:numPr>
          <w:ilvl w:val="0"/>
          <w:numId w:val="1041"/>
        </w:numPr>
      </w:pPr>
      <w:r>
        <w:rPr>
          <w:b/>
          <w:bCs/>
        </w:rPr>
        <w:t xml:space="preserve">Diagnostic</w:t>
      </w:r>
      <w:r>
        <w:t xml:space="preserve"> </w:t>
      </w:r>
      <w:r>
        <w:t xml:space="preserve">: la question à se poser n’est jamais</w:t>
      </w:r>
      <w:r>
        <w:t xml:space="preserve"> </w:t>
      </w:r>
      <w:r>
        <w:t xml:space="preserve">“est-ce que ça prend du temps à documenter ?”</w:t>
      </w:r>
      <w:r>
        <w:t xml:space="preserve"> </w:t>
      </w:r>
      <w:r>
        <w:t xml:space="preserve">mais</w:t>
      </w:r>
      <w:r>
        <w:t xml:space="preserve"> </w:t>
      </w:r>
      <w:r>
        <w:rPr>
          <w:i/>
          <w:iCs/>
        </w:rPr>
        <w:t xml:space="preserve">“si cette action échoue, quel est l’impact réel ?”</w:t>
      </w:r>
      <w:r>
        <w:t xml:space="preserve"> </w:t>
      </w:r>
      <w:r>
        <w:t xml:space="preserve">— reprends le raisonnement de la section 1.6 du chapitre 1 (</w:t>
      </w:r>
      <w:r>
        <w:rPr>
          <w:i/>
          <w:iCs/>
        </w:rPr>
        <w:t xml:space="preserve">“qu’est-ce qui se passe si ça ne marche pas ?”</w:t>
      </w:r>
      <w:r>
        <w:t xml:space="preserve">).</w:t>
      </w:r>
    </w:p>
    <w:p>
      <w:pPr>
        <w:pStyle w:val="Compact"/>
        <w:numPr>
          <w:ilvl w:val="0"/>
          <w:numId w:val="1041"/>
        </w:numPr>
      </w:pPr>
      <w:r>
        <w:rPr>
          <w:b/>
          <w:bCs/>
        </w:rPr>
        <w:t xml:space="preserve">Comment vérifier</w:t>
      </w:r>
      <w:r>
        <w:t xml:space="preserve"> </w:t>
      </w:r>
      <w:r>
        <w:t xml:space="preserve">: si l’action touche un système de production partagé par plusieurs utilisateurs, la réponse est presque toujours oui, même pour une modification qui semble triviale — c’est exactement l’angle mort qui a produit l’incident du scénario d’ouverture.</w:t>
      </w:r>
    </w:p>
    <w:p>
      <w:pPr>
        <w:pStyle w:val="Compact"/>
        <w:numPr>
          <w:ilvl w:val="0"/>
          <w:numId w:val="1041"/>
        </w:numPr>
      </w:pPr>
      <w:r>
        <w:rPr>
          <w:b/>
          <w:bCs/>
        </w:rPr>
        <w:t xml:space="preserve">Résolution</w:t>
      </w:r>
      <w:r>
        <w:t xml:space="preserve"> </w:t>
      </w:r>
      <w:r>
        <w:t xml:space="preserve">: en cas de doute persistant, en parler à un collègue ou un responsable prend rarement plus de cinq minutes, et c’est précisément la</w:t>
      </w:r>
      <w:r>
        <w:t xml:space="preserve"> </w:t>
      </w:r>
      <w:r>
        <w:t xml:space="preserve">“paire d’yeux supplémentaire”</w:t>
      </w:r>
      <w:r>
        <w:t xml:space="preserve"> </w:t>
      </w:r>
      <w:r>
        <w:t xml:space="preserve">que le CAB formalise à plus grande échelle.</w:t>
      </w:r>
    </w:p>
    <w:bookmarkEnd w:id="54"/>
    <w:bookmarkStart w:id="55" w:name="en-entreprise-1"/>
    <w:p>
      <w:pPr>
        <w:pStyle w:val="Heading2"/>
      </w:pPr>
      <w:r>
        <w:t xml:space="preserve">En entreprise</w:t>
      </w:r>
    </w:p>
    <w:p>
      <w:pPr>
        <w:pStyle w:val="Compact"/>
        <w:numPr>
          <w:ilvl w:val="0"/>
          <w:numId w:val="1042"/>
        </w:numPr>
      </w:pPr>
      <w:r>
        <w:rPr>
          <w:b/>
          <w:bCs/>
        </w:rPr>
        <w:t xml:space="preserve">Bonne pratique répandue</w:t>
      </w:r>
      <w:r>
        <w:t xml:space="preserve"> </w:t>
      </w:r>
      <w:r>
        <w:t xml:space="preserve">: les organisations matures publient des statistiques régulières sur les incidents (nombre, durée moyenne de résolution, taux de récurrence) — pas pour blâmer une équipe, mais pour repérer objectivement où investir en gestion des problèmes.</w:t>
      </w:r>
    </w:p>
    <w:p>
      <w:pPr>
        <w:pStyle w:val="Compact"/>
        <w:numPr>
          <w:ilvl w:val="0"/>
          <w:numId w:val="1042"/>
        </w:numPr>
      </w:pPr>
      <w:r>
        <w:rPr>
          <w:b/>
          <w:bCs/>
        </w:rPr>
        <w:t xml:space="preserve">Bonne pratique répandue</w:t>
      </w:r>
      <w:r>
        <w:t xml:space="preserve"> </w:t>
      </w:r>
      <w:r>
        <w:t xml:space="preserve">: un changement standard n’est jamais créé</w:t>
      </w:r>
      <w:r>
        <w:t xml:space="preserve"> </w:t>
      </w:r>
      <w:r>
        <w:t xml:space="preserve">“à la légère”</w:t>
      </w:r>
      <w:r>
        <w:t xml:space="preserve"> </w:t>
      </w:r>
      <w:r>
        <w:t xml:space="preserve">— il résulte généralement de plusieurs changements normaux similaires, exécutés sans incident, qu’une équipe décide ensuite de pré-approuver pour accélérer le futur.</w:t>
      </w:r>
    </w:p>
    <w:p>
      <w:pPr>
        <w:pStyle w:val="Compact"/>
        <w:numPr>
          <w:ilvl w:val="0"/>
          <w:numId w:val="1042"/>
        </w:numPr>
      </w:pPr>
      <w:r>
        <w:rPr>
          <w:b/>
          <w:bCs/>
        </w:rPr>
        <w:t xml:space="preserve">Erreur classique observée</w:t>
      </w:r>
      <w:r>
        <w:t xml:space="preserve"> </w:t>
      </w:r>
      <w:r>
        <w:t xml:space="preserve">: une équipe qui adopte les noms ITIL (incident, problème, changement) dans son outil de tickets sans jamais réellement distinguer les processus dans la pratique — tout devient un</w:t>
      </w:r>
      <w:r>
        <w:t xml:space="preserve"> </w:t>
      </w:r>
      <w:r>
        <w:t xml:space="preserve">“ticket”</w:t>
      </w:r>
      <w:r>
        <w:t xml:space="preserve">, peu importe sa vraie nature, ce qui annule l’intérêt même du cadre.</w:t>
      </w:r>
    </w:p>
    <w:bookmarkEnd w:id="55"/>
    <w:bookmarkStart w:id="56" w:name="entretien-technique-1"/>
    <w:p>
      <w:pPr>
        <w:pStyle w:val="Heading2"/>
      </w:pPr>
      <w:r>
        <w:t xml:space="preserve">Entretien technique</w:t>
      </w:r>
    </w:p>
    <w:p>
      <w:pPr>
        <w:pStyle w:val="FirstParagraph"/>
      </w:pPr>
      <w:r>
        <w:t xml:space="preserve">💼 Questions fréquemment posées en entretien</w:t>
      </w:r>
    </w:p>
    <w:p>
      <w:pPr>
        <w:pStyle w:val="BodyText"/>
      </w:pPr>
      <w:r>
        <w:rPr>
          <w:b/>
          <w:bCs/>
        </w:rPr>
        <w:t xml:space="preserve">Q1.</w:t>
      </w:r>
      <w:r>
        <w:rPr>
          <w:b/>
          <w:bCs/>
        </w:rPr>
        <w:t xml:space="preserve"> </w:t>
      </w:r>
      <w:r>
        <w:rPr>
          <w:b/>
          <w:bCs/>
        </w:rPr>
        <w:t xml:space="preserve">“Quelle est la différence entre un incident et un problème selon ITIL ?”</w:t>
      </w:r>
      <w:r>
        <w:t xml:space="preserve"> </w:t>
      </w:r>
      <w:r>
        <w:t xml:space="preserve">Réponse attendue : un incident est une interruption ou dégradation non planifiée d’un service, dont l’objectif de traitement est le rétablissement rapide. Un problème est la cause sous-jacente d’un ou plusieurs incidents, dont l’objectif est d’empêcher la récurrence — pas nécessairement de résoudre vite.</w:t>
      </w:r>
      <w:r>
        <w:t xml:space="preserve"> </w:t>
      </w:r>
      <w:r>
        <w:rPr>
          <w:i/>
          <w:iCs/>
        </w:rPr>
        <w:t xml:space="preserve">Piège fréquent</w:t>
      </w:r>
      <w:r>
        <w:t xml:space="preserve"> </w:t>
      </w:r>
      <w:r>
        <w:t xml:space="preserve">: répondre uniquement</w:t>
      </w:r>
      <w:r>
        <w:t xml:space="preserve"> </w:t>
      </w:r>
      <w:r>
        <w:t xml:space="preserve">“c’est la même chose en plus grave”</w:t>
      </w:r>
      <w:r>
        <w:t xml:space="preserve"> </w:t>
      </w:r>
      <w:r>
        <w:t xml:space="preserve">trahit une confusion fondamentale entre gravité et nature du processus.</w:t>
      </w:r>
    </w:p>
    <w:p>
      <w:pPr>
        <w:pStyle w:val="BodyText"/>
      </w:pPr>
      <w:r>
        <w:rPr>
          <w:b/>
          <w:bCs/>
        </w:rPr>
        <w:t xml:space="preserve">Q2.</w:t>
      </w:r>
      <w:r>
        <w:rPr>
          <w:b/>
          <w:bCs/>
        </w:rPr>
        <w:t xml:space="preserve"> </w:t>
      </w:r>
      <w:r>
        <w:rPr>
          <w:b/>
          <w:bCs/>
        </w:rPr>
        <w:t xml:space="preserve">“Pourquoi une organisation distingue-t-elle changement standard, normal et urgent ?”</w:t>
      </w:r>
      <w:r>
        <w:t xml:space="preserve"> </w:t>
      </w:r>
      <w:r>
        <w:t xml:space="preserve">Réponse attendue : pour proportionner le niveau de contrôle au risque réel — un contrôle insuffisant sur un changement risqué (comme dans le scénario d’ouverture de ce chapitre) peut provoquer un incident majeur ; un contrôle excessif sur un changement trivial ralentit l’organisation sans bénéfice réel.</w:t>
      </w:r>
    </w:p>
    <w:p>
      <w:pPr>
        <w:pStyle w:val="BodyText"/>
      </w:pPr>
      <w:r>
        <w:rPr>
          <w:b/>
          <w:bCs/>
        </w:rPr>
        <w:t xml:space="preserve">Q3.</w:t>
      </w:r>
      <w:r>
        <w:rPr>
          <w:b/>
          <w:bCs/>
        </w:rPr>
        <w:t xml:space="preserve"> </w:t>
      </w:r>
      <w:r>
        <w:rPr>
          <w:b/>
          <w:bCs/>
        </w:rPr>
        <w:t xml:space="preserve">“As-tu déjà eu affaire à un processus de gestion du changement, même en dehors du travail ?”</w:t>
      </w:r>
      <w:r>
        <w:t xml:space="preserve"> </w:t>
      </w:r>
      <w:r>
        <w:t xml:space="preserve">Réponse attendue : le recruteur cherche ici une capacité à transposer le concept au-delà du jargon — par exemple, demander une validation avant de modifier un projet partagé, ou prévoir un plan B avant une action risquée dans un contexte personnel ou scolaire. L’important est de montrer que le principe est compris, pas seulement le vocabulaire ITIL.</w:t>
      </w:r>
    </w:p>
    <w:bookmarkEnd w:id="56"/>
    <w:bookmarkStart w:id="57" w:name="X281c6935e9ad5d5d757f82774936dab746e56d1"/>
    <w:p>
      <w:pPr>
        <w:pStyle w:val="Heading2"/>
      </w:pPr>
      <w:r>
        <w:t xml:space="preserve">Optimisation, sécurité et maintenabilité — les réflexes dès ce chapitre</w:t>
      </w:r>
    </w:p>
    <w:p>
      <w:pPr>
        <w:pStyle w:val="FirstParagraph"/>
      </w:pPr>
      <w:r>
        <w:t xml:space="preserve">🔒 Sécurité</w:t>
      </w:r>
      <w:r>
        <w:t xml:space="preserve"> </w:t>
      </w:r>
      <w:r>
        <w:t xml:space="preserve">Un changement qui touche des permissions, des règles de pare-feu ou des accès (même</w:t>
      </w:r>
      <w:r>
        <w:t xml:space="preserve"> </w:t>
      </w:r>
      <w:r>
        <w:t xml:space="preserve">“mineur”</w:t>
      </w:r>
      <w:r>
        <w:t xml:space="preserve"> </w:t>
      </w:r>
      <w:r>
        <w:t xml:space="preserve">en apparence) mérite toujours une revue par une seconde personne — le risque en cas d’erreur n’est pas seulement une panne, mais potentiellement une porte laissée ouverte. Ce réflexe sera repris concrètement dans la Partie 12 (cybersécurité et gouvernance).</w:t>
      </w:r>
    </w:p>
    <w:p>
      <w:pPr>
        <w:pStyle w:val="BodyText"/>
      </w:pPr>
      <w:r>
        <w:t xml:space="preserve">✅ Maintenabilité</w:t>
      </w:r>
      <w:r>
        <w:t xml:space="preserve"> </w:t>
      </w:r>
      <w:r>
        <w:t xml:space="preserve">Documente systématiquement le lien entre un incident et le problème correspondant quand il existe (la plupart des outils de tickets le permettent nativement). Sans ce lien explicite, l’historique d’un service devient illisible : personne ne peut plus répondre à la question</w:t>
      </w:r>
      <w:r>
        <w:t xml:space="preserve"> </w:t>
      </w:r>
      <w:r>
        <w:t xml:space="preserve">“cette panne, on l’a déjà eue ?”</w:t>
      </w:r>
      <w:r>
        <w:t xml:space="preserve"> </w:t>
      </w:r>
      <w:r>
        <w:t xml:space="preserve">sans repartir de zéro.</w:t>
      </w:r>
    </w:p>
    <w:p>
      <w:pPr>
        <w:pStyle w:val="BodyText"/>
      </w:pPr>
      <w:r>
        <w:t xml:space="preserve">🚀 Performance</w:t>
      </w:r>
      <w:r>
        <w:t xml:space="preserve"> </w:t>
      </w:r>
      <w:r>
        <w:t xml:space="preserve">Mesurer le</w:t>
      </w:r>
      <w:r>
        <w:t xml:space="preserve"> </w:t>
      </w:r>
      <w:r>
        <w:rPr>
          <w:b/>
          <w:bCs/>
        </w:rPr>
        <w:t xml:space="preserve">MTTR</w:t>
      </w:r>
      <w:r>
        <w:t xml:space="preserve"> </w:t>
      </w:r>
      <w:r>
        <w:t xml:space="preserve">(</w:t>
      </w:r>
      <w:r>
        <w:rPr>
          <w:i/>
          <w:iCs/>
        </w:rPr>
        <w:t xml:space="preserve">Mean Time To Resolve</w:t>
      </w:r>
      <w:r>
        <w:t xml:space="preserve">, temps moyen de résolution d’un incident) et le</w:t>
      </w:r>
      <w:r>
        <w:t xml:space="preserve"> </w:t>
      </w:r>
      <w:r>
        <w:rPr>
          <w:b/>
          <w:bCs/>
        </w:rPr>
        <w:t xml:space="preserve">taux de récurrence</w:t>
      </w:r>
      <w:r>
        <w:t xml:space="preserve"> </w:t>
      </w:r>
      <w:r>
        <w:t xml:space="preserve">(proportion d’incidents qui reviennent après une première résolution) donne une vision bien plus utile de la santé d’une infrastructure que le simple nombre brut d’incidents ouverts — deux métriques à connaître avant même d’aborder la supervision en profondeur (Partie 10).</w:t>
      </w:r>
    </w:p>
    <w:bookmarkEnd w:id="57"/>
    <w:bookmarkStart w:id="58" w:name="résumé-du-chapitre-1"/>
    <w:p>
      <w:pPr>
        <w:pStyle w:val="Heading2"/>
      </w:pPr>
      <w:r>
        <w:t xml:space="preserve">Résumé du chapitre</w:t>
      </w:r>
    </w:p>
    <w:p>
      <w:pPr>
        <w:pStyle w:val="Compact"/>
        <w:numPr>
          <w:ilvl w:val="0"/>
          <w:numId w:val="1043"/>
        </w:numPr>
      </w:pPr>
      <w:r>
        <w:t xml:space="preserve">ITIL v4 est un cadre de bonnes pratiques, pas une loi ni un logiciel — il donne un vocabulaire et des processus communs, adaptables à la taille de chaque organisation.</w:t>
      </w:r>
    </w:p>
    <w:p>
      <w:pPr>
        <w:pStyle w:val="Compact"/>
        <w:numPr>
          <w:ilvl w:val="0"/>
          <w:numId w:val="1043"/>
        </w:numPr>
      </w:pPr>
      <w:r>
        <w:t xml:space="preserve">Un</w:t>
      </w:r>
      <w:r>
        <w:t xml:space="preserve"> </w:t>
      </w:r>
      <w:r>
        <w:rPr>
          <w:b/>
          <w:bCs/>
        </w:rPr>
        <w:t xml:space="preserve">incident</w:t>
      </w:r>
      <w:r>
        <w:t xml:space="preserve"> </w:t>
      </w:r>
      <w:r>
        <w:t xml:space="preserve">est une interruption non planifiée, traité pour un rétablissement rapide ; un</w:t>
      </w:r>
      <w:r>
        <w:t xml:space="preserve"> </w:t>
      </w:r>
      <w:r>
        <w:rPr>
          <w:b/>
          <w:bCs/>
        </w:rPr>
        <w:t xml:space="preserve">problème</w:t>
      </w:r>
      <w:r>
        <w:t xml:space="preserve"> </w:t>
      </w:r>
      <w:r>
        <w:t xml:space="preserve">est la cause racine d’un ou plusieurs incidents, traité pour empêcher la récurrence ; un</w:t>
      </w:r>
      <w:r>
        <w:t xml:space="preserve"> </w:t>
      </w:r>
      <w:r>
        <w:rPr>
          <w:b/>
          <w:bCs/>
        </w:rPr>
        <w:t xml:space="preserve">changement</w:t>
      </w:r>
      <w:r>
        <w:t xml:space="preserve"> </w:t>
      </w:r>
      <w:r>
        <w:t xml:space="preserve">est une action planifiée, contrôlée selon son niveau de risque réel (standard, normal, urgent).</w:t>
      </w:r>
    </w:p>
    <w:p>
      <w:pPr>
        <w:pStyle w:val="Compact"/>
        <w:numPr>
          <w:ilvl w:val="0"/>
          <w:numId w:val="1043"/>
        </w:numPr>
      </w:pPr>
      <w:r>
        <w:t xml:space="preserve">La priorisation d’un incident croise impact et urgence, jamais l’un sans l’autre.</w:t>
      </w:r>
    </w:p>
    <w:p>
      <w:pPr>
        <w:pStyle w:val="Compact"/>
        <w:numPr>
          <w:ilvl w:val="0"/>
          <w:numId w:val="1043"/>
        </w:numPr>
      </w:pPr>
      <w:r>
        <w:t xml:space="preserve">Tout changement normal ou urgent doit inclure une évaluation du risque et un plan de retour arrière, quelle que soit sa simplicité apparente.</w:t>
      </w:r>
    </w:p>
    <w:p>
      <w:pPr>
        <w:pStyle w:val="Compact"/>
        <w:numPr>
          <w:ilvl w:val="0"/>
          <w:numId w:val="1043"/>
        </w:numPr>
      </w:pPr>
      <w:r>
        <w:t xml:space="preserve">Ces trois processus s’articulent naturellement dans le quotidien : un incident récurrent devient un problème, dont la résolution passe souvent par un changement contrôlé.</w:t>
      </w:r>
    </w:p>
    <w:bookmarkEnd w:id="58"/>
    <w:bookmarkStart w:id="59" w:name="quiz-1"/>
    <w:p>
      <w:pPr>
        <w:pStyle w:val="Heading2"/>
      </w:pPr>
      <w:r>
        <w:t xml:space="preserve">Quiz</w:t>
      </w:r>
    </w:p>
    <w:p>
      <w:pPr>
        <w:pStyle w:val="FirstParagraph"/>
      </w:pPr>
      <w:r>
        <w:t xml:space="preserve">📝 QCM (une seule bonne réponse par question)</w:t>
      </w:r>
    </w:p>
    <w:p>
      <w:pPr>
        <w:pStyle w:val="Compact"/>
        <w:numPr>
          <w:ilvl w:val="0"/>
          <w:numId w:val="1044"/>
        </w:numPr>
      </w:pPr>
      <w:r>
        <w:t xml:space="preserve">Un serveur devient inaccessible sans prévenir pour l’ensemble d’un service. C’est :</w:t>
      </w:r>
    </w:p>
    <w:p>
      <w:pPr>
        <w:pStyle w:val="Compact"/>
        <w:numPr>
          <w:ilvl w:val="1"/>
          <w:numId w:val="1045"/>
        </w:numPr>
      </w:pPr>
    </w:p>
    <w:p>
      <w:pPr>
        <w:pStyle w:val="Compact"/>
        <w:numPr>
          <w:ilvl w:val="2"/>
          <w:numId w:val="1046"/>
        </w:numPr>
      </w:pPr>
      <w:r>
        <w:t xml:space="preserve">Un problème</w:t>
      </w:r>
    </w:p>
    <w:p>
      <w:pPr>
        <w:pStyle w:val="Compact"/>
        <w:numPr>
          <w:ilvl w:val="1"/>
          <w:numId w:val="1045"/>
        </w:numPr>
      </w:pPr>
    </w:p>
    <w:p>
      <w:pPr>
        <w:pStyle w:val="Compact"/>
        <w:numPr>
          <w:ilvl w:val="2"/>
          <w:numId w:val="1047"/>
        </w:numPr>
      </w:pPr>
      <w:r>
        <w:t xml:space="preserve">Un changement urgent</w:t>
      </w:r>
    </w:p>
    <w:p>
      <w:pPr>
        <w:pStyle w:val="Compact"/>
        <w:numPr>
          <w:ilvl w:val="1"/>
          <w:numId w:val="1045"/>
        </w:numPr>
      </w:pPr>
    </w:p>
    <w:p>
      <w:pPr>
        <w:pStyle w:val="Compact"/>
        <w:numPr>
          <w:ilvl w:val="2"/>
          <w:numId w:val="1048"/>
        </w:numPr>
      </w:pPr>
      <w:r>
        <w:t xml:space="preserve">Un incident</w:t>
      </w:r>
    </w:p>
    <w:p>
      <w:pPr>
        <w:pStyle w:val="Compact"/>
        <w:numPr>
          <w:ilvl w:val="1"/>
          <w:numId w:val="1045"/>
        </w:numPr>
      </w:pPr>
    </w:p>
    <w:p>
      <w:pPr>
        <w:pStyle w:val="Compact"/>
        <w:numPr>
          <w:ilvl w:val="2"/>
          <w:numId w:val="1049"/>
        </w:numPr>
      </w:pPr>
      <w:r>
        <w:t xml:space="preserve">Un changement standard</w:t>
      </w:r>
    </w:p>
    <w:p>
      <w:pPr>
        <w:pStyle w:val="Compact"/>
        <w:numPr>
          <w:ilvl w:val="0"/>
          <w:numId w:val="1044"/>
        </w:numPr>
      </w:pPr>
      <w:r>
        <w:t xml:space="preserve">L’objectif principal de la gestion des problèmes est de :</w:t>
      </w:r>
    </w:p>
    <w:p>
      <w:pPr>
        <w:pStyle w:val="Compact"/>
        <w:numPr>
          <w:ilvl w:val="1"/>
          <w:numId w:val="1050"/>
        </w:numPr>
      </w:pPr>
    </w:p>
    <w:p>
      <w:pPr>
        <w:pStyle w:val="Compact"/>
        <w:numPr>
          <w:ilvl w:val="2"/>
          <w:numId w:val="1051"/>
        </w:numPr>
      </w:pPr>
      <w:r>
        <w:t xml:space="preserve">Rétablir un service le plus vite possible</w:t>
      </w:r>
    </w:p>
    <w:p>
      <w:pPr>
        <w:pStyle w:val="Compact"/>
        <w:numPr>
          <w:ilvl w:val="1"/>
          <w:numId w:val="1050"/>
        </w:numPr>
      </w:pPr>
    </w:p>
    <w:p>
      <w:pPr>
        <w:pStyle w:val="Compact"/>
        <w:numPr>
          <w:ilvl w:val="2"/>
          <w:numId w:val="1052"/>
        </w:numPr>
      </w:pPr>
      <w:r>
        <w:t xml:space="preserve">Comprendre une cause racine et empêcher la récurrence</w:t>
      </w:r>
    </w:p>
    <w:p>
      <w:pPr>
        <w:pStyle w:val="Compact"/>
        <w:numPr>
          <w:ilvl w:val="1"/>
          <w:numId w:val="1050"/>
        </w:numPr>
      </w:pPr>
    </w:p>
    <w:p>
      <w:pPr>
        <w:pStyle w:val="Compact"/>
        <w:numPr>
          <w:ilvl w:val="2"/>
          <w:numId w:val="1053"/>
        </w:numPr>
      </w:pPr>
      <w:r>
        <w:t xml:space="preserve">Valider une modification avant exécution</w:t>
      </w:r>
    </w:p>
    <w:p>
      <w:pPr>
        <w:pStyle w:val="Compact"/>
        <w:numPr>
          <w:ilvl w:val="1"/>
          <w:numId w:val="1050"/>
        </w:numPr>
      </w:pPr>
    </w:p>
    <w:p>
      <w:pPr>
        <w:pStyle w:val="Compact"/>
        <w:numPr>
          <w:ilvl w:val="2"/>
          <w:numId w:val="1054"/>
        </w:numPr>
      </w:pPr>
      <w:r>
        <w:t xml:space="preserve">Fermer le plus de tickets possible</w:t>
      </w:r>
    </w:p>
    <w:p>
      <w:pPr>
        <w:pStyle w:val="Compact"/>
        <w:numPr>
          <w:ilvl w:val="0"/>
          <w:numId w:val="1044"/>
        </w:numPr>
      </w:pPr>
      <w:r>
        <w:t xml:space="preserve">Un changement standard se caractérise par :</w:t>
      </w:r>
    </w:p>
    <w:p>
      <w:pPr>
        <w:pStyle w:val="Compact"/>
        <w:numPr>
          <w:ilvl w:val="1"/>
          <w:numId w:val="1055"/>
        </w:numPr>
      </w:pPr>
    </w:p>
    <w:p>
      <w:pPr>
        <w:pStyle w:val="Compact"/>
        <w:numPr>
          <w:ilvl w:val="2"/>
          <w:numId w:val="1056"/>
        </w:numPr>
      </w:pPr>
      <w:r>
        <w:t xml:space="preserve">Un risque élevé et une nouveauté totale</w:t>
      </w:r>
    </w:p>
    <w:p>
      <w:pPr>
        <w:pStyle w:val="Compact"/>
        <w:numPr>
          <w:ilvl w:val="1"/>
          <w:numId w:val="1055"/>
        </w:numPr>
      </w:pPr>
    </w:p>
    <w:p>
      <w:pPr>
        <w:pStyle w:val="Compact"/>
        <w:numPr>
          <w:ilvl w:val="2"/>
          <w:numId w:val="1057"/>
        </w:numPr>
      </w:pPr>
      <w:r>
        <w:t xml:space="preserve">Une procédure déjà éprouvée et pré-approuvée, à faible risque</w:t>
      </w:r>
    </w:p>
    <w:p>
      <w:pPr>
        <w:pStyle w:val="Compact"/>
        <w:numPr>
          <w:ilvl w:val="1"/>
          <w:numId w:val="1055"/>
        </w:numPr>
      </w:pPr>
    </w:p>
    <w:p>
      <w:pPr>
        <w:pStyle w:val="Compact"/>
        <w:numPr>
          <w:ilvl w:val="2"/>
          <w:numId w:val="1058"/>
        </w:numPr>
      </w:pPr>
      <w:r>
        <w:t xml:space="preserve">L’absence de toute trace écrite</w:t>
      </w:r>
    </w:p>
    <w:p>
      <w:pPr>
        <w:pStyle w:val="Compact"/>
        <w:numPr>
          <w:ilvl w:val="1"/>
          <w:numId w:val="1055"/>
        </w:numPr>
      </w:pPr>
    </w:p>
    <w:p>
      <w:pPr>
        <w:pStyle w:val="Compact"/>
        <w:numPr>
          <w:ilvl w:val="2"/>
          <w:numId w:val="1059"/>
        </w:numPr>
      </w:pPr>
      <w:r>
        <w:t xml:space="preserve">Une validation systématique par le CAB avant chaque exécution</w:t>
      </w:r>
    </w:p>
    <w:p>
      <w:pPr>
        <w:pStyle w:val="FirstParagraph"/>
      </w:pPr>
      <w:r>
        <w:rPr>
          <w:b/>
          <w:bCs/>
        </w:rPr>
        <w:t xml:space="preserve">Corrigé</w:t>
      </w:r>
      <w:r>
        <w:t xml:space="preserve"> </w:t>
      </w:r>
      <w:r>
        <w:t xml:space="preserve">: 1-c, 2-b, 3-b.</w:t>
      </w:r>
    </w:p>
    <w:p>
      <w:pPr>
        <w:pStyle w:val="BodyText"/>
      </w:pPr>
      <w:r>
        <w:t xml:space="preserve">📝 Vrai ou Faux</w:t>
      </w:r>
    </w:p>
    <w:p>
      <w:pPr>
        <w:pStyle w:val="Compact"/>
        <w:numPr>
          <w:ilvl w:val="0"/>
          <w:numId w:val="1060"/>
        </w:numPr>
      </w:pPr>
      <w:r>
        <w:t xml:space="preserve">Un changement urgent signifie qu’aucune validation n’est nécessaire. —</w:t>
      </w:r>
      <w:r>
        <w:t xml:space="preserve"> </w:t>
      </w:r>
      <w:r>
        <w:rPr>
          <w:b/>
          <w:bCs/>
        </w:rPr>
        <w:t xml:space="preserve">Faux</w:t>
      </w:r>
      <w:r>
        <w:t xml:space="preserve"> </w:t>
      </w:r>
      <w:r>
        <w:t xml:space="preserve">(la validation est accélérée, pas supprimée).</w:t>
      </w:r>
    </w:p>
    <w:p>
      <w:pPr>
        <w:pStyle w:val="Compact"/>
        <w:numPr>
          <w:ilvl w:val="0"/>
          <w:numId w:val="1060"/>
        </w:numPr>
      </w:pPr>
      <w:r>
        <w:t xml:space="preserve">Un incident peut être clos sans connaître sa cause racine exacte. —</w:t>
      </w:r>
      <w:r>
        <w:t xml:space="preserve"> </w:t>
      </w:r>
      <w:r>
        <w:rPr>
          <w:b/>
          <w:bCs/>
        </w:rPr>
        <w:t xml:space="preserve">Vrai</w:t>
      </w:r>
      <w:r>
        <w:t xml:space="preserve"> </w:t>
      </w:r>
      <w:r>
        <w:t xml:space="preserve">(c’est le rôle de la gestion des problèmes de creuser cette cause, séparément).</w:t>
      </w:r>
    </w:p>
    <w:p>
      <w:pPr>
        <w:pStyle w:val="Compact"/>
        <w:numPr>
          <w:ilvl w:val="0"/>
          <w:numId w:val="1060"/>
        </w:numPr>
      </w:pPr>
      <w:r>
        <w:t xml:space="preserve">La priorisation d’un incident dépend uniquement de sa gravité technique. —</w:t>
      </w:r>
      <w:r>
        <w:t xml:space="preserve"> </w:t>
      </w:r>
      <w:r>
        <w:rPr>
          <w:b/>
          <w:bCs/>
        </w:rPr>
        <w:t xml:space="preserve">Faux</w:t>
      </w:r>
      <w:r>
        <w:t xml:space="preserve"> </w:t>
      </w:r>
      <w:r>
        <w:t xml:space="preserve">(elle croise impact et urgence).</w:t>
      </w:r>
    </w:p>
    <w:p>
      <w:pPr>
        <w:pStyle w:val="Compact"/>
        <w:numPr>
          <w:ilvl w:val="0"/>
          <w:numId w:val="1060"/>
        </w:numPr>
      </w:pPr>
      <w:r>
        <w:t xml:space="preserve">Une base des erreurs connues (KEDB) sert à accélérer le diagnostic de nouveaux incidents ressemblant à des cas déjà documentés. —</w:t>
      </w:r>
      <w:r>
        <w:t xml:space="preserve"> </w:t>
      </w:r>
      <w:r>
        <w:rPr>
          <w:b/>
          <w:bCs/>
        </w:rPr>
        <w:t xml:space="preserve">Vrai</w:t>
      </w:r>
      <w:r>
        <w:t xml:space="preserve">.</w:t>
      </w:r>
    </w:p>
    <w:p>
      <w:pPr>
        <w:pStyle w:val="FirstParagraph"/>
      </w:pPr>
      <w:r>
        <w:t xml:space="preserve">📝 Questions ouvertes</w:t>
      </w:r>
    </w:p>
    <w:p>
      <w:pPr>
        <w:pStyle w:val="Compact"/>
        <w:numPr>
          <w:ilvl w:val="0"/>
          <w:numId w:val="1061"/>
        </w:numPr>
      </w:pPr>
      <w:r>
        <w:t xml:space="preserve">Explique, avec tes propres mots, pourquoi fermer un incident ne veut pas dire que le travail est terminé.</w:t>
      </w:r>
    </w:p>
    <w:p>
      <w:pPr>
        <w:pStyle w:val="Compact"/>
        <w:numPr>
          <w:ilvl w:val="0"/>
          <w:numId w:val="1061"/>
        </w:numPr>
      </w:pPr>
      <w:r>
        <w:t xml:space="preserve">Reprends l’incident du scénario d’ouverture (le redémarrage de serveur non validé un vendredi). Explique quelles étapes du processus de gestion du changement, si elles avaient existé à l’époque, auraient pu éviter les 14 heures d’interruption.</w:t>
      </w:r>
    </w:p>
    <w:p>
      <w:pPr>
        <w:pStyle w:val="FirstParagraph"/>
      </w:pPr>
      <w:r>
        <w:rPr>
          <w:b/>
          <w:bCs/>
        </w:rPr>
        <w:t xml:space="preserve">Corrigé 1</w:t>
      </w:r>
      <w:r>
        <w:t xml:space="preserve"> </w:t>
      </w:r>
      <w:r>
        <w:t xml:space="preserve">: fermer un incident signifie que le service est rétabli pour les utilisateurs — mais si l’incident fait partie d’une récurrence, ou si sa cause racine reste inconnue, le travail réel (comprendre pourquoi, via la gestion des problèmes) continue séparément. Un incident fermé sans investigation de fond, en cas de récurrence, revient inévitablement.</w:t>
      </w:r>
    </w:p>
    <w:p>
      <w:pPr>
        <w:pStyle w:val="BodyText"/>
      </w:pPr>
      <w:r>
        <w:rPr>
          <w:b/>
          <w:bCs/>
        </w:rPr>
        <w:t xml:space="preserve">Corrigé 2</w:t>
      </w:r>
      <w:r>
        <w:t xml:space="preserve"> </w:t>
      </w:r>
      <w:r>
        <w:t xml:space="preserve">: une évaluation du risque aurait identifié qu’une intervention en production un vendredi après-midi, sans fenêtre de maintenance annoncée, présentait un risque élevé compte tenu de l’absence de supervision le week-end. Une revue par une seconde personne (même informelle) aurait probablement demandé un plan de retour arrière avant l’action — or aucun n’existait, ce qui explique directement pourquoi le serveur</w:t>
      </w:r>
      <w:r>
        <w:t xml:space="preserve"> </w:t>
      </w:r>
      <w:r>
        <w:t xml:space="preserve">“n’est jamais revenu proprement”</w:t>
      </w:r>
      <w:r>
        <w:t xml:space="preserve">. Une simple communication préalable (</w:t>
      </w:r>
      <w:r>
        <w:t xml:space="preserve">“je fais ceci, voici comment annuler si ça tourne mal”</w:t>
      </w:r>
      <w:r>
        <w:t xml:space="preserve">) aurait permis à un collègue de réagir bien plus vite le samedi, au lieu de chercher à joindre</w:t>
      </w:r>
      <w:r>
        <w:t xml:space="preserve"> </w:t>
      </w:r>
      <w:r>
        <w:t xml:space="preserve">“quelqu’un qui savait ce qui s’était passé”</w:t>
      </w:r>
      <w:r>
        <w:t xml:space="preserve">.</w:t>
      </w:r>
    </w:p>
    <w:bookmarkEnd w:id="59"/>
    <w:bookmarkStart w:id="60" w:name="exercices-1"/>
    <w:p>
      <w:pPr>
        <w:pStyle w:val="Heading2"/>
      </w:pPr>
      <w:r>
        <w:t xml:space="preserve">Exercices</w:t>
      </w:r>
    </w:p>
    <w:p>
      <w:pPr>
        <w:pStyle w:val="FirstParagraph"/>
      </w:pPr>
      <w:r>
        <w:t xml:space="preserve">📝 Exercice 2.1</w:t>
      </w:r>
    </w:p>
    <w:p>
      <w:pPr>
        <w:pStyle w:val="BodyText"/>
      </w:pPr>
      <w:r>
        <w:t xml:space="preserve">Un serveur d’impression tombe en panne trois fois en un mois, toujours résolu par un simple redémarrage en moins de 10 minutes. Explique pourquoi, malgré la rapidité de résolution de chaque incident individuel, cette situation mérite d’ouvrir un problème.</w:t>
      </w:r>
    </w:p>
    <w:p>
      <w:pPr>
        <w:pStyle w:val="BodyText"/>
      </w:pPr>
      <w:r>
        <w:rPr>
          <w:b/>
          <w:bCs/>
        </w:rPr>
        <w:t xml:space="preserve">Corrigé :</w:t>
      </w:r>
      <w:r>
        <w:t xml:space="preserve"> </w:t>
      </w:r>
      <w:r>
        <w:t xml:space="preserve">Chaque redémarrage individuel traite le symptôme (le service est interrompu) mais jamais la cause. Trois occurrences en un mois indiquent une cause récurrente non identifiée (fuite mémoire, tâche planifiée mal configurée, matériel défaillant…). Sans ouvrir un problème, l’équipe continuera indéfiniment à répéter la même résolution rapide, sans jamais réduire le nombre total d’interruptions subies par les utilisateurs — même si chaque interruption individuelle semble</w:t>
      </w:r>
      <w:r>
        <w:t xml:space="preserve"> </w:t>
      </w:r>
      <w:r>
        <w:t xml:space="preserve">“sans gravité”</w:t>
      </w:r>
      <w:r>
        <w:t xml:space="preserve">.</w:t>
      </w:r>
    </w:p>
    <w:p>
      <w:pPr>
        <w:pStyle w:val="BodyText"/>
      </w:pPr>
      <w:r>
        <w:t xml:space="preserve">📝 Exercice 2.2</w:t>
      </w:r>
    </w:p>
    <w:p>
      <w:pPr>
        <w:pStyle w:val="BodyText"/>
      </w:pPr>
      <w:r>
        <w:t xml:space="preserve">Reprends l’articulation incident → problème → changement de la section 2.7. Rédige, en 4 à 6 phrases, un scénario équivalent mais appliqué à un contexte que tu connais bien (un contexte scolaire, personnel, ou une autre entreprise) — un incident répété, un problème ouvert pour en chercher la cause, puis un changement pour corriger définitivement.</w:t>
      </w:r>
    </w:p>
    <w:p>
      <w:pPr>
        <w:pStyle w:val="BodyText"/>
      </w:pPr>
      <w:r>
        <w:rPr>
          <w:b/>
          <w:bCs/>
        </w:rPr>
        <w:t xml:space="preserve">Corrigé (exemple de réponse) :</w:t>
      </w:r>
      <w:r>
        <w:t xml:space="preserve"> </w:t>
      </w:r>
      <w:r>
        <w:t xml:space="preserve">Le Wi-Fi d’une salle de classe universitaire coupe systématiquement vers 14h chaque mardi (incident répété). Après la troisième occurrence, un problème est ouvert pour comprendre pourquoi ce créneau précis pose systématiquement problème. L’investigation révèle que le point d’accès Wi-Fi de la salle voisine, utilisé à ce moment-là pour un cours pratique avec beaucoup d’appareils connectés, sature le canal radio partagé. Un changement normal est alors planifié : reconfigurer les deux points d’accès sur des canaux radio distincts, avec un test de validation après la modification et un plan de retour arrière (remettre l’ancienne configuration) si le problème persiste après le changement.</w:t>
      </w:r>
    </w:p>
    <w:bookmarkEnd w:id="60"/>
    <w:bookmarkStart w:id="61" w:name="checklist-de-fin-de-chapitre-1"/>
    <w:p>
      <w:pPr>
        <w:pStyle w:val="Heading2"/>
      </w:pPr>
      <w:r>
        <w:t xml:space="preserve">Checklist de fin de chapitre</w:t>
      </w:r>
    </w:p>
    <w:p>
      <w:pPr>
        <w:pStyle w:val="FirstParagraph"/>
      </w:pPr>
      <w:r>
        <w:t xml:space="preserve">☐ Je peux définir ITIL sans dire</w:t>
      </w:r>
      <w:r>
        <w:t xml:space="preserve"> </w:t>
      </w:r>
      <w:r>
        <w:t xml:space="preserve">“c’est une certification”</w:t>
      </w:r>
      <w:r>
        <w:t xml:space="preserve"> </w:t>
      </w:r>
      <w:r>
        <w:t xml:space="preserve">ou</w:t>
      </w:r>
      <w:r>
        <w:t xml:space="preserve"> </w:t>
      </w:r>
      <w:r>
        <w:t xml:space="preserve">“c’est un logiciel”</w:t>
      </w:r>
      <w:r>
        <w:t xml:space="preserve">.</w:t>
      </w:r>
    </w:p>
    <w:p>
      <w:pPr>
        <w:pStyle w:val="BodyText"/>
      </w:pPr>
      <w:r>
        <w:t xml:space="preserve">☐ Je sais distinguer sans hésitation un incident, un problème et un changement.</w:t>
      </w:r>
    </w:p>
    <w:p>
      <w:pPr>
        <w:pStyle w:val="BodyText"/>
      </w:pPr>
      <w:r>
        <w:t xml:space="preserve">☐ Je comprends comment la priorité d’un incident se calcule (impact × urgence).</w:t>
      </w:r>
    </w:p>
    <w:p>
      <w:pPr>
        <w:pStyle w:val="BodyText"/>
      </w:pPr>
      <w:r>
        <w:t xml:space="preserve">☐ Je connais les trois types de changement (standard, normal, urgent) et leur niveau de contrôle respectif.</w:t>
      </w:r>
    </w:p>
    <w:p>
      <w:pPr>
        <w:pStyle w:val="BodyText"/>
      </w:pPr>
      <w:r>
        <w:t xml:space="preserve">☐ Je sais pourquoi un plan de retour arrière est indispensable avant tout changement à risque réel.</w:t>
      </w:r>
    </w:p>
    <w:p>
      <w:pPr>
        <w:pStyle w:val="BodyText"/>
      </w:pPr>
      <w:r>
        <w:t xml:space="preserve">☐ Je comprends le rôle d’une base des erreurs connues (KEDB).</w:t>
      </w:r>
    </w:p>
    <w:p>
      <w:pPr>
        <w:pStyle w:val="BodyText"/>
      </w:pPr>
      <w:r>
        <w:t xml:space="preserve">☐ Je sais expliquer, à partir d’un exemple concret, comment incident, problème et changement s’articulent dans le temps.</w:t>
      </w:r>
    </w:p>
    <w:bookmarkEnd w:id="61"/>
    <w:bookmarkStart w:id="62" w:name="faq-1"/>
    <w:p>
      <w:pPr>
        <w:pStyle w:val="Heading2"/>
      </w:pPr>
      <w:r>
        <w:t xml:space="preserve">FAQ</w:t>
      </w:r>
    </w:p>
    <w:p>
      <w:pPr>
        <w:pStyle w:val="FirstParagraph"/>
      </w:pPr>
      <w:r>
        <w:t xml:space="preserve">Dois-je passer une certification ITIL Foundation pour travailler comme administrateur système ?</w:t>
      </w:r>
    </w:p>
    <w:p>
      <w:pPr>
        <w:pStyle w:val="BodyText"/>
      </w:pPr>
      <w:r>
        <w:t xml:space="preserve">Non, ce n’est presque jamais un prérequis strict pour un poste junior. C’est en revanche un atout reconnu sur un CV, et la certification la plus répandue dans le métier reste ITIL v4 Foundation — un bon objectif à envisager après quelques mois d’expérience pratique, une fois les concepts de ce chapitre déjà vécus sur le terrain.</w:t>
      </w:r>
    </w:p>
    <w:p>
      <w:pPr>
        <w:pStyle w:val="BodyText"/>
      </w:pPr>
      <w:r>
        <w:t xml:space="preserve">ITIL v3 est-il complètement obsolète maintenant qu’ITIL v4 existe ?</w:t>
      </w:r>
    </w:p>
    <w:p>
      <w:pPr>
        <w:pStyle w:val="BodyText"/>
      </w:pPr>
      <w:r>
        <w:t xml:space="preserve">Non. Une part importante des organisations utilise encore un vocabulaire et des processus hérités d’ITIL v3 (souvent appelés</w:t>
      </w:r>
      <w:r>
        <w:t xml:space="preserve"> </w:t>
      </w:r>
      <w:r>
        <w:t xml:space="preserve">“processus”</w:t>
      </w:r>
      <w:r>
        <w:t xml:space="preserve"> </w:t>
      </w:r>
      <w:r>
        <w:t xml:space="preserve">plutôt que</w:t>
      </w:r>
      <w:r>
        <w:t xml:space="preserve"> </w:t>
      </w:r>
      <w:r>
        <w:t xml:space="preserve">“pratiques”</w:t>
      </w:r>
      <w:r>
        <w:t xml:space="preserve">). Les concepts fondamentaux de ce chapitre (incident, problème, changement) restent quasiment identiques entre les deux versions — ITIL v4 a surtout fait évoluer la structure globale (le Système de Valeur des Services) et l’esprit plus flexible du cadre.</w:t>
      </w:r>
    </w:p>
    <w:p>
      <w:pPr>
        <w:pStyle w:val="BodyText"/>
      </w:pPr>
      <w:r>
        <w:t xml:space="preserve">Une toute petite entreprise a-t-elle vraiment besoin d’un CAB formel ?</w:t>
      </w:r>
    </w:p>
    <w:p>
      <w:pPr>
        <w:pStyle w:val="BodyText"/>
      </w:pPr>
      <w:r>
        <w:t xml:space="preserve">Non, et ce serait probablement disproportionné pour une équipe de deux ou trois personnes, comme évoqué en section 2.6. L’esprit du processus — une validation avant un risque réel, un plan de retour arrière — reste pertinent à toute taille d’organisation, seule sa formalisation doit s’adapter.</w:t>
      </w:r>
    </w:p>
    <w:p>
      <w:pPr>
        <w:pStyle w:val="BodyText"/>
      </w:pPr>
      <w:r>
        <w:t xml:space="preserve">Que se passe-t-il si un changement, bien validé, échoue quand même ?</w:t>
      </w:r>
    </w:p>
    <w:p>
      <w:pPr>
        <w:pStyle w:val="BodyText"/>
      </w:pPr>
      <w:r>
        <w:t xml:space="preserve">C’est précisément la raison d’être du plan de retour arrière préparé à l’avance (section 2.6) : revenir à l’état précédent de façon maîtrisée, puis ouvrir un nouvel incident si le service reste affecté le temps du retour arrière, et éventuellement un problème si la cause de l’échec doit être comprise avant une nouvelle tentative.</w:t>
      </w:r>
    </w:p>
    <w:bookmarkEnd w:id="62"/>
    <w:bookmarkStart w:id="65" w:name="références-et-pour-aller-plus-loin-1"/>
    <w:p>
      <w:pPr>
        <w:pStyle w:val="Heading2"/>
      </w:pPr>
      <w:r>
        <w:t xml:space="preserve">Références et pour aller plus loin</w:t>
      </w:r>
    </w:p>
    <w:p>
      <w:pPr>
        <w:pStyle w:val="Compact"/>
        <w:numPr>
          <w:ilvl w:val="0"/>
          <w:numId w:val="1062"/>
        </w:numPr>
      </w:pPr>
      <w:r>
        <w:t xml:space="preserve">Axelos / PeopleCert — ITIL 4 Foundation, présentation officielle :</w:t>
      </w:r>
      <w:r>
        <w:t xml:space="preserve"> </w:t>
      </w:r>
      <w:hyperlink r:id="rId63">
        <w:r>
          <w:rPr>
            <w:rStyle w:val="Hyperlink"/>
          </w:rPr>
          <w:t xml:space="preserve">https://www.peoplecert.org/products/itil-4-foundation</w:t>
        </w:r>
      </w:hyperlink>
    </w:p>
    <w:p>
      <w:pPr>
        <w:pStyle w:val="Compact"/>
        <w:numPr>
          <w:ilvl w:val="0"/>
          <w:numId w:val="1062"/>
        </w:numPr>
      </w:pPr>
      <w:r>
        <w:t xml:space="preserve">ITIL 4 Foundation, Axelos (ouvrage officiel de référence pour la certification).</w:t>
      </w:r>
    </w:p>
    <w:p>
      <w:pPr>
        <w:pStyle w:val="Compact"/>
        <w:numPr>
          <w:ilvl w:val="0"/>
          <w:numId w:val="1062"/>
        </w:numPr>
      </w:pPr>
      <w:r>
        <w:t xml:space="preserve">ITSM.tools — ressources et articles pratiques sur la mise en œuvre d’ITIL en entreprise :</w:t>
      </w:r>
      <w:r>
        <w:t xml:space="preserve"> </w:t>
      </w:r>
      <w:hyperlink r:id="rId64">
        <w:r>
          <w:rPr>
            <w:rStyle w:val="Hyperlink"/>
          </w:rPr>
          <w:t xml:space="preserve">https://itsm.tools</w:t>
        </w:r>
      </w:hyperlink>
    </w:p>
    <w:p>
      <w:pPr>
        <w:pStyle w:val="FirstParagraph"/>
      </w:pPr>
      <w:r>
        <w:rPr>
          <w:i/>
          <w:iCs/>
        </w:rPr>
        <w:t xml:space="preserve">Chapitre suivant : documentation, inventaire et gestion des actifs — comment transformer la discipline de documentation évoquée depuis le chapitre 1 en un système réellement exploitable au quotidien.</w:t>
      </w:r>
    </w:p>
    <w:p>
      <w:pPr>
        <w:pStyle w:val="BodyText"/>
      </w:pPr>
      <w:r>
        <w:t xml:space="preserve">CHAPITRE 3</w:t>
      </w:r>
    </w:p>
    <w:bookmarkEnd w:id="65"/>
    <w:bookmarkEnd w:id="66"/>
    <w:bookmarkStart w:id="95" w:name="X12748c1e3fc54969d5895d1729aa8ad1f06ebe4"/>
    <w:p>
      <w:pPr>
        <w:pStyle w:val="Heading1"/>
      </w:pPr>
      <w:r>
        <w:t xml:space="preserve">Documentation, inventaire et gestion des actifs</w:t>
      </w:r>
    </w:p>
    <w:p>
      <w:pPr>
        <w:pStyle w:val="FirstParagraph"/>
      </w:pPr>
      <w:r>
        <w:t xml:space="preserve">🎯 Objectif du chapitre</w:t>
      </w:r>
      <w:r>
        <w:t xml:space="preserve"> </w:t>
      </w:r>
      <w:r>
        <w:t xml:space="preserve">Comprendre pourquoi la documentation et l’inventaire ne sont pas des tâches administratives secondaires, mais une responsabilité centrale du métier — directement liée à la sécurité, à la continuité d’activité et à la vitesse de résolution d’incident. À la fin de ce chapitre, tu sauras écrire un runbook réellement utilisable par quelqu’un d’autre que toi, distinguer un simple inventaire d’une CMDB, et comprendre le cycle de vie complet d’un actif informatique, de son acquisition à son retrait.</w:t>
      </w:r>
    </w:p>
    <w:p>
      <w:pPr>
        <w:pStyle w:val="BodyText"/>
      </w:pPr>
      <w:r>
        <w:t xml:space="preserve">🎬 Mise en situation</w:t>
      </w:r>
      <w:r>
        <w:t xml:space="preserve"> </w:t>
      </w:r>
      <w:r>
        <w:t xml:space="preserve">Troisième semaine dans la compagnie d’assurance. Le collègue le plus expérimenté de l’équipe infrastructure, celui qui connaît</w:t>
      </w:r>
      <w:r>
        <w:t xml:space="preserve"> </w:t>
      </w:r>
      <w:r>
        <w:t xml:space="preserve">“par cœur”</w:t>
      </w:r>
      <w:r>
        <w:t xml:space="preserve"> </w:t>
      </w:r>
      <w:r>
        <w:t xml:space="preserve">l’emplacement de chaque serveur et la raison de chaque exception de pare-feu, part en congé de trois semaines pour la naissance de son enfant. Le jour de son départ, une alerte se déclenche sur un serveur que tu ne connais pas encore. Tu ouvres le dossier partagé</w:t>
      </w:r>
      <w:r>
        <w:t xml:space="preserve"> </w:t>
      </w:r>
      <w:r>
        <w:t xml:space="preserve">“Documentation infrastructure”</w:t>
      </w:r>
      <w:r>
        <w:t xml:space="preserve"> </w:t>
      </w:r>
      <w:r>
        <w:t xml:space="preserve">en espérant trouver une réponse — et tu tombes sur un schéma d’architecture daté d’il y a deux ans, visiblement obsolète (il mentionne un serveur qui, tu le sais déjà, a été remplacé le mois dernier), et aucun runbook pour ce type d’alerte précis. Tu résous l’incident après 40 minutes de tâtonnement — largement plus long que nécessaire si la documentation avait été fiable. Ce chapitre explique comment éviter exactement cette situation, dans les deux sens : comment documenter pour les autres, et comment reconnaître une documentation sur laquelle on ne peut pas compter.</w:t>
      </w:r>
    </w:p>
    <w:bookmarkStart w:id="67" w:name="X3780145cd3ab99dce1865ed642a04e8f7e42ee9"/>
    <w:p>
      <w:pPr>
        <w:pStyle w:val="Heading2"/>
      </w:pPr>
      <w:r>
        <w:t xml:space="preserve">3.1 La documentation est une responsabilité, pas une corvée administrative</w:t>
      </w:r>
    </w:p>
    <w:p>
      <w:pPr>
        <w:pStyle w:val="FirstParagraph"/>
      </w:pPr>
      <w:r>
        <w:t xml:space="preserve">Rappelle-toi le chapitre 1 (section</w:t>
      </w:r>
      <w:r>
        <w:t xml:space="preserve"> </w:t>
      </w:r>
      <w:r>
        <w:t xml:space="preserve">“En entreprise”</w:t>
      </w:r>
      <w:r>
        <w:t xml:space="preserve">) : le</w:t>
      </w:r>
      <w:r>
        <w:t xml:space="preserve"> </w:t>
      </w:r>
      <w:r>
        <w:t xml:space="preserve">“bus factor”</w:t>
      </w:r>
      <w:r>
        <w:t xml:space="preserve"> </w:t>
      </w:r>
      <w:r>
        <w:t xml:space="preserve">de 1 — quand la connaissance critique d’une infrastructure repose sur une seule personne — est l’un des risques organisationnels les plus sérieux qu’une équipe IT puisse porter, souvent sans même s’en rendre compte tant que cette personne est présente. La documentation n’est pas une tâche que l’on fait</w:t>
      </w:r>
      <w:r>
        <w:t xml:space="preserve"> </w:t>
      </w:r>
      <w:r>
        <w:t xml:space="preserve">“quand on a le temps”</w:t>
      </w:r>
      <w:r>
        <w:t xml:space="preserve"> </w:t>
      </w:r>
      <w:r>
        <w:t xml:space="preserve">: c’est ce qui transforme la compétence d’une seule personne en capacité durable d’une organisation entière.</w:t>
      </w:r>
    </w:p>
    <w:p>
      <w:pPr>
        <w:pStyle w:val="BodyText"/>
      </w:pPr>
      <w:r>
        <w:t xml:space="preserve">💡 Analogie — le carnet de bord du capitaine</w:t>
      </w:r>
      <w:r>
        <w:t xml:space="preserve"> </w:t>
      </w:r>
      <w:r>
        <w:t xml:space="preserve">Un capitaine de navire tient un carnet de bord non pas parce qu’un règlement maritime l’y oblige dans l’absolu, mais parce que si l’équipage change, si le capitaine tombe malade en pleine mer, ou si un événement doit être reconstitué après coup, ce carnet est la seule trace fiable de ce qui s’est réellement passé, quand, et pourquoi. Une infrastructure informatique mérite exactement la même discipline : un</w:t>
      </w:r>
      <w:r>
        <w:t xml:space="preserve"> </w:t>
      </w:r>
      <w:r>
        <w:t xml:space="preserve">“carnet de bord”</w:t>
      </w:r>
      <w:r>
        <w:t xml:space="preserve"> </w:t>
      </w:r>
      <w:r>
        <w:t xml:space="preserve">qui survit au départ, à la maladie ou aux vacances de n’importe quel membre de l’équipe.</w:t>
      </w:r>
    </w:p>
    <w:p>
      <w:pPr>
        <w:pStyle w:val="BodyText"/>
      </w:pPr>
      <w:r>
        <w:t xml:space="preserve">❌ Mauvaise pratique — la documentation</w:t>
      </w:r>
      <w:r>
        <w:t xml:space="preserve"> </w:t>
      </w:r>
      <w:r>
        <w:t xml:space="preserve">“dans ma tête”</w:t>
      </w:r>
      <w:r>
        <w:t xml:space="preserve"> </w:t>
      </w:r>
      <w:r>
        <w:t xml:space="preserve">“Je le sais, je n’ai pas besoin de l’écrire”</w:t>
      </w:r>
      <w:r>
        <w:t xml:space="preserve"> </w:t>
      </w:r>
      <w:r>
        <w:t xml:space="preserve">est l’une des phrases les plus risquées qu’un administrateur système puisse prononcer. Ce n’est jamais une question de compétence individuelle : même la personne la plus compétente peut être en vacances, malade, ou avoir simplement changé de poste au moment précis où cette connaissance devient nécessaire — exactement la situation du scénario d’ouverture de ce chapitre.</w:t>
      </w:r>
    </w:p>
    <w:bookmarkEnd w:id="67"/>
    <w:bookmarkStart w:id="68" w:name="X71786a2e7ae42d2b31552340ffc7c37156ed694"/>
    <w:p>
      <w:pPr>
        <w:pStyle w:val="Heading2"/>
      </w:pPr>
      <w:r>
        <w:t xml:space="preserve">3.2 Les différents types de documentation dont un administrateur système a besoin</w:t>
      </w:r>
    </w:p>
    <w:p>
      <w:pPr>
        <w:pStyle w:val="FirstParagraph"/>
      </w:pPr>
      <w:r>
        <w:t xml:space="preserve">Tous les documents ne servent pas le même objectif. Confondre leurs rôles est une source fréquente de documentation à la fois surabondante et, paradoxalement, inutilisable au bon moment :</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Type de document</w:t>
            </w:r>
          </w:p>
        </w:tc>
        <w:tc>
          <w:tcPr/>
          <w:p>
            <w:pPr>
              <w:pStyle w:val="Compact"/>
            </w:pPr>
            <w:r>
              <w:t xml:space="preserve">Objectif</w:t>
            </w:r>
          </w:p>
        </w:tc>
        <w:tc>
          <w:tcPr/>
          <w:p>
            <w:pPr>
              <w:pStyle w:val="Compact"/>
            </w:pPr>
            <w:r>
              <w:t xml:space="preserve">Quand le consulter</w:t>
            </w:r>
          </w:p>
        </w:tc>
        <w:tc>
          <w:tcPr/>
          <w:p>
            <w:pPr>
              <w:pStyle w:val="Compact"/>
            </w:pPr>
            <w:r>
              <w:t xml:space="preserve">Fréquence de mise à jour attendue</w:t>
            </w:r>
          </w:p>
        </w:tc>
      </w:tr>
      <w:tr>
        <w:tc>
          <w:tcPr/>
          <w:p>
            <w:pPr>
              <w:pStyle w:val="Compact"/>
            </w:pPr>
            <w:r>
              <w:rPr>
                <w:b/>
                <w:bCs/>
              </w:rPr>
              <w:t xml:space="preserve">Runbook</w:t>
            </w:r>
          </w:p>
        </w:tc>
        <w:tc>
          <w:tcPr/>
          <w:p>
            <w:pPr>
              <w:pStyle w:val="Compact"/>
            </w:pPr>
            <w:r>
              <w:t xml:space="preserve">Procédure pas-à-pas pour une situation précise, souvent urgente</w:t>
            </w:r>
          </w:p>
        </w:tc>
        <w:tc>
          <w:tcPr/>
          <w:p>
            <w:pPr>
              <w:pStyle w:val="Compact"/>
            </w:pPr>
            <w:r>
              <w:t xml:space="preserve">Pendant un incident, en pleine astreinte</w:t>
            </w:r>
          </w:p>
        </w:tc>
        <w:tc>
          <w:tcPr/>
          <w:p>
            <w:pPr>
              <w:pStyle w:val="Compact"/>
            </w:pPr>
            <w:r>
              <w:t xml:space="preserve">À chaque fois que la procédure change</w:t>
            </w:r>
          </w:p>
        </w:tc>
      </w:tr>
      <w:tr>
        <w:tc>
          <w:tcPr/>
          <w:p>
            <w:pPr>
              <w:pStyle w:val="Compact"/>
            </w:pPr>
            <w:r>
              <w:rPr>
                <w:b/>
                <w:bCs/>
              </w:rPr>
              <w:t xml:space="preserve">Procédure standard</w:t>
            </w:r>
          </w:p>
        </w:tc>
        <w:tc>
          <w:tcPr/>
          <w:p>
            <w:pPr>
              <w:pStyle w:val="Compact"/>
            </w:pPr>
            <w:r>
              <w:t xml:space="preserve">Décrire une tâche récurrente non urgente (créer un compte, provisionner un serveur)</w:t>
            </w:r>
          </w:p>
        </w:tc>
        <w:tc>
          <w:tcPr/>
          <w:p>
            <w:pPr>
              <w:pStyle w:val="Compact"/>
            </w:pPr>
            <w:r>
              <w:t xml:space="preserve">Avant d’exécuter une tâche répétitive</w:t>
            </w:r>
          </w:p>
        </w:tc>
        <w:tc>
          <w:tcPr/>
          <w:p>
            <w:pPr>
              <w:pStyle w:val="Compact"/>
            </w:pPr>
            <w:r>
              <w:t xml:space="preserve">Occasionnelle</w:t>
            </w:r>
          </w:p>
        </w:tc>
      </w:tr>
      <w:tr>
        <w:tc>
          <w:tcPr/>
          <w:p>
            <w:pPr>
              <w:pStyle w:val="Compact"/>
            </w:pPr>
            <w:r>
              <w:rPr>
                <w:b/>
                <w:bCs/>
              </w:rPr>
              <w:t xml:space="preserve">Schéma d’architecture</w:t>
            </w:r>
          </w:p>
        </w:tc>
        <w:tc>
          <w:tcPr/>
          <w:p>
            <w:pPr>
              <w:pStyle w:val="Compact"/>
            </w:pPr>
            <w:r>
              <w:t xml:space="preserve">Vue d’ensemble de comment les systèmes s’articulent entre eux</w:t>
            </w:r>
          </w:p>
        </w:tc>
        <w:tc>
          <w:tcPr/>
          <w:p>
            <w:pPr>
              <w:pStyle w:val="Compact"/>
            </w:pPr>
            <w:r>
              <w:t xml:space="preserve">Pour comprendre l’impact d’un changement (chapitre 2)</w:t>
            </w:r>
          </w:p>
        </w:tc>
        <w:tc>
          <w:tcPr/>
          <w:p>
            <w:pPr>
              <w:pStyle w:val="Compact"/>
            </w:pPr>
            <w:r>
              <w:t xml:space="preserve">À chaque changement structurel</w:t>
            </w:r>
          </w:p>
        </w:tc>
      </w:tr>
      <w:tr>
        <w:tc>
          <w:tcPr/>
          <w:p>
            <w:pPr>
              <w:pStyle w:val="Compact"/>
            </w:pPr>
            <w:r>
              <w:rPr>
                <w:b/>
                <w:bCs/>
              </w:rPr>
              <w:t xml:space="preserve">Journal des changements</w:t>
            </w:r>
            <w:r>
              <w:t xml:space="preserve"> </w:t>
            </w:r>
            <w:r>
              <w:t xml:space="preserve">(</w:t>
            </w:r>
            <w:r>
              <w:rPr>
                <w:i/>
                <w:iCs/>
              </w:rPr>
              <w:t xml:space="preserve">changelog</w:t>
            </w:r>
            <w:r>
              <w:t xml:space="preserve">)</w:t>
            </w:r>
          </w:p>
        </w:tc>
        <w:tc>
          <w:tcPr/>
          <w:p>
            <w:pPr>
              <w:pStyle w:val="Compact"/>
            </w:pPr>
            <w:r>
              <w:t xml:space="preserve">Trace chronologique de</w:t>
            </w:r>
            <w:r>
              <w:t xml:space="preserve"> </w:t>
            </w:r>
            <w:r>
              <w:t xml:space="preserve">“quoi, qui, quand, pourquoi”</w:t>
            </w:r>
          </w:p>
        </w:tc>
        <w:tc>
          <w:tcPr/>
          <w:p>
            <w:pPr>
              <w:pStyle w:val="Compact"/>
            </w:pPr>
            <w:r>
              <w:t xml:space="preserve">Pour comprendre l’historique d’un système</w:t>
            </w:r>
          </w:p>
        </w:tc>
        <w:tc>
          <w:tcPr/>
          <w:p>
            <w:pPr>
              <w:pStyle w:val="Compact"/>
            </w:pPr>
            <w:r>
              <w:t xml:space="preserve">À chaque changement, sans exception</w:t>
            </w:r>
          </w:p>
        </w:tc>
      </w:tr>
      <w:tr>
        <w:tc>
          <w:tcPr/>
          <w:p>
            <w:pPr>
              <w:pStyle w:val="Compact"/>
            </w:pPr>
            <w:r>
              <w:rPr>
                <w:b/>
                <w:bCs/>
              </w:rPr>
              <w:t xml:space="preserve">Base de connaissance / KEDB</w:t>
            </w:r>
            <w:r>
              <w:t xml:space="preserve"> </w:t>
            </w:r>
            <w:r>
              <w:t xml:space="preserve">(chapitre 2)</w:t>
            </w:r>
          </w:p>
        </w:tc>
        <w:tc>
          <w:tcPr/>
          <w:p>
            <w:pPr>
              <w:pStyle w:val="Compact"/>
            </w:pPr>
            <w:r>
              <w:t xml:space="preserve">Solutions à des problèmes déjà rencontrés</w:t>
            </w:r>
          </w:p>
        </w:tc>
        <w:tc>
          <w:tcPr/>
          <w:p>
            <w:pPr>
              <w:pStyle w:val="Compact"/>
            </w:pPr>
            <w:r>
              <w:t xml:space="preserve">Au début d’un diagnostic d’incident</w:t>
            </w:r>
          </w:p>
        </w:tc>
        <w:tc>
          <w:tcPr/>
          <w:p>
            <w:pPr>
              <w:pStyle w:val="Compact"/>
            </w:pPr>
            <w:r>
              <w:t xml:space="preserve">À chaque nouveau problème résolu</w:t>
            </w:r>
          </w:p>
        </w:tc>
      </w:tr>
    </w:tbl>
    <w:p>
      <w:pPr>
        <w:pStyle w:val="BodyText"/>
      </w:pPr>
      <w:r>
        <w:t xml:space="preserve">📌 À retenir</w:t>
      </w:r>
      <w:r>
        <w:t xml:space="preserve"> </w:t>
      </w:r>
      <w:r>
        <w:t xml:space="preserve">Un schéma d’architecture répond à la question</w:t>
      </w:r>
      <w:r>
        <w:t xml:space="preserve"> </w:t>
      </w:r>
      <w:r>
        <w:t xml:space="preserve">“comment est-ce construit ?”</w:t>
      </w:r>
      <w:r>
        <w:t xml:space="preserve">. Un runbook répond à</w:t>
      </w:r>
      <w:r>
        <w:t xml:space="preserve"> </w:t>
      </w:r>
      <w:r>
        <w:t xml:space="preserve">“que dois-je faire, maintenant, dans cette situation précise ?”</w:t>
      </w:r>
      <w:r>
        <w:t xml:space="preserve">. Ce sont deux besoins différents, à des moments différents — un bon système de documentation propose les deux, pas seulement l’un ou l’autre.</w:t>
      </w:r>
    </w:p>
    <w:bookmarkEnd w:id="68"/>
    <w:bookmarkStart w:id="69" w:name="quest-ce-quun-bon-runbook"/>
    <w:p>
      <w:pPr>
        <w:pStyle w:val="Heading2"/>
      </w:pPr>
      <w:r>
        <w:t xml:space="preserve">3.3 Qu’est-ce qu’un bon runbook</w:t>
      </w:r>
    </w:p>
    <w:p>
      <w:pPr>
        <w:pStyle w:val="FirstParagraph"/>
      </w:pPr>
      <w:r>
        <w:t xml:space="preserve">Un runbook efficace n’est pas un document théorique — c’est un texte qu’une personne stressée, en pleine nuit, avec une alerte qui sonne, doit pouvoir suivre</w:t>
      </w:r>
      <w:r>
        <w:t xml:space="preserve"> </w:t>
      </w:r>
      <w:r>
        <w:rPr>
          <w:b/>
          <w:bCs/>
        </w:rPr>
        <w:t xml:space="preserve">sans avoir besoin de comprendre le système en profondeur au préalable</w:t>
      </w:r>
      <w:r>
        <w:t xml:space="preserve">. C’est un critère de qualité très concret et vérifiable.</w:t>
      </w:r>
    </w:p>
    <w:p>
      <w:pPr>
        <w:pStyle w:val="SourceCode"/>
      </w:pPr>
      <w:r>
        <w:rPr>
          <w:rStyle w:val="FunctionTok"/>
        </w:rPr>
        <w:t xml:space="preserve"># Runbook — Service de messagerie interne ne repond plus</w:t>
      </w:r>
      <w:r>
        <w:br/>
      </w:r>
      <w:r>
        <w:br/>
      </w:r>
      <w:r>
        <w:rPr>
          <w:rStyle w:val="FunctionTok"/>
        </w:rPr>
        <w:t xml:space="preserve">## Symptome</w:t>
      </w:r>
      <w:r>
        <w:br/>
      </w:r>
      <w:r>
        <w:rPr>
          <w:rStyle w:val="NormalTok"/>
        </w:rPr>
        <w:t xml:space="preserve">Les utilisateurs signalent l'impossibilite d'envoyer/recevoir des emails internes.</w:t>
      </w:r>
      <w:r>
        <w:br/>
      </w:r>
      <w:r>
        <w:rPr>
          <w:rStyle w:val="NormalTok"/>
        </w:rPr>
        <w:t xml:space="preserve">L'alerte de supervision "mail-service-down" est active.</w:t>
      </w:r>
      <w:r>
        <w:br/>
      </w:r>
      <w:r>
        <w:br/>
      </w:r>
      <w:r>
        <w:rPr>
          <w:rStyle w:val="FunctionTok"/>
        </w:rPr>
        <w:t xml:space="preserve">## Impact</w:t>
      </w:r>
      <w:r>
        <w:br/>
      </w:r>
      <w:r>
        <w:rPr>
          <w:rStyle w:val="NormalTok"/>
        </w:rPr>
        <w:t xml:space="preserve">Critique — bloque la communication interne de toute l'entreprise.</w:t>
      </w:r>
      <w:r>
        <w:br/>
      </w:r>
      <w:r>
        <w:br/>
      </w:r>
      <w:r>
        <w:rPr>
          <w:rStyle w:val="FunctionTok"/>
        </w:rPr>
        <w:t xml:space="preserve">## Verification prealable</w:t>
      </w:r>
      <w:r>
        <w:br/>
      </w:r>
      <w:r>
        <w:rPr>
          <w:rStyle w:val="SpecialStringTok"/>
        </w:rPr>
        <w:t xml:space="preserve">1. </w:t>
      </w:r>
      <w:r>
        <w:rPr>
          <w:rStyle w:val="NormalTok"/>
        </w:rPr>
        <w:t xml:space="preserve">Se connecter au serveur MAIL01 (voir acces dans le coffre-fort de mots de passe).</w:t>
      </w:r>
      <w:r>
        <w:br/>
      </w:r>
      <w:r>
        <w:rPr>
          <w:rStyle w:val="SpecialStringTok"/>
        </w:rPr>
        <w:t xml:space="preserve">2. </w:t>
      </w:r>
      <w:r>
        <w:rPr>
          <w:rStyle w:val="NormalTok"/>
        </w:rPr>
        <w:t xml:space="preserve">Executer : </w:t>
      </w:r>
      <w:r>
        <w:rPr>
          <w:rStyle w:val="InformationTok"/>
        </w:rPr>
        <w:t xml:space="preserve">`systemctl status postfix`</w:t>
      </w:r>
      <w:r>
        <w:br/>
      </w:r>
      <w:r>
        <w:rPr>
          <w:rStyle w:val="SpecialStringTok"/>
        </w:rPr>
        <w:t xml:space="preserve">3. </w:t>
      </w:r>
      <w:r>
        <w:rPr>
          <w:rStyle w:val="NormalTok"/>
        </w:rPr>
        <w:t xml:space="preserve">Si "inactive (dead)" -&gt; passer a l'etape de resolution.</w:t>
      </w:r>
      <w:r>
        <w:br/>
      </w:r>
      <w:r>
        <w:rPr>
          <w:rStyle w:val="SpecialStringTok"/>
        </w:rPr>
        <w:t xml:space="preserve">4. </w:t>
      </w:r>
      <w:r>
        <w:rPr>
          <w:rStyle w:val="NormalTok"/>
        </w:rPr>
        <w:t xml:space="preserve">Si "active (running)" -&gt; le probleme est ailleurs, escalader au reseau (verifier DNS/pare-feu).</w:t>
      </w:r>
      <w:r>
        <w:br/>
      </w:r>
      <w:r>
        <w:br/>
      </w:r>
      <w:r>
        <w:rPr>
          <w:rStyle w:val="FunctionTok"/>
        </w:rPr>
        <w:t xml:space="preserve">## Resolution</w:t>
      </w:r>
      <w:r>
        <w:br/>
      </w:r>
      <w:r>
        <w:rPr>
          <w:rStyle w:val="SpecialStringTok"/>
        </w:rPr>
        <w:t xml:space="preserve">1. </w:t>
      </w:r>
      <w:r>
        <w:rPr>
          <w:rStyle w:val="NormalTok"/>
        </w:rPr>
        <w:t xml:space="preserve">Executer : </w:t>
      </w:r>
      <w:r>
        <w:rPr>
          <w:rStyle w:val="InformationTok"/>
        </w:rPr>
        <w:t xml:space="preserve">`systemctl restart postfix`</w:t>
      </w:r>
      <w:r>
        <w:br/>
      </w:r>
      <w:r>
        <w:rPr>
          <w:rStyle w:val="SpecialStringTok"/>
        </w:rPr>
        <w:t xml:space="preserve">2. </w:t>
      </w:r>
      <w:r>
        <w:rPr>
          <w:rStyle w:val="NormalTok"/>
        </w:rPr>
        <w:t xml:space="preserve">Attendre 30 secondes, revérifier le statut.</w:t>
      </w:r>
      <w:r>
        <w:br/>
      </w:r>
      <w:r>
        <w:rPr>
          <w:rStyle w:val="SpecialStringTok"/>
        </w:rPr>
        <w:t xml:space="preserve">3. </w:t>
      </w:r>
      <w:r>
        <w:rPr>
          <w:rStyle w:val="NormalTok"/>
        </w:rPr>
        <w:t xml:space="preserve">Envoyer un email de test a test@entreprise.ht depuis un compte externe.</w:t>
      </w:r>
      <w:r>
        <w:br/>
      </w:r>
      <w:r>
        <w:rPr>
          <w:rStyle w:val="SpecialStringTok"/>
        </w:rPr>
        <w:t xml:space="preserve">4. </w:t>
      </w:r>
      <w:r>
        <w:rPr>
          <w:rStyle w:val="NormalTok"/>
        </w:rPr>
        <w:t xml:space="preserve">Si le service ne redemarre pas : consulter les logs </w:t>
      </w:r>
      <w:r>
        <w:rPr>
          <w:rStyle w:val="InformationTok"/>
        </w:rPr>
        <w:t xml:space="preserve">`journalctl -u postfix -n 100`</w:t>
      </w:r>
      <w:r>
        <w:br/>
      </w:r>
      <w:r>
        <w:rPr>
          <w:rStyle w:val="NormalTok"/>
        </w:rPr>
        <w:t xml:space="preserve">   et escalader au Niveau 2 infrastructure avec ces logs joints.</w:t>
      </w:r>
      <w:r>
        <w:br/>
      </w:r>
      <w:r>
        <w:br/>
      </w:r>
      <w:r>
        <w:rPr>
          <w:rStyle w:val="FunctionTok"/>
        </w:rPr>
        <w:t xml:space="preserve">## Apres resolution</w:t>
      </w:r>
      <w:r>
        <w:br/>
      </w:r>
      <w:r>
        <w:rPr>
          <w:rStyle w:val="SpecialStringTok"/>
        </w:rPr>
        <w:t xml:space="preserve">- </w:t>
      </w:r>
      <w:r>
        <w:rPr>
          <w:rStyle w:val="NormalTok"/>
        </w:rPr>
        <w:t xml:space="preserve">Confirmer avec au moins 2 utilisateurs que le service fonctionne reellement.</w:t>
      </w:r>
      <w:r>
        <w:br/>
      </w:r>
      <w:r>
        <w:rPr>
          <w:rStyle w:val="SpecialStringTok"/>
        </w:rPr>
        <w:t xml:space="preserve">- </w:t>
      </w:r>
      <w:r>
        <w:rPr>
          <w:rStyle w:val="NormalTok"/>
        </w:rPr>
        <w:t xml:space="preserve">Ouvrir un ticket "probleme" si c'est la 2e occurrence ce mois-ci (voir chapitre 2).</w:t>
      </w:r>
      <w:r>
        <w:br/>
      </w:r>
      <w:r>
        <w:rPr>
          <w:rStyle w:val="SpecialStringTok"/>
        </w:rPr>
        <w:t xml:space="preserve">- </w:t>
      </w:r>
      <w:r>
        <w:rPr>
          <w:rStyle w:val="NormalTok"/>
        </w:rPr>
        <w:t xml:space="preserve">Mettre a jour ce runbook si une etape s'est reveleee incorrecte ou incomplete.</w:t>
      </w:r>
    </w:p>
    <w:p>
      <w:pPr>
        <w:pStyle w:val="FirstParagraph"/>
      </w:pPr>
      <w:r>
        <w:t xml:space="preserve">✅ Bonne pratique — le test du</w:t>
      </w:r>
      <w:r>
        <w:t xml:space="preserve"> </w:t>
      </w:r>
      <w:r>
        <w:t xml:space="preserve">“collègue qui ne connaît rien”</w:t>
      </w:r>
      <w:r>
        <w:t xml:space="preserve"> </w:t>
      </w:r>
      <w:r>
        <w:t xml:space="preserve">Avant de considérer un runbook terminé, fais-le lire à un collègue qui ne connaît pas ce système précis (ou relis-le toi-même en imaginant que tu ne connais rien). S’il contient une étape comme</w:t>
      </w:r>
      <w:r>
        <w:t xml:space="preserve"> </w:t>
      </w:r>
      <w:r>
        <w:t xml:space="preserve">“vérifier que la configuration est correcte”</w:t>
      </w:r>
      <w:r>
        <w:t xml:space="preserve"> </w:t>
      </w:r>
      <w:r>
        <w:t xml:space="preserve">sans préciser</w:t>
      </w:r>
      <w:r>
        <w:t xml:space="preserve"> </w:t>
      </w:r>
      <w:r>
        <w:rPr>
          <w:b/>
          <w:bCs/>
        </w:rPr>
        <w:t xml:space="preserve">comment</w:t>
      </w:r>
      <w:r>
        <w:t xml:space="preserve"> </w:t>
      </w:r>
      <w:r>
        <w:t xml:space="preserve">vérifier concrètement, ou une commande sans expliquer ce qu’elle fait, ce n’est pas encore un runbook exploitable — c’est un aide-mémoire pour toi seul.</w:t>
      </w:r>
    </w:p>
    <w:p>
      <w:pPr>
        <w:pStyle w:val="BodyText"/>
      </w:pPr>
      <w:r>
        <w:t xml:space="preserve">⚠️ Un runbook qui n’est jamais mis à jour devient dangereux, pas seulement inutile</w:t>
      </w:r>
      <w:r>
        <w:t xml:space="preserve"> </w:t>
      </w:r>
      <w:r>
        <w:t xml:space="preserve">Le schéma d’architecture obsolète du scénario d’ouverture est un cas typique : une information fausse peut coûter plus cher qu’une absence totale d’information, parce qu’elle donne une</w:t>
      </w:r>
      <w:r>
        <w:t xml:space="preserve"> </w:t>
      </w:r>
      <w:r>
        <w:rPr>
          <w:b/>
          <w:bCs/>
        </w:rPr>
        <w:t xml:space="preserve">fausse confiance</w:t>
      </w:r>
      <w:r>
        <w:t xml:space="preserve">. Un runbook qui recommande de redémarrer un service qui n’existe plus sous ce nom peut faire perdre un temps précieux en pleine crise, précisément au moment où ce temps compte le plus.</w:t>
      </w:r>
    </w:p>
    <w:bookmarkEnd w:id="69"/>
    <w:bookmarkStart w:id="70" w:name="Xaac7349e77a3b7e692d4a33988f014860878d32"/>
    <w:p>
      <w:pPr>
        <w:pStyle w:val="Heading2"/>
      </w:pPr>
      <w:r>
        <w:t xml:space="preserve">3.4 L’inventaire : on ne peut pas protéger ce qu’on ne connaît pas</w:t>
      </w:r>
    </w:p>
    <w:p>
      <w:pPr>
        <w:pStyle w:val="FirstParagraph"/>
      </w:pPr>
      <w:r>
        <w:t xml:space="preserve">Avant même de parler d’outils, un principe simple : un administrateur système ne peut sécuriser, sauvegarder, mettre à jour ou superviser correctement que ce dont il connaît</w:t>
      </w:r>
      <w:r>
        <w:t xml:space="preserve"> </w:t>
      </w:r>
      <w:r>
        <w:rPr>
          <w:b/>
          <w:bCs/>
        </w:rPr>
        <w:t xml:space="preserve">l’existence</w:t>
      </w:r>
      <w:r>
        <w:t xml:space="preserve">. Un serveur, un compte de service, ou un abonnement cloud oublié — ce qu’on appelle le</w:t>
      </w:r>
      <w:r>
        <w:t xml:space="preserve"> </w:t>
      </w:r>
      <w:r>
        <w:rPr>
          <w:b/>
          <w:bCs/>
        </w:rPr>
        <w:t xml:space="preserve">shadow IT</w:t>
      </w:r>
      <w:r>
        <w:t xml:space="preserve"> </w:t>
      </w:r>
      <w:r>
        <w:t xml:space="preserve">quand ces ressources échappent totalement au contrôle de l’équipe IT — représente un angle mort de sécurité et de coût réel, pas une simple négligence administrative.</w:t>
      </w:r>
    </w:p>
    <w:p>
      <w:pPr>
        <w:pStyle w:val="BodyText"/>
      </w:pPr>
      <w:r>
        <w:t xml:space="preserve">🔒 Sécurité — l’inventaire comme fondation de la cybersécurité</w:t>
      </w:r>
      <w:r>
        <w:t xml:space="preserve"> </w:t>
      </w:r>
      <w:r>
        <w:t xml:space="preserve">Ce n’est pas un hasard si le tout premier contrôle des</w:t>
      </w:r>
      <w:r>
        <w:t xml:space="preserve"> </w:t>
      </w:r>
      <w:r>
        <w:t xml:space="preserve">CIS Controls</w:t>
      </w:r>
      <w:r>
        <w:t xml:space="preserve"> </w:t>
      </w:r>
      <w:r>
        <w:t xml:space="preserve">(un référentiel de cybersécurité largement reconnu, approfondi en Partie 12) s’intitule</w:t>
      </w:r>
      <w:r>
        <w:t xml:space="preserve"> </w:t>
      </w:r>
      <w:r>
        <w:t xml:space="preserve">“Inventaire et contrôle des actifs de l’entreprise”</w:t>
      </w:r>
      <w:r>
        <w:t xml:space="preserve">. Il est littéralement impossible d’appliquer un correctif de sécurité, de détecter une intrusion, ou de restreindre un accès sur un système dont on ignore l’existence — l’inventaire précède toute autre mesure de sécurité, il n’est pas une option parmi d’autres.</w:t>
      </w:r>
    </w:p>
    <w:p>
      <w:pPr>
        <w:pStyle w:val="BodyText"/>
      </w:pPr>
      <w:r>
        <w:rPr>
          <w:b/>
          <w:bCs/>
        </w:rPr>
        <w:t xml:space="preserve">Un bon inventaire répond, pour chaque actif, à des questions précises :</w:t>
      </w:r>
      <w:r>
        <w:t xml:space="preserve"> </w:t>
      </w:r>
      <w:r>
        <w:t xml:space="preserve">quoi (nature de l’actif), où (localisation physique ou logique), qui (propriétaire/responsable), depuis quand (date de mise en service), et quelle criticité (impact si cet actif tombe en panne).</w:t>
      </w:r>
    </w:p>
    <w:bookmarkEnd w:id="70"/>
    <w:bookmarkStart w:id="74" w:name="Xd39985175e75647190184fa39c5c04006ad0d31"/>
    <w:p>
      <w:pPr>
        <w:pStyle w:val="Heading2"/>
      </w:pPr>
      <w:r>
        <w:t xml:space="preserve">3.5 De l’inventaire à la CMDB : ajouter les relations entre les actifs</w:t>
      </w:r>
    </w:p>
    <w:p>
      <w:pPr>
        <w:pStyle w:val="FirstParagraph"/>
      </w:pPr>
      <w:r>
        <w:t xml:space="preserve">Un simple inventaire (une liste de serveurs dans un tableur, par exemple) répond à</w:t>
      </w:r>
      <w:r>
        <w:t xml:space="preserve"> </w:t>
      </w:r>
      <w:r>
        <w:t xml:space="preserve">“qu’est-ce qu’on a ?”</w:t>
      </w:r>
      <w:r>
        <w:t xml:space="preserve">. Une</w:t>
      </w:r>
      <w:r>
        <w:t xml:space="preserve"> </w:t>
      </w:r>
      <w:r>
        <w:rPr>
          <w:b/>
          <w:bCs/>
        </w:rPr>
        <w:t xml:space="preserve">CMDB</w:t>
      </w:r>
      <w:r>
        <w:t xml:space="preserve"> </w:t>
      </w:r>
      <w:r>
        <w:t xml:space="preserve">(</w:t>
      </w:r>
      <w:r>
        <w:rPr>
          <w:i/>
          <w:iCs/>
        </w:rPr>
        <w:t xml:space="preserve">Configuration Management Database</w:t>
      </w:r>
      <w:r>
        <w:t xml:space="preserve">, base de données de gestion de configuration) va plus loin : elle capture aussi les</w:t>
      </w:r>
      <w:r>
        <w:t xml:space="preserve"> </w:t>
      </w:r>
      <w:r>
        <w:rPr>
          <w:b/>
          <w:bCs/>
        </w:rPr>
        <w:t xml:space="preserve">relations</w:t>
      </w:r>
      <w:r>
        <w:t xml:space="preserve"> </w:t>
      </w:r>
      <w:r>
        <w:t xml:space="preserve">entre les actifs — appelés</w:t>
      </w:r>
      <w:r>
        <w:t xml:space="preserve"> </w:t>
      </w:r>
      <w:r>
        <w:rPr>
          <w:b/>
          <w:bCs/>
        </w:rPr>
        <w:t xml:space="preserve">éléments de configuration</w:t>
      </w:r>
      <w:r>
        <w:t xml:space="preserve"> </w:t>
      </w:r>
      <w:r>
        <w:t xml:space="preserve">(</w:t>
      </w:r>
      <w:r>
        <w:rPr>
          <w:i/>
          <w:iCs/>
        </w:rPr>
        <w:t xml:space="preserve">Configuration Items</w:t>
      </w:r>
      <w:r>
        <w:t xml:space="preserve">, CI) en ITIL — ce qui permet de répondre à une question bien plus utile en pratique :</w:t>
      </w:r>
      <w:r>
        <w:t xml:space="preserve"> </w:t>
      </w:r>
      <w:r>
        <w:t xml:space="preserve">“si</w:t>
      </w:r>
      <w:r>
        <w:t xml:space="preserve"> </w:t>
      </w:r>
      <w:r>
        <w:t xml:space="preserve">ceci</w:t>
      </w:r>
      <w:r>
        <w:t xml:space="preserve"> </w:t>
      </w:r>
      <w:r>
        <w:t xml:space="preserve">tombe en panne, qu’est-ce que ça affecte réellement ?”</w:t>
      </w:r>
    </w:p>
    <w:p>
      <w:pPr>
        <w:pStyle w:val="CaptionedFigure"/>
      </w:pPr>
      <w:r>
        <w:drawing>
          <wp:inline>
            <wp:extent cx="5334000" cy="4739548"/>
            <wp:effectExtent b="0" l="0" r="0" t="0"/>
            <wp:docPr descr="Diagramme" title="" id="72" name="Picture"/>
            <a:graphic>
              <a:graphicData uri="http://schemas.openxmlformats.org/drawingml/2006/picture">
                <pic:pic>
                  <pic:nvPicPr>
                    <pic:cNvPr descr="C:/Users/ingja/Desktop/jarvis-starter-kit/livrables/formations/manuel-administration-systeme/assets/diagrams/d-03-documentation-inventaire-gestion-actifs-diagramme-1.png" id="73" name="Picture"/>
                    <pic:cNvPicPr>
                      <a:picLocks noChangeArrowheads="1" noChangeAspect="1"/>
                    </pic:cNvPicPr>
                  </pic:nvPicPr>
                  <pic:blipFill>
                    <a:blip r:embed="rId71"/>
                    <a:stretch>
                      <a:fillRect/>
                    </a:stretch>
                  </pic:blipFill>
                  <pic:spPr bwMode="auto">
                    <a:xfrm>
                      <a:off x="0" y="0"/>
                      <a:ext cx="5334000" cy="4739548"/>
                    </a:xfrm>
                    <a:prstGeom prst="rect">
                      <a:avLst/>
                    </a:prstGeom>
                    <a:noFill/>
                    <a:ln w="9525">
                      <a:noFill/>
                      <a:headEnd/>
                      <a:tailEnd/>
                    </a:ln>
                  </pic:spPr>
                </pic:pic>
              </a:graphicData>
            </a:graphic>
          </wp:inline>
        </w:drawing>
      </w:r>
    </w:p>
    <w:p>
      <w:pPr>
        <w:pStyle w:val="ImageCaption"/>
      </w:pPr>
      <w:r>
        <w:t xml:space="preserve">Diagramme</w:t>
      </w:r>
    </w:p>
    <w:p>
      <w:pPr>
        <w:pStyle w:val="BodyText"/>
      </w:pPr>
      <w:r>
        <w:t xml:space="preserve">💡 Explication du schéma — la vraie valeur d’une CMDB</w:t>
      </w:r>
      <w:r>
        <w:t xml:space="preserve"> </w:t>
      </w:r>
      <w:r>
        <w:t xml:space="preserve">Sans ce graphe de relations, une panne sur</w:t>
      </w:r>
      <w:r>
        <w:t xml:space="preserve"> </w:t>
      </w:r>
      <w:r>
        <w:t xml:space="preserve">“DELL-R740-03”</w:t>
      </w:r>
      <w:r>
        <w:t xml:space="preserve"> </w:t>
      </w:r>
      <w:r>
        <w:t xml:space="preserve">ressemble à un problème matériel isolé. Avec la CMDB, on voit immédiatement l’impact réel en cascade : ce serveur physique héberge deux machines virtuelles, dont une base de données dont dépend l’application de gestion des sinistres, utilisée par 45 personnes. C’est exactement l’information qui manquait dans le scénario d’ouverture — sans elle, il est impossible d’évaluer rapidement la vraie criticité d’un incident.</w:t>
      </w:r>
    </w:p>
    <w:p>
      <w:pPr>
        <w:pStyle w:val="BodyText"/>
      </w:pPr>
      <w:r>
        <w:t xml:space="preserve">🚀 Performance — la CMDB au service de la gestion des changements</w:t>
      </w:r>
      <w:r>
        <w:t xml:space="preserve"> </w:t>
      </w:r>
      <w:r>
        <w:t xml:space="preserve">La CMDB rejoint directement le chapitre 2 : avant de valider un changement normal, un CAB s’appuie sur la CMDB pour évaluer précisément quels services seraient affectés — sans elle, l’évaluation du risque devient une estimation approximative, pas une analyse fondée sur des faits.</w:t>
      </w:r>
    </w:p>
    <w:bookmarkEnd w:id="74"/>
    <w:bookmarkStart w:id="78" w:name="le-cycle-de-vie-dun-actif"/>
    <w:p>
      <w:pPr>
        <w:pStyle w:val="Heading2"/>
      </w:pPr>
      <w:r>
        <w:t xml:space="preserve">3.6 Le cycle de vie d’un actif</w:t>
      </w:r>
    </w:p>
    <w:p>
      <w:pPr>
        <w:pStyle w:val="FirstParagraph"/>
      </w:pPr>
      <w:r>
        <w:t xml:space="preserve">Un actif informatique — un serveur, un poste de travail, une licence logicielle, un abonnement cloud — suit un cycle de vie prévisible, qu’une bonne gestion des actifs (</w:t>
      </w:r>
      <w:r>
        <w:rPr>
          <w:i/>
          <w:iCs/>
        </w:rPr>
        <w:t xml:space="preserve">Asset Management</w:t>
      </w:r>
      <w:r>
        <w:t xml:space="preserve">) accompagne à chaque étape :</w:t>
      </w:r>
    </w:p>
    <w:p>
      <w:pPr>
        <w:pStyle w:val="CaptionedFigure"/>
      </w:pPr>
      <w:r>
        <w:drawing>
          <wp:inline>
            <wp:extent cx="5334000" cy="1092506"/>
            <wp:effectExtent b="0" l="0" r="0" t="0"/>
            <wp:docPr descr="Diagramme" title="" id="76" name="Picture"/>
            <a:graphic>
              <a:graphicData uri="http://schemas.openxmlformats.org/drawingml/2006/picture">
                <pic:pic>
                  <pic:nvPicPr>
                    <pic:cNvPr descr="C:/Users/ingja/Desktop/jarvis-starter-kit/livrables/formations/manuel-administration-systeme/assets/diagrams/d-03-documentation-inventaire-gestion-actifs-diagramme-2.png" id="77" name="Picture"/>
                    <pic:cNvPicPr>
                      <a:picLocks noChangeArrowheads="1" noChangeAspect="1"/>
                    </pic:cNvPicPr>
                  </pic:nvPicPr>
                  <pic:blipFill>
                    <a:blip r:embed="rId75"/>
                    <a:stretch>
                      <a:fillRect/>
                    </a:stretch>
                  </pic:blipFill>
                  <pic:spPr bwMode="auto">
                    <a:xfrm>
                      <a:off x="0" y="0"/>
                      <a:ext cx="5334000" cy="1092506"/>
                    </a:xfrm>
                    <a:prstGeom prst="rect">
                      <a:avLst/>
                    </a:prstGeom>
                    <a:noFill/>
                    <a:ln w="9525">
                      <a:noFill/>
                      <a:headEnd/>
                      <a:tailEnd/>
                    </a:ln>
                  </pic:spPr>
                </pic:pic>
              </a:graphicData>
            </a:graphic>
          </wp:inline>
        </w:drawing>
      </w:r>
    </w:p>
    <w:p>
      <w:pPr>
        <w:pStyle w:val="ImageCaption"/>
      </w:pPr>
      <w:r>
        <w:t xml:space="preserve">Diagramme</w:t>
      </w:r>
    </w:p>
    <w:p>
      <w:pPr>
        <w:pStyle w:val="BodyText"/>
      </w:pPr>
      <w:r>
        <w:t xml:space="preserve">⚠️ L’étape la plus souvent négligée : le décommissionnement</w:t>
      </w:r>
      <w:r>
        <w:t xml:space="preserve"> </w:t>
      </w:r>
      <w:r>
        <w:t xml:space="preserve">Beaucoup d’organisations sont rigoureuses sur l’acquisition et la mise en service d’un actif, mais négligent son retrait propre. Un serveur</w:t>
      </w:r>
      <w:r>
        <w:t xml:space="preserve"> </w:t>
      </w:r>
      <w:r>
        <w:t xml:space="preserve">“éteint mais jamais vraiment retiré”</w:t>
      </w:r>
      <w:r>
        <w:t xml:space="preserve"> </w:t>
      </w:r>
      <w:r>
        <w:t xml:space="preserve">reste une ligne fantôme dans l’inventaire (ou pire, en dehors de tout inventaire), un ancien compte de service jamais désactivé reste un accès valide que plus personne ne surveille — exactement le type d’angle mort de sécurité évoqué en section 3.4. Le décommissionnement doit inclure la destruction sécurisée des données sensibles, pas seulement l’arrêt physique de la machine.</w:t>
      </w:r>
    </w:p>
    <w:bookmarkEnd w:id="78"/>
    <w:bookmarkStart w:id="79" w:name="X7edd0621187ea9c368f25ead0a47f32b3552677"/>
    <w:p>
      <w:pPr>
        <w:pStyle w:val="Heading2"/>
      </w:pPr>
      <w:r>
        <w:t xml:space="preserve">3.7 Les outils, selon la taille de l’organisation</w:t>
      </w:r>
    </w:p>
    <w:p>
      <w:pPr>
        <w:pStyle w:val="FirstParagraph"/>
      </w:pPr>
      <w:r>
        <w:t xml:space="preserve">Comme pour le CAB du chapitre 2, l’outillage doit être proportionné à la taille réelle de l’organisation — l’esprit de la discipline compte plus que la sophistication de l’outil :</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Taille d’organisation</w:t>
            </w:r>
          </w:p>
        </w:tc>
        <w:tc>
          <w:tcPr/>
          <w:p>
            <w:pPr>
              <w:pStyle w:val="Compact"/>
            </w:pPr>
            <w:r>
              <w:t xml:space="preserve">Outil typique</w:t>
            </w:r>
          </w:p>
        </w:tc>
      </w:tr>
      <w:tr>
        <w:tc>
          <w:tcPr/>
          <w:p>
            <w:pPr>
              <w:pStyle w:val="Compact"/>
            </w:pPr>
            <w:r>
              <w:t xml:space="preserve">Très petite structure (quelques serveurs)</w:t>
            </w:r>
          </w:p>
        </w:tc>
        <w:tc>
          <w:tcPr/>
          <w:p>
            <w:pPr>
              <w:pStyle w:val="Compact"/>
            </w:pPr>
            <w:r>
              <w:t xml:space="preserve">Un tableur partagé, rigoureusement tenu à jour</w:t>
            </w:r>
          </w:p>
        </w:tc>
      </w:tr>
      <w:tr>
        <w:tc>
          <w:tcPr/>
          <w:p>
            <w:pPr>
              <w:pStyle w:val="Compact"/>
            </w:pPr>
            <w:r>
              <w:t xml:space="preserve">PME structurée</w:t>
            </w:r>
          </w:p>
        </w:tc>
        <w:tc>
          <w:tcPr/>
          <w:p>
            <w:pPr>
              <w:pStyle w:val="Compact"/>
            </w:pPr>
            <w:r>
              <w:t xml:space="preserve">GLPI, Lansweeper, ou une CMDB légère intégrée à l’outil de tickets</w:t>
            </w:r>
          </w:p>
        </w:tc>
      </w:tr>
      <w:tr>
        <w:tc>
          <w:tcPr/>
          <w:p>
            <w:pPr>
              <w:pStyle w:val="Compact"/>
            </w:pPr>
            <w:r>
              <w:t xml:space="preserve">Grande entreprise</w:t>
            </w:r>
          </w:p>
        </w:tc>
        <w:tc>
          <w:tcPr/>
          <w:p>
            <w:pPr>
              <w:pStyle w:val="Compact"/>
            </w:pPr>
            <w:r>
              <w:t xml:space="preserve">ServiceNow CMDB, ou équivalent, avec découverte automatique des actifs réseau</w:t>
            </w:r>
          </w:p>
        </w:tc>
      </w:tr>
    </w:tbl>
    <w:p>
      <w:pPr>
        <w:pStyle w:val="BodyText"/>
      </w:pPr>
      <w:r>
        <w:t xml:space="preserve">💡 Pour aller plus loin — l’infrastructure as code comme documentation vivante</w:t>
      </w:r>
      <w:r>
        <w:t xml:space="preserve"> </w:t>
      </w:r>
      <w:r>
        <w:t xml:space="preserve">Les Parties 6 à 9 de ce manuel (virtualisation, conteneurs, automatisation) introduisent une idée complémentaire puissante : quand l’infrastructure est décrite dans du code (Terraform, Ansible), ce code devient lui-même une forme de documentation — toujours à jour par construction, puisque c’est lui qui a réellement créé l’infrastructure en question. Ce n’est pas un remplacement des runbooks ou des schémas d’architecture, mais un complément qui réduit fortement le risque de dérive entre</w:t>
      </w:r>
      <w:r>
        <w:t xml:space="preserve"> </w:t>
      </w:r>
      <w:r>
        <w:t xml:space="preserve">“ce qui est documenté”</w:t>
      </w:r>
      <w:r>
        <w:t xml:space="preserve"> </w:t>
      </w:r>
      <w:r>
        <w:t xml:space="preserve">et</w:t>
      </w:r>
      <w:r>
        <w:t xml:space="preserve"> </w:t>
      </w:r>
      <w:r>
        <w:t xml:space="preserve">“ce qui existe réellement”</w:t>
      </w:r>
      <w:r>
        <w:t xml:space="preserve"> </w:t>
      </w:r>
      <w:r>
        <w:t xml:space="preserve">(chapitre 51 et suivants).</w:t>
      </w:r>
    </w:p>
    <w:bookmarkEnd w:id="79"/>
    <w:bookmarkStart w:id="80" w:name="X0bc8e8c8a12bb70e97643eda9e08f1f0f6e9d3a"/>
    <w:p>
      <w:pPr>
        <w:pStyle w:val="Heading2"/>
      </w:pPr>
      <w:r>
        <w:t xml:space="preserve">3.8 Le test ultime : quelqu’un d’autre doit pouvoir s’en servir sans toi</w:t>
      </w:r>
    </w:p>
    <w:p>
      <w:pPr>
        <w:pStyle w:val="FirstParagraph"/>
      </w:pPr>
      <w:r>
        <w:t xml:space="preserve">Toutes les sections précédentes convergent vers un seul critère de qualité, simple à énoncer mais exigeant à respecter :</w:t>
      </w:r>
      <w:r>
        <w:t xml:space="preserve"> </w:t>
      </w:r>
      <w:r>
        <w:rPr>
          <w:b/>
          <w:bCs/>
        </w:rPr>
        <w:t xml:space="preserve">une documentation n’a de valeur que le jour où quelqu’un d’autre que son auteur original l’utilise avec succès, sans aide.</w:t>
      </w:r>
      <w:r>
        <w:t xml:space="preserve"> </w:t>
      </w:r>
      <w:r>
        <w:t xml:space="preserve">Exactement comme la sauvegarde jamais testée du chapitre 1 (section 1.4), une documentation jamais éprouvée par quelqu’un d’extérieur reste une hypothèse non vérifiée, pas une garantie.</w:t>
      </w:r>
    </w:p>
    <w:p>
      <w:pPr>
        <w:pStyle w:val="BodyText"/>
      </w:pPr>
      <w:r>
        <w:t xml:space="preserve">✅ Bonne pratique — faire tourner la documentation</w:t>
      </w:r>
      <w:r>
        <w:t xml:space="preserve"> </w:t>
      </w:r>
      <w:r>
        <w:t xml:space="preserve">Dans une équipe de plusieurs personnes, un exercice simple et efficace consiste à faire résoudre occasionnellement un incident (réel ou simulé, hors production) à la personne qui n’est habituellement pas en charge de ce système, en suivant uniquement la documentation existante. Ce qui bloque révèle exactement ce qui doit être amélioré — un réflexe qui rejoint directement les principes directeurs ITIL vus au chapitre 2 (progresser de manière itérative avec un retour d’information).</w:t>
      </w:r>
    </w:p>
    <w:bookmarkEnd w:id="80"/>
    <w:bookmarkStart w:id="81" w:name="atelier-écrire-un-runbook-exploitable"/>
    <w:p>
      <w:pPr>
        <w:pStyle w:val="Heading2"/>
      </w:pPr>
      <w:r>
        <w:t xml:space="preserve">Atelier — Écrire un runbook exploitable</w:t>
      </w:r>
    </w:p>
    <w:p>
      <w:pPr>
        <w:pStyle w:val="FirstParagraph"/>
      </w:pPr>
      <w:r>
        <w:t xml:space="preserve">🛠️ Atelier 3 — Rédiger un runbook depuis zéro</w:t>
      </w:r>
    </w:p>
    <w:p>
      <w:pPr>
        <w:pStyle w:val="BodyText"/>
      </w:pPr>
      <w:r>
        <w:rPr>
          <w:b/>
          <w:bCs/>
        </w:rPr>
        <w:t xml:space="preserve">Objectif</w:t>
      </w:r>
      <w:r>
        <w:t xml:space="preserve"> </w:t>
      </w:r>
      <w:r>
        <w:t xml:space="preserve">: s’entraîner à produire un runbook qui respecte le</w:t>
      </w:r>
      <w:r>
        <w:t xml:space="preserve"> </w:t>
      </w:r>
      <w:r>
        <w:t xml:space="preserve">“test du collègue qui ne connaît rien”</w:t>
      </w:r>
      <w:r>
        <w:t xml:space="preserve"> </w:t>
      </w:r>
      <w:r>
        <w:t xml:space="preserve">(section 3.3) — la compétence la plus directement utile de ce chapitre pour ton futur poste.</w:t>
      </w:r>
    </w:p>
    <w:p>
      <w:pPr>
        <w:pStyle w:val="BodyText"/>
      </w:pPr>
      <w:r>
        <w:rPr>
          <w:b/>
          <w:bCs/>
        </w:rPr>
        <w:t xml:space="preserve">Préparation</w:t>
      </w:r>
      <w:r>
        <w:t xml:space="preserve"> </w:t>
      </w:r>
      <w:r>
        <w:t xml:space="preserve">: aucune installation nécessaire. Prends un éditeur de texte ou une feuille.</w:t>
      </w:r>
    </w:p>
    <w:p>
      <w:pPr>
        <w:pStyle w:val="BodyText"/>
      </w:pPr>
      <w:r>
        <w:rPr>
          <w:b/>
          <w:bCs/>
        </w:rPr>
        <w:t xml:space="preserve">Scénario donné</w:t>
      </w:r>
      <w:r>
        <w:t xml:space="preserve"> </w:t>
      </w:r>
      <w:r>
        <w:t xml:space="preserve">: un serveur de fichiers partagé (nom : FILE01) affiche une alerte</w:t>
      </w:r>
      <w:r>
        <w:t xml:space="preserve"> </w:t>
      </w:r>
      <w:r>
        <w:t xml:space="preserve">“espace disque à 95%”</w:t>
      </w:r>
      <w:r>
        <w:t xml:space="preserve"> </w:t>
      </w:r>
      <w:r>
        <w:t xml:space="preserve">dans l’outil de supervision. Les utilisateurs commencent à ne plus pouvoir enregistrer de nouveaux fichiers.</w:t>
      </w:r>
    </w:p>
    <w:p>
      <w:pPr>
        <w:pStyle w:val="BodyText"/>
      </w:pPr>
      <w:r>
        <w:rPr>
          <w:b/>
          <w:bCs/>
        </w:rPr>
        <w:t xml:space="preserve">Étapes détaillées</w:t>
      </w:r>
      <w:r>
        <w:t xml:space="preserve"> </w:t>
      </w:r>
      <w:r>
        <w:t xml:space="preserve">:</w:t>
      </w:r>
    </w:p>
    <w:p>
      <w:pPr>
        <w:pStyle w:val="Compact"/>
        <w:numPr>
          <w:ilvl w:val="0"/>
          <w:numId w:val="1063"/>
        </w:numPr>
      </w:pPr>
      <w:r>
        <w:t xml:space="preserve">Rédige un runbook complet pour ce scénario, en suivant la structure de la section 3.3 (Symptôme, Impact, Vérification préalable, Résolution, Après résolution).</w:t>
      </w:r>
    </w:p>
    <w:p>
      <w:pPr>
        <w:pStyle w:val="Compact"/>
        <w:numPr>
          <w:ilvl w:val="0"/>
          <w:numId w:val="1063"/>
        </w:numPr>
      </w:pPr>
      <w:r>
        <w:t xml:space="preserve">Pour l’étape</w:t>
      </w:r>
      <w:r>
        <w:t xml:space="preserve"> </w:t>
      </w:r>
      <w:r>
        <w:t xml:space="preserve">“Résolution”</w:t>
      </w:r>
      <w:r>
        <w:t xml:space="preserve">, imagine et décris au moins deux actions possibles (par exemple : identifier et supprimer les fichiers temporaires ou obsolètes les plus volumineux ; étendre l’espace disque si l’infrastructure le permet).</w:t>
      </w:r>
    </w:p>
    <w:p>
      <w:pPr>
        <w:pStyle w:val="Compact"/>
        <w:numPr>
          <w:ilvl w:val="0"/>
          <w:numId w:val="1063"/>
        </w:numPr>
      </w:pPr>
      <w:r>
        <w:t xml:space="preserve">Relis ton propre runbook en te demandant, pour chaque étape :</w:t>
      </w:r>
      <w:r>
        <w:t xml:space="preserve"> </w:t>
      </w:r>
      <w:r>
        <w:rPr>
          <w:i/>
          <w:iCs/>
        </w:rPr>
        <w:t xml:space="preserve">“Si je ne connaissais rien à ce serveur, saurais-je exactement quoi faire avec cette seule phrase ?”</w:t>
      </w:r>
    </w:p>
    <w:p>
      <w:pPr>
        <w:pStyle w:val="Compact"/>
        <w:numPr>
          <w:ilvl w:val="0"/>
          <w:numId w:val="1063"/>
        </w:numPr>
      </w:pPr>
      <w:r>
        <w:t xml:space="preserve">Compare ta démarche à la section</w:t>
      </w:r>
      <w:r>
        <w:t xml:space="preserve"> </w:t>
      </w:r>
      <w:r>
        <w:t xml:space="preserve">“Résultat attendu”</w:t>
      </w:r>
      <w:r>
        <w:t xml:space="preserve"> </w:t>
      </w:r>
      <w:r>
        <w:t xml:space="preserve">ci-dessous.</w:t>
      </w:r>
    </w:p>
    <w:p>
      <w:pPr>
        <w:pStyle w:val="FirstParagraph"/>
      </w:pPr>
      <w:r>
        <w:rPr>
          <w:b/>
          <w:bCs/>
        </w:rPr>
        <w:t xml:space="preserve">Résultat attendu</w:t>
      </w:r>
      <w:r>
        <w:t xml:space="preserve"> </w:t>
      </w:r>
      <w:r>
        <w:t xml:space="preserve">: un bon runbook pour ce scénario doit inclure des commandes précises (pas</w:t>
      </w:r>
      <w:r>
        <w:t xml:space="preserve"> </w:t>
      </w:r>
      <w:r>
        <w:t xml:space="preserve">“vérifier l’espace disque”</w:t>
      </w:r>
      <w:r>
        <w:t xml:space="preserve"> </w:t>
      </w:r>
      <w:r>
        <w:t xml:space="preserve">seul, mais la commande exacte à exécuter selon l’OS, sujet approfondi dans les Parties 2 et 3 de ce manuel), un seuil clair de décision (à partir de quel espace libéré peut-on considérer l’incident résolu), et une étape de vérification après action (confirmer qu’un utilisateur peut de nouveau enregistrer un fichier). L’absence de l’une de ces trois composantes est le signe d’un runbook encore incomplet.</w:t>
      </w:r>
    </w:p>
    <w:p>
      <w:pPr>
        <w:pStyle w:val="BodyText"/>
      </w:pPr>
      <w:r>
        <w:rPr>
          <w:b/>
          <w:bCs/>
        </w:rPr>
        <w:t xml:space="preserve">Dépannage</w:t>
      </w:r>
      <w:r>
        <w:t xml:space="preserve"> </w:t>
      </w:r>
      <w:r>
        <w:t xml:space="preserve">: si tu ne sais pas quelle commande précise écrire à ce stade du manuel (avant les Parties 2 et 3), c’est normal — note</w:t>
      </w:r>
      <w:r>
        <w:t xml:space="preserve"> </w:t>
      </w:r>
      <w:r>
        <w:t xml:space="preserve">“TODO : commande précise à ajouter après le chapitre correspondant”</w:t>
      </w:r>
      <w:r>
        <w:t xml:space="preserve"> </w:t>
      </w:r>
      <w:r>
        <w:t xml:space="preserve">plutôt que d’inventer une commande approximative. Un runbook incomplet mais honnête vaut mieux qu’un runbook qui semble complet mais contient une erreur.</w:t>
      </w:r>
    </w:p>
    <w:bookmarkEnd w:id="81"/>
    <w:bookmarkStart w:id="82" w:name="erreurs-fréquentes-2"/>
    <w:p>
      <w:pPr>
        <w:pStyle w:val="Heading2"/>
      </w:pPr>
      <w:r>
        <w:t xml:space="preserve">Erreurs fréquentes</w:t>
      </w:r>
    </w:p>
    <w:p>
      <w:pPr>
        <w:pStyle w:val="FirstParagraph"/>
      </w:pPr>
      <w:r>
        <w:t xml:space="preserve">⚠️ Erreur n°1 — la documentation zombie</w:t>
      </w:r>
      <w:r>
        <w:t xml:space="preserve"> </w:t>
      </w:r>
      <w:r>
        <w:t xml:space="preserve">Un document créé une fois puis jamais mis à jour devient, avec le temps, plus dangereux qu’utile — exactement le schéma d’architecture obsolète du scénario d’ouverture. La meilleure façon d’éviter ce piège est de lier la mise à jour de la documentation directement au processus de changement du chapitre 2 : aucun changement n’est considéré terminé tant que la documentation correspondante n’a pas été mise à jour.</w:t>
      </w:r>
    </w:p>
    <w:p>
      <w:pPr>
        <w:pStyle w:val="BodyText"/>
      </w:pPr>
      <w:r>
        <w:t xml:space="preserve">⚠️ Erreur n°2 — confondre inventaire physique et CMDB</w:t>
      </w:r>
      <w:r>
        <w:t xml:space="preserve"> </w:t>
      </w:r>
      <w:r>
        <w:t xml:space="preserve">Un inventaire physique répond à</w:t>
      </w:r>
      <w:r>
        <w:t xml:space="preserve"> </w:t>
      </w:r>
      <w:r>
        <w:t xml:space="preserve">“qu’est-ce qu’on possède ?”</w:t>
      </w:r>
      <w:r>
        <w:t xml:space="preserve"> </w:t>
      </w:r>
      <w:r>
        <w:t xml:space="preserve">; une CMDB répond en plus à</w:t>
      </w:r>
      <w:r>
        <w:t xml:space="preserve"> </w:t>
      </w:r>
      <w:r>
        <w:t xml:space="preserve">“comment tout cela s’articule, et quel est l’impact d’une panne ?”</w:t>
      </w:r>
      <w:r>
        <w:t xml:space="preserve"> </w:t>
      </w:r>
      <w:r>
        <w:t xml:space="preserve">(section 3.5). Une organisation qui ne tient qu’un inventaire physique croit souvent, à tort, disposer d’une vision complète de son risque opérationnel.</w:t>
      </w:r>
    </w:p>
    <w:p>
      <w:pPr>
        <w:pStyle w:val="BodyText"/>
      </w:pPr>
      <w:r>
        <w:t xml:space="preserve">⚠️ Erreur n°3 — reporter la documentation à</w:t>
      </w:r>
      <w:r>
        <w:t xml:space="preserve"> </w:t>
      </w:r>
      <w:r>
        <w:t xml:space="preserve">“plus tard”</w:t>
      </w:r>
      <w:r>
        <w:t xml:space="preserve"> </w:t>
      </w:r>
      <w:r>
        <w:t xml:space="preserve">“Je documenterai une fois que tout sera stable”</w:t>
      </w:r>
      <w:r>
        <w:t xml:space="preserve"> </w:t>
      </w:r>
      <w:r>
        <w:t xml:space="preserve">est une promesse presque toujours rompue, car une infrastructure n’est jamais définitivement stable — de nouveaux systèmes, de nouveaux changements arrivent en continu. La bonne pratique est de documenter</w:t>
      </w:r>
      <w:r>
        <w:t xml:space="preserve"> </w:t>
      </w:r>
      <w:r>
        <w:rPr>
          <w:b/>
          <w:bCs/>
        </w:rPr>
        <w:t xml:space="preserve">au moment même</w:t>
      </w:r>
      <w:r>
        <w:t xml:space="preserve"> </w:t>
      </w:r>
      <w:r>
        <w:t xml:space="preserve">de l’action (section 3.1 du chapitre 1), jamais différée à un moment hypothétique plus calme qui n’arrive presque jamais.</w:t>
      </w:r>
    </w:p>
    <w:bookmarkEnd w:id="82"/>
    <w:bookmarkStart w:id="83" w:name="Xfeda8f6abc584086b977dde541025150453d9de"/>
    <w:p>
      <w:pPr>
        <w:pStyle w:val="Heading2"/>
      </w:pPr>
      <w:r>
        <w:t xml:space="preserve">Diagnostiquer la fiabilité d’une documentation</w:t>
      </w:r>
    </w:p>
    <w:p>
      <w:pPr>
        <w:pStyle w:val="FirstParagraph"/>
      </w:pPr>
      <w:r>
        <w:t xml:space="preserve">🩺 Situation :</w:t>
      </w:r>
      <w:r>
        <w:t xml:space="preserve"> </w:t>
      </w:r>
      <w:r>
        <w:t xml:space="preserve">“Je ne sais pas si je peux faire confiance à ce document”</w:t>
      </w:r>
    </w:p>
    <w:p>
      <w:pPr>
        <w:pStyle w:val="Compact"/>
        <w:numPr>
          <w:ilvl w:val="0"/>
          <w:numId w:val="1064"/>
        </w:numPr>
      </w:pPr>
      <w:r>
        <w:rPr>
          <w:b/>
          <w:bCs/>
        </w:rPr>
        <w:t xml:space="preserve">Diagnostic</w:t>
      </w:r>
      <w:r>
        <w:t xml:space="preserve"> </w:t>
      </w:r>
      <w:r>
        <w:t xml:space="preserve">: vérifie d’abord la date de dernière modification, et compare-la à la date du dernier changement connu sur le système concerné (journal des changements, section 3.2). Un écart important est un signal d’alerte immédiat.</w:t>
      </w:r>
    </w:p>
    <w:p>
      <w:pPr>
        <w:pStyle w:val="Compact"/>
        <w:numPr>
          <w:ilvl w:val="0"/>
          <w:numId w:val="1064"/>
        </w:numPr>
      </w:pPr>
      <w:r>
        <w:rPr>
          <w:b/>
          <w:bCs/>
        </w:rPr>
        <w:t xml:space="preserve">Comment vérifier</w:t>
      </w:r>
      <w:r>
        <w:t xml:space="preserve"> </w:t>
      </w:r>
      <w:r>
        <w:t xml:space="preserve">: si possible, valide une information factuelle simple et vérifiable rapidement (un nom de serveur, une adresse IP) avant de suivre une procédure plus risquée à l’aveugle.</w:t>
      </w:r>
    </w:p>
    <w:p>
      <w:pPr>
        <w:pStyle w:val="Compact"/>
        <w:numPr>
          <w:ilvl w:val="0"/>
          <w:numId w:val="1064"/>
        </w:numPr>
      </w:pPr>
      <w:r>
        <w:rPr>
          <w:b/>
          <w:bCs/>
        </w:rPr>
        <w:t xml:space="preserve">Résolution</w:t>
      </w:r>
      <w:r>
        <w:t xml:space="preserve"> </w:t>
      </w:r>
      <w:r>
        <w:t xml:space="preserve">: en cas de doute persistant pendant un incident réel, ne suis jamais une procédure douteuse sans vérification préalable sur un système de production — mieux vaut perdre quelques minutes à confirmer qu’aggraver un incident avec une action basée sur une information fausse.</w:t>
      </w:r>
    </w:p>
    <w:bookmarkEnd w:id="83"/>
    <w:bookmarkStart w:id="84" w:name="en-entreprise-2"/>
    <w:p>
      <w:pPr>
        <w:pStyle w:val="Heading2"/>
      </w:pPr>
      <w:r>
        <w:t xml:space="preserve">En entreprise</w:t>
      </w:r>
    </w:p>
    <w:p>
      <w:pPr>
        <w:pStyle w:val="FirstParagraph"/>
      </w:pPr>
      <w:r>
        <w:t xml:space="preserve">En pratique professionnelle, quelques constats reviennent souvent autour de la documentation et de l’inventaire :</w:t>
      </w:r>
    </w:p>
    <w:p>
      <w:pPr>
        <w:pStyle w:val="Compact"/>
        <w:numPr>
          <w:ilvl w:val="0"/>
          <w:numId w:val="1065"/>
        </w:numPr>
      </w:pPr>
      <w:r>
        <w:rPr>
          <w:b/>
          <w:bCs/>
        </w:rPr>
        <w:t xml:space="preserve">Bonne pratique répandue</w:t>
      </w:r>
      <w:r>
        <w:t xml:space="preserve"> </w:t>
      </w:r>
      <w:r>
        <w:t xml:space="preserve">: les organisations matures effectuent un audit périodique de leur CMDB (souvent trimestriel ou semestriel), en comparant l’inventaire déclaré à une découverte automatique du réseau réel, pour détecter les écarts (shadow IT, actifs oubliés).</w:t>
      </w:r>
    </w:p>
    <w:p>
      <w:pPr>
        <w:pStyle w:val="Compact"/>
        <w:numPr>
          <w:ilvl w:val="0"/>
          <w:numId w:val="1065"/>
        </w:numPr>
      </w:pPr>
      <w:r>
        <w:rPr>
          <w:b/>
          <w:bCs/>
        </w:rPr>
        <w:t xml:space="preserve">Bonne pratique répandue</w:t>
      </w:r>
      <w:r>
        <w:t xml:space="preserve"> </w:t>
      </w:r>
      <w:r>
        <w:t xml:space="preserve">: documenter au format texte simple (Markdown, comme l’exemple de runbook de ce chapitre) plutôt que dans des formats propriétaires complexes — un texte brut reste lisible, versionnable (avec Git, chapitre 51), et consultable même quand l’outil</w:t>
      </w:r>
      <w:r>
        <w:t xml:space="preserve"> </w:t>
      </w:r>
      <w:r>
        <w:t xml:space="preserve">“idéal”</w:t>
      </w:r>
      <w:r>
        <w:t xml:space="preserve"> </w:t>
      </w:r>
      <w:r>
        <w:t xml:space="preserve">est lui-même hors service.</w:t>
      </w:r>
    </w:p>
    <w:p>
      <w:pPr>
        <w:pStyle w:val="Compact"/>
        <w:numPr>
          <w:ilvl w:val="0"/>
          <w:numId w:val="1065"/>
        </w:numPr>
      </w:pPr>
      <w:r>
        <w:rPr>
          <w:b/>
          <w:bCs/>
        </w:rPr>
        <w:t xml:space="preserve">Erreur classique observée</w:t>
      </w:r>
      <w:r>
        <w:t xml:space="preserve"> </w:t>
      </w:r>
      <w:r>
        <w:t xml:space="preserve">: une documentation qui existe uniquement dans la tête d’un prestataire externe ou d’un consultant temporaire, jamais transférée à l’équipe interne — un risque similaire au</w:t>
      </w:r>
      <w:r>
        <w:t xml:space="preserve"> </w:t>
      </w:r>
      <w:r>
        <w:t xml:space="preserve">“bus factor”</w:t>
      </w:r>
      <w:r>
        <w:t xml:space="preserve"> </w:t>
      </w:r>
      <w:r>
        <w:t xml:space="preserve">de 1 du chapitre 1, mais encore plus difficile à corriger une fois le contrat terminé.</w:t>
      </w:r>
    </w:p>
    <w:bookmarkEnd w:id="84"/>
    <w:bookmarkStart w:id="85" w:name="entretien-technique-2"/>
    <w:p>
      <w:pPr>
        <w:pStyle w:val="Heading2"/>
      </w:pPr>
      <w:r>
        <w:t xml:space="preserve">Entretien technique</w:t>
      </w:r>
    </w:p>
    <w:p>
      <w:pPr>
        <w:pStyle w:val="FirstParagraph"/>
      </w:pPr>
      <w:r>
        <w:t xml:space="preserve">💼 Questions fréquemment posées en entretien</w:t>
      </w:r>
    </w:p>
    <w:p>
      <w:pPr>
        <w:pStyle w:val="BodyText"/>
      </w:pPr>
      <w:r>
        <w:rPr>
          <w:b/>
          <w:bCs/>
        </w:rPr>
        <w:t xml:space="preserve">Q1.</w:t>
      </w:r>
      <w:r>
        <w:rPr>
          <w:b/>
          <w:bCs/>
        </w:rPr>
        <w:t xml:space="preserve"> </w:t>
      </w:r>
      <w:r>
        <w:rPr>
          <w:b/>
          <w:bCs/>
        </w:rPr>
        <w:t xml:space="preserve">“Quelle est la différence entre un inventaire et une CMDB ?”</w:t>
      </w:r>
      <w:r>
        <w:t xml:space="preserve"> </w:t>
      </w:r>
      <w:r>
        <w:t xml:space="preserve">Réponse attendue : un inventaire liste les actifs existants ; une CMDB ajoute les relations entre ces actifs (éléments de configuration), permettant d’évaluer l’impact réel d’une panne ou d’un changement, pas seulement de savoir ce qui existe.</w:t>
      </w:r>
    </w:p>
    <w:p>
      <w:pPr>
        <w:pStyle w:val="BodyText"/>
      </w:pPr>
      <w:r>
        <w:rPr>
          <w:b/>
          <w:bCs/>
        </w:rPr>
        <w:t xml:space="preserve">Q2.</w:t>
      </w:r>
      <w:r>
        <w:rPr>
          <w:b/>
          <w:bCs/>
        </w:rPr>
        <w:t xml:space="preserve"> </w:t>
      </w:r>
      <w:r>
        <w:rPr>
          <w:b/>
          <w:bCs/>
        </w:rPr>
        <w:t xml:space="preserve">“Comment t’assures-tu qu’un runbook que tu écris sera vraiment utile à quelqu’un d’autre ?”</w:t>
      </w:r>
      <w:r>
        <w:t xml:space="preserve"> </w:t>
      </w:r>
      <w:r>
        <w:t xml:space="preserve">Réponse attendue : en appliquant le</w:t>
      </w:r>
      <w:r>
        <w:t xml:space="preserve"> </w:t>
      </w:r>
      <w:r>
        <w:t xml:space="preserve">“test du collègue qui ne connaît rien”</w:t>
      </w:r>
      <w:r>
        <w:t xml:space="preserve"> </w:t>
      </w:r>
      <w:r>
        <w:t xml:space="preserve">(section 3.3) — des commandes précises plutôt que des instructions vagues, un critère clair de résolution, et une vérification finale. Le mieux est de le faire relire ou tester par une personne extérieure au système concerné.</w:t>
      </w:r>
    </w:p>
    <w:p>
      <w:pPr>
        <w:pStyle w:val="BodyText"/>
      </w:pPr>
      <w:r>
        <w:rPr>
          <w:b/>
          <w:bCs/>
        </w:rPr>
        <w:t xml:space="preserve">Q3.</w:t>
      </w:r>
      <w:r>
        <w:rPr>
          <w:b/>
          <w:bCs/>
        </w:rPr>
        <w:t xml:space="preserve"> </w:t>
      </w:r>
      <w:r>
        <w:rPr>
          <w:b/>
          <w:bCs/>
        </w:rPr>
        <w:t xml:space="preserve">“Pourquoi l’inventaire des actifs est-il considéré comme un sujet de cybersécurité, pas seulement d’organisation ?”</w:t>
      </w:r>
      <w:r>
        <w:t xml:space="preserve"> </w:t>
      </w:r>
      <w:r>
        <w:t xml:space="preserve">Réponse attendue : parce qu’il est impossible de sécuriser, corriger ou surveiller un système dont on ignore l’existence (section 3.4) — un point d’ailleurs classé en tout premier dans le référentiel CIS Controls, approfondi en Partie 12 de ce manuel.</w:t>
      </w:r>
    </w:p>
    <w:bookmarkEnd w:id="85"/>
    <w:bookmarkStart w:id="86" w:name="X1749d2077aad49b24cf208d3cabfae27189d7d5"/>
    <w:p>
      <w:pPr>
        <w:pStyle w:val="Heading2"/>
      </w:pPr>
      <w:r>
        <w:t xml:space="preserve">Optimisation, sécurité et maintenabilité — les réflexes dès ce chapitre</w:t>
      </w:r>
    </w:p>
    <w:p>
      <w:pPr>
        <w:pStyle w:val="FirstParagraph"/>
      </w:pPr>
      <w:r>
        <w:t xml:space="preserve">🔒 Sécurité</w:t>
      </w:r>
      <w:r>
        <w:t xml:space="preserve"> </w:t>
      </w:r>
      <w:r>
        <w:t xml:space="preserve">Un compte de service ou un accès créé</w:t>
      </w:r>
      <w:r>
        <w:t xml:space="preserve"> </w:t>
      </w:r>
      <w:r>
        <w:t xml:space="preserve">“temporairement”</w:t>
      </w:r>
      <w:r>
        <w:t xml:space="preserve"> </w:t>
      </w:r>
      <w:r>
        <w:t xml:space="preserve">pour une tâche ponctuelle doit être enregistré dans l’inventaire au même titre qu’un serveur — c’est précisément ce type d’accès temporaire jamais retiré qui constitue, statistiquement, l’une des causes les plus fréquentes de compromission a posteriori.</w:t>
      </w:r>
    </w:p>
    <w:p>
      <w:pPr>
        <w:pStyle w:val="BodyText"/>
      </w:pPr>
      <w:r>
        <w:t xml:space="preserve">✅ Maintenabilité</w:t>
      </w:r>
      <w:r>
        <w:t xml:space="preserve"> </w:t>
      </w:r>
      <w:r>
        <w:t xml:space="preserve">Choisis un format de documentation simple et pérenne (texte brut, Markdown) plutôt qu’un outil complexe que toute l’équipe devra apprendre à maîtriser avant de pouvoir documenter quoi que ce soit — l’outil ne doit jamais devenir un obstacle à la discipline elle-même.</w:t>
      </w:r>
    </w:p>
    <w:p>
      <w:pPr>
        <w:pStyle w:val="BodyText"/>
      </w:pPr>
      <w:r>
        <w:t xml:space="preserve">🚀 Performance</w:t>
      </w:r>
      <w:r>
        <w:t xml:space="preserve"> </w:t>
      </w:r>
      <w:r>
        <w:t xml:space="preserve">Une CMDB à jour accélère directement le diagnostic d’incident (chapitre 2) : au lieu de découvrir en pleine crise qu’un serveur héberge trois services critiques, cette information est déjà connue et consultable en quelques secondes — un gain de temps qui se mesure très concrètement en MTTR (temps moyen de résolution, chapitre 2).</w:t>
      </w:r>
    </w:p>
    <w:bookmarkEnd w:id="86"/>
    <w:bookmarkStart w:id="87" w:name="résumé-du-chapitre-2"/>
    <w:p>
      <w:pPr>
        <w:pStyle w:val="Heading2"/>
      </w:pPr>
      <w:r>
        <w:t xml:space="preserve">Résumé du chapitre</w:t>
      </w:r>
    </w:p>
    <w:p>
      <w:pPr>
        <w:pStyle w:val="Compact"/>
        <w:numPr>
          <w:ilvl w:val="0"/>
          <w:numId w:val="1066"/>
        </w:numPr>
      </w:pPr>
      <w:r>
        <w:t xml:space="preserve">La documentation transforme la connaissance individuelle en capacité durable de l’organisation — elle réduit directement le risque du</w:t>
      </w:r>
      <w:r>
        <w:t xml:space="preserve"> </w:t>
      </w:r>
      <w:r>
        <w:t xml:space="preserve">“bus factor”</w:t>
      </w:r>
      <w:r>
        <w:t xml:space="preserve"> </w:t>
      </w:r>
      <w:r>
        <w:t xml:space="preserve">de 1 évoqué au chapitre 1.</w:t>
      </w:r>
    </w:p>
    <w:p>
      <w:pPr>
        <w:pStyle w:val="Compact"/>
        <w:numPr>
          <w:ilvl w:val="0"/>
          <w:numId w:val="1066"/>
        </w:numPr>
      </w:pPr>
      <w:r>
        <w:t xml:space="preserve">Un runbook, une procédure standard, un schéma d’architecture, un journal des changements et une base de connaissance répondent chacun à un besoin différent, à un moment différent.</w:t>
      </w:r>
    </w:p>
    <w:p>
      <w:pPr>
        <w:pStyle w:val="Compact"/>
        <w:numPr>
          <w:ilvl w:val="0"/>
          <w:numId w:val="1066"/>
        </w:numPr>
      </w:pPr>
      <w:r>
        <w:t xml:space="preserve">Un bon runbook passe le</w:t>
      </w:r>
      <w:r>
        <w:t xml:space="preserve"> </w:t>
      </w:r>
      <w:r>
        <w:t xml:space="preserve">“test du collègue qui ne connaît rien”</w:t>
      </w:r>
      <w:r>
        <w:t xml:space="preserve"> </w:t>
      </w:r>
      <w:r>
        <w:t xml:space="preserve">: des commandes précises, un critère de résolution clair, une vérification finale.</w:t>
      </w:r>
    </w:p>
    <w:p>
      <w:pPr>
        <w:pStyle w:val="Compact"/>
        <w:numPr>
          <w:ilvl w:val="0"/>
          <w:numId w:val="1066"/>
        </w:numPr>
      </w:pPr>
      <w:r>
        <w:t xml:space="preserve">Un simple inventaire liste les actifs ; une CMDB ajoute leurs relations, permettant d’évaluer un impact réel, pas seulement une existence.</w:t>
      </w:r>
    </w:p>
    <w:p>
      <w:pPr>
        <w:pStyle w:val="Compact"/>
        <w:numPr>
          <w:ilvl w:val="0"/>
          <w:numId w:val="1066"/>
        </w:numPr>
      </w:pPr>
      <w:r>
        <w:t xml:space="preserve">Un actif suit un cycle de vie complet, de l’acquisition au décommissionnement — l’étape de retrait est la plus souvent négligée, et l’une des plus risquées si elle l’est.</w:t>
      </w:r>
    </w:p>
    <w:p>
      <w:pPr>
        <w:pStyle w:val="Compact"/>
        <w:numPr>
          <w:ilvl w:val="0"/>
          <w:numId w:val="1066"/>
        </w:numPr>
      </w:pPr>
      <w:r>
        <w:t xml:space="preserve">Une documentation n’a de valeur prouvée que le jour où quelqu’un d’autre que son auteur l’utilise avec succès.</w:t>
      </w:r>
    </w:p>
    <w:bookmarkEnd w:id="87"/>
    <w:bookmarkStart w:id="88" w:name="quiz-2"/>
    <w:p>
      <w:pPr>
        <w:pStyle w:val="Heading2"/>
      </w:pPr>
      <w:r>
        <w:t xml:space="preserve">Quiz</w:t>
      </w:r>
    </w:p>
    <w:p>
      <w:pPr>
        <w:pStyle w:val="FirstParagraph"/>
      </w:pPr>
      <w:r>
        <w:t xml:space="preserve">📝 QCM (une seule bonne réponse par question)</w:t>
      </w:r>
    </w:p>
    <w:p>
      <w:pPr>
        <w:pStyle w:val="Compact"/>
        <w:numPr>
          <w:ilvl w:val="0"/>
          <w:numId w:val="1067"/>
        </w:numPr>
      </w:pPr>
      <w:r>
        <w:t xml:space="preserve">Un document qui décrit, étape par étape, quoi faire pendant un incident précis est :</w:t>
      </w:r>
    </w:p>
    <w:p>
      <w:pPr>
        <w:pStyle w:val="Compact"/>
        <w:numPr>
          <w:ilvl w:val="1"/>
          <w:numId w:val="1068"/>
        </w:numPr>
      </w:pPr>
    </w:p>
    <w:p>
      <w:pPr>
        <w:pStyle w:val="Compact"/>
        <w:numPr>
          <w:ilvl w:val="2"/>
          <w:numId w:val="1069"/>
        </w:numPr>
      </w:pPr>
      <w:r>
        <w:t xml:space="preserve">Un schéma d’architecture</w:t>
      </w:r>
    </w:p>
    <w:p>
      <w:pPr>
        <w:pStyle w:val="Compact"/>
        <w:numPr>
          <w:ilvl w:val="1"/>
          <w:numId w:val="1068"/>
        </w:numPr>
      </w:pPr>
    </w:p>
    <w:p>
      <w:pPr>
        <w:pStyle w:val="Compact"/>
        <w:numPr>
          <w:ilvl w:val="2"/>
          <w:numId w:val="1070"/>
        </w:numPr>
      </w:pPr>
      <w:r>
        <w:t xml:space="preserve">Un runbook</w:t>
      </w:r>
    </w:p>
    <w:p>
      <w:pPr>
        <w:pStyle w:val="Compact"/>
        <w:numPr>
          <w:ilvl w:val="1"/>
          <w:numId w:val="1068"/>
        </w:numPr>
      </w:pPr>
    </w:p>
    <w:p>
      <w:pPr>
        <w:pStyle w:val="Compact"/>
        <w:numPr>
          <w:ilvl w:val="2"/>
          <w:numId w:val="1071"/>
        </w:numPr>
      </w:pPr>
      <w:r>
        <w:t xml:space="preserve">Un journal des changements</w:t>
      </w:r>
    </w:p>
    <w:p>
      <w:pPr>
        <w:pStyle w:val="Compact"/>
        <w:numPr>
          <w:ilvl w:val="1"/>
          <w:numId w:val="1068"/>
        </w:numPr>
      </w:pPr>
    </w:p>
    <w:p>
      <w:pPr>
        <w:pStyle w:val="Compact"/>
        <w:numPr>
          <w:ilvl w:val="2"/>
          <w:numId w:val="1072"/>
        </w:numPr>
      </w:pPr>
      <w:r>
        <w:t xml:space="preserve">Une CMDB</w:t>
      </w:r>
    </w:p>
    <w:p>
      <w:pPr>
        <w:pStyle w:val="Compact"/>
        <w:numPr>
          <w:ilvl w:val="0"/>
          <w:numId w:val="1067"/>
        </w:numPr>
      </w:pPr>
      <w:r>
        <w:t xml:space="preserve">Une CMDB se distingue d’un simple inventaire parce qu’elle ajoute :</w:t>
      </w:r>
    </w:p>
    <w:p>
      <w:pPr>
        <w:pStyle w:val="Compact"/>
        <w:numPr>
          <w:ilvl w:val="1"/>
          <w:numId w:val="1073"/>
        </w:numPr>
      </w:pPr>
    </w:p>
    <w:p>
      <w:pPr>
        <w:pStyle w:val="Compact"/>
        <w:numPr>
          <w:ilvl w:val="2"/>
          <w:numId w:val="1074"/>
        </w:numPr>
      </w:pPr>
      <w:r>
        <w:t xml:space="preserve">Des captures d’écran</w:t>
      </w:r>
    </w:p>
    <w:p>
      <w:pPr>
        <w:pStyle w:val="Compact"/>
        <w:numPr>
          <w:ilvl w:val="1"/>
          <w:numId w:val="1073"/>
        </w:numPr>
      </w:pPr>
    </w:p>
    <w:p>
      <w:pPr>
        <w:pStyle w:val="Compact"/>
        <w:numPr>
          <w:ilvl w:val="2"/>
          <w:numId w:val="1075"/>
        </w:numPr>
      </w:pPr>
      <w:r>
        <w:t xml:space="preserve">Les relations entre les actifs (éléments de configuration)</w:t>
      </w:r>
    </w:p>
    <w:p>
      <w:pPr>
        <w:pStyle w:val="Compact"/>
        <w:numPr>
          <w:ilvl w:val="1"/>
          <w:numId w:val="1073"/>
        </w:numPr>
      </w:pPr>
    </w:p>
    <w:p>
      <w:pPr>
        <w:pStyle w:val="Compact"/>
        <w:numPr>
          <w:ilvl w:val="2"/>
          <w:numId w:val="1076"/>
        </w:numPr>
      </w:pPr>
      <w:r>
        <w:t xml:space="preserve">Uniquement les licences logicielles</w:t>
      </w:r>
    </w:p>
    <w:p>
      <w:pPr>
        <w:pStyle w:val="Compact"/>
        <w:numPr>
          <w:ilvl w:val="1"/>
          <w:numId w:val="1073"/>
        </w:numPr>
      </w:pPr>
    </w:p>
    <w:p>
      <w:pPr>
        <w:pStyle w:val="Compact"/>
        <w:numPr>
          <w:ilvl w:val="2"/>
          <w:numId w:val="1077"/>
        </w:numPr>
      </w:pPr>
      <w:r>
        <w:t xml:space="preserve">Une estimation financière des actifs</w:t>
      </w:r>
    </w:p>
    <w:p>
      <w:pPr>
        <w:pStyle w:val="Compact"/>
        <w:numPr>
          <w:ilvl w:val="0"/>
          <w:numId w:val="1067"/>
        </w:numPr>
      </w:pPr>
      <w:r>
        <w:t xml:space="preserve">L’étape du cycle de vie d’un actif la plus souvent négligée est :</w:t>
      </w:r>
    </w:p>
    <w:p>
      <w:pPr>
        <w:pStyle w:val="Compact"/>
        <w:numPr>
          <w:ilvl w:val="1"/>
          <w:numId w:val="1078"/>
        </w:numPr>
      </w:pPr>
    </w:p>
    <w:p>
      <w:pPr>
        <w:pStyle w:val="Compact"/>
        <w:numPr>
          <w:ilvl w:val="2"/>
          <w:numId w:val="1079"/>
        </w:numPr>
      </w:pPr>
      <w:r>
        <w:t xml:space="preserve">L’acquisition</w:t>
      </w:r>
    </w:p>
    <w:p>
      <w:pPr>
        <w:pStyle w:val="Compact"/>
        <w:numPr>
          <w:ilvl w:val="1"/>
          <w:numId w:val="1078"/>
        </w:numPr>
      </w:pPr>
    </w:p>
    <w:p>
      <w:pPr>
        <w:pStyle w:val="Compact"/>
        <w:numPr>
          <w:ilvl w:val="2"/>
          <w:numId w:val="1080"/>
        </w:numPr>
      </w:pPr>
      <w:r>
        <w:t xml:space="preserve">La mise en service</w:t>
      </w:r>
    </w:p>
    <w:p>
      <w:pPr>
        <w:pStyle w:val="Compact"/>
        <w:numPr>
          <w:ilvl w:val="1"/>
          <w:numId w:val="1078"/>
        </w:numPr>
      </w:pPr>
    </w:p>
    <w:p>
      <w:pPr>
        <w:pStyle w:val="Compact"/>
        <w:numPr>
          <w:ilvl w:val="2"/>
          <w:numId w:val="1081"/>
        </w:numPr>
      </w:pPr>
      <w:r>
        <w:t xml:space="preserve">Le décommissionnement</w:t>
      </w:r>
    </w:p>
    <w:p>
      <w:pPr>
        <w:pStyle w:val="Compact"/>
        <w:numPr>
          <w:ilvl w:val="1"/>
          <w:numId w:val="1078"/>
        </w:numPr>
      </w:pPr>
    </w:p>
    <w:p>
      <w:pPr>
        <w:pStyle w:val="Compact"/>
        <w:numPr>
          <w:ilvl w:val="2"/>
          <w:numId w:val="1082"/>
        </w:numPr>
      </w:pPr>
      <w:r>
        <w:t xml:space="preserve">L’exploitation quotidienne</w:t>
      </w:r>
    </w:p>
    <w:p>
      <w:pPr>
        <w:pStyle w:val="FirstParagraph"/>
      </w:pPr>
      <w:r>
        <w:rPr>
          <w:b/>
          <w:bCs/>
        </w:rPr>
        <w:t xml:space="preserve">Corrigé</w:t>
      </w:r>
      <w:r>
        <w:t xml:space="preserve"> </w:t>
      </w:r>
      <w:r>
        <w:t xml:space="preserve">: 1-b, 2-b, 3-c.</w:t>
      </w:r>
    </w:p>
    <w:p>
      <w:pPr>
        <w:pStyle w:val="BodyText"/>
      </w:pPr>
      <w:r>
        <w:t xml:space="preserve">📝 Vrai ou Faux</w:t>
      </w:r>
    </w:p>
    <w:p>
      <w:pPr>
        <w:pStyle w:val="Compact"/>
        <w:numPr>
          <w:ilvl w:val="0"/>
          <w:numId w:val="1083"/>
        </w:numPr>
      </w:pPr>
      <w:r>
        <w:t xml:space="preserve">Une documentation jamais mise à jour est simplement inutile, jamais dangereuse. —</w:t>
      </w:r>
      <w:r>
        <w:t xml:space="preserve"> </w:t>
      </w:r>
      <w:r>
        <w:rPr>
          <w:b/>
          <w:bCs/>
        </w:rPr>
        <w:t xml:space="preserve">Faux</w:t>
      </w:r>
      <w:r>
        <w:t xml:space="preserve"> </w:t>
      </w:r>
      <w:r>
        <w:t xml:space="preserve">(elle peut donner une fausse confiance, comme le schéma obsolète du scénario d’ouverture).</w:t>
      </w:r>
    </w:p>
    <w:p>
      <w:pPr>
        <w:pStyle w:val="Compact"/>
        <w:numPr>
          <w:ilvl w:val="0"/>
          <w:numId w:val="1083"/>
        </w:numPr>
      </w:pPr>
      <w:r>
        <w:t xml:space="preserve">L’inventaire des actifs est considéré comme un fondement de la cybersécurité. —</w:t>
      </w:r>
      <w:r>
        <w:t xml:space="preserve"> </w:t>
      </w:r>
      <w:r>
        <w:rPr>
          <w:b/>
          <w:bCs/>
        </w:rPr>
        <w:t xml:space="preserve">Vrai</w:t>
      </w:r>
      <w:r>
        <w:t xml:space="preserve">.</w:t>
      </w:r>
    </w:p>
    <w:p>
      <w:pPr>
        <w:pStyle w:val="Compact"/>
        <w:numPr>
          <w:ilvl w:val="0"/>
          <w:numId w:val="1083"/>
        </w:numPr>
      </w:pPr>
      <w:r>
        <w:t xml:space="preserve">Un runbook efficace peut se permettre des instructions vagues si l’auteur connaît bien le système. —</w:t>
      </w:r>
      <w:r>
        <w:t xml:space="preserve"> </w:t>
      </w:r>
      <w:r>
        <w:rPr>
          <w:b/>
          <w:bCs/>
        </w:rPr>
        <w:t xml:space="preserve">Faux</w:t>
      </w:r>
      <w:r>
        <w:t xml:space="preserve"> </w:t>
      </w:r>
      <w:r>
        <w:t xml:space="preserve">(il doit être exploitable par quelqu’un qui ne connaît pas le système).</w:t>
      </w:r>
    </w:p>
    <w:p>
      <w:pPr>
        <w:pStyle w:val="Compact"/>
        <w:numPr>
          <w:ilvl w:val="0"/>
          <w:numId w:val="1083"/>
        </w:numPr>
      </w:pPr>
      <w:r>
        <w:t xml:space="preserve">L’infrastructure as code (Terraform, Ansible) peut compléter, mais ne remplace pas, un runbook. —</w:t>
      </w:r>
      <w:r>
        <w:t xml:space="preserve"> </w:t>
      </w:r>
      <w:r>
        <w:rPr>
          <w:b/>
          <w:bCs/>
        </w:rPr>
        <w:t xml:space="preserve">Vrai</w:t>
      </w:r>
      <w:r>
        <w:t xml:space="preserve">.</w:t>
      </w:r>
    </w:p>
    <w:p>
      <w:pPr>
        <w:pStyle w:val="FirstParagraph"/>
      </w:pPr>
      <w:r>
        <w:t xml:space="preserve">📝 Questions ouvertes</w:t>
      </w:r>
    </w:p>
    <w:p>
      <w:pPr>
        <w:pStyle w:val="Compact"/>
        <w:numPr>
          <w:ilvl w:val="0"/>
          <w:numId w:val="1084"/>
        </w:numPr>
      </w:pPr>
      <w:r>
        <w:t xml:space="preserve">Explique pourquoi une organisation qui possède un inventaire à jour mais aucune CMDB peut quand même être surprise par l’ampleur réelle d’une panne.</w:t>
      </w:r>
    </w:p>
    <w:p>
      <w:pPr>
        <w:pStyle w:val="Compact"/>
        <w:numPr>
          <w:ilvl w:val="0"/>
          <w:numId w:val="1084"/>
        </w:numPr>
      </w:pPr>
      <w:r>
        <w:t xml:space="preserve">Reprends le scénario d’ouverture de ce chapitre. Propose deux mesures concrètes que l’équipe aurait pu mettre en place pour que ton diagnostic de 40 minutes n’ait pas été nécessaire.</w:t>
      </w:r>
    </w:p>
    <w:p>
      <w:pPr>
        <w:pStyle w:val="FirstParagraph"/>
      </w:pPr>
      <w:r>
        <w:rPr>
          <w:b/>
          <w:bCs/>
        </w:rPr>
        <w:t xml:space="preserve">Corrigé 1</w:t>
      </w:r>
      <w:r>
        <w:t xml:space="preserve"> </w:t>
      </w:r>
      <w:r>
        <w:t xml:space="preserve">: un inventaire seul liste les actifs mais ne montre pas leurs dépendances. Une organisation peut donc savoir qu’un serveur existe sans savoir combien de services critiques il héberge réellement ni combien d’utilisateurs en dépendent — la CMDB (section 3.5) est justement ce qui comble cet écart entre</w:t>
      </w:r>
      <w:r>
        <w:t xml:space="preserve"> </w:t>
      </w:r>
      <w:r>
        <w:t xml:space="preserve">“savoir que ça existe”</w:t>
      </w:r>
      <w:r>
        <w:t xml:space="preserve"> </w:t>
      </w:r>
      <w:r>
        <w:t xml:space="preserve">et</w:t>
      </w:r>
      <w:r>
        <w:t xml:space="preserve"> </w:t>
      </w:r>
      <w:r>
        <w:t xml:space="preserve">“comprendre l’impact réel d’une panne”</w:t>
      </w:r>
      <w:r>
        <w:t xml:space="preserve">.</w:t>
      </w:r>
    </w:p>
    <w:p>
      <w:pPr>
        <w:pStyle w:val="BodyText"/>
      </w:pPr>
      <w:r>
        <w:rPr>
          <w:b/>
          <w:bCs/>
        </w:rPr>
        <w:t xml:space="preserve">Corrigé 2</w:t>
      </w:r>
      <w:r>
        <w:t xml:space="preserve"> </w:t>
      </w:r>
      <w:r>
        <w:t xml:space="preserve">: premièrement, un schéma d’architecture mis à jour systématiquement après chaque changement (et non occasionnellement), avec une date de dernière révision visible pour repérer immédiatement un document potentiellement obsolète. Deuxièmement, un runbook dédié à ce type précis d’alerte, écrit et testé par quelqu’un d’autre que la personne partie en congé — précisément le principe du</w:t>
      </w:r>
      <w:r>
        <w:t xml:space="preserve"> </w:t>
      </w:r>
      <w:r>
        <w:t xml:space="preserve">“test du collègue qui ne connaît rien”</w:t>
      </w:r>
      <w:r>
        <w:t xml:space="preserve"> </w:t>
      </w:r>
      <w:r>
        <w:t xml:space="preserve">de la section 3.3.</w:t>
      </w:r>
    </w:p>
    <w:bookmarkEnd w:id="88"/>
    <w:bookmarkStart w:id="89" w:name="exercices-2"/>
    <w:p>
      <w:pPr>
        <w:pStyle w:val="Heading2"/>
      </w:pPr>
      <w:r>
        <w:t xml:space="preserve">Exercices</w:t>
      </w:r>
    </w:p>
    <w:p>
      <w:pPr>
        <w:pStyle w:val="FirstParagraph"/>
      </w:pPr>
      <w:r>
        <w:t xml:space="preserve">📝 Exercice 3.1</w:t>
      </w:r>
    </w:p>
    <w:p>
      <w:pPr>
        <w:pStyle w:val="BodyText"/>
      </w:pPr>
      <w:r>
        <w:t xml:space="preserve">Une entreprise découvre, lors d’un audit, un serveur physique branché et fonctionnel dans sa salle serveur, mais absent de tout inventaire. Explique, à partir de la section 3.4, pourquoi cette découverte doit être traitée comme un problème de sécurité et pas seulement comme un oubli administratif.</w:t>
      </w:r>
    </w:p>
    <w:p>
      <w:pPr>
        <w:pStyle w:val="BodyText"/>
      </w:pPr>
      <w:r>
        <w:rPr>
          <w:b/>
          <w:bCs/>
        </w:rPr>
        <w:t xml:space="preserve">Corrigé :</w:t>
      </w:r>
      <w:r>
        <w:t xml:space="preserve"> </w:t>
      </w:r>
      <w:r>
        <w:t xml:space="preserve">Un serveur absent de l’inventaire n’a probablement jamais reçu de correctifs de sécurité suivis, n’est couvert par aucune sauvegarde connue, et n’est surveillé par aucun outil de supervision (chapitre 1, section 1.4) — puisque, par définition, personne ne savait qu’il fallait s’en occuper. C’est exactement la définition du</w:t>
      </w:r>
      <w:r>
        <w:t xml:space="preserve"> </w:t>
      </w:r>
      <w:r>
        <w:t xml:space="preserve">“shadow IT”</w:t>
      </w:r>
      <w:r>
        <w:t xml:space="preserve"> </w:t>
      </w:r>
      <w:r>
        <w:t xml:space="preserve">(section 3.4) : un angle mort qui peut héberger une vulnérabilité non corrigée depuis des années, invisible tant que personne ne le découvre, volontairement ou par accident.</w:t>
      </w:r>
    </w:p>
    <w:p>
      <w:pPr>
        <w:pStyle w:val="BodyText"/>
      </w:pPr>
      <w:r>
        <w:t xml:space="preserve">📝 Exercice 3.2</w:t>
      </w:r>
    </w:p>
    <w:p>
      <w:pPr>
        <w:pStyle w:val="BodyText"/>
      </w:pPr>
      <w:r>
        <w:t xml:space="preserve">Rédige, en 4 à 6 phrases, comment tu justifierais à un responsable peu technique (par exemple un directeur financier) le temps passé chaque mois à maintenir la documentation et l’inventaire à jour, alors qu’aucun incident n’est en cours au moment de la discussion.</w:t>
      </w:r>
    </w:p>
    <w:p>
      <w:pPr>
        <w:pStyle w:val="BodyText"/>
      </w:pPr>
      <w:r>
        <w:rPr>
          <w:b/>
          <w:bCs/>
        </w:rPr>
        <w:t xml:space="preserve">Corrigé (exemple de réponse) :</w:t>
      </w:r>
      <w:r>
        <w:t xml:space="preserve"> </w:t>
      </w:r>
      <w:r>
        <w:t xml:space="preserve">Je lui expliquerais que le temps investi en documentation aujourd’hui se traduit directement par un temps de résolution d’incident plus court demain — chaque minute passée à documenter un runbook peut économiser des dizaines de minutes lors d’un incident réel, exactement comme dans le scénario où 40 minutes de tâtonnement auraient pu se réduire à quelques minutes. Je soulignerais aussi le risque financier concret d’un actif non inventorié (licence oubliée qui continue à être facturée, serveur non sécurisé exposé à une faille coûteuse) — un investissement modeste et régulier en documentation évite des coûts imprévisibles et potentiellement bien plus élevés en cas d’incident mal préparé.</w:t>
      </w:r>
    </w:p>
    <w:bookmarkEnd w:id="89"/>
    <w:bookmarkStart w:id="90" w:name="checklist-de-fin-de-chapitre-2"/>
    <w:p>
      <w:pPr>
        <w:pStyle w:val="Heading2"/>
      </w:pPr>
      <w:r>
        <w:t xml:space="preserve">Checklist de fin de chapitre</w:t>
      </w:r>
    </w:p>
    <w:p>
      <w:pPr>
        <w:pStyle w:val="FirstParagraph"/>
      </w:pPr>
      <w:r>
        <w:t xml:space="preserve">☐ Je sais distinguer un runbook, une procédure standard, un schéma d’architecture et un journal des changements.</w:t>
      </w:r>
    </w:p>
    <w:p>
      <w:pPr>
        <w:pStyle w:val="BodyText"/>
      </w:pPr>
      <w:r>
        <w:t xml:space="preserve">☐ Je peux écrire un runbook qui passe le</w:t>
      </w:r>
      <w:r>
        <w:t xml:space="preserve"> </w:t>
      </w:r>
      <w:r>
        <w:t xml:space="preserve">“test du collègue qui ne connaît rien”</w:t>
      </w:r>
      <w:r>
        <w:t xml:space="preserve">.</w:t>
      </w:r>
    </w:p>
    <w:p>
      <w:pPr>
        <w:pStyle w:val="BodyText"/>
      </w:pPr>
      <w:r>
        <w:t xml:space="preserve">☐ Je comprends pourquoi l’inventaire des actifs est un fondement de la cybersécurité, pas juste une tâche administrative.</w:t>
      </w:r>
    </w:p>
    <w:p>
      <w:pPr>
        <w:pStyle w:val="BodyText"/>
      </w:pPr>
      <w:r>
        <w:t xml:space="preserve">☐ Je sais expliquer la différence entre un inventaire et une CMDB.</w:t>
      </w:r>
    </w:p>
    <w:p>
      <w:pPr>
        <w:pStyle w:val="BodyText"/>
      </w:pPr>
      <w:r>
        <w:t xml:space="preserve">☐ Je connais les étapes du cycle de vie d’un actif, y compris le décommissionnement.</w:t>
      </w:r>
    </w:p>
    <w:p>
      <w:pPr>
        <w:pStyle w:val="BodyText"/>
      </w:pPr>
      <w:r>
        <w:t xml:space="preserve">☐ Je sais reconnaître les signes d’une documentation obsolète ou peu fiable.</w:t>
      </w:r>
    </w:p>
    <w:p>
      <w:pPr>
        <w:pStyle w:val="BodyText"/>
      </w:pPr>
      <w:r>
        <w:t xml:space="preserve">☐ Je comprends pourquoi une documentation n’a de valeur prouvée qu’une fois testée par quelqu’un d’autre que son auteur.</w:t>
      </w:r>
    </w:p>
    <w:bookmarkEnd w:id="90"/>
    <w:bookmarkStart w:id="91" w:name="faq-2"/>
    <w:p>
      <w:pPr>
        <w:pStyle w:val="Heading2"/>
      </w:pPr>
      <w:r>
        <w:t xml:space="preserve">FAQ</w:t>
      </w:r>
    </w:p>
    <w:p>
      <w:pPr>
        <w:pStyle w:val="FirstParagraph"/>
      </w:pPr>
      <w:r>
        <w:t xml:space="preserve">Faut-il documenter absolument tout, y compris les tâches les plus triviales ?</w:t>
      </w:r>
    </w:p>
    <w:p>
      <w:pPr>
        <w:pStyle w:val="BodyText"/>
      </w:pPr>
      <w:r>
        <w:t xml:space="preserve">Non — l’objectif n’est pas l’exhaustivité à tout prix (rappel du principe directeur ITIL</w:t>
      </w:r>
      <w:r>
        <w:t xml:space="preserve"> </w:t>
      </w:r>
      <w:r>
        <w:t xml:space="preserve">“se concentrer sur la valeur”</w:t>
      </w:r>
      <w:r>
        <w:t xml:space="preserve">, chapitre 2), mais de prioriser ce qui est critique, récurrent, ou risqué en cas d’oubli. Une tâche faite une seule fois et sans risque particulier n’a pas besoin du même niveau de documentation qu’un runbook d’incident critique.</w:t>
      </w:r>
    </w:p>
    <w:p>
      <w:pPr>
        <w:pStyle w:val="BodyText"/>
      </w:pPr>
      <w:r>
        <w:t xml:space="preserve">Un tableur Excel suffit-il comme CMDB dans une petite structure ?</w:t>
      </w:r>
    </w:p>
    <w:p>
      <w:pPr>
        <w:pStyle w:val="BodyText"/>
      </w:pPr>
      <w:r>
        <w:t xml:space="preserve">Oui, à condition qu’il capture aussi les relations entre les actifs (section 3.5), pas seulement leur liste — sinon ce n’est qu’un inventaire, utile mais incomplet. La rigueur de la mise à jour compte plus que la sophistication de l’outil, comme évoqué en section 3.7.</w:t>
      </w:r>
    </w:p>
    <w:p>
      <w:pPr>
        <w:pStyle w:val="BodyText"/>
      </w:pPr>
      <w:r>
        <w:t xml:space="preserve">Que faire si je découvre une documentation existante mais visiblement fausse, comme dans le scénario d’ouverture ?</w:t>
      </w:r>
    </w:p>
    <w:p>
      <w:pPr>
        <w:pStyle w:val="BodyText"/>
      </w:pPr>
      <w:r>
        <w:t xml:space="preserve">Ne la supprime jamais sans explication : corrige-la si tu as l’information correcte, ou signale-la explicitement comme obsolète si tu n’as pas encore de quoi la corriger (une note</w:t>
      </w:r>
      <w:r>
        <w:t xml:space="preserve"> </w:t>
      </w:r>
      <w:r>
        <w:t xml:space="preserve">“obsolète depuis [date], à vérifier”</w:t>
      </w:r>
      <w:r>
        <w:t xml:space="preserve"> </w:t>
      </w:r>
      <w:r>
        <w:t xml:space="preserve">vaut mieux qu’un silence qui laisse croire que le document reste fiable).</w:t>
      </w:r>
    </w:p>
    <w:p>
      <w:pPr>
        <w:pStyle w:val="BodyText"/>
      </w:pPr>
      <w:r>
        <w:t xml:space="preserve">La documentation ralentit-elle vraiment le travail au quotidien ?</w:t>
      </w:r>
    </w:p>
    <w:p>
      <w:pPr>
        <w:pStyle w:val="BodyText"/>
      </w:pPr>
      <w:r>
        <w:t xml:space="preserve">Elle demande un investissement de temps réel, mais rarement plus de quelques minutes par changement si elle est faite au moment même de l’action (section 3.1), plutôt que reconstituée après coup — un exercice bien plus long et souvent imprécis.</w:t>
      </w:r>
    </w:p>
    <w:bookmarkEnd w:id="91"/>
    <w:bookmarkStart w:id="94" w:name="références-et-pour-aller-plus-loin-2"/>
    <w:p>
      <w:pPr>
        <w:pStyle w:val="Heading2"/>
      </w:pPr>
      <w:r>
        <w:t xml:space="preserve">Références et pour aller plus loin</w:t>
      </w:r>
    </w:p>
    <w:p>
      <w:pPr>
        <w:pStyle w:val="Compact"/>
        <w:numPr>
          <w:ilvl w:val="0"/>
          <w:numId w:val="1085"/>
        </w:numPr>
      </w:pPr>
      <w:r>
        <w:t xml:space="preserve">CIS Controls v8 — Contrôle 1 : Inventaire et contrôle des actifs de l’entreprise :</w:t>
      </w:r>
      <w:r>
        <w:t xml:space="preserve"> </w:t>
      </w:r>
      <w:hyperlink r:id="rId92">
        <w:r>
          <w:rPr>
            <w:rStyle w:val="Hyperlink"/>
          </w:rPr>
          <w:t xml:space="preserve">https://www.cisecurity.org/controls</w:t>
        </w:r>
      </w:hyperlink>
    </w:p>
    <w:p>
      <w:pPr>
        <w:pStyle w:val="Compact"/>
        <w:numPr>
          <w:ilvl w:val="0"/>
          <w:numId w:val="1085"/>
        </w:numPr>
      </w:pPr>
      <w:r>
        <w:t xml:space="preserve">ITIL 4 — pratique</w:t>
      </w:r>
      <w:r>
        <w:t xml:space="preserve"> </w:t>
      </w:r>
      <w:r>
        <w:t xml:space="preserve">“Service configuration management”</w:t>
      </w:r>
      <w:r>
        <w:t xml:space="preserve"> </w:t>
      </w:r>
      <w:r>
        <w:t xml:space="preserve">(Axelos) :</w:t>
      </w:r>
      <w:r>
        <w:t xml:space="preserve"> </w:t>
      </w:r>
      <w:hyperlink r:id="rId35">
        <w:r>
          <w:rPr>
            <w:rStyle w:val="Hyperlink"/>
          </w:rPr>
          <w:t xml:space="preserve">https://www.axelos.com/certifications/itil-service-management</w:t>
        </w:r>
      </w:hyperlink>
    </w:p>
    <w:p>
      <w:pPr>
        <w:pStyle w:val="Compact"/>
        <w:numPr>
          <w:ilvl w:val="0"/>
          <w:numId w:val="1085"/>
        </w:numPr>
      </w:pPr>
      <w:r>
        <w:t xml:space="preserve">Documentation GLPI (gestion d’inventaire et de tickets open source) :</w:t>
      </w:r>
      <w:r>
        <w:t xml:space="preserve"> </w:t>
      </w:r>
      <w:hyperlink r:id="rId93">
        <w:r>
          <w:rPr>
            <w:rStyle w:val="Hyperlink"/>
          </w:rPr>
          <w:t xml:space="preserve">https://glpi-project.org/fr/</w:t>
        </w:r>
      </w:hyperlink>
    </w:p>
    <w:p>
      <w:pPr>
        <w:pStyle w:val="Compact"/>
        <w:numPr>
          <w:ilvl w:val="0"/>
          <w:numId w:val="1085"/>
        </w:numPr>
      </w:pPr>
      <w:r>
        <w:rPr>
          <w:i/>
          <w:iCs/>
        </w:rPr>
        <w:t xml:space="preserve">The Practice of System and Network Administration</w:t>
      </w:r>
      <w:r>
        <w:t xml:space="preserve">, Thomas A. Limoncelli, Christina J. Hogan, Strata R. Chalup (Addison-Wesley) — chapitres consacrés à la documentation et à la gestion des actifs.</w:t>
      </w:r>
    </w:p>
    <w:p>
      <w:pPr>
        <w:pStyle w:val="FirstParagraph"/>
      </w:pPr>
      <w:r>
        <w:rPr>
          <w:i/>
          <w:iCs/>
        </w:rPr>
        <w:t xml:space="preserve">Chapitre suivant : les environnements d’administration — Windows Admin Center, Cockpit, et l’accès distant sécurisé (RDP/SSH), les outils avec lesquels tu vas concrètement appliquer tout ce que ce premier chapitre a posé comme fondations.</w:t>
      </w:r>
    </w:p>
    <w:p>
      <w:pPr>
        <w:pStyle w:val="BodyText"/>
      </w:pPr>
      <w:r>
        <w:t xml:space="preserve">CHAPITRE 4</w:t>
      </w:r>
    </w:p>
    <w:bookmarkEnd w:id="94"/>
    <w:bookmarkEnd w:id="95"/>
    <w:bookmarkStart w:id="123" w:name="X2ba148adc3f2d18d5fb6e6a34542bbb7e40c98d"/>
    <w:p>
      <w:pPr>
        <w:pStyle w:val="Heading1"/>
      </w:pPr>
      <w:r>
        <w:t xml:space="preserve">Environnements d’administration : consoles et accès distant</w:t>
      </w:r>
    </w:p>
    <w:p>
      <w:pPr>
        <w:pStyle w:val="FirstParagraph"/>
      </w:pPr>
      <w:r>
        <w:t xml:space="preserve">🎯 Objectif du chapitre</w:t>
      </w:r>
      <w:r>
        <w:t xml:space="preserve"> </w:t>
      </w:r>
      <w:r>
        <w:t xml:space="preserve">Comprendre les outils avec lesquels un administrateur système travaille réellement au quotidien — RDP et SSH pour l’accès distant, Windows Admin Center et Cockpit pour la gestion centralisée — et surtout comprendre pourquoi certaines pratiques d’accès distant, en apparence pratiques, représentent l’une des plus grandes portes d’entrée pour les attaquants. À la fin de ce chapitre, tu sauras expliquer le principe du bastion, la différence entre une authentification par mot de passe et par clé, et tu seras prêt à aborder les Parties 2 et 3 de ce manuel, où ces outils seront utilisés concrètement.</w:t>
      </w:r>
    </w:p>
    <w:p>
      <w:pPr>
        <w:pStyle w:val="BodyText"/>
      </w:pPr>
      <w:r>
        <w:t xml:space="preserve">🎬 Mise en situation</w:t>
      </w:r>
      <w:r>
        <w:t xml:space="preserve"> </w:t>
      </w:r>
      <w:r>
        <w:t xml:space="preserve">Quatrième semaine dans la compagnie d’assurance. Le DSI t’accorde enfin un accès aux serveurs des deux sites (Port-au-Prince et Cap-Haïtien) — tu ne mettras jamais les pieds physiquement dans la salle serveur du Cap-Haïtien, à 190 kilomètres de ton bureau. Avant de te transmettre les accès, il te montre un article qu’il garde en favori depuis trois ans : une PME haïtienne du secteur de la distribution, paralysée par un rançongiciel, dont l’enquête post-incident a révélé une cause précise — un serveur Windows avec le Bureau à distance (RDP) exposé directement sur Internet, avec un mot de passe administrateur simple, jamais changé depuis l’installation.</w:t>
      </w:r>
      <w:r>
        <w:t xml:space="preserve"> </w:t>
      </w:r>
      <w:r>
        <w:t xml:space="preserve">“On ne travaille jamais comme ça ici,”</w:t>
      </w:r>
      <w:r>
        <w:t xml:space="preserve"> </w:t>
      </w:r>
      <w:r>
        <w:t xml:space="preserve">te dit-il.</w:t>
      </w:r>
      <w:r>
        <w:t xml:space="preserve"> </w:t>
      </w:r>
      <w:r>
        <w:t xml:space="preserve">“Tu vas comprendre pourquoi avant même de recevoir tes accès.”</w:t>
      </w:r>
      <w:r>
        <w:t xml:space="preserve"> </w:t>
      </w:r>
      <w:r>
        <w:t xml:space="preserve">Ce chapitre explique exactement cette différence — entre un accès distant pratique et un accès distant dangereux — avant d’aborder la moindre commande d’administration.</w:t>
      </w:r>
    </w:p>
    <w:bookmarkStart w:id="96" w:name="Xb05230b3fba05b67e143a4814d198a060c4adcf"/>
    <w:p>
      <w:pPr>
        <w:pStyle w:val="Heading2"/>
      </w:pPr>
      <w:r>
        <w:t xml:space="preserve">4.1 Pourquoi un administrateur système travaille rarement devant le serveur lui-même</w:t>
      </w:r>
    </w:p>
    <w:p>
      <w:pPr>
        <w:pStyle w:val="FirstParagraph"/>
      </w:pPr>
      <w:r>
        <w:t xml:space="preserve">Contrairement à l’image d’un poste de travail unique, un administrateur système gère généralement des dizaines, parfois des centaines de serveurs, souvent répartis sur plusieurs sites physiques — exactement la situation du scénario d’ouverture avec deux villes distantes de près de 200 kilomètres. Se déplacer physiquement pour chaque intervention serait non seulement impraticable, mais représenterait aussi une perte de temps considérable pour des tâches qui prennent, une fois maîtrisées, quelques minutes à distance.</w:t>
      </w:r>
    </w:p>
    <w:p>
      <w:pPr>
        <w:pStyle w:val="BodyText"/>
      </w:pPr>
      <w:r>
        <w:t xml:space="preserve">💡 Analogie — la tour de contrôle aérienne</w:t>
      </w:r>
      <w:r>
        <w:t xml:space="preserve"> </w:t>
      </w:r>
      <w:r>
        <w:t xml:space="preserve">Un contrôleur aérien ne monte jamais dans chaque avion qu’il guide : il travaille entièrement à distance, via des instruments fiables (radar, radio), avec des procédures strictes qui compensent l’absence de présence physique. L’administration système à distance fonctionne sur le même principe : des outils fiables (RDP, SSH) et des procédures rigoureuses (le sujet de ce chapitre) permettent d’agir avec la même précision que si l’on était physiquement devant la machine — à condition de respecter des règles de sécurité aussi strictes que celles d’un contrôle aérien.</w:t>
      </w:r>
    </w:p>
    <w:bookmarkEnd w:id="96"/>
    <w:bookmarkStart w:id="97" w:name="Xb2f1ad1f1079e48e752882617c95a1a960bd386"/>
    <w:p>
      <w:pPr>
        <w:pStyle w:val="Heading2"/>
      </w:pPr>
      <w:r>
        <w:t xml:space="preserve">4.2 L’accès distant Windows : RDP (Remote Desktop Protocol)</w:t>
      </w:r>
    </w:p>
    <w:p>
      <w:pPr>
        <w:pStyle w:val="FirstParagraph"/>
      </w:pPr>
      <w:r>
        <w:rPr>
          <w:b/>
          <w:bCs/>
        </w:rPr>
        <w:t xml:space="preserve">RDP</w:t>
      </w:r>
      <w:r>
        <w:t xml:space="preserve"> </w:t>
      </w:r>
      <w:r>
        <w:t xml:space="preserve">permet de se connecter à distance à l’interface graphique complète d’une machine Windows, comme si on était physiquement assis devant elle. Il écoute par défaut sur le port réseau</w:t>
      </w:r>
      <w:r>
        <w:t xml:space="preserve"> </w:t>
      </w:r>
      <w:r>
        <w:rPr>
          <w:b/>
          <w:bCs/>
        </w:rPr>
        <w:t xml:space="preserve">3389</w:t>
      </w:r>
      <w:r>
        <w:t xml:space="preserve">.</w:t>
      </w:r>
    </w:p>
    <w:p>
      <w:pPr>
        <w:pStyle w:val="BodyText"/>
      </w:pPr>
      <w:r>
        <w:t xml:space="preserve">🔒 Sécurité — RDP est l’un des vecteurs d’attaque les plus exploités au monde</w:t>
      </w:r>
      <w:r>
        <w:t xml:space="preserve"> </w:t>
      </w:r>
      <w:r>
        <w:t xml:space="preserve">Ce n’est pas une exagération du scénario d’ouverture : RDP exposé directement sur Internet, avec des identifiants faibles, est historiquement l’un des vecteurs d’entrée les plus documentés pour les attaques par rançongiciel, à l’échelle mondiale — les attaquants scannent en continu l’ensemble d’Internet à la recherche du port 3389 ouvert, puis tentent des connexions par force brute ou avec des identifiants déjà compromis ailleurs.</w:t>
      </w:r>
      <w:r>
        <w:t xml:space="preserve"> </w:t>
      </w:r>
      <w:r>
        <w:t xml:space="preserve">Règle absolue, sans exception : un serveur RDP ne doit jamais être directement accessible depuis Internet.</w:t>
      </w:r>
      <w:r>
        <w:t xml:space="preserve"> </w:t>
      </w:r>
      <w:r>
        <w:t xml:space="preserve">L’accès doit toujours transiter par un VPN ou un bastion (section 4.6).</w:t>
      </w:r>
    </w:p>
    <w:p>
      <w:pPr>
        <w:pStyle w:val="BodyText"/>
      </w:pPr>
      <w:r>
        <w:rPr>
          <w:b/>
          <w:bCs/>
        </w:rPr>
        <w:t xml:space="preserve">Deux mécanismes de protection à connaître dès ce chapitre, détaillés en pratique dans la Partie 2 :</w:t>
      </w:r>
      <w:r>
        <w:t xml:space="preserve"> </w:t>
      </w:r>
      <w:r>
        <w:t xml:space="preserve">-</w:t>
      </w:r>
      <w:r>
        <w:t xml:space="preserve"> </w:t>
      </w:r>
      <w:r>
        <w:rPr>
          <w:b/>
          <w:bCs/>
        </w:rPr>
        <w:t xml:space="preserve">NLA</w:t>
      </w:r>
      <w:r>
        <w:t xml:space="preserve"> </w:t>
      </w:r>
      <w:r>
        <w:t xml:space="preserve">(</w:t>
      </w:r>
      <w:r>
        <w:rPr>
          <w:i/>
          <w:iCs/>
        </w:rPr>
        <w:t xml:space="preserve">Network Level Authentication</w:t>
      </w:r>
      <w:r>
        <w:t xml:space="preserve">) : exige une authentification avant même l’affichage de l’écran de connexion complet, réduisant la surface d’attaque exposée à un utilisateur non authentifié.</w:t>
      </w:r>
      <w:r>
        <w:t xml:space="preserve"> </w:t>
      </w:r>
      <w:r>
        <w:t xml:space="preserve">-</w:t>
      </w:r>
      <w:r>
        <w:t xml:space="preserve"> </w:t>
      </w:r>
      <w:r>
        <w:rPr>
          <w:b/>
          <w:bCs/>
        </w:rPr>
        <w:t xml:space="preserve">Verrouillage après tentatives échouées</w:t>
      </w:r>
      <w:r>
        <w:t xml:space="preserve"> </w:t>
      </w:r>
      <w:r>
        <w:t xml:space="preserve">: une politique de compte qui bloque temporairement un compte après plusieurs échecs de mot de passe, contrant les attaques par force brute.</w:t>
      </w:r>
    </w:p>
    <w:p>
      <w:pPr>
        <w:pStyle w:val="BodyText"/>
      </w:pPr>
      <w:r>
        <w:t xml:space="preserve">⚠️ Un mot de passe fort ne suffit pas à lui seul</w:t>
      </w:r>
      <w:r>
        <w:t xml:space="preserve"> </w:t>
      </w:r>
      <w:r>
        <w:t xml:space="preserve">Même avec un mot de passe fort, un RDP exposé directement sur Internet reste une pratique à risque : de nouvelles vulnérabilités du protocole lui-même sont régulièrement découvertes, indépendamment de la qualité du mot de passe utilisé. La bonne pratique n’est pas</w:t>
      </w:r>
      <w:r>
        <w:t xml:space="preserve"> </w:t>
      </w:r>
      <w:r>
        <w:t xml:space="preserve">“renforcer le mot de passe”</w:t>
      </w:r>
      <w:r>
        <w:t xml:space="preserve">, mais</w:t>
      </w:r>
      <w:r>
        <w:t xml:space="preserve"> </w:t>
      </w:r>
      <w:r>
        <w:t xml:space="preserve">“ne jamais exposer directement le service”</w:t>
      </w:r>
      <w:r>
        <w:t xml:space="preserve"> </w:t>
      </w:r>
      <w:r>
        <w:t xml:space="preserve">— un principe repris dans le concept de bastion (section 4.6) et dans le principe Zero Trust (chapitre 26).</w:t>
      </w:r>
    </w:p>
    <w:bookmarkEnd w:id="97"/>
    <w:bookmarkStart w:id="98" w:name="laccès-distant-linux-ssh"/>
    <w:p>
      <w:pPr>
        <w:pStyle w:val="Heading2"/>
      </w:pPr>
      <w:r>
        <w:t xml:space="preserve">4.3 L’accès distant Linux : SSH</w:t>
      </w:r>
    </w:p>
    <w:p>
      <w:pPr>
        <w:pStyle w:val="FirstParagraph"/>
      </w:pPr>
      <w:r>
        <w:rPr>
          <w:b/>
          <w:bCs/>
        </w:rPr>
        <w:t xml:space="preserve">SSH</w:t>
      </w:r>
      <w:r>
        <w:t xml:space="preserve"> </w:t>
      </w:r>
      <w:r>
        <w:t xml:space="preserve">(</w:t>
      </w:r>
      <w:r>
        <w:rPr>
          <w:i/>
          <w:iCs/>
        </w:rPr>
        <w:t xml:space="preserve">Secure Shell</w:t>
      </w:r>
      <w:r>
        <w:t xml:space="preserve">) permet de se connecter à distance à une machine Linux, principalement en ligne de commande (bien qu’une interface graphique distante reste possible via des extensions). Il écoute par défaut sur le port</w:t>
      </w:r>
      <w:r>
        <w:t xml:space="preserve"> </w:t>
      </w:r>
      <w:r>
        <w:rPr>
          <w:b/>
          <w:bCs/>
        </w:rPr>
        <w:t xml:space="preserve">22</w:t>
      </w:r>
      <w:r>
        <w:t xml:space="preserve">.</w:t>
      </w:r>
    </w:p>
    <w:p>
      <w:pPr>
        <w:pStyle w:val="BodyText"/>
      </w:pPr>
      <w:r>
        <w:t xml:space="preserve">📌 À retenir — authentification par clé plutôt que par mot de passe</w:t>
      </w:r>
      <w:r>
        <w:t xml:space="preserve"> </w:t>
      </w:r>
      <w:r>
        <w:t xml:space="preserve">SSH permet deux méthodes d’authentification : par mot de passe, ou par</w:t>
      </w:r>
      <w:r>
        <w:t xml:space="preserve"> </w:t>
      </w:r>
      <w:r>
        <w:rPr>
          <w:b/>
          <w:bCs/>
        </w:rPr>
        <w:t xml:space="preserve">paire de clés cryptographiques</w:t>
      </w:r>
      <w:r>
        <w:t xml:space="preserve"> </w:t>
      </w:r>
      <w:r>
        <w:t xml:space="preserve">(une clé privée gardée secrète sur ta machine, une clé publique déposée sur le serveur). La méthode par clé est très largement préférée en environnement professionnel : une clé privée correctement protégée est pratiquement impossible à deviner par force brute, contrairement à un mot de passe, même complexe. La pratique concrète de génération et de configuration de ces clés est détaillée au chapitre 20 (scripting Bash) et dans la Partie 3.</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Critère</w:t>
            </w:r>
          </w:p>
        </w:tc>
        <w:tc>
          <w:tcPr/>
          <w:p>
            <w:pPr>
              <w:pStyle w:val="Compact"/>
            </w:pPr>
            <w:r>
              <w:t xml:space="preserve">RDP (Windows)</w:t>
            </w:r>
          </w:p>
        </w:tc>
        <w:tc>
          <w:tcPr/>
          <w:p>
            <w:pPr>
              <w:pStyle w:val="Compact"/>
            </w:pPr>
            <w:r>
              <w:t xml:space="preserve">SSH (Linux)</w:t>
            </w:r>
          </w:p>
        </w:tc>
      </w:tr>
      <w:tr>
        <w:tc>
          <w:tcPr/>
          <w:p>
            <w:pPr>
              <w:pStyle w:val="Compact"/>
            </w:pPr>
            <w:r>
              <w:t xml:space="preserve">Port par défaut</w:t>
            </w:r>
          </w:p>
        </w:tc>
        <w:tc>
          <w:tcPr/>
          <w:p>
            <w:pPr>
              <w:pStyle w:val="Compact"/>
            </w:pPr>
            <w:r>
              <w:t xml:space="preserve">3389</w:t>
            </w:r>
          </w:p>
        </w:tc>
        <w:tc>
          <w:tcPr/>
          <w:p>
            <w:pPr>
              <w:pStyle w:val="Compact"/>
            </w:pPr>
            <w:r>
              <w:t xml:space="preserve">22</w:t>
            </w:r>
          </w:p>
        </w:tc>
      </w:tr>
      <w:tr>
        <w:tc>
          <w:tcPr/>
          <w:p>
            <w:pPr>
              <w:pStyle w:val="Compact"/>
            </w:pPr>
            <w:r>
              <w:t xml:space="preserve">Type d’accès</w:t>
            </w:r>
          </w:p>
        </w:tc>
        <w:tc>
          <w:tcPr/>
          <w:p>
            <w:pPr>
              <w:pStyle w:val="Compact"/>
            </w:pPr>
            <w:r>
              <w:t xml:space="preserve">Interface graphique complète</w:t>
            </w:r>
          </w:p>
        </w:tc>
        <w:tc>
          <w:tcPr/>
          <w:p>
            <w:pPr>
              <w:pStyle w:val="Compact"/>
            </w:pPr>
            <w:r>
              <w:t xml:space="preserve">Ligne de commande (principalement)</w:t>
            </w:r>
          </w:p>
        </w:tc>
      </w:tr>
      <w:tr>
        <w:tc>
          <w:tcPr/>
          <w:p>
            <w:pPr>
              <w:pStyle w:val="Compact"/>
            </w:pPr>
            <w:r>
              <w:t xml:space="preserve">Authentification recommandée</w:t>
            </w:r>
          </w:p>
        </w:tc>
        <w:tc>
          <w:tcPr/>
          <w:p>
            <w:pPr>
              <w:pStyle w:val="Compact"/>
            </w:pPr>
            <w:r>
              <w:t xml:space="preserve">Mot de passe fort + NLA + MFA</w:t>
            </w:r>
          </w:p>
        </w:tc>
        <w:tc>
          <w:tcPr/>
          <w:p>
            <w:pPr>
              <w:pStyle w:val="Compact"/>
            </w:pPr>
            <w:r>
              <w:t xml:space="preserve">Clé cryptographique (pas de mot de passe)</w:t>
            </w:r>
          </w:p>
        </w:tc>
      </w:tr>
      <w:tr>
        <w:tc>
          <w:tcPr/>
          <w:p>
            <w:pPr>
              <w:pStyle w:val="Compact"/>
            </w:pPr>
            <w:r>
              <w:t xml:space="preserve">Exposition directe sur Internet</w:t>
            </w:r>
          </w:p>
        </w:tc>
        <w:tc>
          <w:tcPr/>
          <w:p>
            <w:pPr>
              <w:pStyle w:val="Compact"/>
            </w:pPr>
            <w:r>
              <w:rPr>
                <w:b/>
                <w:bCs/>
              </w:rPr>
              <w:t xml:space="preserve">À proscrire absolument</w:t>
            </w:r>
          </w:p>
        </w:tc>
        <w:tc>
          <w:tcPr/>
          <w:p>
            <w:pPr>
              <w:pStyle w:val="Compact"/>
            </w:pPr>
            <w:r>
              <w:t xml:space="preserve">À proscrire également, sauf durcissement poussé</w:t>
            </w:r>
          </w:p>
        </w:tc>
      </w:tr>
      <w:tr>
        <w:tc>
          <w:tcPr/>
          <w:p>
            <w:pPr>
              <w:pStyle w:val="Compact"/>
            </w:pPr>
            <w:r>
              <w:t xml:space="preserve">Usage typique</w:t>
            </w:r>
          </w:p>
        </w:tc>
        <w:tc>
          <w:tcPr/>
          <w:p>
            <w:pPr>
              <w:pStyle w:val="Compact"/>
            </w:pPr>
            <w:r>
              <w:t xml:space="preserve">Administration de serveurs Windows, postes de travail à distance</w:t>
            </w:r>
          </w:p>
        </w:tc>
        <w:tc>
          <w:tcPr/>
          <w:p>
            <w:pPr>
              <w:pStyle w:val="Compact"/>
            </w:pPr>
            <w:r>
              <w:t xml:space="preserve">Administration de serveurs Linux, automatisation (Ansible, chapitre 52)</w:t>
            </w:r>
          </w:p>
        </w:tc>
      </w:tr>
    </w:tbl>
    <w:p>
      <w:pPr>
        <w:pStyle w:val="BodyText"/>
      </w:pPr>
      <w:r>
        <w:t xml:space="preserve">✅ Bonne pratique — désactiver l’authentification par mot de passe sur SSH</w:t>
      </w:r>
      <w:r>
        <w:t xml:space="preserve"> </w:t>
      </w:r>
      <w:r>
        <w:t xml:space="preserve">Une fois l’authentification par clé configurée et testée avec succès, désactiver complètement l’authentification par mot de passe sur le serveur SSH élimine la quasi-totalité des tentatives de force brute automatisées — un attaquant sans la clé privée correspondante ne peut tout simplement pas se connecter, quel que soit le nombre de tentatives.</w:t>
      </w:r>
    </w:p>
    <w:bookmarkEnd w:id="98"/>
    <w:bookmarkStart w:id="99" w:name="X1a3a0bec8ec2599efca0526e92553090be15ed6"/>
    <w:p>
      <w:pPr>
        <w:pStyle w:val="Heading2"/>
      </w:pPr>
      <w:r>
        <w:t xml:space="preserve">4.4 Consoles de gestion centralisée côté Windows</w:t>
      </w:r>
    </w:p>
    <w:p>
      <w:pPr>
        <w:pStyle w:val="FirstParagraph"/>
      </w:pPr>
      <w:r>
        <w:t xml:space="preserve">Administrer un serveur Windows uniquement via une session RDP individuelle, machine par machine, devient vite impraticable au-delà de quelques serveurs. Windows propose plusieurs niveaux d’outils de gestion centralisée :</w:t>
      </w:r>
    </w:p>
    <w:p>
      <w:pPr>
        <w:pStyle w:val="Compact"/>
        <w:numPr>
          <w:ilvl w:val="0"/>
          <w:numId w:val="1086"/>
        </w:numPr>
      </w:pPr>
      <w:r>
        <w:rPr>
          <w:b/>
          <w:bCs/>
        </w:rPr>
        <w:t xml:space="preserve">MMC</w:t>
      </w:r>
      <w:r>
        <w:t xml:space="preserve"> </w:t>
      </w:r>
      <w:r>
        <w:t xml:space="preserve">(</w:t>
      </w:r>
      <w:r>
        <w:rPr>
          <w:i/>
          <w:iCs/>
        </w:rPr>
        <w:t xml:space="preserve">Microsoft Management Console</w:t>
      </w:r>
      <w:r>
        <w:t xml:space="preserve">) : le cadre historique dans lequel s’insèrent des</w:t>
      </w:r>
      <w:r>
        <w:t xml:space="preserve"> </w:t>
      </w:r>
      <w:r>
        <w:t xml:space="preserve">“snap-ins”</w:t>
      </w:r>
      <w:r>
        <w:t xml:space="preserve"> </w:t>
      </w:r>
      <w:r>
        <w:t xml:space="preserve">spécialisés (Utilisateurs et ordinateurs Active Directory, Gestionnaire DNS, Gestionnaire DHCP — tous abordés en Partie 2). Une seule fenêtre MMC peut regrouper plusieurs snap-ins pour une vue consolidée.</w:t>
      </w:r>
    </w:p>
    <w:p>
      <w:pPr>
        <w:pStyle w:val="Compact"/>
        <w:numPr>
          <w:ilvl w:val="0"/>
          <w:numId w:val="1086"/>
        </w:numPr>
      </w:pPr>
      <w:r>
        <w:rPr>
          <w:b/>
          <w:bCs/>
        </w:rPr>
        <w:t xml:space="preserve">Server Manager</w:t>
      </w:r>
      <w:r>
        <w:t xml:space="preserve"> </w:t>
      </w:r>
      <w:r>
        <w:t xml:space="preserve">(Gestionnaire de serveur) : permet de gérer plusieurs serveurs Windows depuis une seule console, d’installer des rôles et fonctionnalités à distance, sans ouvrir de session RDP individuelle sur chaque machine.</w:t>
      </w:r>
    </w:p>
    <w:p>
      <w:pPr>
        <w:pStyle w:val="Compact"/>
        <w:numPr>
          <w:ilvl w:val="0"/>
          <w:numId w:val="1086"/>
        </w:numPr>
      </w:pPr>
      <w:r>
        <w:rPr>
          <w:b/>
          <w:bCs/>
        </w:rPr>
        <w:t xml:space="preserve">Windows Admin Center</w:t>
      </w:r>
      <w:r>
        <w:t xml:space="preserve"> </w:t>
      </w:r>
      <w:r>
        <w:t xml:space="preserve">: l’outil moderne de Microsoft (interface web, architecture par passerelle), qui remplace progressivement une partie des consoles historiques avec une expérience unifiée, accessible depuis un navigateur, y compris pour des serveurs Windows en mode</w:t>
      </w:r>
      <w:r>
        <w:t xml:space="preserve"> </w:t>
      </w:r>
      <w:r>
        <w:t xml:space="preserve">“Core”</w:t>
      </w:r>
      <w:r>
        <w:t xml:space="preserve"> </w:t>
      </w:r>
      <w:r>
        <w:t xml:space="preserve">(sans interface graphique du tout).</w:t>
      </w:r>
    </w:p>
    <w:p>
      <w:pPr>
        <w:pStyle w:val="FirstParagraph"/>
      </w:pPr>
      <w:r>
        <w:t xml:space="preserve">📷 Capture d’écran recommandée</w:t>
      </w:r>
      <w:r>
        <w:t xml:space="preserve"> </w:t>
      </w:r>
      <w:r>
        <w:t xml:space="preserve">La page d’accueil de Windows Admin Center après connexion, affichant la liste des serveurs gérés avec leurs indicateurs de santé (CPU, mémoire, disque) sous forme de tuiles — une première image utile pour visualiser la différence avec une console MMC traditionnelle, plus austère.</w:t>
      </w:r>
    </w:p>
    <w:p>
      <w:pPr>
        <w:pStyle w:val="BodyText"/>
      </w:pPr>
      <w:r>
        <w:t xml:space="preserve">🚀 Performance — Windows Server Core</w:t>
      </w:r>
      <w:r>
        <w:t xml:space="preserve"> </w:t>
      </w:r>
      <w:r>
        <w:t xml:space="preserve">Une installation Windows Server en mode</w:t>
      </w:r>
      <w:r>
        <w:t xml:space="preserve"> </w:t>
      </w:r>
      <w:r>
        <w:t xml:space="preserve">Core</w:t>
      </w:r>
      <w:r>
        <w:t xml:space="preserve"> </w:t>
      </w:r>
      <w:r>
        <w:t xml:space="preserve">(sans interface graphique locale) consomme sensiblement moins de ressources et réduit la surface d’attaque (moins de composants installés, donc moins de vulnérabilités potentielles) qu’une installation complète avec interface graphique. Elle s’administre entièrement à distance, via PowerShell, Server Manager, ou Windows Admin Center — une pratique de plus en plus répandue en production, approfondie dans la Partie 2.</w:t>
      </w:r>
    </w:p>
    <w:bookmarkEnd w:id="99"/>
    <w:bookmarkStart w:id="100" w:name="Xdb40a3eaa86cda1419b3fedab1c7b3946bf9d81"/>
    <w:p>
      <w:pPr>
        <w:pStyle w:val="Heading2"/>
      </w:pPr>
      <w:r>
        <w:t xml:space="preserve">4.5 Consoles de gestion centralisée côté Linux : Cockpit</w:t>
      </w:r>
    </w:p>
    <w:p>
      <w:pPr>
        <w:pStyle w:val="FirstParagraph"/>
      </w:pPr>
      <w:r>
        <w:rPr>
          <w:b/>
          <w:bCs/>
        </w:rPr>
        <w:t xml:space="preserve">Cockpit</w:t>
      </w:r>
      <w:r>
        <w:t xml:space="preserve"> </w:t>
      </w:r>
      <w:r>
        <w:t xml:space="preserve">est une console d’administration web légère pour les serveurs Linux, permettant de consulter les journaux système, gérer les services, surveiller les ressources, configurer le réseau ou le stockage, directement depuis un navigateur — sans remplacer la ligne de commande, mais en la complétant utilement pour les tâches de supervision courantes ou pour les administrateurs moins à l’aise avec le terminal pur.</w:t>
      </w:r>
    </w:p>
    <w:p>
      <w:pPr>
        <w:pStyle w:val="BodyText"/>
      </w:pPr>
      <w:r>
        <w:t xml:space="preserve">💡 Cockpit n’est pas un concurrent de la ligne de commande, mais un complément</w:t>
      </w:r>
      <w:r>
        <w:t xml:space="preserve"> </w:t>
      </w:r>
      <w:r>
        <w:t xml:space="preserve">Contrairement à une idée reçue chez certains puristes Linux, utiliser Cockpit pour une tâche de supervision rapide n’est pas</w:t>
      </w:r>
      <w:r>
        <w:t xml:space="preserve"> </w:t>
      </w:r>
      <w:r>
        <w:t xml:space="preserve">“moins légitime”</w:t>
      </w:r>
      <w:r>
        <w:t xml:space="preserve"> </w:t>
      </w:r>
      <w:r>
        <w:t xml:space="preserve">que de passer entièrement par le terminal — c’est un choix d’efficacité, pas de compétence. La majorité des tâches d’administration Linux avancées (couvertes en Partie 3) resteront cependant réalisées en ligne de commande, notamment pour tout ce qui doit être automatisé ou scripté.</w:t>
      </w:r>
    </w:p>
    <w:p>
      <w:pPr>
        <w:pStyle w:val="BodyText"/>
      </w:pPr>
      <w:r>
        <w:t xml:space="preserve">📷 Capture d’écran recommandée</w:t>
      </w:r>
      <w:r>
        <w:t xml:space="preserve"> </w:t>
      </w:r>
      <w:r>
        <w:t xml:space="preserve">Le tableau de bord principal de Cockpit sur un serveur Ubuntu Server ou Rocky Linux, montrant les graphiques d’utilisation CPU/mémoire/réseau en temps réel et le menu latéral (Services, Réseau, Comptes, Journaux, Terminal intégré).</w:t>
      </w:r>
    </w:p>
    <w:bookmarkEnd w:id="100"/>
    <w:bookmarkStart w:id="104" w:name="X8a47010c6e041311c8fe87db67b0e9bcd757f29"/>
    <w:p>
      <w:pPr>
        <w:pStyle w:val="Heading2"/>
      </w:pPr>
      <w:r>
        <w:t xml:space="preserve">4.6 Le bastion : un point d’entrée unique et surveillé</w:t>
      </w:r>
    </w:p>
    <w:p>
      <w:pPr>
        <w:pStyle w:val="FirstParagraph"/>
      </w:pPr>
      <w:r>
        <w:t xml:space="preserve">Revenons directement au scénario d’ouverture : le problème du RDP exposé n’était pas l’existence même de l’accès distant, mais son</w:t>
      </w:r>
      <w:r>
        <w:t xml:space="preserve"> </w:t>
      </w:r>
      <w:r>
        <w:rPr>
          <w:b/>
          <w:bCs/>
        </w:rPr>
        <w:t xml:space="preserve">exposition directe</w:t>
      </w:r>
      <w:r>
        <w:t xml:space="preserve">. La solution standard en entreprise s’appelle un</w:t>
      </w:r>
      <w:r>
        <w:t xml:space="preserve"> </w:t>
      </w:r>
      <w:r>
        <w:rPr>
          <w:b/>
          <w:bCs/>
        </w:rPr>
        <w:t xml:space="preserve">bastion</w:t>
      </w:r>
      <w:r>
        <w:t xml:space="preserve"> </w:t>
      </w:r>
      <w:r>
        <w:t xml:space="preserve">(ou</w:t>
      </w:r>
      <w:r>
        <w:t xml:space="preserve"> </w:t>
      </w:r>
      <w:r>
        <w:rPr>
          <w:i/>
          <w:iCs/>
        </w:rPr>
        <w:t xml:space="preserve">jump host</w:t>
      </w:r>
      <w:r>
        <w:t xml:space="preserve">, serveur relais) : une machine unique, durcie et étroitement surveillée, qui constitue le</w:t>
      </w:r>
      <w:r>
        <w:t xml:space="preserve"> </w:t>
      </w:r>
      <w:r>
        <w:rPr>
          <w:b/>
          <w:bCs/>
        </w:rPr>
        <w:t xml:space="preserve">seul</w:t>
      </w:r>
      <w:r>
        <w:t xml:space="preserve"> </w:t>
      </w:r>
      <w:r>
        <w:t xml:space="preserve">point d’entrée autorisé vers l’ensemble des serveurs internes.</w:t>
      </w:r>
    </w:p>
    <w:p>
      <w:pPr>
        <w:pStyle w:val="CaptionedFigure"/>
      </w:pPr>
      <w:r>
        <w:drawing>
          <wp:inline>
            <wp:extent cx="5334000" cy="1992216"/>
            <wp:effectExtent b="0" l="0" r="0" t="0"/>
            <wp:docPr descr="Diagramme" title="" id="102" name="Picture"/>
            <a:graphic>
              <a:graphicData uri="http://schemas.openxmlformats.org/drawingml/2006/picture">
                <pic:pic>
                  <pic:nvPicPr>
                    <pic:cNvPr descr="C:/Users/ingja/Desktop/jarvis-starter-kit/livrables/formations/manuel-administration-systeme/assets/diagrams/d-04-environnements-administration-diagramme-1.png" id="103" name="Picture"/>
                    <pic:cNvPicPr>
                      <a:picLocks noChangeArrowheads="1" noChangeAspect="1"/>
                    </pic:cNvPicPr>
                  </pic:nvPicPr>
                  <pic:blipFill>
                    <a:blip r:embed="rId101"/>
                    <a:stretch>
                      <a:fillRect/>
                    </a:stretch>
                  </pic:blipFill>
                  <pic:spPr bwMode="auto">
                    <a:xfrm>
                      <a:off x="0" y="0"/>
                      <a:ext cx="5334000" cy="1992216"/>
                    </a:xfrm>
                    <a:prstGeom prst="rect">
                      <a:avLst/>
                    </a:prstGeom>
                    <a:noFill/>
                    <a:ln w="9525">
                      <a:noFill/>
                      <a:headEnd/>
                      <a:tailEnd/>
                    </a:ln>
                  </pic:spPr>
                </pic:pic>
              </a:graphicData>
            </a:graphic>
          </wp:inline>
        </w:drawing>
      </w:r>
    </w:p>
    <w:p>
      <w:pPr>
        <w:pStyle w:val="ImageCaption"/>
      </w:pPr>
      <w:r>
        <w:t xml:space="preserve">Diagramme</w:t>
      </w:r>
    </w:p>
    <w:p>
      <w:pPr>
        <w:pStyle w:val="BodyText"/>
      </w:pPr>
      <w:r>
        <w:t xml:space="preserve">💡 Explication du schéma</w:t>
      </w:r>
      <w:r>
        <w:t xml:space="preserve"> </w:t>
      </w:r>
      <w:r>
        <w:t xml:space="preserve">Aucun serveur interne (Windows ou Linux) n’expose directement ses ports d’administration (3389, 22) vers Internet — seul le bastion est exposé, et encore, généralement seulement via un VPN plutôt que directement. Un attaquant qui scanne Internet à la recherche du port 3389 (exactement le scénario de l’entreprise victime évoquée en ouverture) ne trouve tout simplement rien à attaquer sur les serveurs eux-mêmes. Le bastion lui-même reçoit une attention de sécurité disproportionnée par rapport à sa taille : mises à jour prioritaires, authentification multifacteur (MFA) obligatoire, journalisation exhaustive de chaque session.</w:t>
      </w:r>
    </w:p>
    <w:p>
      <w:pPr>
        <w:pStyle w:val="BodyText"/>
      </w:pPr>
      <w:r>
        <w:t xml:space="preserve">🧠 À mémoriser — le principe du bastion en une phrase</w:t>
      </w:r>
      <w:r>
        <w:t xml:space="preserve"> </w:t>
      </w:r>
      <w:r>
        <w:t xml:space="preserve">Réduire la surface d’attaque exposée à Internet à un seul point, plutôt que de multiplier les portes d’entrée individuelles sur chaque serveur — un principe qui reviendra sous d’autres formes tout au long de ce manuel (segmentation réseau en Partie 11, Zero Trust au chapitre 26).</w:t>
      </w:r>
    </w:p>
    <w:bookmarkEnd w:id="104"/>
    <w:bookmarkStart w:id="105" w:name="Xd698e4cc2ba5c952891f241ed03a54ccdf9dc01"/>
    <w:p>
      <w:pPr>
        <w:pStyle w:val="Heading2"/>
      </w:pPr>
      <w:r>
        <w:t xml:space="preserve">4.7 Bonnes pratiques transverses d’accès distant</w:t>
      </w:r>
    </w:p>
    <w:p>
      <w:pPr>
        <w:pStyle w:val="FirstParagraph"/>
      </w:pPr>
      <w:r>
        <w:t xml:space="preserve">✅ Bonnes pratiques à appliquer systématiquement</w:t>
      </w:r>
      <w:r>
        <w:t xml:space="preserve"> </w:t>
      </w:r>
      <w:r>
        <w:t xml:space="preserve">-</w:t>
      </w:r>
      <w:r>
        <w:t xml:space="preserve"> </w:t>
      </w:r>
      <w:r>
        <w:t xml:space="preserve">Authentification multifacteur (MFA)</w:t>
      </w:r>
      <w:r>
        <w:t xml:space="preserve"> </w:t>
      </w:r>
      <w:r>
        <w:t xml:space="preserve">sur tout accès distant administratif, sans exception, y compris vers le bastion lui-même.</w:t>
      </w:r>
      <w:r>
        <w:t xml:space="preserve"> </w:t>
      </w:r>
      <w:r>
        <w:t xml:space="preserve">-</w:t>
      </w:r>
      <w:r>
        <w:t xml:space="preserve"> </w:t>
      </w:r>
      <w:r>
        <w:t xml:space="preserve">Restriction par adresse IP</w:t>
      </w:r>
      <w:r>
        <w:t xml:space="preserve"> </w:t>
      </w:r>
      <w:r>
        <w:t xml:space="preserve">quand c’est possible (n’autoriser l’accès qu’à partir d’un VPN d’entreprise connu, jamais depuis</w:t>
      </w:r>
      <w:r>
        <w:t xml:space="preserve"> </w:t>
      </w:r>
      <w:r>
        <w:t xml:space="preserve">“n’importe où”</w:t>
      </w:r>
      <w:r>
        <w:t xml:space="preserve">).</w:t>
      </w:r>
      <w:r>
        <w:t xml:space="preserve"> </w:t>
      </w:r>
      <w:r>
        <w:t xml:space="preserve">-</w:t>
      </w:r>
      <w:r>
        <w:t xml:space="preserve"> </w:t>
      </w:r>
      <w:r>
        <w:t xml:space="preserve">Journalisation systématique</w:t>
      </w:r>
      <w:r>
        <w:t xml:space="preserve"> </w:t>
      </w:r>
      <w:r>
        <w:t xml:space="preserve">des sessions d’accès distant — qui s’est connecté, quand, depuis où — pour permettre une investigation en cas d’incident de sécurité (Partie 12).</w:t>
      </w:r>
      <w:r>
        <w:t xml:space="preserve"> </w:t>
      </w:r>
      <w:r>
        <w:t xml:space="preserve">-</w:t>
      </w:r>
      <w:r>
        <w:t xml:space="preserve"> </w:t>
      </w:r>
      <w:r>
        <w:t xml:space="preserve">Déconnexion automatique après inactivité</w:t>
      </w:r>
      <w:r>
        <w:t xml:space="preserve">, pour limiter le risque d’une session laissée ouverte et accessible à quelqu’un d’autre.</w:t>
      </w:r>
      <w:r>
        <w:t xml:space="preserve"> </w:t>
      </w:r>
      <w:r>
        <w:t xml:space="preserve">-</w:t>
      </w:r>
      <w:r>
        <w:t xml:space="preserve"> </w:t>
      </w:r>
      <w:r>
        <w:t xml:space="preserve">Comptes nominatifs</w:t>
      </w:r>
      <w:r>
        <w:t xml:space="preserve">, jamais de compte</w:t>
      </w:r>
      <w:r>
        <w:t xml:space="preserve"> </w:t>
      </w:r>
      <w:r>
        <w:t xml:space="preserve">“admin”</w:t>
      </w:r>
      <w:r>
        <w:t xml:space="preserve"> </w:t>
      </w:r>
      <w:r>
        <w:t xml:space="preserve">générique partagé entre plusieurs personnes — sans compte individuel, impossible de savoir qui a réellement fait quoi (un principe qui rejoint directement le journal des changements du chapitre 3).</w:t>
      </w:r>
    </w:p>
    <w:bookmarkEnd w:id="105"/>
    <w:bookmarkStart w:id="106" w:name="Xc27db4b9b2b27f3153050e9cfa349037a66e194"/>
    <w:p>
      <w:pPr>
        <w:pStyle w:val="Heading2"/>
      </w:pPr>
      <w:r>
        <w:t xml:space="preserve">Atelier — Corriger une architecture d’accès à risque</w:t>
      </w:r>
    </w:p>
    <w:p>
      <w:pPr>
        <w:pStyle w:val="FirstParagraph"/>
      </w:pPr>
      <w:r>
        <w:t xml:space="preserve">🛠️ Atelier 4 — Redessiner l’architecture de l’entreprise victime</w:t>
      </w:r>
    </w:p>
    <w:p>
      <w:pPr>
        <w:pStyle w:val="BodyText"/>
      </w:pPr>
      <w:r>
        <w:rPr>
          <w:b/>
          <w:bCs/>
        </w:rPr>
        <w:t xml:space="preserve">Objectif</w:t>
      </w:r>
      <w:r>
        <w:t xml:space="preserve"> </w:t>
      </w:r>
      <w:r>
        <w:t xml:space="preserve">: appliquer concrètement le principe du bastion (section 4.6) pour corriger une architecture d’accès distant dangereuse — exactement le type de mission qu’un administrateur système peut recevoir après un audit de sécurité.</w:t>
      </w:r>
    </w:p>
    <w:p>
      <w:pPr>
        <w:pStyle w:val="BodyText"/>
      </w:pPr>
      <w:r>
        <w:rPr>
          <w:b/>
          <w:bCs/>
        </w:rPr>
        <w:t xml:space="preserve">Préparation</w:t>
      </w:r>
      <w:r>
        <w:t xml:space="preserve"> </w:t>
      </w:r>
      <w:r>
        <w:t xml:space="preserve">: aucune installation nécessaire, un schéma sur papier ou dans un outil de diagramme simple suffit.</w:t>
      </w:r>
    </w:p>
    <w:p>
      <w:pPr>
        <w:pStyle w:val="BodyText"/>
      </w:pPr>
      <w:r>
        <w:rPr>
          <w:b/>
          <w:bCs/>
        </w:rPr>
        <w:t xml:space="preserve">Situation donnée</w:t>
      </w:r>
      <w:r>
        <w:t xml:space="preserve"> </w:t>
      </w:r>
      <w:r>
        <w:t xml:space="preserve">: une PME dispose de 4 serveurs Windows et 3 serveurs Linux. Actuellement, chacun des 4 serveurs Windows a le port 3389 ouvert directement sur Internet (accès RDP direct), et les 3 serveurs Linux ont chacun le port 22 ouvert directement sur Internet également — exactement la configuration qui a coûté cher à l’entreprise du scénario d’ouverture.</w:t>
      </w:r>
    </w:p>
    <w:p>
      <w:pPr>
        <w:pStyle w:val="BodyText"/>
      </w:pPr>
      <w:r>
        <w:rPr>
          <w:b/>
          <w:bCs/>
        </w:rPr>
        <w:t xml:space="preserve">Étapes détaillées</w:t>
      </w:r>
      <w:r>
        <w:t xml:space="preserve"> </w:t>
      </w:r>
      <w:r>
        <w:t xml:space="preserve">:</w:t>
      </w:r>
    </w:p>
    <w:p>
      <w:pPr>
        <w:pStyle w:val="Compact"/>
        <w:numPr>
          <w:ilvl w:val="0"/>
          <w:numId w:val="1087"/>
        </w:numPr>
      </w:pPr>
      <w:r>
        <w:t xml:space="preserve">Dessine (ou décris textuellement) l’architecture actuelle, avec ses 7 points d’exposition directs sur Internet.</w:t>
      </w:r>
    </w:p>
    <w:p>
      <w:pPr>
        <w:pStyle w:val="Compact"/>
        <w:numPr>
          <w:ilvl w:val="0"/>
          <w:numId w:val="1087"/>
        </w:numPr>
      </w:pPr>
      <w:r>
        <w:t xml:space="preserve">Redessine une architecture corrigée en y introduisant un bastion unique, en t’inspirant du schéma de la section 4.6.</w:t>
      </w:r>
    </w:p>
    <w:p>
      <w:pPr>
        <w:pStyle w:val="Compact"/>
        <w:numPr>
          <w:ilvl w:val="0"/>
          <w:numId w:val="1087"/>
        </w:numPr>
      </w:pPr>
      <w:r>
        <w:t xml:space="preserve">Liste au moins trois mesures de sécurité supplémentaires à appliquer spécifiquement sur le bastion lui-même (section 4.7).</w:t>
      </w:r>
    </w:p>
    <w:p>
      <w:pPr>
        <w:pStyle w:val="Compact"/>
        <w:numPr>
          <w:ilvl w:val="0"/>
          <w:numId w:val="1087"/>
        </w:numPr>
      </w:pPr>
      <w:r>
        <w:t xml:space="preserve">Compare ta proposition à la section</w:t>
      </w:r>
      <w:r>
        <w:t xml:space="preserve"> </w:t>
      </w:r>
      <w:r>
        <w:t xml:space="preserve">“Résultat attendu”</w:t>
      </w:r>
      <w:r>
        <w:t xml:space="preserve"> </w:t>
      </w:r>
      <w:r>
        <w:t xml:space="preserve">ci-dessous.</w:t>
      </w:r>
    </w:p>
    <w:p>
      <w:pPr>
        <w:pStyle w:val="FirstParagraph"/>
      </w:pPr>
      <w:r>
        <w:rPr>
          <w:b/>
          <w:bCs/>
        </w:rPr>
        <w:t xml:space="preserve">Résultat attendu</w:t>
      </w:r>
      <w:r>
        <w:t xml:space="preserve"> </w:t>
      </w:r>
      <w:r>
        <w:t xml:space="preserve">: l’architecture corrigée ne doit exposer qu’un seul point d’entrée vers Internet (le bastion, idéalement seulement via VPN plutôt que directement), les 7 serveurs internes n’étant accessibles qu’à travers ce bastion, sur le réseau interne. Les mesures de sécurité attendues sur le bastion incluent au minimum le MFA, la restriction par IP, et la journalisation exhaustive des sessions.</w:t>
      </w:r>
    </w:p>
    <w:p>
      <w:pPr>
        <w:pStyle w:val="BodyText"/>
      </w:pPr>
      <w:r>
        <w:rPr>
          <w:b/>
          <w:bCs/>
        </w:rPr>
        <w:t xml:space="preserve">Dépannage</w:t>
      </w:r>
      <w:r>
        <w:t xml:space="preserve"> </w:t>
      </w:r>
      <w:r>
        <w:t xml:space="preserve">: si tu as du mal à visualiser la différence entre</w:t>
      </w:r>
      <w:r>
        <w:t xml:space="preserve"> </w:t>
      </w:r>
      <w:r>
        <w:t xml:space="preserve">“exposé directement”</w:t>
      </w:r>
      <w:r>
        <w:t xml:space="preserve"> </w:t>
      </w:r>
      <w:r>
        <w:t xml:space="preserve">et</w:t>
      </w:r>
      <w:r>
        <w:t xml:space="preserve"> </w:t>
      </w:r>
      <w:r>
        <w:t xml:space="preserve">“accessible via le bastion”</w:t>
      </w:r>
      <w:r>
        <w:t xml:space="preserve">, reprends l’analogie d’un immeuble : la version actuelle équivaut à donner à chaque appartement sa propre porte donnant directement sur la rue ; la version corrigée équivaut à un hall d’entrée unique, avec un gardien (le bastion), à partir duquel on accède ensuite à chaque appartement.</w:t>
      </w:r>
    </w:p>
    <w:bookmarkEnd w:id="106"/>
    <w:bookmarkStart w:id="107" w:name="erreurs-fréquentes-3"/>
    <w:p>
      <w:pPr>
        <w:pStyle w:val="Heading2"/>
      </w:pPr>
      <w:r>
        <w:t xml:space="preserve">Erreurs fréquentes</w:t>
      </w:r>
    </w:p>
    <w:p>
      <w:pPr>
        <w:pStyle w:val="FirstParagraph"/>
      </w:pPr>
      <w:r>
        <w:t xml:space="preserve">⚠️ Erreur n°1 — exposer RDP ou SSH directement sur Internet</w:t>
      </w:r>
      <w:r>
        <w:t xml:space="preserve"> </w:t>
      </w:r>
      <w:r>
        <w:t xml:space="preserve">“temporairement”</w:t>
      </w:r>
      <w:r>
        <w:t xml:space="preserve"> </w:t>
      </w:r>
      <w:r>
        <w:t xml:space="preserve">“Je l’ouvre juste pour ce soir, je fermerai demain”</w:t>
      </w:r>
      <w:r>
        <w:t xml:space="preserve"> </w:t>
      </w:r>
      <w:r>
        <w:t xml:space="preserve">est une des promesses les plus souvent rompues du métier — et les attaquants scannent Internet en continu, pas seulement de temps en temps. Une exposition</w:t>
      </w:r>
      <w:r>
        <w:t xml:space="preserve"> </w:t>
      </w:r>
      <w:r>
        <w:t xml:space="preserve">“temporaire”</w:t>
      </w:r>
      <w:r>
        <w:t xml:space="preserve"> </w:t>
      </w:r>
      <w:r>
        <w:t xml:space="preserve">de quelques heures suffit largement à être détectée et exploitée. La bonne pratique reste, sans exception, de passer par un VPN ou un bastion dès la première minute.</w:t>
      </w:r>
    </w:p>
    <w:p>
      <w:pPr>
        <w:pStyle w:val="BodyText"/>
      </w:pPr>
      <w:r>
        <w:t xml:space="preserve">⚠️ Erreur n°2 — réutiliser le même mot de passe entre plusieurs serveurs</w:t>
      </w:r>
      <w:r>
        <w:t xml:space="preserve"> </w:t>
      </w:r>
      <w:r>
        <w:t xml:space="preserve">Si un seul serveur est compromis et que tous partagent le même mot de passe administrateur, l’attaquant obtient immédiatement un accès à l’ensemble du parc. Chaque serveur doit avoir des identifiants distincts, gérés idéalement via un coffre-fort de mots de passe centralisé plutôt que mémorisés ou stockés en clair dans un fichier — un sujet approfondi en Partie 4 (identité) et en Partie 12 (sécurité).</w:t>
      </w:r>
    </w:p>
    <w:p>
      <w:pPr>
        <w:pStyle w:val="BodyText"/>
      </w:pPr>
      <w:r>
        <w:t xml:space="preserve">⚠️ Erreur n°3 — laisser une session RDP ou SSH ouverte sans verrouillage</w:t>
      </w:r>
      <w:r>
        <w:t xml:space="preserve"> </w:t>
      </w:r>
      <w:r>
        <w:t xml:space="preserve">Une session administrative ouverte et sans surveillance, même quelques minutes (pause café, réunion imprévue), représente une fenêtre d’opportunité pour quiconque a un accès physique momentané au poste. Le verrouillage automatique après inactivité (section 4.7) protège précisément contre ce scénario, indépendamment de la qualité du mot de passe utilisé pour se reconnecter ensuite.</w:t>
      </w:r>
    </w:p>
    <w:bookmarkEnd w:id="107"/>
    <w:bookmarkStart w:id="108" w:name="Xfad2fb4066eae1b7a2259affdc14904fc1c697f"/>
    <w:p>
      <w:pPr>
        <w:pStyle w:val="Heading2"/>
      </w:pPr>
      <w:r>
        <w:t xml:space="preserve">Diagnostiquer un problème de connexion distante</w:t>
      </w:r>
    </w:p>
    <w:p>
      <w:pPr>
        <w:pStyle w:val="FirstParagraph"/>
      </w:pPr>
      <w:r>
        <w:t xml:space="preserve">🩺 Situation :</w:t>
      </w:r>
      <w:r>
        <w:t xml:space="preserve"> </w:t>
      </w:r>
      <w:r>
        <w:t xml:space="preserve">“Je n’arrive pas à me connecter à un serveur à distance”</w:t>
      </w:r>
    </w:p>
    <w:p>
      <w:pPr>
        <w:pStyle w:val="Compact"/>
        <w:numPr>
          <w:ilvl w:val="0"/>
          <w:numId w:val="1088"/>
        </w:numPr>
      </w:pPr>
      <w:r>
        <w:rPr>
          <w:b/>
          <w:bCs/>
        </w:rPr>
        <w:t xml:space="preserve">Diagnostic</w:t>
      </w:r>
      <w:r>
        <w:t xml:space="preserve"> </w:t>
      </w:r>
      <w:r>
        <w:t xml:space="preserve">: distingue d’abord trois causes possibles, dans cet ordre de vérification : un problème</w:t>
      </w:r>
      <w:r>
        <w:t xml:space="preserve"> </w:t>
      </w:r>
      <w:r>
        <w:rPr>
          <w:b/>
          <w:bCs/>
        </w:rPr>
        <w:t xml:space="preserve">réseau</w:t>
      </w:r>
      <w:r>
        <w:t xml:space="preserve"> </w:t>
      </w:r>
      <w:r>
        <w:t xml:space="preserve">(le serveur est-il joignable du tout, par exemple via un test de connectivité de base ?), un problème d’</w:t>
      </w:r>
      <w:r>
        <w:rPr>
          <w:b/>
          <w:bCs/>
        </w:rPr>
        <w:t xml:space="preserve">authentification</w:t>
      </w:r>
      <w:r>
        <w:t xml:space="preserve"> </w:t>
      </w:r>
      <w:r>
        <w:t xml:space="preserve">(identifiants ou clé refusés), ou un problème de</w:t>
      </w:r>
      <w:r>
        <w:t xml:space="preserve"> </w:t>
      </w:r>
      <w:r>
        <w:rPr>
          <w:b/>
          <w:bCs/>
        </w:rPr>
        <w:t xml:space="preserve">service</w:t>
      </w:r>
      <w:r>
        <w:t xml:space="preserve"> </w:t>
      </w:r>
      <w:r>
        <w:t xml:space="preserve">(le service RDP ou SSH lui-même est-il arrêté sur le serveur ?).</w:t>
      </w:r>
    </w:p>
    <w:p>
      <w:pPr>
        <w:pStyle w:val="Compact"/>
        <w:numPr>
          <w:ilvl w:val="0"/>
          <w:numId w:val="1088"/>
        </w:numPr>
      </w:pPr>
      <w:r>
        <w:rPr>
          <w:b/>
          <w:bCs/>
        </w:rPr>
        <w:t xml:space="preserve">Comment vérifier</w:t>
      </w:r>
      <w:r>
        <w:t xml:space="preserve"> </w:t>
      </w:r>
      <w:r>
        <w:t xml:space="preserve">: un problème réseau empêche généralement toute réponse, même une erreur d’authentification claire ; un problème d’authentification produit un message d’erreur explicite de refus d’identifiants ; un service arrêté produit souvent une erreur de type</w:t>
      </w:r>
      <w:r>
        <w:t xml:space="preserve"> </w:t>
      </w:r>
      <w:r>
        <w:t xml:space="preserve">“connexion refusée”</w:t>
      </w:r>
      <w:r>
        <w:t xml:space="preserve"> </w:t>
      </w:r>
      <w:r>
        <w:t xml:space="preserve">plutôt qu’un simple délai d’attente.</w:t>
      </w:r>
    </w:p>
    <w:p>
      <w:pPr>
        <w:pStyle w:val="Compact"/>
        <w:numPr>
          <w:ilvl w:val="0"/>
          <w:numId w:val="1088"/>
        </w:numPr>
      </w:pPr>
      <w:r>
        <w:rPr>
          <w:b/>
          <w:bCs/>
        </w:rPr>
        <w:t xml:space="preserve">Résolution</w:t>
      </w:r>
      <w:r>
        <w:t xml:space="preserve"> </w:t>
      </w:r>
      <w:r>
        <w:t xml:space="preserve">: une fois la cause isolée, elle oriente directement vers le bon interlocuteur — administrateur réseau pour un problème de connectivité (chapitre 1, section 1.2), toi-même pour un problème de service ou d’authentification sur un serveur dont tu es responsable.</w:t>
      </w:r>
    </w:p>
    <w:bookmarkEnd w:id="108"/>
    <w:bookmarkStart w:id="109" w:name="en-entreprise-3"/>
    <w:p>
      <w:pPr>
        <w:pStyle w:val="Heading2"/>
      </w:pPr>
      <w:r>
        <w:t xml:space="preserve">En entreprise</w:t>
      </w:r>
    </w:p>
    <w:p>
      <w:pPr>
        <w:pStyle w:val="Compact"/>
        <w:numPr>
          <w:ilvl w:val="0"/>
          <w:numId w:val="1089"/>
        </w:numPr>
      </w:pPr>
      <w:r>
        <w:rPr>
          <w:b/>
          <w:bCs/>
        </w:rPr>
        <w:t xml:space="preserve">Bonne pratique répandue</w:t>
      </w:r>
      <w:r>
        <w:t xml:space="preserve"> </w:t>
      </w:r>
      <w:r>
        <w:t xml:space="preserve">: les grandes organisations utilisent des solutions de gestion des accès privilégiés (</w:t>
      </w:r>
      <w:r>
        <w:rPr>
          <w:i/>
          <w:iCs/>
        </w:rPr>
        <w:t xml:space="preserve">Privileged Access Management</w:t>
      </w:r>
      <w:r>
        <w:t xml:space="preserve">, PAM) qui vont au-delà du simple bastion — rotation automatique des mots de passe administrateurs, enregistrement vidéo des sessions sensibles, approbation à la demande plutôt qu’un accès permanent.</w:t>
      </w:r>
    </w:p>
    <w:p>
      <w:pPr>
        <w:pStyle w:val="Compact"/>
        <w:numPr>
          <w:ilvl w:val="0"/>
          <w:numId w:val="1089"/>
        </w:numPr>
      </w:pPr>
      <w:r>
        <w:rPr>
          <w:b/>
          <w:bCs/>
        </w:rPr>
        <w:t xml:space="preserve">Bonne pratique répandue</w:t>
      </w:r>
      <w:r>
        <w:t xml:space="preserve"> </w:t>
      </w:r>
      <w:r>
        <w:t xml:space="preserve">: un audit régulier de tous les ports exposés sur Internet (via un scan externe périodique) permet de détecter une exposition accidentelle — comme un pare-feu mal reconfiguré après une intervention — avant qu’un attaquant ne la découvre en premier.</w:t>
      </w:r>
    </w:p>
    <w:p>
      <w:pPr>
        <w:pStyle w:val="Compact"/>
        <w:numPr>
          <w:ilvl w:val="0"/>
          <w:numId w:val="1089"/>
        </w:numPr>
      </w:pPr>
      <w:r>
        <w:rPr>
          <w:b/>
          <w:bCs/>
        </w:rPr>
        <w:t xml:space="preserve">Erreur classique observée</w:t>
      </w:r>
      <w:r>
        <w:t xml:space="preserve"> </w:t>
      </w:r>
      <w:r>
        <w:t xml:space="preserve">: une entreprise qui adopte un bastion pour ses accès</w:t>
      </w:r>
      <w:r>
        <w:t xml:space="preserve"> </w:t>
      </w:r>
      <w:r>
        <w:t xml:space="preserve">“officiels”</w:t>
      </w:r>
      <w:r>
        <w:t xml:space="preserve">, mais où un technicien ouvre malgré tout un accès RDP direct</w:t>
      </w:r>
      <w:r>
        <w:t xml:space="preserve"> </w:t>
      </w:r>
      <w:r>
        <w:t xml:space="preserve">“juste pour dépanner plus vite”</w:t>
      </w:r>
      <w:r>
        <w:t xml:space="preserve"> </w:t>
      </w:r>
      <w:r>
        <w:t xml:space="preserve">— la discipline de sécurité n’est aussi solide que son point le plus faible, et un seul contournement suffit à annuler tout le bénéfice du bastion.</w:t>
      </w:r>
    </w:p>
    <w:bookmarkEnd w:id="109"/>
    <w:bookmarkStart w:id="110" w:name="entretien-technique-3"/>
    <w:p>
      <w:pPr>
        <w:pStyle w:val="Heading2"/>
      </w:pPr>
      <w:r>
        <w:t xml:space="preserve">Entretien technique</w:t>
      </w:r>
    </w:p>
    <w:p>
      <w:pPr>
        <w:pStyle w:val="FirstParagraph"/>
      </w:pPr>
      <w:r>
        <w:t xml:space="preserve">💼 Questions fréquemment posées en entretien</w:t>
      </w:r>
    </w:p>
    <w:p>
      <w:pPr>
        <w:pStyle w:val="BodyText"/>
      </w:pPr>
      <w:r>
        <w:rPr>
          <w:b/>
          <w:bCs/>
        </w:rPr>
        <w:t xml:space="preserve">Q1.</w:t>
      </w:r>
      <w:r>
        <w:rPr>
          <w:b/>
          <w:bCs/>
        </w:rPr>
        <w:t xml:space="preserve"> </w:t>
      </w:r>
      <w:r>
        <w:rPr>
          <w:b/>
          <w:bCs/>
        </w:rPr>
        <w:t xml:space="preserve">“Pourquoi ne faut-il jamais exposer RDP directement sur Internet ?”</w:t>
      </w:r>
      <w:r>
        <w:t xml:space="preserve"> </w:t>
      </w:r>
      <w:r>
        <w:t xml:space="preserve">Réponse attendue : RDP est l’un des vecteurs d’attaque les plus exploités pour les rançongiciels, ciblé par des scans automatisés permanents sur l’ensemble d’Internet. L’accès doit toujours transiter par un VPN ou un bastion, qui réduit la surface d’attaque à un seul point fortement sécurisé plutôt que de multiplier les portes d’entrée.</w:t>
      </w:r>
    </w:p>
    <w:p>
      <w:pPr>
        <w:pStyle w:val="BodyText"/>
      </w:pPr>
      <w:r>
        <w:rPr>
          <w:b/>
          <w:bCs/>
        </w:rPr>
        <w:t xml:space="preserve">Q2.</w:t>
      </w:r>
      <w:r>
        <w:rPr>
          <w:b/>
          <w:bCs/>
        </w:rPr>
        <w:t xml:space="preserve"> </w:t>
      </w:r>
      <w:r>
        <w:rPr>
          <w:b/>
          <w:bCs/>
        </w:rPr>
        <w:t xml:space="preserve">“Pourquoi l’authentification par clé est-elle préférée à l’authentification par mot de passe sur SSH ?”</w:t>
      </w:r>
      <w:r>
        <w:t xml:space="preserve"> </w:t>
      </w:r>
      <w:r>
        <w:t xml:space="preserve">Réponse attendue : une clé cryptographique privée correctement protégée est pratiquement impossible à deviner par force brute, contrairement à un mot de passe même complexe. Une fois l’authentification par clé validée, désactiver l’authentification par mot de passe élimine la quasi-totalité des tentatives de connexion automatisées malveillantes.</w:t>
      </w:r>
    </w:p>
    <w:p>
      <w:pPr>
        <w:pStyle w:val="BodyText"/>
      </w:pPr>
      <w:r>
        <w:rPr>
          <w:b/>
          <w:bCs/>
        </w:rPr>
        <w:t xml:space="preserve">Q3.</w:t>
      </w:r>
      <w:r>
        <w:rPr>
          <w:b/>
          <w:bCs/>
        </w:rPr>
        <w:t xml:space="preserve"> </w:t>
      </w:r>
      <w:r>
        <w:rPr>
          <w:b/>
          <w:bCs/>
        </w:rPr>
        <w:t xml:space="preserve">“Qu’est-ce qu’un bastion, et pourquoi une organisation en utiliserait-elle un plutôt que d’exposer chaque serveur individuellement ?”</w:t>
      </w:r>
      <w:r>
        <w:t xml:space="preserve"> </w:t>
      </w:r>
      <w:r>
        <w:t xml:space="preserve">Réponse attendue : un bastion est un point d’entrée unique, durci et surveillé, à travers lequel transite tout accès administratif distant vers les serveurs internes — il concentre l’effort de sécurité sur un seul point au lieu de le disperser sur chaque serveur, réduisant drastiquement la surface d’attaque exposée directement sur Internet.</w:t>
      </w:r>
    </w:p>
    <w:bookmarkEnd w:id="110"/>
    <w:bookmarkStart w:id="111" w:name="X9f259c6525ffba4ac3c55c6bff2f6aac0bd9651"/>
    <w:p>
      <w:pPr>
        <w:pStyle w:val="Heading2"/>
      </w:pPr>
      <w:r>
        <w:t xml:space="preserve">Optimisation, sécurité et maintenabilité — les réflexes dès ce chapitre</w:t>
      </w:r>
    </w:p>
    <w:p>
      <w:pPr>
        <w:pStyle w:val="FirstParagraph"/>
      </w:pPr>
      <w:r>
        <w:t xml:space="preserve">🔒 Sécurité</w:t>
      </w:r>
      <w:r>
        <w:t xml:space="preserve"> </w:t>
      </w:r>
      <w:r>
        <w:t xml:space="preserve">Considère tout accès distant administratif comme un actif critique au sens du chapitre 3 : il doit être inventorié (qui a accès à quoi), documenté (comment s’y connecter en respectant les bonnes pratiques), et revu périodiquement (les accès sont-ils tous encore justifiés, ou certains devraient-ils être révoqués ?).</w:t>
      </w:r>
    </w:p>
    <w:p>
      <w:pPr>
        <w:pStyle w:val="BodyText"/>
      </w:pPr>
      <w:r>
        <w:t xml:space="preserve">✅ Maintenabilité</w:t>
      </w:r>
      <w:r>
        <w:t xml:space="preserve"> </w:t>
      </w:r>
      <w:r>
        <w:t xml:space="preserve">Documente, dans le runbook ou la procédure standard correspondante (chapitre 3), la méthode exacte de connexion à chaque environnement (via quel bastion, avec quel type d’authentification) — une information qui semble évidente tant qu’on la pratique tous les jours, mais qui devient précieuse pour toute nouvelle personne rejoignant l’équipe.</w:t>
      </w:r>
    </w:p>
    <w:p>
      <w:pPr>
        <w:pStyle w:val="BodyText"/>
      </w:pPr>
      <w:r>
        <w:t xml:space="preserve">🚀 Performance</w:t>
      </w:r>
      <w:r>
        <w:t xml:space="preserve"> </w:t>
      </w:r>
      <w:r>
        <w:t xml:space="preserve">Windows Admin Center et Cockpit permettent tous deux de surveiller plusieurs serveurs depuis une seule interface, réduisant le temps perdu à ouvrir des sessions individuelles pour des vérifications de routine — un gain de temps direct sur les tâches proactives évoquées au chapitre 1 (section 1.4).</w:t>
      </w:r>
    </w:p>
    <w:bookmarkEnd w:id="111"/>
    <w:bookmarkStart w:id="112" w:name="résumé-du-chapitre-3"/>
    <w:p>
      <w:pPr>
        <w:pStyle w:val="Heading2"/>
      </w:pPr>
      <w:r>
        <w:t xml:space="preserve">Résumé du chapitre</w:t>
      </w:r>
    </w:p>
    <w:p>
      <w:pPr>
        <w:pStyle w:val="Compact"/>
        <w:numPr>
          <w:ilvl w:val="0"/>
          <w:numId w:val="1090"/>
        </w:numPr>
      </w:pPr>
      <w:r>
        <w:t xml:space="preserve">L’administration système se fait très majoritairement à distance, via RDP (Windows) et SSH (Linux) — jamais en se déplaçant physiquement pour chaque intervention.</w:t>
      </w:r>
    </w:p>
    <w:p>
      <w:pPr>
        <w:pStyle w:val="Compact"/>
        <w:numPr>
          <w:ilvl w:val="0"/>
          <w:numId w:val="1090"/>
        </w:numPr>
      </w:pPr>
      <w:r>
        <w:t xml:space="preserve">RDP et SSH ne doivent jamais être exposés directement sur Internet : c’est l’un des vecteurs d’attaque les plus exploités au monde, notamment pour les rançongiciels.</w:t>
      </w:r>
    </w:p>
    <w:p>
      <w:pPr>
        <w:pStyle w:val="Compact"/>
        <w:numPr>
          <w:ilvl w:val="0"/>
          <w:numId w:val="1090"/>
        </w:numPr>
      </w:pPr>
      <w:r>
        <w:t xml:space="preserve">L’authentification par clé cryptographique est très largement préférée à l’authentification par mot de passe sur SSH.</w:t>
      </w:r>
    </w:p>
    <w:p>
      <w:pPr>
        <w:pStyle w:val="Compact"/>
        <w:numPr>
          <w:ilvl w:val="0"/>
          <w:numId w:val="1090"/>
        </w:numPr>
      </w:pPr>
      <w:r>
        <w:t xml:space="preserve">Windows Admin Center et Cockpit offrent des consoles de gestion centralisée modernes, complémentaires (pas substituts) à la ligne de commande et aux consoles historiques (MMC, Server Manager).</w:t>
      </w:r>
    </w:p>
    <w:p>
      <w:pPr>
        <w:pStyle w:val="Compact"/>
        <w:numPr>
          <w:ilvl w:val="0"/>
          <w:numId w:val="1090"/>
        </w:numPr>
      </w:pPr>
      <w:r>
        <w:t xml:space="preserve">Le principe du bastion réduit la surface d’attaque exposée à un seul point d’entrée fortement sécurisé, plutôt que de multiplier les accès directs sur chaque serveur.</w:t>
      </w:r>
    </w:p>
    <w:p>
      <w:pPr>
        <w:pStyle w:val="Compact"/>
        <w:numPr>
          <w:ilvl w:val="0"/>
          <w:numId w:val="1090"/>
        </w:numPr>
      </w:pPr>
      <w:r>
        <w:t xml:space="preserve">Des bonnes pratiques transverses (MFA, restriction IP, journalisation, comptes nominatifs) s’appliquent systématiquement à tout accès distant administratif.</w:t>
      </w:r>
    </w:p>
    <w:bookmarkEnd w:id="112"/>
    <w:bookmarkStart w:id="113" w:name="quiz-3"/>
    <w:p>
      <w:pPr>
        <w:pStyle w:val="Heading2"/>
      </w:pPr>
      <w:r>
        <w:t xml:space="preserve">Quiz</w:t>
      </w:r>
    </w:p>
    <w:p>
      <w:pPr>
        <w:pStyle w:val="FirstParagraph"/>
      </w:pPr>
      <w:r>
        <w:t xml:space="preserve">📝 QCM (une seule bonne réponse par question)</w:t>
      </w:r>
    </w:p>
    <w:p>
      <w:pPr>
        <w:pStyle w:val="Compact"/>
        <w:numPr>
          <w:ilvl w:val="0"/>
          <w:numId w:val="1091"/>
        </w:numPr>
      </w:pPr>
      <w:r>
        <w:t xml:space="preserve">Le port par défaut du protocole RDP est :</w:t>
      </w:r>
    </w:p>
    <w:p>
      <w:pPr>
        <w:pStyle w:val="Compact"/>
        <w:numPr>
          <w:ilvl w:val="1"/>
          <w:numId w:val="1092"/>
        </w:numPr>
      </w:pPr>
    </w:p>
    <w:p>
      <w:pPr>
        <w:pStyle w:val="Compact"/>
        <w:numPr>
          <w:ilvl w:val="2"/>
          <w:numId w:val="1093"/>
        </w:numPr>
      </w:pPr>
      <w:r>
        <w:t xml:space="preserve">22</w:t>
      </w:r>
    </w:p>
    <w:p>
      <w:pPr>
        <w:pStyle w:val="Compact"/>
        <w:numPr>
          <w:ilvl w:val="1"/>
          <w:numId w:val="1092"/>
        </w:numPr>
      </w:pPr>
    </w:p>
    <w:p>
      <w:pPr>
        <w:pStyle w:val="Compact"/>
        <w:numPr>
          <w:ilvl w:val="2"/>
          <w:numId w:val="1094"/>
        </w:numPr>
      </w:pPr>
      <w:r>
        <w:t xml:space="preserve">443</w:t>
      </w:r>
    </w:p>
    <w:p>
      <w:pPr>
        <w:pStyle w:val="Compact"/>
        <w:numPr>
          <w:ilvl w:val="1"/>
          <w:numId w:val="1092"/>
        </w:numPr>
      </w:pPr>
    </w:p>
    <w:p>
      <w:pPr>
        <w:pStyle w:val="Compact"/>
        <w:numPr>
          <w:ilvl w:val="2"/>
          <w:numId w:val="1095"/>
        </w:numPr>
      </w:pPr>
      <w:r>
        <w:t xml:space="preserve">3389</w:t>
      </w:r>
    </w:p>
    <w:p>
      <w:pPr>
        <w:pStyle w:val="Compact"/>
        <w:numPr>
          <w:ilvl w:val="1"/>
          <w:numId w:val="1092"/>
        </w:numPr>
      </w:pPr>
    </w:p>
    <w:p>
      <w:pPr>
        <w:pStyle w:val="Compact"/>
        <w:numPr>
          <w:ilvl w:val="2"/>
          <w:numId w:val="1096"/>
        </w:numPr>
      </w:pPr>
      <w:r>
        <w:t xml:space="preserve">8080</w:t>
      </w:r>
    </w:p>
    <w:p>
      <w:pPr>
        <w:pStyle w:val="Compact"/>
        <w:numPr>
          <w:ilvl w:val="0"/>
          <w:numId w:val="1091"/>
        </w:numPr>
      </w:pPr>
      <w:r>
        <w:t xml:space="preserve">L’authentification SSH recommandée en environnement professionnel est :</w:t>
      </w:r>
    </w:p>
    <w:p>
      <w:pPr>
        <w:pStyle w:val="Compact"/>
        <w:numPr>
          <w:ilvl w:val="1"/>
          <w:numId w:val="1097"/>
        </w:numPr>
      </w:pPr>
    </w:p>
    <w:p>
      <w:pPr>
        <w:pStyle w:val="Compact"/>
        <w:numPr>
          <w:ilvl w:val="2"/>
          <w:numId w:val="1098"/>
        </w:numPr>
      </w:pPr>
      <w:r>
        <w:t xml:space="preserve">Mot de passe simple</w:t>
      </w:r>
    </w:p>
    <w:p>
      <w:pPr>
        <w:pStyle w:val="Compact"/>
        <w:numPr>
          <w:ilvl w:val="1"/>
          <w:numId w:val="1097"/>
        </w:numPr>
      </w:pPr>
    </w:p>
    <w:p>
      <w:pPr>
        <w:pStyle w:val="Compact"/>
        <w:numPr>
          <w:ilvl w:val="2"/>
          <w:numId w:val="1099"/>
        </w:numPr>
      </w:pPr>
      <w:r>
        <w:t xml:space="preserve">Mot de passe complexe changé chaque semaine</w:t>
      </w:r>
    </w:p>
    <w:p>
      <w:pPr>
        <w:pStyle w:val="Compact"/>
        <w:numPr>
          <w:ilvl w:val="1"/>
          <w:numId w:val="1097"/>
        </w:numPr>
      </w:pPr>
    </w:p>
    <w:p>
      <w:pPr>
        <w:pStyle w:val="Compact"/>
        <w:numPr>
          <w:ilvl w:val="2"/>
          <w:numId w:val="1100"/>
        </w:numPr>
      </w:pPr>
      <w:r>
        <w:t xml:space="preserve">Paire de clés cryptographiques</w:t>
      </w:r>
    </w:p>
    <w:p>
      <w:pPr>
        <w:pStyle w:val="Compact"/>
        <w:numPr>
          <w:ilvl w:val="1"/>
          <w:numId w:val="1097"/>
        </w:numPr>
      </w:pPr>
    </w:p>
    <w:p>
      <w:pPr>
        <w:pStyle w:val="Compact"/>
        <w:numPr>
          <w:ilvl w:val="2"/>
          <w:numId w:val="1101"/>
        </w:numPr>
      </w:pPr>
      <w:r>
        <w:t xml:space="preserve">Aucune authentification, restreinte par IP uniquement</w:t>
      </w:r>
    </w:p>
    <w:p>
      <w:pPr>
        <w:pStyle w:val="Compact"/>
        <w:numPr>
          <w:ilvl w:val="0"/>
          <w:numId w:val="1091"/>
        </w:numPr>
      </w:pPr>
      <w:r>
        <w:t xml:space="preserve">Le rôle principal d’un bastion est de :</w:t>
      </w:r>
    </w:p>
    <w:p>
      <w:pPr>
        <w:pStyle w:val="Compact"/>
        <w:numPr>
          <w:ilvl w:val="1"/>
          <w:numId w:val="1102"/>
        </w:numPr>
      </w:pPr>
    </w:p>
    <w:p>
      <w:pPr>
        <w:pStyle w:val="Compact"/>
        <w:numPr>
          <w:ilvl w:val="2"/>
          <w:numId w:val="1103"/>
        </w:numPr>
      </w:pPr>
      <w:r>
        <w:t xml:space="preserve">Accélérer la connexion réseau</w:t>
      </w:r>
    </w:p>
    <w:p>
      <w:pPr>
        <w:pStyle w:val="Compact"/>
        <w:numPr>
          <w:ilvl w:val="1"/>
          <w:numId w:val="1102"/>
        </w:numPr>
      </w:pPr>
    </w:p>
    <w:p>
      <w:pPr>
        <w:pStyle w:val="Compact"/>
        <w:numPr>
          <w:ilvl w:val="2"/>
          <w:numId w:val="1104"/>
        </w:numPr>
      </w:pPr>
      <w:r>
        <w:t xml:space="preserve">Remplacer le besoin de mots de passe</w:t>
      </w:r>
    </w:p>
    <w:p>
      <w:pPr>
        <w:pStyle w:val="Compact"/>
        <w:numPr>
          <w:ilvl w:val="1"/>
          <w:numId w:val="1102"/>
        </w:numPr>
      </w:pPr>
    </w:p>
    <w:p>
      <w:pPr>
        <w:pStyle w:val="Compact"/>
        <w:numPr>
          <w:ilvl w:val="2"/>
          <w:numId w:val="1105"/>
        </w:numPr>
      </w:pPr>
      <w:r>
        <w:t xml:space="preserve">Concentrer et sécuriser l’accès distant en un seul point d’entrée</w:t>
      </w:r>
    </w:p>
    <w:p>
      <w:pPr>
        <w:pStyle w:val="Compact"/>
        <w:numPr>
          <w:ilvl w:val="1"/>
          <w:numId w:val="1102"/>
        </w:numPr>
      </w:pPr>
    </w:p>
    <w:p>
      <w:pPr>
        <w:pStyle w:val="Compact"/>
        <w:numPr>
          <w:ilvl w:val="2"/>
          <w:numId w:val="1106"/>
        </w:numPr>
      </w:pPr>
      <w:r>
        <w:t xml:space="preserve">Sauvegarder automatiquement les serveurs</w:t>
      </w:r>
    </w:p>
    <w:p>
      <w:pPr>
        <w:pStyle w:val="FirstParagraph"/>
      </w:pPr>
      <w:r>
        <w:rPr>
          <w:b/>
          <w:bCs/>
        </w:rPr>
        <w:t xml:space="preserve">Corrigé</w:t>
      </w:r>
      <w:r>
        <w:t xml:space="preserve"> </w:t>
      </w:r>
      <w:r>
        <w:t xml:space="preserve">: 1-c, 2-c, 3-c.</w:t>
      </w:r>
    </w:p>
    <w:p>
      <w:pPr>
        <w:pStyle w:val="BodyText"/>
      </w:pPr>
      <w:r>
        <w:t xml:space="preserve">📝 Vrai ou Faux</w:t>
      </w:r>
    </w:p>
    <w:p>
      <w:pPr>
        <w:pStyle w:val="Compact"/>
        <w:numPr>
          <w:ilvl w:val="0"/>
          <w:numId w:val="1107"/>
        </w:numPr>
      </w:pPr>
      <w:r>
        <w:t xml:space="preserve">Exposer RDP directement sur Internet est acceptable si le mot de passe est suffisamment complexe. —</w:t>
      </w:r>
      <w:r>
        <w:t xml:space="preserve"> </w:t>
      </w:r>
      <w:r>
        <w:rPr>
          <w:b/>
          <w:bCs/>
        </w:rPr>
        <w:t xml:space="preserve">Faux</w:t>
      </w:r>
      <w:r>
        <w:t xml:space="preserve"> </w:t>
      </w:r>
      <w:r>
        <w:t xml:space="preserve">(le principe est de ne jamais l’exposer directement, indépendamment de la force du mot de passe).</w:t>
      </w:r>
    </w:p>
    <w:p>
      <w:pPr>
        <w:pStyle w:val="Compact"/>
        <w:numPr>
          <w:ilvl w:val="0"/>
          <w:numId w:val="1107"/>
        </w:numPr>
      </w:pPr>
      <w:r>
        <w:t xml:space="preserve">Cockpit remplace complètement le besoin de la ligne de commande sur un serveur Linux. —</w:t>
      </w:r>
      <w:r>
        <w:t xml:space="preserve"> </w:t>
      </w:r>
      <w:r>
        <w:rPr>
          <w:b/>
          <w:bCs/>
        </w:rPr>
        <w:t xml:space="preserve">Faux</w:t>
      </w:r>
      <w:r>
        <w:t xml:space="preserve"> </w:t>
      </w:r>
      <w:r>
        <w:t xml:space="preserve">(c’est un complément, pas un remplacement).</w:t>
      </w:r>
    </w:p>
    <w:p>
      <w:pPr>
        <w:pStyle w:val="Compact"/>
        <w:numPr>
          <w:ilvl w:val="0"/>
          <w:numId w:val="1107"/>
        </w:numPr>
      </w:pPr>
      <w:r>
        <w:t xml:space="preserve">Un bastion doit recevoir une attention de sécurité proportionnellement plus élevée que les autres serveurs. —</w:t>
      </w:r>
      <w:r>
        <w:t xml:space="preserve"> </w:t>
      </w:r>
      <w:r>
        <w:rPr>
          <w:b/>
          <w:bCs/>
        </w:rPr>
        <w:t xml:space="preserve">Vrai</w:t>
      </w:r>
      <w:r>
        <w:t xml:space="preserve">.</w:t>
      </w:r>
    </w:p>
    <w:p>
      <w:pPr>
        <w:pStyle w:val="Compact"/>
        <w:numPr>
          <w:ilvl w:val="0"/>
          <w:numId w:val="1107"/>
        </w:numPr>
      </w:pPr>
      <w:r>
        <w:t xml:space="preserve">Les comptes administratifs partagés entre plusieurs personnes facilitent la traçabilité des actions. —</w:t>
      </w:r>
      <w:r>
        <w:t xml:space="preserve"> </w:t>
      </w:r>
      <w:r>
        <w:rPr>
          <w:b/>
          <w:bCs/>
        </w:rPr>
        <w:t xml:space="preserve">Faux</w:t>
      </w:r>
      <w:r>
        <w:t xml:space="preserve"> </w:t>
      </w:r>
      <w:r>
        <w:t xml:space="preserve">(l’inverse : ils la rendent impossible, d’où la nécessité de comptes nominatifs).</w:t>
      </w:r>
    </w:p>
    <w:p>
      <w:pPr>
        <w:pStyle w:val="FirstParagraph"/>
      </w:pPr>
      <w:r>
        <w:t xml:space="preserve">📝 Questions ouvertes</w:t>
      </w:r>
    </w:p>
    <w:p>
      <w:pPr>
        <w:pStyle w:val="Compact"/>
        <w:numPr>
          <w:ilvl w:val="0"/>
          <w:numId w:val="1108"/>
        </w:numPr>
      </w:pPr>
      <w:r>
        <w:t xml:space="preserve">Explique pourquoi un mot de passe fort ne suffit pas, à lui seul, à sécuriser un accès RDP exposé sur Internet.</w:t>
      </w:r>
    </w:p>
    <w:p>
      <w:pPr>
        <w:pStyle w:val="Compact"/>
        <w:numPr>
          <w:ilvl w:val="0"/>
          <w:numId w:val="1108"/>
        </w:numPr>
      </w:pPr>
      <w:r>
        <w:t xml:space="preserve">Reprends le scénario d’ouverture (la PME victime de rançongiciel). Explique en quoi la mise en place d’un bastion, seule, n’aurait peut-être pas suffi si les comptes n’étaient pas nominatifs et sans MFA.</w:t>
      </w:r>
    </w:p>
    <w:p>
      <w:pPr>
        <w:pStyle w:val="FirstParagraph"/>
      </w:pPr>
      <w:r>
        <w:rPr>
          <w:b/>
          <w:bCs/>
        </w:rPr>
        <w:t xml:space="preserve">Corrigé 1</w:t>
      </w:r>
      <w:r>
        <w:t xml:space="preserve"> </w:t>
      </w:r>
      <w:r>
        <w:t xml:space="preserve">: un mot de passe fort protège contre la devinette ou la force brute, mais pas contre les vulnérabilités du protocole RDP lui-même (régulièrement découvertes), ni contre un identifiant compromis ailleurs et réutilisé (fuite de données sur un autre service, par exemple). Le vrai problème est l’exposition directe elle-même, pas seulement la robustesse du mot de passe qui la protège.</w:t>
      </w:r>
    </w:p>
    <w:p>
      <w:pPr>
        <w:pStyle w:val="BodyText"/>
      </w:pPr>
      <w:r>
        <w:rPr>
          <w:b/>
          <w:bCs/>
        </w:rPr>
        <w:t xml:space="preserve">Corrigé 2</w:t>
      </w:r>
      <w:r>
        <w:t xml:space="preserve"> </w:t>
      </w:r>
      <w:r>
        <w:t xml:space="preserve">: un bastion réduit la surface d’attaque exposée depuis Internet, mais si l’accès au bastion lui-même repose sur un compte partagé sans MFA, un attaquant qui obtient ces identifiants (par hameçonnage, par exemple) contourne entièrement la protection du bastion. La sécurité d’ensemble dépend de la combinaison des mesures (bastion + MFA + comptes nominatifs, section 4.7), pas d’une seule mesure isolée aussi solide soit-elle.</w:t>
      </w:r>
    </w:p>
    <w:bookmarkEnd w:id="113"/>
    <w:bookmarkStart w:id="114" w:name="exercices-3"/>
    <w:p>
      <w:pPr>
        <w:pStyle w:val="Heading2"/>
      </w:pPr>
      <w:r>
        <w:t xml:space="preserve">Exercices</w:t>
      </w:r>
    </w:p>
    <w:p>
      <w:pPr>
        <w:pStyle w:val="FirstParagraph"/>
      </w:pPr>
      <w:r>
        <w:t xml:space="preserve">📝 Exercice 4.1</w:t>
      </w:r>
    </w:p>
    <w:p>
      <w:pPr>
        <w:pStyle w:val="BodyText"/>
      </w:pPr>
      <w:r>
        <w:t xml:space="preserve">Explique, en tes propres mots, pourquoi la désactivation de l’authentification par mot de passe sur un serveur SSH ne doit se faire qu’</w:t>
      </w:r>
      <w:r>
        <w:rPr>
          <w:b/>
          <w:bCs/>
        </w:rPr>
        <w:t xml:space="preserve">après</w:t>
      </w:r>
      <w:r>
        <w:t xml:space="preserve"> </w:t>
      </w:r>
      <w:r>
        <w:t xml:space="preserve">avoir validé que l’authentification par clé fonctionne correctement, jamais avant ou en même temps.</w:t>
      </w:r>
    </w:p>
    <w:p>
      <w:pPr>
        <w:pStyle w:val="BodyText"/>
      </w:pPr>
      <w:r>
        <w:rPr>
          <w:b/>
          <w:bCs/>
        </w:rPr>
        <w:t xml:space="preserve">Corrigé :</w:t>
      </w:r>
      <w:r>
        <w:t xml:space="preserve"> </w:t>
      </w:r>
      <w:r>
        <w:t xml:space="preserve">Si l’authentification par clé n’est pas correctement configurée (clé publique mal déposée, permissions de fichier incorrectes) et que le mot de passe est désactivé en même temps, il devient impossible de se connecter au serveur par un moyen quelconque — y compris pour corriger l’erreur elle-même, si aucun accès physique ou de secours n’existe. Tester d’abord la connexion par clé avec succès, puis seulement ensuite désactiver le mot de passe, évite ce risque de blocage total.</w:t>
      </w:r>
    </w:p>
    <w:p>
      <w:pPr>
        <w:pStyle w:val="BodyText"/>
      </w:pPr>
      <w:r>
        <w:t xml:space="preserve">📝 Exercice 4.2</w:t>
      </w:r>
    </w:p>
    <w:p>
      <w:pPr>
        <w:pStyle w:val="BodyText"/>
      </w:pPr>
      <w:r>
        <w:t xml:space="preserve">Un collègue propose d’utiliser un unique compte</w:t>
      </w:r>
      <w:r>
        <w:t xml:space="preserve"> </w:t>
      </w:r>
      <w:r>
        <w:t xml:space="preserve">“admin”</w:t>
      </w:r>
      <w:r>
        <w:t xml:space="preserve"> </w:t>
      </w:r>
      <w:r>
        <w:t xml:space="preserve">partagé par toute l’équipe pour se connecter au bastion,</w:t>
      </w:r>
      <w:r>
        <w:t xml:space="preserve"> </w:t>
      </w:r>
      <w:r>
        <w:t xml:space="preserve">“pour simplifier la gestion des accès”</w:t>
      </w:r>
      <w:r>
        <w:t xml:space="preserve">. En 3 à 5 phrases, explique-lui pourquoi c’est une mauvaise idée, en t’appuyant sur les chapitres 3 et 4.</w:t>
      </w:r>
    </w:p>
    <w:p>
      <w:pPr>
        <w:pStyle w:val="BodyText"/>
      </w:pPr>
      <w:r>
        <w:rPr>
          <w:b/>
          <w:bCs/>
        </w:rPr>
        <w:t xml:space="preserve">Corrigé (exemple de réponse) :</w:t>
      </w:r>
      <w:r>
        <w:t xml:space="preserve"> </w:t>
      </w:r>
      <w:r>
        <w:t xml:space="preserve">Un compte partagé rend impossible de savoir qui a réellement effectué une action donnée, ce qui casse directement le journal des changements évoqué au chapitre 3 — en cas d’incident ou d’erreur, personne ne peut être identifié avec certitude. Si ce compte partagé est compromis (mot de passe deviné, phishing), c’est l’accès de toute l’équipe qui est perdu simultanément, plutôt qu’un seul compte individuel à révoquer. Enfin, quand une personne quitte l’équipe, un mot de passe partagé doit être changé pour tout le monde en même temps — alors qu’un compte nominatif se révoque individuellement, sans perturber les autres membres de l’équipe.</w:t>
      </w:r>
    </w:p>
    <w:bookmarkEnd w:id="114"/>
    <w:bookmarkStart w:id="115" w:name="checklist-de-fin-de-chapitre-3"/>
    <w:p>
      <w:pPr>
        <w:pStyle w:val="Heading2"/>
      </w:pPr>
      <w:r>
        <w:t xml:space="preserve">Checklist de fin de chapitre</w:t>
      </w:r>
    </w:p>
    <w:p>
      <w:pPr>
        <w:pStyle w:val="FirstParagraph"/>
      </w:pPr>
      <w:r>
        <w:t xml:space="preserve">☐ Je sais expliquer pourquoi RDP et SSH ne doivent jamais être exposés directement sur Internet.</w:t>
      </w:r>
    </w:p>
    <w:p>
      <w:pPr>
        <w:pStyle w:val="BodyText"/>
      </w:pPr>
      <w:r>
        <w:t xml:space="preserve">☐ Je connais les ports par défaut de RDP (3389) et SSH (22).</w:t>
      </w:r>
    </w:p>
    <w:p>
      <w:pPr>
        <w:pStyle w:val="BodyText"/>
      </w:pPr>
      <w:r>
        <w:t xml:space="preserve">☐ Je comprends pourquoi l’authentification par clé est préférée à l’authentification par mot de passe sur SSH.</w:t>
      </w:r>
    </w:p>
    <w:p>
      <w:pPr>
        <w:pStyle w:val="BodyText"/>
      </w:pPr>
      <w:r>
        <w:t xml:space="preserve">☐ Je sais distinguer MMC, Server Manager et Windows Admin Center.</w:t>
      </w:r>
    </w:p>
    <w:p>
      <w:pPr>
        <w:pStyle w:val="BodyText"/>
      </w:pPr>
      <w:r>
        <w:t xml:space="preserve">☐ Je comprends le rôle de Cockpit comme complément à la ligne de commande sur Linux.</w:t>
      </w:r>
    </w:p>
    <w:p>
      <w:pPr>
        <w:pStyle w:val="BodyText"/>
      </w:pPr>
      <w:r>
        <w:t xml:space="preserve">☐ Je sais expliquer le principe du bastion et pourquoi il réduit la surface d’attaque.</w:t>
      </w:r>
    </w:p>
    <w:p>
      <w:pPr>
        <w:pStyle w:val="BodyText"/>
      </w:pPr>
      <w:r>
        <w:t xml:space="preserve">☐ Je connais au moins 4 bonnes pratiques transverses d’accès distant (MFA, restriction IP, journalisation, comptes nominatifs).</w:t>
      </w:r>
    </w:p>
    <w:bookmarkEnd w:id="115"/>
    <w:bookmarkStart w:id="116" w:name="faq-3"/>
    <w:p>
      <w:pPr>
        <w:pStyle w:val="Heading2"/>
      </w:pPr>
      <w:r>
        <w:t xml:space="preserve">FAQ</w:t>
      </w:r>
    </w:p>
    <w:p>
      <w:pPr>
        <w:pStyle w:val="FirstParagraph"/>
      </w:pPr>
      <w:r>
        <w:t xml:space="preserve">Un VPN remplace-t-il complètement le besoin d’un bastion ?</w:t>
      </w:r>
    </w:p>
    <w:p>
      <w:pPr>
        <w:pStyle w:val="BodyText"/>
      </w:pPr>
      <w:r>
        <w:t xml:space="preserve">Un VPN et un bastion se complètent plutôt qu’ils ne se remplacent : le VPN sécurise la connexion réseau elle-même (chiffrement, appartenance au réseau d’entreprise), tandis que le bastion concentre et journalise spécifiquement les accès administratifs. Beaucoup d’organisations utilisent les deux ensemble, comme suggéré dans le schéma de la section 4.6.</w:t>
      </w:r>
    </w:p>
    <w:p>
      <w:pPr>
        <w:pStyle w:val="BodyText"/>
      </w:pPr>
      <w:r>
        <w:t xml:space="preserve">Windows Admin Center peut-il entièrement remplacer les consoles MMC traditionnelles ?</w:t>
      </w:r>
    </w:p>
    <w:p>
      <w:pPr>
        <w:pStyle w:val="BodyText"/>
      </w:pPr>
      <w:r>
        <w:t xml:space="preserve">Pas encore complètement en 2026 pour tous les scénarios avancés, mais son périmètre s’élargit régulièrement. Ce manuel couvre les deux approches dans la Partie 2, car les deux restent utiles selon le contexte et le niveau de maturité de l’infrastructure concernée.</w:t>
      </w:r>
    </w:p>
    <w:p>
      <w:pPr>
        <w:pStyle w:val="BodyText"/>
      </w:pPr>
      <w:r>
        <w:t xml:space="preserve">Est-il acceptable d’utiliser un mot de passe sur SSH pour un simple serveur de test personnel, hors production ?</w:t>
      </w:r>
    </w:p>
    <w:p>
      <w:pPr>
        <w:pStyle w:val="BodyText"/>
      </w:pPr>
      <w:r>
        <w:t xml:space="preserve">Le risque est objectivement moindre pour un environnement de test isolé sans donnée sensible, mais prendre l’habitude de toujours utiliser des clés, même en test, évite d’avoir à changer de réflexe le jour où ce même serveur devient, sans qu’on s’en rende toujours compte, un système plus critique qu’initialement prévu.</w:t>
      </w:r>
    </w:p>
    <w:p>
      <w:pPr>
        <w:pStyle w:val="BodyText"/>
      </w:pPr>
      <w:r>
        <w:t xml:space="preserve">Comment gérer les accès distants pour des prestataires externes ou temporaires ?</w:t>
      </w:r>
    </w:p>
    <w:p>
      <w:pPr>
        <w:pStyle w:val="BodyText"/>
      </w:pPr>
      <w:r>
        <w:t xml:space="preserve">Toujours via des comptes nominatifs et temporaires, avec une date d’expiration automatique et un accès strictement limité à ce qui est nécessaire (principe du moindre privilège, chapitre 1, section</w:t>
      </w:r>
      <w:r>
        <w:t xml:space="preserve"> </w:t>
      </w:r>
      <w:r>
        <w:t xml:space="preserve">“Optimisation, sécurité et maintenabilité”</w:t>
      </w:r>
      <w:r>
        <w:t xml:space="preserve">) — jamais via les mêmes comptes que l’équipe interne permanente.</w:t>
      </w:r>
    </w:p>
    <w:bookmarkEnd w:id="116"/>
    <w:bookmarkStart w:id="122" w:name="références-et-pour-aller-plus-loin-3"/>
    <w:p>
      <w:pPr>
        <w:pStyle w:val="Heading2"/>
      </w:pPr>
      <w:r>
        <w:t xml:space="preserve">Références et pour aller plus loin</w:t>
      </w:r>
    </w:p>
    <w:p>
      <w:pPr>
        <w:pStyle w:val="Compact"/>
        <w:numPr>
          <w:ilvl w:val="0"/>
          <w:numId w:val="1109"/>
        </w:numPr>
      </w:pPr>
      <w:r>
        <w:t xml:space="preserve">Microsoft Learn — Sécuriser les connexions Bureau à distance (RDP) :</w:t>
      </w:r>
      <w:r>
        <w:t xml:space="preserve"> </w:t>
      </w:r>
      <w:hyperlink r:id="rId117">
        <w:r>
          <w:rPr>
            <w:rStyle w:val="Hyperlink"/>
          </w:rPr>
          <w:t xml:space="preserve">https://learn.microsoft.com/fr-fr/windows-server/remote/remote-desktop-services/</w:t>
        </w:r>
      </w:hyperlink>
    </w:p>
    <w:p>
      <w:pPr>
        <w:pStyle w:val="Compact"/>
        <w:numPr>
          <w:ilvl w:val="0"/>
          <w:numId w:val="1109"/>
        </w:numPr>
      </w:pPr>
      <w:r>
        <w:t xml:space="preserve">Microsoft Learn — Vue d’ensemble de Windows Admin Center :</w:t>
      </w:r>
      <w:r>
        <w:t xml:space="preserve"> </w:t>
      </w:r>
      <w:hyperlink r:id="rId118">
        <w:r>
          <w:rPr>
            <w:rStyle w:val="Hyperlink"/>
          </w:rPr>
          <w:t xml:space="preserve">https://learn.microsoft.com/fr-fr/windows-server/manage/windows-admin-center/overview</w:t>
        </w:r>
      </w:hyperlink>
    </w:p>
    <w:p>
      <w:pPr>
        <w:pStyle w:val="Compact"/>
        <w:numPr>
          <w:ilvl w:val="0"/>
          <w:numId w:val="1109"/>
        </w:numPr>
      </w:pPr>
      <w:r>
        <w:t xml:space="preserve">Documentation officielle du projet Cockpit :</w:t>
      </w:r>
      <w:r>
        <w:t xml:space="preserve"> </w:t>
      </w:r>
      <w:hyperlink r:id="rId119">
        <w:r>
          <w:rPr>
            <w:rStyle w:val="Hyperlink"/>
          </w:rPr>
          <w:t xml:space="preserve">https://cockpit-project.org/documentation.html</w:t>
        </w:r>
      </w:hyperlink>
    </w:p>
    <w:p>
      <w:pPr>
        <w:pStyle w:val="Compact"/>
        <w:numPr>
          <w:ilvl w:val="0"/>
          <w:numId w:val="1109"/>
        </w:numPr>
      </w:pPr>
      <w:r>
        <w:t xml:space="preserve">OpenSSH — documentation officielle sur l’authentification par clé :</w:t>
      </w:r>
      <w:r>
        <w:t xml:space="preserve"> </w:t>
      </w:r>
      <w:hyperlink r:id="rId120">
        <w:r>
          <w:rPr>
            <w:rStyle w:val="Hyperlink"/>
          </w:rPr>
          <w:t xml:space="preserve">https://www.openssh.com/manual.html</w:t>
        </w:r>
      </w:hyperlink>
    </w:p>
    <w:p>
      <w:pPr>
        <w:pStyle w:val="Compact"/>
        <w:numPr>
          <w:ilvl w:val="0"/>
          <w:numId w:val="1109"/>
        </w:numPr>
      </w:pPr>
      <w:r>
        <w:t xml:space="preserve">CISA (Cybersecurity and Infrastructure Security Agency) — recommandations sur l’exposition RDP :</w:t>
      </w:r>
      <w:r>
        <w:t xml:space="preserve"> </w:t>
      </w:r>
      <w:hyperlink r:id="rId121">
        <w:r>
          <w:rPr>
            <w:rStyle w:val="Hyperlink"/>
          </w:rPr>
          <w:t xml:space="preserve">https://www.cisa.gov</w:t>
        </w:r>
      </w:hyperlink>
    </w:p>
    <w:p>
      <w:pPr>
        <w:pStyle w:val="FirstParagraph"/>
      </w:pPr>
      <w:r>
        <w:rPr>
          <w:i/>
          <w:iCs/>
        </w:rPr>
        <w:t xml:space="preserve">Fin de la Partie 1. La Partie 2 commence maintenant l’administration Windows Server avancée, en partant du sujet le plus structurant de tout environnement Windows d’entreprise : l’architecture Active Directory.</w:t>
      </w:r>
    </w:p>
    <w:p>
      <w:pPr>
        <w:pStyle w:val="BodyText"/>
      </w:pPr>
      <w:r>
        <w:t xml:space="preserve">CHAPITRE 5</w:t>
      </w:r>
    </w:p>
    <w:bookmarkEnd w:id="122"/>
    <w:bookmarkEnd w:id="123"/>
    <w:bookmarkStart w:id="150" w:name="X250dbf90f5a3e3be98388bc0f9dae0e3cdbb43e"/>
    <w:p>
      <w:pPr>
        <w:pStyle w:val="Heading1"/>
      </w:pPr>
      <w:r>
        <w:t xml:space="preserve">Architecture Active Directory : forêts, domaines, arbres, sites, FSMO</w:t>
      </w:r>
    </w:p>
    <w:p>
      <w:pPr>
        <w:pStyle w:val="FirstParagraph"/>
      </w:pPr>
      <w:r>
        <w:t xml:space="preserve">🎯 Objectif du chapitre</w:t>
      </w:r>
      <w:r>
        <w:t xml:space="preserve"> </w:t>
      </w:r>
      <w:r>
        <w:t xml:space="preserve">Comprendre l’architecture logique et physique d’Active Directory — le service d’annuaire qui centralise l’identité et les autorisations dans la quasi-totalité des entreprises utilisant Windows. À la fin de ce chapitre, tu sauras distinguer une forêt, un domaine, une unité d’organisation et un site, expliquer à quoi servent les rôles FSMO, et concevoir sur papier une architecture Active Directory adaptée à une entreprise multi-sites comme celle de ce manuel.</w:t>
      </w:r>
    </w:p>
    <w:p>
      <w:pPr>
        <w:pStyle w:val="BodyText"/>
      </w:pPr>
      <w:r>
        <w:t xml:space="preserve">🎬 Mise en situation</w:t>
      </w:r>
      <w:r>
        <w:t xml:space="preserve"> </w:t>
      </w:r>
      <w:r>
        <w:t xml:space="preserve">Cinquième semaine dans la compagnie d’assurance. Le DSI te confie un vrai projet : le bureau du Cap-Haïtien, jusqu’ici connecté au siège de Port-au-Prince uniquement par une liaison Internet standard, va bientôt doubler ses effectifs.</w:t>
      </w:r>
      <w:r>
        <w:t xml:space="preserve"> </w:t>
      </w:r>
      <w:r>
        <w:t xml:space="preserve">“Aujourd’hui, chaque ouverture de session à distance là-bas passe par la liaison vers Port-au-Prince pour vérifier les identifiants — c’est lent, et si la liaison tombe, plus personne ne peut se connecter au Cap-Haïtien, même pour des ressources locales.”</w:t>
      </w:r>
      <w:r>
        <w:t xml:space="preserve"> </w:t>
      </w:r>
      <w:r>
        <w:t xml:space="preserve">Il te demande de proposer une architecture Active Directory qui corrige ce problème. Avant de dessiner quoi que ce soit, tu dois comprendre en profondeur les briques qu’Active Directory met à ta disposition — l’objet de ce chapitre.</w:t>
      </w:r>
    </w:p>
    <w:bookmarkStart w:id="124" w:name="quest-ce-quactive-directory"/>
    <w:p>
      <w:pPr>
        <w:pStyle w:val="Heading2"/>
      </w:pPr>
      <w:r>
        <w:t xml:space="preserve">5.1 Qu’est-ce qu’Active Directory</w:t>
      </w:r>
    </w:p>
    <w:p>
      <w:pPr>
        <w:pStyle w:val="FirstParagraph"/>
      </w:pPr>
      <w:r>
        <w:rPr>
          <w:b/>
          <w:bCs/>
        </w:rPr>
        <w:t xml:space="preserve">Active Directory</w:t>
      </w:r>
      <w:r>
        <w:t xml:space="preserve"> </w:t>
      </w:r>
      <w:r>
        <w:t xml:space="preserve">(AD) est le service d’annuaire de Microsoft : une base de données centralisée qui stocke les identités (utilisateurs, ordinateurs, groupes) et applique des règles de sécurité et de configuration à l’ensemble d’un réseau Windows. C’est la brique qui répond à la question la plus fondamentale de toute organisation informatique :</w:t>
      </w:r>
      <w:r>
        <w:t xml:space="preserve"> </w:t>
      </w:r>
      <w:r>
        <w:rPr>
          <w:i/>
          <w:iCs/>
        </w:rPr>
        <w:t xml:space="preserve">qui es-tu, et à quoi as-tu le droit d’accéder ?</w:t>
      </w:r>
    </w:p>
    <w:p>
      <w:pPr>
        <w:pStyle w:val="BodyText"/>
      </w:pPr>
      <w:r>
        <w:t xml:space="preserve">💡 Analogie — le registre d’état civil d’un pays</w:t>
      </w:r>
      <w:r>
        <w:t xml:space="preserve"> </w:t>
      </w:r>
      <w:r>
        <w:t xml:space="preserve">Active Directory joue, pour un réseau d’entreprise, un rôle comparable à celui d’un registre d’état civil pour un pays : chaque</w:t>
      </w:r>
      <w:r>
        <w:t xml:space="preserve"> </w:t>
      </w:r>
      <w:r>
        <w:t xml:space="preserve">“citoyen”</w:t>
      </w:r>
      <w:r>
        <w:t xml:space="preserve"> </w:t>
      </w:r>
      <w:r>
        <w:t xml:space="preserve">(utilisateur, ordinateur) y est enregistré une seule fois, avec une identité vérifiable, et cette identité unique est reconnue par toutes les</w:t>
      </w:r>
      <w:r>
        <w:t xml:space="preserve"> </w:t>
      </w:r>
      <w:r>
        <w:t xml:space="preserve">“administrations”</w:t>
      </w:r>
      <w:r>
        <w:t xml:space="preserve"> </w:t>
      </w:r>
      <w:r>
        <w:t xml:space="preserve">(serveurs, applications) qui font confiance au même registre — plutôt que chaque service exigeant sa propre carte d’identité distincte.</w:t>
      </w:r>
    </w:p>
    <w:p>
      <w:pPr>
        <w:pStyle w:val="BodyText"/>
      </w:pPr>
      <w:r>
        <w:t xml:space="preserve">📌 À retenir</w:t>
      </w:r>
      <w:r>
        <w:t xml:space="preserve"> </w:t>
      </w:r>
      <w:r>
        <w:t xml:space="preserve">Active Directory repose sur le protocole</w:t>
      </w:r>
      <w:r>
        <w:t xml:space="preserve"> </w:t>
      </w:r>
      <w:r>
        <w:rPr>
          <w:b/>
          <w:bCs/>
        </w:rPr>
        <w:t xml:space="preserve">LDAP</w:t>
      </w:r>
      <w:r>
        <w:t xml:space="preserve"> </w:t>
      </w:r>
      <w:r>
        <w:t xml:space="preserve">(approfondi au chapitre 22) pour le stockage et l’interrogation de l’annuaire, et sur</w:t>
      </w:r>
      <w:r>
        <w:t xml:space="preserve"> </w:t>
      </w:r>
      <w:r>
        <w:rPr>
          <w:b/>
          <w:bCs/>
        </w:rPr>
        <w:t xml:space="preserve">Kerberos</w:t>
      </w:r>
      <w:r>
        <w:t xml:space="preserve"> </w:t>
      </w:r>
      <w:r>
        <w:t xml:space="preserve">(chapitre 23) pour l’authentification. Ce chapitre se concentre sur l’architecture logique et physique — la façon dont les objets et les serveurs s’organisent entre eux — avant d’aborder ces protocoles sous-jacents dans la Partie 4.</w:t>
      </w:r>
    </w:p>
    <w:bookmarkEnd w:id="124"/>
    <w:bookmarkStart w:id="125" w:name="la-forêt-la-frontière-de-sécurité-ultime"/>
    <w:p>
      <w:pPr>
        <w:pStyle w:val="Heading2"/>
      </w:pPr>
      <w:r>
        <w:t xml:space="preserve">5.2 La forêt : la frontière de sécurité ultime</w:t>
      </w:r>
    </w:p>
    <w:p>
      <w:pPr>
        <w:pStyle w:val="FirstParagraph"/>
      </w:pPr>
      <w:r>
        <w:t xml:space="preserve">La</w:t>
      </w:r>
      <w:r>
        <w:t xml:space="preserve"> </w:t>
      </w:r>
      <w:r>
        <w:rPr>
          <w:b/>
          <w:bCs/>
        </w:rPr>
        <w:t xml:space="preserve">forêt</w:t>
      </w:r>
      <w:r>
        <w:t xml:space="preserve"> </w:t>
      </w:r>
      <w:r>
        <w:t xml:space="preserve">(</w:t>
      </w:r>
      <w:r>
        <w:rPr>
          <w:i/>
          <w:iCs/>
        </w:rPr>
        <w:t xml:space="preserve">forest</w:t>
      </w:r>
      <w:r>
        <w:t xml:space="preserve">) est la limite de sécurité la plus large d’Active Directory — tout ce qui se trouve à l’intérieur d’une même forêt partage un schéma commun (la structure des types d’objets possibles) et un certain niveau de confiance implicite entre ses domaines.</w:t>
      </w:r>
    </w:p>
    <w:p>
      <w:pPr>
        <w:pStyle w:val="BodyText"/>
      </w:pPr>
      <w:r>
        <w:t xml:space="preserve">🧠 À mémoriser</w:t>
      </w:r>
      <w:r>
        <w:t xml:space="preserve"> </w:t>
      </w:r>
      <w:r>
        <w:t xml:space="preserve">Une forêt peut contenir un ou plusieurs domaines. Une entreprise qui n’a pas de besoin particulier de séparation forte (fusion-acquisition avec des systèmes distincts, filiale totalement indépendante) n’a presque jamais besoin de plusieurs forêts — une forêt à domaine unique reste l’architecture la plus simple à administrer et la plus répandue, y compris dans de grandes entreprises.</w:t>
      </w:r>
    </w:p>
    <w:bookmarkEnd w:id="125"/>
    <w:bookmarkStart w:id="129" w:name="X86aa95775c7668761326b2cfdb3339380a41901"/>
    <w:p>
      <w:pPr>
        <w:pStyle w:val="Heading2"/>
      </w:pPr>
      <w:r>
        <w:t xml:space="preserve">5.3 Le domaine, l’arbre, et les unités d’organisation</w:t>
      </w:r>
    </w:p>
    <w:p>
      <w:pPr>
        <w:pStyle w:val="CaptionedFigure"/>
      </w:pPr>
      <w:r>
        <w:drawing>
          <wp:inline>
            <wp:extent cx="5334000" cy="4161162"/>
            <wp:effectExtent b="0" l="0" r="0" t="0"/>
            <wp:docPr descr="Diagramme" title="" id="127" name="Picture"/>
            <a:graphic>
              <a:graphicData uri="http://schemas.openxmlformats.org/drawingml/2006/picture">
                <pic:pic>
                  <pic:nvPicPr>
                    <pic:cNvPr descr="C:/Users/ingja/Desktop/jarvis-starter-kit/livrables/formations/manuel-administration-systeme/assets/diagrams/d-05-architecture-active-directory-diagramme-1.png" id="128" name="Picture"/>
                    <pic:cNvPicPr>
                      <a:picLocks noChangeArrowheads="1" noChangeAspect="1"/>
                    </pic:cNvPicPr>
                  </pic:nvPicPr>
                  <pic:blipFill>
                    <a:blip r:embed="rId126"/>
                    <a:stretch>
                      <a:fillRect/>
                    </a:stretch>
                  </pic:blipFill>
                  <pic:spPr bwMode="auto">
                    <a:xfrm>
                      <a:off x="0" y="0"/>
                      <a:ext cx="5334000" cy="4161162"/>
                    </a:xfrm>
                    <a:prstGeom prst="rect">
                      <a:avLst/>
                    </a:prstGeom>
                    <a:noFill/>
                    <a:ln w="9525">
                      <a:noFill/>
                      <a:headEnd/>
                      <a:tailEnd/>
                    </a:ln>
                  </pic:spPr>
                </pic:pic>
              </a:graphicData>
            </a:graphic>
          </wp:inline>
        </w:drawing>
      </w:r>
    </w:p>
    <w:p>
      <w:pPr>
        <w:pStyle w:val="ImageCaption"/>
      </w:pPr>
      <w:r>
        <w:t xml:space="preserve">Diagramme</w:t>
      </w:r>
    </w:p>
    <w:p>
      <w:pPr>
        <w:pStyle w:val="BodyText"/>
      </w:pPr>
      <w:r>
        <w:t xml:space="preserve">💡 Explication du schéma</w:t>
      </w:r>
      <w:r>
        <w:t xml:space="preserve"> </w:t>
      </w:r>
      <w:r>
        <w:t xml:space="preserve">Un</w:t>
      </w:r>
      <w:r>
        <w:t xml:space="preserve"> </w:t>
      </w:r>
      <w:r>
        <w:t xml:space="preserve">domaine</w:t>
      </w:r>
      <w:r>
        <w:t xml:space="preserve"> </w:t>
      </w:r>
      <w:r>
        <w:t xml:space="preserve">est une limite administrative (politiques de sécurité communes, base d’annuaire partagée) — dans l’exemple, l’entreprise n’a besoin que d’un seul domaine,</w:t>
      </w:r>
      <w:r>
        <w:t xml:space="preserve"> </w:t>
      </w:r>
      <w:r>
        <w:t xml:space="preserve">assuranceht.local</w:t>
      </w:r>
      <w:r>
        <w:t xml:space="preserve">. Les</w:t>
      </w:r>
      <w:r>
        <w:t xml:space="preserve"> </w:t>
      </w:r>
      <w:r>
        <w:t xml:space="preserve">unités d’organisation</w:t>
      </w:r>
      <w:r>
        <w:t xml:space="preserve"> </w:t>
      </w:r>
      <w:r>
        <w:t xml:space="preserve">(UO,</w:t>
      </w:r>
      <w:r>
        <w:t xml:space="preserve"> </w:t>
      </w:r>
      <w:r>
        <w:rPr>
          <w:i/>
          <w:iCs/>
        </w:rPr>
        <w:t xml:space="preserve">Organizational Units</w:t>
      </w:r>
      <w:r>
        <w:t xml:space="preserve">) sont des conteneurs internes au domaine, utilisés pour organiser les objets (souvent par site géographique puis par service) et surtout pour appliquer des</w:t>
      </w:r>
      <w:r>
        <w:t xml:space="preserve"> </w:t>
      </w:r>
      <w:r>
        <w:t xml:space="preserve">stratégies de groupe</w:t>
      </w:r>
      <w:r>
        <w:t xml:space="preserve"> </w:t>
      </w:r>
      <w:r>
        <w:t xml:space="preserve">(GPO, chapitre 7) ciblées à un sous-ensemble précis d’utilisateurs ou d’ordinateurs.</w:t>
      </w:r>
    </w:p>
    <w:p>
      <w:pPr>
        <w:pStyle w:val="BodyText"/>
      </w:pPr>
      <w:r>
        <w:t xml:space="preserve">⚠️ Erreur de compréhension fréquente : confondre UO et groupe de sécurité</w:t>
      </w:r>
      <w:r>
        <w:t xml:space="preserve"> </w:t>
      </w:r>
      <w:r>
        <w:t xml:space="preserve">Une unité d’organisation sert à</w:t>
      </w:r>
      <w:r>
        <w:t xml:space="preserve"> </w:t>
      </w:r>
      <w:r>
        <w:rPr>
          <w:b/>
          <w:bCs/>
        </w:rPr>
        <w:t xml:space="preserve">organiser et appliquer des GPO</w:t>
      </w:r>
      <w:r>
        <w:t xml:space="preserve"> </w:t>
      </w:r>
      <w:r>
        <w:t xml:space="preserve">; un groupe de sécurité sert à</w:t>
      </w:r>
      <w:r>
        <w:t xml:space="preserve"> </w:t>
      </w:r>
      <w:r>
        <w:rPr>
          <w:b/>
          <w:bCs/>
        </w:rPr>
        <w:t xml:space="preserve">attribuer des permissions</w:t>
      </w:r>
      <w:r>
        <w:t xml:space="preserve">. Un utilisateur appartient à une seule UO (son emplacement dans l’arborescence), mais peut appartenir à plusieurs groupes de sécurité simultanément. Confondre les deux est l’une des erreurs de conception les plus fréquentes chez les administrateurs débutants — approfondi au chapitre 6.</w:t>
      </w:r>
    </w:p>
    <w:p>
      <w:pPr>
        <w:pStyle w:val="BodyText"/>
      </w:pPr>
      <w:r>
        <w:rPr>
          <w:b/>
          <w:bCs/>
        </w:rPr>
        <w:t xml:space="preserve">Un arbre</w:t>
      </w:r>
      <w:r>
        <w:t xml:space="preserve"> </w:t>
      </w:r>
      <w:r>
        <w:t xml:space="preserve">(</w:t>
      </w:r>
      <w:r>
        <w:rPr>
          <w:i/>
          <w:iCs/>
        </w:rPr>
        <w:t xml:space="preserve">tree</w:t>
      </w:r>
      <w:r>
        <w:t xml:space="preserve">) regroupe un ou plusieurs domaines qui partagent un espace de noms DNS contigu (par exemple,</w:t>
      </w:r>
      <w:r>
        <w:t xml:space="preserve"> </w:t>
      </w:r>
      <w:r>
        <w:rPr>
          <w:rStyle w:val="VerbatimChar"/>
        </w:rPr>
        <w:t xml:space="preserve">assuranceht.local</w:t>
      </w:r>
      <w:r>
        <w:t xml:space="preserve"> </w:t>
      </w:r>
      <w:r>
        <w:t xml:space="preserve">et</w:t>
      </w:r>
      <w:r>
        <w:t xml:space="preserve"> </w:t>
      </w:r>
      <w:r>
        <w:rPr>
          <w:rStyle w:val="VerbatimChar"/>
        </w:rPr>
        <w:t xml:space="preserve">filiale.assuranceht.local</w:t>
      </w:r>
      <w:r>
        <w:t xml:space="preserve">). Une forêt peut contenir plusieurs arbres, si les domaines qu’elle regroupe n’ont pas de nom contigu — un cas nettement plus rare en pratique que l’arbre à domaine unique du schéma ci-dessus.</w:t>
      </w:r>
    </w:p>
    <w:bookmarkEnd w:id="129"/>
    <w:bookmarkStart w:id="133" w:name="Xa6ef2b9e1c26f9610bdb3ebfced8338f7e0e43f"/>
    <w:p>
      <w:pPr>
        <w:pStyle w:val="Heading2"/>
      </w:pPr>
      <w:r>
        <w:t xml:space="preserve">5.4 Les sites Active Directory : la couche physique</w:t>
      </w:r>
    </w:p>
    <w:p>
      <w:pPr>
        <w:pStyle w:val="FirstParagraph"/>
      </w:pPr>
      <w:r>
        <w:t xml:space="preserve">Voici la réponse directe au problème posé dans le scénario d’ouverture. Un</w:t>
      </w:r>
      <w:r>
        <w:t xml:space="preserve"> </w:t>
      </w:r>
      <w:r>
        <w:rPr>
          <w:b/>
          <w:bCs/>
        </w:rPr>
        <w:t xml:space="preserve">site</w:t>
      </w:r>
      <w:r>
        <w:t xml:space="preserve"> </w:t>
      </w:r>
      <w:r>
        <w:t xml:space="preserve">Active Directory est une représentation de la</w:t>
      </w:r>
      <w:r>
        <w:t xml:space="preserve"> </w:t>
      </w:r>
      <w:r>
        <w:rPr>
          <w:b/>
          <w:bCs/>
        </w:rPr>
        <w:t xml:space="preserve">topologie physique réelle</w:t>
      </w:r>
      <w:r>
        <w:t xml:space="preserve"> </w:t>
      </w:r>
      <w:r>
        <w:t xml:space="preserve">du réseau — typiquement, un site correspond à un emplacement géographique relié par un lien réseau rapide et fiable (un même bâtiment ou un même campus), distinct d’un autre site relié par une liaison plus lente ou moins fiable (comme la liaison Internet entre Port-au-Prince et le Cap-Haïtien).</w:t>
      </w:r>
    </w:p>
    <w:p>
      <w:pPr>
        <w:pStyle w:val="CaptionedFigure"/>
      </w:pPr>
      <w:r>
        <w:drawing>
          <wp:inline>
            <wp:extent cx="5334000" cy="1204969"/>
            <wp:effectExtent b="0" l="0" r="0" t="0"/>
            <wp:docPr descr="Diagramme" title="" id="131" name="Picture"/>
            <a:graphic>
              <a:graphicData uri="http://schemas.openxmlformats.org/drawingml/2006/picture">
                <pic:pic>
                  <pic:nvPicPr>
                    <pic:cNvPr descr="C:/Users/ingja/Desktop/jarvis-starter-kit/livrables/formations/manuel-administration-systeme/assets/diagrams/d-05-architecture-active-directory-diagramme-2.png" id="132" name="Picture"/>
                    <pic:cNvPicPr>
                      <a:picLocks noChangeArrowheads="1" noChangeAspect="1"/>
                    </pic:cNvPicPr>
                  </pic:nvPicPr>
                  <pic:blipFill>
                    <a:blip r:embed="rId130"/>
                    <a:stretch>
                      <a:fillRect/>
                    </a:stretch>
                  </pic:blipFill>
                  <pic:spPr bwMode="auto">
                    <a:xfrm>
                      <a:off x="0" y="0"/>
                      <a:ext cx="5334000" cy="1204969"/>
                    </a:xfrm>
                    <a:prstGeom prst="rect">
                      <a:avLst/>
                    </a:prstGeom>
                    <a:noFill/>
                    <a:ln w="9525">
                      <a:noFill/>
                      <a:headEnd/>
                      <a:tailEnd/>
                    </a:ln>
                  </pic:spPr>
                </pic:pic>
              </a:graphicData>
            </a:graphic>
          </wp:inline>
        </w:drawing>
      </w:r>
    </w:p>
    <w:p>
      <w:pPr>
        <w:pStyle w:val="ImageCaption"/>
      </w:pPr>
      <w:r>
        <w:t xml:space="preserve">Diagramme</w:t>
      </w:r>
    </w:p>
    <w:p>
      <w:pPr>
        <w:pStyle w:val="BodyText"/>
      </w:pPr>
      <w:r>
        <w:t xml:space="preserve">✅ Bonne pratique — un contrôleur de domaine par site distant</w:t>
      </w:r>
      <w:r>
        <w:t xml:space="preserve"> </w:t>
      </w:r>
      <w:r>
        <w:t xml:space="preserve">Placer un contrôleur de domaine local à chaque site géographique important résout exactement le problème du scénario d’ouverture : l’authentification des utilisateurs du Cap-Haïtien se fait localement, sans dépendre de la liaison vers Port-au-Prince, qui ne sert plus qu’à la</w:t>
      </w:r>
      <w:r>
        <w:t xml:space="preserve"> </w:t>
      </w:r>
      <w:r>
        <w:t xml:space="preserve">réplication</w:t>
      </w:r>
      <w:r>
        <w:t xml:space="preserve"> </w:t>
      </w:r>
      <w:r>
        <w:t xml:space="preserve">(synchronisation périodique des changements d’annuaire entre les deux contrôleurs) plutôt qu’à chaque connexion individuelle.</w:t>
      </w:r>
    </w:p>
    <w:p>
      <w:pPr>
        <w:pStyle w:val="BodyText"/>
      </w:pPr>
      <w:r>
        <w:t xml:space="preserve">🚀 Performance — pourquoi les sites existent aussi pour le trafic applicatif</w:t>
      </w:r>
      <w:r>
        <w:t xml:space="preserve"> </w:t>
      </w:r>
      <w:r>
        <w:t xml:space="preserve">Au-delà de l’authentification, la configuration des sites permet à un client de préférer systématiquement les ressources (contrôleur de domaine, mais aussi serveur de fichiers, serveur d’impression) situées dans son propre site plutôt que de traverser une liaison lente pour joindre une ressource équivalente ailleurs — un mécanisme appelé</w:t>
      </w:r>
      <w:r>
        <w:t xml:space="preserve"> </w:t>
      </w:r>
      <w:r>
        <w:t xml:space="preserve">“affinité de site”</w:t>
      </w:r>
      <w:r>
        <w:t xml:space="preserve">, qui réduit la latence perçue par les utilisateurs sans qu’ils aient à faire quoi que ce soit eux-mêmes.</w:t>
      </w:r>
    </w:p>
    <w:bookmarkEnd w:id="133"/>
    <w:bookmarkStart w:id="134" w:name="X4ead0c6e43560e8210ca83139e24fcebbdb73f6"/>
    <w:p>
      <w:pPr>
        <w:pStyle w:val="Heading2"/>
      </w:pPr>
      <w:r>
        <w:t xml:space="preserve">5.5 Les rôles FSMO : les opérations qui ne peuvent pas être distribuées partout</w:t>
      </w:r>
    </w:p>
    <w:p>
      <w:pPr>
        <w:pStyle w:val="FirstParagraph"/>
      </w:pPr>
      <w:r>
        <w:t xml:space="preserve">Active Directory réplique la quasi-totalité de ses données entre tous les contrôleurs de domaine, selon un modèle</w:t>
      </w:r>
      <w:r>
        <w:t xml:space="preserve"> </w:t>
      </w:r>
      <w:r>
        <w:t xml:space="preserve">“multi-maître”</w:t>
      </w:r>
      <w:r>
        <w:t xml:space="preserve"> </w:t>
      </w:r>
      <w:r>
        <w:t xml:space="preserve">(chaque contrôleur peut accepter des écritures). Mais certaines opérations très spécifiques ne peuvent pas être traitées simultanément par plusieurs contrôleurs sans provoquer de conflits — pour ces cas précis, Active Directory désigne des contrôleurs uniques responsables de chaque opération : les rôles</w:t>
      </w:r>
      <w:r>
        <w:t xml:space="preserve"> </w:t>
      </w:r>
      <w:r>
        <w:rPr>
          <w:b/>
          <w:bCs/>
        </w:rPr>
        <w:t xml:space="preserve">FSMO</w:t>
      </w:r>
      <w:r>
        <w:t xml:space="preserve"> </w:t>
      </w:r>
      <w:r>
        <w:t xml:space="preserve">(</w:t>
      </w:r>
      <w:r>
        <w:rPr>
          <w:i/>
          <w:iCs/>
        </w:rPr>
        <w:t xml:space="preserve">Flexible Single Master Operations</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Rôle FSMO</w:t>
            </w:r>
          </w:p>
        </w:tc>
        <w:tc>
          <w:tcPr/>
          <w:p>
            <w:pPr>
              <w:pStyle w:val="Compact"/>
            </w:pPr>
            <w:r>
              <w:t xml:space="preserve">Portée</w:t>
            </w:r>
          </w:p>
        </w:tc>
        <w:tc>
          <w:tcPr/>
          <w:p>
            <w:pPr>
              <w:pStyle w:val="Compact"/>
            </w:pPr>
            <w:r>
              <w:t xml:space="preserve">Ce qu’il gère</w:t>
            </w:r>
          </w:p>
        </w:tc>
      </w:tr>
      <w:tr>
        <w:tc>
          <w:tcPr/>
          <w:p>
            <w:pPr>
              <w:pStyle w:val="Compact"/>
            </w:pPr>
            <w:r>
              <w:rPr>
                <w:b/>
                <w:bCs/>
              </w:rPr>
              <w:t xml:space="preserve">Contrôleur de schéma</w:t>
            </w:r>
          </w:p>
        </w:tc>
        <w:tc>
          <w:tcPr/>
          <w:p>
            <w:pPr>
              <w:pStyle w:val="Compact"/>
            </w:pPr>
            <w:r>
              <w:t xml:space="preserve">Forêt (unique)</w:t>
            </w:r>
          </w:p>
        </w:tc>
        <w:tc>
          <w:tcPr/>
          <w:p>
            <w:pPr>
              <w:pStyle w:val="Compact"/>
            </w:pPr>
            <w:r>
              <w:t xml:space="preserve">Les modifications de la structure même de l’annuaire (types d’objets possibles)</w:t>
            </w:r>
          </w:p>
        </w:tc>
      </w:tr>
      <w:tr>
        <w:tc>
          <w:tcPr/>
          <w:p>
            <w:pPr>
              <w:pStyle w:val="Compact"/>
            </w:pPr>
            <w:r>
              <w:rPr>
                <w:b/>
                <w:bCs/>
              </w:rPr>
              <w:t xml:space="preserve">Maître de nommage de domaine</w:t>
            </w:r>
          </w:p>
        </w:tc>
        <w:tc>
          <w:tcPr/>
          <w:p>
            <w:pPr>
              <w:pStyle w:val="Compact"/>
            </w:pPr>
            <w:r>
              <w:t xml:space="preserve">Forêt (unique)</w:t>
            </w:r>
          </w:p>
        </w:tc>
        <w:tc>
          <w:tcPr/>
          <w:p>
            <w:pPr>
              <w:pStyle w:val="Compact"/>
            </w:pPr>
            <w:r>
              <w:t xml:space="preserve">L’ajout ou la suppression de domaines dans la forêt</w:t>
            </w:r>
          </w:p>
        </w:tc>
      </w:tr>
      <w:tr>
        <w:tc>
          <w:tcPr/>
          <w:p>
            <w:pPr>
              <w:pStyle w:val="Compact"/>
            </w:pPr>
            <w:r>
              <w:rPr>
                <w:b/>
                <w:bCs/>
              </w:rPr>
              <w:t xml:space="preserve">Émulateur PDC</w:t>
            </w:r>
          </w:p>
        </w:tc>
        <w:tc>
          <w:tcPr/>
          <w:p>
            <w:pPr>
              <w:pStyle w:val="Compact"/>
            </w:pPr>
            <w:r>
              <w:t xml:space="preserve">Domaine (un par domaine)</w:t>
            </w:r>
          </w:p>
        </w:tc>
        <w:tc>
          <w:tcPr/>
          <w:p>
            <w:pPr>
              <w:pStyle w:val="Compact"/>
            </w:pPr>
            <w:r>
              <w:t xml:space="preserve">Synchronisation de l’heure, compatibilité avec les systèmes plus anciens, traitement prioritaire des changements de mot de passe</w:t>
            </w:r>
          </w:p>
        </w:tc>
      </w:tr>
      <w:tr>
        <w:tc>
          <w:tcPr/>
          <w:p>
            <w:pPr>
              <w:pStyle w:val="Compact"/>
            </w:pPr>
            <w:r>
              <w:rPr>
                <w:b/>
                <w:bCs/>
              </w:rPr>
              <w:t xml:space="preserve">Maître RID</w:t>
            </w:r>
          </w:p>
        </w:tc>
        <w:tc>
          <w:tcPr/>
          <w:p>
            <w:pPr>
              <w:pStyle w:val="Compact"/>
            </w:pPr>
            <w:r>
              <w:t xml:space="preserve">Domaine (un par domaine)</w:t>
            </w:r>
          </w:p>
        </w:tc>
        <w:tc>
          <w:tcPr/>
          <w:p>
            <w:pPr>
              <w:pStyle w:val="Compact"/>
            </w:pPr>
            <w:r>
              <w:t xml:space="preserve">Distribution des identifiants relatifs uniques (RID) utilisés pour créer chaque nouvel objet</w:t>
            </w:r>
          </w:p>
        </w:tc>
      </w:tr>
      <w:tr>
        <w:tc>
          <w:tcPr/>
          <w:p>
            <w:pPr>
              <w:pStyle w:val="Compact"/>
            </w:pPr>
            <w:r>
              <w:rPr>
                <w:b/>
                <w:bCs/>
              </w:rPr>
              <w:t xml:space="preserve">Maître d’infrastructure</w:t>
            </w:r>
          </w:p>
        </w:tc>
        <w:tc>
          <w:tcPr/>
          <w:p>
            <w:pPr>
              <w:pStyle w:val="Compact"/>
            </w:pPr>
            <w:r>
              <w:t xml:space="preserve">Domaine (un par domaine)</w:t>
            </w:r>
          </w:p>
        </w:tc>
        <w:tc>
          <w:tcPr/>
          <w:p>
            <w:pPr>
              <w:pStyle w:val="Compact"/>
            </w:pPr>
            <w:r>
              <w:t xml:space="preserve">Mise à jour des références entre objets de domaines différents dans une forêt multi-domaines</w:t>
            </w:r>
          </w:p>
        </w:tc>
      </w:tr>
    </w:tbl>
    <w:p>
      <w:pPr>
        <w:pStyle w:val="BodyText"/>
      </w:pPr>
      <w:r>
        <w:t xml:space="preserve">🔒 Sécurité — l’indisponibilité d’un rôle FSMO n’est pas toujours critique dans l’immédiat</w:t>
      </w:r>
      <w:r>
        <w:t xml:space="preserve"> </w:t>
      </w:r>
      <w:r>
        <w:t xml:space="preserve">Une confusion fréquente chez les débutants consiste à croire qu’une panne du contrôleur détenteur d’un rôle FSMO paralyse immédiatement tout le domaine. En réalité, la plupart des opérations quotidiennes (ouverture de session, consultation de l’annuaire) continuent de fonctionner normalement même si un rôle FSMO est temporairement indisponible — seules les opérations spécifiques à ce rôle précis sont bloquées (par exemple, impossible de créer de nouveaux objets si le maître RID reste indisponible trop longtemps, une fois le stock local de RID épuisé). Cela dit, un rôle FSMO indisponible durablement doit toujours être transféré vers un autre contrôleur, jamais ignoré.</w:t>
      </w:r>
    </w:p>
    <w:p>
      <w:pPr>
        <w:pStyle w:val="BodyText"/>
      </w:pPr>
      <w:r>
        <w:t xml:space="preserve">⚠️ Transfert vs saisie de rôle : ne pas confondre</w:t>
      </w:r>
      <w:r>
        <w:t xml:space="preserve"> </w:t>
      </w:r>
      <w:r>
        <w:t xml:space="preserve">Un</w:t>
      </w:r>
      <w:r>
        <w:t xml:space="preserve"> </w:t>
      </w:r>
      <w:r>
        <w:rPr>
          <w:b/>
          <w:bCs/>
        </w:rPr>
        <w:t xml:space="preserve">transfert</w:t>
      </w:r>
      <w:r>
        <w:t xml:space="preserve"> </w:t>
      </w:r>
      <w:r>
        <w:t xml:space="preserve">de rôle FSMO est une opération planifiée et propre (l’ancien détenteur est toujours disponible et coopère). Une</w:t>
      </w:r>
      <w:r>
        <w:t xml:space="preserve"> </w:t>
      </w:r>
      <w:r>
        <w:rPr>
          <w:b/>
          <w:bCs/>
        </w:rPr>
        <w:t xml:space="preserve">saisie</w:t>
      </w:r>
      <w:r>
        <w:t xml:space="preserve"> </w:t>
      </w:r>
      <w:r>
        <w:t xml:space="preserve">(</w:t>
      </w:r>
      <w:r>
        <w:rPr>
          <w:i/>
          <w:iCs/>
        </w:rPr>
        <w:t xml:space="preserve">seizure</w:t>
      </w:r>
      <w:r>
        <w:t xml:space="preserve">) est une opération d’urgence, utilisée uniquement quand l’ancien détenteur a disparu définitivement (matériel détruit, par exemple) — elle comporte un risque réel de conflit si l’ancien détenteur revient en ligne par la suite. La saisie ne doit jamais être utilisée comme raccourci pour éviter un transfert propre.</w:t>
      </w:r>
    </w:p>
    <w:bookmarkEnd w:id="134"/>
    <w:bookmarkStart w:id="135" w:name="X4471023cc5c6ed657c4d4b6825e128fbbf0defd"/>
    <w:p>
      <w:pPr>
        <w:pStyle w:val="Heading2"/>
      </w:pPr>
      <w:r>
        <w:t xml:space="preserve">5.6 Concevoir l’architecture du scénario d’ouverture</w:t>
      </w:r>
    </w:p>
    <w:p>
      <w:pPr>
        <w:pStyle w:val="FirstParagraph"/>
      </w:pPr>
      <w:r>
        <w:t xml:space="preserve">En appliquant les concepts de ce chapitre au besoin exprimé par le DSI, une proposition raisonnable prend forme :</w:t>
      </w:r>
    </w:p>
    <w:p>
      <w:pPr>
        <w:pStyle w:val="Compact"/>
        <w:numPr>
          <w:ilvl w:val="0"/>
          <w:numId w:val="1110"/>
        </w:numPr>
      </w:pPr>
      <w:r>
        <w:rPr>
          <w:b/>
          <w:bCs/>
        </w:rPr>
        <w:t xml:space="preserve">Une seule forêt, un seul domaine</w:t>
      </w:r>
      <w:r>
        <w:t xml:space="preserve"> </w:t>
      </w:r>
      <w:r>
        <w:t xml:space="preserve">(</w:t>
      </w:r>
      <w:r>
        <w:rPr>
          <w:rStyle w:val="VerbatimChar"/>
        </w:rPr>
        <w:t xml:space="preserve">assuranceht.local</w:t>
      </w:r>
      <w:r>
        <w:t xml:space="preserve">) — l’entreprise n’a aucun besoin de séparation forte entre ses deux sites, seulement d’une organisation physique adaptée.</w:t>
      </w:r>
    </w:p>
    <w:p>
      <w:pPr>
        <w:pStyle w:val="Compact"/>
        <w:numPr>
          <w:ilvl w:val="0"/>
          <w:numId w:val="1110"/>
        </w:numPr>
      </w:pPr>
      <w:r>
        <w:rPr>
          <w:b/>
          <w:bCs/>
        </w:rPr>
        <w:t xml:space="preserve">Deux sites Active Directory</w:t>
      </w:r>
      <w:r>
        <w:t xml:space="preserve"> </w:t>
      </w:r>
      <w:r>
        <w:t xml:space="preserve">:</w:t>
      </w:r>
      <w:r>
        <w:t xml:space="preserve"> </w:t>
      </w:r>
      <w:r>
        <w:t xml:space="preserve">“Port-au-Prince”</w:t>
      </w:r>
      <w:r>
        <w:t xml:space="preserve"> </w:t>
      </w:r>
      <w:r>
        <w:t xml:space="preserve">et</w:t>
      </w:r>
      <w:r>
        <w:t xml:space="preserve"> </w:t>
      </w:r>
      <w:r>
        <w:t xml:space="preserve">“Cap-Haïtien”</w:t>
      </w:r>
      <w:r>
        <w:t xml:space="preserve">, chacun correspondant à la topologie réseau réelle.</w:t>
      </w:r>
    </w:p>
    <w:p>
      <w:pPr>
        <w:pStyle w:val="Compact"/>
        <w:numPr>
          <w:ilvl w:val="0"/>
          <w:numId w:val="1110"/>
        </w:numPr>
      </w:pPr>
      <w:r>
        <w:rPr>
          <w:b/>
          <w:bCs/>
        </w:rPr>
        <w:t xml:space="preserve">Un contrôleur de domaine local à chaque site</w:t>
      </w:r>
      <w:r>
        <w:t xml:space="preserve">, résolvant directement le problème de dépendance à la liaison Internet pour l’authentification.</w:t>
      </w:r>
    </w:p>
    <w:p>
      <w:pPr>
        <w:pStyle w:val="Compact"/>
        <w:numPr>
          <w:ilvl w:val="0"/>
          <w:numId w:val="1110"/>
        </w:numPr>
      </w:pPr>
      <w:r>
        <w:rPr>
          <w:b/>
          <w:bCs/>
        </w:rPr>
        <w:t xml:space="preserve">Des unités d’organisation reflétant à la fois le site et le service</w:t>
      </w:r>
      <w:r>
        <w:t xml:space="preserve"> </w:t>
      </w:r>
      <w:r>
        <w:t xml:space="preserve">(comme dans le schéma de la section 5.3), permettant d’appliquer des GPO différenciées (chapitre 7) selon l’emplacement ou la fonction des utilisateurs.</w:t>
      </w:r>
    </w:p>
    <w:p>
      <w:pPr>
        <w:pStyle w:val="FirstParagraph"/>
      </w:pPr>
      <w:r>
        <w:t xml:space="preserve">🏢</w:t>
      </w:r>
      <w:r>
        <w:t xml:space="preserve"> </w:t>
      </w:r>
      <w:r>
        <w:rPr>
          <w:b/>
          <w:bCs/>
        </w:rPr>
        <w:t xml:space="preserve">En entreprise — le compromis coût/résilience.</w:t>
      </w:r>
      <w:r>
        <w:t xml:space="preserve"> </w:t>
      </w:r>
      <w:r>
        <w:t xml:space="preserve">Un second contrôleur de domaine par site (soit deux par site, quatre au total) est souvent recommandé pour la tolérance de panne (chapitre 6), mais représente un coût matériel et de licence supplémentaire. Une PME peut raisonnablement démarrer avec un seul contrôleur par site et planifier l’ajout d’un second dès que la criticité du site le justifie — une décision à documenter explicitement (chapitre 3), avec le risque assumé clairement énoncé plutôt que simplement oublié.</w:t>
      </w:r>
    </w:p>
    <w:bookmarkEnd w:id="135"/>
    <w:bookmarkStart w:id="136" w:name="X8cf4724863d4afae118eeeb7489a964ab36ee53"/>
    <w:p>
      <w:pPr>
        <w:pStyle w:val="Heading2"/>
      </w:pPr>
      <w:r>
        <w:t xml:space="preserve">Atelier — Dessiner l’architecture Active Directory de l’entreprise</w:t>
      </w:r>
    </w:p>
    <w:p>
      <w:pPr>
        <w:pStyle w:val="FirstParagraph"/>
      </w:pPr>
      <w:r>
        <w:t xml:space="preserve">🛠️ Atelier 5 — Concevoir une architecture à trois sites</w:t>
      </w:r>
    </w:p>
    <w:p>
      <w:pPr>
        <w:pStyle w:val="BodyText"/>
      </w:pPr>
      <w:r>
        <w:rPr>
          <w:b/>
          <w:bCs/>
        </w:rPr>
        <w:t xml:space="preserve">Objectif</w:t>
      </w:r>
      <w:r>
        <w:t xml:space="preserve"> </w:t>
      </w:r>
      <w:r>
        <w:t xml:space="preserve">: s’entraîner à appliquer les concepts forêt/domaine/UO/site à un cas légèrement plus complexe que celui du chapitre.</w:t>
      </w:r>
    </w:p>
    <w:p>
      <w:pPr>
        <w:pStyle w:val="BodyText"/>
      </w:pPr>
      <w:r>
        <w:rPr>
          <w:b/>
          <w:bCs/>
        </w:rPr>
        <w:t xml:space="preserve">Préparation</w:t>
      </w:r>
      <w:r>
        <w:t xml:space="preserve"> </w:t>
      </w:r>
      <w:r>
        <w:t xml:space="preserve">: un outil de schéma simple ou une feuille de papier.</w:t>
      </w:r>
    </w:p>
    <w:p>
      <w:pPr>
        <w:pStyle w:val="BodyText"/>
      </w:pPr>
      <w:r>
        <w:rPr>
          <w:b/>
          <w:bCs/>
        </w:rPr>
        <w:t xml:space="preserve">Situation donnée</w:t>
      </w:r>
      <w:r>
        <w:t xml:space="preserve"> </w:t>
      </w:r>
      <w:r>
        <w:t xml:space="preserve">: l’entreprise d’assurance ouvre un troisième site, une petite agence commerciale de 8 personnes à Jacmel, reliée aux deux autres sites uniquement par liaison Internet standard, sans besoin de serveur local autre que l’authentification.</w:t>
      </w:r>
    </w:p>
    <w:p>
      <w:pPr>
        <w:pStyle w:val="BodyText"/>
      </w:pPr>
      <w:r>
        <w:rPr>
          <w:b/>
          <w:bCs/>
        </w:rPr>
        <w:t xml:space="preserve">Étapes détaillées</w:t>
      </w:r>
      <w:r>
        <w:t xml:space="preserve"> </w:t>
      </w:r>
      <w:r>
        <w:t xml:space="preserve">:</w:t>
      </w:r>
    </w:p>
    <w:p>
      <w:pPr>
        <w:pStyle w:val="Compact"/>
        <w:numPr>
          <w:ilvl w:val="0"/>
          <w:numId w:val="1111"/>
        </w:numPr>
      </w:pPr>
      <w:r>
        <w:t xml:space="preserve">Décide si ce troisième site nécessite son propre contrôleur de domaine local, en t’appuyant sur la section 5.4 et sur la taille de l’agence.</w:t>
      </w:r>
    </w:p>
    <w:p>
      <w:pPr>
        <w:pStyle w:val="Compact"/>
        <w:numPr>
          <w:ilvl w:val="0"/>
          <w:numId w:val="1111"/>
        </w:numPr>
      </w:pPr>
      <w:r>
        <w:t xml:space="preserve">Propose une structure d’unités d’organisation pour ce nouveau site.</w:t>
      </w:r>
    </w:p>
    <w:p>
      <w:pPr>
        <w:pStyle w:val="Compact"/>
        <w:numPr>
          <w:ilvl w:val="0"/>
          <w:numId w:val="1111"/>
        </w:numPr>
      </w:pPr>
      <w:r>
        <w:t xml:space="preserve">Justifie ta décision en une ou deux phrases.</w:t>
      </w:r>
    </w:p>
    <w:p>
      <w:pPr>
        <w:pStyle w:val="FirstParagraph"/>
      </w:pPr>
      <w:r>
        <w:rPr>
          <w:b/>
          <w:bCs/>
        </w:rPr>
        <w:t xml:space="preserve">Résultat attendu</w:t>
      </w:r>
      <w:r>
        <w:t xml:space="preserve"> </w:t>
      </w:r>
      <w:r>
        <w:t xml:space="preserve">: pour une agence de seulement 8 personnes, un contrôleur de domaine physique local est rarement justifié économiquement — l’authentification via la liaison Internet reste acceptable pour un si petit effectif, quitte à réévaluer si l’agence grandit significativement (le même raisonnement que</w:t>
      </w:r>
      <w:r>
        <w:t xml:space="preserve"> </w:t>
      </w:r>
      <w:r>
        <w:t xml:space="preserve">“En entreprise”</w:t>
      </w:r>
      <w:r>
        <w:t xml:space="preserve"> </w:t>
      </w:r>
      <w:r>
        <w:t xml:space="preserve">ci-dessus). Une UO</w:t>
      </w:r>
      <w:r>
        <w:t xml:space="preserve"> </w:t>
      </w:r>
      <w:r>
        <w:t xml:space="preserve">“Jacmel”</w:t>
      </w:r>
      <w:r>
        <w:t xml:space="preserve"> </w:t>
      </w:r>
      <w:r>
        <w:t xml:space="preserve">simple, sans sous-division supplémentaire vu la petite taille de l’équipe, suffit à ce stade — l’over-engineering d’une arborescence complexe pour 8 personnes serait disproportionné (rappel du principe directeur ITIL</w:t>
      </w:r>
      <w:r>
        <w:t xml:space="preserve"> </w:t>
      </w:r>
      <w:r>
        <w:t xml:space="preserve">“se concentrer sur la valeur”</w:t>
      </w:r>
      <w:r>
        <w:t xml:space="preserve">, chapitre 2).</w:t>
      </w:r>
    </w:p>
    <w:p>
      <w:pPr>
        <w:pStyle w:val="BodyText"/>
      </w:pPr>
      <w:r>
        <w:rPr>
          <w:b/>
          <w:bCs/>
        </w:rPr>
        <w:t xml:space="preserve">Dépannage</w:t>
      </w:r>
      <w:r>
        <w:t xml:space="preserve"> </w:t>
      </w:r>
      <w:r>
        <w:t xml:space="preserve">: si tu hésites sur la nécessité d’un contrôleur local, pose-toi la question du chapitre 1 (section</w:t>
      </w:r>
      <w:r>
        <w:t xml:space="preserve"> </w:t>
      </w:r>
      <w:r>
        <w:t xml:space="preserve">“qu’est-ce qui se passe si ça ne marche pas ?”</w:t>
      </w:r>
      <w:r>
        <w:t xml:space="preserve">) — quel est l’impact réel si la liaison Internet de Jacmel tombe pendant quelques heures pour 8 personnes, comparé à l’impact pour l’ensemble du Cap-Haïtien ?</w:t>
      </w:r>
    </w:p>
    <w:bookmarkEnd w:id="136"/>
    <w:bookmarkStart w:id="137" w:name="erreurs-fréquentes-4"/>
    <w:p>
      <w:pPr>
        <w:pStyle w:val="Heading2"/>
      </w:pPr>
      <w:r>
        <w:t xml:space="preserve">Erreurs fréquentes</w:t>
      </w:r>
    </w:p>
    <w:p>
      <w:pPr>
        <w:pStyle w:val="FirstParagraph"/>
      </w:pPr>
      <w:r>
        <w:t xml:space="preserve">⚠️ Erreur n°1 — créer plusieurs domaines sans raison réelle</w:t>
      </w:r>
      <w:r>
        <w:t xml:space="preserve"> </w:t>
      </w:r>
      <w:r>
        <w:t xml:space="preserve">Une architecture multi-domaines complique considérablement l’administration (réplication, relations d’approbation, GPO à dupliquer) sans bénéfice de sécurité réel dans la plupart des cas — un domaine unique avec des UO bien structurées couvre l’immense majorité des besoins, y compris pour des entreprises de plusieurs milliers d’utilisateurs.</w:t>
      </w:r>
    </w:p>
    <w:p>
      <w:pPr>
        <w:pStyle w:val="BodyText"/>
      </w:pPr>
      <w:r>
        <w:t xml:space="preserve">⚠️ Erreur n°2 — négliger la configuration des sites même en environnement mono-site apparent</w:t>
      </w:r>
      <w:r>
        <w:t xml:space="preserve"> </w:t>
      </w:r>
      <w:r>
        <w:t xml:space="preserve">Même une entreprise sur un seul site géographique bénéficie d’une configuration de site correcte si son réseau interne comporte des segments à latence différente (par exemple, un site secondaire relié par une liaison plus lente au sein du même bâtiment). La configuration des sites n’est pas réservée aux grandes entreprises multi-villes.</w:t>
      </w:r>
    </w:p>
    <w:p>
      <w:pPr>
        <w:pStyle w:val="BodyText"/>
      </w:pPr>
      <w:r>
        <w:t xml:space="preserve">⚠️ Erreur n°3 — utiliser une saisie de rôle FSMO comme réflexe automatique</w:t>
      </w:r>
      <w:r>
        <w:t xml:space="preserve"> </w:t>
      </w:r>
      <w:r>
        <w:t xml:space="preserve">Comme vu en section 5.5, la saisie doit rester une opération d’urgence exceptionnelle, jamais un raccourci pour éviter la procédure normale de transfert quand l’ancien détenteur est encore joignable.</w:t>
      </w:r>
    </w:p>
    <w:bookmarkEnd w:id="137"/>
    <w:bookmarkStart w:id="138" w:name="X5542e6bbe32b9a20da96af175f67fea9e2b2fd8"/>
    <w:p>
      <w:pPr>
        <w:pStyle w:val="Heading2"/>
      </w:pPr>
      <w:r>
        <w:t xml:space="preserve">Diagnostiquer un problème lié à l’architecture Active Directory</w:t>
      </w:r>
    </w:p>
    <w:p>
      <w:pPr>
        <w:pStyle w:val="FirstParagraph"/>
      </w:pPr>
      <w:r>
        <w:t xml:space="preserve">🩺 Situation :</w:t>
      </w:r>
      <w:r>
        <w:t xml:space="preserve"> </w:t>
      </w:r>
      <w:r>
        <w:t xml:space="preserve">“Les utilisateurs d’un site se connectent anormalement lentement”</w:t>
      </w:r>
    </w:p>
    <w:p>
      <w:pPr>
        <w:pStyle w:val="Compact"/>
        <w:numPr>
          <w:ilvl w:val="0"/>
          <w:numId w:val="1112"/>
        </w:numPr>
      </w:pPr>
      <w:r>
        <w:rPr>
          <w:b/>
          <w:bCs/>
        </w:rPr>
        <w:t xml:space="preserve">Diagnostic</w:t>
      </w:r>
      <w:r>
        <w:t xml:space="preserve"> </w:t>
      </w:r>
      <w:r>
        <w:t xml:space="preserve">: vérifie d’abord si ce site dispose d’un contrôleur de domaine local (section 5.4). Si l’authentification traverse une liaison lente vers un autre site à chaque connexion, la lenteur est directement liée à cette architecture, pas à un dysfonctionnement.</w:t>
      </w:r>
    </w:p>
    <w:p>
      <w:pPr>
        <w:pStyle w:val="Compact"/>
        <w:numPr>
          <w:ilvl w:val="0"/>
          <w:numId w:val="1112"/>
        </w:numPr>
      </w:pPr>
      <w:r>
        <w:rPr>
          <w:b/>
          <w:bCs/>
        </w:rPr>
        <w:t xml:space="preserve">Comment vérifier</w:t>
      </w:r>
      <w:r>
        <w:t xml:space="preserve"> </w:t>
      </w:r>
      <w:r>
        <w:t xml:space="preserve">: consulter la configuration des sites et services Active Directory pour confirmer quel contrôleur de domaine ce site utilise réellement (le</w:t>
      </w:r>
      <w:r>
        <w:t xml:space="preserve"> </w:t>
      </w:r>
      <w:r>
        <w:t xml:space="preserve">“site”</w:t>
      </w:r>
      <w:r>
        <w:t xml:space="preserve"> </w:t>
      </w:r>
      <w:r>
        <w:t xml:space="preserve">auquel un sous-réseau est rattaché peut être mal configuré, provoquant un site utilisant à tort un contrôleur distant).</w:t>
      </w:r>
    </w:p>
    <w:p>
      <w:pPr>
        <w:pStyle w:val="Compact"/>
        <w:numPr>
          <w:ilvl w:val="0"/>
          <w:numId w:val="1112"/>
        </w:numPr>
      </w:pPr>
      <w:r>
        <w:rPr>
          <w:b/>
          <w:bCs/>
        </w:rPr>
        <w:t xml:space="preserve">Résolution</w:t>
      </w:r>
      <w:r>
        <w:t xml:space="preserve"> </w:t>
      </w:r>
      <w:r>
        <w:t xml:space="preserve">: corriger le rattachement du sous-réseau au bon site si c’est une erreur de configuration, ou envisager l’ajout d’un contrôleur local si le site n’en a structurellement jamais eu et que sa taille le justifie désormais.</w:t>
      </w:r>
    </w:p>
    <w:bookmarkEnd w:id="138"/>
    <w:bookmarkStart w:id="139" w:name="en-entreprise-4"/>
    <w:p>
      <w:pPr>
        <w:pStyle w:val="Heading2"/>
      </w:pPr>
      <w:r>
        <w:t xml:space="preserve">En entreprise</w:t>
      </w:r>
    </w:p>
    <w:p>
      <w:pPr>
        <w:pStyle w:val="Compact"/>
        <w:numPr>
          <w:ilvl w:val="0"/>
          <w:numId w:val="1113"/>
        </w:numPr>
      </w:pPr>
      <w:r>
        <w:rPr>
          <w:b/>
          <w:bCs/>
        </w:rPr>
        <w:t xml:space="preserve">Bonne pratique répandue</w:t>
      </w:r>
      <w:r>
        <w:t xml:space="preserve"> </w:t>
      </w:r>
      <w:r>
        <w:t xml:space="preserve">: documenter l’architecture Active Directory (forêt, domaines, sites, emplacement des rôles FSMO) dans un schéma tenu à jour, directement lié au processus de changement du chapitre 2 — une modification de cette architecture est presque toujours un changement normal, jamais standard, vu son impact potentiel large.</w:t>
      </w:r>
    </w:p>
    <w:p>
      <w:pPr>
        <w:pStyle w:val="Compact"/>
        <w:numPr>
          <w:ilvl w:val="0"/>
          <w:numId w:val="1113"/>
        </w:numPr>
      </w:pPr>
      <w:r>
        <w:rPr>
          <w:b/>
          <w:bCs/>
        </w:rPr>
        <w:t xml:space="preserve">Bonne pratique répandue</w:t>
      </w:r>
      <w:r>
        <w:t xml:space="preserve"> </w:t>
      </w:r>
      <w:r>
        <w:t xml:space="preserve">: connaître à tout moment quel contrôleur détient chaque rôle FSMO, sans avoir à le rechercher en urgence pendant un incident.</w:t>
      </w:r>
    </w:p>
    <w:p>
      <w:pPr>
        <w:pStyle w:val="Compact"/>
        <w:numPr>
          <w:ilvl w:val="0"/>
          <w:numId w:val="1113"/>
        </w:numPr>
      </w:pPr>
      <w:r>
        <w:rPr>
          <w:b/>
          <w:bCs/>
        </w:rPr>
        <w:t xml:space="preserve">Erreur classique observée</w:t>
      </w:r>
      <w:r>
        <w:t xml:space="preserve"> </w:t>
      </w:r>
      <w:r>
        <w:t xml:space="preserve">: une architecture Active Directory héritée d’une croissance organique non planifiée (domaines ou sites créés au fil du temps sans vision d’ensemble), rendue coûteuse à corriger une fois en place — un argument de plus pour concevoir dès le départ, même dans une petite structure appelée à grandir.</w:t>
      </w:r>
    </w:p>
    <w:bookmarkEnd w:id="139"/>
    <w:bookmarkStart w:id="140" w:name="entretien-technique-4"/>
    <w:p>
      <w:pPr>
        <w:pStyle w:val="Heading2"/>
      </w:pPr>
      <w:r>
        <w:t xml:space="preserve">Entretien technique</w:t>
      </w:r>
    </w:p>
    <w:p>
      <w:pPr>
        <w:pStyle w:val="FirstParagraph"/>
      </w:pPr>
      <w:r>
        <w:t xml:space="preserve">💼 Questions fréquemment posées en entretien</w:t>
      </w:r>
    </w:p>
    <w:p>
      <w:pPr>
        <w:pStyle w:val="BodyText"/>
      </w:pPr>
      <w:r>
        <w:rPr>
          <w:b/>
          <w:bCs/>
        </w:rPr>
        <w:t xml:space="preserve">Q1.</w:t>
      </w:r>
      <w:r>
        <w:rPr>
          <w:b/>
          <w:bCs/>
        </w:rPr>
        <w:t xml:space="preserve"> </w:t>
      </w:r>
      <w:r>
        <w:rPr>
          <w:b/>
          <w:bCs/>
        </w:rPr>
        <w:t xml:space="preserve">“Quelle est la différence entre un domaine et une unité d’organisation ?”</w:t>
      </w:r>
      <w:r>
        <w:t xml:space="preserve"> </w:t>
      </w:r>
      <w:r>
        <w:t xml:space="preserve">Réponse attendue : un domaine est une frontière administrative et de réplication ; une unité d’organisation est un conteneur interne à un domaine, utilisé pour organiser les objets et cibler l’application de GPO — une distinction fréquemment confondue par les débutants (section 5.3).</w:t>
      </w:r>
    </w:p>
    <w:p>
      <w:pPr>
        <w:pStyle w:val="BodyText"/>
      </w:pPr>
      <w:r>
        <w:rPr>
          <w:b/>
          <w:bCs/>
        </w:rPr>
        <w:t xml:space="preserve">Q2.</w:t>
      </w:r>
      <w:r>
        <w:rPr>
          <w:b/>
          <w:bCs/>
        </w:rPr>
        <w:t xml:space="preserve"> </w:t>
      </w:r>
      <w:r>
        <w:rPr>
          <w:b/>
          <w:bCs/>
        </w:rPr>
        <w:t xml:space="preserve">“À quoi servent les sites Active Directory ?”</w:t>
      </w:r>
      <w:r>
        <w:t xml:space="preserve"> </w:t>
      </w:r>
      <w:r>
        <w:t xml:space="preserve">Réponse attendue : à représenter la topologie physique réelle du réseau, pour optimiser l’authentification et l’accès aux ressources (préférence pour les ressources locales) et planifier la réplication entre contrôleurs de domaine distants de façon adaptée à la qualité des liens réseau réels.</w:t>
      </w:r>
    </w:p>
    <w:p>
      <w:pPr>
        <w:pStyle w:val="BodyText"/>
      </w:pPr>
      <w:r>
        <w:rPr>
          <w:b/>
          <w:bCs/>
        </w:rPr>
        <w:t xml:space="preserve">Q3.</w:t>
      </w:r>
      <w:r>
        <w:rPr>
          <w:b/>
          <w:bCs/>
        </w:rPr>
        <w:t xml:space="preserve"> </w:t>
      </w:r>
      <w:r>
        <w:rPr>
          <w:b/>
          <w:bCs/>
        </w:rPr>
        <w:t xml:space="preserve">“Que se passe-t-il si le contrôleur détenant le rôle d’émulateur PDC tombe en panne ?”</w:t>
      </w:r>
      <w:r>
        <w:t xml:space="preserve"> </w:t>
      </w:r>
      <w:r>
        <w:t xml:space="preserve">Réponse attendue : les opérations quotidiennes de base continuent de fonctionner sur les autres contrôleurs, mais certaines fonctions spécifiques (synchronisation de l’heure, traitement prioritaire de certains changements de mot de passe, compatibilité avec des systèmes plus anciens) sont affectées jusqu’à ce que le rôle soit transféré à un autre contrôleur disponible.</w:t>
      </w:r>
    </w:p>
    <w:bookmarkEnd w:id="140"/>
    <w:bookmarkStart w:id="141" w:name="X0a3a52f22ef43297fac1ad1d97f985ab230e49e"/>
    <w:p>
      <w:pPr>
        <w:pStyle w:val="Heading2"/>
      </w:pPr>
      <w:r>
        <w:t xml:space="preserve">Optimisation, sécurité et maintenabilité — les réflexes dès ce chapitre</w:t>
      </w:r>
    </w:p>
    <w:p>
      <w:pPr>
        <w:pStyle w:val="FirstParagraph"/>
      </w:pPr>
      <w:r>
        <w:t xml:space="preserve">🔒 Sécurité</w:t>
      </w:r>
      <w:r>
        <w:t xml:space="preserve"> </w:t>
      </w:r>
      <w:r>
        <w:t xml:space="preserve">Les contrôleurs de domaine sont parmi les serveurs les plus critiques de toute infrastructure Windows — ils doivent bénéficier d’un durcissement de sécurité renforcé, d’un accès restreint au strict nécessaire, et ne jamais héberger d’autres rôles non liés à l’annuaire (serveur web, partage de fichiers généraliste) qui élargiraient inutilement leur surface d’attaque.</w:t>
      </w:r>
    </w:p>
    <w:p>
      <w:pPr>
        <w:pStyle w:val="BodyText"/>
      </w:pPr>
      <w:r>
        <w:t xml:space="preserve">✅ Maintenabilité</w:t>
      </w:r>
      <w:r>
        <w:t xml:space="preserve"> </w:t>
      </w:r>
      <w:r>
        <w:t xml:space="preserve">Nomme les domaines, sites et unités d’organisation selon une convention claire et documentée dès la conception initiale (chapitre 3) — renommer une structure Active Directory établie, une fois des centaines d’objets et de GPO qui en dépendent, est une opération beaucoup plus risquée et coûteuse que de bien nommer dès le départ.</w:t>
      </w:r>
    </w:p>
    <w:p>
      <w:pPr>
        <w:pStyle w:val="BodyText"/>
      </w:pPr>
      <w:r>
        <w:t xml:space="preserve">🚀 Performance</w:t>
      </w:r>
      <w:r>
        <w:t xml:space="preserve"> </w:t>
      </w:r>
      <w:r>
        <w:t xml:space="preserve">Une architecture de sites correctement configurée réduit directement la charge sur les liaisons inter-sites, en limitant la réplication et le trafic d’authentification aux fenêtres et volumes réellement nécessaires — un gain particulièrement sensible sur des liaisons Internet standards comme celle entre Port-au-Prince et le Cap-Haïtien.</w:t>
      </w:r>
    </w:p>
    <w:bookmarkEnd w:id="141"/>
    <w:bookmarkStart w:id="142" w:name="résumé-du-chapitre-4"/>
    <w:p>
      <w:pPr>
        <w:pStyle w:val="Heading2"/>
      </w:pPr>
      <w:r>
        <w:t xml:space="preserve">Résumé du chapitre</w:t>
      </w:r>
    </w:p>
    <w:p>
      <w:pPr>
        <w:pStyle w:val="Compact"/>
        <w:numPr>
          <w:ilvl w:val="0"/>
          <w:numId w:val="1114"/>
        </w:numPr>
      </w:pPr>
      <w:r>
        <w:t xml:space="preserve">Active Directory centralise l’identité et les autorisations d’un réseau Windows, comparable à un registre d’état civil pour une organisation.</w:t>
      </w:r>
    </w:p>
    <w:p>
      <w:pPr>
        <w:pStyle w:val="Compact"/>
        <w:numPr>
          <w:ilvl w:val="0"/>
          <w:numId w:val="1114"/>
        </w:numPr>
      </w:pPr>
      <w:r>
        <w:t xml:space="preserve">La forêt est la limite de sécurité la plus large ; un domaine unique par forêt couvre la grande majorité des besoins réels.</w:t>
      </w:r>
    </w:p>
    <w:p>
      <w:pPr>
        <w:pStyle w:val="Compact"/>
        <w:numPr>
          <w:ilvl w:val="0"/>
          <w:numId w:val="1114"/>
        </w:numPr>
      </w:pPr>
      <w:r>
        <w:t xml:space="preserve">Les unités d’organisation structurent l’annuaire et ciblent l’application de GPO ; les groupes de sécurité attribuent des permissions — deux rôles distincts, souvent confondus.</w:t>
      </w:r>
    </w:p>
    <w:p>
      <w:pPr>
        <w:pStyle w:val="Compact"/>
        <w:numPr>
          <w:ilvl w:val="0"/>
          <w:numId w:val="1114"/>
        </w:numPr>
      </w:pPr>
      <w:r>
        <w:t xml:space="preserve">Les sites Active Directory représentent la topologie physique réelle du réseau, et un contrôleur de domaine local par site important évite la dépendance aux liaisons distantes pour l’authentification.</w:t>
      </w:r>
    </w:p>
    <w:p>
      <w:pPr>
        <w:pStyle w:val="Compact"/>
        <w:numPr>
          <w:ilvl w:val="0"/>
          <w:numId w:val="1114"/>
        </w:numPr>
      </w:pPr>
      <w:r>
        <w:t xml:space="preserve">Les rôles FSMO gèrent des opérations qui ne peuvent pas être distribuées à tous les contrôleurs simultanément ; leur indisponibilité temporaire n’est presque jamais bloquante immédiatement, mais doit toujours être corrigée.</w:t>
      </w:r>
    </w:p>
    <w:bookmarkEnd w:id="142"/>
    <w:bookmarkStart w:id="143" w:name="quiz-4"/>
    <w:p>
      <w:pPr>
        <w:pStyle w:val="Heading2"/>
      </w:pPr>
      <w:r>
        <w:t xml:space="preserve">Quiz</w:t>
      </w:r>
    </w:p>
    <w:p>
      <w:pPr>
        <w:pStyle w:val="FirstParagraph"/>
      </w:pPr>
      <w:r>
        <w:t xml:space="preserve">📝 QCM (une seule bonne réponse par question)</w:t>
      </w:r>
    </w:p>
    <w:p>
      <w:pPr>
        <w:pStyle w:val="Compact"/>
        <w:numPr>
          <w:ilvl w:val="0"/>
          <w:numId w:val="1115"/>
        </w:numPr>
      </w:pPr>
      <w:r>
        <w:t xml:space="preserve">La frontière de sécurité la plus large dans Active Directory est :</w:t>
      </w:r>
    </w:p>
    <w:p>
      <w:pPr>
        <w:pStyle w:val="Compact"/>
        <w:numPr>
          <w:ilvl w:val="1"/>
          <w:numId w:val="1116"/>
        </w:numPr>
      </w:pPr>
    </w:p>
    <w:p>
      <w:pPr>
        <w:pStyle w:val="Compact"/>
        <w:numPr>
          <w:ilvl w:val="2"/>
          <w:numId w:val="1117"/>
        </w:numPr>
      </w:pPr>
      <w:r>
        <w:t xml:space="preserve">L’unité d’organisation</w:t>
      </w:r>
    </w:p>
    <w:p>
      <w:pPr>
        <w:pStyle w:val="Compact"/>
        <w:numPr>
          <w:ilvl w:val="1"/>
          <w:numId w:val="1116"/>
        </w:numPr>
      </w:pPr>
    </w:p>
    <w:p>
      <w:pPr>
        <w:pStyle w:val="Compact"/>
        <w:numPr>
          <w:ilvl w:val="2"/>
          <w:numId w:val="1118"/>
        </w:numPr>
      </w:pPr>
      <w:r>
        <w:t xml:space="preserve">Le domaine</w:t>
      </w:r>
    </w:p>
    <w:p>
      <w:pPr>
        <w:pStyle w:val="Compact"/>
        <w:numPr>
          <w:ilvl w:val="1"/>
          <w:numId w:val="1116"/>
        </w:numPr>
      </w:pPr>
    </w:p>
    <w:p>
      <w:pPr>
        <w:pStyle w:val="Compact"/>
        <w:numPr>
          <w:ilvl w:val="2"/>
          <w:numId w:val="1119"/>
        </w:numPr>
      </w:pPr>
      <w:r>
        <w:t xml:space="preserve">La forêt</w:t>
      </w:r>
    </w:p>
    <w:p>
      <w:pPr>
        <w:pStyle w:val="Compact"/>
        <w:numPr>
          <w:ilvl w:val="1"/>
          <w:numId w:val="1116"/>
        </w:numPr>
      </w:pPr>
    </w:p>
    <w:p>
      <w:pPr>
        <w:pStyle w:val="Compact"/>
        <w:numPr>
          <w:ilvl w:val="2"/>
          <w:numId w:val="1120"/>
        </w:numPr>
      </w:pPr>
      <w:r>
        <w:t xml:space="preserve">Le site</w:t>
      </w:r>
    </w:p>
    <w:p>
      <w:pPr>
        <w:pStyle w:val="Compact"/>
        <w:numPr>
          <w:ilvl w:val="0"/>
          <w:numId w:val="1115"/>
        </w:numPr>
      </w:pPr>
      <w:r>
        <w:t xml:space="preserve">Un site Active Directory représente principalement :</w:t>
      </w:r>
    </w:p>
    <w:p>
      <w:pPr>
        <w:pStyle w:val="Compact"/>
        <w:numPr>
          <w:ilvl w:val="1"/>
          <w:numId w:val="1121"/>
        </w:numPr>
      </w:pPr>
    </w:p>
    <w:p>
      <w:pPr>
        <w:pStyle w:val="Compact"/>
        <w:numPr>
          <w:ilvl w:val="2"/>
          <w:numId w:val="1122"/>
        </w:numPr>
      </w:pPr>
      <w:r>
        <w:t xml:space="preserve">Une organisation logique des utilisateurs par service</w:t>
      </w:r>
    </w:p>
    <w:p>
      <w:pPr>
        <w:pStyle w:val="Compact"/>
        <w:numPr>
          <w:ilvl w:val="1"/>
          <w:numId w:val="1121"/>
        </w:numPr>
      </w:pPr>
    </w:p>
    <w:p>
      <w:pPr>
        <w:pStyle w:val="Compact"/>
        <w:numPr>
          <w:ilvl w:val="2"/>
          <w:numId w:val="1123"/>
        </w:numPr>
      </w:pPr>
      <w:r>
        <w:t xml:space="preserve">La topologie physique réelle du réseau</w:t>
      </w:r>
    </w:p>
    <w:p>
      <w:pPr>
        <w:pStyle w:val="Compact"/>
        <w:numPr>
          <w:ilvl w:val="1"/>
          <w:numId w:val="1121"/>
        </w:numPr>
      </w:pPr>
    </w:p>
    <w:p>
      <w:pPr>
        <w:pStyle w:val="Compact"/>
        <w:numPr>
          <w:ilvl w:val="2"/>
          <w:numId w:val="1124"/>
        </w:numPr>
      </w:pPr>
      <w:r>
        <w:t xml:space="preserve">Un niveau de sécurité supplémentaire</w:t>
      </w:r>
    </w:p>
    <w:p>
      <w:pPr>
        <w:pStyle w:val="Compact"/>
        <w:numPr>
          <w:ilvl w:val="1"/>
          <w:numId w:val="1121"/>
        </w:numPr>
      </w:pPr>
    </w:p>
    <w:p>
      <w:pPr>
        <w:pStyle w:val="Compact"/>
        <w:numPr>
          <w:ilvl w:val="2"/>
          <w:numId w:val="1125"/>
        </w:numPr>
      </w:pPr>
      <w:r>
        <w:t xml:space="preserve">Un groupe de sécurité étendu</w:t>
      </w:r>
    </w:p>
    <w:p>
      <w:pPr>
        <w:pStyle w:val="Compact"/>
        <w:numPr>
          <w:ilvl w:val="0"/>
          <w:numId w:val="1115"/>
        </w:numPr>
      </w:pPr>
      <w:r>
        <w:t xml:space="preserve">Une saisie (</w:t>
      </w:r>
      <w:r>
        <w:rPr>
          <w:i/>
          <w:iCs/>
        </w:rPr>
        <w:t xml:space="preserve">seizure</w:t>
      </w:r>
      <w:r>
        <w:t xml:space="preserve">) de rôle FSMO doit être utilisée :</w:t>
      </w:r>
    </w:p>
    <w:p>
      <w:pPr>
        <w:pStyle w:val="Compact"/>
        <w:numPr>
          <w:ilvl w:val="1"/>
          <w:numId w:val="1126"/>
        </w:numPr>
      </w:pPr>
    </w:p>
    <w:p>
      <w:pPr>
        <w:pStyle w:val="Compact"/>
        <w:numPr>
          <w:ilvl w:val="2"/>
          <w:numId w:val="1127"/>
        </w:numPr>
      </w:pPr>
      <w:r>
        <w:t xml:space="preserve">Systématiquement, plutôt qu’un transfert normal</w:t>
      </w:r>
    </w:p>
    <w:p>
      <w:pPr>
        <w:pStyle w:val="Compact"/>
        <w:numPr>
          <w:ilvl w:val="1"/>
          <w:numId w:val="1126"/>
        </w:numPr>
      </w:pPr>
    </w:p>
    <w:p>
      <w:pPr>
        <w:pStyle w:val="Compact"/>
        <w:numPr>
          <w:ilvl w:val="2"/>
          <w:numId w:val="1128"/>
        </w:numPr>
      </w:pPr>
      <w:r>
        <w:t xml:space="preserve">Uniquement en cas de disparition définitive de l’ancien détenteur</w:t>
      </w:r>
    </w:p>
    <w:p>
      <w:pPr>
        <w:pStyle w:val="Compact"/>
        <w:numPr>
          <w:ilvl w:val="1"/>
          <w:numId w:val="1126"/>
        </w:numPr>
      </w:pPr>
    </w:p>
    <w:p>
      <w:pPr>
        <w:pStyle w:val="Compact"/>
        <w:numPr>
          <w:ilvl w:val="2"/>
          <w:numId w:val="1129"/>
        </w:numPr>
      </w:pPr>
      <w:r>
        <w:t xml:space="preserve">Chaque fois qu’un contrôleur redémarre</w:t>
      </w:r>
    </w:p>
    <w:p>
      <w:pPr>
        <w:pStyle w:val="Compact"/>
        <w:numPr>
          <w:ilvl w:val="1"/>
          <w:numId w:val="1126"/>
        </w:numPr>
      </w:pPr>
    </w:p>
    <w:p>
      <w:pPr>
        <w:pStyle w:val="Compact"/>
        <w:numPr>
          <w:ilvl w:val="2"/>
          <w:numId w:val="1130"/>
        </w:numPr>
      </w:pPr>
      <w:r>
        <w:t xml:space="preserve">Jamais, sous aucune circonstance</w:t>
      </w:r>
    </w:p>
    <w:p>
      <w:pPr>
        <w:pStyle w:val="FirstParagraph"/>
      </w:pPr>
      <w:r>
        <w:rPr>
          <w:b/>
          <w:bCs/>
        </w:rPr>
        <w:t xml:space="preserve">Corrigé</w:t>
      </w:r>
      <w:r>
        <w:t xml:space="preserve"> </w:t>
      </w:r>
      <w:r>
        <w:t xml:space="preserve">: 1-c, 2-b, 3-b.</w:t>
      </w:r>
    </w:p>
    <w:p>
      <w:pPr>
        <w:pStyle w:val="BodyText"/>
      </w:pPr>
      <w:r>
        <w:t xml:space="preserve">📝 Vrai ou Faux</w:t>
      </w:r>
    </w:p>
    <w:p>
      <w:pPr>
        <w:pStyle w:val="Compact"/>
        <w:numPr>
          <w:ilvl w:val="0"/>
          <w:numId w:val="1131"/>
        </w:numPr>
      </w:pPr>
      <w:r>
        <w:t xml:space="preserve">Une entreprise a presque toujours besoin de plusieurs domaines dès qu’elle a plusieurs sites géographiques. —</w:t>
      </w:r>
      <w:r>
        <w:t xml:space="preserve"> </w:t>
      </w:r>
      <w:r>
        <w:rPr>
          <w:b/>
          <w:bCs/>
        </w:rPr>
        <w:t xml:space="preserve">Faux</w:t>
      </w:r>
      <w:r>
        <w:t xml:space="preserve"> </w:t>
      </w:r>
      <w:r>
        <w:t xml:space="preserve">(les sites, pas les domaines, gèrent la dimension géographique).</w:t>
      </w:r>
    </w:p>
    <w:p>
      <w:pPr>
        <w:pStyle w:val="Compact"/>
        <w:numPr>
          <w:ilvl w:val="0"/>
          <w:numId w:val="1131"/>
        </w:numPr>
      </w:pPr>
      <w:r>
        <w:t xml:space="preserve">Une unité d’organisation et un groupe de sécurité servent exactement le même objectif. —</w:t>
      </w:r>
      <w:r>
        <w:t xml:space="preserve"> </w:t>
      </w:r>
      <w:r>
        <w:rPr>
          <w:b/>
          <w:bCs/>
        </w:rPr>
        <w:t xml:space="preserve">Faux</w:t>
      </w:r>
      <w:r>
        <w:t xml:space="preserve"> </w:t>
      </w:r>
      <w:r>
        <w:t xml:space="preserve">(UO pour l’organisation et les GPO, groupe pour les permissions).</w:t>
      </w:r>
    </w:p>
    <w:p>
      <w:pPr>
        <w:pStyle w:val="Compact"/>
        <w:numPr>
          <w:ilvl w:val="0"/>
          <w:numId w:val="1131"/>
        </w:numPr>
      </w:pPr>
      <w:r>
        <w:t xml:space="preserve">L’indisponibilité temporaire d’un rôle FSMO bloque immédiatement toutes les ouvertures de session du domaine. —</w:t>
      </w:r>
      <w:r>
        <w:t xml:space="preserve"> </w:t>
      </w:r>
      <w:r>
        <w:rPr>
          <w:b/>
          <w:bCs/>
        </w:rPr>
        <w:t xml:space="preserve">Faux</w:t>
      </w:r>
      <w:r>
        <w:t xml:space="preserve"> </w:t>
      </w:r>
      <w:r>
        <w:t xml:space="preserve">(la plupart des opérations quotidiennes continuent normalement).</w:t>
      </w:r>
    </w:p>
    <w:p>
      <w:pPr>
        <w:pStyle w:val="Compact"/>
        <w:numPr>
          <w:ilvl w:val="0"/>
          <w:numId w:val="1131"/>
        </w:numPr>
      </w:pPr>
      <w:r>
        <w:t xml:space="preserve">Un contrôleur de domaine local à chaque site important réduit la dépendance à la liaison réseau inter-sites pour l’authentification. —</w:t>
      </w:r>
      <w:r>
        <w:t xml:space="preserve"> </w:t>
      </w:r>
      <w:r>
        <w:rPr>
          <w:b/>
          <w:bCs/>
        </w:rPr>
        <w:t xml:space="preserve">Vrai</w:t>
      </w:r>
      <w:r>
        <w:t xml:space="preserve">.</w:t>
      </w:r>
    </w:p>
    <w:p>
      <w:pPr>
        <w:pStyle w:val="FirstParagraph"/>
      </w:pPr>
      <w:r>
        <w:t xml:space="preserve">📝 Questions ouvertes</w:t>
      </w:r>
    </w:p>
    <w:p>
      <w:pPr>
        <w:pStyle w:val="Compact"/>
        <w:numPr>
          <w:ilvl w:val="0"/>
          <w:numId w:val="1132"/>
        </w:numPr>
      </w:pPr>
      <w:r>
        <w:t xml:space="preserve">Explique pourquoi l’entreprise du scénario d’ouverture n’a probablement pas besoin de plusieurs domaines, malgré ses deux sites géographiques distincts.</w:t>
      </w:r>
    </w:p>
    <w:p>
      <w:pPr>
        <w:pStyle w:val="Compact"/>
        <w:numPr>
          <w:ilvl w:val="0"/>
          <w:numId w:val="1132"/>
        </w:numPr>
      </w:pPr>
      <w:r>
        <w:t xml:space="preserve">Un collègue propose de créer une unité d’organisation</w:t>
      </w:r>
      <w:r>
        <w:t xml:space="preserve"> </w:t>
      </w:r>
      <w:r>
        <w:t xml:space="preserve">“Administrateurs”</w:t>
      </w:r>
      <w:r>
        <w:t xml:space="preserve"> </w:t>
      </w:r>
      <w:r>
        <w:t xml:space="preserve">contenant à la fois les comptes administrateurs et les permissions qui leur sont accordées. Explique-lui pourquoi cette confusion peut poser un problème de conception, à partir de la section 5.3.</w:t>
      </w:r>
    </w:p>
    <w:p>
      <w:pPr>
        <w:pStyle w:val="FirstParagraph"/>
      </w:pPr>
      <w:r>
        <w:rPr>
          <w:b/>
          <w:bCs/>
        </w:rPr>
        <w:t xml:space="preserve">Corrigé 1</w:t>
      </w:r>
      <w:r>
        <w:t xml:space="preserve"> </w:t>
      </w:r>
      <w:r>
        <w:t xml:space="preserve">: les deux sites n’ont besoin que d’une séparation physique (gérée par les sites Active Directory, section 5.4), pas d’une séparation administrative ou de sécurité forte (qui justifierait des domaines distincts). Un domaine unique avec deux sites et des UO reflétant chaque emplacement couvre entièrement le besoin exprimé, avec une administration bien plus simple qu’une architecture multi-domaines.</w:t>
      </w:r>
    </w:p>
    <w:p>
      <w:pPr>
        <w:pStyle w:val="BodyText"/>
      </w:pPr>
      <w:r>
        <w:rPr>
          <w:b/>
          <w:bCs/>
        </w:rPr>
        <w:t xml:space="preserve">Corrigé 2</w:t>
      </w:r>
      <w:r>
        <w:t xml:space="preserve"> </w:t>
      </w:r>
      <w:r>
        <w:t xml:space="preserve">: une unité d’organisation regroupe des objets pour l’organisation de l’annuaire et l’application de GPO ; elle ne porte pas elle-même de permissions d’accès à des ressources. Les permissions doivent être gérées via des groupes de sécurité distincts (potentiellement nommés séparément, comme</w:t>
      </w:r>
      <w:r>
        <w:t xml:space="preserve"> </w:t>
      </w:r>
      <w:r>
        <w:t xml:space="preserve">“GS-Admins-Serveurs”</w:t>
      </w:r>
      <w:r>
        <w:t xml:space="preserve">), auxquels les comptes administrateurs sont ajoutés en tant que membres — l’UO organise</w:t>
      </w:r>
      <w:r>
        <w:t xml:space="preserve"> </w:t>
      </w:r>
      <w:r>
        <w:t xml:space="preserve">“où se trouve l’objet dans l’arborescence”</w:t>
      </w:r>
      <w:r>
        <w:t xml:space="preserve">, le groupe détermine</w:t>
      </w:r>
      <w:r>
        <w:t xml:space="preserve"> </w:t>
      </w:r>
      <w:r>
        <w:t xml:space="preserve">“à quoi cet objet a accès”</w:t>
      </w:r>
      <w:r>
        <w:t xml:space="preserve">.</w:t>
      </w:r>
    </w:p>
    <w:bookmarkEnd w:id="143"/>
    <w:bookmarkStart w:id="144" w:name="exercices-4"/>
    <w:p>
      <w:pPr>
        <w:pStyle w:val="Heading2"/>
      </w:pPr>
      <w:r>
        <w:t xml:space="preserve">Exercices</w:t>
      </w:r>
    </w:p>
    <w:p>
      <w:pPr>
        <w:pStyle w:val="FirstParagraph"/>
      </w:pPr>
      <w:r>
        <w:t xml:space="preserve">📝 Exercice 5.1</w:t>
      </w:r>
    </w:p>
    <w:p>
      <w:pPr>
        <w:pStyle w:val="BodyText"/>
      </w:pPr>
      <w:r>
        <w:t xml:space="preserve">Liste les cinq rôles FSMO et indique, pour chacun, s’il existe une seule fois par forêt ou une fois par domaine.</w:t>
      </w:r>
    </w:p>
    <w:p>
      <w:pPr>
        <w:pStyle w:val="BodyText"/>
      </w:pPr>
      <w:r>
        <w:rPr>
          <w:b/>
          <w:bCs/>
        </w:rPr>
        <w:t xml:space="preserve">Corrigé :</w:t>
      </w:r>
      <w:r>
        <w:t xml:space="preserve"> </w:t>
      </w:r>
      <w:r>
        <w:t xml:space="preserve">Contrôleur de schéma (forêt), Maître de nommage de domaine (forêt), Émulateur PDC (domaine), Maître RID (domaine), Maître d’infrastructure (domaine) — voir le tableau de la section 5.5.</w:t>
      </w:r>
    </w:p>
    <w:p>
      <w:pPr>
        <w:pStyle w:val="BodyText"/>
      </w:pPr>
      <w:r>
        <w:t xml:space="preserve">📝 Exercice 5.2</w:t>
      </w:r>
    </w:p>
    <w:p>
      <w:pPr>
        <w:pStyle w:val="BodyText"/>
      </w:pPr>
      <w:r>
        <w:t xml:space="preserve">Reprends l’atelier de ce chapitre (l’agence de Jacmel). Rédige, en 4 à 6 phrases, les arguments que tu présenterais au DSI si l’agence de Jacmel passait de 8 à 60 employés en un an, pour justifier une réévaluation de l’architecture.</w:t>
      </w:r>
    </w:p>
    <w:p>
      <w:pPr>
        <w:pStyle w:val="BodyText"/>
      </w:pPr>
      <w:r>
        <w:rPr>
          <w:b/>
          <w:bCs/>
        </w:rPr>
        <w:t xml:space="preserve">Corrigé (exemple de réponse) :</w:t>
      </w:r>
      <w:r>
        <w:t xml:space="preserve"> </w:t>
      </w:r>
      <w:r>
        <w:t xml:space="preserve">Avec 60 employés, l’impact d’une panne de liaison Internet devient bien plus significatif qu’avec 8 personnes — un site entier de cette taille sans authentification locale représenterait un risque opérationnel comparable à celui du Cap-Haïtien avant la correction proposée dans ce chapitre. Je recommanderais l’ajout d’un contrôleur de domaine local à Jacmel, avec la création d’un site Active Directory dédié pour optimiser l’authentification et l’accès aux ressources locales. Cette décision devrait suivre le processus de changement normal du chapitre 2, avec une évaluation du coût matériel face au risque opérationnel désormais bien plus élevé qu’à l’ouverture initiale de l’agence.</w:t>
      </w:r>
    </w:p>
    <w:bookmarkEnd w:id="144"/>
    <w:bookmarkStart w:id="145" w:name="checklist-de-fin-de-chapitre-4"/>
    <w:p>
      <w:pPr>
        <w:pStyle w:val="Heading2"/>
      </w:pPr>
      <w:r>
        <w:t xml:space="preserve">Checklist de fin de chapitre</w:t>
      </w:r>
    </w:p>
    <w:p>
      <w:pPr>
        <w:pStyle w:val="FirstParagraph"/>
      </w:pPr>
      <w:r>
        <w:t xml:space="preserve">☐ Je sais distinguer forêt, arbre, domaine et unité d’organisation.</w:t>
      </w:r>
    </w:p>
    <w:p>
      <w:pPr>
        <w:pStyle w:val="BodyText"/>
      </w:pPr>
      <w:r>
        <w:t xml:space="preserve">☐ Je comprends la différence entre une UO (organisation/GPO) et un groupe de sécurité (permissions).</w:t>
      </w:r>
    </w:p>
    <w:p>
      <w:pPr>
        <w:pStyle w:val="BodyText"/>
      </w:pPr>
      <w:r>
        <w:t xml:space="preserve">☐ Je sais expliquer à quoi servent les sites Active Directory et pourquoi ils comptent pour la performance.</w:t>
      </w:r>
    </w:p>
    <w:p>
      <w:pPr>
        <w:pStyle w:val="BodyText"/>
      </w:pPr>
      <w:r>
        <w:t xml:space="preserve">☐ Je connais les cinq rôles FSMO et leur portée (forêt ou domaine).</w:t>
      </w:r>
    </w:p>
    <w:p>
      <w:pPr>
        <w:pStyle w:val="BodyText"/>
      </w:pPr>
      <w:r>
        <w:t xml:space="preserve">☐ Je comprends la différence entre un transfert et une saisie de rôle FSMO.</w:t>
      </w:r>
    </w:p>
    <w:p>
      <w:pPr>
        <w:pStyle w:val="BodyText"/>
      </w:pPr>
      <w:r>
        <w:t xml:space="preserve">☐ Je sais concevoir sur papier une architecture Active Directory simple pour une entreprise multi-sites.</w:t>
      </w:r>
    </w:p>
    <w:bookmarkEnd w:id="145"/>
    <w:bookmarkStart w:id="146" w:name="faq-4"/>
    <w:p>
      <w:pPr>
        <w:pStyle w:val="Heading2"/>
      </w:pPr>
      <w:r>
        <w:t xml:space="preserve">FAQ</w:t>
      </w:r>
    </w:p>
    <w:p>
      <w:pPr>
        <w:pStyle w:val="FirstParagraph"/>
      </w:pPr>
      <w:r>
        <w:t xml:space="preserve">Faut-il toujours créer plusieurs domaines pour séparer des services différents dans une même entreprise ?</w:t>
      </w:r>
    </w:p>
    <w:p>
      <w:pPr>
        <w:pStyle w:val="BodyText"/>
      </w:pPr>
      <w:r>
        <w:t xml:space="preserve">Non, presque jamais. Les unités d’organisation et les groupes de sécurité, combinés à une bonne stratégie de GPO (chapitre 7), suffisent à séparer des services différents dans l’immense majorité des cas — les domaines multiples se justifient surtout pour des besoins de séparation de sécurité très forts ou des contraintes réglementaires spécifiques.</w:t>
      </w:r>
    </w:p>
    <w:p>
      <w:pPr>
        <w:pStyle w:val="BodyText"/>
      </w:pPr>
      <w:r>
        <w:t xml:space="preserve">Un petit environnement de test à la maison a-t-il besoin d’une architecture de sites ?</w:t>
      </w:r>
    </w:p>
    <w:p>
      <w:pPr>
        <w:pStyle w:val="BodyText"/>
      </w:pPr>
      <w:r>
        <w:t xml:space="preserve">Non, un environnement de laboratoire personnel mono-site n’a généralement aucun besoin réel de configuration de sites avancée — mais comprendre le concept reste utile pour aborder sereinement un environnement professionnel multi-sites plus tard.</w:t>
      </w:r>
    </w:p>
    <w:p>
      <w:pPr>
        <w:pStyle w:val="BodyText"/>
      </w:pPr>
      <w:r>
        <w:t xml:space="preserve">Combien de contrôleurs de domaine faut-il au minimum pour un domaine en production ?</w:t>
      </w:r>
    </w:p>
    <w:p>
      <w:pPr>
        <w:pStyle w:val="BodyText"/>
      </w:pPr>
      <w:r>
        <w:t xml:space="preserve">Au moins deux, pour la tolérance de panne — un seul contrôleur de domaine en production représente un point de défaillance unique critique, un risque similaire au</w:t>
      </w:r>
      <w:r>
        <w:t xml:space="preserve"> </w:t>
      </w:r>
      <w:r>
        <w:t xml:space="preserve">“bus factor”</w:t>
      </w:r>
      <w:r>
        <w:t xml:space="preserve"> </w:t>
      </w:r>
      <w:r>
        <w:t xml:space="preserve">de 1 évoqué au chapitre 1, mais appliqué à l’infrastructure plutôt qu’aux personnes.</w:t>
      </w:r>
    </w:p>
    <w:p>
      <w:pPr>
        <w:pStyle w:val="BodyText"/>
      </w:pPr>
      <w:r>
        <w:t xml:space="preserve">Peut-on renommer un domaine Active Directory existant sans tout reconstruire ?</w:t>
      </w:r>
    </w:p>
    <w:p>
      <w:pPr>
        <w:pStyle w:val="BodyText"/>
      </w:pPr>
      <w:r>
        <w:t xml:space="preserve">C’est techniquement possible avec des outils dédiés, mais c’est une opération lourde, risquée et rarement entreprise à la légère en production — une raison de plus pour bien choisir la convention de nommage dès la conception initiale (section</w:t>
      </w:r>
      <w:r>
        <w:t xml:space="preserve"> </w:t>
      </w:r>
      <w:r>
        <w:t xml:space="preserve">“Maintenabilité”</w:t>
      </w:r>
      <w:r>
        <w:t xml:space="preserve"> </w:t>
      </w:r>
      <w:r>
        <w:t xml:space="preserve">de ce chapitre).</w:t>
      </w:r>
    </w:p>
    <w:bookmarkEnd w:id="146"/>
    <w:bookmarkStart w:id="149" w:name="références-et-pour-aller-plus-loin-4"/>
    <w:p>
      <w:pPr>
        <w:pStyle w:val="Heading2"/>
      </w:pPr>
      <w:r>
        <w:t xml:space="preserve">Références et pour aller plus loin</w:t>
      </w:r>
    </w:p>
    <w:p>
      <w:pPr>
        <w:pStyle w:val="Compact"/>
        <w:numPr>
          <w:ilvl w:val="0"/>
          <w:numId w:val="1133"/>
        </w:numPr>
      </w:pPr>
      <w:r>
        <w:t xml:space="preserve">Microsoft Learn — Vue d’ensemble de la structure logique d’Active Directory :</w:t>
      </w:r>
      <w:r>
        <w:t xml:space="preserve"> </w:t>
      </w:r>
      <w:hyperlink r:id="rId147">
        <w:r>
          <w:rPr>
            <w:rStyle w:val="Hyperlink"/>
          </w:rPr>
          <w:t xml:space="preserve">https://learn.microsoft.com/fr-fr/windows-server/identity/ad-ds/plan/</w:t>
        </w:r>
      </w:hyperlink>
    </w:p>
    <w:p>
      <w:pPr>
        <w:pStyle w:val="Compact"/>
        <w:numPr>
          <w:ilvl w:val="0"/>
          <w:numId w:val="1133"/>
        </w:numPr>
      </w:pPr>
      <w:r>
        <w:t xml:space="preserve">Microsoft Learn — Rôles FSMO (Flexible Single Master Operations) :</w:t>
      </w:r>
      <w:r>
        <w:t xml:space="preserve"> </w:t>
      </w:r>
      <w:hyperlink r:id="rId148">
        <w:r>
          <w:rPr>
            <w:rStyle w:val="Hyperlink"/>
          </w:rPr>
          <w:t xml:space="preserve">https://learn.microsoft.com/fr-fr/troubleshoot/windows-server/identity/fsmo-roles</w:t>
        </w:r>
      </w:hyperlink>
    </w:p>
    <w:p>
      <w:pPr>
        <w:pStyle w:val="Compact"/>
        <w:numPr>
          <w:ilvl w:val="0"/>
          <w:numId w:val="1133"/>
        </w:numPr>
      </w:pPr>
      <w:r>
        <w:t xml:space="preserve">Microsoft Learn — Sites et services Active Directory :</w:t>
      </w:r>
      <w:r>
        <w:t xml:space="preserve"> </w:t>
      </w:r>
      <w:hyperlink r:id="rId147">
        <w:r>
          <w:rPr>
            <w:rStyle w:val="Hyperlink"/>
          </w:rPr>
          <w:t xml:space="preserve">https://learn.microsoft.com/fr-fr/windows-server/identity/ad-ds/plan/</w:t>
        </w:r>
      </w:hyperlink>
    </w:p>
    <w:p>
      <w:pPr>
        <w:pStyle w:val="FirstParagraph"/>
      </w:pPr>
      <w:r>
        <w:rPr>
          <w:i/>
          <w:iCs/>
        </w:rPr>
        <w:t xml:space="preserve">Chapitre suivant : réplication Active Directory et tolérance de panne — comment plusieurs contrôleurs de domaine restent synchronisés, et ce qui se passe concrètement quand un lien réseau entre deux sites tombe.</w:t>
      </w:r>
    </w:p>
    <w:p>
      <w:pPr>
        <w:pStyle w:val="BodyText"/>
      </w:pPr>
      <w:r>
        <w:t xml:space="preserve">CHAPITRE 6</w:t>
      </w:r>
    </w:p>
    <w:bookmarkEnd w:id="149"/>
    <w:bookmarkEnd w:id="150"/>
    <w:bookmarkStart w:id="177" w:name="X5d0a97d94b4e11b3d6763bc03eadf3bf31d5504"/>
    <w:p>
      <w:pPr>
        <w:pStyle w:val="Heading1"/>
      </w:pPr>
      <w:r>
        <w:t xml:space="preserve">Réplication Active Directory et tolérance de panne</w:t>
      </w:r>
    </w:p>
    <w:p>
      <w:pPr>
        <w:pStyle w:val="FirstParagraph"/>
      </w:pPr>
      <w:r>
        <w:t xml:space="preserve">🎯 Objectif du chapitre</w:t>
      </w:r>
      <w:r>
        <w:t xml:space="preserve"> </w:t>
      </w:r>
      <w:r>
        <w:t xml:space="preserve">Comprendre comment plusieurs contrôleurs de domaine restent synchronisés entre eux, et surtout ce qui se passe concrètement — pour de vrai, pas en théorie — quand un lien réseau entre deux sites tombe, ou quand un contrôleur de domaine devient indisponible. À la fin de ce chapitre, tu sauras expliquer le modèle multi-maître, diagnostiquer un problème de réplication basique, et concevoir une architecture de contrôleurs de domaine réellement tolérante aux pannes plutôt que résiliente uniquement sur le papier.</w:t>
      </w:r>
    </w:p>
    <w:p>
      <w:pPr>
        <w:pStyle w:val="BodyText"/>
      </w:pPr>
      <w:r>
        <w:t xml:space="preserve">🎬 Mise en situation</w:t>
      </w:r>
      <w:r>
        <w:t xml:space="preserve"> </w:t>
      </w:r>
      <w:r>
        <w:t xml:space="preserve">Sixième semaine. L’architecture à deux sites du chapitre précédent a été validée et mise en œuvre : chaque site a désormais son propre contrôleur de domaine. Un mardi matin, la liaison Internet du Cap-Haïtien tombe pendant six heures — une coupure malheureusement fréquente dans certaines zones du pays. Le DSI t’appelle, inquiet :</w:t>
      </w:r>
      <w:r>
        <w:t xml:space="preserve"> </w:t>
      </w:r>
      <w:r>
        <w:t xml:space="preserve">“Les gens du Cap peuvent toujours travailler et se connecter, c’est déjà bien. Mais qu’est-ce qui se passe si, PENDANT cette coupure, quelqu’un change son mot de passe là-bas ? Et qu’est-ce qui se passe si un administrateur crée un compte à Port-au-Prince en même temps qu’un autre crée un compte avec le même nom au Cap-Haïtien, sans le savoir ?”</w:t>
      </w:r>
      <w:r>
        <w:t xml:space="preserve"> </w:t>
      </w:r>
      <w:r>
        <w:t xml:space="preserve">Ce sont exactement les questions auxquelles la réplication Active Directory — et la gestion de ses conflits — doit répondre. Ce chapitre y répond en détail.</w:t>
      </w:r>
    </w:p>
    <w:bookmarkStart w:id="151" w:name="X107f980148425c4962ba5388d08bc0924bcc0d5"/>
    <w:p>
      <w:pPr>
        <w:pStyle w:val="Heading2"/>
      </w:pPr>
      <w:r>
        <w:t xml:space="preserve">6.1 Le modèle multi-maître : chaque contrôleur peut écrire</w:t>
      </w:r>
    </w:p>
    <w:p>
      <w:pPr>
        <w:pStyle w:val="FirstParagraph"/>
      </w:pPr>
      <w:r>
        <w:t xml:space="preserve">Contrairement à certains systèmes qui désignent un serveur</w:t>
      </w:r>
      <w:r>
        <w:t xml:space="preserve"> </w:t>
      </w:r>
      <w:r>
        <w:t xml:space="preserve">“maître”</w:t>
      </w:r>
      <w:r>
        <w:t xml:space="preserve"> </w:t>
      </w:r>
      <w:r>
        <w:t xml:space="preserve">unique acceptant les écritures (avec des serveurs</w:t>
      </w:r>
      <w:r>
        <w:t xml:space="preserve"> </w:t>
      </w:r>
      <w:r>
        <w:t xml:space="preserve">“esclaves”</w:t>
      </w:r>
      <w:r>
        <w:t xml:space="preserve"> </w:t>
      </w:r>
      <w:r>
        <w:t xml:space="preserve">en lecture seule), Active Directory utilise un modèle</w:t>
      </w:r>
      <w:r>
        <w:t xml:space="preserve"> </w:t>
      </w:r>
      <w:r>
        <w:rPr>
          <w:b/>
          <w:bCs/>
        </w:rPr>
        <w:t xml:space="preserve">multi-maître</w:t>
      </w:r>
      <w:r>
        <w:t xml:space="preserve"> </w:t>
      </w:r>
      <w:r>
        <w:t xml:space="preserve">: chaque contrôleur de domaine peut accepter des écritures (création de compte, changement de mot de passe, modification de groupe) de façon totalement autonome, puis propage ce changement aux autres contrôleurs par réplication.</w:t>
      </w:r>
    </w:p>
    <w:p>
      <w:pPr>
        <w:pStyle w:val="BodyText"/>
      </w:pPr>
      <w:r>
        <w:t xml:space="preserve">💡 Analogie — plusieurs guichets d’une même administration</w:t>
      </w:r>
      <w:r>
        <w:t xml:space="preserve"> </w:t>
      </w:r>
      <w:r>
        <w:t xml:space="preserve">Imagine une administration publique avec plusieurs guichets dans différentes villes, chacun capable d’enregistrer un changement d’état civil directement, sans devoir d’abord téléphoner à un guichet central pour validation. Chaque guichet transmet ensuite ses changements aux autres guichets, périodiquement. C’est exactement le modèle multi-maître : aucun contrôleur de domaine n’a besoin d’attendre la permission d’un autre pour accepter une écriture — ce qui explique directement pourquoi le contrôleur du Cap-Haïtien continue de fonctionner normalement pendant la coupure du scénario d’ouverture.</w:t>
      </w:r>
    </w:p>
    <w:p>
      <w:pPr>
        <w:pStyle w:val="BodyText"/>
      </w:pPr>
      <w:r>
        <w:t xml:space="preserve">📌 À retenir</w:t>
      </w:r>
      <w:r>
        <w:t xml:space="preserve"> </w:t>
      </w:r>
      <w:r>
        <w:t xml:space="preserve">Le modèle multi-maître explique pourquoi une panne de liaison réseau entre deux sites (chapitre 5) n’empêche PAS les utilisateurs de chaque site de continuer à s’authentifier et à travailler localement — chaque contrôleur reste pleinement fonctionnel de façon autonome. Ce que la coupure empêche, c’est uniquement l’échange des changements récents entre les deux sites, le temps que la liaison soit rétablie.</w:t>
      </w:r>
    </w:p>
    <w:bookmarkEnd w:id="151"/>
    <w:bookmarkStart w:id="155" w:name="X1799ae020d90c516835d15f91e342e71eabcfc7"/>
    <w:p>
      <w:pPr>
        <w:pStyle w:val="Heading2"/>
      </w:pPr>
      <w:r>
        <w:t xml:space="preserve">6.2 Comment la réplication fonctionne concrètement</w:t>
      </w:r>
    </w:p>
    <w:p>
      <w:pPr>
        <w:pStyle w:val="CaptionedFigure"/>
      </w:pPr>
      <w:r>
        <w:drawing>
          <wp:inline>
            <wp:extent cx="5334000" cy="5028740"/>
            <wp:effectExtent b="0" l="0" r="0" t="0"/>
            <wp:docPr descr="Diagramme" title="" id="153" name="Picture"/>
            <a:graphic>
              <a:graphicData uri="http://schemas.openxmlformats.org/drawingml/2006/picture">
                <pic:pic>
                  <pic:nvPicPr>
                    <pic:cNvPr descr="C:/Users/ingja/Desktop/jarvis-starter-kit/livrables/formations/manuel-administration-systeme/assets/diagrams/d-06-replication-ad-tolerance-panne-diagramme-1.png" id="154" name="Picture"/>
                    <pic:cNvPicPr>
                      <a:picLocks noChangeArrowheads="1" noChangeAspect="1"/>
                    </pic:cNvPicPr>
                  </pic:nvPicPr>
                  <pic:blipFill>
                    <a:blip r:embed="rId152"/>
                    <a:stretch>
                      <a:fillRect/>
                    </a:stretch>
                  </pic:blipFill>
                  <pic:spPr bwMode="auto">
                    <a:xfrm>
                      <a:off x="0" y="0"/>
                      <a:ext cx="5334000" cy="5028740"/>
                    </a:xfrm>
                    <a:prstGeom prst="rect">
                      <a:avLst/>
                    </a:prstGeom>
                    <a:noFill/>
                    <a:ln w="9525">
                      <a:noFill/>
                      <a:headEnd/>
                      <a:tailEnd/>
                    </a:ln>
                  </pic:spPr>
                </pic:pic>
              </a:graphicData>
            </a:graphic>
          </wp:inline>
        </w:drawing>
      </w:r>
    </w:p>
    <w:p>
      <w:pPr>
        <w:pStyle w:val="ImageCaption"/>
      </w:pPr>
      <w:r>
        <w:t xml:space="preserve">Diagramme</w:t>
      </w:r>
    </w:p>
    <w:p>
      <w:pPr>
        <w:pStyle w:val="BodyText"/>
      </w:pPr>
      <w:r>
        <w:t xml:space="preserve">💡 Explication du schéma</w:t>
      </w:r>
      <w:r>
        <w:t xml:space="preserve"> </w:t>
      </w:r>
      <w:r>
        <w:t xml:space="preserve">Active Directory utilise un modèle de réplication en</w:t>
      </w:r>
      <w:r>
        <w:t xml:space="preserve"> </w:t>
      </w:r>
      <w:r>
        <w:rPr>
          <w:b/>
          <w:bCs/>
        </w:rPr>
        <w:t xml:space="preserve">“pull”</w:t>
      </w:r>
      <w:r>
        <w:t xml:space="preserve"> </w:t>
      </w:r>
      <w:r>
        <w:t xml:space="preserve">(tirer) plutôt qu’en</w:t>
      </w:r>
      <w:r>
        <w:t xml:space="preserve"> </w:t>
      </w:r>
      <w:r>
        <w:t xml:space="preserve">“push”</w:t>
      </w:r>
      <w:r>
        <w:t xml:space="preserve"> </w:t>
      </w:r>
      <w:r>
        <w:t xml:space="preserve">(pousser) : un contrôleur notifie ses partenaires qu’un changement est disponible, mais ce sont les contrôleurs partenaires qui viennent activement chercher (</w:t>
      </w:r>
      <w:r>
        <w:rPr>
          <w:i/>
          <w:iCs/>
        </w:rPr>
        <w:t xml:space="preserve">pull</w:t>
      </w:r>
      <w:r>
        <w:t xml:space="preserve">) ces changements, selon leur propre planification. Cette conception réduit le risque de surcharge d’un contrôleur qui devrait</w:t>
      </w:r>
      <w:r>
        <w:t xml:space="preserve"> </w:t>
      </w:r>
      <w:r>
        <w:t xml:space="preserve">“pousser”</w:t>
      </w:r>
      <w:r>
        <w:t xml:space="preserve"> </w:t>
      </w:r>
      <w:r>
        <w:t xml:space="preserve">ses changements vers de nombreux partenaires simultanément.</w:t>
      </w:r>
    </w:p>
    <w:p>
      <w:pPr>
        <w:pStyle w:val="BodyText"/>
      </w:pPr>
      <w:r>
        <w:rPr>
          <w:b/>
          <w:bCs/>
        </w:rPr>
        <w:t xml:space="preserve">Deux contextes de réplication distincts, avec des comportements différents :</w:t>
      </w:r>
      <w:r>
        <w:t xml:space="preserve"> </w:t>
      </w:r>
      <w:r>
        <w:t xml:space="preserve">-</w:t>
      </w:r>
      <w:r>
        <w:t xml:space="preserve"> </w:t>
      </w:r>
      <w:r>
        <w:rPr>
          <w:b/>
          <w:bCs/>
        </w:rPr>
        <w:t xml:space="preserve">Au sein d’un même site</w:t>
      </w:r>
      <w:r>
        <w:t xml:space="preserve"> </w:t>
      </w:r>
      <w:r>
        <w:t xml:space="preserve">: la réplication est quasiment immédiate (généralement déclenchée par une notification dans les secondes qui suivent un changement), car le lien réseau local est considéré fiable et rapide.</w:t>
      </w:r>
      <w:r>
        <w:t xml:space="preserve"> </w:t>
      </w:r>
      <w:r>
        <w:t xml:space="preserve">-</w:t>
      </w:r>
      <w:r>
        <w:t xml:space="preserve"> </w:t>
      </w:r>
      <w:r>
        <w:rPr>
          <w:b/>
          <w:bCs/>
        </w:rPr>
        <w:t xml:space="preserve">Entre sites différents</w:t>
      </w:r>
      <w:r>
        <w:t xml:space="preserve"> </w:t>
      </w:r>
      <w:r>
        <w:t xml:space="preserve">(comme Port-au-Prince et le Cap-Haïtien) : la réplication suit une</w:t>
      </w:r>
      <w:r>
        <w:t xml:space="preserve"> </w:t>
      </w:r>
      <w:r>
        <w:rPr>
          <w:b/>
          <w:bCs/>
        </w:rPr>
        <w:t xml:space="preserve">planification</w:t>
      </w:r>
      <w:r>
        <w:t xml:space="preserve"> </w:t>
      </w:r>
      <w:r>
        <w:t xml:space="preserve">définie par l’administrateur (par exemple, toutes les 15 minutes ou toutes les heures), pour ne pas saturer une liaison inter-sites plus coûteuse ou moins fiable — directement lié à la configuration des liens de site du chapitre 5.</w:t>
      </w:r>
    </w:p>
    <w:p>
      <w:pPr>
        <w:pStyle w:val="BodyText"/>
      </w:pPr>
      <w:r>
        <w:t xml:space="preserve">🚀 Performance — équilibrer fraîcheur et charge réseau</w:t>
      </w:r>
      <w:r>
        <w:t xml:space="preserve"> </w:t>
      </w:r>
      <w:r>
        <w:t xml:space="preserve">Une fréquence de réplication inter-sites trop élevée peut saturer une liaison Internet standard comme celle du scénario d’ouverture ; une fréquence trop basse retarde la propagation de changements importants (comme la désactivation d’urgence d’un compte compromis). La bonne pratique consiste à ajuster cette fréquence selon la criticité réelle du lien et le volume de changements attendu — pas à laisser systématiquement la valeur par défaut sans y réfléchir.</w:t>
      </w:r>
    </w:p>
    <w:bookmarkEnd w:id="155"/>
    <w:bookmarkStart w:id="156" w:name="X933d3f8b4def3c803a2b2b5ee0cdfe668d861ef"/>
    <w:p>
      <w:pPr>
        <w:pStyle w:val="Heading2"/>
      </w:pPr>
      <w:r>
        <w:t xml:space="preserve">6.3 Répondre à la première question du DSI : le changement de mot de passe pendant la coupure</w:t>
      </w:r>
    </w:p>
    <w:p>
      <w:pPr>
        <w:pStyle w:val="FirstParagraph"/>
      </w:pPr>
      <w:r>
        <w:t xml:space="preserve">Reprenons la première inquiétude du scénario d’ouverture. Un utilisateur au Cap-Haïtien change son mot de passe pendant que la liaison est coupée :</w:t>
      </w:r>
    </w:p>
    <w:p>
      <w:pPr>
        <w:pStyle w:val="Compact"/>
        <w:numPr>
          <w:ilvl w:val="0"/>
          <w:numId w:val="1134"/>
        </w:numPr>
      </w:pPr>
      <w:r>
        <w:t xml:space="preserve">Le contrôleur local (DC-CAP-01) accepte le changement immédiatement — le modèle multi-maître le permet sans contact avec Port-au-Prince.</w:t>
      </w:r>
    </w:p>
    <w:p>
      <w:pPr>
        <w:pStyle w:val="Compact"/>
        <w:numPr>
          <w:ilvl w:val="0"/>
          <w:numId w:val="1134"/>
        </w:numPr>
      </w:pPr>
      <w:r>
        <w:t xml:space="preserve">L’utilisateur peut continuer à s’authentifier localement avec son</w:t>
      </w:r>
      <w:r>
        <w:t xml:space="preserve"> </w:t>
      </w:r>
      <w:r>
        <w:rPr>
          <w:b/>
          <w:bCs/>
        </w:rPr>
        <w:t xml:space="preserve">nouveau</w:t>
      </w:r>
      <w:r>
        <w:t xml:space="preserve"> </w:t>
      </w:r>
      <w:r>
        <w:t xml:space="preserve">mot de passe, sans interruption.</w:t>
      </w:r>
    </w:p>
    <w:p>
      <w:pPr>
        <w:pStyle w:val="Compact"/>
        <w:numPr>
          <w:ilvl w:val="0"/>
          <w:numId w:val="1134"/>
        </w:numPr>
      </w:pPr>
      <w:r>
        <w:t xml:space="preserve">Dès que la liaison est rétablie, ce changement se réplique vers DC-PAP-01, comme n’importe quel autre changement.</w:t>
      </w:r>
    </w:p>
    <w:p>
      <w:pPr>
        <w:pStyle w:val="Compact"/>
        <w:numPr>
          <w:ilvl w:val="0"/>
          <w:numId w:val="1134"/>
        </w:numPr>
      </w:pPr>
      <w:r>
        <w:rPr>
          <w:b/>
          <w:bCs/>
        </w:rPr>
        <w:t xml:space="preserve">Entre-temps</w:t>
      </w:r>
      <w:r>
        <w:t xml:space="preserve">, si cet utilisateur tente de s’authentifier auprès d’une ressource qui interroge spécifiquement DC-PAP-01 (par exemple, s’il se déplace physiquement à Port-au-Prince pendant la coupure), l’ancien mot de passe serait encore reconnu là-bas jusqu’à la réplication — un décalage temporaire, normal et attendu dans ce modèle.</w:t>
      </w:r>
    </w:p>
    <w:p>
      <w:pPr>
        <w:pStyle w:val="FirstParagraph"/>
      </w:pPr>
      <w:r>
        <w:t xml:space="preserve">✅ Bonne pratique — le rôle particulier de l’émulateur PDC pour les mots de passe</w:t>
      </w:r>
      <w:r>
        <w:t xml:space="preserve"> </w:t>
      </w:r>
      <w:r>
        <w:t xml:space="preserve">Rappel du chapitre 5 : l’émulateur PDC (un des cinq rôles FSMO) reçoit un traitement prioritaire pour les changements de mot de passe récents, précisément pour réduire ce type de décalage. Un contrôleur qui refuse une authentification peut, avant de la rejeter définitivement, vérifier auprès de l’émulateur PDC si un changement de mot de passe plus récent existe ailleurs — un mécanisme qui limite l’impact pratique du délai de réplication normal.</w:t>
      </w:r>
    </w:p>
    <w:bookmarkEnd w:id="156"/>
    <w:bookmarkStart w:id="157" w:name="Xe3db6da2bc64774345c9ed07f77a5897255858b"/>
    <w:p>
      <w:pPr>
        <w:pStyle w:val="Heading2"/>
      </w:pPr>
      <w:r>
        <w:t xml:space="preserve">6.4 Répondre à la seconde question du DSI : les conflits de création simultanée</w:t>
      </w:r>
    </w:p>
    <w:p>
      <w:pPr>
        <w:pStyle w:val="FirstParagraph"/>
      </w:pPr>
      <w:r>
        <w:t xml:space="preserve">La seconde inquiétude — deux comptes créés avec le même nom sur deux contrôleurs différents pendant une coupure — illustre un vrai risque du modèle multi-maître : le</w:t>
      </w:r>
      <w:r>
        <w:t xml:space="preserve"> </w:t>
      </w:r>
      <w:r>
        <w:rPr>
          <w:b/>
          <w:bCs/>
        </w:rPr>
        <w:t xml:space="preserve">conflit de réplication</w:t>
      </w:r>
      <w:r>
        <w:t xml:space="preserve">.</w:t>
      </w:r>
    </w:p>
    <w:p>
      <w:pPr>
        <w:pStyle w:val="BodyText"/>
      </w:pPr>
      <w:r>
        <w:t xml:space="preserve">⚠️ Comment Active Directory résout un conflit de nommage</w:t>
      </w:r>
      <w:r>
        <w:t xml:space="preserve"> </w:t>
      </w:r>
      <w:r>
        <w:t xml:space="preserve">Si deux objets portant le même nom sont créés indépendamment sur deux contrôleurs différents pendant une période de déconnexion, Active Directory les détecte au moment de la réplication (via un identifiant unique interne, différent du nom affiché) et les traite comme des objets distincts en conflit. La résolution automatique conserve généralement l’objet créé en dernier sous le nom original, et</w:t>
      </w:r>
      <w:r>
        <w:t xml:space="preserve"> </w:t>
      </w:r>
      <w:r>
        <w:rPr>
          <w:b/>
          <w:bCs/>
        </w:rPr>
        <w:t xml:space="preserve">renomme automatiquement</w:t>
      </w:r>
      <w:r>
        <w:t xml:space="preserve"> </w:t>
      </w:r>
      <w:r>
        <w:t xml:space="preserve">l’autre objet (en lui ajoutant un suffixe, par exemple</w:t>
      </w:r>
      <w:r>
        <w:t xml:space="preserve"> </w:t>
      </w:r>
      <w:r>
        <w:t xml:space="preserve">CNF:</w:t>
      </w:r>
      <w:r>
        <w:t xml:space="preserve"> </w:t>
      </w:r>
      <w:r>
        <w:t xml:space="preserve">suivi d’un identifiant) plutôt que de fusionner ou de supprimer silencieusement l’un des deux.</w:t>
      </w:r>
    </w:p>
    <w:p>
      <w:pPr>
        <w:pStyle w:val="BodyText"/>
      </w:pPr>
      <w:r>
        <w:t xml:space="preserve">🔒 Sécurité — pourquoi un conflit non surveillé est un risque</w:t>
      </w:r>
      <w:r>
        <w:t xml:space="preserve"> </w:t>
      </w:r>
      <w:r>
        <w:t xml:space="preserve">Un objet renommé automatiquement suite à un conflit peut passer inaperçu si personne ne surveille les journaux de réplication — un compte</w:t>
      </w:r>
      <w:r>
        <w:t xml:space="preserve"> </w:t>
      </w:r>
      <w:r>
        <w:t xml:space="preserve">“en double”</w:t>
      </w:r>
      <w:r>
        <w:t xml:space="preserve"> </w:t>
      </w:r>
      <w:r>
        <w:t xml:space="preserve">mal nommé peut soit perturber un utilisateur légitime, soit, dans un scénario plus grave, créer une confusion exploitable si un attaquant provoque volontairement ce type de situation. La supervision des événements de réplication (approfondie en Partie 10) doit inclure une alerte sur ce type de conflit, pas seulement sur les pannes complètes.</w:t>
      </w:r>
    </w:p>
    <w:p>
      <w:pPr>
        <w:pStyle w:val="BodyText"/>
      </w:pPr>
      <w:r>
        <w:t xml:space="preserve">✅ Bonne pratique — réduire le risque de conflit en amont</w:t>
      </w:r>
      <w:r>
        <w:t xml:space="preserve"> </w:t>
      </w:r>
      <w:r>
        <w:t xml:space="preserve">Le risque de conflit de nommage augmente avec la fréquence des créations simultanées sur des sites différents pendant une déconnexion prolongée. Une convention de nommage qui inclut un préfixe par site (par exemple, un identifiant de site dans un champ dédié, pas nécessairement dans le nom affiché lui-même) et une procédure centralisée de création de comptes (plutôt que plusieurs administrateurs créant des comptes de façon totalement indépendante) réduisent ce risque sans l’éliminer complètement — le vrai remède reste de limiter la durée des coupures réseau elles-mêmes.</w:t>
      </w:r>
    </w:p>
    <w:bookmarkEnd w:id="157"/>
    <w:bookmarkStart w:id="161" w:name="Xf00b38521d32bb0c4e3b186cdaa7919c5fceb80"/>
    <w:p>
      <w:pPr>
        <w:pStyle w:val="Heading2"/>
      </w:pPr>
      <w:r>
        <w:t xml:space="preserve">6.5 La tolérance de panne : au-delà de la réplication</w:t>
      </w:r>
    </w:p>
    <w:p>
      <w:pPr>
        <w:pStyle w:val="FirstParagraph"/>
      </w:pPr>
      <w:r>
        <w:t xml:space="preserve">La réplication résout la synchronisation des données, mais la</w:t>
      </w:r>
      <w:r>
        <w:t xml:space="preserve"> </w:t>
      </w:r>
      <w:r>
        <w:rPr>
          <w:b/>
          <w:bCs/>
        </w:rPr>
        <w:t xml:space="preserve">disponibilité</w:t>
      </w:r>
      <w:r>
        <w:t xml:space="preserve"> </w:t>
      </w:r>
      <w:r>
        <w:t xml:space="preserve">du service d’authentification lui-même dépend directement du nombre de contrôleurs de domaine réellement disponibles à tout moment.</w:t>
      </w:r>
    </w:p>
    <w:p>
      <w:pPr>
        <w:pStyle w:val="CaptionedFigure"/>
      </w:pPr>
      <w:r>
        <w:drawing>
          <wp:inline>
            <wp:extent cx="5334000" cy="1140704"/>
            <wp:effectExtent b="0" l="0" r="0" t="0"/>
            <wp:docPr descr="Diagramme" title="" id="159" name="Picture"/>
            <a:graphic>
              <a:graphicData uri="http://schemas.openxmlformats.org/drawingml/2006/picture">
                <pic:pic>
                  <pic:nvPicPr>
                    <pic:cNvPr descr="C:/Users/ingja/Desktop/jarvis-starter-kit/livrables/formations/manuel-administration-systeme/assets/diagrams/d-06-replication-ad-tolerance-panne-diagramme-2.png" id="160" name="Picture"/>
                    <pic:cNvPicPr>
                      <a:picLocks noChangeArrowheads="1" noChangeAspect="1"/>
                    </pic:cNvPicPr>
                  </pic:nvPicPr>
                  <pic:blipFill>
                    <a:blip r:embed="rId158"/>
                    <a:stretch>
                      <a:fillRect/>
                    </a:stretch>
                  </pic:blipFill>
                  <pic:spPr bwMode="auto">
                    <a:xfrm>
                      <a:off x="0" y="0"/>
                      <a:ext cx="5334000" cy="1140704"/>
                    </a:xfrm>
                    <a:prstGeom prst="rect">
                      <a:avLst/>
                    </a:prstGeom>
                    <a:noFill/>
                    <a:ln w="9525">
                      <a:noFill/>
                      <a:headEnd/>
                      <a:tailEnd/>
                    </a:ln>
                  </pic:spPr>
                </pic:pic>
              </a:graphicData>
            </a:graphic>
          </wp:inline>
        </w:drawing>
      </w:r>
    </w:p>
    <w:p>
      <w:pPr>
        <w:pStyle w:val="ImageCaption"/>
      </w:pPr>
      <w:r>
        <w:t xml:space="preserve">Diagramme</w:t>
      </w:r>
    </w:p>
    <w:p>
      <w:pPr>
        <w:pStyle w:val="BodyText"/>
      </w:pPr>
      <w:r>
        <w:t xml:space="preserve">🧠 À mémoriser</w:t>
      </w:r>
      <w:r>
        <w:t xml:space="preserve"> </w:t>
      </w:r>
      <w:r>
        <w:t xml:space="preserve">Un seul contrôleur de domaine par site (l’architecture minimale du chapitre 5) résout le problème de latence réseau, mais reste un point de défaillance unique en cas de panne matérielle de ce contrôleur précis — indépendamment de l’état de la liaison réseau. Deux contrôleurs par site (ou au minimum, un plan clair de reprise en cas de panne, avec un délai acceptable documenté) sont nécessaires pour une vraie tolérance de panne, pas seulement une tolérance à la latence.</w:t>
      </w:r>
    </w:p>
    <w:p>
      <w:pPr>
        <w:pStyle w:val="BodyText"/>
      </w:pPr>
      <w:r>
        <w:t xml:space="preserve">🏢</w:t>
      </w:r>
      <w:r>
        <w:t xml:space="preserve"> </w:t>
      </w:r>
      <w:r>
        <w:rPr>
          <w:b/>
          <w:bCs/>
        </w:rPr>
        <w:t xml:space="preserve">Le compromis budgétaire, encore une fois.</w:t>
      </w:r>
      <w:r>
        <w:t xml:space="preserve"> </w:t>
      </w:r>
      <w:r>
        <w:t xml:space="preserve">Cette recommandation rejoint directement l’encadré</w:t>
      </w:r>
      <w:r>
        <w:t xml:space="preserve"> </w:t>
      </w:r>
      <w:r>
        <w:t xml:space="preserve">“En entreprise”</w:t>
      </w:r>
      <w:r>
        <w:t xml:space="preserve"> </w:t>
      </w:r>
      <w:r>
        <w:t xml:space="preserve">du chapitre 5 : le choix entre un ou deux contrôleurs par site est un vrai compromis coût/risque, pas une réponse universelle. Une agence de 8 personnes (comme Jacmel dans l’atelier du chapitre précédent) n’a probablement pas besoin de deux contrôleurs locaux ; un site de plusieurs centaines d’utilisateurs comme le Cap-Haïtien, si.</w:t>
      </w:r>
    </w:p>
    <w:bookmarkEnd w:id="161"/>
    <w:bookmarkStart w:id="162" w:name="diagnostiquer-un-problème-de-réplication"/>
    <w:p>
      <w:pPr>
        <w:pStyle w:val="Heading2"/>
      </w:pPr>
      <w:r>
        <w:t xml:space="preserve">6.6 Diagnostiquer un problème de réplication</w:t>
      </w:r>
    </w:p>
    <w:p>
      <w:pPr>
        <w:pStyle w:val="FirstParagraph"/>
      </w:pPr>
      <w:r>
        <w:t xml:space="preserve">Un outil central pour surveiller la santé de la réplication est la commande</w:t>
      </w:r>
      <w:r>
        <w:t xml:space="preserve"> </w:t>
      </w:r>
      <w:r>
        <w:rPr>
          <w:rStyle w:val="VerbatimChar"/>
        </w:rPr>
        <w:t xml:space="preserve">repadmin</w:t>
      </w:r>
      <w:r>
        <w:t xml:space="preserve"> </w:t>
      </w:r>
      <w:r>
        <w:t xml:space="preserve">(incluse aux outils d’administration Active Directory), qui permet notamment de vérifier depuis quand une réplication n’a pas eu lieu avec succès entre deux contrôleurs donnés.</w:t>
      </w:r>
    </w:p>
    <w:p>
      <w:pPr>
        <w:pStyle w:val="SourceCode"/>
      </w:pPr>
      <w:r>
        <w:rPr>
          <w:rStyle w:val="VerbatimChar"/>
        </w:rPr>
        <w:t xml:space="preserve"># Verifier l'etat de replication de tous les partenaires d'un controleur</w:t>
      </w:r>
      <w:r>
        <w:br/>
      </w:r>
      <w:r>
        <w:rPr>
          <w:rStyle w:val="VerbatimChar"/>
        </w:rPr>
        <w:t xml:space="preserve">repadmin /showrepl DC-PAP-01</w:t>
      </w:r>
      <w:r>
        <w:br/>
      </w:r>
      <w:r>
        <w:br/>
      </w:r>
      <w:r>
        <w:rPr>
          <w:rStyle w:val="VerbatimChar"/>
        </w:rPr>
        <w:t xml:space="preserve"># Forcer une tentative de replication immediate entre deux controleurs</w:t>
      </w:r>
      <w:r>
        <w:br/>
      </w:r>
      <w:r>
        <w:rPr>
          <w:rStyle w:val="VerbatimChar"/>
        </w:rPr>
        <w:t xml:space="preserve">repadmin /replicate DC-CAP-01 DC-PAP-01 "DC=assuranceht,DC=local"</w:t>
      </w:r>
    </w:p>
    <w:p>
      <w:pPr>
        <w:pStyle w:val="FirstParagraph"/>
      </w:pPr>
      <w:r>
        <w:t xml:space="preserve">⚠️ Un échec de réplication qui persiste devient rapidement critique</w:t>
      </w:r>
      <w:r>
        <w:t xml:space="preserve"> </w:t>
      </w:r>
      <w:r>
        <w:t xml:space="preserve">Une réplication en échec depuis quelques heures (comme dans le scénario d’ouverture) est normale et sans gravité immédiate. Mais Active Directory impose une limite stricte : par défaut, un contrôleur qui n’a pas répliqué avec succès depuis plus de</w:t>
      </w:r>
      <w:r>
        <w:t xml:space="preserve"> </w:t>
      </w:r>
      <w:r>
        <w:t xml:space="preserve">60 jours</w:t>
      </w:r>
      <w:r>
        <w:t xml:space="preserve"> </w:t>
      </w:r>
      <w:r>
        <w:t xml:space="preserve">(la durée de vie par défaut des objets</w:t>
      </w:r>
      <w:r>
        <w:t xml:space="preserve"> </w:t>
      </w:r>
      <w:r>
        <w:t xml:space="preserve">“tombstone”</w:t>
      </w:r>
      <w:r>
        <w:t xml:space="preserve">, liés à la suppression d’objets) est considéré en échec de réplication irrémédiable, et doit être retiré puis reconstruit entièrement — jamais simplement laissé reconnecté tel quel. Un délai de coupure de quelques heures, comme dans le scénario d’ouverture, est donc totalement anodin ; ce seuil ne concerne que des pannes exceptionnellement longues.</w:t>
      </w:r>
    </w:p>
    <w:bookmarkEnd w:id="162"/>
    <w:bookmarkStart w:id="163" w:name="X3dda6d55de5a9c2fedcde2feda46e8e17e149db"/>
    <w:p>
      <w:pPr>
        <w:pStyle w:val="Heading2"/>
      </w:pPr>
      <w:r>
        <w:t xml:space="preserve">Atelier — Répondre aux questions du DSI par écrit</w:t>
      </w:r>
    </w:p>
    <w:p>
      <w:pPr>
        <w:pStyle w:val="FirstParagraph"/>
      </w:pPr>
      <w:r>
        <w:t xml:space="preserve">🛠️ Atelier 6 — Rédiger une note explicative</w:t>
      </w:r>
    </w:p>
    <w:p>
      <w:pPr>
        <w:pStyle w:val="BodyText"/>
      </w:pPr>
      <w:r>
        <w:rPr>
          <w:b/>
          <w:bCs/>
        </w:rPr>
        <w:t xml:space="preserve">Objectif</w:t>
      </w:r>
      <w:r>
        <w:t xml:space="preserve"> </w:t>
      </w:r>
      <w:r>
        <w:t xml:space="preserve">: synthétiser les concepts de ce chapitre dans une explication claire, destinée à un responsable non technique — une compétence de communication directement liée au chapitre 1 (section</w:t>
      </w:r>
      <w:r>
        <w:t xml:space="preserve"> </w:t>
      </w:r>
      <w:r>
        <w:t xml:space="preserve">“compétences humaines”</w:t>
      </w:r>
      <w:r>
        <w:t xml:space="preserve">).</w:t>
      </w:r>
    </w:p>
    <w:p>
      <w:pPr>
        <w:pStyle w:val="BodyText"/>
      </w:pPr>
      <w:r>
        <w:rPr>
          <w:b/>
          <w:bCs/>
        </w:rPr>
        <w:t xml:space="preserve">Préparation</w:t>
      </w:r>
      <w:r>
        <w:t xml:space="preserve"> </w:t>
      </w:r>
      <w:r>
        <w:t xml:space="preserve">: aucune installation nécessaire.</w:t>
      </w:r>
    </w:p>
    <w:p>
      <w:pPr>
        <w:pStyle w:val="BodyText"/>
      </w:pPr>
      <w:r>
        <w:rPr>
          <w:b/>
          <w:bCs/>
        </w:rPr>
        <w:t xml:space="preserve">Étapes détaillées</w:t>
      </w:r>
      <w:r>
        <w:t xml:space="preserve"> </w:t>
      </w:r>
      <w:r>
        <w:t xml:space="preserve">:</w:t>
      </w:r>
    </w:p>
    <w:p>
      <w:pPr>
        <w:pStyle w:val="Compact"/>
        <w:numPr>
          <w:ilvl w:val="0"/>
          <w:numId w:val="1135"/>
        </w:numPr>
      </w:pPr>
      <w:r>
        <w:t xml:space="preserve">Rédige une note d’une dizaine de lignes maximum, en français simple, répondant aux deux questions du DSI posées dans le scénario d’ouverture (changement de mot de passe pendant une coupure, création simultanée de comptes en conflit).</w:t>
      </w:r>
    </w:p>
    <w:p>
      <w:pPr>
        <w:pStyle w:val="Compact"/>
        <w:numPr>
          <w:ilvl w:val="0"/>
          <w:numId w:val="1135"/>
        </w:numPr>
      </w:pPr>
      <w:r>
        <w:t xml:space="preserve">Évite tout jargon non expliqué (pas de</w:t>
      </w:r>
      <w:r>
        <w:t xml:space="preserve"> </w:t>
      </w:r>
      <w:r>
        <w:t xml:space="preserve">“FSMO”</w:t>
      </w:r>
      <w:r>
        <w:t xml:space="preserve">,</w:t>
      </w:r>
      <w:r>
        <w:t xml:space="preserve"> </w:t>
      </w:r>
      <w:r>
        <w:t xml:space="preserve">“multi-maître”</w:t>
      </w:r>
      <w:r>
        <w:t xml:space="preserve"> </w:t>
      </w:r>
      <w:r>
        <w:t xml:space="preserve">ou</w:t>
      </w:r>
      <w:r>
        <w:t xml:space="preserve"> </w:t>
      </w:r>
      <w:r>
        <w:t xml:space="preserve">“repadmin”</w:t>
      </w:r>
      <w:r>
        <w:t xml:space="preserve"> </w:t>
      </w:r>
      <w:r>
        <w:t xml:space="preserve">sans une explication en une phrase si tu les utilises).</w:t>
      </w:r>
    </w:p>
    <w:p>
      <w:pPr>
        <w:pStyle w:val="Compact"/>
        <w:numPr>
          <w:ilvl w:val="0"/>
          <w:numId w:val="1135"/>
        </w:numPr>
      </w:pPr>
      <w:r>
        <w:t xml:space="preserve">Termine ta note par une recommandation concrète pour réduire le risque de conflit à l’avenir.</w:t>
      </w:r>
    </w:p>
    <w:p>
      <w:pPr>
        <w:pStyle w:val="Compact"/>
        <w:numPr>
          <w:ilvl w:val="0"/>
          <w:numId w:val="1135"/>
        </w:numPr>
      </w:pPr>
      <w:r>
        <w:t xml:space="preserve">Compare ta note à la section</w:t>
      </w:r>
      <w:r>
        <w:t xml:space="preserve"> </w:t>
      </w:r>
      <w:r>
        <w:t xml:space="preserve">“Résultat attendu”</w:t>
      </w:r>
      <w:r>
        <w:t xml:space="preserve"> </w:t>
      </w:r>
      <w:r>
        <w:t xml:space="preserve">ci-dessous.</w:t>
      </w:r>
    </w:p>
    <w:p>
      <w:pPr>
        <w:pStyle w:val="FirstParagraph"/>
      </w:pPr>
      <w:r>
        <w:rPr>
          <w:b/>
          <w:bCs/>
        </w:rPr>
        <w:t xml:space="preserve">Résultat attendu</w:t>
      </w:r>
      <w:r>
        <w:t xml:space="preserve"> </w:t>
      </w:r>
      <w:r>
        <w:t xml:space="preserve">: une bonne note explique que chaque site continue de fonctionner de façon autonome pendant une coupure (sections 6.1 et 6.3), que les changements se synchronisent automatiquement dès le retour de la liaison, qu’un conflit de nommage est rare mais possible et automatiquement détecté et corrigé par le système sans perte de données (section 6.4), et recommande une procédure de création de comptes centralisée pour réduire encore ce risque déjà faible.</w:t>
      </w:r>
    </w:p>
    <w:p>
      <w:pPr>
        <w:pStyle w:val="BodyText"/>
      </w:pPr>
      <w:r>
        <w:rPr>
          <w:b/>
          <w:bCs/>
        </w:rPr>
        <w:t xml:space="preserve">Dépannage</w:t>
      </w:r>
      <w:r>
        <w:t xml:space="preserve"> </w:t>
      </w:r>
      <w:r>
        <w:t xml:space="preserve">: si ta note dépasse largement dix lignes ou reste truffée de jargon, relis-la en te demandant si un directeur financier (comme dans l’exercice 3.2 du chapitre 3) la comprendrait sans devoir te reposer de questions.</w:t>
      </w:r>
    </w:p>
    <w:bookmarkEnd w:id="163"/>
    <w:bookmarkStart w:id="164" w:name="erreurs-fréquentes-5"/>
    <w:p>
      <w:pPr>
        <w:pStyle w:val="Heading2"/>
      </w:pPr>
      <w:r>
        <w:t xml:space="preserve">Erreurs fréquentes</w:t>
      </w:r>
    </w:p>
    <w:p>
      <w:pPr>
        <w:pStyle w:val="FirstParagraph"/>
      </w:pPr>
      <w:r>
        <w:t xml:space="preserve">⚠️ Erreur n°1 — croire qu’une coupure réseau bloque l’authentification locale</w:t>
      </w:r>
      <w:r>
        <w:t xml:space="preserve"> </w:t>
      </w:r>
      <w:r>
        <w:t xml:space="preserve">C’est exactement la confusion du DSI au début de ce chapitre. Le modèle multi-maître garantit que chaque site continue de fonctionner localement pendant une coupure — la coupure retarde uniquement la synchronisation entre sites, elle ne bloque pas le travail local.</w:t>
      </w:r>
    </w:p>
    <w:p>
      <w:pPr>
        <w:pStyle w:val="BodyText"/>
      </w:pPr>
      <w:r>
        <w:t xml:space="preserve">⚠️ Erreur n°2 — ignorer les alertes de réplication tant qu’aucun incident visible ne survient</w:t>
      </w:r>
      <w:r>
        <w:t xml:space="preserve"> </w:t>
      </w:r>
      <w:r>
        <w:t xml:space="preserve">Un échec de réplication silencieux peut s’accumuler pendant des semaines sans symptôme visible pour les utilisateurs (grâce, justement, au modèle multi-maître qui masque le problème localement) — jusqu’à ce que la limite des 60 jours (section 6.6) transforme un problème mineur en reconstruction complète d’un contrôleur. La supervision proactive (chapitre 1, section 1.4) s’applique directement ici.</w:t>
      </w:r>
    </w:p>
    <w:p>
      <w:pPr>
        <w:pStyle w:val="BodyText"/>
      </w:pPr>
      <w:r>
        <w:t xml:space="preserve">⚠️ Erreur n°3 — n’avoir qu’un seul contrôleur de domaine par site critique</w:t>
      </w:r>
      <w:r>
        <w:t xml:space="preserve"> </w:t>
      </w:r>
      <w:r>
        <w:t xml:space="preserve">Comme vu en section 6.5, cette architecture résout la latence mais pas la tolérance de panne matérielle — une confusion fréquente entre les deux problèmes, pourtant distincts.</w:t>
      </w:r>
    </w:p>
    <w:bookmarkEnd w:id="164"/>
    <w:bookmarkStart w:id="165" w:name="X760939ef121376bf9982592bb19c7e96aadef90"/>
    <w:p>
      <w:pPr>
        <w:pStyle w:val="Heading2"/>
      </w:pPr>
      <w:r>
        <w:t xml:space="preserve">Diagnostiquer un problème de réplication</w:t>
      </w:r>
    </w:p>
    <w:p>
      <w:pPr>
        <w:pStyle w:val="FirstParagraph"/>
      </w:pPr>
      <w:r>
        <w:t xml:space="preserve">🩺 Situation :</w:t>
      </w:r>
      <w:r>
        <w:t xml:space="preserve"> </w:t>
      </w:r>
      <w:r>
        <w:t xml:space="preserve">“Un changement effectué sur un site n’apparaît pas encore sur l’autre”</w:t>
      </w:r>
    </w:p>
    <w:p>
      <w:pPr>
        <w:pStyle w:val="Compact"/>
        <w:numPr>
          <w:ilvl w:val="0"/>
          <w:numId w:val="1136"/>
        </w:numPr>
      </w:pPr>
      <w:r>
        <w:rPr>
          <w:b/>
          <w:bCs/>
        </w:rPr>
        <w:t xml:space="preserve">Diagnostic</w:t>
      </w:r>
      <w:r>
        <w:t xml:space="preserve"> </w:t>
      </w:r>
      <w:r>
        <w:t xml:space="preserve">: vérifie d’abord depuis combien de temps ce changement a été effectué, et compare ce délai à la fréquence de réplication planifiée entre les deux sites (section 6.2) — un délai inférieur à la fréquence planifiée est normal, pas un dysfonctionnement.</w:t>
      </w:r>
    </w:p>
    <w:p>
      <w:pPr>
        <w:pStyle w:val="Compact"/>
        <w:numPr>
          <w:ilvl w:val="0"/>
          <w:numId w:val="1136"/>
        </w:numPr>
      </w:pPr>
      <w:r>
        <w:rPr>
          <w:b/>
          <w:bCs/>
        </w:rPr>
        <w:t xml:space="preserve">Comment vérifier</w:t>
      </w:r>
      <w:r>
        <w:t xml:space="preserve"> </w:t>
      </w:r>
      <w:r>
        <w:t xml:space="preserve">: utilise</w:t>
      </w:r>
      <w:r>
        <w:t xml:space="preserve"> </w:t>
      </w:r>
      <w:r>
        <w:rPr>
          <w:rStyle w:val="VerbatimChar"/>
        </w:rPr>
        <w:t xml:space="preserve">repadmin /showrepl</w:t>
      </w:r>
      <w:r>
        <w:t xml:space="preserve"> </w:t>
      </w:r>
      <w:r>
        <w:t xml:space="preserve">(section 6.6) pour confirmer l’heure de la dernière réplication réussie entre les deux contrôleurs concernés.</w:t>
      </w:r>
    </w:p>
    <w:p>
      <w:pPr>
        <w:pStyle w:val="Compact"/>
        <w:numPr>
          <w:ilvl w:val="0"/>
          <w:numId w:val="1136"/>
        </w:numPr>
      </w:pPr>
      <w:r>
        <w:rPr>
          <w:b/>
          <w:bCs/>
        </w:rPr>
        <w:t xml:space="preserve">Résolution</w:t>
      </w:r>
      <w:r>
        <w:t xml:space="preserve"> </w:t>
      </w:r>
      <w:r>
        <w:t xml:space="preserve">: si le délai dépasse largement la planification normale, force une réplication manuelle avec</w:t>
      </w:r>
      <w:r>
        <w:t xml:space="preserve"> </w:t>
      </w:r>
      <w:r>
        <w:rPr>
          <w:rStyle w:val="VerbatimChar"/>
        </w:rPr>
        <w:t xml:space="preserve">repadmin /replicate</w:t>
      </w:r>
      <w:r>
        <w:t xml:space="preserve"> </w:t>
      </w:r>
      <w:r>
        <w:t xml:space="preserve">pour confirmer si le problème est temporaire (résolu par la tentative forcée) ou persistant (nécessitant une investigation plus poussée, par exemple un problème réseau sous-jacent à signaler à l’administrateur réseau, chapitre 1 section 1.2).</w:t>
      </w:r>
    </w:p>
    <w:bookmarkEnd w:id="165"/>
    <w:bookmarkStart w:id="166" w:name="en-entreprise-5"/>
    <w:p>
      <w:pPr>
        <w:pStyle w:val="Heading2"/>
      </w:pPr>
      <w:r>
        <w:t xml:space="preserve">En entreprise</w:t>
      </w:r>
    </w:p>
    <w:p>
      <w:pPr>
        <w:pStyle w:val="Compact"/>
        <w:numPr>
          <w:ilvl w:val="0"/>
          <w:numId w:val="1137"/>
        </w:numPr>
      </w:pPr>
      <w:r>
        <w:rPr>
          <w:b/>
          <w:bCs/>
        </w:rPr>
        <w:t xml:space="preserve">Bonne pratique répandue</w:t>
      </w:r>
      <w:r>
        <w:t xml:space="preserve"> </w:t>
      </w:r>
      <w:r>
        <w:t xml:space="preserve">: surveiller activement la santé de la réplication via des outils dédiés (approfondi en Partie 10), plutôt que d’attendre qu’un symptôme visible signale un problème déjà ancien.</w:t>
      </w:r>
    </w:p>
    <w:p>
      <w:pPr>
        <w:pStyle w:val="Compact"/>
        <w:numPr>
          <w:ilvl w:val="0"/>
          <w:numId w:val="1137"/>
        </w:numPr>
      </w:pPr>
      <w:r>
        <w:rPr>
          <w:b/>
          <w:bCs/>
        </w:rPr>
        <w:t xml:space="preserve">Bonne pratique répandue</w:t>
      </w:r>
      <w:r>
        <w:t xml:space="preserve"> </w:t>
      </w:r>
      <w:r>
        <w:t xml:space="preserve">: documenter la fréquence de réplication choisie pour chaque lien de site, et la raison de ce choix (chapitre 3) — une valeur laissée par défaut sans réflexion explicite est un signe de configuration non maîtrisée.</w:t>
      </w:r>
    </w:p>
    <w:p>
      <w:pPr>
        <w:pStyle w:val="Compact"/>
        <w:numPr>
          <w:ilvl w:val="0"/>
          <w:numId w:val="1137"/>
        </w:numPr>
      </w:pPr>
      <w:r>
        <w:rPr>
          <w:b/>
          <w:bCs/>
        </w:rPr>
        <w:t xml:space="preserve">Erreur classique observée</w:t>
      </w:r>
      <w:r>
        <w:t xml:space="preserve"> </w:t>
      </w:r>
      <w:r>
        <w:t xml:space="preserve">: une organisation qui découvre l’existence de conflits de réplication accumulés uniquement lors d’un audit de sécurité, faute d’alerte automatisée configurée en amont.</w:t>
      </w:r>
    </w:p>
    <w:bookmarkEnd w:id="166"/>
    <w:bookmarkStart w:id="167" w:name="entretien-technique-5"/>
    <w:p>
      <w:pPr>
        <w:pStyle w:val="Heading2"/>
      </w:pPr>
      <w:r>
        <w:t xml:space="preserve">Entretien technique</w:t>
      </w:r>
    </w:p>
    <w:p>
      <w:pPr>
        <w:pStyle w:val="FirstParagraph"/>
      </w:pPr>
      <w:r>
        <w:t xml:space="preserve">💼 Questions fréquemment posées en entretien</w:t>
      </w:r>
    </w:p>
    <w:p>
      <w:pPr>
        <w:pStyle w:val="BodyText"/>
      </w:pPr>
      <w:r>
        <w:rPr>
          <w:b/>
          <w:bCs/>
        </w:rPr>
        <w:t xml:space="preserve">Q1.</w:t>
      </w:r>
      <w:r>
        <w:rPr>
          <w:b/>
          <w:bCs/>
        </w:rPr>
        <w:t xml:space="preserve"> </w:t>
      </w:r>
      <w:r>
        <w:rPr>
          <w:b/>
          <w:bCs/>
        </w:rPr>
        <w:t xml:space="preserve">“Que se passe-t-il si le lien réseau entre deux sites Active Directory tombe pendant plusieurs heures ?”</w:t>
      </w:r>
      <w:r>
        <w:t xml:space="preserve"> </w:t>
      </w:r>
      <w:r>
        <w:t xml:space="preserve">Réponse attendue : chaque site continue de fonctionner normalement en local grâce au modèle multi-maître, l’authentification et les opérations quotidiennes ne sont pas interrompues. Seule la synchronisation des changements entre sites est retardée, et reprend automatiquement dès que la liaison est rétablie, sans action manuelle nécessaire dans la majorité des cas.</w:t>
      </w:r>
    </w:p>
    <w:p>
      <w:pPr>
        <w:pStyle w:val="BodyText"/>
      </w:pPr>
      <w:r>
        <w:rPr>
          <w:b/>
          <w:bCs/>
        </w:rPr>
        <w:t xml:space="preserve">Q2.</w:t>
      </w:r>
      <w:r>
        <w:rPr>
          <w:b/>
          <w:bCs/>
        </w:rPr>
        <w:t xml:space="preserve"> </w:t>
      </w:r>
      <w:r>
        <w:rPr>
          <w:b/>
          <w:bCs/>
        </w:rPr>
        <w:t xml:space="preserve">“Comment Active Directory gère-t-il un conflit de création simultanée du même nom d’objet sur deux contrôleurs différents ?”</w:t>
      </w:r>
      <w:r>
        <w:t xml:space="preserve"> </w:t>
      </w:r>
      <w:r>
        <w:t xml:space="preserve">Réponse attendue : le conflit est détecté au moment de la réplication via un identifiant unique interne ; l’un des deux objets est automatiquement renommé (jamais fusionné ou supprimé silencieusement), permettant à un administrateur de repérer et corriger la situation après coup.</w:t>
      </w:r>
    </w:p>
    <w:p>
      <w:pPr>
        <w:pStyle w:val="BodyText"/>
      </w:pPr>
      <w:r>
        <w:rPr>
          <w:b/>
          <w:bCs/>
        </w:rPr>
        <w:t xml:space="preserve">Q3.</w:t>
      </w:r>
      <w:r>
        <w:rPr>
          <w:b/>
          <w:bCs/>
        </w:rPr>
        <w:t xml:space="preserve"> </w:t>
      </w:r>
      <w:r>
        <w:rPr>
          <w:b/>
          <w:bCs/>
        </w:rPr>
        <w:t xml:space="preserve">“Pourquoi un seul contrôleur de domaine par site ne suffit-il pas à garantir une vraie tolérance de panne ?”</w:t>
      </w:r>
      <w:r>
        <w:t xml:space="preserve"> </w:t>
      </w:r>
      <w:r>
        <w:t xml:space="preserve">Réponse attendue : parce qu’il résout uniquement le problème de latence réseau (authentification locale plutôt que distante), mais reste un point de défaillance unique en cas de panne matérielle propre à ce contrôleur — un second contrôleur par site critique est nécessaire pour couvrir ce risque distinct.</w:t>
      </w:r>
    </w:p>
    <w:bookmarkEnd w:id="167"/>
    <w:bookmarkStart w:id="168" w:name="X6f2b23eed830e318159d33ce16302db1ab746ff"/>
    <w:p>
      <w:pPr>
        <w:pStyle w:val="Heading2"/>
      </w:pPr>
      <w:r>
        <w:t xml:space="preserve">Optimisation, sécurité et maintenabilité — les réflexes dès ce chapitre</w:t>
      </w:r>
    </w:p>
    <w:p>
      <w:pPr>
        <w:pStyle w:val="FirstParagraph"/>
      </w:pPr>
      <w:r>
        <w:t xml:space="preserve">🔒 Sécurité</w:t>
      </w:r>
      <w:r>
        <w:t xml:space="preserve"> </w:t>
      </w:r>
      <w:r>
        <w:t xml:space="preserve">Traite tout conflit de réplication détecté comme un événement à investiguer, pas seulement à corriger silencieusement — un volume anormalement élevé de conflits peut être le signe d’un problème réseau récurrent non résolu, ou plus rarement d’une activité suspecte à corréler avec d’autres journaux de sécurité (Partie 12).</w:t>
      </w:r>
    </w:p>
    <w:p>
      <w:pPr>
        <w:pStyle w:val="BodyText"/>
      </w:pPr>
      <w:r>
        <w:t xml:space="preserve">✅ Maintenabilité</w:t>
      </w:r>
      <w:r>
        <w:t xml:space="preserve"> </w:t>
      </w:r>
      <w:r>
        <w:t xml:space="preserve">Documente, pour chaque site, le nombre de contrôleurs de domaine, la fréquence de réplication configurée avec les autres sites, et la procédure à suivre en cas d’échec de réplication prolongé — exactement le type de runbook décrit au chapitre 3.</w:t>
      </w:r>
    </w:p>
    <w:p>
      <w:pPr>
        <w:pStyle w:val="BodyText"/>
      </w:pPr>
      <w:r>
        <w:t xml:space="preserve">🚀 Performance</w:t>
      </w:r>
      <w:r>
        <w:t xml:space="preserve"> </w:t>
      </w:r>
      <w:r>
        <w:t xml:space="preserve">Une réplication correctement dimensionnée (ni trop fréquente pour une liaison faible, ni trop rare pour les besoins de fraîcheur réels) réduit à la fois la charge réseau inutile et le risque de conflits liés à de longues périodes de désynchronisation — un équilibre à revoir périodiquement à mesure que l’organisation grandit, pas une configuration figée une fois pour toutes.</w:t>
      </w:r>
    </w:p>
    <w:bookmarkEnd w:id="168"/>
    <w:bookmarkStart w:id="169" w:name="résumé-du-chapitre-5"/>
    <w:p>
      <w:pPr>
        <w:pStyle w:val="Heading2"/>
      </w:pPr>
      <w:r>
        <w:t xml:space="preserve">Résumé du chapitre</w:t>
      </w:r>
    </w:p>
    <w:p>
      <w:pPr>
        <w:pStyle w:val="Compact"/>
        <w:numPr>
          <w:ilvl w:val="0"/>
          <w:numId w:val="1138"/>
        </w:numPr>
      </w:pPr>
      <w:r>
        <w:t xml:space="preserve">Active Directory utilise un modèle multi-maître : chaque contrôleur de domaine accepte des écritures de façon autonome, sans dépendre d’un serveur central.</w:t>
      </w:r>
    </w:p>
    <w:p>
      <w:pPr>
        <w:pStyle w:val="Compact"/>
        <w:numPr>
          <w:ilvl w:val="0"/>
          <w:numId w:val="1138"/>
        </w:numPr>
      </w:pPr>
      <w:r>
        <w:t xml:space="preserve">La réplication au sein d’un même site est quasi immédiate ; entre sites différents, elle suit une planification adaptée à la qualité de la liaison réseau.</w:t>
      </w:r>
    </w:p>
    <w:p>
      <w:pPr>
        <w:pStyle w:val="Compact"/>
        <w:numPr>
          <w:ilvl w:val="0"/>
          <w:numId w:val="1138"/>
        </w:numPr>
      </w:pPr>
      <w:r>
        <w:t xml:space="preserve">Une coupure réseau entre deux sites n’empêche pas l’authentification locale de continuer normalement — elle retarde seulement la synchronisation des changements.</w:t>
      </w:r>
    </w:p>
    <w:p>
      <w:pPr>
        <w:pStyle w:val="Compact"/>
        <w:numPr>
          <w:ilvl w:val="0"/>
          <w:numId w:val="1138"/>
        </w:numPr>
      </w:pPr>
      <w:r>
        <w:t xml:space="preserve">Un conflit de création simultanée du même nom d’objet est automatiquement détecté et résolu par renommage, jamais par perte silencieuse de données.</w:t>
      </w:r>
    </w:p>
    <w:p>
      <w:pPr>
        <w:pStyle w:val="Compact"/>
        <w:numPr>
          <w:ilvl w:val="0"/>
          <w:numId w:val="1138"/>
        </w:numPr>
      </w:pPr>
      <w:r>
        <w:t xml:space="preserve">La tolérance de panne matérielle (plusieurs contrôleurs par site) est un besoin distinct de la tolérance à la latence réseau (un contrôleur local par site) — les deux problèmes sont souvent confondus.</w:t>
      </w:r>
    </w:p>
    <w:p>
      <w:pPr>
        <w:pStyle w:val="Compact"/>
        <w:numPr>
          <w:ilvl w:val="0"/>
          <w:numId w:val="1138"/>
        </w:numPr>
      </w:pPr>
      <w:r>
        <w:rPr>
          <w:rStyle w:val="VerbatimChar"/>
        </w:rPr>
        <w:t xml:space="preserve">repadmin</w:t>
      </w:r>
      <w:r>
        <w:t xml:space="preserve"> </w:t>
      </w:r>
      <w:r>
        <w:t xml:space="preserve">permet de diagnostiquer et de forcer manuellement une réplication en cas de besoin.</w:t>
      </w:r>
    </w:p>
    <w:bookmarkEnd w:id="169"/>
    <w:bookmarkStart w:id="170" w:name="quiz-5"/>
    <w:p>
      <w:pPr>
        <w:pStyle w:val="Heading2"/>
      </w:pPr>
      <w:r>
        <w:t xml:space="preserve">Quiz</w:t>
      </w:r>
    </w:p>
    <w:p>
      <w:pPr>
        <w:pStyle w:val="FirstParagraph"/>
      </w:pPr>
      <w:r>
        <w:t xml:space="preserve">📝 QCM (une seule bonne réponse par question)</w:t>
      </w:r>
    </w:p>
    <w:p>
      <w:pPr>
        <w:pStyle w:val="Compact"/>
        <w:numPr>
          <w:ilvl w:val="0"/>
          <w:numId w:val="1139"/>
        </w:numPr>
      </w:pPr>
      <w:r>
        <w:t xml:space="preserve">Le modèle de réplication d’Active Directory est :</w:t>
      </w:r>
    </w:p>
    <w:p>
      <w:pPr>
        <w:pStyle w:val="Compact"/>
        <w:numPr>
          <w:ilvl w:val="1"/>
          <w:numId w:val="1140"/>
        </w:numPr>
      </w:pPr>
    </w:p>
    <w:p>
      <w:pPr>
        <w:pStyle w:val="Compact"/>
        <w:numPr>
          <w:ilvl w:val="2"/>
          <w:numId w:val="1141"/>
        </w:numPr>
      </w:pPr>
      <w:r>
        <w:t xml:space="preserve">Maître-esclave, un seul contrôleur accepte les écritures</w:t>
      </w:r>
    </w:p>
    <w:p>
      <w:pPr>
        <w:pStyle w:val="Compact"/>
        <w:numPr>
          <w:ilvl w:val="1"/>
          <w:numId w:val="1140"/>
        </w:numPr>
      </w:pPr>
    </w:p>
    <w:p>
      <w:pPr>
        <w:pStyle w:val="Compact"/>
        <w:numPr>
          <w:ilvl w:val="2"/>
          <w:numId w:val="1142"/>
        </w:numPr>
      </w:pPr>
      <w:r>
        <w:t xml:space="preserve">Multi-maître, chaque contrôleur accepte les écritures</w:t>
      </w:r>
    </w:p>
    <w:p>
      <w:pPr>
        <w:pStyle w:val="Compact"/>
        <w:numPr>
          <w:ilvl w:val="1"/>
          <w:numId w:val="1140"/>
        </w:numPr>
      </w:pPr>
    </w:p>
    <w:p>
      <w:pPr>
        <w:pStyle w:val="Compact"/>
        <w:numPr>
          <w:ilvl w:val="2"/>
          <w:numId w:val="1143"/>
        </w:numPr>
      </w:pPr>
      <w:r>
        <w:t xml:space="preserve">Sans réplication, chaque contrôleur est indépendant</w:t>
      </w:r>
    </w:p>
    <w:p>
      <w:pPr>
        <w:pStyle w:val="Compact"/>
        <w:numPr>
          <w:ilvl w:val="1"/>
          <w:numId w:val="1140"/>
        </w:numPr>
      </w:pPr>
    </w:p>
    <w:p>
      <w:pPr>
        <w:pStyle w:val="Compact"/>
        <w:numPr>
          <w:ilvl w:val="2"/>
          <w:numId w:val="1144"/>
        </w:numPr>
      </w:pPr>
      <w:r>
        <w:t xml:space="preserve">Basé uniquement sur une synchronisation manuelle</w:t>
      </w:r>
    </w:p>
    <w:p>
      <w:pPr>
        <w:pStyle w:val="Compact"/>
        <w:numPr>
          <w:ilvl w:val="0"/>
          <w:numId w:val="1139"/>
        </w:numPr>
      </w:pPr>
      <w:r>
        <w:t xml:space="preserve">Que se passe-t-il si deux objets portant le même nom sont créés sur deux contrôleurs différents pendant une coupure réseau ?</w:t>
      </w:r>
    </w:p>
    <w:p>
      <w:pPr>
        <w:pStyle w:val="Compact"/>
        <w:numPr>
          <w:ilvl w:val="1"/>
          <w:numId w:val="1145"/>
        </w:numPr>
      </w:pPr>
    </w:p>
    <w:p>
      <w:pPr>
        <w:pStyle w:val="Compact"/>
        <w:numPr>
          <w:ilvl w:val="2"/>
          <w:numId w:val="1146"/>
        </w:numPr>
      </w:pPr>
      <w:r>
        <w:t xml:space="preserve">Le second écrase silencieusement le premier</w:t>
      </w:r>
    </w:p>
    <w:p>
      <w:pPr>
        <w:pStyle w:val="Compact"/>
        <w:numPr>
          <w:ilvl w:val="1"/>
          <w:numId w:val="1145"/>
        </w:numPr>
      </w:pPr>
    </w:p>
    <w:p>
      <w:pPr>
        <w:pStyle w:val="Compact"/>
        <w:numPr>
          <w:ilvl w:val="2"/>
          <w:numId w:val="1147"/>
        </w:numPr>
      </w:pPr>
      <w:r>
        <w:t xml:space="preserve">Une erreur bloque toute réplication future</w:t>
      </w:r>
    </w:p>
    <w:p>
      <w:pPr>
        <w:pStyle w:val="Compact"/>
        <w:numPr>
          <w:ilvl w:val="1"/>
          <w:numId w:val="1145"/>
        </w:numPr>
      </w:pPr>
    </w:p>
    <w:p>
      <w:pPr>
        <w:pStyle w:val="Compact"/>
        <w:numPr>
          <w:ilvl w:val="2"/>
          <w:numId w:val="1148"/>
        </w:numPr>
      </w:pPr>
      <w:r>
        <w:t xml:space="preserve">Le conflit est détecté et l’un des deux objets est automatiquement renommé</w:t>
      </w:r>
    </w:p>
    <w:p>
      <w:pPr>
        <w:pStyle w:val="Compact"/>
        <w:numPr>
          <w:ilvl w:val="1"/>
          <w:numId w:val="1145"/>
        </w:numPr>
      </w:pPr>
    </w:p>
    <w:p>
      <w:pPr>
        <w:pStyle w:val="Compact"/>
        <w:numPr>
          <w:ilvl w:val="2"/>
          <w:numId w:val="1149"/>
        </w:numPr>
      </w:pPr>
      <w:r>
        <w:t xml:space="preserve">Les deux objets fusionnent automatiquement</w:t>
      </w:r>
    </w:p>
    <w:p>
      <w:pPr>
        <w:pStyle w:val="Compact"/>
        <w:numPr>
          <w:ilvl w:val="0"/>
          <w:numId w:val="1139"/>
        </w:numPr>
      </w:pPr>
      <w:r>
        <w:t xml:space="preserve">Un seul contrôleur de domaine par site garantit :</w:t>
      </w:r>
    </w:p>
    <w:p>
      <w:pPr>
        <w:pStyle w:val="Compact"/>
        <w:numPr>
          <w:ilvl w:val="1"/>
          <w:numId w:val="1150"/>
        </w:numPr>
      </w:pPr>
    </w:p>
    <w:p>
      <w:pPr>
        <w:pStyle w:val="Compact"/>
        <w:numPr>
          <w:ilvl w:val="2"/>
          <w:numId w:val="1151"/>
        </w:numPr>
      </w:pPr>
      <w:r>
        <w:t xml:space="preserve">Une tolérance complète aux pannes matérielles et réseau</w:t>
      </w:r>
    </w:p>
    <w:p>
      <w:pPr>
        <w:pStyle w:val="Compact"/>
        <w:numPr>
          <w:ilvl w:val="1"/>
          <w:numId w:val="1150"/>
        </w:numPr>
      </w:pPr>
    </w:p>
    <w:p>
      <w:pPr>
        <w:pStyle w:val="Compact"/>
        <w:numPr>
          <w:ilvl w:val="2"/>
          <w:numId w:val="1152"/>
        </w:numPr>
      </w:pPr>
      <w:r>
        <w:t xml:space="preserve">Une authentification locale, mais pas de tolérance à une panne matérielle de ce contrôleur</w:t>
      </w:r>
    </w:p>
    <w:p>
      <w:pPr>
        <w:pStyle w:val="Compact"/>
        <w:numPr>
          <w:ilvl w:val="1"/>
          <w:numId w:val="1150"/>
        </w:numPr>
      </w:pPr>
    </w:p>
    <w:p>
      <w:pPr>
        <w:pStyle w:val="Compact"/>
        <w:numPr>
          <w:ilvl w:val="2"/>
          <w:numId w:val="1153"/>
        </w:numPr>
      </w:pPr>
      <w:r>
        <w:t xml:space="preserve">Aucune amélioration par rapport à l’absence de contrôleur local</w:t>
      </w:r>
    </w:p>
    <w:p>
      <w:pPr>
        <w:pStyle w:val="Compact"/>
        <w:numPr>
          <w:ilvl w:val="1"/>
          <w:numId w:val="1150"/>
        </w:numPr>
      </w:pPr>
    </w:p>
    <w:p>
      <w:pPr>
        <w:pStyle w:val="Compact"/>
        <w:numPr>
          <w:ilvl w:val="2"/>
          <w:numId w:val="1154"/>
        </w:numPr>
      </w:pPr>
      <w:r>
        <w:t xml:space="preserve">Une réplication instantanée avec tous les autres sites</w:t>
      </w:r>
    </w:p>
    <w:p>
      <w:pPr>
        <w:pStyle w:val="FirstParagraph"/>
      </w:pPr>
      <w:r>
        <w:rPr>
          <w:b/>
          <w:bCs/>
        </w:rPr>
        <w:t xml:space="preserve">Corrigé</w:t>
      </w:r>
      <w:r>
        <w:t xml:space="preserve"> </w:t>
      </w:r>
      <w:r>
        <w:t xml:space="preserve">: 1-b, 2-c, 3-b.</w:t>
      </w:r>
    </w:p>
    <w:p>
      <w:pPr>
        <w:pStyle w:val="BodyText"/>
      </w:pPr>
      <w:r>
        <w:t xml:space="preserve">📝 Vrai ou Faux</w:t>
      </w:r>
    </w:p>
    <w:p>
      <w:pPr>
        <w:pStyle w:val="Compact"/>
        <w:numPr>
          <w:ilvl w:val="0"/>
          <w:numId w:val="1155"/>
        </w:numPr>
      </w:pPr>
      <w:r>
        <w:t xml:space="preserve">Une coupure réseau entre deux sites Active Directory empêche les utilisateurs locaux de s’authentifier. —</w:t>
      </w:r>
      <w:r>
        <w:t xml:space="preserve"> </w:t>
      </w:r>
      <w:r>
        <w:rPr>
          <w:b/>
          <w:bCs/>
        </w:rPr>
        <w:t xml:space="preserve">Faux</w:t>
      </w:r>
      <w:r>
        <w:t xml:space="preserve"> </w:t>
      </w:r>
      <w:r>
        <w:t xml:space="preserve">(le modèle multi-maître permet une authentification locale continue).</w:t>
      </w:r>
    </w:p>
    <w:p>
      <w:pPr>
        <w:pStyle w:val="Compact"/>
        <w:numPr>
          <w:ilvl w:val="0"/>
          <w:numId w:val="1155"/>
        </w:numPr>
      </w:pPr>
      <w:r>
        <w:t xml:space="preserve">Un conflit de réplication peut entraîner la perte silencieuse d’un des deux objets en conflit. —</w:t>
      </w:r>
      <w:r>
        <w:t xml:space="preserve"> </w:t>
      </w:r>
      <w:r>
        <w:rPr>
          <w:b/>
          <w:bCs/>
        </w:rPr>
        <w:t xml:space="preserve">Faux</w:t>
      </w:r>
      <w:r>
        <w:t xml:space="preserve"> </w:t>
      </w:r>
      <w:r>
        <w:t xml:space="preserve">(l’un des deux est renommé automatiquement, jamais supprimé silencieusement).</w:t>
      </w:r>
    </w:p>
    <w:p>
      <w:pPr>
        <w:pStyle w:val="Compact"/>
        <w:numPr>
          <w:ilvl w:val="0"/>
          <w:numId w:val="1155"/>
        </w:numPr>
      </w:pPr>
      <w:r>
        <w:t xml:space="preserve">La réplication au sein d’un même site est généralement plus rapide qu’entre deux sites différents. —</w:t>
      </w:r>
      <w:r>
        <w:t xml:space="preserve"> </w:t>
      </w:r>
      <w:r>
        <w:rPr>
          <w:b/>
          <w:bCs/>
        </w:rPr>
        <w:t xml:space="preserve">Vrai</w:t>
      </w:r>
      <w:r>
        <w:t xml:space="preserve">.</w:t>
      </w:r>
    </w:p>
    <w:p>
      <w:pPr>
        <w:pStyle w:val="Compact"/>
        <w:numPr>
          <w:ilvl w:val="0"/>
          <w:numId w:val="1155"/>
        </w:numPr>
      </w:pPr>
      <w:r>
        <w:rPr>
          <w:rStyle w:val="VerbatimChar"/>
        </w:rPr>
        <w:t xml:space="preserve">repadmin</w:t>
      </w:r>
      <w:r>
        <w:t xml:space="preserve"> </w:t>
      </w:r>
      <w:r>
        <w:t xml:space="preserve">permet de diagnostiquer et de forcer une réplication manuelle entre deux contrôleurs. —</w:t>
      </w:r>
      <w:r>
        <w:t xml:space="preserve"> </w:t>
      </w:r>
      <w:r>
        <w:rPr>
          <w:b/>
          <w:bCs/>
        </w:rPr>
        <w:t xml:space="preserve">Vrai</w:t>
      </w:r>
      <w:r>
        <w:t xml:space="preserve">.</w:t>
      </w:r>
    </w:p>
    <w:p>
      <w:pPr>
        <w:pStyle w:val="FirstParagraph"/>
      </w:pPr>
      <w:r>
        <w:t xml:space="preserve">📝 Questions ouvertes</w:t>
      </w:r>
    </w:p>
    <w:p>
      <w:pPr>
        <w:pStyle w:val="Compact"/>
        <w:numPr>
          <w:ilvl w:val="0"/>
          <w:numId w:val="1156"/>
        </w:numPr>
      </w:pPr>
      <w:r>
        <w:t xml:space="preserve">Explique, avec tes propres mots, pourquoi le modèle multi-maître d’Active Directory est particulièrement adapté à un pays où les coupures réseau et électriques sont fréquentes.</w:t>
      </w:r>
    </w:p>
    <w:p>
      <w:pPr>
        <w:pStyle w:val="Compact"/>
        <w:numPr>
          <w:ilvl w:val="0"/>
          <w:numId w:val="1156"/>
        </w:numPr>
      </w:pPr>
      <w:r>
        <w:t xml:space="preserve">Un collègue affirme :</w:t>
      </w:r>
      <w:r>
        <w:t xml:space="preserve"> </w:t>
      </w:r>
      <w:r>
        <w:t xml:space="preserve">“Puisqu’on a un contrôleur de domaine local à chaque site, on n’a plus besoin de se soucier des pannes.”</w:t>
      </w:r>
      <w:r>
        <w:t xml:space="preserve"> </w:t>
      </w:r>
      <w:r>
        <w:t xml:space="preserve">Corrige cette affirmation en t’appuyant sur la section 6.5.</w:t>
      </w:r>
    </w:p>
    <w:p>
      <w:pPr>
        <w:pStyle w:val="FirstParagraph"/>
      </w:pPr>
      <w:r>
        <w:rPr>
          <w:b/>
          <w:bCs/>
        </w:rPr>
        <w:t xml:space="preserve">Corrigé 1</w:t>
      </w:r>
      <w:r>
        <w:t xml:space="preserve"> </w:t>
      </w:r>
      <w:r>
        <w:t xml:space="preserve">: le modèle multi-maître permet à chaque site de continuer à fonctionner de façon totalement autonome pendant une coupure réseau, sans dépendre d’un contact permanent avec un site distant — une propriété particulièrement précieuse dans un contexte comme celui d’Haïti, où les coupures réseau et électriques (chapitre 1, plan du manuel) sont une réalité opérationnelle fréquente plutôt qu’une exception rare à gérer occasionnellement.</w:t>
      </w:r>
    </w:p>
    <w:p>
      <w:pPr>
        <w:pStyle w:val="BodyText"/>
      </w:pPr>
      <w:r>
        <w:rPr>
          <w:b/>
          <w:bCs/>
        </w:rPr>
        <w:t xml:space="preserve">Corrigé 2</w:t>
      </w:r>
      <w:r>
        <w:t xml:space="preserve"> </w:t>
      </w:r>
      <w:r>
        <w:t xml:space="preserve">: un contrôleur local par site (chapitre 5) résout uniquement le problème de latence réseau — il ne protège pas contre une panne matérielle de ce contrôleur précis. Sans un second contrôleur par site critique, une panne matérielle locale prive quand même le site d’authentification locale, malgré la présence d’un contrôleur</w:t>
      </w:r>
      <w:r>
        <w:t xml:space="preserve"> </w:t>
      </w:r>
      <w:r>
        <w:t xml:space="preserve">“local”</w:t>
      </w:r>
      <w:r>
        <w:t xml:space="preserve">. La tolérance de panne réseau et la tolérance de panne matérielle sont deux problèmes distincts, qui demandent chacun leur propre solution.</w:t>
      </w:r>
    </w:p>
    <w:bookmarkEnd w:id="170"/>
    <w:bookmarkStart w:id="171" w:name="exercices-5"/>
    <w:p>
      <w:pPr>
        <w:pStyle w:val="Heading2"/>
      </w:pPr>
      <w:r>
        <w:t xml:space="preserve">Exercices</w:t>
      </w:r>
    </w:p>
    <w:p>
      <w:pPr>
        <w:pStyle w:val="FirstParagraph"/>
      </w:pPr>
      <w:r>
        <w:t xml:space="preserve">📝 Exercice 6.1</w:t>
      </w:r>
    </w:p>
    <w:p>
      <w:pPr>
        <w:pStyle w:val="BodyText"/>
      </w:pPr>
      <w:r>
        <w:t xml:space="preserve">Explique la différence entre la fréquence de réplication au sein d’un même site et celle entre deux sites différents, et pourquoi cette différence existe.</w:t>
      </w:r>
    </w:p>
    <w:p>
      <w:pPr>
        <w:pStyle w:val="BodyText"/>
      </w:pPr>
      <w:r>
        <w:rPr>
          <w:b/>
          <w:bCs/>
        </w:rPr>
        <w:t xml:space="preserve">Corrigé :</w:t>
      </w:r>
      <w:r>
        <w:t xml:space="preserve"> </w:t>
      </w:r>
      <w:r>
        <w:t xml:space="preserve">Au sein d’un même site, la réplication est quasi immédiate (déclenchée par notification), car le réseau local est considéré rapide et fiable. Entre deux sites différents, la réplication suit une planification définie par l’administrateur (par exemple toutes les 15 minutes), pour éviter de saturer une liaison inter-sites potentiellement plus lente, plus coûteuse, ou moins fiable — un ajustement direct à la réalité physique du réseau, comme vu au chapitre 5 sur les sites Active Directory.</w:t>
      </w:r>
    </w:p>
    <w:p>
      <w:pPr>
        <w:pStyle w:val="BodyText"/>
      </w:pPr>
      <w:r>
        <w:t xml:space="preserve">📝 Exercice 6.2</w:t>
      </w:r>
    </w:p>
    <w:p>
      <w:pPr>
        <w:pStyle w:val="BodyText"/>
      </w:pPr>
      <w:r>
        <w:t xml:space="preserve">Reprends le scénario d’ouverture. Rédige, en 3 à 5 phrases, une recommandation à donner au DSI pour réduire le risque de conflit de nommage lors de futures coupures réseau prolongées, sans pour autant recommander l’ajout d’un second contrôleur (déjà couvert par la section 6.5, ici on cherche une mesure complémentaire).</w:t>
      </w:r>
    </w:p>
    <w:p>
      <w:pPr>
        <w:pStyle w:val="BodyText"/>
      </w:pPr>
      <w:r>
        <w:rPr>
          <w:b/>
          <w:bCs/>
        </w:rPr>
        <w:t xml:space="preserve">Corrigé (exemple de réponse) :</w:t>
      </w:r>
      <w:r>
        <w:t xml:space="preserve"> </w:t>
      </w:r>
      <w:r>
        <w:t xml:space="preserve">Je recommanderais de centraliser la création de nouveaux comptes utilisateurs autant que possible auprès d’une seule équipe ou d’une procédure unique (rejoignant la discipline de documentation du chapitre 3), plutôt que de laisser plusieurs administrateurs créer des comptes de façon indépendante sur des sites différents. Je proposerais aussi de vérifier, avant toute création pendant une coupure connue, si un nom similaire existe déjà localement. Enfin, je suggérerais de traiter toute coupure prolongée comme un signal pour vérifier ensuite systématiquement les journaux de réplication dès le retour de la liaison, plutôt que de supposer que tout s’est resynchronisé sans problème.</w:t>
      </w:r>
    </w:p>
    <w:bookmarkEnd w:id="171"/>
    <w:bookmarkStart w:id="172" w:name="checklist-de-fin-de-chapitre-5"/>
    <w:p>
      <w:pPr>
        <w:pStyle w:val="Heading2"/>
      </w:pPr>
      <w:r>
        <w:t xml:space="preserve">Checklist de fin de chapitre</w:t>
      </w:r>
    </w:p>
    <w:p>
      <w:pPr>
        <w:pStyle w:val="FirstParagraph"/>
      </w:pPr>
      <w:r>
        <w:t xml:space="preserve">☐ Je comprends le modèle multi-maître et pourquoi chaque contrôleur peut écrire de façon autonome.</w:t>
      </w:r>
    </w:p>
    <w:p>
      <w:pPr>
        <w:pStyle w:val="BodyText"/>
      </w:pPr>
      <w:r>
        <w:t xml:space="preserve">☐ Je sais expliquer pourquoi une coupure réseau entre sites n’empêche pas l’authentification locale.</w:t>
      </w:r>
    </w:p>
    <w:p>
      <w:pPr>
        <w:pStyle w:val="BodyText"/>
      </w:pPr>
      <w:r>
        <w:t xml:space="preserve">☐ Je comprends comment Active Directory détecte et résout un conflit de nommage.</w:t>
      </w:r>
    </w:p>
    <w:p>
      <w:pPr>
        <w:pStyle w:val="BodyText"/>
      </w:pPr>
      <w:r>
        <w:t xml:space="preserve">☐ Je sais distinguer la tolérance à la latence réseau (un contrôleur local) de la tolérance de panne matérielle (plusieurs contrôleurs par site).</w:t>
      </w:r>
    </w:p>
    <w:p>
      <w:pPr>
        <w:pStyle w:val="BodyText"/>
      </w:pPr>
      <w:r>
        <w:t xml:space="preserve">☐ Je connais l’existence et l’usage de base de</w:t>
      </w:r>
      <w:r>
        <w:t xml:space="preserve"> </w:t>
      </w:r>
      <w:r>
        <w:rPr>
          <w:rStyle w:val="VerbatimChar"/>
        </w:rPr>
        <w:t xml:space="preserve">repadmin</w:t>
      </w:r>
      <w:r>
        <w:t xml:space="preserve">.</w:t>
      </w:r>
    </w:p>
    <w:p>
      <w:pPr>
        <w:pStyle w:val="BodyText"/>
      </w:pPr>
      <w:r>
        <w:t xml:space="preserve">☐ Je sais expliquer, en langage simple, ces concepts à un responsable non technique.</w:t>
      </w:r>
    </w:p>
    <w:bookmarkEnd w:id="172"/>
    <w:bookmarkStart w:id="173" w:name="faq-5"/>
    <w:p>
      <w:pPr>
        <w:pStyle w:val="Heading2"/>
      </w:pPr>
      <w:r>
        <w:t xml:space="preserve">FAQ</w:t>
      </w:r>
    </w:p>
    <w:p>
      <w:pPr>
        <w:pStyle w:val="FirstParagraph"/>
      </w:pPr>
      <w:r>
        <w:t xml:space="preserve">Une coupure réseau de plusieurs jours entre deux sites pose-t-elle un vrai problème ?</w:t>
      </w:r>
    </w:p>
    <w:p>
      <w:pPr>
        <w:pStyle w:val="BodyText"/>
      </w:pPr>
      <w:r>
        <w:t xml:space="preserve">Le fonctionnement quotidien local reste intact bien au-delà de quelques jours, mais un délai prolongé augmente le risque de conflits de nommage (section 6.4) et retarde d’autant la propagation de changements de sécurité critiques (comme la désactivation d’un compte compromis) vers le site déconnecté — un vrai risque opérationnel à ne pas sous-estimer, même sans blocage immédiat.</w:t>
      </w:r>
    </w:p>
    <w:p>
      <w:pPr>
        <w:pStyle w:val="BodyText"/>
      </w:pPr>
      <w:r>
        <w:t xml:space="preserve">Faut-il surveiller manuellement la réplication au quotidien ?</w:t>
      </w:r>
    </w:p>
    <w:p>
      <w:pPr>
        <w:pStyle w:val="BodyText"/>
      </w:pPr>
      <w:r>
        <w:t xml:space="preserve">Non, ce n’est ni réaliste ni nécessaire à faire manuellement — un outil de supervision automatisé (Partie 10) doit alerter proactivement en cas d’échec prolongé, suivant exactement le principe de la supervision proactive du chapitre 1.</w:t>
      </w:r>
    </w:p>
    <w:p>
      <w:pPr>
        <w:pStyle w:val="BodyText"/>
      </w:pPr>
      <w:r>
        <w:t xml:space="preserve">Que devient un objet renommé automatiquement suite à un conflit ?</w:t>
      </w:r>
    </w:p>
    <w:p>
      <w:pPr>
        <w:pStyle w:val="BodyText"/>
      </w:pPr>
      <w:r>
        <w:t xml:space="preserve">Il reste pleinement fonctionnel sous son nouveau nom généré automatiquement, mais nécessite presque toujours une intervention manuelle pour être identifié, éventuellement fusionné ou supprimé proprement selon le contexte réel de la situation — jamais une action à ignorer une fois détectée.</w:t>
      </w:r>
    </w:p>
    <w:p>
      <w:pPr>
        <w:pStyle w:val="BodyText"/>
      </w:pPr>
      <w:r>
        <w:t xml:space="preserve">Le délai de 60 jours des objets</w:t>
      </w:r>
      <w:r>
        <w:t xml:space="preserve"> </w:t>
      </w:r>
      <w:r>
        <w:t xml:space="preserve">“tombstone”</w:t>
      </w:r>
      <w:r>
        <w:t xml:space="preserve"> </w:t>
      </w:r>
      <w:r>
        <w:t xml:space="preserve">est-il configurable ?</w:t>
      </w:r>
    </w:p>
    <w:p>
      <w:pPr>
        <w:pStyle w:val="BodyText"/>
      </w:pPr>
      <w:r>
        <w:t xml:space="preserve">Oui, techniquement configurable, mais rarement modifié en pratique — la valeur par défaut convient à la grande majorité des scénarios réels, et la réduire agressivement augmenterait le risque de perte de données de réplication légitimes en cas de panne prolongée mais récupérable.</w:t>
      </w:r>
    </w:p>
    <w:bookmarkEnd w:id="173"/>
    <w:bookmarkStart w:id="176" w:name="références-et-pour-aller-plus-loin-5"/>
    <w:p>
      <w:pPr>
        <w:pStyle w:val="Heading2"/>
      </w:pPr>
      <w:r>
        <w:t xml:space="preserve">Références et pour aller plus loin</w:t>
      </w:r>
    </w:p>
    <w:p>
      <w:pPr>
        <w:pStyle w:val="Compact"/>
        <w:numPr>
          <w:ilvl w:val="0"/>
          <w:numId w:val="1157"/>
        </w:numPr>
      </w:pPr>
      <w:r>
        <w:t xml:space="preserve">Microsoft Learn — Fonctionnement de la réplication Active Directory :</w:t>
      </w:r>
      <w:r>
        <w:t xml:space="preserve"> </w:t>
      </w:r>
      <w:hyperlink r:id="rId174">
        <w:r>
          <w:rPr>
            <w:rStyle w:val="Hyperlink"/>
          </w:rPr>
          <w:t xml:space="preserve">https://learn.microsoft.com/fr-fr/windows-server/identity/ad-ds/get-started/replication/active-directory-replication-concepts</w:t>
        </w:r>
      </w:hyperlink>
    </w:p>
    <w:p>
      <w:pPr>
        <w:pStyle w:val="Compact"/>
        <w:numPr>
          <w:ilvl w:val="0"/>
          <w:numId w:val="1157"/>
        </w:numPr>
      </w:pPr>
      <w:r>
        <w:t xml:space="preserve">Microsoft Learn — Référence de la commande</w:t>
      </w:r>
      <w:r>
        <w:t xml:space="preserve"> </w:t>
      </w:r>
      <w:r>
        <w:rPr>
          <w:rStyle w:val="VerbatimChar"/>
        </w:rPr>
        <w:t xml:space="preserve">repadmin</w:t>
      </w:r>
      <w:r>
        <w:t xml:space="preserve"> </w:t>
      </w:r>
      <w:r>
        <w:t xml:space="preserve">:</w:t>
      </w:r>
      <w:r>
        <w:t xml:space="preserve"> </w:t>
      </w:r>
      <w:hyperlink r:id="rId175">
        <w:r>
          <w:rPr>
            <w:rStyle w:val="Hyperlink"/>
          </w:rPr>
          <w:t xml:space="preserve">https://learn.microsoft.com/fr-fr/windows-server/administration/windows-commands/repadmin</w:t>
        </w:r>
      </w:hyperlink>
    </w:p>
    <w:p>
      <w:pPr>
        <w:pStyle w:val="FirstParagraph"/>
      </w:pPr>
      <w:r>
        <w:rPr>
          <w:i/>
          <w:iCs/>
        </w:rPr>
        <w:t xml:space="preserve">Chapitre suivant : les stratégies de groupe (GPO) avancées — comment appliquer des configurations et des politiques de sécurité de façon centralisée et ciblée à travers toute l’organisation, en s’appuyant directement sur les unités d’organisation du chapitre 5.</w:t>
      </w:r>
    </w:p>
    <w:p>
      <w:pPr>
        <w:pStyle w:val="BodyText"/>
      </w:pPr>
      <w:r>
        <w:t xml:space="preserve">CHAPITRE 7</w:t>
      </w:r>
    </w:p>
    <w:bookmarkEnd w:id="176"/>
    <w:bookmarkEnd w:id="177"/>
    <w:bookmarkStart w:id="200" w:name="group-policy-objects-gpo-avancées"/>
    <w:p>
      <w:pPr>
        <w:pStyle w:val="Heading1"/>
      </w:pPr>
      <w:r>
        <w:t xml:space="preserve">Group Policy Objects (GPO) avancées</w:t>
      </w:r>
    </w:p>
    <w:p>
      <w:pPr>
        <w:pStyle w:val="FirstParagraph"/>
      </w:pPr>
      <w:r>
        <w:t xml:space="preserve">🎯 Objectif du chapitre</w:t>
      </w:r>
      <w:r>
        <w:t xml:space="preserve"> </w:t>
      </w:r>
      <w:r>
        <w:t xml:space="preserve">Comprendre comment appliquer des configurations et des politiques de sécurité de façon centralisée à des milliers de postes et de comptes, sans intervenir manuellement sur chacun. À la fin de ce chapitre, tu sauras créer une stratégie de groupe ciblée, comprendre l’ordre de traitement LSDOU (Local, Site, Domaine, UO), diagnostiquer pourquoi une GPO ne s’applique pas comme prévu, et concevoir une structure de GPO qui reste maintenable dans le temps.</w:t>
      </w:r>
    </w:p>
    <w:p>
      <w:pPr>
        <w:pStyle w:val="BodyText"/>
      </w:pPr>
      <w:r>
        <w:t xml:space="preserve">🎬 Mise en situation</w:t>
      </w:r>
      <w:r>
        <w:t xml:space="preserve"> </w:t>
      </w:r>
      <w:r>
        <w:t xml:space="preserve">Septième semaine. Un audit de sécurité externe, commandé par la direction de la compagnie d’assurance, vient de rendre son rapport. Parmi les recommandations : verrouiller automatiquement chaque poste après 10 minutes d’inactivité, imposer une longueur minimale de mot de passe de 12 caractères, et désactiver l’exécution de scripts PowerShell non signés sur les postes du service comptabilité, particulièrement exposé aux tentatives de phishing. Le DSI te confie cette mission avec une contrainte claire :</w:t>
      </w:r>
      <w:r>
        <w:t xml:space="preserve"> </w:t>
      </w:r>
      <w:r>
        <w:t xml:space="preserve">“Je veux que ce soit appliqué automatiquement, partout où c’est pertinent, sans que quelqu’un ait à s’en souvenir manuellement sur chaque poste. Et je veux que ce soit réversible si une règle pose un problème imprévu.”</w:t>
      </w:r>
      <w:r>
        <w:t xml:space="preserve"> </w:t>
      </w:r>
      <w:r>
        <w:t xml:space="preserve">C’est exactement ce que les stratégies de groupe permettent de faire — l’objet de ce chapitre.</w:t>
      </w:r>
    </w:p>
    <w:bookmarkStart w:id="178" w:name="quest-ce-quune-gpo"/>
    <w:p>
      <w:pPr>
        <w:pStyle w:val="Heading2"/>
      </w:pPr>
      <w:r>
        <w:t xml:space="preserve">7.1 Qu’est-ce qu’une GPO</w:t>
      </w:r>
    </w:p>
    <w:p>
      <w:pPr>
        <w:pStyle w:val="FirstParagraph"/>
      </w:pPr>
      <w:r>
        <w:t xml:space="preserve">Une</w:t>
      </w:r>
      <w:r>
        <w:t xml:space="preserve"> </w:t>
      </w:r>
      <w:r>
        <w:rPr>
          <w:b/>
          <w:bCs/>
        </w:rPr>
        <w:t xml:space="preserve">stratégie de groupe</w:t>
      </w:r>
      <w:r>
        <w:t xml:space="preserve"> </w:t>
      </w:r>
      <w:r>
        <w:t xml:space="preserve">(</w:t>
      </w:r>
      <w:r>
        <w:rPr>
          <w:i/>
          <w:iCs/>
        </w:rPr>
        <w:t xml:space="preserve">Group Policy Object</w:t>
      </w:r>
      <w:r>
        <w:t xml:space="preserve">, GPO) est un ensemble de paramètres de configuration et de sécurité qu’Active Directory applique automatiquement aux ordinateurs et aux utilisateurs qu’elle cible — depuis un mot de passe minimal jusqu’au fond d’écran imposé, en passant par les scripts exécutés à l’ouverture de session ou les logiciels installés automatiquement.</w:t>
      </w:r>
    </w:p>
    <w:p>
      <w:pPr>
        <w:pStyle w:val="BodyText"/>
      </w:pPr>
      <w:r>
        <w:t xml:space="preserve">💡 Analogie — le règlement intérieur appliqué automatiquement</w:t>
      </w:r>
      <w:r>
        <w:t xml:space="preserve"> </w:t>
      </w:r>
      <w:r>
        <w:t xml:space="preserve">Une GPO fonctionne comme un règlement intérieur d’entreprise qui s’appliquerait tout seul, sans que personne n’ait besoin de le lire ou de le faire respecter manuellement : dès qu’un employé (ou un ordinateur) entre dans le</w:t>
      </w:r>
      <w:r>
        <w:t xml:space="preserve"> </w:t>
      </w:r>
      <w:r>
        <w:t xml:space="preserve">“bâtiment”</w:t>
      </w:r>
      <w:r>
        <w:t xml:space="preserve"> </w:t>
      </w:r>
      <w:r>
        <w:t xml:space="preserve">concerné (l’unité d’organisation ciblée, chapitre 5), les règles s’appliquent automatiquement — verrouillage d’écran, politique de mot de passe, restrictions logicielles — sans intervention humaine répétée poste par poste.</w:t>
      </w:r>
    </w:p>
    <w:p>
      <w:pPr>
        <w:pStyle w:val="BodyText"/>
      </w:pPr>
      <w:r>
        <w:t xml:space="preserve">📌 À retenir</w:t>
      </w:r>
      <w:r>
        <w:t xml:space="preserve"> </w:t>
      </w:r>
      <w:r>
        <w:t xml:space="preserve">Une GPO contient deux grandes catégories de paramètres, appliquées indépendamment : les paramètres</w:t>
      </w:r>
      <w:r>
        <w:t xml:space="preserve"> </w:t>
      </w:r>
      <w:r>
        <w:rPr>
          <w:b/>
          <w:bCs/>
        </w:rPr>
        <w:t xml:space="preserve">Ordinateur</w:t>
      </w:r>
      <w:r>
        <w:t xml:space="preserve"> </w:t>
      </w:r>
      <w:r>
        <w:t xml:space="preserve">(s’appliquent au démarrage de la machine, indépendamment de qui s’y connecte) et les paramètres</w:t>
      </w:r>
      <w:r>
        <w:t xml:space="preserve"> </w:t>
      </w:r>
      <w:r>
        <w:rPr>
          <w:b/>
          <w:bCs/>
        </w:rPr>
        <w:t xml:space="preserve">Utilisateur</w:t>
      </w:r>
      <w:r>
        <w:t xml:space="preserve"> </w:t>
      </w:r>
      <w:r>
        <w:t xml:space="preserve">(s’appliquent à l’ouverture de session, suivant l’utilisateur quel que soit le poste utilisé). Cette distinction détermine directement où et comment lier chaque GPO.</w:t>
      </w:r>
    </w:p>
    <w:bookmarkEnd w:id="178"/>
    <w:bookmarkStart w:id="182" w:name="lordre-de-traitement-lsdou"/>
    <w:p>
      <w:pPr>
        <w:pStyle w:val="Heading2"/>
      </w:pPr>
      <w:r>
        <w:t xml:space="preserve">7.2 L’ordre de traitement : LSDOU</w:t>
      </w:r>
    </w:p>
    <w:p>
      <w:pPr>
        <w:pStyle w:val="FirstParagraph"/>
      </w:pPr>
      <w:r>
        <w:t xml:space="preserve">Quand plusieurs GPO s’appliquent simultanément à un même objet, Active Directory les traite dans un ordre précis et prévisible, résumé par l’acronyme</w:t>
      </w:r>
      <w:r>
        <w:t xml:space="preserve"> </w:t>
      </w:r>
      <w:r>
        <w:rPr>
          <w:b/>
          <w:bCs/>
        </w:rPr>
        <w:t xml:space="preserve">LSDOU</w:t>
      </w:r>
      <w:r>
        <w:t xml:space="preserve"> </w:t>
      </w:r>
      <w:r>
        <w:t xml:space="preserve">:</w:t>
      </w:r>
    </w:p>
    <w:p>
      <w:pPr>
        <w:pStyle w:val="CaptionedFigure"/>
      </w:pPr>
      <w:r>
        <w:drawing>
          <wp:inline>
            <wp:extent cx="5334000" cy="1028240"/>
            <wp:effectExtent b="0" l="0" r="0" t="0"/>
            <wp:docPr descr="Diagramme" title="" id="180" name="Picture"/>
            <a:graphic>
              <a:graphicData uri="http://schemas.openxmlformats.org/drawingml/2006/picture">
                <pic:pic>
                  <pic:nvPicPr>
                    <pic:cNvPr descr="C:/Users/ingja/Desktop/jarvis-starter-kit/livrables/formations/manuel-administration-systeme/assets/diagrams/d-07-gpo-avancees-diagramme-1.png" id="181" name="Picture"/>
                    <pic:cNvPicPr>
                      <a:picLocks noChangeArrowheads="1" noChangeAspect="1"/>
                    </pic:cNvPicPr>
                  </pic:nvPicPr>
                  <pic:blipFill>
                    <a:blip r:embed="rId179"/>
                    <a:stretch>
                      <a:fillRect/>
                    </a:stretch>
                  </pic:blipFill>
                  <pic:spPr bwMode="auto">
                    <a:xfrm>
                      <a:off x="0" y="0"/>
                      <a:ext cx="5334000" cy="1028240"/>
                    </a:xfrm>
                    <a:prstGeom prst="rect">
                      <a:avLst/>
                    </a:prstGeom>
                    <a:noFill/>
                    <a:ln w="9525">
                      <a:noFill/>
                      <a:headEnd/>
                      <a:tailEnd/>
                    </a:ln>
                  </pic:spPr>
                </pic:pic>
              </a:graphicData>
            </a:graphic>
          </wp:inline>
        </w:drawing>
      </w:r>
    </w:p>
    <w:p>
      <w:pPr>
        <w:pStyle w:val="ImageCaption"/>
      </w:pPr>
      <w:r>
        <w:t xml:space="preserve">Diagramme</w:t>
      </w:r>
    </w:p>
    <w:p>
      <w:pPr>
        <w:pStyle w:val="BodyText"/>
      </w:pPr>
      <w:r>
        <w:t xml:space="preserve">🧠 À mémoriser — LSDOU</w:t>
      </w:r>
      <w:r>
        <w:t xml:space="preserve"> </w:t>
      </w:r>
      <w:r>
        <w:t xml:space="preserve">L</w:t>
      </w:r>
      <w:r>
        <w:t xml:space="preserve">ocal →</w:t>
      </w:r>
      <w:r>
        <w:t xml:space="preserve"> </w:t>
      </w:r>
      <w:r>
        <w:t xml:space="preserve">S</w:t>
      </w:r>
      <w:r>
        <w:t xml:space="preserve">ite →</w:t>
      </w:r>
      <w:r>
        <w:t xml:space="preserve"> </w:t>
      </w:r>
      <w:r>
        <w:t xml:space="preserve">D</w:t>
      </w:r>
      <w:r>
        <w:t xml:space="preserve">omaine →</w:t>
      </w:r>
      <w:r>
        <w:t xml:space="preserve"> </w:t>
      </w:r>
      <w:r>
        <w:t xml:space="preserve">O</w:t>
      </w:r>
      <w:r>
        <w:t xml:space="preserve">U (de la plus haute à la plus proche de l’objet). En cas de paramètre en conflit entre deux niveaux, c’est généralement le niveau</w:t>
      </w:r>
      <w:r>
        <w:t xml:space="preserve"> </w:t>
      </w:r>
      <w:r>
        <w:rPr>
          <w:b/>
          <w:bCs/>
        </w:rPr>
        <w:t xml:space="preserve">le plus proche de l’objet cible</w:t>
      </w:r>
      <w:r>
        <w:t xml:space="preserve"> </w:t>
      </w:r>
      <w:r>
        <w:t xml:space="preserve">(l’UO enfant) qui l’emporte — sauf si une GPO de niveau supérieur a été explicitement marquée</w:t>
      </w:r>
      <w:r>
        <w:t xml:space="preserve"> </w:t>
      </w:r>
      <w:r>
        <w:t xml:space="preserve">“imposée”</w:t>
      </w:r>
      <w:r>
        <w:t xml:space="preserve"> </w:t>
      </w:r>
      <w:r>
        <w:t xml:space="preserve">(</w:t>
      </w:r>
      <w:r>
        <w:rPr>
          <w:i/>
          <w:iCs/>
        </w:rPr>
        <w:t xml:space="preserve">Enforced</w:t>
      </w:r>
      <w:r>
        <w:t xml:space="preserve">).</w:t>
      </w:r>
    </w:p>
    <w:p>
      <w:pPr>
        <w:pStyle w:val="BodyText"/>
      </w:pPr>
      <w:r>
        <w:t xml:space="preserve">⚠️ Deux mécanismes qui inversent l’ordre normal : blocage et imposition</w:t>
      </w:r>
      <w:r>
        <w:t xml:space="preserve"> </w:t>
      </w:r>
      <w:r>
        <w:t xml:space="preserve">Une UO peut être configurée pour</w:t>
      </w:r>
      <w:r>
        <w:t xml:space="preserve"> </w:t>
      </w:r>
      <w:r>
        <w:rPr>
          <w:b/>
          <w:bCs/>
        </w:rPr>
        <w:t xml:space="preserve">bloquer l’héritage</w:t>
      </w:r>
      <w:r>
        <w:t xml:space="preserve"> </w:t>
      </w:r>
      <w:r>
        <w:t xml:space="preserve">des GPO venant de niveaux supérieurs — mais une GPO marquée</w:t>
      </w:r>
      <w:r>
        <w:t xml:space="preserve"> </w:t>
      </w:r>
      <w:r>
        <w:t xml:space="preserve">imposée</w:t>
      </w:r>
      <w:r>
        <w:t xml:space="preserve"> </w:t>
      </w:r>
      <w:r>
        <w:t xml:space="preserve">(</w:t>
      </w:r>
      <w:r>
        <w:rPr>
          <w:i/>
          <w:iCs/>
        </w:rPr>
        <w:t xml:space="preserve">Enforced</w:t>
      </w:r>
      <w:r>
        <w:t xml:space="preserve">) au niveau du domaine traverse quand même ce blocage et s’applique malgré tout. Ces deux mécanismes existent pour des cas légitimes (isoler une UO de test, garantir qu’une politique de sécurité critique s’applique partout sans exception), mais leur usage excessif rend rapidement le comportement réel d’une GPO imprévisible sans une documentation rigoureuse — un piège directement lié à la discipline du chapitre 3.</w:t>
      </w:r>
    </w:p>
    <w:bookmarkEnd w:id="182"/>
    <w:bookmarkStart w:id="183" w:name="X81236e0c8c90c71a11b543d83a0817def062618"/>
    <w:p>
      <w:pPr>
        <w:pStyle w:val="Heading2"/>
      </w:pPr>
      <w:r>
        <w:t xml:space="preserve">7.3 Concevoir la mission du scénario d’ouverture</w:t>
      </w:r>
    </w:p>
    <w:p>
      <w:pPr>
        <w:pStyle w:val="FirstParagraph"/>
      </w:pPr>
      <w:r>
        <w:t xml:space="preserve">Reprenons les trois exigences de l’audit de sécurité, et voyons comment les traduire en GPO distinctes plutôt qu’en une seule GPO monolithique :</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Exigence</w:t>
            </w:r>
          </w:p>
        </w:tc>
        <w:tc>
          <w:tcPr/>
          <w:p>
            <w:pPr>
              <w:pStyle w:val="Compact"/>
            </w:pPr>
            <w:r>
              <w:t xml:space="preserve">GPO dédiée</w:t>
            </w:r>
          </w:p>
        </w:tc>
        <w:tc>
          <w:tcPr/>
          <w:p>
            <w:pPr>
              <w:pStyle w:val="Compact"/>
            </w:pPr>
            <w:r>
              <w:t xml:space="preserve">Portée (liaison)</w:t>
            </w:r>
          </w:p>
        </w:tc>
      </w:tr>
      <w:tr>
        <w:tc>
          <w:tcPr/>
          <w:p>
            <w:pPr>
              <w:pStyle w:val="Compact"/>
            </w:pPr>
            <w:r>
              <w:t xml:space="preserve">Verrouillage après 10 min d’inactivité</w:t>
            </w:r>
          </w:p>
        </w:tc>
        <w:tc>
          <w:tcPr/>
          <w:p>
            <w:pPr>
              <w:pStyle w:val="Compact"/>
            </w:pPr>
            <w:r>
              <w:t xml:space="preserve">GPO-Securite-Verrouillage-Ecran</w:t>
            </w:r>
          </w:p>
        </w:tc>
        <w:tc>
          <w:tcPr/>
          <w:p>
            <w:pPr>
              <w:pStyle w:val="Compact"/>
            </w:pPr>
            <w:r>
              <w:t xml:space="preserve">Domaine entier (concerne tous les postes)</w:t>
            </w:r>
          </w:p>
        </w:tc>
      </w:tr>
      <w:tr>
        <w:tc>
          <w:tcPr/>
          <w:p>
            <w:pPr>
              <w:pStyle w:val="Compact"/>
            </w:pPr>
            <w:r>
              <w:t xml:space="preserve">Mot de passe minimum 12 caractères</w:t>
            </w:r>
          </w:p>
        </w:tc>
        <w:tc>
          <w:tcPr/>
          <w:p>
            <w:pPr>
              <w:pStyle w:val="Compact"/>
            </w:pPr>
            <w:r>
              <w:t xml:space="preserve">GPO-Securite-Politique-MotDePasse</w:t>
            </w:r>
          </w:p>
        </w:tc>
        <w:tc>
          <w:tcPr/>
          <w:p>
            <w:pPr>
              <w:pStyle w:val="Compact"/>
            </w:pPr>
            <w:r>
              <w:t xml:space="preserve">Domaine entier</w:t>
            </w:r>
          </w:p>
        </w:tc>
      </w:tr>
      <w:tr>
        <w:tc>
          <w:tcPr/>
          <w:p>
            <w:pPr>
              <w:pStyle w:val="Compact"/>
            </w:pPr>
            <w:r>
              <w:t xml:space="preserve">Blocage des scripts PowerShell non signés</w:t>
            </w:r>
          </w:p>
        </w:tc>
        <w:tc>
          <w:tcPr/>
          <w:p>
            <w:pPr>
              <w:pStyle w:val="Compact"/>
            </w:pPr>
            <w:r>
              <w:t xml:space="preserve">GPO-Securite-Restriction-PowerShell-Comptabilite</w:t>
            </w:r>
          </w:p>
        </w:tc>
        <w:tc>
          <w:tcPr/>
          <w:p>
            <w:pPr>
              <w:pStyle w:val="Compact"/>
            </w:pPr>
            <w:r>
              <w:t xml:space="preserve">UO</w:t>
            </w:r>
            <w:r>
              <w:t xml:space="preserve"> </w:t>
            </w:r>
            <w:r>
              <w:t xml:space="preserve">“Comptabilité”</w:t>
            </w:r>
            <w:r>
              <w:t xml:space="preserve"> </w:t>
            </w:r>
            <w:r>
              <w:t xml:space="preserve">uniquement</w:t>
            </w:r>
          </w:p>
        </w:tc>
      </w:tr>
    </w:tbl>
    <w:p>
      <w:pPr>
        <w:pStyle w:val="BodyText"/>
      </w:pPr>
      <w:r>
        <w:t xml:space="preserve">✅ Bonne pratique — une GPO, un objectif</w:t>
      </w:r>
      <w:r>
        <w:t xml:space="preserve"> </w:t>
      </w:r>
      <w:r>
        <w:t xml:space="preserve">Créer une GPO distincte par objectif clair (plutôt qu’une seule GPO géante regroupant des dizaines de paramètres sans lien logique) facilite grandement le diagnostic en cas de problème : si les postes du service comptabilité rencontrent un problème après le déploiement, il est immédiat de savoir laquelle des trois GPO désactiver temporairement pour isoler la cause, sans devoir démêler un paramètre au milieu de centaines d’autres.</w:t>
      </w:r>
    </w:p>
    <w:p>
      <w:pPr>
        <w:pStyle w:val="BodyText"/>
      </w:pPr>
      <w:r>
        <w:t xml:space="preserve">🔒 Sécurité — pourquoi la politique de mot de passe minimum se lie au domaine, pas à une UO</w:t>
      </w:r>
      <w:r>
        <w:t xml:space="preserve"> </w:t>
      </w:r>
      <w:r>
        <w:t xml:space="preserve">Un point technique important souvent source d’erreur chez les débutants : la politique de mot de passe par défaut d’un domaine (longueur minimale, complexité, historique) ne peut être appliquée efficacement qu’au niveau du domaine lui-même via la GPO</w:t>
      </w:r>
      <w:r>
        <w:t xml:space="preserve"> </w:t>
      </w:r>
      <w:r>
        <w:t xml:space="preserve">“Default Domain Policy”</w:t>
      </w:r>
      <w:r>
        <w:t xml:space="preserve"> </w:t>
      </w:r>
      <w:r>
        <w:t xml:space="preserve">ou une GPO liée à la racine du domaine — la lier uniquement à une UO spécifique n’affecterait pas la politique de mot de passe des comptes de domaine de la façon attendue (un mécanisme distinct, les</w:t>
      </w:r>
      <w:r>
        <w:t xml:space="preserve"> </w:t>
      </w:r>
      <w:r>
        <w:t xml:space="preserve">Fine-Grained Password Policies</w:t>
      </w:r>
      <w:r>
        <w:t xml:space="preserve">, existe pour des exceptions ciblées par groupe, mais reste hors du périmètre de ce chapitre introductif).</w:t>
      </w:r>
    </w:p>
    <w:bookmarkEnd w:id="183"/>
    <w:bookmarkStart w:id="184" w:name="X7b2b61ec7eedfbb14843ee5753f94e153813967"/>
    <w:p>
      <w:pPr>
        <w:pStyle w:val="Heading2"/>
      </w:pPr>
      <w:r>
        <w:t xml:space="preserve">7.4 Tester avant de déployer : l’environnement de test et le groupe pilote</w:t>
      </w:r>
    </w:p>
    <w:p>
      <w:pPr>
        <w:pStyle w:val="FirstParagraph"/>
      </w:pPr>
      <w:r>
        <w:t xml:space="preserve">❌ Mauvaise pratique — déployer une GPO de sécurité directement sur toute l’organisation</w:t>
      </w:r>
      <w:r>
        <w:t xml:space="preserve"> </w:t>
      </w:r>
      <w:r>
        <w:t xml:space="preserve">Appliquer immédiatement une nouvelle GPO à l’ensemble du domaine, sans test préalable, expose l’organisation entière à un impact imprévu simultané — exactement le type de risque que le processus de changement du chapitre 2 vise à contrôler. Une GPO de restriction de scripts mal configurée, par exemple, pourrait bloquer des scripts métier légitimes pour l’ensemble de l’entreprise en une seule fois.</w:t>
      </w:r>
    </w:p>
    <w:p>
      <w:pPr>
        <w:pStyle w:val="BodyText"/>
      </w:pPr>
      <w:r>
        <w:t xml:space="preserve">✅ Bonne pratique — déploiement progressif via un groupe pilote</w:t>
      </w:r>
      <w:r>
        <w:t xml:space="preserve"> </w:t>
      </w:r>
      <w:r>
        <w:t xml:space="preserve">Une approche plus sûre consiste à lier la nouvelle GPO à une UO de test, ou à restreindre son application via un</w:t>
      </w:r>
      <w:r>
        <w:t xml:space="preserve"> </w:t>
      </w:r>
      <w:r>
        <w:t xml:space="preserve">filtrage de sécurité</w:t>
      </w:r>
      <w:r>
        <w:t xml:space="preserve"> </w:t>
      </w:r>
      <w:r>
        <w:t xml:space="preserve">à un petit groupe pilote de volontaires (souvent l’équipe IT elle-même en premier), avant un déploiement progressif au reste de l’organisation. Cette approche rejoint directement le principe directeur ITIL</w:t>
      </w:r>
      <w:r>
        <w:t xml:space="preserve"> </w:t>
      </w:r>
      <w:r>
        <w:t xml:space="preserve">“progresser de manière itérative avec un retour d’information”</w:t>
      </w:r>
      <w:r>
        <w:t xml:space="preserve"> </w:t>
      </w:r>
      <w:r>
        <w:t xml:space="preserve">(chapitre 2).</w:t>
      </w:r>
    </w:p>
    <w:bookmarkEnd w:id="184"/>
    <w:bookmarkStart w:id="185" w:name="Xd81be85f20f0be10af3217ee16e6c22cbaf2980"/>
    <w:p>
      <w:pPr>
        <w:pStyle w:val="Heading2"/>
      </w:pPr>
      <w:r>
        <w:t xml:space="preserve">7.5 Diagnostiquer une GPO qui ne s’applique pas comme prévu</w:t>
      </w:r>
    </w:p>
    <w:p>
      <w:pPr>
        <w:pStyle w:val="FirstParagraph"/>
      </w:pPr>
      <w:r>
        <w:t xml:space="preserve">C’est l’une des situations les plus fréquentes vécues par un administrateur système débutant : une GPO créée et liée correctement, mais dont l’effet n’apparaît pas sur le poste ciblé. L’outil central de diagnostic s’appelle</w:t>
      </w:r>
      <w:r>
        <w:t xml:space="preserve"> </w:t>
      </w:r>
      <w:r>
        <w:rPr>
          <w:b/>
          <w:bCs/>
        </w:rPr>
        <w:t xml:space="preserve">RSoP</w:t>
      </w:r>
      <w:r>
        <w:t xml:space="preserve"> </w:t>
      </w:r>
      <w:r>
        <w:t xml:space="preserve">(</w:t>
      </w:r>
      <w:r>
        <w:rPr>
          <w:i/>
          <w:iCs/>
        </w:rPr>
        <w:t xml:space="preserve">Resultant Set of Policy</w:t>
      </w:r>
      <w:r>
        <w:t xml:space="preserve">, ensemble résultant de stratégies), accessible notamment via la commande</w:t>
      </w:r>
      <w:r>
        <w:t xml:space="preserve"> </w:t>
      </w:r>
      <w:r>
        <w:rPr>
          <w:rStyle w:val="VerbatimChar"/>
        </w:rPr>
        <w:t xml:space="preserve">gpresult</w:t>
      </w:r>
      <w:r>
        <w:t xml:space="preserve">.</w:t>
      </w:r>
    </w:p>
    <w:p>
      <w:pPr>
        <w:pStyle w:val="SourceCode"/>
      </w:pPr>
      <w:r>
        <w:rPr>
          <w:rStyle w:val="VerbatimChar"/>
        </w:rPr>
        <w:t xml:space="preserve"># Afficher un rapport HTML complet des GPO appliquees a l'utilisateur et</w:t>
      </w:r>
      <w:r>
        <w:br/>
      </w:r>
      <w:r>
        <w:rPr>
          <w:rStyle w:val="VerbatimChar"/>
        </w:rPr>
        <w:t xml:space="preserve"># a l'ordinateur actuellement connectes, avec les raisons de refus eventuelles</w:t>
      </w:r>
      <w:r>
        <w:br/>
      </w:r>
      <w:r>
        <w:rPr>
          <w:rStyle w:val="VerbatimChar"/>
        </w:rPr>
        <w:t xml:space="preserve">gpresult /h rapport-gpo.html /f</w:t>
      </w:r>
      <w:r>
        <w:br/>
      </w:r>
      <w:r>
        <w:br/>
      </w:r>
      <w:r>
        <w:rPr>
          <w:rStyle w:val="VerbatimChar"/>
        </w:rPr>
        <w:t xml:space="preserve"># Forcer l'actualisation immediate des GPO sur un poste, sans attendre</w:t>
      </w:r>
      <w:r>
        <w:br/>
      </w:r>
      <w:r>
        <w:rPr>
          <w:rStyle w:val="VerbatimChar"/>
        </w:rPr>
        <w:t xml:space="preserve"># le cycle d'actualisation automatique (par defaut, environ toutes les 90 minutes)</w:t>
      </w:r>
      <w:r>
        <w:br/>
      </w:r>
      <w:r>
        <w:rPr>
          <w:rStyle w:val="VerbatimChar"/>
        </w:rPr>
        <w:t xml:space="preserve">gpupdate /force</w:t>
      </w:r>
    </w:p>
    <w:p>
      <w:pPr>
        <w:pStyle w:val="FirstParagraph"/>
      </w:pPr>
      <w:r>
        <w:t xml:space="preserve">📷 Capture d’écran recommandée</w:t>
      </w:r>
      <w:r>
        <w:t xml:space="preserve"> </w:t>
      </w:r>
      <w:r>
        <w:t xml:space="preserve">Le rapport HTML généré par</w:t>
      </w:r>
      <w:r>
        <w:t xml:space="preserve"> </w:t>
      </w:r>
      <w:r>
        <w:t xml:space="preserve">gpresult /h</w:t>
      </w:r>
      <w:r>
        <w:t xml:space="preserve">, en particulier la section</w:t>
      </w:r>
      <w:r>
        <w:t xml:space="preserve"> </w:t>
      </w:r>
      <w:r>
        <w:t xml:space="preserve">“GPO refusée”</w:t>
      </w:r>
      <w:r>
        <w:t xml:space="preserve"> </w:t>
      </w:r>
      <w:r>
        <w:t xml:space="preserve">(</w:t>
      </w:r>
      <w:r>
        <w:rPr>
          <w:i/>
          <w:iCs/>
        </w:rPr>
        <w:t xml:space="preserve">Denied GPOs</w:t>
      </w:r>
      <w:r>
        <w:t xml:space="preserve">) qui liste, avec leur raison précise (filtrage de sécurité, WMI, désactivée), chaque stratégie qui n’a pas été appliquée à l’objet analysé — souvent l’endroit exact où se trouve la réponse à</w:t>
      </w:r>
      <w:r>
        <w:t xml:space="preserve"> </w:t>
      </w:r>
      <w:r>
        <w:t xml:space="preserve">“pourquoi cette GPO ne s’applique pas”</w:t>
      </w:r>
      <w:r>
        <w:t xml:space="preserve">.</w:t>
      </w:r>
    </w:p>
    <w:p>
      <w:pPr>
        <w:pStyle w:val="BodyText"/>
      </w:pPr>
      <w:r>
        <w:t xml:space="preserve">🩺 Symptôme :</w:t>
      </w:r>
      <w:r>
        <w:t xml:space="preserve"> </w:t>
      </w:r>
      <w:r>
        <w:t xml:space="preserve">“j’ai créé et lié la GPO, mais rien ne s’applique sur le poste”</w:t>
      </w:r>
    </w:p>
    <w:p>
      <w:pPr>
        <w:pStyle w:val="Compact"/>
        <w:numPr>
          <w:ilvl w:val="0"/>
          <w:numId w:val="1158"/>
        </w:numPr>
      </w:pPr>
      <w:r>
        <w:rPr>
          <w:b/>
          <w:bCs/>
        </w:rPr>
        <w:t xml:space="preserve">Diagnostic</w:t>
      </w:r>
      <w:r>
        <w:t xml:space="preserve"> </w:t>
      </w:r>
      <w:r>
        <w:t xml:space="preserve">: les causes les plus fréquentes, dans l’ordre de probabilité, sont : (1) le cycle d’actualisation automatique n’a pas encore eu lieu —</w:t>
      </w:r>
      <w:r>
        <w:t xml:space="preserve"> </w:t>
      </w:r>
      <w:r>
        <w:t xml:space="preserve">gpupdate /force</w:t>
      </w:r>
      <w:r>
        <w:t xml:space="preserve"> </w:t>
      </w:r>
      <w:r>
        <w:t xml:space="preserve">permet de vérifier immédiatement ; (2) l’objet ciblé (ordinateur ou utilisateur) ne se trouve pas réellement dans l’UO à laquelle la GPO est liée ; (3) un filtrage de sécurité exclut cet objet précis ; (4) une autre GPO de priorité supérieure impose une valeur contraire (section 7.2).</w:t>
      </w:r>
    </w:p>
    <w:p>
      <w:pPr>
        <w:pStyle w:val="Compact"/>
        <w:numPr>
          <w:ilvl w:val="0"/>
          <w:numId w:val="1158"/>
        </w:numPr>
      </w:pPr>
      <w:r>
        <w:rPr>
          <w:b/>
          <w:bCs/>
        </w:rPr>
        <w:t xml:space="preserve">Comment vérifier</w:t>
      </w:r>
      <w:r>
        <w:t xml:space="preserve"> </w:t>
      </w:r>
      <w:r>
        <w:t xml:space="preserve">:</w:t>
      </w:r>
      <w:r>
        <w:t xml:space="preserve"> </w:t>
      </w:r>
      <w:r>
        <w:t xml:space="preserve">gpresult /h</w:t>
      </w:r>
      <w:r>
        <w:t xml:space="preserve"> </w:t>
      </w:r>
      <w:r>
        <w:t xml:space="preserve">révèle directement laquelle de ces causes s’applique, sans deviner.</w:t>
      </w:r>
    </w:p>
    <w:p>
      <w:pPr>
        <w:pStyle w:val="Compact"/>
        <w:numPr>
          <w:ilvl w:val="0"/>
          <w:numId w:val="1158"/>
        </w:numPr>
      </w:pPr>
      <w:r>
        <w:rPr>
          <w:b/>
          <w:bCs/>
        </w:rPr>
        <w:t xml:space="preserve">Résolution</w:t>
      </w:r>
      <w:r>
        <w:t xml:space="preserve"> </w:t>
      </w:r>
      <w:r>
        <w:t xml:space="preserve">: corriger la cause identifiée (déplacer l’objet vers la bonne UO, ajuster le filtrage de sécurité, revoir l’ordre de priorité) plutôt que de créer une seconde GPO redondante en espérant qu’elle</w:t>
      </w:r>
      <w:r>
        <w:t xml:space="preserve"> </w:t>
      </w:r>
      <w:r>
        <w:t xml:space="preserve">“prenne le dessus”</w:t>
      </w:r>
      <w:r>
        <w:t xml:space="preserve"> </w:t>
      </w:r>
      <w:r>
        <w:t xml:space="preserve">sans comprendre la cause réelle.</w:t>
      </w:r>
    </w:p>
    <w:bookmarkEnd w:id="185"/>
    <w:bookmarkStart w:id="186" w:name="X25b222ebf4b15c58680a7ed7ed23078d9364e5f"/>
    <w:p>
      <w:pPr>
        <w:pStyle w:val="Heading2"/>
      </w:pPr>
      <w:r>
        <w:t xml:space="preserve">Atelier — Concevoir la structure de GPO de l’audit de sécurité</w:t>
      </w:r>
    </w:p>
    <w:p>
      <w:pPr>
        <w:pStyle w:val="FirstParagraph"/>
      </w:pPr>
      <w:r>
        <w:t xml:space="preserve">🛠️ Atelier 7 — Planifier les trois GPO du scénario d’ouverture</w:t>
      </w:r>
    </w:p>
    <w:p>
      <w:pPr>
        <w:pStyle w:val="BodyText"/>
      </w:pPr>
      <w:r>
        <w:rPr>
          <w:b/>
          <w:bCs/>
        </w:rPr>
        <w:t xml:space="preserve">Objectif</w:t>
      </w:r>
      <w:r>
        <w:t xml:space="preserve"> </w:t>
      </w:r>
      <w:r>
        <w:t xml:space="preserve">: s’entraîner à traduire des exigences de sécurité en structure de GPO concrète, en appliquant les principes des sections 7.3 et 7.4.</w:t>
      </w:r>
    </w:p>
    <w:p>
      <w:pPr>
        <w:pStyle w:val="BodyText"/>
      </w:pPr>
      <w:r>
        <w:rPr>
          <w:b/>
          <w:bCs/>
        </w:rPr>
        <w:t xml:space="preserve">Préparation</w:t>
      </w:r>
      <w:r>
        <w:t xml:space="preserve"> </w:t>
      </w:r>
      <w:r>
        <w:t xml:space="preserve">: aucune installation nécessaire.</w:t>
      </w:r>
    </w:p>
    <w:p>
      <w:pPr>
        <w:pStyle w:val="BodyText"/>
      </w:pPr>
      <w:r>
        <w:rPr>
          <w:b/>
          <w:bCs/>
        </w:rPr>
        <w:t xml:space="preserve">Étapes détaillées</w:t>
      </w:r>
      <w:r>
        <w:t xml:space="preserve"> </w:t>
      </w:r>
      <w:r>
        <w:t xml:space="preserve">:</w:t>
      </w:r>
    </w:p>
    <w:p>
      <w:pPr>
        <w:pStyle w:val="Compact"/>
        <w:numPr>
          <w:ilvl w:val="0"/>
          <w:numId w:val="1159"/>
        </w:numPr>
      </w:pPr>
      <w:r>
        <w:t xml:space="preserve">Pour chacune des trois exigences du scénario d’ouverture (section 7.3), détermine : le nom de la GPO, son niveau de liaison (domaine ou UO précise), et si un déploiement pilote est recommandé avant généralisation.</w:t>
      </w:r>
    </w:p>
    <w:p>
      <w:pPr>
        <w:pStyle w:val="Compact"/>
        <w:numPr>
          <w:ilvl w:val="0"/>
          <w:numId w:val="1159"/>
        </w:numPr>
      </w:pPr>
      <w:r>
        <w:t xml:space="preserve">Pour la restriction PowerShell ciblant uniquement le service comptabilité, explique pourquoi un filtrage de sécurité ou une liaison d’UO ciblée est préférable à une application à tout le domaine.</w:t>
      </w:r>
    </w:p>
    <w:p>
      <w:pPr>
        <w:pStyle w:val="Compact"/>
        <w:numPr>
          <w:ilvl w:val="0"/>
          <w:numId w:val="1159"/>
        </w:numPr>
      </w:pPr>
      <w:r>
        <w:t xml:space="preserve">Propose une méthode pour vérifier, après déploiement, que les trois GPO s’appliquent correctement sur un poste de test.</w:t>
      </w:r>
    </w:p>
    <w:p>
      <w:pPr>
        <w:pStyle w:val="Compact"/>
        <w:numPr>
          <w:ilvl w:val="0"/>
          <w:numId w:val="1159"/>
        </w:numPr>
      </w:pPr>
      <w:r>
        <w:t xml:space="preserve">Compare ta proposition à la section</w:t>
      </w:r>
      <w:r>
        <w:t xml:space="preserve"> </w:t>
      </w:r>
      <w:r>
        <w:t xml:space="preserve">“Résultat attendu”</w:t>
      </w:r>
      <w:r>
        <w:t xml:space="preserve">.</w:t>
      </w:r>
    </w:p>
    <w:p>
      <w:pPr>
        <w:pStyle w:val="FirstParagraph"/>
      </w:pPr>
      <w:r>
        <w:rPr>
          <w:b/>
          <w:bCs/>
        </w:rPr>
        <w:t xml:space="preserve">Résultat attendu</w:t>
      </w:r>
      <w:r>
        <w:t xml:space="preserve"> </w:t>
      </w:r>
      <w:r>
        <w:t xml:space="preserve">: les deux premières GPO (verrouillage d’écran, politique de mot de passe) se lient au niveau du domaine, avec un déploiement pilote recommandé avant généralisation même pour des règles a priori peu risquées — la prudence méthodique prime toujours sur la confiance excessive (chapitre 1, section</w:t>
      </w:r>
      <w:r>
        <w:t xml:space="preserve"> </w:t>
      </w:r>
      <w:r>
        <w:t xml:space="preserve">“compétences humaines”</w:t>
      </w:r>
      <w:r>
        <w:t xml:space="preserve">). La troisième GPO se lie spécifiquement à l’UO comptabilité (ou via un filtrage de sécurité ciblé) car appliquer une restriction de script à toute l’entreprise dépasserait le périmètre réel du risque identifié par l’audit. La vérification post-déploiement utilise</w:t>
      </w:r>
      <w:r>
        <w:t xml:space="preserve"> </w:t>
      </w:r>
      <w:r>
        <w:rPr>
          <w:rStyle w:val="VerbatimChar"/>
        </w:rPr>
        <w:t xml:space="preserve">gpresult /h</w:t>
      </w:r>
      <w:r>
        <w:t xml:space="preserve"> </w:t>
      </w:r>
      <w:r>
        <w:t xml:space="preserve">sur un poste de chaque UO concernée.</w:t>
      </w:r>
    </w:p>
    <w:p>
      <w:pPr>
        <w:pStyle w:val="BodyText"/>
      </w:pPr>
      <w:r>
        <w:rPr>
          <w:b/>
          <w:bCs/>
        </w:rPr>
        <w:t xml:space="preserve">Dépannage</w:t>
      </w:r>
      <w:r>
        <w:t xml:space="preserve"> </w:t>
      </w:r>
      <w:r>
        <w:t xml:space="preserve">: si tu hésites sur le niveau de liaison d’une GPO, pose-toi la question :</w:t>
      </w:r>
      <w:r>
        <w:t xml:space="preserve"> </w:t>
      </w:r>
      <w:r>
        <w:t xml:space="preserve">“cette règle doit-elle s’appliquer à absolument tout le monde, ou seulement à un sous-ensemble précis et justifié ?”</w:t>
      </w:r>
      <w:r>
        <w:t xml:space="preserve"> </w:t>
      </w:r>
      <w:r>
        <w:t xml:space="preserve">— la réponse détermine directement le niveau de liaison approprié.</w:t>
      </w:r>
    </w:p>
    <w:bookmarkEnd w:id="186"/>
    <w:bookmarkStart w:id="187" w:name="erreurs-fréquentes-6"/>
    <w:p>
      <w:pPr>
        <w:pStyle w:val="Heading2"/>
      </w:pPr>
      <w:r>
        <w:t xml:space="preserve">Erreurs fréquentes</w:t>
      </w:r>
    </w:p>
    <w:p>
      <w:pPr>
        <w:pStyle w:val="FirstParagraph"/>
      </w:pPr>
      <w:r>
        <w:t xml:space="preserve">⚠️ Erreur n°1 — une seule GPO géante pour tout</w:t>
      </w:r>
      <w:r>
        <w:t xml:space="preserve"> </w:t>
      </w:r>
      <w:r>
        <w:t xml:space="preserve">Comme vu en section 7.3, regrouper des dizaines de paramètres sans lien logique dans une seule GPO rend le diagnostic et la maintenance beaucoup plus difficiles qu’une structure de GPO ciblées et nommées clairement.</w:t>
      </w:r>
    </w:p>
    <w:p>
      <w:pPr>
        <w:pStyle w:val="BodyText"/>
      </w:pPr>
      <w:r>
        <w:t xml:space="preserve">⚠️ Erreur n°2 — déployer directement en production sans test pilote</w:t>
      </w:r>
      <w:r>
        <w:t xml:space="preserve"> </w:t>
      </w:r>
      <w:r>
        <w:t xml:space="preserve">Rappel de la section 7.4 : même une règle qui semble anodine mérite un test progressif avant généralisation, car son impact réel n’est jamais garanti à 100% avant un test sur des cas réels.</w:t>
      </w:r>
    </w:p>
    <w:p>
      <w:pPr>
        <w:pStyle w:val="BodyText"/>
      </w:pPr>
      <w:r>
        <w:t xml:space="preserve">⚠️ Erreur n°3 — oublier de documenter la raison d’être d’une GPO</w:t>
      </w:r>
      <w:r>
        <w:t xml:space="preserve"> </w:t>
      </w:r>
      <w:r>
        <w:t xml:space="preserve">Une GPO nommée simplement</w:t>
      </w:r>
      <w:r>
        <w:t xml:space="preserve"> </w:t>
      </w:r>
      <w:r>
        <w:t xml:space="preserve">“Politique 3”</w:t>
      </w:r>
      <w:r>
        <w:t xml:space="preserve"> </w:t>
      </w:r>
      <w:r>
        <w:t xml:space="preserve">ou</w:t>
      </w:r>
      <w:r>
        <w:t xml:space="preserve"> </w:t>
      </w:r>
      <w:r>
        <w:t xml:space="preserve">“Test”</w:t>
      </w:r>
      <w:r>
        <w:t xml:space="preserve">, sans description ni lien vers sa raison d’être (comme l’audit de sécurité de ce scénario), devient rapidement un mystère pour quiconque doit la maintenir plus tard — un rappel direct du chapitre 3 sur la documentation.</w:t>
      </w:r>
    </w:p>
    <w:bookmarkEnd w:id="187"/>
    <w:bookmarkStart w:id="188" w:name="en-entreprise-6"/>
    <w:p>
      <w:pPr>
        <w:pStyle w:val="Heading2"/>
      </w:pPr>
      <w:r>
        <w:t xml:space="preserve">En entreprise</w:t>
      </w:r>
    </w:p>
    <w:p>
      <w:pPr>
        <w:pStyle w:val="Compact"/>
        <w:numPr>
          <w:ilvl w:val="0"/>
          <w:numId w:val="1160"/>
        </w:numPr>
      </w:pPr>
      <w:r>
        <w:rPr>
          <w:b/>
          <w:bCs/>
        </w:rPr>
        <w:t xml:space="preserve">Bonne pratique répandue</w:t>
      </w:r>
      <w:r>
        <w:t xml:space="preserve"> </w:t>
      </w:r>
      <w:r>
        <w:t xml:space="preserve">: documenter systématiquement, dans la description de chaque GPO elle-même (champ disponible nativement dans l’outil de gestion des stratégies de groupe) ainsi que dans la documentation externe du chapitre 3, la raison de sa création et la date de son dernier changement significatif.</w:t>
      </w:r>
    </w:p>
    <w:p>
      <w:pPr>
        <w:pStyle w:val="Compact"/>
        <w:numPr>
          <w:ilvl w:val="0"/>
          <w:numId w:val="1160"/>
        </w:numPr>
      </w:pPr>
      <w:r>
        <w:rPr>
          <w:b/>
          <w:bCs/>
        </w:rPr>
        <w:t xml:space="preserve">Bonne pratique répandue</w:t>
      </w:r>
      <w:r>
        <w:t xml:space="preserve"> </w:t>
      </w:r>
      <w:r>
        <w:t xml:space="preserve">: revoir périodiquement l’ensemble des GPO existantes pour repérer les doublons, les GPO orphelines (non liées à aucune UO) ou les GPO obsolètes dont la raison d’être a disparu — un audit similaire, dans l’esprit, à celui de la CMDB évoqué au chapitre 3.</w:t>
      </w:r>
    </w:p>
    <w:p>
      <w:pPr>
        <w:pStyle w:val="Compact"/>
        <w:numPr>
          <w:ilvl w:val="0"/>
          <w:numId w:val="1160"/>
        </w:numPr>
      </w:pPr>
      <w:r>
        <w:rPr>
          <w:b/>
          <w:bCs/>
        </w:rPr>
        <w:t xml:space="preserve">Erreur classique observée</w:t>
      </w:r>
      <w:r>
        <w:t xml:space="preserve"> </w:t>
      </w:r>
      <w:r>
        <w:t xml:space="preserve">: une accumulation de dizaines de GPO créées au fil des années par différentes personnes, sans convention de nommage ni documentation, rendant tout changement futur risqué faute de compréhension claire de l’existant.</w:t>
      </w:r>
    </w:p>
    <w:bookmarkEnd w:id="188"/>
    <w:bookmarkStart w:id="189" w:name="entretien-technique-6"/>
    <w:p>
      <w:pPr>
        <w:pStyle w:val="Heading2"/>
      </w:pPr>
      <w:r>
        <w:t xml:space="preserve">Entretien technique</w:t>
      </w:r>
    </w:p>
    <w:p>
      <w:pPr>
        <w:pStyle w:val="FirstParagraph"/>
      </w:pPr>
      <w:r>
        <w:t xml:space="preserve">💼 Questions fréquemment posées en entretien</w:t>
      </w:r>
    </w:p>
    <w:p>
      <w:pPr>
        <w:pStyle w:val="BodyText"/>
      </w:pPr>
      <w:r>
        <w:rPr>
          <w:b/>
          <w:bCs/>
        </w:rPr>
        <w:t xml:space="preserve">Q1.</w:t>
      </w:r>
      <w:r>
        <w:rPr>
          <w:b/>
          <w:bCs/>
        </w:rPr>
        <w:t xml:space="preserve"> </w:t>
      </w:r>
      <w:r>
        <w:rPr>
          <w:b/>
          <w:bCs/>
        </w:rPr>
        <w:t xml:space="preserve">“Explique l’ordre de traitement LSDOU des stratégies de groupe.”</w:t>
      </w:r>
      <w:r>
        <w:t xml:space="preserve"> </w:t>
      </w:r>
      <w:r>
        <w:t xml:space="preserve">Réponse attendue : Local, puis Site, puis Domaine, puis Unité d’Organisation (de la plus haute à la plus proche de l’objet cible) — en cas de conflit, le niveau le plus proche de l’objet l’emporte généralement, sauf imposition explicite d’une GPO de niveau supérieur.</w:t>
      </w:r>
    </w:p>
    <w:p>
      <w:pPr>
        <w:pStyle w:val="BodyText"/>
      </w:pPr>
      <w:r>
        <w:rPr>
          <w:b/>
          <w:bCs/>
        </w:rPr>
        <w:t xml:space="preserve">Q2.</w:t>
      </w:r>
      <w:r>
        <w:rPr>
          <w:b/>
          <w:bCs/>
        </w:rPr>
        <w:t xml:space="preserve"> </w:t>
      </w:r>
      <w:r>
        <w:rPr>
          <w:b/>
          <w:bCs/>
        </w:rPr>
        <w:t xml:space="preserve">“Comment diagnostiquerais-tu une GPO qui ne semble pas s’appliquer sur un poste donné ?”</w:t>
      </w:r>
      <w:r>
        <w:t xml:space="preserve"> </w:t>
      </w:r>
      <w:r>
        <w:t xml:space="preserve">Réponse attendue : utiliser</w:t>
      </w:r>
      <w:r>
        <w:t xml:space="preserve"> </w:t>
      </w:r>
      <w:r>
        <w:rPr>
          <w:rStyle w:val="VerbatimChar"/>
        </w:rPr>
        <w:t xml:space="preserve">gpresult /h</w:t>
      </w:r>
      <w:r>
        <w:t xml:space="preserve"> </w:t>
      </w:r>
      <w:r>
        <w:t xml:space="preserve">pour obtenir un rapport détaillé des GPO appliquées et refusées avec leurs raisons, plutôt que de deviner ou de recréer une GPO redondante ; vérifier aussi si le cycle d’actualisation automatique a eu le temps de s’exécuter, ou forcer une actualisation avec</w:t>
      </w:r>
      <w:r>
        <w:t xml:space="preserve"> </w:t>
      </w:r>
      <w:r>
        <w:rPr>
          <w:rStyle w:val="VerbatimChar"/>
        </w:rPr>
        <w:t xml:space="preserve">gpupdate /force</w:t>
      </w:r>
      <w:r>
        <w:t xml:space="preserve">.</w:t>
      </w:r>
    </w:p>
    <w:p>
      <w:pPr>
        <w:pStyle w:val="BodyText"/>
      </w:pPr>
      <w:r>
        <w:rPr>
          <w:b/>
          <w:bCs/>
        </w:rPr>
        <w:t xml:space="preserve">Q3.</w:t>
      </w:r>
      <w:r>
        <w:rPr>
          <w:b/>
          <w:bCs/>
        </w:rPr>
        <w:t xml:space="preserve"> </w:t>
      </w:r>
      <w:r>
        <w:rPr>
          <w:b/>
          <w:bCs/>
        </w:rPr>
        <w:t xml:space="preserve">“Pourquoi recommande-t-on de tester une GPO sur un groupe pilote avant un déploiement général ?”</w:t>
      </w:r>
      <w:r>
        <w:t xml:space="preserve"> </w:t>
      </w:r>
      <w:r>
        <w:t xml:space="preserve">Réponse attendue : pour limiter l’impact d’un effet imprévu à un petit groupe contrôlé plutôt qu’à l’ensemble de l’organisation simultanément — un principe directement lié au processus de changement du chapitre 2 et au principe directeur ITIL de progression itérative.</w:t>
      </w:r>
    </w:p>
    <w:bookmarkEnd w:id="189"/>
    <w:bookmarkStart w:id="190" w:name="X6d343f87dfca9f2e8c9850cb5d2fc5fdb0df4c8"/>
    <w:p>
      <w:pPr>
        <w:pStyle w:val="Heading2"/>
      </w:pPr>
      <w:r>
        <w:t xml:space="preserve">Optimisation, sécurité et maintenabilité — les réflexes dès ce chapitre</w:t>
      </w:r>
    </w:p>
    <w:p>
      <w:pPr>
        <w:pStyle w:val="FirstParagraph"/>
      </w:pPr>
      <w:r>
        <w:t xml:space="preserve">🔒 Sécurité</w:t>
      </w:r>
      <w:r>
        <w:t xml:space="preserve"> </w:t>
      </w:r>
      <w:r>
        <w:t xml:space="preserve">Les GPO sont un levier de sécurité puissant, mais aussi un vecteur d’impact potentiellement très large en cas d’erreur ou de compromission d’un compte disposant du droit de les modifier — la gestion des droits d’administration des GPO elle-même doit suivre le principe du moindre privilège (chapitre 1), pas seulement les paramètres qu’elles contiennent.</w:t>
      </w:r>
    </w:p>
    <w:p>
      <w:pPr>
        <w:pStyle w:val="BodyText"/>
      </w:pPr>
      <w:r>
        <w:t xml:space="preserve">✅ Maintenabilité</w:t>
      </w:r>
      <w:r>
        <w:t xml:space="preserve"> </w:t>
      </w:r>
      <w:r>
        <w:t xml:space="preserve">Adopte une convention de nommage cohérente dès la première GPO créée (comme le préfixe</w:t>
      </w:r>
      <w:r>
        <w:t xml:space="preserve"> </w:t>
      </w:r>
      <w:r>
        <w:t xml:space="preserve">“GPO-Securite-”</w:t>
      </w:r>
      <w:r>
        <w:t xml:space="preserve"> </w:t>
      </w:r>
      <w:r>
        <w:t xml:space="preserve">de ce chapitre) — un choix qui semble mineur au début, mais qui devient précieux dès que le nombre de GPO dépasse la dizaine.</w:t>
      </w:r>
    </w:p>
    <w:p>
      <w:pPr>
        <w:pStyle w:val="BodyText"/>
      </w:pPr>
      <w:r>
        <w:t xml:space="preserve">🚀 Performance</w:t>
      </w:r>
      <w:r>
        <w:t xml:space="preserve"> </w:t>
      </w:r>
      <w:r>
        <w:t xml:space="preserve">Un nombre excessif de GPO liées au même objet peut ralentir légèrement le temps de démarrage ou d’ouverture de session (chaque GPO devant être évaluée), sans que ce soit généralement un problème critique dans une infrastructure bien conçue — un rappel que la structure des GPO (section 7.3) sert autant la clarté que la performance.</w:t>
      </w:r>
    </w:p>
    <w:bookmarkEnd w:id="190"/>
    <w:bookmarkStart w:id="191" w:name="résumé-du-chapitre-6"/>
    <w:p>
      <w:pPr>
        <w:pStyle w:val="Heading2"/>
      </w:pPr>
      <w:r>
        <w:t xml:space="preserve">Résumé du chapitre</w:t>
      </w:r>
    </w:p>
    <w:p>
      <w:pPr>
        <w:pStyle w:val="Compact"/>
        <w:numPr>
          <w:ilvl w:val="0"/>
          <w:numId w:val="1161"/>
        </w:numPr>
      </w:pPr>
      <w:r>
        <w:t xml:space="preserve">Une GPO applique automatiquement des paramètres de configuration et de sécurité aux ordinateurs et utilisateurs ciblés, sans intervention manuelle répétée.</w:t>
      </w:r>
    </w:p>
    <w:p>
      <w:pPr>
        <w:pStyle w:val="Compact"/>
        <w:numPr>
          <w:ilvl w:val="0"/>
          <w:numId w:val="1161"/>
        </w:numPr>
      </w:pPr>
      <w:r>
        <w:t xml:space="preserve">L’ordre de traitement LSDOU détermine quelle GPO l’emporte en cas de conflit, sauf blocage d’héritage ou imposition explicite.</w:t>
      </w:r>
    </w:p>
    <w:p>
      <w:pPr>
        <w:pStyle w:val="Compact"/>
        <w:numPr>
          <w:ilvl w:val="0"/>
          <w:numId w:val="1161"/>
        </w:numPr>
      </w:pPr>
      <w:r>
        <w:t xml:space="preserve">Une GPO par objectif clair, avec une convention de nommage cohérente, facilite grandement le diagnostic et la maintenance.</w:t>
      </w:r>
    </w:p>
    <w:p>
      <w:pPr>
        <w:pStyle w:val="Compact"/>
        <w:numPr>
          <w:ilvl w:val="0"/>
          <w:numId w:val="1161"/>
        </w:numPr>
      </w:pPr>
      <w:r>
        <w:t xml:space="preserve">Un déploiement progressif via un groupe pilote réduit le risque d’impact imprévu à grande échelle.</w:t>
      </w:r>
    </w:p>
    <w:p>
      <w:pPr>
        <w:pStyle w:val="Compact"/>
        <w:numPr>
          <w:ilvl w:val="0"/>
          <w:numId w:val="1161"/>
        </w:numPr>
      </w:pPr>
      <w:r>
        <w:rPr>
          <w:rStyle w:val="VerbatimChar"/>
        </w:rPr>
        <w:t xml:space="preserve">gpresult /h</w:t>
      </w:r>
      <w:r>
        <w:t xml:space="preserve"> </w:t>
      </w:r>
      <w:r>
        <w:t xml:space="preserve">est l’outil central de diagnostic pour comprendre pourquoi une GPO s’applique ou non à un objet donné.</w:t>
      </w:r>
    </w:p>
    <w:bookmarkEnd w:id="191"/>
    <w:bookmarkStart w:id="192" w:name="quiz-6"/>
    <w:p>
      <w:pPr>
        <w:pStyle w:val="Heading2"/>
      </w:pPr>
      <w:r>
        <w:t xml:space="preserve">Quiz</w:t>
      </w:r>
    </w:p>
    <w:p>
      <w:pPr>
        <w:pStyle w:val="FirstParagraph"/>
      </w:pPr>
      <w:r>
        <w:t xml:space="preserve">📝 QCM (une seule bonne réponse par question)</w:t>
      </w:r>
    </w:p>
    <w:p>
      <w:pPr>
        <w:pStyle w:val="Compact"/>
        <w:numPr>
          <w:ilvl w:val="0"/>
          <w:numId w:val="1162"/>
        </w:numPr>
      </w:pPr>
      <w:r>
        <w:t xml:space="preserve">L’ordre de traitement LSDOU signifie :</w:t>
      </w:r>
    </w:p>
    <w:p>
      <w:pPr>
        <w:pStyle w:val="Compact"/>
        <w:numPr>
          <w:ilvl w:val="1"/>
          <w:numId w:val="1163"/>
        </w:numPr>
      </w:pPr>
    </w:p>
    <w:p>
      <w:pPr>
        <w:pStyle w:val="Compact"/>
        <w:numPr>
          <w:ilvl w:val="2"/>
          <w:numId w:val="1164"/>
        </w:numPr>
      </w:pPr>
      <w:r>
        <w:t xml:space="preserve">Local, Sécurité, Domaine, Organisation</w:t>
      </w:r>
    </w:p>
    <w:p>
      <w:pPr>
        <w:pStyle w:val="Compact"/>
        <w:numPr>
          <w:ilvl w:val="1"/>
          <w:numId w:val="1163"/>
        </w:numPr>
      </w:pPr>
    </w:p>
    <w:p>
      <w:pPr>
        <w:pStyle w:val="Compact"/>
        <w:numPr>
          <w:ilvl w:val="2"/>
          <w:numId w:val="1165"/>
        </w:numPr>
      </w:pPr>
      <w:r>
        <w:t xml:space="preserve">Local, Site, Domaine, Unité d’Organisation</w:t>
      </w:r>
    </w:p>
    <w:p>
      <w:pPr>
        <w:pStyle w:val="Compact"/>
        <w:numPr>
          <w:ilvl w:val="1"/>
          <w:numId w:val="1163"/>
        </w:numPr>
      </w:pPr>
    </w:p>
    <w:p>
      <w:pPr>
        <w:pStyle w:val="Compact"/>
        <w:numPr>
          <w:ilvl w:val="2"/>
          <w:numId w:val="1166"/>
        </w:numPr>
      </w:pPr>
      <w:r>
        <w:t xml:space="preserve">Liaison, Site, Droits, Objet</w:t>
      </w:r>
    </w:p>
    <w:p>
      <w:pPr>
        <w:pStyle w:val="Compact"/>
        <w:numPr>
          <w:ilvl w:val="1"/>
          <w:numId w:val="1163"/>
        </w:numPr>
      </w:pPr>
    </w:p>
    <w:p>
      <w:pPr>
        <w:pStyle w:val="Compact"/>
        <w:numPr>
          <w:ilvl w:val="2"/>
          <w:numId w:val="1167"/>
        </w:numPr>
      </w:pPr>
      <w:r>
        <w:t xml:space="preserve">Local, Serveur, Domaine, Objet</w:t>
      </w:r>
    </w:p>
    <w:p>
      <w:pPr>
        <w:pStyle w:val="Compact"/>
        <w:numPr>
          <w:ilvl w:val="0"/>
          <w:numId w:val="1162"/>
        </w:numPr>
      </w:pPr>
      <w:r>
        <w:t xml:space="preserve">La commande pour diagnostiquer pourquoi une GPO ne s’applique pas est :</w:t>
      </w:r>
    </w:p>
    <w:p>
      <w:pPr>
        <w:pStyle w:val="Compact"/>
        <w:numPr>
          <w:ilvl w:val="1"/>
          <w:numId w:val="1168"/>
        </w:numPr>
      </w:pPr>
    </w:p>
    <w:p>
      <w:pPr>
        <w:pStyle w:val="Compact"/>
        <w:numPr>
          <w:ilvl w:val="2"/>
          <w:numId w:val="1169"/>
        </w:numPr>
      </w:pPr>
      <w:r>
        <w:rPr>
          <w:rStyle w:val="VerbatimChar"/>
        </w:rPr>
        <w:t xml:space="preserve">gpupdate /force</w:t>
      </w:r>
    </w:p>
    <w:p>
      <w:pPr>
        <w:pStyle w:val="Compact"/>
        <w:numPr>
          <w:ilvl w:val="1"/>
          <w:numId w:val="1168"/>
        </w:numPr>
      </w:pPr>
    </w:p>
    <w:p>
      <w:pPr>
        <w:pStyle w:val="Compact"/>
        <w:numPr>
          <w:ilvl w:val="2"/>
          <w:numId w:val="1170"/>
        </w:numPr>
      </w:pPr>
      <w:r>
        <w:rPr>
          <w:rStyle w:val="VerbatimChar"/>
        </w:rPr>
        <w:t xml:space="preserve">repadmin /showrepl</w:t>
      </w:r>
    </w:p>
    <w:p>
      <w:pPr>
        <w:pStyle w:val="Compact"/>
        <w:numPr>
          <w:ilvl w:val="1"/>
          <w:numId w:val="1168"/>
        </w:numPr>
      </w:pPr>
    </w:p>
    <w:p>
      <w:pPr>
        <w:pStyle w:val="Compact"/>
        <w:numPr>
          <w:ilvl w:val="2"/>
          <w:numId w:val="1171"/>
        </w:numPr>
      </w:pPr>
      <w:r>
        <w:rPr>
          <w:rStyle w:val="VerbatimChar"/>
        </w:rPr>
        <w:t xml:space="preserve">gpresult /h</w:t>
      </w:r>
    </w:p>
    <w:p>
      <w:pPr>
        <w:pStyle w:val="Compact"/>
        <w:numPr>
          <w:ilvl w:val="1"/>
          <w:numId w:val="1168"/>
        </w:numPr>
      </w:pPr>
    </w:p>
    <w:p>
      <w:pPr>
        <w:pStyle w:val="Compact"/>
        <w:numPr>
          <w:ilvl w:val="2"/>
          <w:numId w:val="1172"/>
        </w:numPr>
      </w:pPr>
      <w:r>
        <w:rPr>
          <w:rStyle w:val="VerbatimChar"/>
        </w:rPr>
        <w:t xml:space="preserve">systemctl status</w:t>
      </w:r>
    </w:p>
    <w:p>
      <w:pPr>
        <w:pStyle w:val="Compact"/>
        <w:numPr>
          <w:ilvl w:val="0"/>
          <w:numId w:val="1162"/>
        </w:numPr>
      </w:pPr>
      <w:r>
        <w:t xml:space="preserve">La bonne pratique recommandée avant de déployer une nouvelle GPO de sécurité à toute l’organisation est :</w:t>
      </w:r>
    </w:p>
    <w:p>
      <w:pPr>
        <w:pStyle w:val="Compact"/>
        <w:numPr>
          <w:ilvl w:val="1"/>
          <w:numId w:val="1173"/>
        </w:numPr>
      </w:pPr>
    </w:p>
    <w:p>
      <w:pPr>
        <w:pStyle w:val="Compact"/>
        <w:numPr>
          <w:ilvl w:val="2"/>
          <w:numId w:val="1174"/>
        </w:numPr>
      </w:pPr>
      <w:r>
        <w:t xml:space="preserve">La déployer directement, la GPO peut toujours être annulée après coup</w:t>
      </w:r>
    </w:p>
    <w:p>
      <w:pPr>
        <w:pStyle w:val="Compact"/>
        <w:numPr>
          <w:ilvl w:val="1"/>
          <w:numId w:val="1173"/>
        </w:numPr>
      </w:pPr>
    </w:p>
    <w:p>
      <w:pPr>
        <w:pStyle w:val="Compact"/>
        <w:numPr>
          <w:ilvl w:val="2"/>
          <w:numId w:val="1175"/>
        </w:numPr>
      </w:pPr>
      <w:r>
        <w:t xml:space="preserve">La tester d’abord sur un groupe pilote restreint</w:t>
      </w:r>
    </w:p>
    <w:p>
      <w:pPr>
        <w:pStyle w:val="Compact"/>
        <w:numPr>
          <w:ilvl w:val="1"/>
          <w:numId w:val="1173"/>
        </w:numPr>
      </w:pPr>
    </w:p>
    <w:p>
      <w:pPr>
        <w:pStyle w:val="Compact"/>
        <w:numPr>
          <w:ilvl w:val="2"/>
          <w:numId w:val="1176"/>
        </w:numPr>
      </w:pPr>
      <w:r>
        <w:t xml:space="preserve">La lier uniquement au niveau du site</w:t>
      </w:r>
    </w:p>
    <w:p>
      <w:pPr>
        <w:pStyle w:val="Compact"/>
        <w:numPr>
          <w:ilvl w:val="1"/>
          <w:numId w:val="1173"/>
        </w:numPr>
      </w:pPr>
    </w:p>
    <w:p>
      <w:pPr>
        <w:pStyle w:val="Compact"/>
        <w:numPr>
          <w:ilvl w:val="2"/>
          <w:numId w:val="1177"/>
        </w:numPr>
      </w:pPr>
      <w:r>
        <w:t xml:space="preserve">Attendre qu’un incident survienne avant d’agir</w:t>
      </w:r>
    </w:p>
    <w:p>
      <w:pPr>
        <w:pStyle w:val="FirstParagraph"/>
      </w:pPr>
      <w:r>
        <w:rPr>
          <w:b/>
          <w:bCs/>
        </w:rPr>
        <w:t xml:space="preserve">Corrigé</w:t>
      </w:r>
      <w:r>
        <w:t xml:space="preserve"> </w:t>
      </w:r>
      <w:r>
        <w:t xml:space="preserve">: 1-b, 2-c, 3-b.</w:t>
      </w:r>
    </w:p>
    <w:p>
      <w:pPr>
        <w:pStyle w:val="BodyText"/>
      </w:pPr>
      <w:r>
        <w:t xml:space="preserve">📝 Vrai ou Faux</w:t>
      </w:r>
    </w:p>
    <w:p>
      <w:pPr>
        <w:pStyle w:val="Compact"/>
        <w:numPr>
          <w:ilvl w:val="0"/>
          <w:numId w:val="1178"/>
        </w:numPr>
      </w:pPr>
      <w:r>
        <w:t xml:space="preserve">Une GPO marquée</w:t>
      </w:r>
      <w:r>
        <w:t xml:space="preserve"> </w:t>
      </w:r>
      <w:r>
        <w:t xml:space="preserve">“imposée”</w:t>
      </w:r>
      <w:r>
        <w:t xml:space="preserve"> </w:t>
      </w:r>
      <w:r>
        <w:t xml:space="preserve">(Enforced) peut traverser un blocage d’héritage configuré sur une UO. —</w:t>
      </w:r>
      <w:r>
        <w:t xml:space="preserve"> </w:t>
      </w:r>
      <w:r>
        <w:rPr>
          <w:b/>
          <w:bCs/>
        </w:rPr>
        <w:t xml:space="preserve">Vrai</w:t>
      </w:r>
      <w:r>
        <w:t xml:space="preserve">.</w:t>
      </w:r>
    </w:p>
    <w:p>
      <w:pPr>
        <w:pStyle w:val="Compact"/>
        <w:numPr>
          <w:ilvl w:val="0"/>
          <w:numId w:val="1178"/>
        </w:numPr>
      </w:pPr>
      <w:r>
        <w:t xml:space="preserve">Il est recommandé de regrouper le plus grand nombre de paramètres possible dans une seule GPO pour simplifier la gestion. —</w:t>
      </w:r>
      <w:r>
        <w:t xml:space="preserve"> </w:t>
      </w:r>
      <w:r>
        <w:rPr>
          <w:b/>
          <w:bCs/>
        </w:rPr>
        <w:t xml:space="preserve">Faux</w:t>
      </w:r>
      <w:r>
        <w:t xml:space="preserve"> </w:t>
      </w:r>
      <w:r>
        <w:t xml:space="preserve">(une GPO par objectif clair est recommandée, section 7.3).</w:t>
      </w:r>
    </w:p>
    <w:p>
      <w:pPr>
        <w:pStyle w:val="Compact"/>
        <w:numPr>
          <w:ilvl w:val="0"/>
          <w:numId w:val="1178"/>
        </w:numPr>
      </w:pPr>
      <w:r>
        <w:rPr>
          <w:rStyle w:val="VerbatimChar"/>
        </w:rPr>
        <w:t xml:space="preserve">gpupdate /force</w:t>
      </w:r>
      <w:r>
        <w:t xml:space="preserve"> </w:t>
      </w:r>
      <w:r>
        <w:t xml:space="preserve">permet de forcer l’actualisation immédiate des GPO sur un poste sans attendre le cycle automatique. —</w:t>
      </w:r>
      <w:r>
        <w:t xml:space="preserve"> </w:t>
      </w:r>
      <w:r>
        <w:rPr>
          <w:b/>
          <w:bCs/>
        </w:rPr>
        <w:t xml:space="preserve">Vrai</w:t>
      </w:r>
      <w:r>
        <w:t xml:space="preserve">.</w:t>
      </w:r>
    </w:p>
    <w:p>
      <w:pPr>
        <w:pStyle w:val="Compact"/>
        <w:numPr>
          <w:ilvl w:val="0"/>
          <w:numId w:val="1178"/>
        </w:numPr>
      </w:pPr>
      <w:r>
        <w:t xml:space="preserve">La politique de mot de passe par défaut d’un domaine se configure efficacement au niveau d’une UO isolée. —</w:t>
      </w:r>
      <w:r>
        <w:t xml:space="preserve"> </w:t>
      </w:r>
      <w:r>
        <w:rPr>
          <w:b/>
          <w:bCs/>
        </w:rPr>
        <w:t xml:space="preserve">Faux</w:t>
      </w:r>
      <w:r>
        <w:t xml:space="preserve"> </w:t>
      </w:r>
      <w:r>
        <w:t xml:space="preserve">(elle se configure au niveau du domaine, section 7.3).</w:t>
      </w:r>
    </w:p>
    <w:p>
      <w:pPr>
        <w:pStyle w:val="FirstParagraph"/>
      </w:pPr>
      <w:r>
        <w:t xml:space="preserve">📝 Questions ouvertes</w:t>
      </w:r>
    </w:p>
    <w:p>
      <w:pPr>
        <w:pStyle w:val="Compact"/>
        <w:numPr>
          <w:ilvl w:val="0"/>
          <w:numId w:val="1179"/>
        </w:numPr>
      </w:pPr>
      <w:r>
        <w:t xml:space="preserve">Explique pourquoi une structure de GPO nommées et documentées facilite le diagnostic en cas de problème après un déploiement.</w:t>
      </w:r>
    </w:p>
    <w:p>
      <w:pPr>
        <w:pStyle w:val="Compact"/>
        <w:numPr>
          <w:ilvl w:val="0"/>
          <w:numId w:val="1179"/>
        </w:numPr>
      </w:pPr>
      <w:r>
        <w:t xml:space="preserve">Reprends le scénario d’ouverture. Explique pourquoi il serait risqué de combiner les trois exigences de l’audit de sécurité dans une seule et même GPO.</w:t>
      </w:r>
    </w:p>
    <w:p>
      <w:pPr>
        <w:pStyle w:val="FirstParagraph"/>
      </w:pPr>
      <w:r>
        <w:rPr>
          <w:b/>
          <w:bCs/>
        </w:rPr>
        <w:t xml:space="preserve">Corrigé 1</w:t>
      </w:r>
      <w:r>
        <w:t xml:space="preserve"> </w:t>
      </w:r>
      <w:r>
        <w:t xml:space="preserve">: avec une structure claire (une GPO par objectif, bien nommée et documentée), il est immédiat d’identifier laquelle des GPO récemment déployées pourrait être responsable d’un problème observé, et de la désactiver ou de l’ajuster de façon ciblée. Avec une seule GPO géante, un problème force à examiner l’ensemble des paramètres pour isoler la cause, un travail beaucoup plus lent et incertain.</w:t>
      </w:r>
    </w:p>
    <w:p>
      <w:pPr>
        <w:pStyle w:val="BodyText"/>
      </w:pPr>
      <w:r>
        <w:rPr>
          <w:b/>
          <w:bCs/>
        </w:rPr>
        <w:t xml:space="preserve">Corrigé 2</w:t>
      </w:r>
      <w:r>
        <w:t xml:space="preserve"> </w:t>
      </w:r>
      <w:r>
        <w:t xml:space="preserve">: la restriction PowerShell ne concerne que le service comptabilité, tandis que le verrouillage d’écran et la politique de mot de passe concernent tout le domaine — les combiner forcerait soit à appliquer la restriction PowerShell à toute l’entreprise (dépassant le périmètre réel du risque identifié), soit à complexifier inutilement le filtrage de sécurité d’une GPO unique. Séparer les GPO permet à chaque règle d’avoir exactement la portée qui correspond à son besoin réel, ni plus ni moins.</w:t>
      </w:r>
    </w:p>
    <w:bookmarkEnd w:id="192"/>
    <w:bookmarkStart w:id="193" w:name="exercices-6"/>
    <w:p>
      <w:pPr>
        <w:pStyle w:val="Heading2"/>
      </w:pPr>
      <w:r>
        <w:t xml:space="preserve">Exercices</w:t>
      </w:r>
    </w:p>
    <w:p>
      <w:pPr>
        <w:pStyle w:val="FirstParagraph"/>
      </w:pPr>
      <w:r>
        <w:t xml:space="preserve">📝 Exercice 7.1</w:t>
      </w:r>
    </w:p>
    <w:p>
      <w:pPr>
        <w:pStyle w:val="BodyText"/>
      </w:pPr>
      <w:r>
        <w:t xml:space="preserve">Un poste appartient à l’UO</w:t>
      </w:r>
      <w:r>
        <w:t xml:space="preserve"> </w:t>
      </w:r>
      <w:r>
        <w:t xml:space="preserve">“Comptabilité”</w:t>
      </w:r>
      <w:r>
        <w:t xml:space="preserve">, elle-même sous l’UO</w:t>
      </w:r>
      <w:r>
        <w:t xml:space="preserve"> </w:t>
      </w:r>
      <w:r>
        <w:t xml:space="preserve">“Port-au-Prince”</w:t>
      </w:r>
      <w:r>
        <w:t xml:space="preserve">. Une GPO A est liée au domaine avec un paramètre X activé. Une GPO B est liée à l’UO</w:t>
      </w:r>
      <w:r>
        <w:t xml:space="preserve"> </w:t>
      </w:r>
      <w:r>
        <w:t xml:space="preserve">“Comptabilité”</w:t>
      </w:r>
      <w:r>
        <w:t xml:space="preserve"> </w:t>
      </w:r>
      <w:r>
        <w:t xml:space="preserve">avec le même paramètre X désactivé. Aucune des deux GPO n’est marquée</w:t>
      </w:r>
      <w:r>
        <w:t xml:space="preserve"> </w:t>
      </w:r>
      <w:r>
        <w:t xml:space="preserve">“imposée”</w:t>
      </w:r>
      <w:r>
        <w:t xml:space="preserve"> </w:t>
      </w:r>
      <w:r>
        <w:t xml:space="preserve">et aucun blocage d’héritage n’est configuré. Quel est le résultat final du paramètre X sur ce poste, et pourquoi ?</w:t>
      </w:r>
    </w:p>
    <w:p>
      <w:pPr>
        <w:pStyle w:val="BodyText"/>
      </w:pPr>
      <w:r>
        <w:rPr>
          <w:b/>
          <w:bCs/>
        </w:rPr>
        <w:t xml:space="preserve">Corrigé :</w:t>
      </w:r>
      <w:r>
        <w:t xml:space="preserve"> </w:t>
      </w:r>
      <w:r>
        <w:t xml:space="preserve">Le paramètre X sera</w:t>
      </w:r>
      <w:r>
        <w:t xml:space="preserve"> </w:t>
      </w:r>
      <w:r>
        <w:rPr>
          <w:b/>
          <w:bCs/>
        </w:rPr>
        <w:t xml:space="preserve">désactivé</w:t>
      </w:r>
      <w:r>
        <w:t xml:space="preserve">, car la GPO B (liée à l’UO la plus proche de l’objet,</w:t>
      </w:r>
      <w:r>
        <w:t xml:space="preserve"> </w:t>
      </w:r>
      <w:r>
        <w:t xml:space="preserve">“Comptabilité”</w:t>
      </w:r>
      <w:r>
        <w:t xml:space="preserve">) est traitée après la GPO A (liée au domaine, plus haut dans l’ordre LSDOU) et l’emporte donc sur le conflit, en l’absence de tout mécanisme d’imposition ou de blocage qui inverserait cet ordre normal.</w:t>
      </w:r>
    </w:p>
    <w:p>
      <w:pPr>
        <w:pStyle w:val="BodyText"/>
      </w:pPr>
      <w:r>
        <w:t xml:space="preserve">📝 Exercice 7.2</w:t>
      </w:r>
    </w:p>
    <w:p>
      <w:pPr>
        <w:pStyle w:val="BodyText"/>
      </w:pPr>
      <w:r>
        <w:t xml:space="preserve">Rédige, en 3 à 5 phrases, comment tu expliquerais à un collègue pourquoi</w:t>
      </w:r>
      <w:r>
        <w:t xml:space="preserve"> </w:t>
      </w:r>
      <w:r>
        <w:rPr>
          <w:rStyle w:val="VerbatimChar"/>
        </w:rPr>
        <w:t xml:space="preserve">gpresult /h</w:t>
      </w:r>
      <w:r>
        <w:t xml:space="preserve"> </w:t>
      </w:r>
      <w:r>
        <w:t xml:space="preserve">est préférable à</w:t>
      </w:r>
      <w:r>
        <w:t xml:space="preserve"> </w:t>
      </w:r>
      <w:r>
        <w:t xml:space="preserve">“essayer de deviner”</w:t>
      </w:r>
      <w:r>
        <w:t xml:space="preserve"> </w:t>
      </w:r>
      <w:r>
        <w:t xml:space="preserve">en recréant simplement une nouvelle GPO quand une précédente ne semble pas fonctionner.</w:t>
      </w:r>
    </w:p>
    <w:p>
      <w:pPr>
        <w:pStyle w:val="BodyText"/>
      </w:pPr>
      <w:r>
        <w:rPr>
          <w:b/>
          <w:bCs/>
        </w:rPr>
        <w:t xml:space="preserve">Corrigé (exemple de réponse) :</w:t>
      </w:r>
      <w:r>
        <w:t xml:space="preserve"> </w:t>
      </w:r>
      <w:r>
        <w:t xml:space="preserve">Recréer une GPO sans comprendre pourquoi la précédente ne s’appliquait pas risque de reproduire exactement le même problème, en plus d’ajouter de la complexité et de la confusion dans la structure de GPO existante (contraire à la bonne pratique de la section 7.3).</w:t>
      </w:r>
      <w:r>
        <w:t xml:space="preserve"> </w:t>
      </w:r>
      <w:r>
        <w:rPr>
          <w:rStyle w:val="VerbatimChar"/>
        </w:rPr>
        <w:t xml:space="preserve">gpresult /h</w:t>
      </w:r>
      <w:r>
        <w:t xml:space="preserve"> </w:t>
      </w:r>
      <w:r>
        <w:t xml:space="preserve">révèle la cause exacte du refus — filtrage de sécurité, mauvaise UO, conflit avec une GPO de priorité supérieure — permettant de corriger le vrai problème plutôt que de le contourner à l’aveugle. C’est le même principe de diagnostic méthodique que celui du chapitre 1 : restreindre le problème avant d’agir, plutôt qu’agir avant de comprendre.</w:t>
      </w:r>
    </w:p>
    <w:bookmarkEnd w:id="193"/>
    <w:bookmarkStart w:id="194" w:name="checklist-de-fin-de-chapitre-6"/>
    <w:p>
      <w:pPr>
        <w:pStyle w:val="Heading2"/>
      </w:pPr>
      <w:r>
        <w:t xml:space="preserve">Checklist de fin de chapitre</w:t>
      </w:r>
    </w:p>
    <w:p>
      <w:pPr>
        <w:pStyle w:val="FirstParagraph"/>
      </w:pPr>
      <w:r>
        <w:t xml:space="preserve">☐ Je sais expliquer ce qu’est une GPO et la différence entre paramètres Ordinateur et Utilisateur.</w:t>
      </w:r>
    </w:p>
    <w:p>
      <w:pPr>
        <w:pStyle w:val="BodyText"/>
      </w:pPr>
      <w:r>
        <w:t xml:space="preserve">☐ Je connais l’ordre de traitement LSDOU et le rôle du blocage d’héritage et de l’imposition.</w:t>
      </w:r>
    </w:p>
    <w:p>
      <w:pPr>
        <w:pStyle w:val="BodyText"/>
      </w:pPr>
      <w:r>
        <w:t xml:space="preserve">☐ Je sais concevoir une structure de GPO ciblées plutôt qu’une seule GPO monolithique.</w:t>
      </w:r>
    </w:p>
    <w:p>
      <w:pPr>
        <w:pStyle w:val="BodyText"/>
      </w:pPr>
      <w:r>
        <w:t xml:space="preserve">☐ Je comprends pourquoi un déploiement pilote est recommandé avant une généralisation.</w:t>
      </w:r>
    </w:p>
    <w:p>
      <w:pPr>
        <w:pStyle w:val="BodyText"/>
      </w:pPr>
      <w:r>
        <w:t xml:space="preserve">☐ Je sais utiliser</w:t>
      </w:r>
      <w:r>
        <w:t xml:space="preserve"> </w:t>
      </w:r>
      <w:r>
        <w:rPr>
          <w:rStyle w:val="VerbatimChar"/>
        </w:rPr>
        <w:t xml:space="preserve">gpresult /h</w:t>
      </w:r>
      <w:r>
        <w:t xml:space="preserve"> </w:t>
      </w:r>
      <w:r>
        <w:t xml:space="preserve">et</w:t>
      </w:r>
      <w:r>
        <w:t xml:space="preserve"> </w:t>
      </w:r>
      <w:r>
        <w:rPr>
          <w:rStyle w:val="VerbatimChar"/>
        </w:rPr>
        <w:t xml:space="preserve">gpupdate /force</w:t>
      </w:r>
      <w:r>
        <w:t xml:space="preserve"> </w:t>
      </w:r>
      <w:r>
        <w:t xml:space="preserve">pour diagnostiquer un problème d’application de GPO.</w:t>
      </w:r>
    </w:p>
    <w:bookmarkEnd w:id="194"/>
    <w:bookmarkStart w:id="195" w:name="faq-6"/>
    <w:p>
      <w:pPr>
        <w:pStyle w:val="Heading2"/>
      </w:pPr>
      <w:r>
        <w:t xml:space="preserve">FAQ</w:t>
      </w:r>
    </w:p>
    <w:p>
      <w:pPr>
        <w:pStyle w:val="FirstParagraph"/>
      </w:pPr>
      <w:r>
        <w:t xml:space="preserve">Combien de temps faut-il pour qu’une nouvelle GPO s’applique automatiquement ?</w:t>
      </w:r>
    </w:p>
    <w:p>
      <w:pPr>
        <w:pStyle w:val="BodyText"/>
      </w:pPr>
      <w:r>
        <w:t xml:space="preserve">Le cycle d’actualisation automatique par défaut est d’environ 90 minutes (avec un décalage aléatoire pour éviter que tous les postes ne se synchronisent au même instant précis) —</w:t>
      </w:r>
      <w:r>
        <w:t xml:space="preserve"> </w:t>
      </w:r>
      <w:r>
        <w:rPr>
          <w:rStyle w:val="VerbatimChar"/>
        </w:rPr>
        <w:t xml:space="preserve">gpupdate /force</w:t>
      </w:r>
      <w:r>
        <w:t xml:space="preserve"> </w:t>
      </w:r>
      <w:r>
        <w:t xml:space="preserve">permet de forcer une application immédiate pour les tests, sans attendre ce délai.</w:t>
      </w:r>
    </w:p>
    <w:p>
      <w:pPr>
        <w:pStyle w:val="BodyText"/>
      </w:pPr>
      <w:r>
        <w:t xml:space="preserve">Une GPO peut-elle être annulée facilement après déploiement si elle pose un problème ?</w:t>
      </w:r>
    </w:p>
    <w:p>
      <w:pPr>
        <w:pStyle w:val="BodyText"/>
      </w:pPr>
      <w:r>
        <w:t xml:space="preserve">Oui, désactiver ou dé-lier une GPO annule son effet dès le prochain cycle d’actualisation (ou immédiatement avec</w:t>
      </w:r>
      <w:r>
        <w:t xml:space="preserve"> </w:t>
      </w:r>
      <w:r>
        <w:rPr>
          <w:rStyle w:val="VerbatimChar"/>
        </w:rPr>
        <w:t xml:space="preserve">gpupdate /force</w:t>
      </w:r>
      <w:r>
        <w:t xml:space="preserve"> </w:t>
      </w:r>
      <w:r>
        <w:t xml:space="preserve">sur les postes concernés) — c’est justement l’un des avantages de la centralisation par GPO par rapport à des modifications manuelles poste par poste, bien plus difficiles à annuler uniformément.</w:t>
      </w:r>
    </w:p>
    <w:p>
      <w:pPr>
        <w:pStyle w:val="BodyText"/>
      </w:pPr>
      <w:r>
        <w:t xml:space="preserve">Faut-il une GPO distincte pour chaque petit paramètre individuel ?</w:t>
      </w:r>
    </w:p>
    <w:p>
      <w:pPr>
        <w:pStyle w:val="BodyText"/>
      </w:pPr>
      <w:r>
        <w:t xml:space="preserve">Non, l’objectif de la section 7.3 est de regrouper par objectif cohérent (par exemple, tous les paramètres liés au verrouillage d’écran dans une même GPO), pas de créer une GPO par paramètre isolé — l’équilibre entre granularité excessive et regroupement excessif s’affine avec l’expérience.</w:t>
      </w:r>
    </w:p>
    <w:p>
      <w:pPr>
        <w:pStyle w:val="BodyText"/>
      </w:pPr>
      <w:r>
        <w:t xml:space="preserve">Le filtrage de sécurité et la liaison à une UO servent-ils le même objectif ?</w:t>
      </w:r>
    </w:p>
    <w:p>
      <w:pPr>
        <w:pStyle w:val="BodyText"/>
      </w:pPr>
      <w:r>
        <w:t xml:space="preserve">Ils se complètent : la liaison détermine à quelle UO la GPO est rattachée dans l’arborescence, tandis que le filtrage de sécurité permet d’exclure ou d’inclure des objets précis au sein (ou même en dehors) de cette UO, pour un ciblage plus fin qu’une simple appartenance à l’UO.</w:t>
      </w:r>
    </w:p>
    <w:bookmarkEnd w:id="195"/>
    <w:bookmarkStart w:id="199" w:name="références-et-pour-aller-plus-loin-6"/>
    <w:p>
      <w:pPr>
        <w:pStyle w:val="Heading2"/>
      </w:pPr>
      <w:r>
        <w:t xml:space="preserve">Références et pour aller plus loin</w:t>
      </w:r>
    </w:p>
    <w:p>
      <w:pPr>
        <w:pStyle w:val="Compact"/>
        <w:numPr>
          <w:ilvl w:val="0"/>
          <w:numId w:val="1180"/>
        </w:numPr>
      </w:pPr>
      <w:r>
        <w:t xml:space="preserve">Microsoft Learn — Vue d’ensemble des stratégies de groupe :</w:t>
      </w:r>
      <w:r>
        <w:t xml:space="preserve"> </w:t>
      </w:r>
      <w:hyperlink r:id="rId196">
        <w:r>
          <w:rPr>
            <w:rStyle w:val="Hyperlink"/>
          </w:rPr>
          <w:t xml:space="preserve">https://learn.microsoft.com/fr-fr/windows-server/identity/ad-ds/manage/group-policy/group-policy-overview</w:t>
        </w:r>
      </w:hyperlink>
    </w:p>
    <w:p>
      <w:pPr>
        <w:pStyle w:val="Compact"/>
        <w:numPr>
          <w:ilvl w:val="0"/>
          <w:numId w:val="1180"/>
        </w:numPr>
      </w:pPr>
      <w:r>
        <w:t xml:space="preserve">Microsoft Learn — Référence de la commande</w:t>
      </w:r>
      <w:r>
        <w:t xml:space="preserve"> </w:t>
      </w:r>
      <w:r>
        <w:rPr>
          <w:rStyle w:val="VerbatimChar"/>
        </w:rPr>
        <w:t xml:space="preserve">gpresult</w:t>
      </w:r>
      <w:r>
        <w:t xml:space="preserve"> </w:t>
      </w:r>
      <w:r>
        <w:t xml:space="preserve">:</w:t>
      </w:r>
      <w:r>
        <w:t xml:space="preserve"> </w:t>
      </w:r>
      <w:hyperlink r:id="rId197">
        <w:r>
          <w:rPr>
            <w:rStyle w:val="Hyperlink"/>
          </w:rPr>
          <w:t xml:space="preserve">https://learn.microsoft.com/fr-fr/windows-server/administration/windows-commands/gpresult</w:t>
        </w:r>
      </w:hyperlink>
    </w:p>
    <w:p>
      <w:pPr>
        <w:pStyle w:val="Compact"/>
        <w:numPr>
          <w:ilvl w:val="0"/>
          <w:numId w:val="1180"/>
        </w:numPr>
      </w:pPr>
      <w:r>
        <w:t xml:space="preserve">CIS Benchmarks — modèles de GPO de durcissement Windows Server :</w:t>
      </w:r>
      <w:r>
        <w:t xml:space="preserve"> </w:t>
      </w:r>
      <w:hyperlink r:id="rId198">
        <w:r>
          <w:rPr>
            <w:rStyle w:val="Hyperlink"/>
          </w:rPr>
          <w:t xml:space="preserve">https://www.cisecurity.org/cis-benchmarks</w:t>
        </w:r>
      </w:hyperlink>
    </w:p>
    <w:p>
      <w:pPr>
        <w:pStyle w:val="FirstParagraph"/>
      </w:pPr>
      <w:r>
        <w:rPr>
          <w:i/>
          <w:iCs/>
        </w:rPr>
        <w:t xml:space="preserve">Chapitre suivant : Microsoft Entra ID et scénarios hybrides — comment étendre cette gestion centralisée de l’identité au-delà du réseau local de l’entreprise, vers le cloud.</w:t>
      </w:r>
    </w:p>
    <w:p>
      <w:pPr>
        <w:pStyle w:val="BodyText"/>
      </w:pPr>
      <w:r>
        <w:t xml:space="preserve">CHAPITRE 8</w:t>
      </w:r>
    </w:p>
    <w:bookmarkEnd w:id="199"/>
    <w:bookmarkEnd w:id="200"/>
    <w:bookmarkStart w:id="224" w:name="microsoft-entra-id-et-scénarios-hybrides"/>
    <w:p>
      <w:pPr>
        <w:pStyle w:val="Heading1"/>
      </w:pPr>
      <w:r>
        <w:t xml:space="preserve">Microsoft Entra ID et scénarios hybrides</w:t>
      </w:r>
    </w:p>
    <w:p>
      <w:pPr>
        <w:pStyle w:val="FirstParagraph"/>
      </w:pPr>
      <w:r>
        <w:t xml:space="preserve">🎯 Objectif du chapitre</w:t>
      </w:r>
      <w:r>
        <w:t xml:space="preserve"> </w:t>
      </w:r>
      <w:r>
        <w:t xml:space="preserve">Comprendre Microsoft Entra ID (anciennement Azure Active Directory) et la façon dont il s’articule avec un Active Directory local existant, plutôt que de le remplacer brutalement. À la fin de ce chapitre, tu sauras expliquer la différence fondamentale entre Active Directory et Entra ID, décrire le rôle d’Entra Connect dans un scénario hybride, et choisir la méthode de synchronisation d’identité adaptée à un contexte donné.</w:t>
      </w:r>
    </w:p>
    <w:p>
      <w:pPr>
        <w:pStyle w:val="BodyText"/>
      </w:pPr>
      <w:r>
        <w:t xml:space="preserve">🎬 Mise en situation</w:t>
      </w:r>
      <w:r>
        <w:t xml:space="preserve"> </w:t>
      </w:r>
      <w:r>
        <w:t xml:space="preserve">Huitième semaine. La direction de la compagnie d’assurance annonce l’adoption de Microsoft 365 pour l’ensemble de l’entreprise — messagerie, Teams, stockage de documents partagé. Le DSI te pose une question simple en apparence :</w:t>
      </w:r>
      <w:r>
        <w:t xml:space="preserve"> </w:t>
      </w:r>
      <w:r>
        <w:t xml:space="preserve">“Est-ce que les employés vont devoir retenir un second mot de passe pour Microsoft 365, en plus de celui qu’ils utilisent déjà pour ouvrir leur session Windows tous les matins ?”</w:t>
      </w:r>
      <w:r>
        <w:t xml:space="preserve"> </w:t>
      </w:r>
      <w:r>
        <w:t xml:space="preserve">Tu comprends immédiatement l’enjeu : sans une réflexion sur l’identité hybride, l’entreprise s’expose soit à une double gestion de comptes source d’erreurs et de frustration, soit à un abandon pur et simple de l’annuaire local historique — deux options extrêmes qu’un scénario hybride bien conçu permet d’éviter. Ce chapitre explique comment.</w:t>
      </w:r>
    </w:p>
    <w:bookmarkStart w:id="201" w:name="quest-ce-que-microsoft-entra-id"/>
    <w:p>
      <w:pPr>
        <w:pStyle w:val="Heading2"/>
      </w:pPr>
      <w:r>
        <w:t xml:space="preserve">8.1 Qu’est-ce que Microsoft Entra ID</w:t>
      </w:r>
    </w:p>
    <w:p>
      <w:pPr>
        <w:pStyle w:val="FirstParagraph"/>
      </w:pPr>
      <w:r>
        <w:rPr>
          <w:b/>
          <w:bCs/>
        </w:rPr>
        <w:t xml:space="preserve">Microsoft Entra ID</w:t>
      </w:r>
      <w:r>
        <w:t xml:space="preserve"> </w:t>
      </w:r>
      <w:r>
        <w:t xml:space="preserve">est le service d’identité cloud de Microsoft (anciennement nommé Azure Active Directory, renommé en 2023 — les deux noms circulent encore largement en 2026). Il centralise l’identité pour les services cloud Microsoft (Microsoft 365, Azure) et pour de nombreuses applications tierces compatibles, selon des protocoles différents de ceux d’Active Directory traditionnel.</w:t>
      </w:r>
    </w:p>
    <w:p>
      <w:pPr>
        <w:pStyle w:val="BodyText"/>
      </w:pPr>
      <w:r>
        <w:t xml:space="preserve">⚠️ Erreur de compréhension fréquente : Entra ID n’est pas</w:t>
      </w:r>
      <w:r>
        <w:t xml:space="preserve"> </w:t>
      </w:r>
      <w:r>
        <w:t xml:space="preserve">“Active Directory dans le cloud”</w:t>
      </w:r>
      <w:r>
        <w:t xml:space="preserve"> </w:t>
      </w:r>
      <w:r>
        <w:t xml:space="preserve">Malgré la ressemblance des noms, Entra ID n’est</w:t>
      </w:r>
      <w:r>
        <w:t xml:space="preserve"> </w:t>
      </w:r>
      <w:r>
        <w:t xml:space="preserve">pas</w:t>
      </w:r>
      <w:r>
        <w:t xml:space="preserve"> </w:t>
      </w:r>
      <w:r>
        <w:t xml:space="preserve">une simple version hébergée d’Active Directory. Active Directory repose sur LDAP et Kerberos (chapitres 22-23), organisé en forêts/domaines/UO (chapitre 5) ; Entra ID repose sur des protocoles web modernes (SAML, OAuth 2.0, OpenID Connect) et une structure beaucoup plus plate, sans notion de forêt, de domaine ou d’unité d’organisation au sens Active Directory. Ce sont deux systèmes d’identité distincts, avec des cas d’usage complémentaires plutôt qu’un simple remplacement l’un de l’autre.</w:t>
      </w:r>
    </w:p>
    <w:p>
      <w:pPr>
        <w:pStyle w:val="BodyText"/>
      </w:pPr>
      <w:r>
        <w:t xml:space="preserve">📌 À retenir</w:t>
      </w:r>
      <w:r>
        <w:t xml:space="preserve"> </w:t>
      </w:r>
      <w:r>
        <w:t xml:space="preserve">Un moyen simple de retenir la distinction : Active Directory répond très bien à</w:t>
      </w:r>
      <w:r>
        <w:t xml:space="preserve"> </w:t>
      </w:r>
      <w:r>
        <w:t xml:space="preserve">“qui peut se connecter à ce serveur du réseau local, et à quoi a-t-il accès sur ce réseau ?”</w:t>
      </w:r>
      <w:r>
        <w:t xml:space="preserve"> </w:t>
      </w:r>
      <w:r>
        <w:t xml:space="preserve">; Entra ID répond à</w:t>
      </w:r>
      <w:r>
        <w:t xml:space="preserve"> </w:t>
      </w:r>
      <w:r>
        <w:t xml:space="preserve">“qui peut se connecter à ce service cloud, où qu’il se trouve dans le monde, depuis n’importe quel appareil ?”</w:t>
      </w:r>
      <w:r>
        <w:t xml:space="preserve">.</w:t>
      </w:r>
    </w:p>
    <w:bookmarkEnd w:id="201"/>
    <w:bookmarkStart w:id="202" w:name="X9784fde8d00a04af9e632cdf7be56edd0d3192a"/>
    <w:p>
      <w:pPr>
        <w:pStyle w:val="Heading2"/>
      </w:pPr>
      <w:r>
        <w:t xml:space="preserve">8.2 Pourquoi la plupart des entreprises n’abandonnent pas Active Directory du jour au lendemain</w:t>
      </w:r>
    </w:p>
    <w:p>
      <w:pPr>
        <w:pStyle w:val="FirstParagraph"/>
      </w:pPr>
      <w:r>
        <w:t xml:space="preserve">💡 Analogie — deux passeports pour deux types de voyage</w:t>
      </w:r>
      <w:r>
        <w:t xml:space="preserve"> </w:t>
      </w:r>
      <w:r>
        <w:t xml:space="preserve">Reprendre l’analogie du chapitre 5 (Active Directory comme registre d’état civil) : Entra ID s’apparente à un passeport international, reconnu au-delà des frontières du réseau local, tandis qu’Active Directory reste la carte d’identité nationale, essentielle pour les démarches purement locales (accès à un serveur de fichiers interne, une imprimante réseau, une application legacy sur site). La plupart des grandes organisations ont encore besoin des deux, pas d’un seul.</w:t>
      </w:r>
    </w:p>
    <w:p>
      <w:pPr>
        <w:pStyle w:val="BodyText"/>
      </w:pPr>
      <w:r>
        <w:t xml:space="preserve">De nombreuses entreprises disposent d’applications, de serveurs de fichiers et de systèmes legacy qui dépendent d’Active Directory local et ne peuvent pas migrer immédiatement (ou jamais) vers une authentification purement cloud. Reconstruire toute l’identité de l’entreprise directement dans Entra ID, en abandonnant l’annuaire local existant, serait un projet disproportionné pour répondre au seul besoin exprimé dans le scénario d’ouverture (accès simplifié à Microsoft 365). C’est exactement pour ce cas de figure très répandu qu’existe le modèle</w:t>
      </w:r>
      <w:r>
        <w:t xml:space="preserve"> </w:t>
      </w:r>
      <w:r>
        <w:rPr>
          <w:b/>
          <w:bCs/>
        </w:rPr>
        <w:t xml:space="preserve">hybride</w:t>
      </w:r>
      <w:r>
        <w:t xml:space="preserve">.</w:t>
      </w:r>
    </w:p>
    <w:bookmarkEnd w:id="202"/>
    <w:bookmarkStart w:id="206" w:name="Xd36495796d2982679e99bdf64151d59e19132c5"/>
    <w:p>
      <w:pPr>
        <w:pStyle w:val="Heading2"/>
      </w:pPr>
      <w:r>
        <w:t xml:space="preserve">8.3 Le modèle hybride et Microsoft Entra Connect</w:t>
      </w:r>
    </w:p>
    <w:p>
      <w:pPr>
        <w:pStyle w:val="FirstParagraph"/>
      </w:pPr>
      <w:r>
        <w:rPr>
          <w:b/>
          <w:bCs/>
        </w:rPr>
        <w:t xml:space="preserve">Microsoft Entra Connect</w:t>
      </w:r>
      <w:r>
        <w:t xml:space="preserve"> </w:t>
      </w:r>
      <w:r>
        <w:t xml:space="preserve">(anciennement Azure AD Connect) est l’outil qui synchronise les identités d’un Active Directory local vers Entra ID, permettant à un même compte utilisateur de fonctionner des deux côtés, sans double saisie ni double gestion.</w:t>
      </w:r>
    </w:p>
    <w:p>
      <w:pPr>
        <w:pStyle w:val="CaptionedFigure"/>
      </w:pPr>
      <w:r>
        <w:drawing>
          <wp:inline>
            <wp:extent cx="5334000" cy="1221036"/>
            <wp:effectExtent b="0" l="0" r="0" t="0"/>
            <wp:docPr descr="Diagramme" title="" id="204" name="Picture"/>
            <a:graphic>
              <a:graphicData uri="http://schemas.openxmlformats.org/drawingml/2006/picture">
                <pic:pic>
                  <pic:nvPicPr>
                    <pic:cNvPr descr="C:/Users/ingja/Desktop/jarvis-starter-kit/livrables/formations/manuel-administration-systeme/assets/diagrams/d-08-entra-id-hybride-diagramme-1.png" id="205" name="Picture"/>
                    <pic:cNvPicPr>
                      <a:picLocks noChangeArrowheads="1" noChangeAspect="1"/>
                    </pic:cNvPicPr>
                  </pic:nvPicPr>
                  <pic:blipFill>
                    <a:blip r:embed="rId203"/>
                    <a:stretch>
                      <a:fillRect/>
                    </a:stretch>
                  </pic:blipFill>
                  <pic:spPr bwMode="auto">
                    <a:xfrm>
                      <a:off x="0" y="0"/>
                      <a:ext cx="5334000" cy="1221036"/>
                    </a:xfrm>
                    <a:prstGeom prst="rect">
                      <a:avLst/>
                    </a:prstGeom>
                    <a:noFill/>
                    <a:ln w="9525">
                      <a:noFill/>
                      <a:headEnd/>
                      <a:tailEnd/>
                    </a:ln>
                  </pic:spPr>
                </pic:pic>
              </a:graphicData>
            </a:graphic>
          </wp:inline>
        </w:drawing>
      </w:r>
    </w:p>
    <w:p>
      <w:pPr>
        <w:pStyle w:val="ImageCaption"/>
      </w:pPr>
      <w:r>
        <w:t xml:space="preserve">Diagramme</w:t>
      </w:r>
    </w:p>
    <w:p>
      <w:pPr>
        <w:pStyle w:val="BodyText"/>
      </w:pPr>
      <w:r>
        <w:t xml:space="preserve">💡 Explication du schéma</w:t>
      </w:r>
      <w:r>
        <w:t xml:space="preserve"> </w:t>
      </w:r>
      <w:r>
        <w:t xml:space="preserve">Un administrateur continue de créer et gérer les comptes utilisateurs dans l’Active Directory local, exactement comme au chapitre 5 — Entra Connect se charge automatiquement de répliquer ces comptes (et une sélection d’attributs) vers Entra ID, à intervalles réguliers. Cela répond directement à la question du DSI dans le scénario d’ouverture : un employé continue d’utiliser un compte unique, géré à un seul endroit (l’Active Directory local), qui fonctionne aussi bien pour ouvrir sa session Windows que pour accéder à Microsoft 365.</w:t>
      </w:r>
    </w:p>
    <w:bookmarkEnd w:id="206"/>
    <w:bookmarkStart w:id="207" w:name="Xf02b3505c36600b7d82148f26e9df8003215682"/>
    <w:p>
      <w:pPr>
        <w:pStyle w:val="Heading2"/>
      </w:pPr>
      <w:r>
        <w:t xml:space="preserve">8.4 Les trois méthodes d’authentification hybride</w:t>
      </w:r>
    </w:p>
    <w:p>
      <w:pPr>
        <w:pStyle w:val="FirstParagraph"/>
      </w:pPr>
      <w:r>
        <w:t xml:space="preserve">Une fois les comptes synchronisés via Entra Connect, il reste à décider</w:t>
      </w:r>
      <w:r>
        <w:t xml:space="preserve"> </w:t>
      </w:r>
      <w:r>
        <w:rPr>
          <w:b/>
          <w:bCs/>
        </w:rPr>
        <w:t xml:space="preserve">comment</w:t>
      </w:r>
      <w:r>
        <w:t xml:space="preserve"> </w:t>
      </w:r>
      <w:r>
        <w:t xml:space="preserve">le mot de passe lui-même est vérifié lors d’une connexion à un service cloud. Trois méthodes principales existent :</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Méthode</w:t>
            </w:r>
          </w:p>
        </w:tc>
        <w:tc>
          <w:tcPr/>
          <w:p>
            <w:pPr>
              <w:pStyle w:val="Compact"/>
            </w:pPr>
            <w:r>
              <w:t xml:space="preserve">Fonctionnement</w:t>
            </w:r>
          </w:p>
        </w:tc>
        <w:tc>
          <w:tcPr/>
          <w:p>
            <w:pPr>
              <w:pStyle w:val="Compact"/>
            </w:pPr>
            <w:r>
              <w:t xml:space="preserve">Où le mot de passe est-il vérifié ?</w:t>
            </w:r>
          </w:p>
        </w:tc>
      </w:tr>
      <w:tr>
        <w:tc>
          <w:tcPr/>
          <w:p>
            <w:pPr>
              <w:pStyle w:val="Compact"/>
            </w:pPr>
            <w:r>
              <w:rPr>
                <w:b/>
                <w:bCs/>
              </w:rPr>
              <w:t xml:space="preserve">Password Hash Synchronization</w:t>
            </w:r>
            <w:r>
              <w:t xml:space="preserve"> </w:t>
            </w:r>
            <w:r>
              <w:t xml:space="preserve">(PHS)</w:t>
            </w:r>
          </w:p>
        </w:tc>
        <w:tc>
          <w:tcPr/>
          <w:p>
            <w:pPr>
              <w:pStyle w:val="Compact"/>
            </w:pPr>
            <w:r>
              <w:t xml:space="preserve">Un hachage du mot de passe est synchronisé vers Entra ID</w:t>
            </w:r>
          </w:p>
        </w:tc>
        <w:tc>
          <w:tcPr/>
          <w:p>
            <w:pPr>
              <w:pStyle w:val="Compact"/>
            </w:pPr>
            <w:r>
              <w:t xml:space="preserve">Dans le cloud, avec une copie sécurisée du hachage</w:t>
            </w:r>
          </w:p>
        </w:tc>
      </w:tr>
      <w:tr>
        <w:tc>
          <w:tcPr/>
          <w:p>
            <w:pPr>
              <w:pStyle w:val="Compact"/>
            </w:pPr>
            <w:r>
              <w:rPr>
                <w:b/>
                <w:bCs/>
              </w:rPr>
              <w:t xml:space="preserve">Pass-through Authentication</w:t>
            </w:r>
            <w:r>
              <w:t xml:space="preserve"> </w:t>
            </w:r>
            <w:r>
              <w:t xml:space="preserve">(PTA)</w:t>
            </w:r>
          </w:p>
        </w:tc>
        <w:tc>
          <w:tcPr/>
          <w:p>
            <w:pPr>
              <w:pStyle w:val="Compact"/>
            </w:pPr>
            <w:r>
              <w:t xml:space="preserve">Chaque tentative de connexion est transmise en temps réel vers un agent local</w:t>
            </w:r>
          </w:p>
        </w:tc>
        <w:tc>
          <w:tcPr/>
          <w:p>
            <w:pPr>
              <w:pStyle w:val="Compact"/>
            </w:pPr>
            <w:r>
              <w:t xml:space="preserve">Sur le réseau local, en temps réel, à chaque connexion</w:t>
            </w:r>
          </w:p>
        </w:tc>
      </w:tr>
      <w:tr>
        <w:tc>
          <w:tcPr/>
          <w:p>
            <w:pPr>
              <w:pStyle w:val="Compact"/>
            </w:pPr>
            <w:r>
              <w:rPr>
                <w:b/>
                <w:bCs/>
              </w:rPr>
              <w:t xml:space="preserve">Fédération</w:t>
            </w:r>
            <w:r>
              <w:t xml:space="preserve"> </w:t>
            </w:r>
            <w:r>
              <w:t xml:space="preserve">(ADFS ou équivalent)</w:t>
            </w:r>
          </w:p>
        </w:tc>
        <w:tc>
          <w:tcPr/>
          <w:p>
            <w:pPr>
              <w:pStyle w:val="Compact"/>
            </w:pPr>
            <w:r>
              <w:t xml:space="preserve">Un serveur de fédération dédié gère entièrement l’authentification</w:t>
            </w:r>
          </w:p>
        </w:tc>
        <w:tc>
          <w:tcPr/>
          <w:p>
            <w:pPr>
              <w:pStyle w:val="Compact"/>
            </w:pPr>
            <w:r>
              <w:t xml:space="preserve">Sur le réseau local, via une infrastructure de fédération dédiée</w:t>
            </w:r>
          </w:p>
        </w:tc>
      </w:tr>
    </w:tbl>
    <w:p>
      <w:pPr>
        <w:pStyle w:val="BodyText"/>
      </w:pPr>
      <w:r>
        <w:t xml:space="preserve">✅ Bonne pratique — PHS comme choix par défaut recommandé</w:t>
      </w:r>
      <w:r>
        <w:t xml:space="preserve"> </w:t>
      </w:r>
      <w:r>
        <w:t xml:space="preserve">Pour la grande majorité des organisations de taille moyenne (comme la compagnie d’assurance de ce manuel), la synchronisation de hachage de mot de passe (PHS) est la méthode recommandée par Microsoft elle-même par défaut : elle est la plus simple à maintenir, ne nécessite aucune infrastructure supplémentaire critique, et permet même l’authentification cloud de continuer à fonctionner temporairement si le réseau local est indisponible (contrairement à PTA et à la fédération, qui dépendent d’une disponibilité locale à chaque connexion). Les méthodes plus complexes (PTA, fédération) se justifient surtout pour des exigences réglementaires strictes interdisant explicitement toute forme de hachage de mot de passe hors du réseau local.</w:t>
      </w:r>
    </w:p>
    <w:p>
      <w:pPr>
        <w:pStyle w:val="BodyText"/>
      </w:pPr>
      <w:r>
        <w:t xml:space="preserve">🔒 Sécurité — PHS ne transmet jamais le mot de passe en clair</w:t>
      </w:r>
      <w:r>
        <w:t xml:space="preserve"> </w:t>
      </w:r>
      <w:r>
        <w:t xml:space="preserve">Une confusion fréquente et légitime concerne la sécurité de PHS : le terme</w:t>
      </w:r>
      <w:r>
        <w:t xml:space="preserve"> </w:t>
      </w:r>
      <w:r>
        <w:t xml:space="preserve">“synchronisation de mot de passe”</w:t>
      </w:r>
      <w:r>
        <w:t xml:space="preserve"> </w:t>
      </w:r>
      <w:r>
        <w:t xml:space="preserve">laisse parfois croire, à tort, que le mot de passe en clair transite vers le cloud. En réalité, seul un hachage supplémentaire (une transformation cryptographique, approfondie au chapitre 22) du hachage déjà stocké localement est envoyé — le mot de passe en clair de l’utilisateur ne quitte jamais le réseau local, ni au moment de la synchronisation, ni au moment de l’authentification cloud elle-même.</w:t>
      </w:r>
    </w:p>
    <w:bookmarkEnd w:id="207"/>
    <w:bookmarkStart w:id="208" w:name="X6b53fa0af7271f750ad7e7b75c92ae9418b93c3"/>
    <w:p>
      <w:pPr>
        <w:pStyle w:val="Heading2"/>
      </w:pPr>
      <w:r>
        <w:t xml:space="preserve">8.5 L’authentification unique (SSO) : l’expérience utilisateur finale</w:t>
      </w:r>
    </w:p>
    <w:p>
      <w:pPr>
        <w:pStyle w:val="FirstParagraph"/>
      </w:pPr>
      <w:r>
        <w:t xml:space="preserve">Une fois la synchronisation et l’authentification hybride configurées, l’objectif final pour l’utilisateur final est l’</w:t>
      </w:r>
      <w:r>
        <w:rPr>
          <w:b/>
          <w:bCs/>
        </w:rPr>
        <w:t xml:space="preserve">authentification unique</w:t>
      </w:r>
      <w:r>
        <w:t xml:space="preserve"> </w:t>
      </w:r>
      <w:r>
        <w:t xml:space="preserve">(</w:t>
      </w:r>
      <w:r>
        <w:rPr>
          <w:i/>
          <w:iCs/>
        </w:rPr>
        <w:t xml:space="preserve">Single Sign-On</w:t>
      </w:r>
      <w:r>
        <w:t xml:space="preserve">, SSO) : se connecter une seule fois à sa session Windows le matin, puis accéder à Microsoft 365 et aux autres applications compatibles sans ressaisir ses identifiants.</w:t>
      </w:r>
    </w:p>
    <w:p>
      <w:pPr>
        <w:pStyle w:val="BodyText"/>
      </w:pPr>
      <w:r>
        <w:t xml:space="preserve">🚀 Performance — l’expérience utilisateur comme métrique de succès</w:t>
      </w:r>
      <w:r>
        <w:t xml:space="preserve"> </w:t>
      </w:r>
      <w:r>
        <w:t xml:space="preserve">Le succès d’un déploiement hybride bien conçu se mesure directement à la question posée par le DSI dans le scénario d’ouverture : si un employé doit retenir et saisir un second mot de passe distinct, le déploiement n’a pas atteint son objectif, même si la synchronisation technique elle-même fonctionne parfaitement. L’expérience utilisateur finale est le vrai critère de réussite, pas seulement la réussite technique de la synchronisation en coulisses.</w:t>
      </w:r>
    </w:p>
    <w:bookmarkEnd w:id="208"/>
    <w:bookmarkStart w:id="209" w:name="Xab7ed3888f1ace2acb86b3062350afd6cfba378"/>
    <w:p>
      <w:pPr>
        <w:pStyle w:val="Heading2"/>
      </w:pPr>
      <w:r>
        <w:t xml:space="preserve">8.6 L’authentification multifacteur dans un contexte hybride</w:t>
      </w:r>
    </w:p>
    <w:p>
      <w:pPr>
        <w:pStyle w:val="FirstParagraph"/>
      </w:pPr>
      <w:r>
        <w:t xml:space="preserve">Rappel du chapitre 4 (section 4.7) : l’authentification multifacteur (MFA) doit s’appliquer systématiquement à tout accès administratif distant. Dans un contexte hybride, Entra ID permet d’étendre le MFA à l’ensemble des utilisateurs, y compris pour l’accès aux applications cloud grand public comme la messagerie — une extension naturelle et fortement recommandée de la posture de sécurité déjà posée en Partie 1.</w:t>
      </w:r>
    </w:p>
    <w:p>
      <w:pPr>
        <w:pStyle w:val="BodyText"/>
      </w:pPr>
      <w:r>
        <w:t xml:space="preserve">🧠 À mémoriser</w:t>
      </w:r>
      <w:r>
        <w:t xml:space="preserve"> </w:t>
      </w:r>
      <w:r>
        <w:t xml:space="preserve">Le déploiement d’un modèle hybride est souvent l’occasion idéale d’introduire le MFA à l’échelle de toute l’organisation, en particulier pour les comptes ayant des privilèges élevés (comptes administrateurs Entra ID globaux, dont la compromission aurait un impact potentiellement aussi large que celui d’un administrateur de domaine local) — un sujet approfondi au chapitre 25.</w:t>
      </w:r>
    </w:p>
    <w:bookmarkEnd w:id="209"/>
    <w:bookmarkStart w:id="210" w:name="Xd03c41719a63f1833a58f2b5bf4672feef7de58"/>
    <w:p>
      <w:pPr>
        <w:pStyle w:val="Heading2"/>
      </w:pPr>
      <w:r>
        <w:t xml:space="preserve">Atelier — Choisir une méthode d’authentification hybride</w:t>
      </w:r>
    </w:p>
    <w:p>
      <w:pPr>
        <w:pStyle w:val="FirstParagraph"/>
      </w:pPr>
      <w:r>
        <w:t xml:space="preserve">🛠️ Atelier 8 — Recommander une méthode pour l’entreprise du scénario</w:t>
      </w:r>
    </w:p>
    <w:p>
      <w:pPr>
        <w:pStyle w:val="BodyText"/>
      </w:pPr>
      <w:r>
        <w:rPr>
          <w:b/>
          <w:bCs/>
        </w:rPr>
        <w:t xml:space="preserve">Objectif</w:t>
      </w:r>
      <w:r>
        <w:t xml:space="preserve"> </w:t>
      </w:r>
      <w:r>
        <w:t xml:space="preserve">: s’entraîner à choisir et justifier une méthode d’authentification hybride adaptée à un contexte donné, en t’appuyant sur la section 8.4.</w:t>
      </w:r>
    </w:p>
    <w:p>
      <w:pPr>
        <w:pStyle w:val="BodyText"/>
      </w:pPr>
      <w:r>
        <w:rPr>
          <w:b/>
          <w:bCs/>
        </w:rPr>
        <w:t xml:space="preserve">Préparation</w:t>
      </w:r>
      <w:r>
        <w:t xml:space="preserve"> </w:t>
      </w:r>
      <w:r>
        <w:t xml:space="preserve">: aucune installation nécessaire.</w:t>
      </w:r>
    </w:p>
    <w:p>
      <w:pPr>
        <w:pStyle w:val="BodyText"/>
      </w:pPr>
      <w:r>
        <w:rPr>
          <w:b/>
          <w:bCs/>
        </w:rPr>
        <w:t xml:space="preserve">Étapes détaillées</w:t>
      </w:r>
      <w:r>
        <w:t xml:space="preserve"> </w:t>
      </w:r>
      <w:r>
        <w:t xml:space="preserve">:</w:t>
      </w:r>
    </w:p>
    <w:p>
      <w:pPr>
        <w:pStyle w:val="Compact"/>
        <w:numPr>
          <w:ilvl w:val="0"/>
          <w:numId w:val="1181"/>
        </w:numPr>
      </w:pPr>
      <w:r>
        <w:t xml:space="preserve">À partir des informations connues sur l’entreprise d’assurance (deux sites, liaison Internet parfois instable au Cap-Haïtien, chapitre 6), recommande une méthode d’authentification hybride (PHS, PTA, ou fédération) et justifie ton choix en tenant compte de la fiabilité réseau évoquée au chapitre 6.</w:t>
      </w:r>
    </w:p>
    <w:p>
      <w:pPr>
        <w:pStyle w:val="Compact"/>
        <w:numPr>
          <w:ilvl w:val="0"/>
          <w:numId w:val="1181"/>
        </w:numPr>
      </w:pPr>
      <w:r>
        <w:t xml:space="preserve">Explique un avantage concret de ta méthode recommandée par rapport aux deux autres dans ce contexte précis.</w:t>
      </w:r>
    </w:p>
    <w:p>
      <w:pPr>
        <w:pStyle w:val="Compact"/>
        <w:numPr>
          <w:ilvl w:val="0"/>
          <w:numId w:val="1181"/>
        </w:numPr>
      </w:pPr>
      <w:r>
        <w:t xml:space="preserve">Compare ta réponse à la section</w:t>
      </w:r>
      <w:r>
        <w:t xml:space="preserve"> </w:t>
      </w:r>
      <w:r>
        <w:t xml:space="preserve">“Résultat attendu”</w:t>
      </w:r>
      <w:r>
        <w:t xml:space="preserve">.</w:t>
      </w:r>
    </w:p>
    <w:p>
      <w:pPr>
        <w:pStyle w:val="FirstParagraph"/>
      </w:pPr>
      <w:r>
        <w:rPr>
          <w:b/>
          <w:bCs/>
        </w:rPr>
        <w:t xml:space="preserve">Résultat attendu</w:t>
      </w:r>
      <w:r>
        <w:t xml:space="preserve"> </w:t>
      </w:r>
      <w:r>
        <w:t xml:space="preserve">: PHS est la recommandation la plus adaptée, précisément parce qu’elle permet aux utilisateurs de continuer à s’authentifier auprès des services cloud même si le réseau local (ou la liaison entre sites) rencontre une interruption temporaire — un avantage particulièrement pertinent compte tenu des coupures réseau déjà rencontrées au chapitre 6. PTA et la fédération, à l’inverse, dépendraient d’une disponibilité locale à chaque tentative de connexion cloud, un risque supplémentaire non négligeable dans ce contexte précis.</w:t>
      </w:r>
    </w:p>
    <w:p>
      <w:pPr>
        <w:pStyle w:val="BodyText"/>
      </w:pPr>
      <w:r>
        <w:rPr>
          <w:b/>
          <w:bCs/>
        </w:rPr>
        <w:t xml:space="preserve">Dépannage</w:t>
      </w:r>
      <w:r>
        <w:t xml:space="preserve"> </w:t>
      </w:r>
      <w:r>
        <w:t xml:space="preserve">: si tu hésites entre les méthodes, reviens à la question centrale de la section 8.4 —</w:t>
      </w:r>
      <w:r>
        <w:t xml:space="preserve"> </w:t>
      </w:r>
      <w:r>
        <w:t xml:space="preserve">“où le mot de passe est-il vérifié, et que se passe-t-il si cet endroit précis devient temporairement injoignable ?”</w:t>
      </w:r>
    </w:p>
    <w:bookmarkEnd w:id="210"/>
    <w:bookmarkStart w:id="211" w:name="erreurs-fréquentes-7"/>
    <w:p>
      <w:pPr>
        <w:pStyle w:val="Heading2"/>
      </w:pPr>
      <w:r>
        <w:t xml:space="preserve">Erreurs fréquentes</w:t>
      </w:r>
    </w:p>
    <w:p>
      <w:pPr>
        <w:pStyle w:val="FirstParagraph"/>
      </w:pPr>
      <w:r>
        <w:t xml:space="preserve">⚠️ Erreur n°1 — croire qu’Entra ID remplace purement et simplement Active Directory</w:t>
      </w:r>
      <w:r>
        <w:t xml:space="preserve"> </w:t>
      </w:r>
      <w:r>
        <w:t xml:space="preserve">Comme vu en section 8.1, ce sont deux systèmes distincts et complémentaires dans la grande majorité des organisations existantes — l’un ne rend pas l’autre obsolète du jour au lendemain, surtout tant que des systèmes legacy dépendent d’Active Directory local.</w:t>
      </w:r>
    </w:p>
    <w:p>
      <w:pPr>
        <w:pStyle w:val="BodyText"/>
      </w:pPr>
      <w:r>
        <w:t xml:space="preserve">⚠️ Erreur n°2 — négliger le MFA lors du passage au cloud</w:t>
      </w:r>
      <w:r>
        <w:t xml:space="preserve"> </w:t>
      </w:r>
      <w:r>
        <w:t xml:space="preserve">Étendre l’accès à des services cloud accessibles depuis n’importe où dans le monde, sans renforcer l’authentification par MFA, élargit considérablement la surface d’attaque exposée par rapport à un accès purement local protégé par le périmètre réseau de l’entreprise — un point à ne jamais négliger lors d’un déploiement hybride, rappel direct du chapitre 4.</w:t>
      </w:r>
    </w:p>
    <w:p>
      <w:pPr>
        <w:pStyle w:val="BodyText"/>
      </w:pPr>
      <w:r>
        <w:t xml:space="preserve">⚠️ Erreur n°3 — sous-estimer l’impact d’un problème de synchronisation</w:t>
      </w:r>
      <w:r>
        <w:t xml:space="preserve"> </w:t>
      </w:r>
      <w:r>
        <w:t xml:space="preserve">Un dysfonctionnement d’Entra Connect peut créer un décalage entre l’état réel d’un compte dans Active Directory (par exemple, un compte désactivé suite à un départ d’employé) et son état encore actif côté Entra ID pendant un délai de synchronisation — un risque de sécurité réel si ce délai n’est pas surveillé, similaire dans l’esprit au délai de réplication étudié au chapitre 6.</w:t>
      </w:r>
    </w:p>
    <w:bookmarkEnd w:id="211"/>
    <w:bookmarkStart w:id="212" w:name="en-entreprise-7"/>
    <w:p>
      <w:pPr>
        <w:pStyle w:val="Heading2"/>
      </w:pPr>
      <w:r>
        <w:t xml:space="preserve">En entreprise</w:t>
      </w:r>
    </w:p>
    <w:p>
      <w:pPr>
        <w:pStyle w:val="Compact"/>
        <w:numPr>
          <w:ilvl w:val="0"/>
          <w:numId w:val="1182"/>
        </w:numPr>
      </w:pPr>
      <w:r>
        <w:rPr>
          <w:b/>
          <w:bCs/>
        </w:rPr>
        <w:t xml:space="preserve">Bonne pratique répandue</w:t>
      </w:r>
      <w:r>
        <w:t xml:space="preserve"> </w:t>
      </w:r>
      <w:r>
        <w:t xml:space="preserve">: surveiller activement la santé de la synchronisation Entra Connect (via son propre tableau de bord de supervision), au même titre que la réplication Active Directory du chapitre 6 — un échec de synchronisation silencieux peut passer inaperçu longtemps sans alerte proactive.</w:t>
      </w:r>
    </w:p>
    <w:p>
      <w:pPr>
        <w:pStyle w:val="Compact"/>
        <w:numPr>
          <w:ilvl w:val="0"/>
          <w:numId w:val="1182"/>
        </w:numPr>
      </w:pPr>
      <w:r>
        <w:rPr>
          <w:b/>
          <w:bCs/>
        </w:rPr>
        <w:t xml:space="preserve">Bonne pratique répandue</w:t>
      </w:r>
      <w:r>
        <w:t xml:space="preserve"> </w:t>
      </w:r>
      <w:r>
        <w:t xml:space="preserve">: limiter le nombre de comptes disposant du rôle d’administrateur global Entra ID au strict minimum nécessaire (principe du moindre privilège, chapitre 1), et protéger ces comptes précis par un MFA renforcé sans exception.</w:t>
      </w:r>
    </w:p>
    <w:p>
      <w:pPr>
        <w:pStyle w:val="Compact"/>
        <w:numPr>
          <w:ilvl w:val="0"/>
          <w:numId w:val="1182"/>
        </w:numPr>
      </w:pPr>
      <w:r>
        <w:rPr>
          <w:b/>
          <w:bCs/>
        </w:rPr>
        <w:t xml:space="preserve">Erreur classique observée</w:t>
      </w:r>
      <w:r>
        <w:t xml:space="preserve"> </w:t>
      </w:r>
      <w:r>
        <w:t xml:space="preserve">: un déploiement hybride réalisé dans l’urgence pour répondre à un besoin immédiat (comme l’adoption de Microsoft 365 du scénario d’ouverture), sans réflexion préalable sur la méthode d’authentification la plus adaptée au contexte réel de fiabilité réseau de l’entreprise.</w:t>
      </w:r>
    </w:p>
    <w:bookmarkEnd w:id="212"/>
    <w:bookmarkStart w:id="213" w:name="entretien-technique-7"/>
    <w:p>
      <w:pPr>
        <w:pStyle w:val="Heading2"/>
      </w:pPr>
      <w:r>
        <w:t xml:space="preserve">Entretien technique</w:t>
      </w:r>
    </w:p>
    <w:p>
      <w:pPr>
        <w:pStyle w:val="FirstParagraph"/>
      </w:pPr>
      <w:r>
        <w:t xml:space="preserve">💼 Questions fréquemment posées en entretien</w:t>
      </w:r>
    </w:p>
    <w:p>
      <w:pPr>
        <w:pStyle w:val="BodyText"/>
      </w:pPr>
      <w:r>
        <w:rPr>
          <w:b/>
          <w:bCs/>
        </w:rPr>
        <w:t xml:space="preserve">Q1.</w:t>
      </w:r>
      <w:r>
        <w:rPr>
          <w:b/>
          <w:bCs/>
        </w:rPr>
        <w:t xml:space="preserve"> </w:t>
      </w:r>
      <w:r>
        <w:rPr>
          <w:b/>
          <w:bCs/>
        </w:rPr>
        <w:t xml:space="preserve">“Quelle est la différence fondamentale entre Active Directory et Microsoft Entra ID ?”</w:t>
      </w:r>
      <w:r>
        <w:t xml:space="preserve"> </w:t>
      </w:r>
      <w:r>
        <w:t xml:space="preserve">Réponse attendue : Active Directory est un service d’annuaire local, basé sur LDAP et Kerberos, organisé en forêts/domaines/UO ; Entra ID est un service d’identité cloud, basé sur des protocoles web modernes (SAML, OAuth, OpenID Connect), avec une structure plus plate — les deux se complètent dans un scénario hybride plutôt que l’un ne remplace l’autre.</w:t>
      </w:r>
    </w:p>
    <w:p>
      <w:pPr>
        <w:pStyle w:val="BodyText"/>
      </w:pPr>
      <w:r>
        <w:rPr>
          <w:b/>
          <w:bCs/>
        </w:rPr>
        <w:t xml:space="preserve">Q2.</w:t>
      </w:r>
      <w:r>
        <w:rPr>
          <w:b/>
          <w:bCs/>
        </w:rPr>
        <w:t xml:space="preserve"> </w:t>
      </w:r>
      <w:r>
        <w:rPr>
          <w:b/>
          <w:bCs/>
        </w:rPr>
        <w:t xml:space="preserve">“Que fait Microsoft Entra Connect ?”</w:t>
      </w:r>
      <w:r>
        <w:t xml:space="preserve"> </w:t>
      </w:r>
      <w:r>
        <w:t xml:space="preserve">Réponse attendue : il synchronise les identités (comptes, groupes, attributs) d’un Active Directory local vers Entra ID, permettant à un même compte utilisateur de fonctionner à la fois localement et pour les services cloud, sans double gestion.</w:t>
      </w:r>
    </w:p>
    <w:p>
      <w:pPr>
        <w:pStyle w:val="BodyText"/>
      </w:pPr>
      <w:r>
        <w:rPr>
          <w:b/>
          <w:bCs/>
        </w:rPr>
        <w:t xml:space="preserve">Q3.</w:t>
      </w:r>
      <w:r>
        <w:rPr>
          <w:b/>
          <w:bCs/>
        </w:rPr>
        <w:t xml:space="preserve"> </w:t>
      </w:r>
      <w:r>
        <w:rPr>
          <w:b/>
          <w:bCs/>
        </w:rPr>
        <w:t xml:space="preserve">“Pourquoi PHS (Password Hash Synchronization) est-elle souvent recommandée par défaut plutôt que la fédération ?”</w:t>
      </w:r>
      <w:r>
        <w:t xml:space="preserve"> </w:t>
      </w:r>
      <w:r>
        <w:t xml:space="preserve">Réponse attendue : elle est plus simple à maintenir, ne nécessite pas d’infrastructure de fédération dédiée critique, et permet à l’authentification cloud de continuer à fonctionner même en cas d’indisponibilité temporaire du réseau local — un avantage de résilience important, sauf exigence réglementaire spécifique imposant une autre méthode.</w:t>
      </w:r>
    </w:p>
    <w:bookmarkEnd w:id="213"/>
    <w:bookmarkStart w:id="214" w:name="Xab6bfac1f4b47aa48d6d64bcdbd8e60377f01f5"/>
    <w:p>
      <w:pPr>
        <w:pStyle w:val="Heading2"/>
      </w:pPr>
      <w:r>
        <w:t xml:space="preserve">Optimisation, sécurité et maintenabilité — les réflexes dès ce chapitre</w:t>
      </w:r>
    </w:p>
    <w:p>
      <w:pPr>
        <w:pStyle w:val="FirstParagraph"/>
      </w:pPr>
      <w:r>
        <w:t xml:space="preserve">🔒 Sécurité</w:t>
      </w:r>
      <w:r>
        <w:t xml:space="preserve"> </w:t>
      </w:r>
      <w:r>
        <w:t xml:space="preserve">Un compte administrateur global Entra ID compromis peut avoir un impact aussi large, voire plus large (accès potentiel à l’ensemble des services cloud de l’entreprise, accessibles depuis n’importe où), qu’un compte administrateur de domaine Active Directory compromis — la même rigueur de protection (comptes nominatifs, MFA obligatoire, chapitre 4) s’applique avec la même exigence des deux côtés.</w:t>
      </w:r>
    </w:p>
    <w:p>
      <w:pPr>
        <w:pStyle w:val="BodyText"/>
      </w:pPr>
      <w:r>
        <w:t xml:space="preserve">✅ Maintenabilité</w:t>
      </w:r>
      <w:r>
        <w:t xml:space="preserve"> </w:t>
      </w:r>
      <w:r>
        <w:t xml:space="preserve">Documente la méthode d’authentification hybride choisie et sa justification (section 8.4), au même titre que toute autre décision d’architecture (chapitre 3) — une décision technique de ce type, prise sans trace écrite de son raisonnement, devient difficile à réévaluer sereinement des années plus tard.</w:t>
      </w:r>
    </w:p>
    <w:p>
      <w:pPr>
        <w:pStyle w:val="BodyText"/>
      </w:pPr>
      <w:r>
        <w:t xml:space="preserve">🚀 Performance</w:t>
      </w:r>
      <w:r>
        <w:t xml:space="preserve"> </w:t>
      </w:r>
      <w:r>
        <w:t xml:space="preserve">Un cycle de synchronisation Entra Connect trop espacé retarde la propagation de changements importants (comme la désactivation d’un compte) vers le cloud — un compromis à ajuster selon la criticité réelle de réactivité attendue par l’organisation, dans le même esprit que la fréquence de réplication inter-sites du chapitre 6.</w:t>
      </w:r>
    </w:p>
    <w:bookmarkEnd w:id="214"/>
    <w:bookmarkStart w:id="215" w:name="résumé-du-chapitre-7"/>
    <w:p>
      <w:pPr>
        <w:pStyle w:val="Heading2"/>
      </w:pPr>
      <w:r>
        <w:t xml:space="preserve">Résumé du chapitre</w:t>
      </w:r>
    </w:p>
    <w:p>
      <w:pPr>
        <w:pStyle w:val="Compact"/>
        <w:numPr>
          <w:ilvl w:val="0"/>
          <w:numId w:val="1183"/>
        </w:numPr>
      </w:pPr>
      <w:r>
        <w:t xml:space="preserve">Microsoft Entra ID est un service d’identité cloud distinct d’Active Directory, complémentaire plutôt que substitut dans la plupart des organisations existantes.</w:t>
      </w:r>
    </w:p>
    <w:p>
      <w:pPr>
        <w:pStyle w:val="Compact"/>
        <w:numPr>
          <w:ilvl w:val="0"/>
          <w:numId w:val="1183"/>
        </w:numPr>
      </w:pPr>
      <w:r>
        <w:t xml:space="preserve">Microsoft Entra Connect synchronise les comptes d’un Active Directory local vers Entra ID, évitant la double gestion et la double authentification pour les utilisateurs.</w:t>
      </w:r>
    </w:p>
    <w:p>
      <w:pPr>
        <w:pStyle w:val="Compact"/>
        <w:numPr>
          <w:ilvl w:val="0"/>
          <w:numId w:val="1183"/>
        </w:numPr>
      </w:pPr>
      <w:r>
        <w:t xml:space="preserve">Trois méthodes d’authentification hybride existent (PHS, PTA, fédération) ; PHS est généralement recommandée par défaut pour sa simplicité et sa résilience aux coupures réseau locales.</w:t>
      </w:r>
    </w:p>
    <w:p>
      <w:pPr>
        <w:pStyle w:val="Compact"/>
        <w:numPr>
          <w:ilvl w:val="0"/>
          <w:numId w:val="1183"/>
        </w:numPr>
      </w:pPr>
      <w:r>
        <w:t xml:space="preserve">Le succès d’un déploiement hybride se mesure à l’expérience réelle de l’utilisateur final (authentification unique), pas seulement à la réussite technique de la synchronisation.</w:t>
      </w:r>
    </w:p>
    <w:p>
      <w:pPr>
        <w:pStyle w:val="Compact"/>
        <w:numPr>
          <w:ilvl w:val="0"/>
          <w:numId w:val="1183"/>
        </w:numPr>
      </w:pPr>
      <w:r>
        <w:t xml:space="preserve">Le MFA doit être étendu systématiquement lors de tout passage à des services cloud accessibles depuis l’extérieur du réseau de l’entreprise.</w:t>
      </w:r>
    </w:p>
    <w:bookmarkEnd w:id="215"/>
    <w:bookmarkStart w:id="216" w:name="quiz-7"/>
    <w:p>
      <w:pPr>
        <w:pStyle w:val="Heading2"/>
      </w:pPr>
      <w:r>
        <w:t xml:space="preserve">Quiz</w:t>
      </w:r>
    </w:p>
    <w:p>
      <w:pPr>
        <w:pStyle w:val="FirstParagraph"/>
      </w:pPr>
      <w:r>
        <w:t xml:space="preserve">📝 QCM (une seule bonne réponse par question)</w:t>
      </w:r>
    </w:p>
    <w:p>
      <w:pPr>
        <w:pStyle w:val="Compact"/>
        <w:numPr>
          <w:ilvl w:val="0"/>
          <w:numId w:val="1184"/>
        </w:numPr>
      </w:pPr>
      <w:r>
        <w:t xml:space="preserve">Microsoft Entra ID est :</w:t>
      </w:r>
    </w:p>
    <w:p>
      <w:pPr>
        <w:pStyle w:val="Compact"/>
        <w:numPr>
          <w:ilvl w:val="1"/>
          <w:numId w:val="1185"/>
        </w:numPr>
      </w:pPr>
    </w:p>
    <w:p>
      <w:pPr>
        <w:pStyle w:val="Compact"/>
        <w:numPr>
          <w:ilvl w:val="2"/>
          <w:numId w:val="1186"/>
        </w:numPr>
      </w:pPr>
      <w:r>
        <w:t xml:space="preserve">Une version hébergée identique d’Active Directory</w:t>
      </w:r>
    </w:p>
    <w:p>
      <w:pPr>
        <w:pStyle w:val="Compact"/>
        <w:numPr>
          <w:ilvl w:val="1"/>
          <w:numId w:val="1185"/>
        </w:numPr>
      </w:pPr>
    </w:p>
    <w:p>
      <w:pPr>
        <w:pStyle w:val="Compact"/>
        <w:numPr>
          <w:ilvl w:val="2"/>
          <w:numId w:val="1187"/>
        </w:numPr>
      </w:pPr>
      <w:r>
        <w:t xml:space="preserve">Un service d’identité cloud distinct, basé sur des protocoles web modernes</w:t>
      </w:r>
    </w:p>
    <w:p>
      <w:pPr>
        <w:pStyle w:val="Compact"/>
        <w:numPr>
          <w:ilvl w:val="1"/>
          <w:numId w:val="1185"/>
        </w:numPr>
      </w:pPr>
    </w:p>
    <w:p>
      <w:pPr>
        <w:pStyle w:val="Compact"/>
        <w:numPr>
          <w:ilvl w:val="2"/>
          <w:numId w:val="1188"/>
        </w:numPr>
      </w:pPr>
      <w:r>
        <w:t xml:space="preserve">Un remplacement obligatoire d’Active Directory local</w:t>
      </w:r>
    </w:p>
    <w:p>
      <w:pPr>
        <w:pStyle w:val="Compact"/>
        <w:numPr>
          <w:ilvl w:val="1"/>
          <w:numId w:val="1185"/>
        </w:numPr>
      </w:pPr>
    </w:p>
    <w:p>
      <w:pPr>
        <w:pStyle w:val="Compact"/>
        <w:numPr>
          <w:ilvl w:val="2"/>
          <w:numId w:val="1189"/>
        </w:numPr>
      </w:pPr>
      <w:r>
        <w:t xml:space="preserve">Un outil de sauvegarde d’Active Directory</w:t>
      </w:r>
    </w:p>
    <w:p>
      <w:pPr>
        <w:pStyle w:val="Compact"/>
        <w:numPr>
          <w:ilvl w:val="0"/>
          <w:numId w:val="1184"/>
        </w:numPr>
      </w:pPr>
      <w:r>
        <w:t xml:space="preserve">L’outil qui synchronise les identités d’Active Directory local vers Entra ID est :</w:t>
      </w:r>
    </w:p>
    <w:p>
      <w:pPr>
        <w:pStyle w:val="Compact"/>
        <w:numPr>
          <w:ilvl w:val="1"/>
          <w:numId w:val="1190"/>
        </w:numPr>
      </w:pPr>
    </w:p>
    <w:p>
      <w:pPr>
        <w:pStyle w:val="Compact"/>
        <w:numPr>
          <w:ilvl w:val="2"/>
          <w:numId w:val="1191"/>
        </w:numPr>
      </w:pPr>
      <w:r>
        <w:rPr>
          <w:rStyle w:val="VerbatimChar"/>
        </w:rPr>
        <w:t xml:space="preserve">repadmin</w:t>
      </w:r>
    </w:p>
    <w:p>
      <w:pPr>
        <w:pStyle w:val="Compact"/>
        <w:numPr>
          <w:ilvl w:val="1"/>
          <w:numId w:val="1190"/>
        </w:numPr>
      </w:pPr>
    </w:p>
    <w:p>
      <w:pPr>
        <w:pStyle w:val="Compact"/>
        <w:numPr>
          <w:ilvl w:val="2"/>
          <w:numId w:val="1192"/>
        </w:numPr>
      </w:pPr>
      <w:r>
        <w:t xml:space="preserve">Microsoft Entra Connect</w:t>
      </w:r>
    </w:p>
    <w:p>
      <w:pPr>
        <w:pStyle w:val="Compact"/>
        <w:numPr>
          <w:ilvl w:val="1"/>
          <w:numId w:val="1190"/>
        </w:numPr>
      </w:pPr>
    </w:p>
    <w:p>
      <w:pPr>
        <w:pStyle w:val="Compact"/>
        <w:numPr>
          <w:ilvl w:val="2"/>
          <w:numId w:val="1193"/>
        </w:numPr>
      </w:pPr>
      <w:r>
        <w:rPr>
          <w:rStyle w:val="VerbatimChar"/>
        </w:rPr>
        <w:t xml:space="preserve">gpresult</w:t>
      </w:r>
    </w:p>
    <w:p>
      <w:pPr>
        <w:pStyle w:val="Compact"/>
        <w:numPr>
          <w:ilvl w:val="1"/>
          <w:numId w:val="1190"/>
        </w:numPr>
      </w:pPr>
    </w:p>
    <w:p>
      <w:pPr>
        <w:pStyle w:val="Compact"/>
        <w:numPr>
          <w:ilvl w:val="2"/>
          <w:numId w:val="1194"/>
        </w:numPr>
      </w:pPr>
      <w:r>
        <w:t xml:space="preserve">Windows Admin Center</w:t>
      </w:r>
    </w:p>
    <w:p>
      <w:pPr>
        <w:pStyle w:val="Compact"/>
        <w:numPr>
          <w:ilvl w:val="0"/>
          <w:numId w:val="1184"/>
        </w:numPr>
      </w:pPr>
      <w:r>
        <w:t xml:space="preserve">La méthode d’authentification hybride généralement recommandée par défaut est :</w:t>
      </w:r>
    </w:p>
    <w:p>
      <w:pPr>
        <w:pStyle w:val="Compact"/>
        <w:numPr>
          <w:ilvl w:val="1"/>
          <w:numId w:val="1195"/>
        </w:numPr>
      </w:pPr>
    </w:p>
    <w:p>
      <w:pPr>
        <w:pStyle w:val="Compact"/>
        <w:numPr>
          <w:ilvl w:val="2"/>
          <w:numId w:val="1196"/>
        </w:numPr>
      </w:pPr>
      <w:r>
        <w:t xml:space="preserve">La fédération (ADFS)</w:t>
      </w:r>
    </w:p>
    <w:p>
      <w:pPr>
        <w:pStyle w:val="Compact"/>
        <w:numPr>
          <w:ilvl w:val="1"/>
          <w:numId w:val="1195"/>
        </w:numPr>
      </w:pPr>
    </w:p>
    <w:p>
      <w:pPr>
        <w:pStyle w:val="Compact"/>
        <w:numPr>
          <w:ilvl w:val="2"/>
          <w:numId w:val="1197"/>
        </w:numPr>
      </w:pPr>
      <w:r>
        <w:t xml:space="preserve">Pass-through Authentication (PTA)</w:t>
      </w:r>
    </w:p>
    <w:p>
      <w:pPr>
        <w:pStyle w:val="Compact"/>
        <w:numPr>
          <w:ilvl w:val="1"/>
          <w:numId w:val="1195"/>
        </w:numPr>
      </w:pPr>
    </w:p>
    <w:p>
      <w:pPr>
        <w:pStyle w:val="Compact"/>
        <w:numPr>
          <w:ilvl w:val="2"/>
          <w:numId w:val="1198"/>
        </w:numPr>
      </w:pPr>
      <w:r>
        <w:t xml:space="preserve">Password Hash Synchronization (PHS)</w:t>
      </w:r>
    </w:p>
    <w:p>
      <w:pPr>
        <w:pStyle w:val="Compact"/>
        <w:numPr>
          <w:ilvl w:val="1"/>
          <w:numId w:val="1195"/>
        </w:numPr>
      </w:pPr>
    </w:p>
    <w:p>
      <w:pPr>
        <w:pStyle w:val="Compact"/>
        <w:numPr>
          <w:ilvl w:val="2"/>
          <w:numId w:val="1199"/>
        </w:numPr>
      </w:pPr>
      <w:r>
        <w:t xml:space="preserve">Aucune synchronisation, deux mots de passe distincts</w:t>
      </w:r>
    </w:p>
    <w:p>
      <w:pPr>
        <w:pStyle w:val="FirstParagraph"/>
      </w:pPr>
      <w:r>
        <w:rPr>
          <w:b/>
          <w:bCs/>
        </w:rPr>
        <w:t xml:space="preserve">Corrigé</w:t>
      </w:r>
      <w:r>
        <w:t xml:space="preserve"> </w:t>
      </w:r>
      <w:r>
        <w:t xml:space="preserve">: 1-b, 2-b, 3-c.</w:t>
      </w:r>
    </w:p>
    <w:p>
      <w:pPr>
        <w:pStyle w:val="BodyText"/>
      </w:pPr>
      <w:r>
        <w:t xml:space="preserve">📝 Vrai ou Faux</w:t>
      </w:r>
    </w:p>
    <w:p>
      <w:pPr>
        <w:pStyle w:val="Compact"/>
        <w:numPr>
          <w:ilvl w:val="0"/>
          <w:numId w:val="1200"/>
        </w:numPr>
      </w:pPr>
      <w:r>
        <w:t xml:space="preserve">Avec PHS, le mot de passe en clair de l’utilisateur transite vers Entra ID. —</w:t>
      </w:r>
      <w:r>
        <w:t xml:space="preserve"> </w:t>
      </w:r>
      <w:r>
        <w:rPr>
          <w:b/>
          <w:bCs/>
        </w:rPr>
        <w:t xml:space="preserve">Faux</w:t>
      </w:r>
      <w:r>
        <w:t xml:space="preserve"> </w:t>
      </w:r>
      <w:r>
        <w:t xml:space="preserve">(seul un hachage supplémentaire du hachage local est transmis).</w:t>
      </w:r>
    </w:p>
    <w:p>
      <w:pPr>
        <w:pStyle w:val="Compact"/>
        <w:numPr>
          <w:ilvl w:val="0"/>
          <w:numId w:val="1200"/>
        </w:numPr>
      </w:pPr>
      <w:r>
        <w:t xml:space="preserve">Un déploiement hybride bien conçu permet à un utilisateur de n’avoir qu’un seul mot de passe à retenir. —</w:t>
      </w:r>
      <w:r>
        <w:t xml:space="preserve"> </w:t>
      </w:r>
      <w:r>
        <w:rPr>
          <w:b/>
          <w:bCs/>
        </w:rPr>
        <w:t xml:space="preserve">Vrai</w:t>
      </w:r>
      <w:r>
        <w:t xml:space="preserve">.</w:t>
      </w:r>
    </w:p>
    <w:p>
      <w:pPr>
        <w:pStyle w:val="Compact"/>
        <w:numPr>
          <w:ilvl w:val="0"/>
          <w:numId w:val="1200"/>
        </w:numPr>
      </w:pPr>
      <w:r>
        <w:t xml:space="preserve">PTA et la fédération continuent de fonctionner normalement même si le réseau local est totalement indisponible. —</w:t>
      </w:r>
      <w:r>
        <w:t xml:space="preserve"> </w:t>
      </w:r>
      <w:r>
        <w:rPr>
          <w:b/>
          <w:bCs/>
        </w:rPr>
        <w:t xml:space="preserve">Faux</w:t>
      </w:r>
      <w:r>
        <w:t xml:space="preserve"> </w:t>
      </w:r>
      <w:r>
        <w:t xml:space="preserve">(elles dépendent d’une disponibilité locale à chaque connexion, contrairement à PHS).</w:t>
      </w:r>
    </w:p>
    <w:p>
      <w:pPr>
        <w:pStyle w:val="Compact"/>
        <w:numPr>
          <w:ilvl w:val="0"/>
          <w:numId w:val="1200"/>
        </w:numPr>
      </w:pPr>
      <w:r>
        <w:t xml:space="preserve">Le MFA devient encore plus important lors d’un passage à des services cloud accessibles depuis l’extérieur du réseau de l’entreprise. —</w:t>
      </w:r>
      <w:r>
        <w:t xml:space="preserve"> </w:t>
      </w:r>
      <w:r>
        <w:rPr>
          <w:b/>
          <w:bCs/>
        </w:rPr>
        <w:t xml:space="preserve">Vrai</w:t>
      </w:r>
      <w:r>
        <w:t xml:space="preserve">.</w:t>
      </w:r>
    </w:p>
    <w:p>
      <w:pPr>
        <w:pStyle w:val="FirstParagraph"/>
      </w:pPr>
      <w:r>
        <w:t xml:space="preserve">📝 Questions ouvertes</w:t>
      </w:r>
    </w:p>
    <w:p>
      <w:pPr>
        <w:pStyle w:val="Compact"/>
        <w:numPr>
          <w:ilvl w:val="0"/>
          <w:numId w:val="1201"/>
        </w:numPr>
      </w:pPr>
      <w:r>
        <w:t xml:space="preserve">Explique, avec tes propres mots, pourquoi une entreprise avec des systèmes legacy dépendant d’Active Directory local n’a généralement pas intérêt à migrer immédiatement et entièrement vers Entra ID seul.</w:t>
      </w:r>
    </w:p>
    <w:p>
      <w:pPr>
        <w:pStyle w:val="Compact"/>
        <w:numPr>
          <w:ilvl w:val="0"/>
          <w:numId w:val="1201"/>
        </w:numPr>
      </w:pPr>
      <w:r>
        <w:t xml:space="preserve">Reprends le scénario d’ouverture. Explique comment tu répondrais à la question du DSI sur le second mot de passe, en une réponse claire et non technique.</w:t>
      </w:r>
    </w:p>
    <w:p>
      <w:pPr>
        <w:pStyle w:val="FirstParagraph"/>
      </w:pPr>
      <w:r>
        <w:rPr>
          <w:b/>
          <w:bCs/>
        </w:rPr>
        <w:t xml:space="preserve">Corrigé 1</w:t>
      </w:r>
      <w:r>
        <w:t xml:space="preserve"> </w:t>
      </w:r>
      <w:r>
        <w:t xml:space="preserve">: les systèmes legacy dépendant de protocoles Active Directory traditionnels (LDAP, Kerberos) ne peuvent généralement pas s’authentifier directement contre Entra ID, qui repose sur des protocoles différents. Abandonner Active Directory local casserait l’accès à ces systèmes tant qu’ils n’ont pas été eux-mêmes migrés ou remplacés — un projet potentiellement long et coûteux, largement disproportionné pour répondre au seul besoin d’accès simplifié à des services cloud comme Microsoft 365.</w:t>
      </w:r>
    </w:p>
    <w:p>
      <w:pPr>
        <w:pStyle w:val="BodyText"/>
      </w:pPr>
      <w:r>
        <w:rPr>
          <w:b/>
          <w:bCs/>
        </w:rPr>
        <w:t xml:space="preserve">Corrigé 2</w:t>
      </w:r>
      <w:r>
        <w:t xml:space="preserve"> </w:t>
      </w:r>
      <w:r>
        <w:t xml:space="preserve">: je répondrais que non, grâce à la synchronisation entre l’Active Directory local existant et Entra ID (via Microsoft Entra Connect), chaque employé continuera d’utiliser exactement le même compte et le même mot de passe qu’aujourd’hui pour ouvrir sa session Windows le matin, et ce même compte fonctionnera automatiquement pour Microsoft 365 — sans second mot de passe à retenir ni double gestion pour l’équipe IT.</w:t>
      </w:r>
    </w:p>
    <w:bookmarkEnd w:id="216"/>
    <w:bookmarkStart w:id="217" w:name="exercices-7"/>
    <w:p>
      <w:pPr>
        <w:pStyle w:val="Heading2"/>
      </w:pPr>
      <w:r>
        <w:t xml:space="preserve">Exercices</w:t>
      </w:r>
    </w:p>
    <w:p>
      <w:pPr>
        <w:pStyle w:val="FirstParagraph"/>
      </w:pPr>
      <w:r>
        <w:t xml:space="preserve">📝 Exercice 8.1</w:t>
      </w:r>
    </w:p>
    <w:p>
      <w:pPr>
        <w:pStyle w:val="BodyText"/>
      </w:pPr>
      <w:r>
        <w:t xml:space="preserve">Explique la différence entre PHS et PTA en termes de</w:t>
      </w:r>
      <w:r>
        <w:t xml:space="preserve"> </w:t>
      </w:r>
      <w:r>
        <w:t xml:space="preserve">“où le mot de passe est réellement vérifié”</w:t>
      </w:r>
      <w:r>
        <w:t xml:space="preserve">, et laquelle des deux méthodes serait affectée par une panne du réseau local au moment précis d’une tentative de connexion cloud.</w:t>
      </w:r>
    </w:p>
    <w:p>
      <w:pPr>
        <w:pStyle w:val="BodyText"/>
      </w:pPr>
      <w:r>
        <w:rPr>
          <w:b/>
          <w:bCs/>
        </w:rPr>
        <w:t xml:space="preserve">Corrigé :</w:t>
      </w:r>
      <w:r>
        <w:t xml:space="preserve"> </w:t>
      </w:r>
      <w:r>
        <w:t xml:space="preserve">Avec PHS, un hachage du mot de passe est déjà synchronisé vers Entra ID à l’avance — la vérification a lieu entièrement dans le cloud, indépendamment de l’état du réseau local au moment de la connexion. Avec PTA, chaque tentative de connexion doit être transmise en temps réel vers un agent installé sur le réseau local pour vérification — une panne du réseau local au moment précis de la connexion empêcherait donc l’authentification de réussir avec PTA, contrairement à PHS.</w:t>
      </w:r>
    </w:p>
    <w:p>
      <w:pPr>
        <w:pStyle w:val="BodyText"/>
      </w:pPr>
      <w:r>
        <w:t xml:space="preserve">📝 Exercice 8.2</w:t>
      </w:r>
    </w:p>
    <w:p>
      <w:pPr>
        <w:pStyle w:val="BodyText"/>
      </w:pPr>
      <w:r>
        <w:t xml:space="preserve">Rédige, en 3 à 5 phrases, pourquoi le MFA devrait être une priorité immédiate lors du déploiement hybride du scénario d’ouverture, plutôt qu’une amélioration à envisager</w:t>
      </w:r>
      <w:r>
        <w:t xml:space="preserve"> </w:t>
      </w:r>
      <w:r>
        <w:t xml:space="preserve">“plus tard”</w:t>
      </w:r>
      <w:r>
        <w:t xml:space="preserve">.</w:t>
      </w:r>
    </w:p>
    <w:p>
      <w:pPr>
        <w:pStyle w:val="BodyText"/>
      </w:pPr>
      <w:r>
        <w:rPr>
          <w:b/>
          <w:bCs/>
        </w:rPr>
        <w:t xml:space="preserve">Corrigé (exemple de réponse) :</w:t>
      </w:r>
      <w:r>
        <w:t xml:space="preserve"> </w:t>
      </w:r>
      <w:r>
        <w:t xml:space="preserve">Avant le déploiement hybride, l’accès aux systèmes de l’entreprise était limité au réseau local ou à un accès distant déjà sécurisé par bastion (chapitre 4) ; après le déploiement, les comptes utilisateurs deviennent accessibles depuis Internet via les services Microsoft 365, élargissant considérablement la surface d’attaque exposée. Sans MFA, un mot de passe compromis par hameçonnage (un risque réel et fréquent) suffirait à un attaquant pour accéder directement à la messagerie et aux documents de l’entreprise depuis n’importe où dans le monde. Activer le MFA dès le déploiement, plutôt qu’après coup, évite une fenêtre de vulnérabilité inutile pendant laquelle l’entreprise serait exposée sans la protection appropriée.</w:t>
      </w:r>
    </w:p>
    <w:bookmarkEnd w:id="217"/>
    <w:bookmarkStart w:id="218" w:name="checklist-de-fin-de-chapitre-7"/>
    <w:p>
      <w:pPr>
        <w:pStyle w:val="Heading2"/>
      </w:pPr>
      <w:r>
        <w:t xml:space="preserve">Checklist de fin de chapitre</w:t>
      </w:r>
    </w:p>
    <w:p>
      <w:pPr>
        <w:pStyle w:val="FirstParagraph"/>
      </w:pPr>
      <w:r>
        <w:t xml:space="preserve">☐ Je sais expliquer la différence fondamentale entre Active Directory et Microsoft Entra ID.</w:t>
      </w:r>
    </w:p>
    <w:p>
      <w:pPr>
        <w:pStyle w:val="BodyText"/>
      </w:pPr>
      <w:r>
        <w:t xml:space="preserve">☐ Je comprends le rôle de Microsoft Entra Connect dans un scénario hybride.</w:t>
      </w:r>
    </w:p>
    <w:p>
      <w:pPr>
        <w:pStyle w:val="BodyText"/>
      </w:pPr>
      <w:r>
        <w:t xml:space="preserve">☐ Je connais les trois méthodes d’authentification hybride (PHS, PTA, fédération) et leurs compromis.</w:t>
      </w:r>
    </w:p>
    <w:p>
      <w:pPr>
        <w:pStyle w:val="BodyText"/>
      </w:pPr>
      <w:r>
        <w:t xml:space="preserve">☐ Je sais pourquoi PHS est souvent recommandée par défaut.</w:t>
      </w:r>
    </w:p>
    <w:p>
      <w:pPr>
        <w:pStyle w:val="BodyText"/>
      </w:pPr>
      <w:r>
        <w:t xml:space="preserve">☐ Je comprends pourquoi le MFA devient encore plus critique lors d’un passage à des services cloud.</w:t>
      </w:r>
    </w:p>
    <w:bookmarkEnd w:id="218"/>
    <w:bookmarkStart w:id="219" w:name="faq-7"/>
    <w:p>
      <w:pPr>
        <w:pStyle w:val="Heading2"/>
      </w:pPr>
      <w:r>
        <w:t xml:space="preserve">FAQ</w:t>
      </w:r>
    </w:p>
    <w:p>
      <w:pPr>
        <w:pStyle w:val="FirstParagraph"/>
      </w:pPr>
      <w:r>
        <w:t xml:space="preserve">Une petite entreprise sans Active Directory local a-t-elle besoin d’Entra Connect ?</w:t>
      </w:r>
    </w:p>
    <w:p>
      <w:pPr>
        <w:pStyle w:val="BodyText"/>
      </w:pPr>
      <w:r>
        <w:t xml:space="preserve">Non — si l’entreprise n’a jamais eu d’Active Directory local et gère ses comptes directement dans Entra ID (un scénario</w:t>
      </w:r>
      <w:r>
        <w:t xml:space="preserve"> </w:t>
      </w:r>
      <w:r>
        <w:t xml:space="preserve">“cloud natif”</w:t>
      </w:r>
      <w:r>
        <w:t xml:space="preserve"> </w:t>
      </w:r>
      <w:r>
        <w:t xml:space="preserve">de plus en plus fréquent pour les très petites structures), la synchronisation hybride n’a simplement pas lieu d’être. Ce chapitre concerne spécifiquement les organisations qui possèdent déjà un Active Directory local, comme celle de ce manuel.</w:t>
      </w:r>
    </w:p>
    <w:p>
      <w:pPr>
        <w:pStyle w:val="BodyText"/>
      </w:pPr>
      <w:r>
        <w:t xml:space="preserve">Peut-on changer de méthode d’authentification hybride après le déploiement initial ?</w:t>
      </w:r>
    </w:p>
    <w:p>
      <w:pPr>
        <w:pStyle w:val="BodyText"/>
      </w:pPr>
      <w:r>
        <w:t xml:space="preserve">Oui, c’est techniquement possible et parfois nécessaire (par exemple, passer de PHS à la fédération suite à une nouvelle exigence réglementaire), mais ce changement mérite la même rigueur de planification et de test qu’un changement normal du chapitre 2, pas une bascule improvisée.</w:t>
      </w:r>
    </w:p>
    <w:p>
      <w:pPr>
        <w:pStyle w:val="BodyText"/>
      </w:pPr>
      <w:r>
        <w:t xml:space="preserve">Le déploiement hybride affecte-t-il les serveurs et applications qui restent purement locaux ?</w:t>
      </w:r>
    </w:p>
    <w:p>
      <w:pPr>
        <w:pStyle w:val="BodyText"/>
      </w:pPr>
      <w:r>
        <w:t xml:space="preserve">Non, les systèmes purement locaux continuent de s’authentifier normalement contre l’Active Directory local, exactement comme avant le déploiement hybride — seuls les services cloud bénéficient de la synchronisation vers Entra ID.</w:t>
      </w:r>
    </w:p>
    <w:p>
      <w:pPr>
        <w:pStyle w:val="BodyText"/>
      </w:pPr>
      <w:r>
        <w:t xml:space="preserve">Faut-il des licences Microsoft 365 pour utiliser Entra ID ?</w:t>
      </w:r>
    </w:p>
    <w:p>
      <w:pPr>
        <w:pStyle w:val="BodyText"/>
      </w:pPr>
      <w:r>
        <w:t xml:space="preserve">Une version gratuite d’Entra ID existe avec des fonctionnalités de base, mais les fonctionnalités avancées de sécurité (comme certaines politiques de MFA conditionnelles poussées) nécessitent généralement des licences payantes — un point à valider avec les besoins réels et le budget de l’organisation avant de s’engager sur une architecture précise.</w:t>
      </w:r>
    </w:p>
    <w:bookmarkEnd w:id="219"/>
    <w:bookmarkStart w:id="223" w:name="références-et-pour-aller-plus-loin-7"/>
    <w:p>
      <w:pPr>
        <w:pStyle w:val="Heading2"/>
      </w:pPr>
      <w:r>
        <w:t xml:space="preserve">Références et pour aller plus loin</w:t>
      </w:r>
    </w:p>
    <w:p>
      <w:pPr>
        <w:pStyle w:val="Compact"/>
        <w:numPr>
          <w:ilvl w:val="0"/>
          <w:numId w:val="1202"/>
        </w:numPr>
      </w:pPr>
      <w:r>
        <w:t xml:space="preserve">Microsoft Learn — Qu’est-ce que Microsoft Entra Connect :</w:t>
      </w:r>
      <w:r>
        <w:t xml:space="preserve"> </w:t>
      </w:r>
      <w:hyperlink r:id="rId220">
        <w:r>
          <w:rPr>
            <w:rStyle w:val="Hyperlink"/>
          </w:rPr>
          <w:t xml:space="preserve">https://learn.microsoft.com/fr-fr/entra/identity/hybrid/connect/whatis-azure-ad-connect</w:t>
        </w:r>
      </w:hyperlink>
    </w:p>
    <w:p>
      <w:pPr>
        <w:pStyle w:val="Compact"/>
        <w:numPr>
          <w:ilvl w:val="0"/>
          <w:numId w:val="1202"/>
        </w:numPr>
      </w:pPr>
      <w:r>
        <w:t xml:space="preserve">Microsoft Learn — Choisir la bonne méthode d’authentification pour votre solution d’identité hybride :</w:t>
      </w:r>
      <w:r>
        <w:t xml:space="preserve"> </w:t>
      </w:r>
      <w:hyperlink r:id="rId221">
        <w:r>
          <w:rPr>
            <w:rStyle w:val="Hyperlink"/>
          </w:rPr>
          <w:t xml:space="preserve">https://learn.microsoft.com/fr-fr/entra/identity/hybrid/connect/choose-ad-authn</w:t>
        </w:r>
      </w:hyperlink>
    </w:p>
    <w:p>
      <w:pPr>
        <w:pStyle w:val="Compact"/>
        <w:numPr>
          <w:ilvl w:val="0"/>
          <w:numId w:val="1202"/>
        </w:numPr>
      </w:pPr>
      <w:r>
        <w:t xml:space="preserve">Microsoft Learn — Vue d’ensemble de Microsoft Entra ID :</w:t>
      </w:r>
      <w:r>
        <w:t xml:space="preserve"> </w:t>
      </w:r>
      <w:hyperlink r:id="rId222">
        <w:r>
          <w:rPr>
            <w:rStyle w:val="Hyperlink"/>
          </w:rPr>
          <w:t xml:space="preserve">https://learn.microsoft.com/fr-fr/entra/fundamentals/whatis</w:t>
        </w:r>
      </w:hyperlink>
    </w:p>
    <w:p>
      <w:pPr>
        <w:pStyle w:val="FirstParagraph"/>
      </w:pPr>
      <w:r>
        <w:rPr>
          <w:i/>
          <w:iCs/>
        </w:rPr>
        <w:t xml:space="preserve">Chapitre suivant : DNS avancé sur Windows Server — zones, délégation et DNSSEC, le service qui permet à chaque machine et chaque utilisateur de trouver les ressources dont ils ont besoin sur le réseau.</w:t>
      </w:r>
    </w:p>
    <w:p>
      <w:pPr>
        <w:pStyle w:val="BodyText"/>
      </w:pPr>
      <w:r>
        <w:t xml:space="preserve">CHAPITRE 9</w:t>
      </w:r>
    </w:p>
    <w:bookmarkEnd w:id="223"/>
    <w:bookmarkEnd w:id="224"/>
    <w:bookmarkStart w:id="251" w:name="dns-avancé-sur-windows-server"/>
    <w:p>
      <w:pPr>
        <w:pStyle w:val="Heading1"/>
      </w:pPr>
      <w:r>
        <w:t xml:space="preserve">DNS avancé sur Windows Server</w:t>
      </w:r>
    </w:p>
    <w:p>
      <w:pPr>
        <w:pStyle w:val="FirstParagraph"/>
      </w:pPr>
      <w:r>
        <w:t xml:space="preserve">🎯 Objectif du chapitre</w:t>
      </w:r>
      <w:r>
        <w:t xml:space="preserve"> </w:t>
      </w:r>
      <w:r>
        <w:t xml:space="preserve">Comprendre en profondeur le fonctionnement du DNS sur Windows Server — au-delà de la simple résolution de noms — et savoir concevoir des zones DNS intégrées à Active Directory, configurer une délégation de zone, et comprendre l’intérêt de DNSSEC. À la fin de ce chapitre, tu sauras diagnostiquer méthodiquement un problème de résolution DNS, l’une des causes les plus fréquentes d’incidents en environnement Windows.</w:t>
      </w:r>
    </w:p>
    <w:p>
      <w:pPr>
        <w:pStyle w:val="BodyText"/>
      </w:pPr>
      <w:r>
        <w:t xml:space="preserve">🎬 Mise en situation</w:t>
      </w:r>
      <w:r>
        <w:t xml:space="preserve"> </w:t>
      </w:r>
      <w:r>
        <w:t xml:space="preserve">Neuvième semaine. Un lundi matin, plusieurs utilisateurs du Cap-Haïtien signalent qu’ils n’arrivent plus à accéder à l’application interne de gestion des sinistres, alors que le serveur qui l’héberge fonctionne normalement (confirmé par une connexion directe via son adresse IP). Le DSI te demande d’investiguer. En quelques minutes de diagnostic méthodique, tu identifies la cause : une modification récente de l’adresse IP du serveur applicatif n’a pas été correctement propagée dans le DNS interne.</w:t>
      </w:r>
      <w:r>
        <w:t xml:space="preserve"> </w:t>
      </w:r>
      <w:r>
        <w:t xml:space="preserve">“Comment est-ce qu’un simple problème de nom peut bloquer tout un service qui fonctionne pourtant très bien ?”</w:t>
      </w:r>
      <w:r>
        <w:t xml:space="preserve"> </w:t>
      </w:r>
      <w:r>
        <w:t xml:space="preserve">te demande le DSI, perplexe. Ce chapitre répond à cette question, et t’arme pour ne plus jamais perdre de temps face à ce type d’incident, l’un des plus fréquents du métier.</w:t>
      </w:r>
    </w:p>
    <w:bookmarkStart w:id="225" w:name="X1fe3d7b94da736b5cfa81a7bbc3dd8d724ce57f"/>
    <w:p>
      <w:pPr>
        <w:pStyle w:val="Heading2"/>
      </w:pPr>
      <w:r>
        <w:t xml:space="preserve">9.1 Pourquoi le DNS est si souvent la cause cachée d’un incident</w:t>
      </w:r>
    </w:p>
    <w:p>
      <w:pPr>
        <w:pStyle w:val="FirstParagraph"/>
      </w:pPr>
      <w:r>
        <w:t xml:space="preserve">Le</w:t>
      </w:r>
      <w:r>
        <w:t xml:space="preserve"> </w:t>
      </w:r>
      <w:r>
        <w:rPr>
          <w:b/>
          <w:bCs/>
        </w:rPr>
        <w:t xml:space="preserve">DNS</w:t>
      </w:r>
      <w:r>
        <w:t xml:space="preserve"> </w:t>
      </w:r>
      <w:r>
        <w:t xml:space="preserve">(</w:t>
      </w:r>
      <w:r>
        <w:rPr>
          <w:i/>
          <w:iCs/>
        </w:rPr>
        <w:t xml:space="preserve">Domain Name System</w:t>
      </w:r>
      <w:r>
        <w:t xml:space="preserve">) traduit des noms lisibles par un humain (</w:t>
      </w:r>
      <w:r>
        <w:rPr>
          <w:rStyle w:val="VerbatimChar"/>
        </w:rPr>
        <w:t xml:space="preserve">sinistres.assuranceht.local</w:t>
      </w:r>
      <w:r>
        <w:t xml:space="preserve">) en adresses IP utilisables par les machines. Le service applicatif lui-même peut fonctionner parfaitement — comme dans le scénario d’ouverture — tout en étant totalement inaccessible si le nom qui pointe vers lui est incorrect, obsolète, ou introuvable.</w:t>
      </w:r>
    </w:p>
    <w:p>
      <w:pPr>
        <w:pStyle w:val="BodyText"/>
      </w:pPr>
      <w:r>
        <w:t xml:space="preserve">💡 Analogie — l’annuaire téléphonique</w:t>
      </w:r>
      <w:r>
        <w:t xml:space="preserve"> </w:t>
      </w:r>
      <w:r>
        <w:t xml:space="preserve">Le DNS fonctionne comme un annuaire téléphonique : le numéro de téléphone d’une entreprise (l’adresse IP) ne change pas nécessairement, mais si l’annuaire (le DNS) indique encore un ancien numéro après un déménagement, l’appelant compose un numéro qui ne répond plus — même si l’entreprise elle-même fonctionne parfaitement à sa nouvelle adresse. C’est exactement ce qui s’est passé dans le scénario d’ouverture : le serveur fonctionnait, mais</w:t>
      </w:r>
      <w:r>
        <w:t xml:space="preserve"> </w:t>
      </w:r>
      <w:r>
        <w:t xml:space="preserve">“l’annuaire”</w:t>
      </w:r>
      <w:r>
        <w:t xml:space="preserve"> </w:t>
      </w:r>
      <w:r>
        <w:t xml:space="preserve">pointait vers une adresse obsolète.</w:t>
      </w:r>
    </w:p>
    <w:p>
      <w:pPr>
        <w:pStyle w:val="BodyText"/>
      </w:pPr>
      <w:r>
        <w:t xml:space="preserve">🧠 À mémoriser</w:t>
      </w:r>
      <w:r>
        <w:t xml:space="preserve"> </w:t>
      </w:r>
      <w:r>
        <w:t xml:space="preserve">Le DNS est fréquemment cité par les administrateurs système expérimentés comme l’une des causes les plus sous-estimées d’incidents apparemment mystérieux — un service qui</w:t>
      </w:r>
      <w:r>
        <w:t xml:space="preserve"> </w:t>
      </w:r>
      <w:r>
        <w:t xml:space="preserve">“ne répond pas”</w:t>
      </w:r>
      <w:r>
        <w:t xml:space="preserve"> </w:t>
      </w:r>
      <w:r>
        <w:t xml:space="preserve">alors qu’il fonctionne réellement très bien mérite presque toujours une vérification DNS avant toute autre hypothèse plus complexe.</w:t>
      </w:r>
    </w:p>
    <w:bookmarkEnd w:id="225"/>
    <w:bookmarkStart w:id="229" w:name="X8b5a0dd03c311bdea3c5705d247b6c93d1a16b0"/>
    <w:p>
      <w:pPr>
        <w:pStyle w:val="Heading2"/>
      </w:pPr>
      <w:r>
        <w:t xml:space="preserve">9.2 Les zones DNS intégrées à Active Directory</w:t>
      </w:r>
    </w:p>
    <w:p>
      <w:pPr>
        <w:pStyle w:val="FirstParagraph"/>
      </w:pPr>
      <w:r>
        <w:t xml:space="preserve">Sur Windows Server, une</w:t>
      </w:r>
      <w:r>
        <w:t xml:space="preserve"> </w:t>
      </w:r>
      <w:r>
        <w:rPr>
          <w:b/>
          <w:bCs/>
        </w:rPr>
        <w:t xml:space="preserve">zone DNS intégrée à Active Directory</w:t>
      </w:r>
      <w:r>
        <w:t xml:space="preserve"> </w:t>
      </w:r>
      <w:r>
        <w:t xml:space="preserve">stocke ses données directement dans l’annuaire Active Directory plutôt que dans un simple fichier texte local à un seul serveur — bénéficiant ainsi directement du modèle multi-maître et de la réplication étudiés au chapitre 6.</w:t>
      </w:r>
    </w:p>
    <w:p>
      <w:pPr>
        <w:pStyle w:val="BodyText"/>
      </w:pPr>
      <w:r>
        <w:t xml:space="preserve">✅ Bonne pratique — préférer les zones intégrées à Active Directory</w:t>
      </w:r>
      <w:r>
        <w:t xml:space="preserve"> </w:t>
      </w:r>
      <w:r>
        <w:t xml:space="preserve">Une zone DNS intégrée à Active Directory se réplique automatiquement vers tous les contrôleurs de domaine qui hébergent aussi le rôle DNS, sans configuration de transfert de zone supplémentaire à maintenir manuellement, et bénéficie nativement de la tolérance de panne du chapitre 6 : si un contrôleur DNS tombe, un autre contrôleur peut répondre aux requêtes avec les mêmes données à jour, sans configuration additionnelle.</w:t>
      </w:r>
    </w:p>
    <w:p>
      <w:pPr>
        <w:pStyle w:val="CaptionedFigure"/>
      </w:pPr>
      <w:r>
        <w:drawing>
          <wp:inline>
            <wp:extent cx="5334000" cy="4289692"/>
            <wp:effectExtent b="0" l="0" r="0" t="0"/>
            <wp:docPr descr="Diagramme" title="" id="227" name="Picture"/>
            <a:graphic>
              <a:graphicData uri="http://schemas.openxmlformats.org/drawingml/2006/picture">
                <pic:pic>
                  <pic:nvPicPr>
                    <pic:cNvPr descr="C:/Users/ingja/Desktop/jarvis-starter-kit/livrables/formations/manuel-administration-systeme/assets/diagrams/d-09-dns-avance-windows-server-diagramme-1.png" id="228" name="Picture"/>
                    <pic:cNvPicPr>
                      <a:picLocks noChangeArrowheads="1" noChangeAspect="1"/>
                    </pic:cNvPicPr>
                  </pic:nvPicPr>
                  <pic:blipFill>
                    <a:blip r:embed="rId226"/>
                    <a:stretch>
                      <a:fillRect/>
                    </a:stretch>
                  </pic:blipFill>
                  <pic:spPr bwMode="auto">
                    <a:xfrm>
                      <a:off x="0" y="0"/>
                      <a:ext cx="5334000" cy="4289692"/>
                    </a:xfrm>
                    <a:prstGeom prst="rect">
                      <a:avLst/>
                    </a:prstGeom>
                    <a:noFill/>
                    <a:ln w="9525">
                      <a:noFill/>
                      <a:headEnd/>
                      <a:tailEnd/>
                    </a:ln>
                  </pic:spPr>
                </pic:pic>
              </a:graphicData>
            </a:graphic>
          </wp:inline>
        </w:drawing>
      </w:r>
    </w:p>
    <w:p>
      <w:pPr>
        <w:pStyle w:val="ImageCaption"/>
      </w:pPr>
      <w:r>
        <w:t xml:space="preserve">Diagramme</w:t>
      </w:r>
    </w:p>
    <w:bookmarkEnd w:id="229"/>
    <w:bookmarkStart w:id="230" w:name="Xa5bafe6b7f7de027db909bf5ec31de80c77d70d"/>
    <w:p>
      <w:pPr>
        <w:pStyle w:val="Heading2"/>
      </w:pPr>
      <w:r>
        <w:t xml:space="preserve">9.3 Enregistrements DNS essentiels à connaître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 d’enregistrement</w:t>
            </w:r>
          </w:p>
        </w:tc>
        <w:tc>
          <w:tcPr/>
          <w:p>
            <w:pPr>
              <w:pStyle w:val="Compact"/>
            </w:pPr>
            <w:r>
              <w:t xml:space="preserve">Rôle</w:t>
            </w:r>
          </w:p>
        </w:tc>
        <w:tc>
          <w:tcPr/>
          <w:p>
            <w:pPr>
              <w:pStyle w:val="Compact"/>
            </w:pPr>
            <w:r>
              <w:t xml:space="preserve">Exemple</w:t>
            </w:r>
          </w:p>
        </w:tc>
      </w:tr>
      <w:tr>
        <w:tc>
          <w:tcPr/>
          <w:p>
            <w:pPr>
              <w:pStyle w:val="Compact"/>
            </w:pPr>
            <w:r>
              <w:rPr>
                <w:b/>
                <w:bCs/>
              </w:rPr>
              <w:t xml:space="preserve">A</w:t>
            </w:r>
          </w:p>
        </w:tc>
        <w:tc>
          <w:tcPr/>
          <w:p>
            <w:pPr>
              <w:pStyle w:val="Compact"/>
            </w:pPr>
            <w:r>
              <w:t xml:space="preserve">Nom vers adresse IPv4</w:t>
            </w:r>
          </w:p>
        </w:tc>
        <w:tc>
          <w:tcPr/>
          <w:p>
            <w:pPr>
              <w:pStyle w:val="Compact"/>
            </w:pPr>
            <w:r>
              <w:rPr>
                <w:rStyle w:val="VerbatimChar"/>
              </w:rPr>
              <w:t xml:space="preserve">sinistres.assuranceht.local</w:t>
            </w:r>
            <w:r>
              <w:t xml:space="preserve"> </w:t>
            </w:r>
            <w:r>
              <w:t xml:space="preserve">→</w:t>
            </w:r>
            <w:r>
              <w:t xml:space="preserve"> </w:t>
            </w:r>
            <w:r>
              <w:rPr>
                <w:rStyle w:val="VerbatimChar"/>
              </w:rPr>
              <w:t xml:space="preserve">10.10.2.15</w:t>
            </w:r>
          </w:p>
        </w:tc>
      </w:tr>
      <w:tr>
        <w:tc>
          <w:tcPr/>
          <w:p>
            <w:pPr>
              <w:pStyle w:val="Compact"/>
            </w:pPr>
            <w:r>
              <w:rPr>
                <w:b/>
                <w:bCs/>
              </w:rPr>
              <w:t xml:space="preserve">AAAA</w:t>
            </w:r>
          </w:p>
        </w:tc>
        <w:tc>
          <w:tcPr/>
          <w:p>
            <w:pPr>
              <w:pStyle w:val="Compact"/>
            </w:pPr>
            <w:r>
              <w:t xml:space="preserve">Nom vers adresse IPv6</w:t>
            </w:r>
          </w:p>
        </w:tc>
        <w:tc>
          <w:tcPr/>
          <w:p>
            <w:pPr>
              <w:pStyle w:val="Compact"/>
            </w:pPr>
            <w:r>
              <w:t xml:space="preserve">Équivalent A pour IPv6</w:t>
            </w:r>
          </w:p>
        </w:tc>
      </w:tr>
      <w:tr>
        <w:tc>
          <w:tcPr/>
          <w:p>
            <w:pPr>
              <w:pStyle w:val="Compact"/>
            </w:pPr>
            <w:r>
              <w:rPr>
                <w:b/>
                <w:bCs/>
              </w:rPr>
              <w:t xml:space="preserve">CNAME</w:t>
            </w:r>
          </w:p>
        </w:tc>
        <w:tc>
          <w:tcPr/>
          <w:p>
            <w:pPr>
              <w:pStyle w:val="Compact"/>
            </w:pPr>
            <w:r>
              <w:t xml:space="preserve">Alias vers un autre nom</w:t>
            </w:r>
          </w:p>
        </w:tc>
        <w:tc>
          <w:tcPr/>
          <w:p>
            <w:pPr>
              <w:pStyle w:val="Compact"/>
            </w:pPr>
            <w:r>
              <w:rPr>
                <w:rStyle w:val="VerbatimChar"/>
              </w:rPr>
              <w:t xml:space="preserve">intranet.assuranceht.local</w:t>
            </w:r>
            <w:r>
              <w:t xml:space="preserve"> </w:t>
            </w:r>
            <w:r>
              <w:t xml:space="preserve">→</w:t>
            </w:r>
            <w:r>
              <w:t xml:space="preserve"> </w:t>
            </w:r>
            <w:r>
              <w:rPr>
                <w:rStyle w:val="VerbatimChar"/>
              </w:rPr>
              <w:t xml:space="preserve">sinistres.assuranceht.local</w:t>
            </w:r>
          </w:p>
        </w:tc>
      </w:tr>
      <w:tr>
        <w:tc>
          <w:tcPr/>
          <w:p>
            <w:pPr>
              <w:pStyle w:val="Compact"/>
            </w:pPr>
            <w:r>
              <w:rPr>
                <w:b/>
                <w:bCs/>
              </w:rPr>
              <w:t xml:space="preserve">PTR</w:t>
            </w:r>
          </w:p>
        </w:tc>
        <w:tc>
          <w:tcPr/>
          <w:p>
            <w:pPr>
              <w:pStyle w:val="Compact"/>
            </w:pPr>
            <w:r>
              <w:t xml:space="preserve">Adresse IP vers nom (résolution inverse)</w:t>
            </w:r>
          </w:p>
        </w:tc>
        <w:tc>
          <w:tcPr/>
          <w:p>
            <w:pPr>
              <w:pStyle w:val="Compact"/>
            </w:pPr>
            <w:r>
              <w:rPr>
                <w:rStyle w:val="VerbatimChar"/>
              </w:rPr>
              <w:t xml:space="preserve">10.10.2.15</w:t>
            </w:r>
            <w:r>
              <w:t xml:space="preserve"> </w:t>
            </w:r>
            <w:r>
              <w:t xml:space="preserve">→</w:t>
            </w:r>
            <w:r>
              <w:t xml:space="preserve"> </w:t>
            </w:r>
            <w:r>
              <w:rPr>
                <w:rStyle w:val="VerbatimChar"/>
              </w:rPr>
              <w:t xml:space="preserve">sinistres.assuranceht.local</w:t>
            </w:r>
          </w:p>
        </w:tc>
      </w:tr>
      <w:tr>
        <w:tc>
          <w:tcPr/>
          <w:p>
            <w:pPr>
              <w:pStyle w:val="Compact"/>
            </w:pPr>
            <w:r>
              <w:rPr>
                <w:b/>
                <w:bCs/>
              </w:rPr>
              <w:t xml:space="preserve">SRV</w:t>
            </w:r>
          </w:p>
        </w:tc>
        <w:tc>
          <w:tcPr/>
          <w:p>
            <w:pPr>
              <w:pStyle w:val="Compact"/>
            </w:pPr>
            <w:r>
              <w:t xml:space="preserve">Localisation d’un service précis (utilisé massivement par Active Directory lui-même)</w:t>
            </w:r>
          </w:p>
        </w:tc>
        <w:tc>
          <w:tcPr/>
          <w:p>
            <w:pPr>
              <w:pStyle w:val="Compact"/>
            </w:pPr>
            <w:r>
              <w:t xml:space="preserve">Localisation des contrôleurs de domaine par site</w:t>
            </w:r>
          </w:p>
        </w:tc>
      </w:tr>
      <w:tr>
        <w:tc>
          <w:tcPr/>
          <w:p>
            <w:pPr>
              <w:pStyle w:val="Compact"/>
            </w:pPr>
            <w:r>
              <w:rPr>
                <w:b/>
                <w:bCs/>
              </w:rPr>
              <w:t xml:space="preserve">MX</w:t>
            </w:r>
          </w:p>
        </w:tc>
        <w:tc>
          <w:tcPr/>
          <w:p>
            <w:pPr>
              <w:pStyle w:val="Compact"/>
            </w:pPr>
            <w:r>
              <w:t xml:space="preserve">Serveur de messagerie responsable d’un domaine</w:t>
            </w:r>
          </w:p>
        </w:tc>
        <w:tc>
          <w:tcPr/>
          <w:p>
            <w:pPr>
              <w:pStyle w:val="Compact"/>
            </w:pPr>
            <w:r>
              <w:t xml:space="preserve">Redirige les emails vers le bon serveur</w:t>
            </w:r>
          </w:p>
        </w:tc>
      </w:tr>
    </w:tbl>
    <w:p>
      <w:pPr>
        <w:pStyle w:val="BodyText"/>
      </w:pPr>
      <w:r>
        <w:t xml:space="preserve">⚠️ L’enregistrement PTR, souvent oublié</w:t>
      </w:r>
      <w:r>
        <w:t xml:space="preserve"> </w:t>
      </w:r>
      <w:r>
        <w:t xml:space="preserve">Contrairement à l’enregistrement A (indispensable et rarement oublié), l’enregistrement PTR correspondant est souvent négligé lors de la création manuelle d’un enregistrement — alors que de nombreuses applications et certains contrôles de sécurité (notamment liés à la messagerie électronique) dépendent explicitement d’une résolution inverse cohérente. Une bonne pratique consiste à toujours créer les deux ensemble, jamais l’un sans l’autre.</w:t>
      </w:r>
    </w:p>
    <w:bookmarkEnd w:id="230"/>
    <w:bookmarkStart w:id="234" w:name="la-délégation-de-zone"/>
    <w:p>
      <w:pPr>
        <w:pStyle w:val="Heading2"/>
      </w:pPr>
      <w:r>
        <w:t xml:space="preserve">9.4 La délégation de zone</w:t>
      </w:r>
    </w:p>
    <w:p>
      <w:pPr>
        <w:pStyle w:val="FirstParagraph"/>
      </w:pPr>
      <w:r>
        <w:t xml:space="preserve">La</w:t>
      </w:r>
      <w:r>
        <w:t xml:space="preserve"> </w:t>
      </w:r>
      <w:r>
        <w:rPr>
          <w:b/>
          <w:bCs/>
        </w:rPr>
        <w:t xml:space="preserve">délégation</w:t>
      </w:r>
      <w:r>
        <w:t xml:space="preserve"> </w:t>
      </w:r>
      <w:r>
        <w:t xml:space="preserve">permet de confier la gestion d’une portion de l’espace de noms DNS à un autre serveur DNS, sans que le serveur parent ait besoin de connaître le détail de cette sous-zone.</w:t>
      </w:r>
    </w:p>
    <w:p>
      <w:pPr>
        <w:pStyle w:val="CaptionedFigure"/>
      </w:pPr>
      <w:r>
        <w:drawing>
          <wp:inline>
            <wp:extent cx="5334000" cy="5541818"/>
            <wp:effectExtent b="0" l="0" r="0" t="0"/>
            <wp:docPr descr="Diagramme" title="" id="232" name="Picture"/>
            <a:graphic>
              <a:graphicData uri="http://schemas.openxmlformats.org/drawingml/2006/picture">
                <pic:pic>
                  <pic:nvPicPr>
                    <pic:cNvPr descr="C:/Users/ingja/Desktop/jarvis-starter-kit/livrables/formations/manuel-administration-systeme/assets/diagrams/d-09-dns-avance-windows-server-diagramme-2.png" id="233" name="Picture"/>
                    <pic:cNvPicPr>
                      <a:picLocks noChangeArrowheads="1" noChangeAspect="1"/>
                    </pic:cNvPicPr>
                  </pic:nvPicPr>
                  <pic:blipFill>
                    <a:blip r:embed="rId231"/>
                    <a:stretch>
                      <a:fillRect/>
                    </a:stretch>
                  </pic:blipFill>
                  <pic:spPr bwMode="auto">
                    <a:xfrm>
                      <a:off x="0" y="0"/>
                      <a:ext cx="5334000" cy="5541818"/>
                    </a:xfrm>
                    <a:prstGeom prst="rect">
                      <a:avLst/>
                    </a:prstGeom>
                    <a:noFill/>
                    <a:ln w="9525">
                      <a:noFill/>
                      <a:headEnd/>
                      <a:tailEnd/>
                    </a:ln>
                  </pic:spPr>
                </pic:pic>
              </a:graphicData>
            </a:graphic>
          </wp:inline>
        </w:drawing>
      </w:r>
    </w:p>
    <w:p>
      <w:pPr>
        <w:pStyle w:val="ImageCaption"/>
      </w:pPr>
      <w:r>
        <w:t xml:space="preserve">Diagramme</w:t>
      </w:r>
    </w:p>
    <w:p>
      <w:pPr>
        <w:pStyle w:val="BodyText"/>
      </w:pPr>
      <w:r>
        <w:t xml:space="preserve">💡 Quand la délégation est-elle utile en pratique ?</w:t>
      </w:r>
      <w:r>
        <w:t xml:space="preserve"> </w:t>
      </w:r>
      <w:r>
        <w:t xml:space="preserve">Dans une petite ou moyenne entreprise comme celle de ce manuel, la délégation de zone reste rarement nécessaire — un seul serveur DNS intégré à Active Directory (section 9.2) couvre largement le besoin. Elle devient pertinente dans des organisations plus grandes, où une équipe distincte (par exemple une équipe de développement gérant un environnement de test isolé) a besoin d’une autonomie complète sur sa propre portion de l’espace de noms, sans dépendre à chaque changement de l’équipe infrastructure centrale.</w:t>
      </w:r>
    </w:p>
    <w:bookmarkEnd w:id="234"/>
    <w:bookmarkStart w:id="235" w:name="dnssec-authentifier-les-réponses-dns"/>
    <w:p>
      <w:pPr>
        <w:pStyle w:val="Heading2"/>
      </w:pPr>
      <w:r>
        <w:t xml:space="preserve">9.5 DNSSEC : authentifier les réponses DNS</w:t>
      </w:r>
    </w:p>
    <w:p>
      <w:pPr>
        <w:pStyle w:val="FirstParagraph"/>
      </w:pPr>
      <w:r>
        <w:rPr>
          <w:b/>
          <w:bCs/>
        </w:rPr>
        <w:t xml:space="preserve">DNSSEC</w:t>
      </w:r>
      <w:r>
        <w:t xml:space="preserve"> </w:t>
      </w:r>
      <w:r>
        <w:t xml:space="preserve">(</w:t>
      </w:r>
      <w:r>
        <w:rPr>
          <w:i/>
          <w:iCs/>
        </w:rPr>
        <w:t xml:space="preserve">Domain Name System Security Extensions</w:t>
      </w:r>
      <w:r>
        <w:t xml:space="preserve">) ajoute une couche de signature cryptographique aux réponses DNS, permettant à un client de vérifier qu’une réponse provient réellement du serveur légitime et n’a pas été altérée en chemin — une protection contre certaines attaques de type usurpation ou empoisonnement de cache DNS.</w:t>
      </w:r>
    </w:p>
    <w:p>
      <w:pPr>
        <w:pStyle w:val="BodyText"/>
      </w:pPr>
      <w:r>
        <w:t xml:space="preserve">🔒 Sécurité — DNSSEC protège l’intégrité, pas la confidentialité</w:t>
      </w:r>
      <w:r>
        <w:t xml:space="preserve"> </w:t>
      </w:r>
      <w:r>
        <w:t xml:space="preserve">Une confusion fréquente : DNSSEC ne chiffre pas les requêtes DNS (leur contenu reste visible en transit) — il garantit uniquement l’</w:t>
      </w:r>
      <w:r>
        <w:t xml:space="preserve">authenticité</w:t>
      </w:r>
      <w:r>
        <w:t xml:space="preserve"> </w:t>
      </w:r>
      <w:r>
        <w:t xml:space="preserve">et l’</w:t>
      </w:r>
      <w:r>
        <w:t xml:space="preserve">intégrité</w:t>
      </w:r>
      <w:r>
        <w:t xml:space="preserve"> </w:t>
      </w:r>
      <w:r>
        <w:t xml:space="preserve">de la réponse reçue, empêchant un attaquant de rediriger discrètement un nom légitime vers une adresse IP malveillante. Pour la confidentialité des requêtes elles-mêmes, des protocoles distincts existent (DNS over HTTPS, DNS over TLS), hors du périmètre de ce chapitre.</w:t>
      </w:r>
    </w:p>
    <w:p>
      <w:pPr>
        <w:pStyle w:val="BodyText"/>
      </w:pPr>
      <w:r>
        <w:t xml:space="preserve">🚀 Performance — le coût réel de DNSSEC</w:t>
      </w:r>
      <w:r>
        <w:t xml:space="preserve"> </w:t>
      </w:r>
      <w:r>
        <w:t xml:space="preserve">DNSSEC ajoute une charge de calcul et de taille de réponse supplémentaire (signatures cryptographiques à vérifier), un compromis à évaluer selon le niveau de risque réel de l’organisation — pour un réseau interne d’entreprise fermé, protégé par ailleurs (bastion du chapitre 4, segmentation du chapitre 5), le bénéfice de DNSSEC est souvent moins critique que pour un domaine public exposé sur Internet, où l’usurpation DNS représente un risque nettement plus concret.</w:t>
      </w:r>
    </w:p>
    <w:bookmarkEnd w:id="235"/>
    <w:bookmarkStart w:id="236" w:name="X5fb76315df978dc6f9089929a02b133249e8394"/>
    <w:p>
      <w:pPr>
        <w:pStyle w:val="Heading2"/>
      </w:pPr>
      <w:r>
        <w:t xml:space="preserve">9.6 Diagnostiquer un problème DNS méthodiquement</w:t>
      </w:r>
    </w:p>
    <w:p>
      <w:pPr>
        <w:pStyle w:val="FirstParagraph"/>
      </w:pPr>
      <w:r>
        <w:t xml:space="preserve">Reprenons le scénario d’ouverture avec les bons outils :</w:t>
      </w:r>
    </w:p>
    <w:p>
      <w:pPr>
        <w:pStyle w:val="SourceCode"/>
      </w:pPr>
      <w:r>
        <w:rPr>
          <w:rStyle w:val="VerbatimChar"/>
        </w:rPr>
        <w:t xml:space="preserve"># Verifier la resolution d'un nom precis, sans passer par le cache local</w:t>
      </w:r>
      <w:r>
        <w:br/>
      </w:r>
      <w:r>
        <w:rPr>
          <w:rStyle w:val="VerbatimChar"/>
        </w:rPr>
        <w:t xml:space="preserve">nslookup sinistres.assuranceht.local</w:t>
      </w:r>
      <w:r>
        <w:br/>
      </w:r>
      <w:r>
        <w:br/>
      </w:r>
      <w:r>
        <w:rPr>
          <w:rStyle w:val="VerbatimChar"/>
        </w:rPr>
        <w:t xml:space="preserve"># Interroger directement un serveur DNS precis (utile pour comparer</w:t>
      </w:r>
      <w:r>
        <w:br/>
      </w:r>
      <w:r>
        <w:rPr>
          <w:rStyle w:val="VerbatimChar"/>
        </w:rPr>
        <w:t xml:space="preserve"># la reponse entre deux controleurs de domaine differents)</w:t>
      </w:r>
      <w:r>
        <w:br/>
      </w:r>
      <w:r>
        <w:rPr>
          <w:rStyle w:val="VerbatimChar"/>
        </w:rPr>
        <w:t xml:space="preserve">nslookup sinistres.assuranceht.local DC-CAP-01</w:t>
      </w:r>
      <w:r>
        <w:br/>
      </w:r>
      <w:r>
        <w:br/>
      </w:r>
      <w:r>
        <w:rPr>
          <w:rStyle w:val="VerbatimChar"/>
        </w:rPr>
        <w:t xml:space="preserve"># Vider le cache DNS local d'un poste client, utile si une ancienne</w:t>
      </w:r>
      <w:r>
        <w:br/>
      </w:r>
      <w:r>
        <w:rPr>
          <w:rStyle w:val="VerbatimChar"/>
        </w:rPr>
        <w:t xml:space="preserve"># reponse incorrecte y est restee stockee au-dela de sa duree de vie prevue</w:t>
      </w:r>
      <w:r>
        <w:br/>
      </w:r>
      <w:r>
        <w:rPr>
          <w:rStyle w:val="VerbatimChar"/>
        </w:rPr>
        <w:t xml:space="preserve">ipconfig /flushdns</w:t>
      </w:r>
      <w:r>
        <w:br/>
      </w:r>
      <w:r>
        <w:br/>
      </w:r>
      <w:r>
        <w:rPr>
          <w:rStyle w:val="VerbatimChar"/>
        </w:rPr>
        <w:t xml:space="preserve"># Verifier la coherence entre les enregistrements A et PTR</w:t>
      </w:r>
      <w:r>
        <w:br/>
      </w:r>
      <w:r>
        <w:rPr>
          <w:rStyle w:val="VerbatimChar"/>
        </w:rPr>
        <w:t xml:space="preserve">nslookup 10.10.2.15</w:t>
      </w:r>
    </w:p>
    <w:p>
      <w:pPr>
        <w:pStyle w:val="FirstParagraph"/>
      </w:pPr>
      <w:r>
        <w:t xml:space="preserve">🩺 Situation :</w:t>
      </w:r>
      <w:r>
        <w:t xml:space="preserve"> </w:t>
      </w:r>
      <w:r>
        <w:t xml:space="preserve">“Le service fonctionne en accès direct par IP, mais pas par son nom”</w:t>
      </w:r>
    </w:p>
    <w:p>
      <w:pPr>
        <w:pStyle w:val="Compact"/>
        <w:numPr>
          <w:ilvl w:val="0"/>
          <w:numId w:val="1203"/>
        </w:numPr>
      </w:pPr>
      <w:r>
        <w:rPr>
          <w:b/>
          <w:bCs/>
        </w:rPr>
        <w:t xml:space="preserve">Diagnostic</w:t>
      </w:r>
      <w:r>
        <w:t xml:space="preserve"> </w:t>
      </w:r>
      <w:r>
        <w:t xml:space="preserve">: c’est presque toujours un problème DNS pur, exactement comme dans le scénario d’ouverture — le service lui-même n’est pas en cause.</w:t>
      </w:r>
    </w:p>
    <w:p>
      <w:pPr>
        <w:pStyle w:val="Compact"/>
        <w:numPr>
          <w:ilvl w:val="0"/>
          <w:numId w:val="1203"/>
        </w:numPr>
      </w:pPr>
      <w:r>
        <w:rPr>
          <w:b/>
          <w:bCs/>
        </w:rPr>
        <w:t xml:space="preserve">Comment vérifier</w:t>
      </w:r>
      <w:r>
        <w:t xml:space="preserve"> </w:t>
      </w:r>
      <w:r>
        <w:t xml:space="preserve">:</w:t>
      </w:r>
      <w:r>
        <w:t xml:space="preserve"> </w:t>
      </w:r>
      <w:r>
        <w:rPr>
          <w:rStyle w:val="VerbatimChar"/>
        </w:rPr>
        <w:t xml:space="preserve">nslookup</w:t>
      </w:r>
      <w:r>
        <w:t xml:space="preserve"> </w:t>
      </w:r>
      <w:r>
        <w:t xml:space="preserve">sur le nom en question, en interrogeant directement plusieurs serveurs DNS différents (section 9.6) pour identifier si le problème touche un seul contrôleur (retard de réplication, chapitre 6) ou l’ensemble de l’infrastructure DNS (enregistrement réellement incorrect ou manquant).</w:t>
      </w:r>
    </w:p>
    <w:p>
      <w:pPr>
        <w:pStyle w:val="Compact"/>
        <w:numPr>
          <w:ilvl w:val="0"/>
          <w:numId w:val="1203"/>
        </w:numPr>
      </w:pPr>
      <w:r>
        <w:rPr>
          <w:b/>
          <w:bCs/>
        </w:rPr>
        <w:t xml:space="preserve">Résolution</w:t>
      </w:r>
      <w:r>
        <w:t xml:space="preserve"> </w:t>
      </w:r>
      <w:r>
        <w:t xml:space="preserve">: corriger ou créer l’enregistrement manquant/incorrect ; si le problème ne touchait qu’un seul contrôleur, vérifier également l’état de la réplication (chapitre 6) plutôt que de supposer une simple coïncidence.</w:t>
      </w:r>
    </w:p>
    <w:p>
      <w:pPr>
        <w:pStyle w:val="FirstParagraph"/>
      </w:pPr>
      <w:r>
        <w:t xml:space="preserve">✅ Bonne pratique — le réflexe DNS avant tout diagnostic plus complexe</w:t>
      </w:r>
      <w:r>
        <w:t xml:space="preserve"> </w:t>
      </w:r>
      <w:r>
        <w:t xml:space="preserve">Face à un service</w:t>
      </w:r>
      <w:r>
        <w:t xml:space="preserve"> </w:t>
      </w:r>
      <w:r>
        <w:t xml:space="preserve">“injoignable”</w:t>
      </w:r>
      <w:r>
        <w:t xml:space="preserve"> </w:t>
      </w:r>
      <w:r>
        <w:t xml:space="preserve">alors que son infrastructure sous-jacente semble saine, vérifier la résolution DNS devrait systématiquement faire partie des toutes premières étapes de diagnostic (chapitre 1, méthode de restriction du problème) — avant d’explorer des pistes plus complexes comme un problème applicatif ou réseau profond, qui prennent nettement plus de temps à investiguer.</w:t>
      </w:r>
    </w:p>
    <w:bookmarkEnd w:id="236"/>
    <w:bookmarkStart w:id="237" w:name="X075e9a18ac515a911cc4f64027848fa806e799d"/>
    <w:p>
      <w:pPr>
        <w:pStyle w:val="Heading2"/>
      </w:pPr>
      <w:r>
        <w:t xml:space="preserve">Atelier — Diagnostiquer le scénario d’ouverture</w:t>
      </w:r>
    </w:p>
    <w:p>
      <w:pPr>
        <w:pStyle w:val="FirstParagraph"/>
      </w:pPr>
      <w:r>
        <w:t xml:space="preserve">🛠️ Atelier 9 — Reconstituer la démarche de diagnostic</w:t>
      </w:r>
    </w:p>
    <w:p>
      <w:pPr>
        <w:pStyle w:val="BodyText"/>
      </w:pPr>
      <w:r>
        <w:rPr>
          <w:b/>
          <w:bCs/>
        </w:rPr>
        <w:t xml:space="preserve">Objectif</w:t>
      </w:r>
      <w:r>
        <w:t xml:space="preserve"> </w:t>
      </w:r>
      <w:r>
        <w:t xml:space="preserve">: s’entraîner à appliquer une démarche méthodique de diagnostic DNS, en reconstituant les étapes qui ont mené à la découverte de la cause dans le scénario d’ouverture.</w:t>
      </w:r>
    </w:p>
    <w:p>
      <w:pPr>
        <w:pStyle w:val="BodyText"/>
      </w:pPr>
      <w:r>
        <w:rPr>
          <w:b/>
          <w:bCs/>
        </w:rPr>
        <w:t xml:space="preserve">Préparation</w:t>
      </w:r>
      <w:r>
        <w:t xml:space="preserve"> </w:t>
      </w:r>
      <w:r>
        <w:t xml:space="preserve">: aucune installation nécessaire.</w:t>
      </w:r>
    </w:p>
    <w:p>
      <w:pPr>
        <w:pStyle w:val="BodyText"/>
      </w:pPr>
      <w:r>
        <w:rPr>
          <w:b/>
          <w:bCs/>
        </w:rPr>
        <w:t xml:space="preserve">Étapes détaillées</w:t>
      </w:r>
      <w:r>
        <w:t xml:space="preserve"> </w:t>
      </w:r>
      <w:r>
        <w:t xml:space="preserve">:</w:t>
      </w:r>
    </w:p>
    <w:p>
      <w:pPr>
        <w:pStyle w:val="Compact"/>
        <w:numPr>
          <w:ilvl w:val="0"/>
          <w:numId w:val="1204"/>
        </w:numPr>
      </w:pPr>
      <w:r>
        <w:t xml:space="preserve">Liste, dans l’ordre logique, les étapes de diagnostic que tu aurais suivies pour identifier la cause de l’incident du scénario d’ouverture, en t’appuyant sur la section 9.6.</w:t>
      </w:r>
    </w:p>
    <w:p>
      <w:pPr>
        <w:pStyle w:val="Compact"/>
        <w:numPr>
          <w:ilvl w:val="0"/>
          <w:numId w:val="1204"/>
        </w:numPr>
      </w:pPr>
      <w:r>
        <w:t xml:space="preserve">Pour chaque étape, précise la commande utilisée et ce que son résultat t’aurait appris.</w:t>
      </w:r>
    </w:p>
    <w:p>
      <w:pPr>
        <w:pStyle w:val="Compact"/>
        <w:numPr>
          <w:ilvl w:val="0"/>
          <w:numId w:val="1204"/>
        </w:numPr>
      </w:pPr>
      <w:r>
        <w:t xml:space="preserve">Propose une mesure préventive pour éviter que ce type d’incident (changement d’IP non répercuté dans le DNS) ne se reproduise, en t’appuyant sur le chapitre 2 (gestion du changement) et le chapitre 3 (documentation).</w:t>
      </w:r>
    </w:p>
    <w:p>
      <w:pPr>
        <w:pStyle w:val="Compact"/>
        <w:numPr>
          <w:ilvl w:val="0"/>
          <w:numId w:val="1204"/>
        </w:numPr>
      </w:pPr>
      <w:r>
        <w:t xml:space="preserve">Compare ta démarche à la section</w:t>
      </w:r>
      <w:r>
        <w:t xml:space="preserve"> </w:t>
      </w:r>
      <w:r>
        <w:t xml:space="preserve">“Résultat attendu”</w:t>
      </w:r>
      <w:r>
        <w:t xml:space="preserve">.</w:t>
      </w:r>
    </w:p>
    <w:p>
      <w:pPr>
        <w:pStyle w:val="FirstParagraph"/>
      </w:pPr>
      <w:r>
        <w:rPr>
          <w:b/>
          <w:bCs/>
        </w:rPr>
        <w:t xml:space="preserve">Résultat attendu</w:t>
      </w:r>
      <w:r>
        <w:t xml:space="preserve"> </w:t>
      </w:r>
      <w:r>
        <w:t xml:space="preserve">: la démarche commence par confirmer que le service répond bien par IP directe (isolant le problème au DNS plutôt qu’au service lui-même), puis</w:t>
      </w:r>
      <w:r>
        <w:t xml:space="preserve"> </w:t>
      </w:r>
      <w:r>
        <w:rPr>
          <w:rStyle w:val="VerbatimChar"/>
        </w:rPr>
        <w:t xml:space="preserve">nslookup</w:t>
      </w:r>
      <w:r>
        <w:t xml:space="preserve"> </w:t>
      </w:r>
      <w:r>
        <w:t xml:space="preserve">sur le nom concerné pour observer l’adresse IP réellement renvoyée et la comparer à l’adresse actuelle du serveur. La mesure préventive attendue est de traiter tout changement d’adresse IP d’un serveur comme un changement normal (chapitre 2) incluant explicitement la mise à jour DNS (et PTR) dans son plan d’exécution, documentée comme une étape systématique du runbook de changement de serveur (chapitre 3) plutôt que laissée à la mémoire de l’exécutant.</w:t>
      </w:r>
    </w:p>
    <w:p>
      <w:pPr>
        <w:pStyle w:val="BodyText"/>
      </w:pPr>
      <w:r>
        <w:rPr>
          <w:b/>
          <w:bCs/>
        </w:rPr>
        <w:t xml:space="preserve">Dépannage</w:t>
      </w:r>
      <w:r>
        <w:t xml:space="preserve"> </w:t>
      </w:r>
      <w:r>
        <w:t xml:space="preserve">: si tu as du mal à formuler la mesure préventive, reviens à la section</w:t>
      </w:r>
      <w:r>
        <w:t xml:space="preserve"> </w:t>
      </w:r>
      <w:r>
        <w:t xml:space="preserve">“Optimisation, sécurité et maintenabilité”</w:t>
      </w:r>
      <w:r>
        <w:t xml:space="preserve"> </w:t>
      </w:r>
      <w:r>
        <w:t xml:space="preserve">de ce chapitre.</w:t>
      </w:r>
    </w:p>
    <w:bookmarkEnd w:id="237"/>
    <w:bookmarkStart w:id="238" w:name="erreurs-fréquentes-8"/>
    <w:p>
      <w:pPr>
        <w:pStyle w:val="Heading2"/>
      </w:pPr>
      <w:r>
        <w:t xml:space="preserve">Erreurs fréquentes</w:t>
      </w:r>
    </w:p>
    <w:p>
      <w:pPr>
        <w:pStyle w:val="FirstParagraph"/>
      </w:pPr>
      <w:r>
        <w:t xml:space="preserve">⚠️ Erreur n°1 — négliger la vérification DNS au profit d’hypothèses plus complexes</w:t>
      </w:r>
      <w:r>
        <w:t xml:space="preserve"> </w:t>
      </w:r>
      <w:r>
        <w:t xml:space="preserve">Comme évoqué en section 9.6, beaucoup d’administrateurs débutants passent un temps disproportionné à investiguer des causes complexes avant de penser à vérifier simplement la résolution de nom — un réflexe rapide et peu coûteux à acquérir dès le début de carrière.</w:t>
      </w:r>
    </w:p>
    <w:p>
      <w:pPr>
        <w:pStyle w:val="BodyText"/>
      </w:pPr>
      <w:r>
        <w:t xml:space="preserve">⚠️ Erreur n°2 — oublier l’enregistrement PTR</w:t>
      </w:r>
      <w:r>
        <w:t xml:space="preserve"> </w:t>
      </w:r>
      <w:r>
        <w:t xml:space="preserve">Rappel de la section 9.3 : de nombreux dysfonctionnements subtils (notamment liés à certains contrôles de messagerie ou de sécurité) proviennent d’une résolution inverse absente ou incohérente, souvent négligée par rapport à l’enregistrement A plus évident.</w:t>
      </w:r>
    </w:p>
    <w:p>
      <w:pPr>
        <w:pStyle w:val="BodyText"/>
      </w:pPr>
      <w:r>
        <w:t xml:space="preserve">⚠️ Erreur n°3 — modifier une adresse IP sans mettre à jour le DNS dans la même opération</w:t>
      </w:r>
      <w:r>
        <w:t xml:space="preserve"> </w:t>
      </w:r>
      <w:r>
        <w:t xml:space="preserve">Exactement la cause du scénario d’ouverture — traiter le changement d’adresse IP et la mise à jour DNS comme deux tâches séparées, potentiellement oubliables indépendamment l’une de l’autre, plutôt que comme une seule opération atomique documentée dans un runbook unique.</w:t>
      </w:r>
    </w:p>
    <w:bookmarkEnd w:id="238"/>
    <w:bookmarkStart w:id="239" w:name="en-entreprise-8"/>
    <w:p>
      <w:pPr>
        <w:pStyle w:val="Heading2"/>
      </w:pPr>
      <w:r>
        <w:t xml:space="preserve">En entreprise</w:t>
      </w:r>
    </w:p>
    <w:p>
      <w:pPr>
        <w:pStyle w:val="Compact"/>
        <w:numPr>
          <w:ilvl w:val="0"/>
          <w:numId w:val="1205"/>
        </w:numPr>
      </w:pPr>
      <w:r>
        <w:rPr>
          <w:b/>
          <w:bCs/>
        </w:rPr>
        <w:t xml:space="preserve">Bonne pratique répandue</w:t>
      </w:r>
      <w:r>
        <w:t xml:space="preserve"> </w:t>
      </w:r>
      <w:r>
        <w:t xml:space="preserve">: intégrer la mise à jour DNS comme étape obligatoire et cochée explicitement dans toute procédure de changement touchant l’adresse IP d’un serveur (chapitres 2 et 3), plutôt que de compter sur la mémoire de la personne qui exécute le changement.</w:t>
      </w:r>
    </w:p>
    <w:p>
      <w:pPr>
        <w:pStyle w:val="Compact"/>
        <w:numPr>
          <w:ilvl w:val="0"/>
          <w:numId w:val="1205"/>
        </w:numPr>
      </w:pPr>
      <w:r>
        <w:rPr>
          <w:b/>
          <w:bCs/>
        </w:rPr>
        <w:t xml:space="preserve">Bonne pratique répandue</w:t>
      </w:r>
      <w:r>
        <w:t xml:space="preserve"> </w:t>
      </w:r>
      <w:r>
        <w:t xml:space="preserve">: surveiller les temps de réponse et la disponibilité du service DNS lui-même via un outil de supervision dédié (Partie 10) — une panne DNS peut avoir un impact bien plus large et plus difficile à diagnostiquer qu’une panne d’un service applicatif isolé.</w:t>
      </w:r>
    </w:p>
    <w:p>
      <w:pPr>
        <w:pStyle w:val="Compact"/>
        <w:numPr>
          <w:ilvl w:val="0"/>
          <w:numId w:val="1205"/>
        </w:numPr>
      </w:pPr>
      <w:r>
        <w:rPr>
          <w:b/>
          <w:bCs/>
        </w:rPr>
        <w:t xml:space="preserve">Erreur classique observée</w:t>
      </w:r>
      <w:r>
        <w:t xml:space="preserve"> </w:t>
      </w:r>
      <w:r>
        <w:t xml:space="preserve">: des enregistrements DNS obsolètes qui s’accumulent au fil des années (serveurs décommissionnés dont le nom reste actif, chapitre 3 sur le décommissionnement), créant une confusion croissante lors de tout diagnostic futur.</w:t>
      </w:r>
    </w:p>
    <w:bookmarkEnd w:id="239"/>
    <w:bookmarkStart w:id="240" w:name="entretien-technique-8"/>
    <w:p>
      <w:pPr>
        <w:pStyle w:val="Heading2"/>
      </w:pPr>
      <w:r>
        <w:t xml:space="preserve">Entretien technique</w:t>
      </w:r>
    </w:p>
    <w:p>
      <w:pPr>
        <w:pStyle w:val="FirstParagraph"/>
      </w:pPr>
      <w:r>
        <w:t xml:space="preserve">💼 Questions fréquemment posées en entretien</w:t>
      </w:r>
    </w:p>
    <w:p>
      <w:pPr>
        <w:pStyle w:val="BodyText"/>
      </w:pPr>
      <w:r>
        <w:rPr>
          <w:b/>
          <w:bCs/>
        </w:rPr>
        <w:t xml:space="preserve">Q1.</w:t>
      </w:r>
      <w:r>
        <w:rPr>
          <w:b/>
          <w:bCs/>
        </w:rPr>
        <w:t xml:space="preserve"> </w:t>
      </w:r>
      <w:r>
        <w:rPr>
          <w:b/>
          <w:bCs/>
        </w:rPr>
        <w:t xml:space="preserve">“Un utilisateur ne peut pas accéder à une application par son nom, mais y accède normalement par adresse IP directe. Quelle est ta première hypothèse ?”</w:t>
      </w:r>
      <w:r>
        <w:t xml:space="preserve"> </w:t>
      </w:r>
      <w:r>
        <w:t xml:space="preserve">Réponse attendue : un problème de résolution DNS — l’enregistrement pointe probablement vers une adresse incorrecte ou obsolète, ou n’existe pas/plus. La vérification avec</w:t>
      </w:r>
      <w:r>
        <w:t xml:space="preserve"> </w:t>
      </w:r>
      <w:r>
        <w:rPr>
          <w:rStyle w:val="VerbatimChar"/>
        </w:rPr>
        <w:t xml:space="preserve">nslookup</w:t>
      </w:r>
      <w:r>
        <w:t xml:space="preserve"> </w:t>
      </w:r>
      <w:r>
        <w:t xml:space="preserve">doit être l’un des tout premiers réflexes de diagnostic, avant d’explorer des causes applicatives plus complexes.</w:t>
      </w:r>
    </w:p>
    <w:p>
      <w:pPr>
        <w:pStyle w:val="BodyText"/>
      </w:pPr>
      <w:r>
        <w:rPr>
          <w:b/>
          <w:bCs/>
        </w:rPr>
        <w:t xml:space="preserve">Q2.</w:t>
      </w:r>
      <w:r>
        <w:rPr>
          <w:b/>
          <w:bCs/>
        </w:rPr>
        <w:t xml:space="preserve"> </w:t>
      </w:r>
      <w:r>
        <w:rPr>
          <w:b/>
          <w:bCs/>
        </w:rPr>
        <w:t xml:space="preserve">“Quel est l’avantage d’une zone DNS intégrée à Active Directory par rapport à une zone traditionnelle basée sur un fichier ?”</w:t>
      </w:r>
      <w:r>
        <w:t xml:space="preserve"> </w:t>
      </w:r>
      <w:r>
        <w:t xml:space="preserve">Réponse attendue : elle bénéficie automatiquement de la réplication multi-maître d’Active Directory (chapitre 6), sans configuration de transfert de zone séparée, et profite nativement de la tolérance de panne offerte par plusieurs contrôleurs de domaine hébergeant aussi le rôle DNS.</w:t>
      </w:r>
    </w:p>
    <w:p>
      <w:pPr>
        <w:pStyle w:val="BodyText"/>
      </w:pPr>
      <w:r>
        <w:rPr>
          <w:b/>
          <w:bCs/>
        </w:rPr>
        <w:t xml:space="preserve">Q3.</w:t>
      </w:r>
      <w:r>
        <w:rPr>
          <w:b/>
          <w:bCs/>
        </w:rPr>
        <w:t xml:space="preserve"> </w:t>
      </w:r>
      <w:r>
        <w:rPr>
          <w:b/>
          <w:bCs/>
        </w:rPr>
        <w:t xml:space="preserve">“Que protège DNSSEC, et que ne protège-t-il pas ?”</w:t>
      </w:r>
      <w:r>
        <w:t xml:space="preserve"> </w:t>
      </w:r>
      <w:r>
        <w:t xml:space="preserve">Réponse attendue : DNSSEC garantit l’authenticité et l’intégrité des réponses DNS (empêche une réponse falsifiée d’être acceptée comme légitime), mais ne chiffre pas le contenu des requêtes — la confidentialité relève de protocoles distincts comme DNS over HTTPS ou DNS over TLS.</w:t>
      </w:r>
    </w:p>
    <w:bookmarkEnd w:id="240"/>
    <w:bookmarkStart w:id="241" w:name="Xdaef63ee032004539387a705c2ffd3b4493769a"/>
    <w:p>
      <w:pPr>
        <w:pStyle w:val="Heading2"/>
      </w:pPr>
      <w:r>
        <w:t xml:space="preserve">Optimisation, sécurité et maintenabilité — les réflexes dès ce chapitre</w:t>
      </w:r>
    </w:p>
    <w:p>
      <w:pPr>
        <w:pStyle w:val="FirstParagraph"/>
      </w:pPr>
      <w:r>
        <w:t xml:space="preserve">🔒 Sécurité</w:t>
      </w:r>
      <w:r>
        <w:t xml:space="preserve"> </w:t>
      </w:r>
      <w:r>
        <w:t xml:space="preserve">Restreins qui peut modifier les zones DNS aux comptes strictement nécessaires (principe du moindre privilège, chapitre 1) — un enregistrement DNS modifié de façon malveillante ou par erreur peut rediriger silencieusement des utilisateurs vers une destination inattendue, un risque de sécurité sérieux au-delà d’une simple gêne opérationnelle.</w:t>
      </w:r>
    </w:p>
    <w:p>
      <w:pPr>
        <w:pStyle w:val="BodyText"/>
      </w:pPr>
      <w:r>
        <w:t xml:space="preserve">✅ Maintenabilité</w:t>
      </w:r>
      <w:r>
        <w:t xml:space="preserve"> </w:t>
      </w:r>
      <w:r>
        <w:t xml:space="preserve">Documente la convention de nommage DNS de l’organisation (chapitre 3) et traite systématiquement la mise à jour DNS comme une étape explicite de tout runbook de changement de serveur — exactement la mesure préventive attendue dans l’atelier de ce chapitre.</w:t>
      </w:r>
    </w:p>
    <w:p>
      <w:pPr>
        <w:pStyle w:val="BodyText"/>
      </w:pPr>
      <w:r>
        <w:t xml:space="preserve">🚀 Performance</w:t>
      </w:r>
      <w:r>
        <w:t xml:space="preserve"> </w:t>
      </w:r>
      <w:r>
        <w:t xml:space="preserve">Une durée de vie (TTL) d’enregistrement DNS trop longue retarde la propagation d’un changement légitime auprès des clients ayant mis en cache l’ancienne réponse ; une durée trop courte augmente la charge de requêtes répétées sur les serveurs DNS — un équilibre à ajuster selon la fréquence réelle de changement attendue pour chaque enregistrement.</w:t>
      </w:r>
    </w:p>
    <w:bookmarkEnd w:id="241"/>
    <w:bookmarkStart w:id="242" w:name="résumé-du-chapitre-8"/>
    <w:p>
      <w:pPr>
        <w:pStyle w:val="Heading2"/>
      </w:pPr>
      <w:r>
        <w:t xml:space="preserve">Résumé du chapitre</w:t>
      </w:r>
    </w:p>
    <w:p>
      <w:pPr>
        <w:pStyle w:val="Compact"/>
        <w:numPr>
          <w:ilvl w:val="0"/>
          <w:numId w:val="1206"/>
        </w:numPr>
      </w:pPr>
      <w:r>
        <w:t xml:space="preserve">Le DNS traduit des noms lisibles en adresses IP ; un service peut fonctionner parfaitement tout en étant inaccessible par son nom si le DNS pointe vers une adresse incorrecte.</w:t>
      </w:r>
    </w:p>
    <w:p>
      <w:pPr>
        <w:pStyle w:val="Compact"/>
        <w:numPr>
          <w:ilvl w:val="0"/>
          <w:numId w:val="1206"/>
        </w:numPr>
      </w:pPr>
      <w:r>
        <w:t xml:space="preserve">Les zones DNS intégrées à Active Directory bénéficient automatiquement de la réplication multi-maître et de la tolérance de panne du chapitre 6.</w:t>
      </w:r>
    </w:p>
    <w:p>
      <w:pPr>
        <w:pStyle w:val="Compact"/>
        <w:numPr>
          <w:ilvl w:val="0"/>
          <w:numId w:val="1206"/>
        </w:numPr>
      </w:pPr>
      <w:r>
        <w:t xml:space="preserve">Les enregistrements A, AAAA, CNAME, PTR, SRV et MX couvrent l’essentiel des besoins courants ; le PTR est souvent négligé à tort.</w:t>
      </w:r>
    </w:p>
    <w:p>
      <w:pPr>
        <w:pStyle w:val="Compact"/>
        <w:numPr>
          <w:ilvl w:val="0"/>
          <w:numId w:val="1206"/>
        </w:numPr>
      </w:pPr>
      <w:r>
        <w:t xml:space="preserve">La délégation de zone confie la gestion d’une portion de l’espace de noms à un serveur distinct, utile surtout dans les grandes organisations.</w:t>
      </w:r>
    </w:p>
    <w:p>
      <w:pPr>
        <w:pStyle w:val="Compact"/>
        <w:numPr>
          <w:ilvl w:val="0"/>
          <w:numId w:val="1206"/>
        </w:numPr>
      </w:pPr>
      <w:r>
        <w:t xml:space="preserve">DNSSEC garantit l’authenticité et l’intégrité des réponses DNS, mais pas leur confidentialité.</w:t>
      </w:r>
    </w:p>
    <w:p>
      <w:pPr>
        <w:pStyle w:val="Compact"/>
        <w:numPr>
          <w:ilvl w:val="0"/>
          <w:numId w:val="1206"/>
        </w:numPr>
      </w:pPr>
      <w:r>
        <w:rPr>
          <w:rStyle w:val="VerbatimChar"/>
        </w:rPr>
        <w:t xml:space="preserve">nslookup</w:t>
      </w:r>
      <w:r>
        <w:t xml:space="preserve"> </w:t>
      </w:r>
      <w:r>
        <w:t xml:space="preserve">et</w:t>
      </w:r>
      <w:r>
        <w:t xml:space="preserve"> </w:t>
      </w:r>
      <w:r>
        <w:rPr>
          <w:rStyle w:val="VerbatimChar"/>
        </w:rPr>
        <w:t xml:space="preserve">ipconfig /flushdns</w:t>
      </w:r>
      <w:r>
        <w:t xml:space="preserve"> </w:t>
      </w:r>
      <w:r>
        <w:t xml:space="preserve">sont les outils de base du diagnostic DNS, à utiliser systématiquement en première étape face à un service</w:t>
      </w:r>
      <w:r>
        <w:t xml:space="preserve"> </w:t>
      </w:r>
      <w:r>
        <w:t xml:space="preserve">“injoignable par nom mais fonctionnel par IP”</w:t>
      </w:r>
      <w:r>
        <w:t xml:space="preserve">.</w:t>
      </w:r>
    </w:p>
    <w:bookmarkEnd w:id="242"/>
    <w:bookmarkStart w:id="243" w:name="quiz-8"/>
    <w:p>
      <w:pPr>
        <w:pStyle w:val="Heading2"/>
      </w:pPr>
      <w:r>
        <w:t xml:space="preserve">Quiz</w:t>
      </w:r>
    </w:p>
    <w:p>
      <w:pPr>
        <w:pStyle w:val="FirstParagraph"/>
      </w:pPr>
      <w:r>
        <w:t xml:space="preserve">📝 QCM (une seule bonne réponse par question)</w:t>
      </w:r>
    </w:p>
    <w:p>
      <w:pPr>
        <w:pStyle w:val="Compact"/>
        <w:numPr>
          <w:ilvl w:val="0"/>
          <w:numId w:val="1207"/>
        </w:numPr>
      </w:pPr>
      <w:r>
        <w:t xml:space="preserve">Un enregistrement PTR sert à :</w:t>
      </w:r>
    </w:p>
    <w:p>
      <w:pPr>
        <w:pStyle w:val="Compact"/>
        <w:numPr>
          <w:ilvl w:val="1"/>
          <w:numId w:val="1208"/>
        </w:numPr>
      </w:pPr>
    </w:p>
    <w:p>
      <w:pPr>
        <w:pStyle w:val="Compact"/>
        <w:numPr>
          <w:ilvl w:val="2"/>
          <w:numId w:val="1209"/>
        </w:numPr>
      </w:pPr>
      <w:r>
        <w:t xml:space="preserve">Traduire un nom en adresse IPv4</w:t>
      </w:r>
    </w:p>
    <w:p>
      <w:pPr>
        <w:pStyle w:val="Compact"/>
        <w:numPr>
          <w:ilvl w:val="1"/>
          <w:numId w:val="1208"/>
        </w:numPr>
      </w:pPr>
    </w:p>
    <w:p>
      <w:pPr>
        <w:pStyle w:val="Compact"/>
        <w:numPr>
          <w:ilvl w:val="2"/>
          <w:numId w:val="1210"/>
        </w:numPr>
      </w:pPr>
      <w:r>
        <w:t xml:space="preserve">Traduire une adresse IP en nom (résolution inverse)</w:t>
      </w:r>
    </w:p>
    <w:p>
      <w:pPr>
        <w:pStyle w:val="Compact"/>
        <w:numPr>
          <w:ilvl w:val="1"/>
          <w:numId w:val="1208"/>
        </w:numPr>
      </w:pPr>
    </w:p>
    <w:p>
      <w:pPr>
        <w:pStyle w:val="Compact"/>
        <w:numPr>
          <w:ilvl w:val="2"/>
          <w:numId w:val="1211"/>
        </w:numPr>
      </w:pPr>
      <w:r>
        <w:t xml:space="preserve">Localiser un serveur de messagerie</w:t>
      </w:r>
    </w:p>
    <w:p>
      <w:pPr>
        <w:pStyle w:val="Compact"/>
        <w:numPr>
          <w:ilvl w:val="1"/>
          <w:numId w:val="1208"/>
        </w:numPr>
      </w:pPr>
    </w:p>
    <w:p>
      <w:pPr>
        <w:pStyle w:val="Compact"/>
        <w:numPr>
          <w:ilvl w:val="2"/>
          <w:numId w:val="1212"/>
        </w:numPr>
      </w:pPr>
      <w:r>
        <w:t xml:space="preserve">Créer un alias vers un autre nom</w:t>
      </w:r>
    </w:p>
    <w:p>
      <w:pPr>
        <w:pStyle w:val="Compact"/>
        <w:numPr>
          <w:ilvl w:val="0"/>
          <w:numId w:val="1207"/>
        </w:numPr>
      </w:pPr>
      <w:r>
        <w:t xml:space="preserve">Une zone DNS intégrée à Active Directory bénéficie principalement de :</w:t>
      </w:r>
    </w:p>
    <w:p>
      <w:pPr>
        <w:pStyle w:val="Compact"/>
        <w:numPr>
          <w:ilvl w:val="1"/>
          <w:numId w:val="1213"/>
        </w:numPr>
      </w:pPr>
    </w:p>
    <w:p>
      <w:pPr>
        <w:pStyle w:val="Compact"/>
        <w:numPr>
          <w:ilvl w:val="2"/>
          <w:numId w:val="1214"/>
        </w:numPr>
      </w:pPr>
      <w:r>
        <w:t xml:space="preserve">Un chiffrement automatique de toutes les requêtes</w:t>
      </w:r>
    </w:p>
    <w:p>
      <w:pPr>
        <w:pStyle w:val="Compact"/>
        <w:numPr>
          <w:ilvl w:val="1"/>
          <w:numId w:val="1213"/>
        </w:numPr>
      </w:pPr>
    </w:p>
    <w:p>
      <w:pPr>
        <w:pStyle w:val="Compact"/>
        <w:numPr>
          <w:ilvl w:val="2"/>
          <w:numId w:val="1215"/>
        </w:numPr>
      </w:pPr>
      <w:r>
        <w:t xml:space="preserve">La réplication multi-maître et la tolérance de panne d’Active Directory</w:t>
      </w:r>
    </w:p>
    <w:p>
      <w:pPr>
        <w:pStyle w:val="Compact"/>
        <w:numPr>
          <w:ilvl w:val="1"/>
          <w:numId w:val="1213"/>
        </w:numPr>
      </w:pPr>
    </w:p>
    <w:p>
      <w:pPr>
        <w:pStyle w:val="Compact"/>
        <w:numPr>
          <w:ilvl w:val="2"/>
          <w:numId w:val="1216"/>
        </w:numPr>
      </w:pPr>
      <w:r>
        <w:t xml:space="preserve">Une résolution de noms plus rapide dans tous les cas</w:t>
      </w:r>
    </w:p>
    <w:p>
      <w:pPr>
        <w:pStyle w:val="Compact"/>
        <w:numPr>
          <w:ilvl w:val="1"/>
          <w:numId w:val="1213"/>
        </w:numPr>
      </w:pPr>
    </w:p>
    <w:p>
      <w:pPr>
        <w:pStyle w:val="Compact"/>
        <w:numPr>
          <w:ilvl w:val="2"/>
          <w:numId w:val="1217"/>
        </w:numPr>
      </w:pPr>
      <w:r>
        <w:t xml:space="preserve">Une délégation automatique vers tous les sites</w:t>
      </w:r>
    </w:p>
    <w:p>
      <w:pPr>
        <w:pStyle w:val="Compact"/>
        <w:numPr>
          <w:ilvl w:val="0"/>
          <w:numId w:val="1207"/>
        </w:numPr>
      </w:pPr>
      <w:r>
        <w:t xml:space="preserve">DNSSEC protège principalement :</w:t>
      </w:r>
    </w:p>
    <w:p>
      <w:pPr>
        <w:pStyle w:val="Compact"/>
        <w:numPr>
          <w:ilvl w:val="1"/>
          <w:numId w:val="1218"/>
        </w:numPr>
      </w:pPr>
    </w:p>
    <w:p>
      <w:pPr>
        <w:pStyle w:val="Compact"/>
        <w:numPr>
          <w:ilvl w:val="2"/>
          <w:numId w:val="1219"/>
        </w:numPr>
      </w:pPr>
      <w:r>
        <w:t xml:space="preserve">La confidentialité des requêtes DNS</w:t>
      </w:r>
    </w:p>
    <w:p>
      <w:pPr>
        <w:pStyle w:val="Compact"/>
        <w:numPr>
          <w:ilvl w:val="1"/>
          <w:numId w:val="1218"/>
        </w:numPr>
      </w:pPr>
    </w:p>
    <w:p>
      <w:pPr>
        <w:pStyle w:val="Compact"/>
        <w:numPr>
          <w:ilvl w:val="2"/>
          <w:numId w:val="1220"/>
        </w:numPr>
      </w:pPr>
      <w:r>
        <w:t xml:space="preserve">L’authenticité et l’intégrité des réponses DNS</w:t>
      </w:r>
    </w:p>
    <w:p>
      <w:pPr>
        <w:pStyle w:val="Compact"/>
        <w:numPr>
          <w:ilvl w:val="1"/>
          <w:numId w:val="1218"/>
        </w:numPr>
      </w:pPr>
    </w:p>
    <w:p>
      <w:pPr>
        <w:pStyle w:val="Compact"/>
        <w:numPr>
          <w:ilvl w:val="2"/>
          <w:numId w:val="1221"/>
        </w:numPr>
      </w:pPr>
      <w:r>
        <w:t xml:space="preserve">La vitesse de résolution des noms</w:t>
      </w:r>
    </w:p>
    <w:p>
      <w:pPr>
        <w:pStyle w:val="Compact"/>
        <w:numPr>
          <w:ilvl w:val="1"/>
          <w:numId w:val="1218"/>
        </w:numPr>
      </w:pPr>
    </w:p>
    <w:p>
      <w:pPr>
        <w:pStyle w:val="Compact"/>
        <w:numPr>
          <w:ilvl w:val="2"/>
          <w:numId w:val="1222"/>
        </w:numPr>
      </w:pPr>
      <w:r>
        <w:t xml:space="preserve">La sauvegarde automatique des zones DNS</w:t>
      </w:r>
    </w:p>
    <w:p>
      <w:pPr>
        <w:pStyle w:val="FirstParagraph"/>
      </w:pPr>
      <w:r>
        <w:rPr>
          <w:b/>
          <w:bCs/>
        </w:rPr>
        <w:t xml:space="preserve">Corrigé</w:t>
      </w:r>
      <w:r>
        <w:t xml:space="preserve"> </w:t>
      </w:r>
      <w:r>
        <w:t xml:space="preserve">: 1-b, 2-b, 3-b.</w:t>
      </w:r>
    </w:p>
    <w:p>
      <w:pPr>
        <w:pStyle w:val="BodyText"/>
      </w:pPr>
      <w:r>
        <w:t xml:space="preserve">📝 Vrai ou Faux</w:t>
      </w:r>
    </w:p>
    <w:p>
      <w:pPr>
        <w:pStyle w:val="Compact"/>
        <w:numPr>
          <w:ilvl w:val="0"/>
          <w:numId w:val="1223"/>
        </w:numPr>
      </w:pPr>
      <w:r>
        <w:t xml:space="preserve">Un service peut être totalement fonctionnel tout en étant inaccessible par son nom DNS. —</w:t>
      </w:r>
      <w:r>
        <w:t xml:space="preserve"> </w:t>
      </w:r>
      <w:r>
        <w:rPr>
          <w:b/>
          <w:bCs/>
        </w:rPr>
        <w:t xml:space="preserve">Vrai</w:t>
      </w:r>
      <w:r>
        <w:t xml:space="preserve"> </w:t>
      </w:r>
      <w:r>
        <w:t xml:space="preserve">(exactement le scénario d’ouverture de ce chapitre).</w:t>
      </w:r>
    </w:p>
    <w:p>
      <w:pPr>
        <w:pStyle w:val="Compact"/>
        <w:numPr>
          <w:ilvl w:val="0"/>
          <w:numId w:val="1223"/>
        </w:numPr>
      </w:pPr>
      <w:r>
        <w:t xml:space="preserve">L’enregistrement PTR est toujours créé automatiquement en même temps que l’enregistrement A. —</w:t>
      </w:r>
      <w:r>
        <w:t xml:space="preserve"> </w:t>
      </w:r>
      <w:r>
        <w:rPr>
          <w:b/>
          <w:bCs/>
        </w:rPr>
        <w:t xml:space="preserve">Faux</w:t>
      </w:r>
      <w:r>
        <w:t xml:space="preserve"> </w:t>
      </w:r>
      <w:r>
        <w:t xml:space="preserve">(il est souvent oublié, section 9.3).</w:t>
      </w:r>
    </w:p>
    <w:p>
      <w:pPr>
        <w:pStyle w:val="Compact"/>
        <w:numPr>
          <w:ilvl w:val="0"/>
          <w:numId w:val="1223"/>
        </w:numPr>
      </w:pPr>
      <w:r>
        <w:t xml:space="preserve">DNSSEC chiffre le contenu des requêtes DNS. —</w:t>
      </w:r>
      <w:r>
        <w:t xml:space="preserve"> </w:t>
      </w:r>
      <w:r>
        <w:rPr>
          <w:b/>
          <w:bCs/>
        </w:rPr>
        <w:t xml:space="preserve">Faux</w:t>
      </w:r>
      <w:r>
        <w:t xml:space="preserve"> </w:t>
      </w:r>
      <w:r>
        <w:t xml:space="preserve">(il garantit l’authenticité, pas la confidentialité).</w:t>
      </w:r>
    </w:p>
    <w:p>
      <w:pPr>
        <w:pStyle w:val="Compact"/>
        <w:numPr>
          <w:ilvl w:val="0"/>
          <w:numId w:val="1223"/>
        </w:numPr>
      </w:pPr>
      <w:r>
        <w:t xml:space="preserve">La délégation de zone est indispensable dans toute organisation, quelle que soit sa taille. —</w:t>
      </w:r>
      <w:r>
        <w:t xml:space="preserve"> </w:t>
      </w:r>
      <w:r>
        <w:rPr>
          <w:b/>
          <w:bCs/>
        </w:rPr>
        <w:t xml:space="preserve">Faux</w:t>
      </w:r>
      <w:r>
        <w:t xml:space="preserve"> </w:t>
      </w:r>
      <w:r>
        <w:t xml:space="preserve">(rarement nécessaire dans une petite ou moyenne structure, section 9.4).</w:t>
      </w:r>
    </w:p>
    <w:p>
      <w:pPr>
        <w:pStyle w:val="FirstParagraph"/>
      </w:pPr>
      <w:r>
        <w:t xml:space="preserve">📝 Questions ouvertes</w:t>
      </w:r>
    </w:p>
    <w:p>
      <w:pPr>
        <w:pStyle w:val="Compact"/>
        <w:numPr>
          <w:ilvl w:val="0"/>
          <w:numId w:val="1224"/>
        </w:numPr>
      </w:pPr>
      <w:r>
        <w:t xml:space="preserve">Explique pourquoi un problème DNS devrait généralement être vérifié avant des hypothèses de diagnostic plus complexes.</w:t>
      </w:r>
    </w:p>
    <w:p>
      <w:pPr>
        <w:pStyle w:val="Compact"/>
        <w:numPr>
          <w:ilvl w:val="0"/>
          <w:numId w:val="1224"/>
        </w:numPr>
      </w:pPr>
      <w:r>
        <w:t xml:space="preserve">Reprends le scénario d’ouverture. Propose une explication, en langage simple et non technique, que tu donnerais au DSI sur</w:t>
      </w:r>
      <w:r>
        <w:t xml:space="preserve"> </w:t>
      </w:r>
      <w:r>
        <w:t xml:space="preserve">“comment un simple problème de nom peut bloquer tout un service qui fonctionne pourtant très bien”</w:t>
      </w:r>
      <w:r>
        <w:t xml:space="preserve">.</w:t>
      </w:r>
    </w:p>
    <w:p>
      <w:pPr>
        <w:pStyle w:val="FirstParagraph"/>
      </w:pPr>
      <w:r>
        <w:rPr>
          <w:b/>
          <w:bCs/>
        </w:rPr>
        <w:t xml:space="preserve">Corrigé 1</w:t>
      </w:r>
      <w:r>
        <w:t xml:space="preserve"> </w:t>
      </w:r>
      <w:r>
        <w:t xml:space="preserve">: le DNS est une dépendance quasiment universelle — la plupart des applications, services et connexions utilisateur passent par une résolution de nom avant d’atteindre la ressource réelle. Vérifier le DNS est rapide (quelques secondes avec</w:t>
      </w:r>
      <w:r>
        <w:t xml:space="preserve"> </w:t>
      </w:r>
      <w:r>
        <w:rPr>
          <w:rStyle w:val="VerbatimChar"/>
        </w:rPr>
        <w:t xml:space="preserve">nslookup</w:t>
      </w:r>
      <w:r>
        <w:t xml:space="preserve">) comparé à l’investigation d’hypothèses plus complexes (problème applicatif, réseau profond), ce qui en fait un excellent premier réflexe à faible coût et fort potentiel de gain de temps.</w:t>
      </w:r>
    </w:p>
    <w:p>
      <w:pPr>
        <w:pStyle w:val="BodyText"/>
      </w:pPr>
      <w:r>
        <w:rPr>
          <w:b/>
          <w:bCs/>
        </w:rPr>
        <w:t xml:space="preserve">Corrigé 2</w:t>
      </w:r>
      <w:r>
        <w:t xml:space="preserve"> </w:t>
      </w:r>
      <w:r>
        <w:t xml:space="preserve">: je lui expliquerais que le DNS fonctionne comme un annuaire téléphonique de l’entreprise — le service fonctionne parfaitement à sa</w:t>
      </w:r>
      <w:r>
        <w:t xml:space="preserve"> </w:t>
      </w:r>
      <w:r>
        <w:t xml:space="preserve">“nouvelle adresse”</w:t>
      </w:r>
      <w:r>
        <w:t xml:space="preserve">, mais si l’annuaire n’a pas été mis à jour après le changement, les personnes qui composent le numéro (le nom du service) tombent encore sur l’ancienne destination, qui elle ne répond plus. Le service lui-même n’a jamais été en panne — seul</w:t>
      </w:r>
      <w:r>
        <w:t xml:space="preserve"> </w:t>
      </w:r>
      <w:r>
        <w:t xml:space="preserve">“l’annuaire”</w:t>
      </w:r>
      <w:r>
        <w:t xml:space="preserve"> </w:t>
      </w:r>
      <w:r>
        <w:t xml:space="preserve">qui permet de le trouver n’était plus à jour.</w:t>
      </w:r>
    </w:p>
    <w:bookmarkEnd w:id="243"/>
    <w:bookmarkStart w:id="244" w:name="exercices-8"/>
    <w:p>
      <w:pPr>
        <w:pStyle w:val="Heading2"/>
      </w:pPr>
      <w:r>
        <w:t xml:space="preserve">Exercices</w:t>
      </w:r>
    </w:p>
    <w:p>
      <w:pPr>
        <w:pStyle w:val="FirstParagraph"/>
      </w:pPr>
      <w:r>
        <w:t xml:space="preserve">📝 Exercice 9.1</w:t>
      </w:r>
    </w:p>
    <w:p>
      <w:pPr>
        <w:pStyle w:val="BodyText"/>
      </w:pPr>
      <w:r>
        <w:t xml:space="preserve">Un serveur applicatif change d’adresse IP de 10.10.2.15 à 10.10.2.40. Liste, dans l’ordre, toutes les actions DNS nécessaires pour que ce changement soit complètement et correctement pris en compte, en t’appuyant sur la section 9.3.</w:t>
      </w:r>
    </w:p>
    <w:p>
      <w:pPr>
        <w:pStyle w:val="BodyText"/>
      </w:pPr>
      <w:r>
        <w:rPr>
          <w:b/>
          <w:bCs/>
        </w:rPr>
        <w:t xml:space="preserve">Corrigé :</w:t>
      </w:r>
      <w:r>
        <w:t xml:space="preserve"> </w:t>
      </w:r>
      <w:r>
        <w:t xml:space="preserve">(1) Mettre à jour l’enregistrement A du serveur pour qu’il pointe vers la nouvelle adresse 10.10.2.40 ; (2) créer le nouvel enregistrement PTR correspondant à 10.10.2.40, et supprimer l’ancien enregistrement PTR de 10.10.2.15 devenu obsolète ; (3) vérifier qu’aucun enregistrement CNAME pointant vers ce serveur n’a besoin d’un ajustement (les CNAME suivent automatiquement le nom, mais toute référence directe à l’ancienne adresse IP ailleurs doit être identifiée) ; (4) tester la résolution avec</w:t>
      </w:r>
      <w:r>
        <w:t xml:space="preserve"> </w:t>
      </w:r>
      <w:r>
        <w:rPr>
          <w:rStyle w:val="VerbatimChar"/>
        </w:rPr>
        <w:t xml:space="preserve">nslookup</w:t>
      </w:r>
      <w:r>
        <w:t xml:space="preserve"> </w:t>
      </w:r>
      <w:r>
        <w:t xml:space="preserve">depuis plusieurs points du réseau avant de considérer le changement terminé.</w:t>
      </w:r>
    </w:p>
    <w:p>
      <w:pPr>
        <w:pStyle w:val="BodyText"/>
      </w:pPr>
      <w:r>
        <w:t xml:space="preserve">📝 Exercice 9.2</w:t>
      </w:r>
    </w:p>
    <w:p>
      <w:pPr>
        <w:pStyle w:val="BodyText"/>
      </w:pPr>
      <w:r>
        <w:t xml:space="preserve">Rédige, en 3 à 5 phrases, un ajout à apporter au runbook de</w:t>
      </w:r>
      <w:r>
        <w:t xml:space="preserve"> </w:t>
      </w:r>
      <w:r>
        <w:t xml:space="preserve">“changement d’adresse IP d’un serveur”</w:t>
      </w:r>
      <w:r>
        <w:t xml:space="preserve"> </w:t>
      </w:r>
      <w:r>
        <w:t xml:space="preserve">(chapitre 3) pour éviter que l’incident du scénario d’ouverture ne se reproduise.</w:t>
      </w:r>
    </w:p>
    <w:p>
      <w:pPr>
        <w:pStyle w:val="BodyText"/>
      </w:pPr>
      <w:r>
        <w:rPr>
          <w:b/>
          <w:bCs/>
        </w:rPr>
        <w:t xml:space="preserve">Corrigé (exemple de réponse) :</w:t>
      </w:r>
      <w:r>
        <w:t xml:space="preserve"> </w:t>
      </w:r>
      <w:r>
        <w:t xml:space="preserve">J’ajouterais une étape explicite et cochable au runbook :</w:t>
      </w:r>
      <w:r>
        <w:t xml:space="preserve"> </w:t>
      </w:r>
      <w:r>
        <w:t xml:space="preserve">“Mettre à jour les enregistrements DNS A et PTR correspondants, puis vérifier la résolution avec</w:t>
      </w:r>
      <w:r>
        <w:t xml:space="preserve"> </w:t>
      </w:r>
      <w:r>
        <w:rPr>
          <w:rStyle w:val="VerbatimChar"/>
        </w:rPr>
        <w:t xml:space="preserve">nslookup</w:t>
      </w:r>
      <w:r>
        <w:t xml:space="preserve"> </w:t>
      </w:r>
      <w:r>
        <w:t xml:space="preserve">depuis au moins deux points du réseau différents avant de considérer le changement terminé.”</w:t>
      </w:r>
      <w:r>
        <w:t xml:space="preserve"> </w:t>
      </w:r>
      <w:r>
        <w:t xml:space="preserve">Cette étape rendrait la mise à jour DNS visible et vérifiable, plutôt que dépendante de la mémoire individuelle de la personne exécutant le changement — exactement le principe du</w:t>
      </w:r>
      <w:r>
        <w:t xml:space="preserve"> </w:t>
      </w:r>
      <w:r>
        <w:t xml:space="preserve">“test du collègue qui ne connaît rien”</w:t>
      </w:r>
      <w:r>
        <w:t xml:space="preserve"> </w:t>
      </w:r>
      <w:r>
        <w:t xml:space="preserve">du chapitre 3, appliqué ici à une checklist de changement plutôt qu’à un runbook d’incident.</w:t>
      </w:r>
    </w:p>
    <w:bookmarkEnd w:id="244"/>
    <w:bookmarkStart w:id="245" w:name="checklist-de-fin-de-chapitre-8"/>
    <w:p>
      <w:pPr>
        <w:pStyle w:val="Heading2"/>
      </w:pPr>
      <w:r>
        <w:t xml:space="preserve">Checklist de fin de chapitre</w:t>
      </w:r>
    </w:p>
    <w:p>
      <w:pPr>
        <w:pStyle w:val="FirstParagraph"/>
      </w:pPr>
      <w:r>
        <w:t xml:space="preserve">☐ Je comprends pourquoi un service peut fonctionner par IP mais pas par nom.</w:t>
      </w:r>
    </w:p>
    <w:p>
      <w:pPr>
        <w:pStyle w:val="BodyText"/>
      </w:pPr>
      <w:r>
        <w:t xml:space="preserve">☐ Je sais expliquer l’avantage d’une zone DNS intégrée à Active Directory.</w:t>
      </w:r>
    </w:p>
    <w:p>
      <w:pPr>
        <w:pStyle w:val="BodyText"/>
      </w:pPr>
      <w:r>
        <w:t xml:space="preserve">☐ Je connais les enregistrements A, AAAA, CNAME, PTR, SRV et MX et leur rôle.</w:t>
      </w:r>
    </w:p>
    <w:p>
      <w:pPr>
        <w:pStyle w:val="BodyText"/>
      </w:pPr>
      <w:r>
        <w:t xml:space="preserve">☐ Je comprends ce que protège DNSSEC, et ce qu’il ne protège pas.</w:t>
      </w:r>
    </w:p>
    <w:p>
      <w:pPr>
        <w:pStyle w:val="BodyText"/>
      </w:pPr>
      <w:r>
        <w:t xml:space="preserve">☐ Je sais utiliser</w:t>
      </w:r>
      <w:r>
        <w:t xml:space="preserve"> </w:t>
      </w:r>
      <w:r>
        <w:rPr>
          <w:rStyle w:val="VerbatimChar"/>
        </w:rPr>
        <w:t xml:space="preserve">nslookup</w:t>
      </w:r>
      <w:r>
        <w:t xml:space="preserve"> </w:t>
      </w:r>
      <w:r>
        <w:t xml:space="preserve">et</w:t>
      </w:r>
      <w:r>
        <w:t xml:space="preserve"> </w:t>
      </w:r>
      <w:r>
        <w:rPr>
          <w:rStyle w:val="VerbatimChar"/>
        </w:rPr>
        <w:t xml:space="preserve">ipconfig /flushdns</w:t>
      </w:r>
      <w:r>
        <w:t xml:space="preserve"> </w:t>
      </w:r>
      <w:r>
        <w:t xml:space="preserve">pour diagnostiquer un problème DNS.</w:t>
      </w:r>
    </w:p>
    <w:p>
      <w:pPr>
        <w:pStyle w:val="BodyText"/>
      </w:pPr>
      <w:r>
        <w:t xml:space="preserve">☐ Je sais pourquoi le DNS mérite une vérification précoce dans toute démarche de diagnostic.</w:t>
      </w:r>
    </w:p>
    <w:bookmarkEnd w:id="245"/>
    <w:bookmarkStart w:id="246" w:name="faq-8"/>
    <w:p>
      <w:pPr>
        <w:pStyle w:val="Heading2"/>
      </w:pPr>
      <w:r>
        <w:t xml:space="preserve">FAQ</w:t>
      </w:r>
    </w:p>
    <w:p>
      <w:pPr>
        <w:pStyle w:val="FirstParagraph"/>
      </w:pPr>
      <w:r>
        <w:t xml:space="preserve">Pourquoi ne pas simplement utiliser des adresses IP directement partout, pour éviter tout problème DNS ?</w:t>
      </w:r>
    </w:p>
    <w:p>
      <w:pPr>
        <w:pStyle w:val="BodyText"/>
      </w:pPr>
      <w:r>
        <w:t xml:space="preserve">Une adresse IP peut changer (migration de serveur, renumérotation réseau) alors qu’un nom reste stable dans le temps — utiliser des noms plutôt que des adresses IP en dur est justement ce qui permet de faire évoluer l’infrastructure sans devoir reconfigurer chaque application cliente individuellement. Le problème du scénario d’ouverture n’est pas causé par l’usage du DNS lui-même, mais par un défaut de mise à jour lors d’un changement.</w:t>
      </w:r>
    </w:p>
    <w:p>
      <w:pPr>
        <w:pStyle w:val="BodyText"/>
      </w:pPr>
      <w:r>
        <w:t xml:space="preserve">Faut-il activer DNSSEC sur toutes les zones DNS internes d’une entreprise ?</w:t>
      </w:r>
    </w:p>
    <w:p>
      <w:pPr>
        <w:pStyle w:val="BodyText"/>
      </w:pPr>
      <w:r>
        <w:t xml:space="preserve">Pas nécessairement de façon systématique — comme évoqué en section 9.5, le bénéfice réel dépend du niveau de risque et d’exposition de chaque zone. Une zone interne bien protégée par ailleurs (bastion, segmentation) a un besoin moins critique qu’une zone publique exposée sur Internet.</w:t>
      </w:r>
    </w:p>
    <w:p>
      <w:pPr>
        <w:pStyle w:val="BodyText"/>
      </w:pPr>
      <w:r>
        <w:t xml:space="preserve">Combien de temps une résolution DNS incorrecte reste-t-elle en cache après correction ?</w:t>
      </w:r>
    </w:p>
    <w:p>
      <w:pPr>
        <w:pStyle w:val="BodyText"/>
      </w:pPr>
      <w:r>
        <w:t xml:space="preserve">Jusqu’à l’expiration du TTL (durée de vie) configuré sur l’enregistrement, sauf vidage manuel du cache (</w:t>
      </w:r>
      <w:r>
        <w:rPr>
          <w:rStyle w:val="VerbatimChar"/>
        </w:rPr>
        <w:t xml:space="preserve">ipconfig /flushdns</w:t>
      </w:r>
      <w:r>
        <w:t xml:space="preserve"> </w:t>
      </w:r>
      <w:r>
        <w:t xml:space="preserve">côté client, ou équivalent côté serveur) — une bonne raison de connaître cette commande pour accélérer un diagnostic ou confirmer une correction sans attendre passivement.</w:t>
      </w:r>
    </w:p>
    <w:p>
      <w:pPr>
        <w:pStyle w:val="BodyText"/>
      </w:pPr>
      <w:r>
        <w:t xml:space="preserve">Le DNS interne d’une entreprise doit-il être accessible depuis Internet ?</w:t>
      </w:r>
    </w:p>
    <w:p>
      <w:pPr>
        <w:pStyle w:val="BodyText"/>
      </w:pPr>
      <w:r>
        <w:t xml:space="preserve">Non, presque jamais pour un DNS interne à l’entreprise — l’exposer directement sur Internet créerait un risque de sécurité et de confidentialité inutile (révélation de la structure interne du réseau), un principe qui rejoint directement celui du bastion étudié au chapitre 4.</w:t>
      </w:r>
    </w:p>
    <w:bookmarkEnd w:id="246"/>
    <w:bookmarkStart w:id="250" w:name="références-et-pour-aller-plus-loin-8"/>
    <w:p>
      <w:pPr>
        <w:pStyle w:val="Heading2"/>
      </w:pPr>
      <w:r>
        <w:t xml:space="preserve">Références et pour aller plus loin</w:t>
      </w:r>
    </w:p>
    <w:p>
      <w:pPr>
        <w:pStyle w:val="Compact"/>
        <w:numPr>
          <w:ilvl w:val="0"/>
          <w:numId w:val="1225"/>
        </w:numPr>
      </w:pPr>
      <w:r>
        <w:t xml:space="preserve">Microsoft Learn — Vue d’ensemble du DNS sur Windows Server :</w:t>
      </w:r>
      <w:r>
        <w:t xml:space="preserve"> </w:t>
      </w:r>
      <w:hyperlink r:id="rId247">
        <w:r>
          <w:rPr>
            <w:rStyle w:val="Hyperlink"/>
          </w:rPr>
          <w:t xml:space="preserve">https://learn.microsoft.com/fr-fr/windows-server/networking/dns/dns-top</w:t>
        </w:r>
      </w:hyperlink>
    </w:p>
    <w:p>
      <w:pPr>
        <w:pStyle w:val="Compact"/>
        <w:numPr>
          <w:ilvl w:val="0"/>
          <w:numId w:val="1225"/>
        </w:numPr>
      </w:pPr>
      <w:r>
        <w:t xml:space="preserve">Microsoft Learn — Zones DNS intégrées à Active Directory :</w:t>
      </w:r>
      <w:r>
        <w:t xml:space="preserve"> </w:t>
      </w:r>
      <w:hyperlink r:id="rId248">
        <w:r>
          <w:rPr>
            <w:rStyle w:val="Hyperlink"/>
          </w:rPr>
          <w:t xml:space="preserve">https://learn.microsoft.com/fr-fr/windows-server/networking/dns/deploy/ad-integrated</w:t>
        </w:r>
      </w:hyperlink>
    </w:p>
    <w:p>
      <w:pPr>
        <w:pStyle w:val="Compact"/>
        <w:numPr>
          <w:ilvl w:val="0"/>
          <w:numId w:val="1225"/>
        </w:numPr>
      </w:pPr>
      <w:r>
        <w:t xml:space="preserve">Microsoft Learn — Vue d’ensemble de DNSSEC :</w:t>
      </w:r>
      <w:r>
        <w:t xml:space="preserve"> </w:t>
      </w:r>
      <w:hyperlink r:id="rId249">
        <w:r>
          <w:rPr>
            <w:rStyle w:val="Hyperlink"/>
          </w:rPr>
          <w:t xml:space="preserve">https://learn.microsoft.com/fr-fr/windows-server/networking/dns/dnssec</w:t>
        </w:r>
      </w:hyperlink>
    </w:p>
    <w:p>
      <w:pPr>
        <w:pStyle w:val="FirstParagraph"/>
      </w:pPr>
      <w:r>
        <w:rPr>
          <w:i/>
          <w:iCs/>
        </w:rPr>
        <w:t xml:space="preserve">Chapitre suivant : DHCP avancé — failover, réservations et scopes multiples, le service qui attribue automatiquement une adresse IP à chaque appareil qui rejoint le réseau.</w:t>
      </w:r>
    </w:p>
    <w:p>
      <w:pPr>
        <w:pStyle w:val="BodyText"/>
      </w:pPr>
      <w:r>
        <w:t xml:space="preserve">CHAPITRE 10</w:t>
      </w:r>
    </w:p>
    <w:bookmarkEnd w:id="250"/>
    <w:bookmarkEnd w:id="251"/>
    <w:bookmarkStart w:id="277" w:name="X57139fa915772496631c9ac92c974e9f18bed7f"/>
    <w:p>
      <w:pPr>
        <w:pStyle w:val="Heading1"/>
      </w:pPr>
      <w:r>
        <w:t xml:space="preserve">DHCP avancé : failover, réservations et scopes multiples</w:t>
      </w:r>
    </w:p>
    <w:p>
      <w:pPr>
        <w:pStyle w:val="FirstParagraph"/>
      </w:pPr>
      <w:r>
        <w:t xml:space="preserve">🎯 Objectif du chapitre</w:t>
      </w:r>
      <w:r>
        <w:t xml:space="preserve"> </w:t>
      </w:r>
      <w:r>
        <w:t xml:space="preserve">Comprendre le fonctionnement du DHCP au-delà de sa fonction de base (attribuer une adresse IP automatiquement), et savoir concevoir une configuration tolérante aux pannes avec des réservations fiables pour les équipements critiques. À la fin de ce chapitre, tu sauras expliquer le processus DORA, configurer un scope avec des réservations, et mettre en place un failover DHCP pour éviter qu’une panne de serveur ne prive tout un site de connectivité réseau.</w:t>
      </w:r>
    </w:p>
    <w:p>
      <w:pPr>
        <w:pStyle w:val="BodyText"/>
      </w:pPr>
      <w:r>
        <w:t xml:space="preserve">🎬 Mise en situation</w:t>
      </w:r>
      <w:r>
        <w:t xml:space="preserve"> </w:t>
      </w:r>
      <w:r>
        <w:t xml:space="preserve">Dixième semaine. Le serveur DHCP du Cap-Haïtien — jusqu’ici un unique serveur, sans redondance — tombe en panne matérielle un mercredi après-midi. Les postes déjà connectés continuent à fonctionner (leur adresse IP reste valide jusqu’à expiration), mais tout nouvel appareil qui se connecte, ou tout poste qui redémarre, ne reçoit plus aucune adresse IP : impossible de se connecter au réseau. Le DSI, encore marqué par l’incident Active Directory du chapitre 6, te pose la question directe :</w:t>
      </w:r>
      <w:r>
        <w:t xml:space="preserve"> </w:t>
      </w:r>
      <w:r>
        <w:t xml:space="preserve">“On a réglé la redondance pour l’authentification. Pourquoi pas pour le DHCP ?”</w:t>
      </w:r>
      <w:r>
        <w:t xml:space="preserve"> </w:t>
      </w:r>
      <w:r>
        <w:t xml:space="preserve">Il a raison — et ce chapitre explique exactement comment corriger cet angle mort.</w:t>
      </w:r>
    </w:p>
    <w:bookmarkStart w:id="255" w:name="X282a729dc78f9a186cf06821967ec7502c5c44a"/>
    <w:p>
      <w:pPr>
        <w:pStyle w:val="Heading2"/>
      </w:pPr>
      <w:r>
        <w:t xml:space="preserve">10.1 Le processus DORA : comment un poste obtient une adresse IP</w:t>
      </w:r>
    </w:p>
    <w:p>
      <w:pPr>
        <w:pStyle w:val="FirstParagraph"/>
      </w:pPr>
      <w:r>
        <w:t xml:space="preserve">Le protocole DHCP (</w:t>
      </w:r>
      <w:r>
        <w:rPr>
          <w:i/>
          <w:iCs/>
        </w:rPr>
        <w:t xml:space="preserve">Dynamic Host Configuration Protocol</w:t>
      </w:r>
      <w:r>
        <w:t xml:space="preserve">) attribue automatiquement une adresse IP (et d’autres paramètres réseau : passerelle, serveurs DNS) à un appareil qui rejoint le réseau, via un échange en quatre étapes résumé par l’acronyme</w:t>
      </w:r>
      <w:r>
        <w:t xml:space="preserve"> </w:t>
      </w:r>
      <w:r>
        <w:rPr>
          <w:b/>
          <w:bCs/>
        </w:rPr>
        <w:t xml:space="preserve">DORA</w:t>
      </w:r>
      <w:r>
        <w:t xml:space="preserve"> </w:t>
      </w:r>
      <w:r>
        <w:t xml:space="preserve">:</w:t>
      </w:r>
    </w:p>
    <w:p>
      <w:pPr>
        <w:pStyle w:val="CaptionedFigure"/>
      </w:pPr>
      <w:r>
        <w:drawing>
          <wp:inline>
            <wp:extent cx="5334000" cy="3100789"/>
            <wp:effectExtent b="0" l="0" r="0" t="0"/>
            <wp:docPr descr="Diagramme" title="" id="253" name="Picture"/>
            <a:graphic>
              <a:graphicData uri="http://schemas.openxmlformats.org/drawingml/2006/picture">
                <pic:pic>
                  <pic:nvPicPr>
                    <pic:cNvPr descr="C:/Users/ingja/Desktop/jarvis-starter-kit/livrables/formations/manuel-administration-systeme/assets/diagrams/d-10-dhcp-avance-diagramme-1.png" id="254" name="Picture"/>
                    <pic:cNvPicPr>
                      <a:picLocks noChangeArrowheads="1" noChangeAspect="1"/>
                    </pic:cNvPicPr>
                  </pic:nvPicPr>
                  <pic:blipFill>
                    <a:blip r:embed="rId252"/>
                    <a:stretch>
                      <a:fillRect/>
                    </a:stretch>
                  </pic:blipFill>
                  <pic:spPr bwMode="auto">
                    <a:xfrm>
                      <a:off x="0" y="0"/>
                      <a:ext cx="5334000" cy="3100789"/>
                    </a:xfrm>
                    <a:prstGeom prst="rect">
                      <a:avLst/>
                    </a:prstGeom>
                    <a:noFill/>
                    <a:ln w="9525">
                      <a:noFill/>
                      <a:headEnd/>
                      <a:tailEnd/>
                    </a:ln>
                  </pic:spPr>
                </pic:pic>
              </a:graphicData>
            </a:graphic>
          </wp:inline>
        </w:drawing>
      </w:r>
    </w:p>
    <w:p>
      <w:pPr>
        <w:pStyle w:val="ImageCaption"/>
      </w:pPr>
      <w:r>
        <w:t xml:space="preserve">Diagramme</w:t>
      </w:r>
    </w:p>
    <w:p>
      <w:pPr>
        <w:pStyle w:val="BodyText"/>
      </w:pPr>
      <w:r>
        <w:t xml:space="preserve">💡 Analogie — la réception d’un hôtel</w:t>
      </w:r>
      <w:r>
        <w:t xml:space="preserve"> </w:t>
      </w:r>
      <w:r>
        <w:t xml:space="preserve">DHCP fonctionne comme la réception d’un hôtel qui attribue automatiquement une chambre à chaque client qui arrive, pour une durée limitée (le</w:t>
      </w:r>
      <w:r>
        <w:t xml:space="preserve"> </w:t>
      </w:r>
      <w:r>
        <w:t xml:space="preserve">bail</w:t>
      </w:r>
      <w:r>
        <w:t xml:space="preserve">,</w:t>
      </w:r>
      <w:r>
        <w:t xml:space="preserve"> </w:t>
      </w:r>
      <w:r>
        <w:rPr>
          <w:i/>
          <w:iCs/>
        </w:rPr>
        <w:t xml:space="preserve">lease</w:t>
      </w:r>
      <w:r>
        <w:t xml:space="preserve">) : le client n’a pas besoin de connaître à l’avance quelle chambre sera libre, la réception s’en occupe et le lui communique. À la fin du séjour (l’expiration du bail), la chambre redevient disponible pour un autre client — sauf si le client renouvelle son séjour avant l’échéance, ce qu’un poste fait automatiquement en arrière-plan bien avant l’expiration de son bail DHCP.</w:t>
      </w:r>
    </w:p>
    <w:p>
      <w:pPr>
        <w:pStyle w:val="BodyText"/>
      </w:pPr>
      <w:r>
        <w:t xml:space="preserve">⚠️ Ce qui explique le symptôme du scénario d’ouverture</w:t>
      </w:r>
      <w:r>
        <w:t xml:space="preserve"> </w:t>
      </w:r>
      <w:r>
        <w:t xml:space="preserve">Un poste qui possède déjà un bail DHCP valide continue de fonctionner normalement même si le serveur DHCP tombe en panne, exactement comme un client d’hôtel déjà dans sa chambre n’a pas besoin de repasser par la réception tant que son séjour n’est pas terminé. C’est seulement un</w:t>
      </w:r>
      <w:r>
        <w:t xml:space="preserve"> </w:t>
      </w:r>
      <w:r>
        <w:rPr>
          <w:b/>
          <w:bCs/>
        </w:rPr>
        <w:t xml:space="preserve">nouveau</w:t>
      </w:r>
      <w:r>
        <w:t xml:space="preserve"> </w:t>
      </w:r>
      <w:r>
        <w:t xml:space="preserve">poste (ou un poste dont le bail a expiré, ou qui redémarre en réclamant une nouvelle adresse) qui échoue à obtenir une adresse — expliquant précisément pourquoi seuls certains appareils ont été affectés dans le scénario d’ouverture.</w:t>
      </w:r>
    </w:p>
    <w:bookmarkEnd w:id="255"/>
    <w:bookmarkStart w:id="256" w:name="les-scopes-dhcp"/>
    <w:p>
      <w:pPr>
        <w:pStyle w:val="Heading2"/>
      </w:pPr>
      <w:r>
        <w:t xml:space="preserve">10.2 Les scopes DHCP</w:t>
      </w:r>
    </w:p>
    <w:p>
      <w:pPr>
        <w:pStyle w:val="FirstParagraph"/>
      </w:pPr>
      <w:r>
        <w:t xml:space="preserve">Un</w:t>
      </w:r>
      <w:r>
        <w:t xml:space="preserve"> </w:t>
      </w:r>
      <w:r>
        <w:rPr>
          <w:b/>
          <w:bCs/>
        </w:rPr>
        <w:t xml:space="preserve">scope</w:t>
      </w:r>
      <w:r>
        <w:t xml:space="preserve"> </w:t>
      </w:r>
      <w:r>
        <w:t xml:space="preserve">définit une plage d’adresses IP qu’un serveur DHCP peut distribuer, généralement une par sous-réseau ou par site — cohérent avec l’architecture de sites du chapitre 5.</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Site</w:t>
            </w:r>
          </w:p>
        </w:tc>
        <w:tc>
          <w:tcPr/>
          <w:p>
            <w:pPr>
              <w:pStyle w:val="Compact"/>
            </w:pPr>
            <w:r>
              <w:t xml:space="preserve">Sous-réseau</w:t>
            </w:r>
          </w:p>
        </w:tc>
        <w:tc>
          <w:tcPr/>
          <w:p>
            <w:pPr>
              <w:pStyle w:val="Compact"/>
            </w:pPr>
            <w:r>
              <w:t xml:space="preserve">Scope DHCP</w:t>
            </w:r>
          </w:p>
        </w:tc>
      </w:tr>
      <w:tr>
        <w:tc>
          <w:tcPr/>
          <w:p>
            <w:pPr>
              <w:pStyle w:val="Compact"/>
            </w:pPr>
            <w:r>
              <w:t xml:space="preserve">Port-au-Prince</w:t>
            </w:r>
          </w:p>
        </w:tc>
        <w:tc>
          <w:tcPr/>
          <w:p>
            <w:pPr>
              <w:pStyle w:val="Compact"/>
            </w:pPr>
            <w:r>
              <w:t xml:space="preserve">10.10.1.0/24</w:t>
            </w:r>
          </w:p>
        </w:tc>
        <w:tc>
          <w:tcPr/>
          <w:p>
            <w:pPr>
              <w:pStyle w:val="Compact"/>
            </w:pPr>
            <w:r>
              <w:t xml:space="preserve">10.10.1.50 – 10.10.1.200</w:t>
            </w:r>
          </w:p>
        </w:tc>
      </w:tr>
      <w:tr>
        <w:tc>
          <w:tcPr/>
          <w:p>
            <w:pPr>
              <w:pStyle w:val="Compact"/>
            </w:pPr>
            <w:r>
              <w:t xml:space="preserve">Cap-Haïtien</w:t>
            </w:r>
          </w:p>
        </w:tc>
        <w:tc>
          <w:tcPr/>
          <w:p>
            <w:pPr>
              <w:pStyle w:val="Compact"/>
            </w:pPr>
            <w:r>
              <w:t xml:space="preserve">10.10.2.0/24</w:t>
            </w:r>
          </w:p>
        </w:tc>
        <w:tc>
          <w:tcPr/>
          <w:p>
            <w:pPr>
              <w:pStyle w:val="Compact"/>
            </w:pPr>
            <w:r>
              <w:t xml:space="preserve">10.10.2.50 – 10.10.2.200</w:t>
            </w:r>
          </w:p>
        </w:tc>
      </w:tr>
    </w:tbl>
    <w:p>
      <w:pPr>
        <w:pStyle w:val="BodyText"/>
      </w:pPr>
      <w:r>
        <w:t xml:space="preserve">📌 À retenir</w:t>
      </w:r>
      <w:r>
        <w:t xml:space="preserve"> </w:t>
      </w:r>
      <w:r>
        <w:t xml:space="preserve">Une bonne pratique de conception consiste à ne pas allouer 100% de la plage disponible d’un sous-réseau au scope DHCP — réserver une portion (souvent le début de la plage, comme</w:t>
      </w:r>
      <w:r>
        <w:t xml:space="preserve"> </w:t>
      </w:r>
      <w:r>
        <w:t xml:space="preserve">.1</w:t>
      </w:r>
      <w:r>
        <w:t xml:space="preserve"> </w:t>
      </w:r>
      <w:r>
        <w:t xml:space="preserve">à</w:t>
      </w:r>
      <w:r>
        <w:t xml:space="preserve"> </w:t>
      </w:r>
      <w:r>
        <w:t xml:space="preserve">.49</w:t>
      </w:r>
      <w:r>
        <w:t xml:space="preserve"> </w:t>
      </w:r>
      <w:r>
        <w:t xml:space="preserve">dans l’exemple ci-dessus) pour des adresses statiques manuelles (serveurs, équipements réseau) évite tout conflit d’adressage entre attribution automatique et configuration manuelle.</w:t>
      </w:r>
    </w:p>
    <w:bookmarkEnd w:id="256"/>
    <w:bookmarkStart w:id="257" w:name="Xda0c823fffa6e189b17dc721009ff229bbd2e34"/>
    <w:p>
      <w:pPr>
        <w:pStyle w:val="Heading2"/>
      </w:pPr>
      <w:r>
        <w:t xml:space="preserve">10.3 Les réservations : des adresses fixes gérées automatiquement</w:t>
      </w:r>
    </w:p>
    <w:p>
      <w:pPr>
        <w:pStyle w:val="FirstParagraph"/>
      </w:pPr>
      <w:r>
        <w:t xml:space="preserve">Une</w:t>
      </w:r>
      <w:r>
        <w:t xml:space="preserve"> </w:t>
      </w:r>
      <w:r>
        <w:rPr>
          <w:b/>
          <w:bCs/>
        </w:rPr>
        <w:t xml:space="preserve">réservation</w:t>
      </w:r>
      <w:r>
        <w:t xml:space="preserve"> </w:t>
      </w:r>
      <w:r>
        <w:t xml:space="preserve">DHCP attribue systématiquement la même adresse IP à un équipement précis (identifié par son adresse MAC), tout en conservant les avantages de la gestion centralisée du DHCP — contrairement à une adresse statique configurée manuellement sur l’équipement lui-même.</w:t>
      </w:r>
    </w:p>
    <w:p>
      <w:pPr>
        <w:pStyle w:val="BodyText"/>
      </w:pPr>
      <w:r>
        <w:t xml:space="preserve">✅ Bonne pratique — réservation plutôt qu’adresse statique manuelle pour les équipements semi-critiques</w:t>
      </w:r>
      <w:r>
        <w:t xml:space="preserve"> </w:t>
      </w:r>
      <w:r>
        <w:t xml:space="preserve">Pour une imprimante réseau, une caméra de vidéosurveillance, ou tout équipement ayant besoin d’une adresse stable mais ne justifiant pas une configuration serveur complète, une réservation DHCP est généralement préférable à une adresse statique configurée manuellement : elle reste visible et modifiable de façon centralisée depuis la console DHCP (rejoignant directement l’inventaire du chapitre 3), plutôt que dispersée sur chaque équipement individuel, souvent oubliée avec le temps.</w:t>
      </w:r>
    </w:p>
    <w:p>
      <w:pPr>
        <w:pStyle w:val="BodyText"/>
      </w:pPr>
      <w:r>
        <w:t xml:space="preserve">🔒 Sécurité — les serveurs critiques restent en adressage statique véritable</w:t>
      </w:r>
      <w:r>
        <w:t xml:space="preserve"> </w:t>
      </w:r>
      <w:r>
        <w:t xml:space="preserve">Malgré l’avantage des réservations, les serveurs les plus critiques d’une infrastructure (contrôleurs de domaine, serveurs DHCP eux-mêmes) conservent généralement une adresse IP statique configurée directement sur le serveur, sans dépendre du tout du DHCP — un serveur DHCP ne doit jamais être dans la position paradoxale de dépendre de lui-même ou d’un autre service potentiellement indisponible pour obtenir sa propre adresse.</w:t>
      </w:r>
    </w:p>
    <w:bookmarkEnd w:id="257"/>
    <w:bookmarkStart w:id="261" w:name="Xbf1bac13c46addca683ae502db32491a78f0d26"/>
    <w:p>
      <w:pPr>
        <w:pStyle w:val="Heading2"/>
      </w:pPr>
      <w:r>
        <w:t xml:space="preserve">10.4 Le failover DHCP : la réponse directe au scénario d’ouverture</w:t>
      </w:r>
    </w:p>
    <w:p>
      <w:pPr>
        <w:pStyle w:val="FirstParagraph"/>
      </w:pPr>
      <w:r>
        <w:t xml:space="preserve">Windows Server permet de configurer deux serveurs DHCP en</w:t>
      </w:r>
      <w:r>
        <w:t xml:space="preserve"> </w:t>
      </w:r>
      <w:r>
        <w:rPr>
          <w:b/>
          <w:bCs/>
        </w:rPr>
        <w:t xml:space="preserve">failover</w:t>
      </w:r>
      <w:r>
        <w:t xml:space="preserve">, se partageant la responsabilité d’un même scope, selon deux modes principaux :</w:t>
      </w:r>
    </w:p>
    <w:p>
      <w:pPr>
        <w:pStyle w:val="CaptionedFigure"/>
      </w:pPr>
      <w:r>
        <w:drawing>
          <wp:inline>
            <wp:extent cx="5334000" cy="4257560"/>
            <wp:effectExtent b="0" l="0" r="0" t="0"/>
            <wp:docPr descr="Diagramme" title="" id="259" name="Picture"/>
            <a:graphic>
              <a:graphicData uri="http://schemas.openxmlformats.org/drawingml/2006/picture">
                <pic:pic>
                  <pic:nvPicPr>
                    <pic:cNvPr descr="C:/Users/ingja/Desktop/jarvis-starter-kit/livrables/formations/manuel-administration-systeme/assets/diagrams/d-10-dhcp-avance-diagramme-2.png" id="260" name="Picture"/>
                    <pic:cNvPicPr>
                      <a:picLocks noChangeArrowheads="1" noChangeAspect="1"/>
                    </pic:cNvPicPr>
                  </pic:nvPicPr>
                  <pic:blipFill>
                    <a:blip r:embed="rId258"/>
                    <a:stretch>
                      <a:fillRect/>
                    </a:stretch>
                  </pic:blipFill>
                  <pic:spPr bwMode="auto">
                    <a:xfrm>
                      <a:off x="0" y="0"/>
                      <a:ext cx="5334000" cy="4257560"/>
                    </a:xfrm>
                    <a:prstGeom prst="rect">
                      <a:avLst/>
                    </a:prstGeom>
                    <a:noFill/>
                    <a:ln w="9525">
                      <a:noFill/>
                      <a:headEnd/>
                      <a:tailEnd/>
                    </a:ln>
                  </pic:spPr>
                </pic:pic>
              </a:graphicData>
            </a:graphic>
          </wp:inline>
        </w:drawing>
      </w:r>
    </w:p>
    <w:p>
      <w:pPr>
        <w:pStyle w:val="ImageCaption"/>
      </w:pPr>
      <w:r>
        <w:t xml:space="preserve">Diagramme</w:t>
      </w:r>
    </w:p>
    <w:p>
      <w:pPr>
        <w:pStyle w:val="BodyText"/>
      </w:pPr>
      <w:r>
        <w:t xml:space="preserve">🧠 À mémoriser — les deux modes de failover DHCP</w:t>
      </w:r>
      <w:r>
        <w:t xml:space="preserve"> </w:t>
      </w:r>
      <w:r>
        <w:t xml:space="preserve">Load Balance</w:t>
      </w:r>
      <w:r>
        <w:t xml:space="preserve"> </w:t>
      </w:r>
      <w:r>
        <w:t xml:space="preserve">(équilibrage de charge) : les deux serveurs traitent activement les requêtes simultanément, selon une répartition configurable — adapté quand les deux serveurs sont sur le même site ou reliés par un lien rapide et fiable.</w:t>
      </w:r>
      <w:r>
        <w:t xml:space="preserve"> </w:t>
      </w:r>
      <w:r>
        <w:t xml:space="preserve">Hot Standby</w:t>
      </w:r>
      <w:r>
        <w:t xml:space="preserve"> </w:t>
      </w:r>
      <w:r>
        <w:t xml:space="preserve">(secours actif) : un serveur traite l’intégralité des requêtes en fonctionnement normal, le second ne prenant le relais qu’en cas de panne du premier — souvent préféré entre deux sites distants reliés par une liaison moins rapide, comme Port-au-Prince et le Cap-Haïtien.</w:t>
      </w:r>
    </w:p>
    <w:p>
      <w:pPr>
        <w:pStyle w:val="BodyText"/>
      </w:pPr>
      <w:r>
        <w:t xml:space="preserve">✅ Bonne pratique — recommandation pour le scénario d’ouverture</w:t>
      </w:r>
      <w:r>
        <w:t xml:space="preserve"> </w:t>
      </w:r>
      <w:r>
        <w:t xml:space="preserve">Pour corriger l’incident du scénario d’ouverture, un second serveur DHCP au Cap-Haïtien (ou un serveur central accessible en secours, en mode Hot Standby) éliminerait le point de défaillance unique — exactement le même raisonnement que le second contrôleur de domaine recommandé au chapitre 6 pour la tolérance de panne matérielle, appliqué ici au DHCP plutôt qu’à l’authentification.</w:t>
      </w:r>
    </w:p>
    <w:bookmarkEnd w:id="261"/>
    <w:bookmarkStart w:id="262" w:name="X0ee55cf5a184cf65efb8e4f0fd30513582f7f3b"/>
    <w:p>
      <w:pPr>
        <w:pStyle w:val="Heading2"/>
      </w:pPr>
      <w:r>
        <w:t xml:space="preserve">10.5 Options DHCP : au-delà de la simple adresse IP</w:t>
      </w:r>
    </w:p>
    <w:p>
      <w:pPr>
        <w:pStyle w:val="FirstParagraph"/>
      </w:pPr>
      <w:r>
        <w:t xml:space="preserve">Un bail DHCP transmet bien plus qu’une adresse IP : les</w:t>
      </w:r>
      <w:r>
        <w:t xml:space="preserve"> </w:t>
      </w:r>
      <w:r>
        <w:rPr>
          <w:b/>
          <w:bCs/>
        </w:rPr>
        <w:t xml:space="preserve">options DHCP</w:t>
      </w:r>
      <w:r>
        <w:t xml:space="preserve"> </w:t>
      </w:r>
      <w:r>
        <w:t xml:space="preserve">configurent automatiquement des paramètres réseau essentiels pour chaque client, évitant une configuration manuelle poste par poste.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Option</w:t>
            </w:r>
          </w:p>
        </w:tc>
        <w:tc>
          <w:tcPr/>
          <w:p>
            <w:pPr>
              <w:pStyle w:val="Compact"/>
            </w:pPr>
            <w:r>
              <w:t xml:space="preserve">Rôle</w:t>
            </w:r>
          </w:p>
        </w:tc>
      </w:tr>
      <w:tr>
        <w:tc>
          <w:tcPr/>
          <w:p>
            <w:pPr>
              <w:pStyle w:val="Compact"/>
            </w:pPr>
            <w:r>
              <w:t xml:space="preserve">Option 3</w:t>
            </w:r>
          </w:p>
        </w:tc>
        <w:tc>
          <w:tcPr/>
          <w:p>
            <w:pPr>
              <w:pStyle w:val="Compact"/>
            </w:pPr>
            <w:r>
              <w:t xml:space="preserve">Passerelle par défaut (routeur)</w:t>
            </w:r>
          </w:p>
        </w:tc>
      </w:tr>
      <w:tr>
        <w:tc>
          <w:tcPr/>
          <w:p>
            <w:pPr>
              <w:pStyle w:val="Compact"/>
            </w:pPr>
            <w:r>
              <w:t xml:space="preserve">Option 6</w:t>
            </w:r>
          </w:p>
        </w:tc>
        <w:tc>
          <w:tcPr/>
          <w:p>
            <w:pPr>
              <w:pStyle w:val="Compact"/>
            </w:pPr>
            <w:r>
              <w:t xml:space="preserve">Serveurs DNS (chapitre 9) à utiliser</w:t>
            </w:r>
          </w:p>
        </w:tc>
      </w:tr>
      <w:tr>
        <w:tc>
          <w:tcPr/>
          <w:p>
            <w:pPr>
              <w:pStyle w:val="Compact"/>
            </w:pPr>
            <w:r>
              <w:t xml:space="preserve">Option 15</w:t>
            </w:r>
          </w:p>
        </w:tc>
        <w:tc>
          <w:tcPr/>
          <w:p>
            <w:pPr>
              <w:pStyle w:val="Compact"/>
            </w:pPr>
            <w:r>
              <w:t xml:space="preserve">Suffixe DNS du domaine</w:t>
            </w:r>
          </w:p>
        </w:tc>
      </w:tr>
      <w:tr>
        <w:tc>
          <w:tcPr/>
          <w:p>
            <w:pPr>
              <w:pStyle w:val="Compact"/>
            </w:pPr>
            <w:r>
              <w:t xml:space="preserve">Option 66/67</w:t>
            </w:r>
          </w:p>
        </w:tc>
        <w:tc>
          <w:tcPr/>
          <w:p>
            <w:pPr>
              <w:pStyle w:val="Compact"/>
            </w:pPr>
            <w:r>
              <w:t xml:space="preserve">Serveur et fichier de démarrage réseau (PXE, pour le déploiement de systèmes)</w:t>
            </w:r>
          </w:p>
        </w:tc>
      </w:tr>
    </w:tbl>
    <w:p>
      <w:pPr>
        <w:pStyle w:val="BodyText"/>
      </w:pPr>
      <w:r>
        <w:t xml:space="preserve">🚀 Performance — cohérence des options entre sites</w:t>
      </w:r>
      <w:r>
        <w:t xml:space="preserve"> </w:t>
      </w:r>
      <w:r>
        <w:t xml:space="preserve">Une erreur de configuration fréquente consiste à laisser des options DHCP divergentes entre deux scopes de sites différents (par exemple, un mauvais serveur DNS configuré sur un site) — un problème qui, combiné aux enseignements du chapitre 9, peut provoquer des symptômes de résolution DNS incohérents selon le site depuis lequel un utilisateur se connecte, difficiles à diagnostiquer sans vérifier spécifiquement la configuration DHCP du site concerné.</w:t>
      </w:r>
    </w:p>
    <w:bookmarkEnd w:id="262"/>
    <w:bookmarkStart w:id="263" w:name="diagnostiquer-un-problème-dhcp"/>
    <w:p>
      <w:pPr>
        <w:pStyle w:val="Heading2"/>
      </w:pPr>
      <w:r>
        <w:t xml:space="preserve">10.6 Diagnostiquer un problème DHCP</w:t>
      </w:r>
    </w:p>
    <w:p>
      <w:pPr>
        <w:pStyle w:val="SourceCode"/>
      </w:pPr>
      <w:r>
        <w:rPr>
          <w:rStyle w:val="VerbatimChar"/>
        </w:rPr>
        <w:t xml:space="preserve"># Afficher la configuration IP actuelle d'un poste, y compris</w:t>
      </w:r>
      <w:r>
        <w:br/>
      </w:r>
      <w:r>
        <w:rPr>
          <w:rStyle w:val="VerbatimChar"/>
        </w:rPr>
        <w:t xml:space="preserve"># l'adresse du serveur DHCP qui a fourni le bail</w:t>
      </w:r>
      <w:r>
        <w:br/>
      </w:r>
      <w:r>
        <w:rPr>
          <w:rStyle w:val="VerbatimChar"/>
        </w:rPr>
        <w:t xml:space="preserve">ipconfig /all</w:t>
      </w:r>
      <w:r>
        <w:br/>
      </w:r>
      <w:r>
        <w:br/>
      </w:r>
      <w:r>
        <w:rPr>
          <w:rStyle w:val="VerbatimChar"/>
        </w:rPr>
        <w:t xml:space="preserve"># Liberer le bail actuel</w:t>
      </w:r>
      <w:r>
        <w:br/>
      </w:r>
      <w:r>
        <w:rPr>
          <w:rStyle w:val="VerbatimChar"/>
        </w:rPr>
        <w:t xml:space="preserve">ipconfig /release</w:t>
      </w:r>
      <w:r>
        <w:br/>
      </w:r>
      <w:r>
        <w:br/>
      </w:r>
      <w:r>
        <w:rPr>
          <w:rStyle w:val="VerbatimChar"/>
        </w:rPr>
        <w:t xml:space="preserve"># Redemander immediatement un nouveau bail DHCP</w:t>
      </w:r>
      <w:r>
        <w:br/>
      </w:r>
      <w:r>
        <w:rPr>
          <w:rStyle w:val="VerbatimChar"/>
        </w:rPr>
        <w:t xml:space="preserve">ipconfig /renew</w:t>
      </w:r>
    </w:p>
    <w:p>
      <w:pPr>
        <w:pStyle w:val="FirstParagraph"/>
      </w:pPr>
      <w:r>
        <w:t xml:space="preserve">🩺 Situation :</w:t>
      </w:r>
      <w:r>
        <w:t xml:space="preserve"> </w:t>
      </w:r>
      <w:r>
        <w:t xml:space="preserve">“Un nouveau poste ne reçoit aucune adresse IP”</w:t>
      </w:r>
    </w:p>
    <w:p>
      <w:pPr>
        <w:pStyle w:val="Compact"/>
        <w:numPr>
          <w:ilvl w:val="0"/>
          <w:numId w:val="1226"/>
        </w:numPr>
      </w:pPr>
      <w:r>
        <w:rPr>
          <w:b/>
          <w:bCs/>
        </w:rPr>
        <w:t xml:space="preserve">Diagnostic</w:t>
      </w:r>
      <w:r>
        <w:t xml:space="preserve"> </w:t>
      </w:r>
      <w:r>
        <w:t xml:space="preserve">: distingue d’abord si le problème touche un seul poste (probablement un problème local : câble, pilote réseau, port switch) ou plusieurs postes simultanément sur un même site (probablement le service DHCP lui-même, comme dans le scénario d’ouverture).</w:t>
      </w:r>
    </w:p>
    <w:p>
      <w:pPr>
        <w:pStyle w:val="Compact"/>
        <w:numPr>
          <w:ilvl w:val="0"/>
          <w:numId w:val="1226"/>
        </w:numPr>
      </w:pPr>
      <w:r>
        <w:rPr>
          <w:b/>
          <w:bCs/>
        </w:rPr>
        <w:t xml:space="preserve">Comment vérifier</w:t>
      </w:r>
      <w:r>
        <w:t xml:space="preserve"> </w:t>
      </w:r>
      <w:r>
        <w:t xml:space="preserve">: sur un poste symptomatique, une adresse IP de type</w:t>
      </w:r>
      <w:r>
        <w:t xml:space="preserve"> </w:t>
      </w:r>
      <w:r>
        <w:t xml:space="preserve">169.254.x.x</w:t>
      </w:r>
      <w:r>
        <w:t xml:space="preserve"> </w:t>
      </w:r>
      <w:r>
        <w:t xml:space="preserve">(attribuée automatiquement par le système d’exploitation lui-même en l’absence de réponse DHCP) confirme sans ambiguïté l’échec de l’obtention d’un bail.</w:t>
      </w:r>
    </w:p>
    <w:p>
      <w:pPr>
        <w:pStyle w:val="Compact"/>
        <w:numPr>
          <w:ilvl w:val="0"/>
          <w:numId w:val="1226"/>
        </w:numPr>
      </w:pPr>
      <w:r>
        <w:rPr>
          <w:b/>
          <w:bCs/>
        </w:rPr>
        <w:t xml:space="preserve">Résolution</w:t>
      </w:r>
      <w:r>
        <w:t xml:space="preserve"> </w:t>
      </w:r>
      <w:r>
        <w:t xml:space="preserve">: si le problème touche plusieurs postes, vérifier immédiatement la disponibilité du service DHCP lui-même (redémarrage du service, panne matérielle du serveur) plutôt que de perdre du temps à diagnostiquer chaque poste individuellement.</w:t>
      </w:r>
    </w:p>
    <w:bookmarkEnd w:id="263"/>
    <w:bookmarkStart w:id="264" w:name="X522fe01e862b550c0a8d81dc6a066fcf3bb4ece"/>
    <w:p>
      <w:pPr>
        <w:pStyle w:val="Heading2"/>
      </w:pPr>
      <w:r>
        <w:t xml:space="preserve">Atelier — Concevoir un failover DHCP pour l’entreprise</w:t>
      </w:r>
    </w:p>
    <w:p>
      <w:pPr>
        <w:pStyle w:val="FirstParagraph"/>
      </w:pPr>
      <w:r>
        <w:t xml:space="preserve">🛠️ Atelier 10 — Choisir un mode de failover adapté</w:t>
      </w:r>
    </w:p>
    <w:p>
      <w:pPr>
        <w:pStyle w:val="BodyText"/>
      </w:pPr>
      <w:r>
        <w:rPr>
          <w:b/>
          <w:bCs/>
        </w:rPr>
        <w:t xml:space="preserve">Objectif</w:t>
      </w:r>
      <w:r>
        <w:t xml:space="preserve"> </w:t>
      </w:r>
      <w:r>
        <w:t xml:space="preserve">: s’entraîner à choisir et justifier un mode de failover DHCP adapté à un contexte donné, en réponse directe à la demande du DSI dans le scénario d’ouverture.</w:t>
      </w:r>
    </w:p>
    <w:p>
      <w:pPr>
        <w:pStyle w:val="BodyText"/>
      </w:pPr>
      <w:r>
        <w:rPr>
          <w:b/>
          <w:bCs/>
        </w:rPr>
        <w:t xml:space="preserve">Préparation</w:t>
      </w:r>
      <w:r>
        <w:t xml:space="preserve"> </w:t>
      </w:r>
      <w:r>
        <w:t xml:space="preserve">: aucune installation nécessaire.</w:t>
      </w:r>
    </w:p>
    <w:p>
      <w:pPr>
        <w:pStyle w:val="BodyText"/>
      </w:pPr>
      <w:r>
        <w:rPr>
          <w:b/>
          <w:bCs/>
        </w:rPr>
        <w:t xml:space="preserve">Étapes détaillées</w:t>
      </w:r>
      <w:r>
        <w:t xml:space="preserve"> </w:t>
      </w:r>
      <w:r>
        <w:t xml:space="preserve">:</w:t>
      </w:r>
    </w:p>
    <w:p>
      <w:pPr>
        <w:pStyle w:val="Compact"/>
        <w:numPr>
          <w:ilvl w:val="0"/>
          <w:numId w:val="1227"/>
        </w:numPr>
      </w:pPr>
      <w:r>
        <w:t xml:space="preserve">Pour le site du Cap-Haïtien, propose un mode de failover (Load Balance ou Hot Standby) entre son serveur DHCP local et un second serveur, en justifiant ton choix à partir de la section 10.4 et des enseignements du chapitre 6 sur la fiabilité de la liaison inter-sites.</w:t>
      </w:r>
    </w:p>
    <w:p>
      <w:pPr>
        <w:pStyle w:val="Compact"/>
        <w:numPr>
          <w:ilvl w:val="0"/>
          <w:numId w:val="1227"/>
        </w:numPr>
      </w:pPr>
      <w:r>
        <w:t xml:space="preserve">Explique où devrait se situer physiquement ce second serveur (localement au Cap-Haïtien, ou à Port-au-Prince) et pourquoi.</w:t>
      </w:r>
    </w:p>
    <w:p>
      <w:pPr>
        <w:pStyle w:val="Compact"/>
        <w:numPr>
          <w:ilvl w:val="0"/>
          <w:numId w:val="1227"/>
        </w:numPr>
      </w:pPr>
      <w:r>
        <w:t xml:space="preserve">Compare ta proposition à la section</w:t>
      </w:r>
      <w:r>
        <w:t xml:space="preserve"> </w:t>
      </w:r>
      <w:r>
        <w:t xml:space="preserve">“Résultat attendu”</w:t>
      </w:r>
      <w:r>
        <w:t xml:space="preserve">.</w:t>
      </w:r>
    </w:p>
    <w:p>
      <w:pPr>
        <w:pStyle w:val="FirstParagraph"/>
      </w:pPr>
      <w:r>
        <w:rPr>
          <w:b/>
          <w:bCs/>
        </w:rPr>
        <w:t xml:space="preserve">Résultat attendu</w:t>
      </w:r>
      <w:r>
        <w:t xml:space="preserve"> </w:t>
      </w:r>
      <w:r>
        <w:t xml:space="preserve">: le mode Hot Standby est généralement recommandé quand les deux serveurs ne sont pas sur le même site à haute fiabilité, ce qui est le cas ici. Concernant l’emplacement du second serveur, un second serveur physiquement présent au Cap-Haïtien serait idéal pour une résilience complète (y compris en cas de coupure de la liaison inter-sites), reprenant exactement le raisonnement du contrôleur de domaine local du chapitre 5 — un second serveur uniquement à Port-au-Prince laisserait le Cap-Haïtien sans DHCP fonctionnel pendant une coupure réseau simultanée à une panne du serveur local, un scénario de double panne moins probable mais pas à exclure selon la criticité réelle du site.</w:t>
      </w:r>
    </w:p>
    <w:p>
      <w:pPr>
        <w:pStyle w:val="BodyText"/>
      </w:pPr>
      <w:r>
        <w:rPr>
          <w:b/>
          <w:bCs/>
        </w:rPr>
        <w:t xml:space="preserve">Dépannage</w:t>
      </w:r>
      <w:r>
        <w:t xml:space="preserve"> </w:t>
      </w:r>
      <w:r>
        <w:t xml:space="preserve">: si tu hésites sur l’emplacement du second serveur, reviens à la question du chapitre 6 :</w:t>
      </w:r>
      <w:r>
        <w:t xml:space="preserve"> </w:t>
      </w:r>
      <w:r>
        <w:t xml:space="preserve">“qu’est-ce qui se passe si les deux pannes (matérielle et réseau) surviennent en même temps ?”</w:t>
      </w:r>
    </w:p>
    <w:bookmarkEnd w:id="264"/>
    <w:bookmarkStart w:id="265" w:name="erreurs-fréquentes-9"/>
    <w:p>
      <w:pPr>
        <w:pStyle w:val="Heading2"/>
      </w:pPr>
      <w:r>
        <w:t xml:space="preserve">Erreurs fréquentes</w:t>
      </w:r>
    </w:p>
    <w:p>
      <w:pPr>
        <w:pStyle w:val="FirstParagraph"/>
      </w:pPr>
      <w:r>
        <w:t xml:space="preserve">⚠️ Erreur n°1 — un seul serveur DHCP par site critique, sans failover</w:t>
      </w:r>
      <w:r>
        <w:t xml:space="preserve"> </w:t>
      </w:r>
      <w:r>
        <w:t xml:space="preserve">Exactement la situation du scénario d’ouverture — un point de défaillance unique qui prive tout nouveau poste de connectivité réseau dès la moindre panne du serveur.</w:t>
      </w:r>
    </w:p>
    <w:p>
      <w:pPr>
        <w:pStyle w:val="BodyText"/>
      </w:pPr>
      <w:r>
        <w:t xml:space="preserve">⚠️ Erreur n°2 — chevauchement de scopes entre deux serveurs sans failover configuré</w:t>
      </w:r>
      <w:r>
        <w:t xml:space="preserve"> </w:t>
      </w:r>
      <w:r>
        <w:t xml:space="preserve">Configurer manuellement deux serveurs DHCP distincts sur la même plage d’adresses, sans utiliser le mécanisme de failover officiel, peut provoquer l’attribution de la même adresse IP à deux appareils différents simultanément — un conflit d’adressage à l’origine de dysfonctionnements réseau difficiles à diagnostiquer.</w:t>
      </w:r>
    </w:p>
    <w:p>
      <w:pPr>
        <w:pStyle w:val="BodyText"/>
      </w:pPr>
      <w:r>
        <w:t xml:space="preserve">⚠️ Erreur n°3 — utiliser des adresses statiques manuelles au lieu de réservations pour des équipements gérés en masse</w:t>
      </w:r>
      <w:r>
        <w:t xml:space="preserve"> </w:t>
      </w:r>
      <w:r>
        <w:t xml:space="preserve">Comme vu en section 10.3, cette pratique disperse la configuration réseau sur chaque équipement individuellement, au lieu de la centraliser et de la documenter automatiquement via la console DHCP.</w:t>
      </w:r>
    </w:p>
    <w:bookmarkEnd w:id="265"/>
    <w:bookmarkStart w:id="266" w:name="en-entreprise-9"/>
    <w:p>
      <w:pPr>
        <w:pStyle w:val="Heading2"/>
      </w:pPr>
      <w:r>
        <w:t xml:space="preserve">En entreprise</w:t>
      </w:r>
    </w:p>
    <w:p>
      <w:pPr>
        <w:pStyle w:val="Compact"/>
        <w:numPr>
          <w:ilvl w:val="0"/>
          <w:numId w:val="1228"/>
        </w:numPr>
      </w:pPr>
      <w:r>
        <w:rPr>
          <w:b/>
          <w:bCs/>
        </w:rPr>
        <w:t xml:space="preserve">Bonne pratique répandue</w:t>
      </w:r>
      <w:r>
        <w:t xml:space="preserve"> </w:t>
      </w:r>
      <w:r>
        <w:t xml:space="preserve">: surveiller le taux d’utilisation de chaque scope DHCP (proportion d’adresses attribuées par rapport à la plage totale disponible) pour anticiper une saturation avant qu’elle ne bloque de nouveaux appareils — un exemple direct de performance proactive (chapitre 1, section 1.4).</w:t>
      </w:r>
    </w:p>
    <w:p>
      <w:pPr>
        <w:pStyle w:val="Compact"/>
        <w:numPr>
          <w:ilvl w:val="0"/>
          <w:numId w:val="1228"/>
        </w:numPr>
      </w:pPr>
      <w:r>
        <w:rPr>
          <w:b/>
          <w:bCs/>
        </w:rPr>
        <w:t xml:space="preserve">Bonne pratique répandue</w:t>
      </w:r>
      <w:r>
        <w:t xml:space="preserve"> </w:t>
      </w:r>
      <w:r>
        <w:t xml:space="preserve">: documenter (chapitre 3) l’ensemble des réservations DHCP avec leur justification (quel équipement, pourquoi une adresse fixe est nécessaire), plutôt que de laisser s’accumuler des réservations dont personne ne se souvient plus de la raison d’être.</w:t>
      </w:r>
    </w:p>
    <w:p>
      <w:pPr>
        <w:pStyle w:val="Compact"/>
        <w:numPr>
          <w:ilvl w:val="0"/>
          <w:numId w:val="1228"/>
        </w:numPr>
      </w:pPr>
      <w:r>
        <w:rPr>
          <w:b/>
          <w:bCs/>
        </w:rPr>
        <w:t xml:space="preserve">Erreur classique observée</w:t>
      </w:r>
      <w:r>
        <w:t xml:space="preserve"> </w:t>
      </w:r>
      <w:r>
        <w:t xml:space="preserve">: un scope DHCP dimensionné pour l’effectif initial d’un site, jamais révisé après une croissance significative des effectifs — provoquant une pénurie d’adresses disponibles au pire moment (souvent un jour de forte affluence).</w:t>
      </w:r>
    </w:p>
    <w:bookmarkEnd w:id="266"/>
    <w:bookmarkStart w:id="267" w:name="entretien-technique-9"/>
    <w:p>
      <w:pPr>
        <w:pStyle w:val="Heading2"/>
      </w:pPr>
      <w:r>
        <w:t xml:space="preserve">Entretien technique</w:t>
      </w:r>
    </w:p>
    <w:p>
      <w:pPr>
        <w:pStyle w:val="FirstParagraph"/>
      </w:pPr>
      <w:r>
        <w:t xml:space="preserve">💼 Questions fréquemment posées en entretien</w:t>
      </w:r>
    </w:p>
    <w:p>
      <w:pPr>
        <w:pStyle w:val="BodyText"/>
      </w:pPr>
      <w:r>
        <w:rPr>
          <w:b/>
          <w:bCs/>
        </w:rPr>
        <w:t xml:space="preserve">Q1.</w:t>
      </w:r>
      <w:r>
        <w:rPr>
          <w:b/>
          <w:bCs/>
        </w:rPr>
        <w:t xml:space="preserve"> </w:t>
      </w:r>
      <w:r>
        <w:rPr>
          <w:b/>
          <w:bCs/>
        </w:rPr>
        <w:t xml:space="preserve">“Explique le processus DORA.”</w:t>
      </w:r>
      <w:r>
        <w:t xml:space="preserve"> </w:t>
      </w:r>
      <w:r>
        <w:t xml:space="preserve">Réponse attendue : Discover (le client diffuse une demande), Offer (un serveur propose une adresse disponible), Request (le client demande formellement cette adresse), Acknowledge (le serveur confirme et attribue le bail) — les quatre étapes de l’obtention d’une adresse IP via DHCP.</w:t>
      </w:r>
    </w:p>
    <w:p>
      <w:pPr>
        <w:pStyle w:val="BodyText"/>
      </w:pPr>
      <w:r>
        <w:rPr>
          <w:b/>
          <w:bCs/>
        </w:rPr>
        <w:t xml:space="preserve">Q2.</w:t>
      </w:r>
      <w:r>
        <w:rPr>
          <w:b/>
          <w:bCs/>
        </w:rPr>
        <w:t xml:space="preserve"> </w:t>
      </w:r>
      <w:r>
        <w:rPr>
          <w:b/>
          <w:bCs/>
        </w:rPr>
        <w:t xml:space="preserve">“Pourquoi un poste déjà connecté continue-t-il de fonctionner même si le serveur DHCP tombe en panne ?”</w:t>
      </w:r>
      <w:r>
        <w:t xml:space="preserve"> </w:t>
      </w:r>
      <w:r>
        <w:t xml:space="preserve">Réponse attendue : parce qu’il possède déjà un bail valide, dont la durée n’est pas immédiatement affectée par une panne du serveur — seuls les nouveaux appareils, ou ceux dont le bail arrive à expiration ou qui redémarrent en réclamant une nouvelle adresse, sont affectés par l’indisponibilité du service.</w:t>
      </w:r>
    </w:p>
    <w:p>
      <w:pPr>
        <w:pStyle w:val="BodyText"/>
      </w:pPr>
      <w:r>
        <w:rPr>
          <w:b/>
          <w:bCs/>
        </w:rPr>
        <w:t xml:space="preserve">Q3.</w:t>
      </w:r>
      <w:r>
        <w:rPr>
          <w:b/>
          <w:bCs/>
        </w:rPr>
        <w:t xml:space="preserve"> </w:t>
      </w:r>
      <w:r>
        <w:rPr>
          <w:b/>
          <w:bCs/>
        </w:rPr>
        <w:t xml:space="preserve">“Quelle est la différence entre une réservation DHCP et une adresse IP statique classique ?”</w:t>
      </w:r>
      <w:r>
        <w:t xml:space="preserve"> </w:t>
      </w:r>
      <w:r>
        <w:t xml:space="preserve">Réponse attendue : une réservation reste gérée de façon centralisée depuis le serveur DHCP (visible, modifiable, documentée dans un seul endroit), tout en garantissant systématiquement la même adresse à un équipement précis identifié par son adresse MAC — contrairement à une adresse statique configurée manuellement et directement sur chaque équipement, plus dispersée et plus facilement oubliée.</w:t>
      </w:r>
    </w:p>
    <w:bookmarkEnd w:id="267"/>
    <w:bookmarkStart w:id="268" w:name="Xb3ad0eea82d04c0e9b72406837df539f5220b86"/>
    <w:p>
      <w:pPr>
        <w:pStyle w:val="Heading2"/>
      </w:pPr>
      <w:r>
        <w:t xml:space="preserve">Optimisation, sécurité et maintenabilité — les réflexes dès ce chapitre</w:t>
      </w:r>
    </w:p>
    <w:p>
      <w:pPr>
        <w:pStyle w:val="FirstParagraph"/>
      </w:pPr>
      <w:r>
        <w:t xml:space="preserve">🔒 Sécurité</w:t>
      </w:r>
      <w:r>
        <w:t xml:space="preserve"> </w:t>
      </w:r>
      <w:r>
        <w:t xml:space="preserve">Un serveur DHCP non autorisé (</w:t>
      </w:r>
      <w:r>
        <w:rPr>
          <w:i/>
          <w:iCs/>
        </w:rPr>
        <w:t xml:space="preserve">rogue DHCP</w:t>
      </w:r>
      <w:r>
        <w:t xml:space="preserve">), installé par erreur ou avec une intention malveillante sur le réseau, peut distribuer de fausses informations (notamment un faux serveur DNS ou une fausse passerelle) et rediriger discrètement le trafic des postes clients — Active Directory propose un mécanisme d’autorisation de serveur DHCP qui limite ce risque pour les serveurs légitimes intégrés au domaine, à activer systématiquement.</w:t>
      </w:r>
    </w:p>
    <w:p>
      <w:pPr>
        <w:pStyle w:val="BodyText"/>
      </w:pPr>
      <w:r>
        <w:t xml:space="preserve">✅ Maintenabilité</w:t>
      </w:r>
      <w:r>
        <w:t xml:space="preserve"> </w:t>
      </w:r>
      <w:r>
        <w:t xml:space="preserve">Documente la configuration de chaque scope (plage, options, réservations, mode de failover) au même titre que l’architecture Active Directory du chapitre 5 — une configuration DHCP mal documentée devient rapidement un mystère pour quiconque doit la faire évoluer ou la dépanner sans son créateur d’origine.</w:t>
      </w:r>
    </w:p>
    <w:p>
      <w:pPr>
        <w:pStyle w:val="BodyText"/>
      </w:pPr>
      <w:r>
        <w:t xml:space="preserve">🚀 Performance</w:t>
      </w:r>
      <w:r>
        <w:t xml:space="preserve"> </w:t>
      </w:r>
      <w:r>
        <w:t xml:space="preserve">Ajuste la durée du bail DHCP selon le contexte réel : une durée courte convient à un réseau avec beaucoup d’appareils invités temporaires (renouvellement rapide du pool disponible), une durée plus longue réduit le trafic réseau de renouvellement pour un parc d’appareils stables et permanents.</w:t>
      </w:r>
    </w:p>
    <w:bookmarkEnd w:id="268"/>
    <w:bookmarkStart w:id="269" w:name="résumé-du-chapitre-9"/>
    <w:p>
      <w:pPr>
        <w:pStyle w:val="Heading2"/>
      </w:pPr>
      <w:r>
        <w:t xml:space="preserve">Résumé du chapitre</w:t>
      </w:r>
    </w:p>
    <w:p>
      <w:pPr>
        <w:pStyle w:val="Compact"/>
        <w:numPr>
          <w:ilvl w:val="0"/>
          <w:numId w:val="1229"/>
        </w:numPr>
      </w:pPr>
      <w:r>
        <w:t xml:space="preserve">Le processus DORA (Discover, Offer, Request, Acknowledge) attribue automatiquement une adresse IP et des paramètres réseau à un appareil qui rejoint le réseau.</w:t>
      </w:r>
    </w:p>
    <w:p>
      <w:pPr>
        <w:pStyle w:val="Compact"/>
        <w:numPr>
          <w:ilvl w:val="0"/>
          <w:numId w:val="1229"/>
        </w:numPr>
      </w:pPr>
      <w:r>
        <w:t xml:space="preserve">Un poste avec un bail valide continue de fonctionner même si le serveur DHCP tombe en panne ; seuls les nouveaux appareils ou les baux expirés sont affectés.</w:t>
      </w:r>
    </w:p>
    <w:p>
      <w:pPr>
        <w:pStyle w:val="Compact"/>
        <w:numPr>
          <w:ilvl w:val="0"/>
          <w:numId w:val="1229"/>
        </w:numPr>
      </w:pPr>
      <w:r>
        <w:t xml:space="preserve">Les réservations DHCP offrent une adresse fixe gérée de façon centralisée, préférable à une adresse statique manuelle pour les équipements semi-critiques.</w:t>
      </w:r>
    </w:p>
    <w:p>
      <w:pPr>
        <w:pStyle w:val="Compact"/>
        <w:numPr>
          <w:ilvl w:val="0"/>
          <w:numId w:val="1229"/>
        </w:numPr>
      </w:pPr>
      <w:r>
        <w:t xml:space="preserve">Le failover DHCP (Load Balance ou Hot Standby) élimine le point de défaillance unique d’un serveur DHCP isolé — un besoin de tolérance de panne directement comparable à celui étudié pour Active Directory au chapitre 6.</w:t>
      </w:r>
    </w:p>
    <w:p>
      <w:pPr>
        <w:pStyle w:val="Compact"/>
        <w:numPr>
          <w:ilvl w:val="0"/>
          <w:numId w:val="1229"/>
        </w:numPr>
      </w:pPr>
      <w:r>
        <w:t xml:space="preserve">Les options DHCP transmettent bien plus qu’une adresse IP (passerelle, DNS, suffixe de domaine), et leur cohérence entre sites évite des symptômes de dysfonctionnement difficiles à diagnostiquer.</w:t>
      </w:r>
    </w:p>
    <w:bookmarkEnd w:id="269"/>
    <w:bookmarkStart w:id="270" w:name="quiz-9"/>
    <w:p>
      <w:pPr>
        <w:pStyle w:val="Heading2"/>
      </w:pPr>
      <w:r>
        <w:t xml:space="preserve">Quiz</w:t>
      </w:r>
    </w:p>
    <w:p>
      <w:pPr>
        <w:pStyle w:val="FirstParagraph"/>
      </w:pPr>
      <w:r>
        <w:t xml:space="preserve">📝 QCM (une seule bonne réponse par question)</w:t>
      </w:r>
    </w:p>
    <w:p>
      <w:pPr>
        <w:pStyle w:val="Compact"/>
        <w:numPr>
          <w:ilvl w:val="0"/>
          <w:numId w:val="1230"/>
        </w:numPr>
      </w:pPr>
      <w:r>
        <w:t xml:space="preserve">L’ordre correct des étapes du processus DORA est :</w:t>
      </w:r>
    </w:p>
    <w:p>
      <w:pPr>
        <w:pStyle w:val="Compact"/>
        <w:numPr>
          <w:ilvl w:val="1"/>
          <w:numId w:val="1231"/>
        </w:numPr>
      </w:pPr>
    </w:p>
    <w:p>
      <w:pPr>
        <w:pStyle w:val="Compact"/>
        <w:numPr>
          <w:ilvl w:val="2"/>
          <w:numId w:val="1232"/>
        </w:numPr>
      </w:pPr>
      <w:r>
        <w:t xml:space="preserve">Offer, Discover, Acknowledge, Request</w:t>
      </w:r>
    </w:p>
    <w:p>
      <w:pPr>
        <w:pStyle w:val="Compact"/>
        <w:numPr>
          <w:ilvl w:val="1"/>
          <w:numId w:val="1231"/>
        </w:numPr>
      </w:pPr>
    </w:p>
    <w:p>
      <w:pPr>
        <w:pStyle w:val="Compact"/>
        <w:numPr>
          <w:ilvl w:val="2"/>
          <w:numId w:val="1233"/>
        </w:numPr>
      </w:pPr>
      <w:r>
        <w:t xml:space="preserve">Discover, Offer, Request, Acknowledge</w:t>
      </w:r>
    </w:p>
    <w:p>
      <w:pPr>
        <w:pStyle w:val="Compact"/>
        <w:numPr>
          <w:ilvl w:val="1"/>
          <w:numId w:val="1231"/>
        </w:numPr>
      </w:pPr>
    </w:p>
    <w:p>
      <w:pPr>
        <w:pStyle w:val="Compact"/>
        <w:numPr>
          <w:ilvl w:val="2"/>
          <w:numId w:val="1234"/>
        </w:numPr>
      </w:pPr>
      <w:r>
        <w:t xml:space="preserve">Request, Discover, Offer, Acknowledge</w:t>
      </w:r>
    </w:p>
    <w:p>
      <w:pPr>
        <w:pStyle w:val="Compact"/>
        <w:numPr>
          <w:ilvl w:val="1"/>
          <w:numId w:val="1231"/>
        </w:numPr>
      </w:pPr>
    </w:p>
    <w:p>
      <w:pPr>
        <w:pStyle w:val="Compact"/>
        <w:numPr>
          <w:ilvl w:val="2"/>
          <w:numId w:val="1235"/>
        </w:numPr>
      </w:pPr>
      <w:r>
        <w:t xml:space="preserve">Acknowledge, Request, Offer, Discover</w:t>
      </w:r>
    </w:p>
    <w:p>
      <w:pPr>
        <w:pStyle w:val="Compact"/>
        <w:numPr>
          <w:ilvl w:val="0"/>
          <w:numId w:val="1230"/>
        </w:numPr>
      </w:pPr>
      <w:r>
        <w:t xml:space="preserve">Un poste déjà connecté au réseau, avec un bail DHCP valide, en cas de panne du serveur DHCP :</w:t>
      </w:r>
    </w:p>
    <w:p>
      <w:pPr>
        <w:pStyle w:val="Compact"/>
        <w:numPr>
          <w:ilvl w:val="1"/>
          <w:numId w:val="1236"/>
        </w:numPr>
      </w:pPr>
    </w:p>
    <w:p>
      <w:pPr>
        <w:pStyle w:val="Compact"/>
        <w:numPr>
          <w:ilvl w:val="2"/>
          <w:numId w:val="1237"/>
        </w:numPr>
      </w:pPr>
      <w:r>
        <w:t xml:space="preserve">Perd immédiatement sa connectivité réseau</w:t>
      </w:r>
    </w:p>
    <w:p>
      <w:pPr>
        <w:pStyle w:val="Compact"/>
        <w:numPr>
          <w:ilvl w:val="1"/>
          <w:numId w:val="1236"/>
        </w:numPr>
      </w:pPr>
    </w:p>
    <w:p>
      <w:pPr>
        <w:pStyle w:val="Compact"/>
        <w:numPr>
          <w:ilvl w:val="2"/>
          <w:numId w:val="1238"/>
        </w:numPr>
      </w:pPr>
      <w:r>
        <w:t xml:space="preserve">Continue de fonctionner normalement jusqu’à l’expiration de son bail</w:t>
      </w:r>
    </w:p>
    <w:p>
      <w:pPr>
        <w:pStyle w:val="Compact"/>
        <w:numPr>
          <w:ilvl w:val="1"/>
          <w:numId w:val="1236"/>
        </w:numPr>
      </w:pPr>
    </w:p>
    <w:p>
      <w:pPr>
        <w:pStyle w:val="Compact"/>
        <w:numPr>
          <w:ilvl w:val="2"/>
          <w:numId w:val="1239"/>
        </w:numPr>
      </w:pPr>
      <w:r>
        <w:t xml:space="preserve">Reçoit automatiquement une adresse IP d’un serveur de secours, même sans failover configuré</w:t>
      </w:r>
    </w:p>
    <w:p>
      <w:pPr>
        <w:pStyle w:val="Compact"/>
        <w:numPr>
          <w:ilvl w:val="1"/>
          <w:numId w:val="1236"/>
        </w:numPr>
      </w:pPr>
    </w:p>
    <w:p>
      <w:pPr>
        <w:pStyle w:val="Compact"/>
        <w:numPr>
          <w:ilvl w:val="2"/>
          <w:numId w:val="1240"/>
        </w:numPr>
      </w:pPr>
      <w:r>
        <w:t xml:space="preserve">Redémarre automatiquement</w:t>
      </w:r>
    </w:p>
    <w:p>
      <w:pPr>
        <w:pStyle w:val="Compact"/>
        <w:numPr>
          <w:ilvl w:val="0"/>
          <w:numId w:val="1230"/>
        </w:numPr>
      </w:pPr>
      <w:r>
        <w:t xml:space="preserve">Le mode de failover DHCP le plus adapté entre deux sites distants reliés par une liaison moins fiable est généralement :</w:t>
      </w:r>
    </w:p>
    <w:p>
      <w:pPr>
        <w:pStyle w:val="Compact"/>
        <w:numPr>
          <w:ilvl w:val="1"/>
          <w:numId w:val="1241"/>
        </w:numPr>
      </w:pPr>
    </w:p>
    <w:p>
      <w:pPr>
        <w:pStyle w:val="Compact"/>
        <w:numPr>
          <w:ilvl w:val="2"/>
          <w:numId w:val="1242"/>
        </w:numPr>
      </w:pPr>
      <w:r>
        <w:t xml:space="preserve">Load Balance</w:t>
      </w:r>
    </w:p>
    <w:p>
      <w:pPr>
        <w:pStyle w:val="Compact"/>
        <w:numPr>
          <w:ilvl w:val="1"/>
          <w:numId w:val="1241"/>
        </w:numPr>
      </w:pPr>
    </w:p>
    <w:p>
      <w:pPr>
        <w:pStyle w:val="Compact"/>
        <w:numPr>
          <w:ilvl w:val="2"/>
          <w:numId w:val="1243"/>
        </w:numPr>
      </w:pPr>
      <w:r>
        <w:t xml:space="preserve">Hot Standby</w:t>
      </w:r>
    </w:p>
    <w:p>
      <w:pPr>
        <w:pStyle w:val="Compact"/>
        <w:numPr>
          <w:ilvl w:val="1"/>
          <w:numId w:val="1241"/>
        </w:numPr>
      </w:pPr>
    </w:p>
    <w:p>
      <w:pPr>
        <w:pStyle w:val="Compact"/>
        <w:numPr>
          <w:ilvl w:val="2"/>
          <w:numId w:val="1244"/>
        </w:numPr>
      </w:pPr>
      <w:r>
        <w:t xml:space="preserve">Aucun failover n’est jamais recommandé entre deux sites distants</w:t>
      </w:r>
    </w:p>
    <w:p>
      <w:pPr>
        <w:pStyle w:val="Compact"/>
        <w:numPr>
          <w:ilvl w:val="1"/>
          <w:numId w:val="1241"/>
        </w:numPr>
      </w:pPr>
    </w:p>
    <w:p>
      <w:pPr>
        <w:pStyle w:val="Compact"/>
        <w:numPr>
          <w:ilvl w:val="2"/>
          <w:numId w:val="1245"/>
        </w:numPr>
      </w:pPr>
      <w:r>
        <w:t xml:space="preserve">Une réservation DHCP unique</w:t>
      </w:r>
    </w:p>
    <w:p>
      <w:pPr>
        <w:pStyle w:val="FirstParagraph"/>
      </w:pPr>
      <w:r>
        <w:rPr>
          <w:b/>
          <w:bCs/>
        </w:rPr>
        <w:t xml:space="preserve">Corrigé</w:t>
      </w:r>
      <w:r>
        <w:t xml:space="preserve"> </w:t>
      </w:r>
      <w:r>
        <w:t xml:space="preserve">: 1-b, 2-b, 3-b.</w:t>
      </w:r>
    </w:p>
    <w:p>
      <w:pPr>
        <w:pStyle w:val="BodyText"/>
      </w:pPr>
      <w:r>
        <w:t xml:space="preserve">📝 Vrai ou Faux</w:t>
      </w:r>
    </w:p>
    <w:p>
      <w:pPr>
        <w:pStyle w:val="Compact"/>
        <w:numPr>
          <w:ilvl w:val="0"/>
          <w:numId w:val="1246"/>
        </w:numPr>
      </w:pPr>
      <w:r>
        <w:t xml:space="preserve">Une réservation DHCP est identifiée par l’adresse MAC de l’équipement concerné. —</w:t>
      </w:r>
      <w:r>
        <w:t xml:space="preserve"> </w:t>
      </w:r>
      <w:r>
        <w:rPr>
          <w:b/>
          <w:bCs/>
        </w:rPr>
        <w:t xml:space="preserve">Vrai</w:t>
      </w:r>
      <w:r>
        <w:t xml:space="preserve">.</w:t>
      </w:r>
    </w:p>
    <w:p>
      <w:pPr>
        <w:pStyle w:val="Compact"/>
        <w:numPr>
          <w:ilvl w:val="0"/>
          <w:numId w:val="1246"/>
        </w:numPr>
      </w:pPr>
      <w:r>
        <w:t xml:space="preserve">Un serveur DHCP doit toujours obtenir sa propre adresse IP via DHCP, pour rester cohérent avec le reste du parc. —</w:t>
      </w:r>
      <w:r>
        <w:t xml:space="preserve"> </w:t>
      </w:r>
      <w:r>
        <w:rPr>
          <w:b/>
          <w:bCs/>
        </w:rPr>
        <w:t xml:space="preserve">Faux</w:t>
      </w:r>
      <w:r>
        <w:t xml:space="preserve"> </w:t>
      </w:r>
      <w:r>
        <w:t xml:space="preserve">(les serveurs critiques comme le DHCP lui-même conservent une adresse statique véritable, section 10.3).</w:t>
      </w:r>
    </w:p>
    <w:p>
      <w:pPr>
        <w:pStyle w:val="Compact"/>
        <w:numPr>
          <w:ilvl w:val="0"/>
          <w:numId w:val="1246"/>
        </w:numPr>
      </w:pPr>
      <w:r>
        <w:t xml:space="preserve">Une adresse IP de type 169.254.x.x indique généralement un échec d’obtention de bail DHCP. —</w:t>
      </w:r>
      <w:r>
        <w:t xml:space="preserve"> </w:t>
      </w:r>
      <w:r>
        <w:rPr>
          <w:b/>
          <w:bCs/>
        </w:rPr>
        <w:t xml:space="preserve">Vrai</w:t>
      </w:r>
      <w:r>
        <w:t xml:space="preserve">.</w:t>
      </w:r>
    </w:p>
    <w:p>
      <w:pPr>
        <w:pStyle w:val="Compact"/>
        <w:numPr>
          <w:ilvl w:val="0"/>
          <w:numId w:val="1246"/>
        </w:numPr>
      </w:pPr>
      <w:r>
        <w:t xml:space="preserve">Le mode Load Balance répartit les requêtes DHCP entre deux serveurs actifs simultanément. —</w:t>
      </w:r>
      <w:r>
        <w:t xml:space="preserve"> </w:t>
      </w:r>
      <w:r>
        <w:rPr>
          <w:b/>
          <w:bCs/>
        </w:rPr>
        <w:t xml:space="preserve">Vrai</w:t>
      </w:r>
      <w:r>
        <w:t xml:space="preserve">.</w:t>
      </w:r>
    </w:p>
    <w:p>
      <w:pPr>
        <w:pStyle w:val="FirstParagraph"/>
      </w:pPr>
      <w:r>
        <w:t xml:space="preserve">📝 Questions ouvertes</w:t>
      </w:r>
    </w:p>
    <w:p>
      <w:pPr>
        <w:pStyle w:val="Compact"/>
        <w:numPr>
          <w:ilvl w:val="0"/>
          <w:numId w:val="1247"/>
        </w:numPr>
      </w:pPr>
      <w:r>
        <w:t xml:space="preserve">Explique pourquoi seuls certains appareils ont été affectés par la panne du scénario d’ouverture, et pas l’ensemble du site immédiatement.</w:t>
      </w:r>
    </w:p>
    <w:p>
      <w:pPr>
        <w:pStyle w:val="Compact"/>
        <w:numPr>
          <w:ilvl w:val="0"/>
          <w:numId w:val="1247"/>
        </w:numPr>
      </w:pPr>
      <w:r>
        <w:t xml:space="preserve">Un collègue propose de résoudre le problème du scénario d’ouverture en configurant un second serveur DHCP totalement indépendant, sur la même plage d’adresses, sans utiliser le mécanisme de failover officiel. Explique-lui pourquoi c’est risqué, à partir de la section 10.4 et de l’erreur n°2 de ce chapitre.</w:t>
      </w:r>
    </w:p>
    <w:p>
      <w:pPr>
        <w:pStyle w:val="FirstParagraph"/>
      </w:pPr>
      <w:r>
        <w:rPr>
          <w:b/>
          <w:bCs/>
        </w:rPr>
        <w:t xml:space="preserve">Corrigé 1</w:t>
      </w:r>
      <w:r>
        <w:t xml:space="preserve"> </w:t>
      </w:r>
      <w:r>
        <w:t xml:space="preserve">: les postes qui possédaient déjà un bail DHCP valide au moment de la panne ont continué à fonctionner normalement, ce bail restant valable jusqu’à son expiration naturelle (section 10.1) — seuls les nouveaux appareils, ou les postes dont le bail arrivait à expiration ou qui redémarraient en réclamant une nouvelle adresse, ont été immédiatement affectés par l’indisponibilité du serveur.</w:t>
      </w:r>
    </w:p>
    <w:p>
      <w:pPr>
        <w:pStyle w:val="BodyText"/>
      </w:pPr>
      <w:r>
        <w:rPr>
          <w:b/>
          <w:bCs/>
        </w:rPr>
        <w:t xml:space="preserve">Corrigé 2</w:t>
      </w:r>
      <w:r>
        <w:t xml:space="preserve"> </w:t>
      </w:r>
      <w:r>
        <w:t xml:space="preserve">: sans le mécanisme de failover officiel de Windows Server, les deux serveurs ne coordonnent pas entre eux les adresses déjà attribuées — un risque réel que les deux serveurs proposent, de façon indépendante, la même adresse IP à deux appareils différents, provoquant un conflit d’adressage (erreur n°2 de ce chapitre) qui peut désorganiser gravement la connectivité de plusieurs appareils simultanément, un problème potentiellement pire que la panne initiale que cette solution improvisée cherchait à corriger.</w:t>
      </w:r>
    </w:p>
    <w:bookmarkEnd w:id="270"/>
    <w:bookmarkStart w:id="271" w:name="exercices-9"/>
    <w:p>
      <w:pPr>
        <w:pStyle w:val="Heading2"/>
      </w:pPr>
      <w:r>
        <w:t xml:space="preserve">Exercices</w:t>
      </w:r>
    </w:p>
    <w:p>
      <w:pPr>
        <w:pStyle w:val="FirstParagraph"/>
      </w:pPr>
      <w:r>
        <w:t xml:space="preserve">📝 Exercice 10.1</w:t>
      </w:r>
    </w:p>
    <w:p>
      <w:pPr>
        <w:pStyle w:val="BodyText"/>
      </w:pPr>
      <w:r>
        <w:t xml:space="preserve">Une imprimante réseau du service comptabilité a besoin d’une adresse IP stable pour que les postes puissent la retrouver de façon fiable. Explique pourquoi une réservation DHCP est généralement préférable à une adresse IP statique configurée directement sur l’imprimante.</w:t>
      </w:r>
    </w:p>
    <w:p>
      <w:pPr>
        <w:pStyle w:val="BodyText"/>
      </w:pPr>
      <w:r>
        <w:rPr>
          <w:b/>
          <w:bCs/>
        </w:rPr>
        <w:t xml:space="preserve">Corrigé :</w:t>
      </w:r>
      <w:r>
        <w:t xml:space="preserve"> </w:t>
      </w:r>
      <w:r>
        <w:t xml:space="preserve">Une réservation DHCP reste visible et modifiable de façon centralisée depuis la console du serveur DHCP, aux côtés de l’ensemble des autres réservations documentées (chapitre 3) — un changement futur (nouveau sous-réseau, réorganisation IP) peut être appliqué depuis un seul endroit. Une adresse statique configurée directement sur l’imprimante nécessite en revanche un accès physique ou une interface d’administration propre à l’équipement pour tout changement, et son existence peut facilement être oubliée avec le temps si elle n’est pas documentée séparément — un risque de conflit d’adressage si la même adresse est plus tard attribuée par erreur à un autre équipement via le DHCP.</w:t>
      </w:r>
    </w:p>
    <w:p>
      <w:pPr>
        <w:pStyle w:val="BodyText"/>
      </w:pPr>
      <w:r>
        <w:t xml:space="preserve">📝 Exercice 10.2</w:t>
      </w:r>
    </w:p>
    <w:p>
      <w:pPr>
        <w:pStyle w:val="BodyText"/>
      </w:pPr>
      <w:r>
        <w:t xml:space="preserve">Rédige, en 3 à 5 phrases, la réponse que tu donnerais au DSI (question posée dans le scénario d’ouverture) sur la mise en place d’un failover DHCP, en expliquant simplement pourquoi c’est un investissement justifié malgré le coût d’un second serveur.</w:t>
      </w:r>
    </w:p>
    <w:p>
      <w:pPr>
        <w:pStyle w:val="BodyText"/>
      </w:pPr>
      <w:r>
        <w:rPr>
          <w:b/>
          <w:bCs/>
        </w:rPr>
        <w:t xml:space="preserve">Corrigé (exemple de réponse) :</w:t>
      </w:r>
      <w:r>
        <w:t xml:space="preserve"> </w:t>
      </w:r>
      <w:r>
        <w:t xml:space="preserve">Je lui expliquerais qu’un serveur DHCP unique représente exactement le même type de risque qu’un contrôleur de domaine unique par site (chapitre 6) : tant qu’il fonctionne, tout va bien, mais sa panne prive immédiatement tout nouvel appareil de connectivité réseau, un impact potentiellement paralysant pour toute une équipe. Le coût d’un second serveur en mode Hot Standby (section 10.4) reste généralement modeste comparé au coût opérationnel d’une interruption de plusieurs heures pour l’ensemble d’un site, surtout un jour de forte activité. C’est un investissement de résilience directement comparable à celui déjà validé pour Active Directory, appliqué cette fois à un service tout aussi essentiel au quotidien.</w:t>
      </w:r>
    </w:p>
    <w:bookmarkEnd w:id="271"/>
    <w:bookmarkStart w:id="272" w:name="checklist-de-fin-de-chapitre-9"/>
    <w:p>
      <w:pPr>
        <w:pStyle w:val="Heading2"/>
      </w:pPr>
      <w:r>
        <w:t xml:space="preserve">Checklist de fin de chapitre</w:t>
      </w:r>
    </w:p>
    <w:p>
      <w:pPr>
        <w:pStyle w:val="FirstParagraph"/>
      </w:pPr>
      <w:r>
        <w:t xml:space="preserve">☐ Je sais expliquer le processus DORA et ses quatre étapes.</w:t>
      </w:r>
    </w:p>
    <w:p>
      <w:pPr>
        <w:pStyle w:val="BodyText"/>
      </w:pPr>
      <w:r>
        <w:t xml:space="preserve">☐ Je comprends pourquoi un poste déjà connecté continue de fonctionner pendant une panne DHCP.</w:t>
      </w:r>
    </w:p>
    <w:p>
      <w:pPr>
        <w:pStyle w:val="BodyText"/>
      </w:pPr>
      <w:r>
        <w:t xml:space="preserve">☐ Je sais distinguer une réservation DHCP d’une adresse IP statique classique.</w:t>
      </w:r>
    </w:p>
    <w:p>
      <w:pPr>
        <w:pStyle w:val="BodyText"/>
      </w:pPr>
      <w:r>
        <w:t xml:space="preserve">☐ Je connais les deux modes de failover DHCP (Load Balance et Hot Standby) et quand choisir l’un plutôt que l’autre.</w:t>
      </w:r>
    </w:p>
    <w:p>
      <w:pPr>
        <w:pStyle w:val="BodyText"/>
      </w:pPr>
      <w:r>
        <w:t xml:space="preserve">☐ Je sais diagnostiquer un problème DHCP avec</w:t>
      </w:r>
      <w:r>
        <w:t xml:space="preserve"> </w:t>
      </w:r>
      <w:r>
        <w:rPr>
          <w:rStyle w:val="VerbatimChar"/>
        </w:rPr>
        <w:t xml:space="preserve">ipconfig /all</w:t>
      </w:r>
      <w:r>
        <w:t xml:space="preserve">,</w:t>
      </w:r>
      <w:r>
        <w:t xml:space="preserve"> </w:t>
      </w:r>
      <w:r>
        <w:rPr>
          <w:rStyle w:val="VerbatimChar"/>
        </w:rPr>
        <w:t xml:space="preserve">/release</w:t>
      </w:r>
      <w:r>
        <w:t xml:space="preserve"> </w:t>
      </w:r>
      <w:r>
        <w:t xml:space="preserve">et</w:t>
      </w:r>
      <w:r>
        <w:t xml:space="preserve"> </w:t>
      </w:r>
      <w:r>
        <w:rPr>
          <w:rStyle w:val="VerbatimChar"/>
        </w:rPr>
        <w:t xml:space="preserve">/renew</w:t>
      </w:r>
      <w:r>
        <w:t xml:space="preserve">.</w:t>
      </w:r>
    </w:p>
    <w:p>
      <w:pPr>
        <w:pStyle w:val="BodyText"/>
      </w:pPr>
      <w:r>
        <w:t xml:space="preserve">☐ Je comprends le risque d’un serveur DHCP non autorisé sur le réseau.</w:t>
      </w:r>
    </w:p>
    <w:bookmarkEnd w:id="272"/>
    <w:bookmarkStart w:id="273" w:name="faq-9"/>
    <w:p>
      <w:pPr>
        <w:pStyle w:val="Heading2"/>
      </w:pPr>
      <w:r>
        <w:t xml:space="preserve">FAQ</w:t>
      </w:r>
    </w:p>
    <w:p>
      <w:pPr>
        <w:pStyle w:val="FirstParagraph"/>
      </w:pPr>
      <w:r>
        <w:t xml:space="preserve">Combien de temps un bail DHCP dure-t-il généralement ?</w:t>
      </w:r>
    </w:p>
    <w:p>
      <w:pPr>
        <w:pStyle w:val="BodyText"/>
      </w:pPr>
      <w:r>
        <w:t xml:space="preserve">La durée par défaut est souvent de 8 jours sur Windows Server, mais elle est entièrement configurable selon le contexte (section</w:t>
      </w:r>
      <w:r>
        <w:t xml:space="preserve"> </w:t>
      </w:r>
      <w:r>
        <w:t xml:space="preserve">“Performance”</w:t>
      </w:r>
      <w:r>
        <w:t xml:space="preserve"> </w:t>
      </w:r>
      <w:r>
        <w:t xml:space="preserve">de ce chapitre) — il n’existe pas de valeur universelle correcte, seulement un compromis à ajuster selon le profil réel du réseau concerné.</w:t>
      </w:r>
    </w:p>
    <w:p>
      <w:pPr>
        <w:pStyle w:val="BodyText"/>
      </w:pPr>
      <w:r>
        <w:t xml:space="preserve">Un poste peut-il avoir plusieurs baux DHCP simultanément sur des réseaux différents ?</w:t>
      </w:r>
    </w:p>
    <w:p>
      <w:pPr>
        <w:pStyle w:val="BodyText"/>
      </w:pPr>
      <w:r>
        <w:t xml:space="preserve">Oui, chaque interface réseau (filaire, Wi-Fi) obtient son propre bail indépendamment des autres — un ordinateur portable connecté à la fois en Wi-Fi et en filaire peut avoir deux adresses IP simultanées, une par interface active.</w:t>
      </w:r>
    </w:p>
    <w:p>
      <w:pPr>
        <w:pStyle w:val="BodyText"/>
      </w:pPr>
      <w:r>
        <w:t xml:space="preserve">Le failover DHCP nécessite-t-il une licence ou un composant supplémentaire ?</w:t>
      </w:r>
    </w:p>
    <w:p>
      <w:pPr>
        <w:pStyle w:val="BodyText"/>
      </w:pPr>
      <w:r>
        <w:t xml:space="preserve">Non, le failover DHCP est une fonctionnalité native de Windows Server depuis plusieurs versions, sans coût de licence additionnel au-delà du serveur lui-même — un argument supplémentaire en faveur de son adoption, comme évoqué dans le corrigé de l’exercice 10.2.</w:t>
      </w:r>
    </w:p>
    <w:p>
      <w:pPr>
        <w:pStyle w:val="BodyText"/>
      </w:pPr>
      <w:r>
        <w:t xml:space="preserve">Que se passe-t-il si les deux scopes DHCP de deux sites différents se chevauchent par erreur ?</w:t>
      </w:r>
    </w:p>
    <w:p>
      <w:pPr>
        <w:pStyle w:val="BodyText"/>
      </w:pPr>
      <w:r>
        <w:t xml:space="preserve">Un risque réel de conflit d’adressage IP entre les deux sites, potentiellement difficile à diagnostiquer car les symptômes (deux appareils incapables de communiquer correctement) peuvent sembler sans lien évident avec une cause DHCP au premier abord — une bonne raison de documenter clairement (chapitre 3) et de faire relire la planification d’adressage avant tout déploiement.</w:t>
      </w:r>
    </w:p>
    <w:bookmarkEnd w:id="273"/>
    <w:bookmarkStart w:id="276" w:name="références-et-pour-aller-plus-loin-9"/>
    <w:p>
      <w:pPr>
        <w:pStyle w:val="Heading2"/>
      </w:pPr>
      <w:r>
        <w:t xml:space="preserve">Références et pour aller plus loin</w:t>
      </w:r>
    </w:p>
    <w:p>
      <w:pPr>
        <w:pStyle w:val="Compact"/>
        <w:numPr>
          <w:ilvl w:val="0"/>
          <w:numId w:val="1248"/>
        </w:numPr>
      </w:pPr>
      <w:r>
        <w:t xml:space="preserve">Microsoft Learn — Vue d’ensemble du DHCP sur Windows Server :</w:t>
      </w:r>
      <w:r>
        <w:t xml:space="preserve"> </w:t>
      </w:r>
      <w:hyperlink r:id="rId274">
        <w:r>
          <w:rPr>
            <w:rStyle w:val="Hyperlink"/>
          </w:rPr>
          <w:t xml:space="preserve">https://learn.microsoft.com/fr-fr/windows-server/networking/technologies/dhcp/dhcp-top</w:t>
        </w:r>
      </w:hyperlink>
    </w:p>
    <w:p>
      <w:pPr>
        <w:pStyle w:val="Compact"/>
        <w:numPr>
          <w:ilvl w:val="0"/>
          <w:numId w:val="1248"/>
        </w:numPr>
      </w:pPr>
      <w:r>
        <w:t xml:space="preserve">Microsoft Learn — Configurer le failover DHCP :</w:t>
      </w:r>
      <w:r>
        <w:t xml:space="preserve"> </w:t>
      </w:r>
      <w:hyperlink r:id="rId275">
        <w:r>
          <w:rPr>
            <w:rStyle w:val="Hyperlink"/>
          </w:rPr>
          <w:t xml:space="preserve">https://learn.microsoft.com/fr-fr/windows-server/networking/technologies/dhcp/dhcp-failover</w:t>
        </w:r>
      </w:hyperlink>
    </w:p>
    <w:p>
      <w:pPr>
        <w:pStyle w:val="FirstParagraph"/>
      </w:pPr>
      <w:r>
        <w:rPr>
          <w:i/>
          <w:iCs/>
        </w:rPr>
        <w:t xml:space="preserve">Chapitre suivant : services de fichiers et d’impression — DFS, quotas et FSRM, les briques qui permettent de partager et de gérer efficacement le stockage documentaire d’une organisation multi-sites.</w:t>
      </w:r>
    </w:p>
    <w:p>
      <w:pPr>
        <w:pStyle w:val="BodyText"/>
      </w:pPr>
      <w:r>
        <w:t xml:space="preserve">CHAPITRE 11</w:t>
      </w:r>
    </w:p>
    <w:bookmarkEnd w:id="276"/>
    <w:bookmarkEnd w:id="277"/>
    <w:bookmarkStart w:id="302" w:name="X8015c009ff97172804aad740fb5692a8361ab8d"/>
    <w:p>
      <w:pPr>
        <w:pStyle w:val="Heading1"/>
      </w:pPr>
      <w:r>
        <w:t xml:space="preserve">Services de fichiers et d’impression : DFS, quotas et FSRM</w:t>
      </w:r>
    </w:p>
    <w:p>
      <w:pPr>
        <w:pStyle w:val="FirstParagraph"/>
      </w:pPr>
      <w:r>
        <w:t xml:space="preserve">🎯 Objectif du chapitre</w:t>
      </w:r>
      <w:r>
        <w:t xml:space="preserve"> </w:t>
      </w:r>
      <w:r>
        <w:t xml:space="preserve">Comprendre comment organiser un stockage de fichiers partagé cohérent à travers une organisation multi-sites, et comment prévenir la saturation d’espace disque avant qu’elle ne devienne un incident critique. À la fin de ce chapitre, tu sauras concevoir un espace de noms DFS unifié, configurer des quotas et des filtres de type de fichier avec FSRM, et comprendre les compromis entre réplication DFS synchrone et asynchrone.</w:t>
      </w:r>
    </w:p>
    <w:p>
      <w:pPr>
        <w:pStyle w:val="BodyText"/>
      </w:pPr>
      <w:r>
        <w:t xml:space="preserve">🎬 Mise en situation</w:t>
      </w:r>
      <w:r>
        <w:t xml:space="preserve"> </w:t>
      </w:r>
      <w:r>
        <w:t xml:space="preserve">Onzième semaine. Depuis l’ouverture du bureau du Cap-Haïtien, les employés des deux sites accèdent au même serveur de fichiers partagé, physiquement situé à Port-au-Prince, via des chemins comme</w:t>
      </w:r>
      <w:r>
        <w:t xml:space="preserve"> </w:t>
      </w:r>
      <w:r>
        <w:t xml:space="preserve">\FILE01</w:t>
      </w:r>
      <w:r>
        <w:t xml:space="preserve">. Les utilisateurs du Cap-Haïtien se plaignent régulièrement de lenteurs pour ouvrir de gros documents. Par ailleurs, une alerte t’informe qu’un utilisateur du service marketing a rempli près de 40 Go de son quota avec des fichiers vidéo personnels, poussant le serveur de fichiers vers la saturation — exactement le type d’alerte</w:t>
      </w:r>
      <w:r>
        <w:t xml:space="preserve"> </w:t>
      </w:r>
      <w:r>
        <w:t xml:space="preserve">“espace disque à 78%”</w:t>
      </w:r>
      <w:r>
        <w:t xml:space="preserve"> </w:t>
      </w:r>
      <w:r>
        <w:t xml:space="preserve">évoqué dès le chapitre 1. Le DSI te demande de résoudre les deux problèmes : la lenteur d’accès distant, et la dérive d’usage du stockage. Ce chapitre couvre les deux réponses.</w:t>
      </w:r>
    </w:p>
    <w:bookmarkStart w:id="278" w:name="Xeaea18c3f83f0330ba30b299efb9f9522d86389"/>
    <w:p>
      <w:pPr>
        <w:pStyle w:val="Heading2"/>
      </w:pPr>
      <w:r>
        <w:t xml:space="preserve">11.1 DFS : un espace de noms unifié, indépendant de l’emplacement physique</w:t>
      </w:r>
    </w:p>
    <w:p>
      <w:pPr>
        <w:pStyle w:val="FirstParagraph"/>
      </w:pPr>
      <w:r>
        <w:rPr>
          <w:b/>
          <w:bCs/>
        </w:rPr>
        <w:t xml:space="preserve">DFS</w:t>
      </w:r>
      <w:r>
        <w:t xml:space="preserve"> </w:t>
      </w:r>
      <w:r>
        <w:t xml:space="preserve">(</w:t>
      </w:r>
      <w:r>
        <w:rPr>
          <w:i/>
          <w:iCs/>
        </w:rPr>
        <w:t xml:space="preserve">Distributed File System</w:t>
      </w:r>
      <w:r>
        <w:t xml:space="preserve">) se compose de deux briques complémentaires mais distinctes : l’</w:t>
      </w:r>
      <w:r>
        <w:rPr>
          <w:b/>
          <w:bCs/>
        </w:rPr>
        <w:t xml:space="preserve">espace de noms DFS</w:t>
      </w:r>
      <w:r>
        <w:t xml:space="preserve"> </w:t>
      </w:r>
      <w:r>
        <w:t xml:space="preserve">(DFS Namespaces) et la</w:t>
      </w:r>
      <w:r>
        <w:t xml:space="preserve"> </w:t>
      </w:r>
      <w:r>
        <w:rPr>
          <w:b/>
          <w:bCs/>
        </w:rPr>
        <w:t xml:space="preserve">réplication DFS</w:t>
      </w:r>
      <w:r>
        <w:t xml:space="preserve"> </w:t>
      </w:r>
      <w:r>
        <w:t xml:space="preserve">(DFS Replication).</w:t>
      </w:r>
    </w:p>
    <w:p>
      <w:pPr>
        <w:pStyle w:val="BodyText"/>
      </w:pPr>
      <w:r>
        <w:t xml:space="preserve">💡 Analogie — un standard téléphonique unique pour plusieurs bureaux</w:t>
      </w:r>
      <w:r>
        <w:t xml:space="preserve"> </w:t>
      </w:r>
      <w:r>
        <w:t xml:space="preserve">Un espace de noms DFS fonctionne comme un standard téléphonique unique qui redirige un appel vers le bureau le plus approprié, sans que l’appelant ait besoin de connaître le numéro direct de chaque bureau : les utilisateurs accèdent toujours au même chemin logique (</w:t>
      </w:r>
      <w:r>
        <w:t xml:space="preserve">\assuranceht.local</w:t>
      </w:r>
      <w:r>
        <w:t xml:space="preserve">), quel que soit le serveur physique réel qui répond effectivement à cette demande selon leur emplacement.</w:t>
      </w:r>
    </w:p>
    <w:p>
      <w:pPr>
        <w:pStyle w:val="BodyText"/>
      </w:pPr>
      <w:r>
        <w:t xml:space="preserve">📌 À retenir</w:t>
      </w:r>
      <w:r>
        <w:t xml:space="preserve"> </w:t>
      </w:r>
      <w:r>
        <w:t xml:space="preserve">L’</w:t>
      </w:r>
      <w:r>
        <w:rPr>
          <w:b/>
          <w:bCs/>
        </w:rPr>
        <w:t xml:space="preserve">espace de noms</w:t>
      </w:r>
      <w:r>
        <w:t xml:space="preserve"> </w:t>
      </w:r>
      <w:r>
        <w:t xml:space="preserve">DFS masque l’emplacement physique réel des fichiers derrière un chemin logique unique et stable ; la</w:t>
      </w:r>
      <w:r>
        <w:t xml:space="preserve"> </w:t>
      </w:r>
      <w:r>
        <w:rPr>
          <w:b/>
          <w:bCs/>
        </w:rPr>
        <w:t xml:space="preserve">réplication</w:t>
      </w:r>
      <w:r>
        <w:t xml:space="preserve"> </w:t>
      </w:r>
      <w:r>
        <w:t xml:space="preserve">DFS synchronise le contenu entre plusieurs serveurs pour que ce chemin logique reste cohérent, quel que soit le serveur physique interrogé. Les deux briques se combinent généralement, mais peuvent aussi être utilisées séparément selon le besoin réel.</w:t>
      </w:r>
    </w:p>
    <w:bookmarkEnd w:id="278"/>
    <w:bookmarkStart w:id="282" w:name="X126f6206d648d2791a152ab4fc766b023428356"/>
    <w:p>
      <w:pPr>
        <w:pStyle w:val="Heading2"/>
      </w:pPr>
      <w:r>
        <w:t xml:space="preserve">11.2 Résoudre la lenteur du scénario d’ouverture avec DFS</w:t>
      </w:r>
    </w:p>
    <w:p>
      <w:pPr>
        <w:pStyle w:val="CaptionedFigure"/>
      </w:pPr>
      <w:r>
        <w:drawing>
          <wp:inline>
            <wp:extent cx="5334000" cy="1381698"/>
            <wp:effectExtent b="0" l="0" r="0" t="0"/>
            <wp:docPr descr="Diagramme" title="" id="280" name="Picture"/>
            <a:graphic>
              <a:graphicData uri="http://schemas.openxmlformats.org/drawingml/2006/picture">
                <pic:pic>
                  <pic:nvPicPr>
                    <pic:cNvPr descr="C:/Users/ingja/Desktop/jarvis-starter-kit/livrables/formations/manuel-administration-systeme/assets/diagrams/d-11-services-fichiers-impression-dfs-fsrm-diagramme-1.png" id="281" name="Picture"/>
                    <pic:cNvPicPr>
                      <a:picLocks noChangeArrowheads="1" noChangeAspect="1"/>
                    </pic:cNvPicPr>
                  </pic:nvPicPr>
                  <pic:blipFill>
                    <a:blip r:embed="rId279"/>
                    <a:stretch>
                      <a:fillRect/>
                    </a:stretch>
                  </pic:blipFill>
                  <pic:spPr bwMode="auto">
                    <a:xfrm>
                      <a:off x="0" y="0"/>
                      <a:ext cx="5334000" cy="1381698"/>
                    </a:xfrm>
                    <a:prstGeom prst="rect">
                      <a:avLst/>
                    </a:prstGeom>
                    <a:noFill/>
                    <a:ln w="9525">
                      <a:noFill/>
                      <a:headEnd/>
                      <a:tailEnd/>
                    </a:ln>
                  </pic:spPr>
                </pic:pic>
              </a:graphicData>
            </a:graphic>
          </wp:inline>
        </w:drawing>
      </w:r>
    </w:p>
    <w:p>
      <w:pPr>
        <w:pStyle w:val="ImageCaption"/>
      </w:pPr>
      <w:r>
        <w:t xml:space="preserve">Diagramme</w:t>
      </w:r>
    </w:p>
    <w:p>
      <w:pPr>
        <w:pStyle w:val="BodyText"/>
      </w:pPr>
      <w:r>
        <w:t xml:space="preserve">🚀 Performance — même principe que la réplication Active Directory</w:t>
      </w:r>
      <w:r>
        <w:t xml:space="preserve"> </w:t>
      </w:r>
      <w:r>
        <w:t xml:space="preserve">La solution au problème de lenteur du scénario d’ouverture reprend directement le raisonnement du chapitre 5 sur les contrôleurs de domaine locaux par site : un second serveur de fichiers physiquement présent au Cap-Haïtien, répliqué via DFS Replication, permet aux utilisateurs locaux d’accéder à une copie proche plutôt que de traverser systématiquement la liaison inter-sites pour chaque ouverture de fichier, en particulier les fichiers volumineux évoqués dans le scénario.</w:t>
      </w:r>
    </w:p>
    <w:p>
      <w:pPr>
        <w:pStyle w:val="BodyText"/>
      </w:pPr>
      <w:r>
        <w:t xml:space="preserve">⚠️ Le risque introduit par la réplication multi-site : les conflits d’édition simultanée</w:t>
      </w:r>
      <w:r>
        <w:t xml:space="preserve"> </w:t>
      </w:r>
      <w:r>
        <w:t xml:space="preserve">Dès qu’un même fichier peut être modifié depuis deux sites différents entre deux cycles de réplication, un risque de conflit apparaît — similaire, dans son principe, au conflit de nommage Active Directory étudié au chapitre 6. DFS Replication détecte ce type de conflit (deux versions modifiées du même fichier avant synchronisation) et conserve généralement la version la plus récente tout en déplaçant l’autre dans un dossier de conflits caché, plutôt que de fusionner ou de perdre silencieusement des données — mais cela reste une situation à éviter autant que possible par une bonne organisation des usages (par exemple, un dosser par site pour les documents de travail en cours, partagé seulement une fois finalisé).</w:t>
      </w:r>
    </w:p>
    <w:bookmarkEnd w:id="282"/>
    <w:bookmarkStart w:id="283" w:name="Xfe86cf992db74aed9267499329486fddb886f95"/>
    <w:p>
      <w:pPr>
        <w:pStyle w:val="Heading2"/>
      </w:pPr>
      <w:r>
        <w:t xml:space="preserve">11.3 Les quotas : prévenir la saturation avant qu’elle ne devienne un incident</w:t>
      </w:r>
    </w:p>
    <w:p>
      <w:pPr>
        <w:pStyle w:val="FirstParagraph"/>
      </w:pPr>
      <w:r>
        <w:t xml:space="preserve">Rappel du chapitre 1 (section 1.4) : la performance proactive consiste à agir avant que le seuil critique soit atteint. Les</w:t>
      </w:r>
      <w:r>
        <w:t xml:space="preserve"> </w:t>
      </w:r>
      <w:r>
        <w:rPr>
          <w:b/>
          <w:bCs/>
        </w:rPr>
        <w:t xml:space="preserve">quotas</w:t>
      </w:r>
      <w:r>
        <w:t xml:space="preserve"> </w:t>
      </w:r>
      <w:r>
        <w:t xml:space="preserve">de stockage appliquent ce principe directement à l’espace disque, en limitant la quantité de données qu’un utilisateur ou un dossier peut occuper.</w:t>
      </w:r>
    </w:p>
    <w:p>
      <w:pPr>
        <w:pStyle w:val="BodyText"/>
      </w:pPr>
      <w:r>
        <w:t xml:space="preserve">✅ Bonne pratique — un quota avec avertissement progressif, pas un blocage brutal</w:t>
      </w:r>
      <w:r>
        <w:t xml:space="preserve"> </w:t>
      </w:r>
      <w:r>
        <w:t xml:space="preserve">Une bonne configuration de quota ne se contente pas d’un blocage strict à un seuil unique : elle envoie un avertissement automatique à l’utilisateur (et souvent à l’administrateur) à 80% du quota, puis un second à 90%, avant le blocage effectif à 100% — laissant à l’utilisateur le temps de faire le ménage lui-même ou de solliciter une augmentation justifiée, plutôt que de découvrir un blocage bloquant en pleine tâche urgente.</w:t>
      </w:r>
    </w:p>
    <w:bookmarkEnd w:id="283"/>
    <w:bookmarkStart w:id="287" w:name="fsrm-au-delà-du-simple-quota"/>
    <w:p>
      <w:pPr>
        <w:pStyle w:val="Heading2"/>
      </w:pPr>
      <w:r>
        <w:t xml:space="preserve">11.4 FSRM : au-delà du simple quota</w:t>
      </w:r>
    </w:p>
    <w:p>
      <w:pPr>
        <w:pStyle w:val="FirstParagraph"/>
      </w:pPr>
      <w:r>
        <w:rPr>
          <w:b/>
          <w:bCs/>
        </w:rPr>
        <w:t xml:space="preserve">FSRM</w:t>
      </w:r>
      <w:r>
        <w:t xml:space="preserve"> </w:t>
      </w:r>
      <w:r>
        <w:t xml:space="preserve">(</w:t>
      </w:r>
      <w:r>
        <w:rPr>
          <w:i/>
          <w:iCs/>
        </w:rPr>
        <w:t xml:space="preserve">File Server Resource Manager</w:t>
      </w:r>
      <w:r>
        <w:t xml:space="preserve">) étend la gestion du stockage bien au-delà du quota simple, avec deux fonctionnalités particulièrement utiles au scénario d’ouverture :</w:t>
      </w:r>
    </w:p>
    <w:p>
      <w:pPr>
        <w:pStyle w:val="Compact"/>
        <w:numPr>
          <w:ilvl w:val="0"/>
          <w:numId w:val="1249"/>
        </w:numPr>
      </w:pPr>
      <w:r>
        <w:rPr>
          <w:b/>
          <w:bCs/>
        </w:rPr>
        <w:t xml:space="preserve">Filtrage de type de fichier</w:t>
      </w:r>
      <w:r>
        <w:t xml:space="preserve"> </w:t>
      </w:r>
      <w:r>
        <w:t xml:space="preserve">(</w:t>
      </w:r>
      <w:r>
        <w:rPr>
          <w:i/>
          <w:iCs/>
        </w:rPr>
        <w:t xml:space="preserve">File Screening</w:t>
      </w:r>
      <w:r>
        <w:t xml:space="preserve">) : bloque ou alerte sur le dépôt de types de fichiers non désirés (par exemple, des fichiers vidéo ou exécutables sur un partage destiné aux documents bureautiques) — exactement le type de contrôle qui aurait pu prévenir, ou au moins signaler rapidement, l’usage détourné du service marketing dans le scénario d’ouverture.</w:t>
      </w:r>
    </w:p>
    <w:p>
      <w:pPr>
        <w:pStyle w:val="Compact"/>
        <w:numPr>
          <w:ilvl w:val="0"/>
          <w:numId w:val="1249"/>
        </w:numPr>
      </w:pPr>
      <w:r>
        <w:rPr>
          <w:b/>
          <w:bCs/>
        </w:rPr>
        <w:t xml:space="preserve">Rapports de stockage</w:t>
      </w:r>
      <w:r>
        <w:t xml:space="preserve"> </w:t>
      </w:r>
      <w:r>
        <w:t xml:space="preserve">: génère des rapports périodiques identifiant les plus gros consommateurs d’espace, les fichiers dupliqués, ou les fichiers non modifiés depuis longtemps (candidats à l’archivage).</w:t>
      </w:r>
    </w:p>
    <w:p>
      <w:pPr>
        <w:pStyle w:val="CaptionedFigure"/>
      </w:pPr>
      <w:r>
        <w:drawing>
          <wp:inline>
            <wp:extent cx="5334000" cy="1735156"/>
            <wp:effectExtent b="0" l="0" r="0" t="0"/>
            <wp:docPr descr="Diagramme" title="" id="285" name="Picture"/>
            <a:graphic>
              <a:graphicData uri="http://schemas.openxmlformats.org/drawingml/2006/picture">
                <pic:pic>
                  <pic:nvPicPr>
                    <pic:cNvPr descr="C:/Users/ingja/Desktop/jarvis-starter-kit/livrables/formations/manuel-administration-systeme/assets/diagrams/d-11-services-fichiers-impression-dfs-fsrm-diagramme-2.png" id="286" name="Picture"/>
                    <pic:cNvPicPr>
                      <a:picLocks noChangeArrowheads="1" noChangeAspect="1"/>
                    </pic:cNvPicPr>
                  </pic:nvPicPr>
                  <pic:blipFill>
                    <a:blip r:embed="rId284"/>
                    <a:stretch>
                      <a:fillRect/>
                    </a:stretch>
                  </pic:blipFill>
                  <pic:spPr bwMode="auto">
                    <a:xfrm>
                      <a:off x="0" y="0"/>
                      <a:ext cx="5334000" cy="1735156"/>
                    </a:xfrm>
                    <a:prstGeom prst="rect">
                      <a:avLst/>
                    </a:prstGeom>
                    <a:noFill/>
                    <a:ln w="9525">
                      <a:noFill/>
                      <a:headEnd/>
                      <a:tailEnd/>
                    </a:ln>
                  </pic:spPr>
                </pic:pic>
              </a:graphicData>
            </a:graphic>
          </wp:inline>
        </w:drawing>
      </w:r>
    </w:p>
    <w:p>
      <w:pPr>
        <w:pStyle w:val="ImageCaption"/>
      </w:pPr>
      <w:r>
        <w:t xml:space="preserve">Diagramme</w:t>
      </w:r>
    </w:p>
    <w:p>
      <w:pPr>
        <w:pStyle w:val="BodyText"/>
      </w:pPr>
      <w:r>
        <w:t xml:space="preserve">🔒 Sécurité — FSRM comme outil de conformité, pas seulement de capacité</w:t>
      </w:r>
      <w:r>
        <w:t xml:space="preserve"> </w:t>
      </w:r>
      <w:r>
        <w:t xml:space="preserve">Au-delà de la gestion de l’espace disque, le filtrage de type de fichier constitue un contrôle de conformité utile : il empêche (ou du moins signale) le dépôt de contenus totalement étrangers à l’usage professionnel prévu d’un partage — un contrôle préventif qui rejoint la logique du principe du moindre privilège appliqué non pas aux accès, mais aux usages autorisés d’une ressource.</w:t>
      </w:r>
    </w:p>
    <w:bookmarkEnd w:id="287"/>
    <w:bookmarkStart w:id="288" w:name="Xd7cb61c30eaa7466cc389f8ed367c6e3cc2a64e"/>
    <w:p>
      <w:pPr>
        <w:pStyle w:val="Heading2"/>
      </w:pPr>
      <w:r>
        <w:t xml:space="preserve">11.5 Concevoir la réponse complète au scénario d’ouverture</w:t>
      </w:r>
    </w:p>
    <w:p>
      <w:pPr>
        <w:pStyle w:val="FirstParagraph"/>
      </w:pPr>
      <w:r>
        <w:t xml:space="preserve">En combinant les outils de ce chapitre :</w:t>
      </w:r>
    </w:p>
    <w:p>
      <w:pPr>
        <w:pStyle w:val="Compact"/>
        <w:numPr>
          <w:ilvl w:val="0"/>
          <w:numId w:val="1250"/>
        </w:numPr>
      </w:pPr>
      <w:r>
        <w:rPr>
          <w:b/>
          <w:bCs/>
        </w:rPr>
        <w:t xml:space="preserve">Pour la lenteur</w:t>
      </w:r>
      <w:r>
        <w:t xml:space="preserve"> </w:t>
      </w:r>
      <w:r>
        <w:t xml:space="preserve">: ajout d’un second serveur de fichiers au Cap-Haïtien, intégré dans un espace de noms DFS unifié avec réplication planifiée vers Port-au-Prince (section 11.2).</w:t>
      </w:r>
    </w:p>
    <w:p>
      <w:pPr>
        <w:pStyle w:val="Compact"/>
        <w:numPr>
          <w:ilvl w:val="0"/>
          <w:numId w:val="1250"/>
        </w:numPr>
      </w:pPr>
      <w:r>
        <w:rPr>
          <w:b/>
          <w:bCs/>
        </w:rPr>
        <w:t xml:space="preserve">Pour la saturation</w:t>
      </w:r>
      <w:r>
        <w:t xml:space="preserve"> </w:t>
      </w:r>
      <w:r>
        <w:t xml:space="preserve">: configuration d’un quota avec avertissement progressif sur les dossiers personnels des utilisateurs (section 11.3).</w:t>
      </w:r>
    </w:p>
    <w:p>
      <w:pPr>
        <w:pStyle w:val="Compact"/>
        <w:numPr>
          <w:ilvl w:val="0"/>
          <w:numId w:val="1250"/>
        </w:numPr>
      </w:pPr>
      <w:r>
        <w:rPr>
          <w:b/>
          <w:bCs/>
        </w:rPr>
        <w:t xml:space="preserve">Pour prévenir la récidive</w:t>
      </w:r>
      <w:r>
        <w:t xml:space="preserve"> </w:t>
      </w:r>
      <w:r>
        <w:t xml:space="preserve">: filtrage de type de fichier FSRM interdisant les formats vidéo et exécutables sur les partages bureautiques, avec un rapport de stockage hebdomadaire envoyé automatiquement au DSI (section 11.4).</w:t>
      </w:r>
    </w:p>
    <w:p>
      <w:pPr>
        <w:pStyle w:val="FirstParagraph"/>
      </w:pPr>
      <w:r>
        <w:t xml:space="preserve">🧠 À mémoriser</w:t>
      </w:r>
      <w:r>
        <w:t xml:space="preserve"> </w:t>
      </w:r>
      <w:r>
        <w:t xml:space="preserve">Ce chapitre illustre un principe déjà rencontré à plusieurs reprises dans ce manuel : un même incident (lenteur perçue par l’utilisateur, saturation de stockage) révèle souvent plusieurs causes distinctes qui appellent des solutions différentes et complémentaires, plutôt qu’une seule réponse universelle — la démarche de diagnostic méthodique du chapitre 1 s’applique ici exactement de la même façon.</w:t>
      </w:r>
    </w:p>
    <w:bookmarkEnd w:id="288"/>
    <w:bookmarkStart w:id="289" w:name="X4d4ff8e162b6b16c490ac9c3de3b24d51a02b7e"/>
    <w:p>
      <w:pPr>
        <w:pStyle w:val="Heading2"/>
      </w:pPr>
      <w:r>
        <w:t xml:space="preserve">Atelier — Concevoir un espace de noms DFS pour l’entreprise</w:t>
      </w:r>
    </w:p>
    <w:p>
      <w:pPr>
        <w:pStyle w:val="FirstParagraph"/>
      </w:pPr>
      <w:r>
        <w:t xml:space="preserve">🛠️ Atelier 11 — Structurer les partages de l’entreprise</w:t>
      </w:r>
    </w:p>
    <w:p>
      <w:pPr>
        <w:pStyle w:val="BodyText"/>
      </w:pPr>
      <w:r>
        <w:rPr>
          <w:b/>
          <w:bCs/>
        </w:rPr>
        <w:t xml:space="preserve">Objectif</w:t>
      </w:r>
      <w:r>
        <w:t xml:space="preserve"> </w:t>
      </w:r>
      <w:r>
        <w:t xml:space="preserve">: s’entraîner à concevoir un espace de noms DFS cohérent, en tenant compte à la fois de la structure organisationnelle et de la localisation géographique.</w:t>
      </w:r>
    </w:p>
    <w:p>
      <w:pPr>
        <w:pStyle w:val="BodyText"/>
      </w:pPr>
      <w:r>
        <w:rPr>
          <w:b/>
          <w:bCs/>
        </w:rPr>
        <w:t xml:space="preserve">Préparation</w:t>
      </w:r>
      <w:r>
        <w:t xml:space="preserve"> </w:t>
      </w:r>
      <w:r>
        <w:t xml:space="preserve">: aucune installation nécessaire.</w:t>
      </w:r>
    </w:p>
    <w:p>
      <w:pPr>
        <w:pStyle w:val="BodyText"/>
      </w:pPr>
      <w:r>
        <w:rPr>
          <w:b/>
          <w:bCs/>
        </w:rPr>
        <w:t xml:space="preserve">Étapes détaillées</w:t>
      </w:r>
      <w:r>
        <w:t xml:space="preserve"> </w:t>
      </w:r>
      <w:r>
        <w:t xml:space="preserve">:</w:t>
      </w:r>
    </w:p>
    <w:p>
      <w:pPr>
        <w:pStyle w:val="Compact"/>
        <w:numPr>
          <w:ilvl w:val="0"/>
          <w:numId w:val="1251"/>
        </w:numPr>
      </w:pPr>
      <w:r>
        <w:t xml:space="preserve">Propose une structure d’espace de noms DFS pour l’entreprise d’assurance, avec au moins trois dossiers de premier niveau reflétant les grandes fonctions de l’entreprise (par exemple : Sinistres, Comptabilité, RH).</w:t>
      </w:r>
    </w:p>
    <w:p>
      <w:pPr>
        <w:pStyle w:val="Compact"/>
        <w:numPr>
          <w:ilvl w:val="0"/>
          <w:numId w:val="1251"/>
        </w:numPr>
      </w:pPr>
      <w:r>
        <w:t xml:space="preserve">Pour chacun, indique s’il devrait être répliqué vers les deux sites (accès fréquent depuis les deux sites) ou rester sur un seul serveur physique (accès majoritairement local à un seul site).</w:t>
      </w:r>
    </w:p>
    <w:p>
      <w:pPr>
        <w:pStyle w:val="Compact"/>
        <w:numPr>
          <w:ilvl w:val="0"/>
          <w:numId w:val="1251"/>
        </w:numPr>
      </w:pPr>
      <w:r>
        <w:t xml:space="preserve">Propose un quota par défaut raisonnable pour les dossiers personnels des utilisateurs, en justifiant ton choix.</w:t>
      </w:r>
    </w:p>
    <w:p>
      <w:pPr>
        <w:pStyle w:val="Compact"/>
        <w:numPr>
          <w:ilvl w:val="0"/>
          <w:numId w:val="1251"/>
        </w:numPr>
      </w:pPr>
      <w:r>
        <w:t xml:space="preserve">Compare ta proposition à la section</w:t>
      </w:r>
      <w:r>
        <w:t xml:space="preserve"> </w:t>
      </w:r>
      <w:r>
        <w:t xml:space="preserve">“Résultat attendu”</w:t>
      </w:r>
      <w:r>
        <w:t xml:space="preserve">.</w:t>
      </w:r>
    </w:p>
    <w:p>
      <w:pPr>
        <w:pStyle w:val="FirstParagraph"/>
      </w:pPr>
      <w:r>
        <w:rPr>
          <w:b/>
          <w:bCs/>
        </w:rPr>
        <w:t xml:space="preserve">Résultat attendu</w:t>
      </w:r>
      <w:r>
        <w:t xml:space="preserve"> </w:t>
      </w:r>
      <w:r>
        <w:t xml:space="preserve">: les dossiers à fort usage transversal entre les deux sites (comme</w:t>
      </w:r>
      <w:r>
        <w:t xml:space="preserve"> </w:t>
      </w:r>
      <w:r>
        <w:t xml:space="preserve">“Sinistres”</w:t>
      </w:r>
      <w:r>
        <w:t xml:space="preserve">, accédé quotidiennement par les deux bureaux) justifient une réplication complète comme au scénario d’ouverture ; un dossier</w:t>
      </w:r>
      <w:r>
        <w:t xml:space="preserve"> </w:t>
      </w:r>
      <w:r>
        <w:t xml:space="preserve">“RH”</w:t>
      </w:r>
      <w:r>
        <w:t xml:space="preserve"> </w:t>
      </w:r>
      <w:r>
        <w:t xml:space="preserve">avec un usage très majoritairement local à Port-au-Prince pourrait rester sur un seul serveur sans réplication complète, en fonction de la réalité organisationnelle réelle de l’entreprise. Un quota par défaut modéré (par exemple 5 à 10 Go par utilisateur pour des documents bureautiques standards) avec avertissement progressif (section 11.3) constitue un point de départ raisonnable, ajustable au cas par cas pour des besoins justifiés supérieurs.</w:t>
      </w:r>
    </w:p>
    <w:p>
      <w:pPr>
        <w:pStyle w:val="BodyText"/>
      </w:pPr>
      <w:r>
        <w:rPr>
          <w:b/>
          <w:bCs/>
        </w:rPr>
        <w:t xml:space="preserve">Dépannage</w:t>
      </w:r>
      <w:r>
        <w:t xml:space="preserve"> </w:t>
      </w:r>
      <w:r>
        <w:t xml:space="preserve">: si tu hésites sur la nécessité de répliquer un dossier donné, pose-toi la question :</w:t>
      </w:r>
      <w:r>
        <w:t xml:space="preserve"> </w:t>
      </w:r>
      <w:r>
        <w:t xml:space="preserve">“à quelle fréquence les utilisateurs du site distant ont-ils réellement besoin d’y accéder, et la lenteur actuelle constitue-t-elle un problème réel pour eux ?”</w:t>
      </w:r>
    </w:p>
    <w:bookmarkEnd w:id="289"/>
    <w:bookmarkStart w:id="290" w:name="erreurs-fréquentes-10"/>
    <w:p>
      <w:pPr>
        <w:pStyle w:val="Heading2"/>
      </w:pPr>
      <w:r>
        <w:t xml:space="preserve">Erreurs fréquentes</w:t>
      </w:r>
    </w:p>
    <w:p>
      <w:pPr>
        <w:pStyle w:val="FirstParagraph"/>
      </w:pPr>
      <w:r>
        <w:t xml:space="preserve">⚠️ Erreur n°1 — répliquer tous les partages sans discernement</w:t>
      </w:r>
      <w:r>
        <w:t xml:space="preserve"> </w:t>
      </w:r>
      <w:r>
        <w:t xml:space="preserve">Répliquer un dossier peu utilisé depuis un site distant consomme de la bande passante et de l’espace disque sans bénéfice réel — la réplication DFS doit être appliquée avec discernement (section 11.5), pas systématiquement à l’ensemble des partages par réflexe.</w:t>
      </w:r>
    </w:p>
    <w:p>
      <w:pPr>
        <w:pStyle w:val="BodyText"/>
      </w:pPr>
      <w:r>
        <w:t xml:space="preserve">⚠️ Erreur n°2 — un quota sans avertissement progressif</w:t>
      </w:r>
      <w:r>
        <w:t xml:space="preserve"> </w:t>
      </w:r>
      <w:r>
        <w:t xml:space="preserve">Un blocage brutal à 100% sans avertissement préalable surprend l’utilisateur au pire moment, souvent en pleine tâche urgente — rappel direct de la bonne pratique de la section 11.3.</w:t>
      </w:r>
    </w:p>
    <w:p>
      <w:pPr>
        <w:pStyle w:val="BodyText"/>
      </w:pPr>
      <w:r>
        <w:t xml:space="preserve">⚠️ Erreur n°3 — ignorer les rapports de stockage FSRM une fois configurés</w:t>
      </w:r>
      <w:r>
        <w:t xml:space="preserve"> </w:t>
      </w:r>
      <w:r>
        <w:t xml:space="preserve">Configurer des rapports périodiques sans jamais les consulter revient à ne pas les avoir configurés du tout — la supervision proactive (chapitre 1) exige une consultation régulière, pas seulement une génération automatique ignorée.</w:t>
      </w:r>
    </w:p>
    <w:bookmarkEnd w:id="290"/>
    <w:bookmarkStart w:id="291" w:name="en-entreprise-10"/>
    <w:p>
      <w:pPr>
        <w:pStyle w:val="Heading2"/>
      </w:pPr>
      <w:r>
        <w:t xml:space="preserve">En entreprise</w:t>
      </w:r>
    </w:p>
    <w:p>
      <w:pPr>
        <w:pStyle w:val="Compact"/>
        <w:numPr>
          <w:ilvl w:val="0"/>
          <w:numId w:val="1252"/>
        </w:numPr>
      </w:pPr>
      <w:r>
        <w:rPr>
          <w:b/>
          <w:bCs/>
        </w:rPr>
        <w:t xml:space="preserve">Bonne pratique répandue</w:t>
      </w:r>
      <w:r>
        <w:t xml:space="preserve"> </w:t>
      </w:r>
      <w:r>
        <w:t xml:space="preserve">: réviser périodiquement la pertinence de la structure d’espace de noms DFS et des politiques de réplication à mesure que l’organisation évolue (nouveaux sites, nouveaux usages), plutôt que de considérer une conception initiale comme définitive.</w:t>
      </w:r>
    </w:p>
    <w:p>
      <w:pPr>
        <w:pStyle w:val="Compact"/>
        <w:numPr>
          <w:ilvl w:val="0"/>
          <w:numId w:val="1252"/>
        </w:numPr>
      </w:pPr>
      <w:r>
        <w:rPr>
          <w:b/>
          <w:bCs/>
        </w:rPr>
        <w:t xml:space="preserve">Bonne pratique répandue</w:t>
      </w:r>
      <w:r>
        <w:t xml:space="preserve"> </w:t>
      </w:r>
      <w:r>
        <w:t xml:space="preserve">: combiner quotas et filtrage de type de fichier plutôt que l’un sans l’autre — un quota seul n’empêche pas un usage détourné dans la limite autorisée, tandis qu’un filtrage seul n’empêche pas l’accumulation excessive de fichiers légitimes.</w:t>
      </w:r>
    </w:p>
    <w:p>
      <w:pPr>
        <w:pStyle w:val="Compact"/>
        <w:numPr>
          <w:ilvl w:val="0"/>
          <w:numId w:val="1252"/>
        </w:numPr>
      </w:pPr>
      <w:r>
        <w:rPr>
          <w:b/>
          <w:bCs/>
        </w:rPr>
        <w:t xml:space="preserve">Erreur classique observée</w:t>
      </w:r>
      <w:r>
        <w:t xml:space="preserve"> </w:t>
      </w:r>
      <w:r>
        <w:t xml:space="preserve">: une réplication DFS mal planifiée qui sature une liaison inter-sites déjà limitée (rappel du chapitre 6 sur l’équilibre entre fraîcheur et charge réseau), provoquant paradoxalement une dégradation de performance plutôt que l’amélioration recherchée.</w:t>
      </w:r>
    </w:p>
    <w:bookmarkEnd w:id="291"/>
    <w:bookmarkStart w:id="292" w:name="entretien-technique-10"/>
    <w:p>
      <w:pPr>
        <w:pStyle w:val="Heading2"/>
      </w:pPr>
      <w:r>
        <w:t xml:space="preserve">Entretien technique</w:t>
      </w:r>
    </w:p>
    <w:p>
      <w:pPr>
        <w:pStyle w:val="FirstParagraph"/>
      </w:pPr>
      <w:r>
        <w:t xml:space="preserve">💼 Questions fréquemment posées en entretien</w:t>
      </w:r>
    </w:p>
    <w:p>
      <w:pPr>
        <w:pStyle w:val="BodyText"/>
      </w:pPr>
      <w:r>
        <w:rPr>
          <w:b/>
          <w:bCs/>
        </w:rPr>
        <w:t xml:space="preserve">Q1.</w:t>
      </w:r>
      <w:r>
        <w:rPr>
          <w:b/>
          <w:bCs/>
        </w:rPr>
        <w:t xml:space="preserve"> </w:t>
      </w:r>
      <w:r>
        <w:rPr>
          <w:b/>
          <w:bCs/>
        </w:rPr>
        <w:t xml:space="preserve">“Quelle est la différence entre l’espace de noms DFS et la réplication DFS ?”</w:t>
      </w:r>
      <w:r>
        <w:t xml:space="preserve"> </w:t>
      </w:r>
      <w:r>
        <w:t xml:space="preserve">Réponse attendue : l’espace de noms masque l’emplacement physique réel derrière un chemin logique unique ; la réplication synchronise le contenu entre plusieurs serveurs pour que ce chemin logique reste cohérent quel que soit le serveur physique interrogé — les deux se combinent généralement mais restent des briques distinctes.</w:t>
      </w:r>
    </w:p>
    <w:p>
      <w:pPr>
        <w:pStyle w:val="BodyText"/>
      </w:pPr>
      <w:r>
        <w:rPr>
          <w:b/>
          <w:bCs/>
        </w:rPr>
        <w:t xml:space="preserve">Q2.</w:t>
      </w:r>
      <w:r>
        <w:rPr>
          <w:b/>
          <w:bCs/>
        </w:rPr>
        <w:t xml:space="preserve"> </w:t>
      </w:r>
      <w:r>
        <w:rPr>
          <w:b/>
          <w:bCs/>
        </w:rPr>
        <w:t xml:space="preserve">“Comment configurerais-tu un quota pour éviter de surprendre brutalement un utilisateur ?”</w:t>
      </w:r>
      <w:r>
        <w:t xml:space="preserve"> </w:t>
      </w:r>
      <w:r>
        <w:t xml:space="preserve">Réponse attendue : en configurant des seuils d’avertissement progressifs (par exemple à 80% et 90% du quota) avant le blocage effectif à 100%, laissant à l’utilisateur le temps d’agir ou de solliciter une augmentation justifiée plutôt qu’un blocage sans préavis.</w:t>
      </w:r>
    </w:p>
    <w:p>
      <w:pPr>
        <w:pStyle w:val="BodyText"/>
      </w:pPr>
      <w:r>
        <w:rPr>
          <w:b/>
          <w:bCs/>
        </w:rPr>
        <w:t xml:space="preserve">Q3.</w:t>
      </w:r>
      <w:r>
        <w:rPr>
          <w:b/>
          <w:bCs/>
        </w:rPr>
        <w:t xml:space="preserve"> </w:t>
      </w:r>
      <w:r>
        <w:rPr>
          <w:b/>
          <w:bCs/>
        </w:rPr>
        <w:t xml:space="preserve">“Que se passe-t-il si un même fichier est modifié simultanément sur deux sites différents avant que la réplication DFS n’ait eu lieu ?”</w:t>
      </w:r>
      <w:r>
        <w:t xml:space="preserve"> </w:t>
      </w:r>
      <w:r>
        <w:t xml:space="preserve">Réponse attendue : un conflit est détecté au moment de la réplication ; la version la plus récente est généralement conservée sous le nom original, l’autre étant déplacée dans un dossier de conflits caché plutôt que fusionnée ou perdue silencieusement — un mécanisme de résolution proche, dans son principe, de celui des conflits de réplication Active Directory du chapitre 6.</w:t>
      </w:r>
    </w:p>
    <w:bookmarkEnd w:id="292"/>
    <w:bookmarkStart w:id="293" w:name="X0b4b05110f14c2f92981f636b33b9f745b0d78a"/>
    <w:p>
      <w:pPr>
        <w:pStyle w:val="Heading2"/>
      </w:pPr>
      <w:r>
        <w:t xml:space="preserve">Optimisation, sécurité et maintenabilité — les réflexes dès ce chapitre</w:t>
      </w:r>
    </w:p>
    <w:p>
      <w:pPr>
        <w:pStyle w:val="FirstParagraph"/>
      </w:pPr>
      <w:r>
        <w:t xml:space="preserve">🔒 Sécurité</w:t>
      </w:r>
      <w:r>
        <w:t xml:space="preserve"> </w:t>
      </w:r>
      <w:r>
        <w:t xml:space="preserve">Le filtrage de type de fichier FSRM constitue une couche de défense supplémentaire, mais pas une garantie absolue (un utilisateur déterminé peut renommer l’extension d’un fichier pour contourner un filtre simple) — il complète, sans le remplacer, un contrôle d’accès basé sur les permissions NTFS et les groupes de sécurité (approfondi en Partie 4).</w:t>
      </w:r>
    </w:p>
    <w:p>
      <w:pPr>
        <w:pStyle w:val="BodyText"/>
      </w:pPr>
      <w:r>
        <w:t xml:space="preserve">✅ Maintenabilité</w:t>
      </w:r>
      <w:r>
        <w:t xml:space="preserve"> </w:t>
      </w:r>
      <w:r>
        <w:t xml:space="preserve">Documente la structure de l’espace de noms DFS, la politique de réplication par dossier, et les quotas appliqués (chapitre 3) — une structure DFS complexe non documentée devient rapidement difficile à faire évoluer sereinement pour quiconque n’a pas participé à sa conception initiale.</w:t>
      </w:r>
    </w:p>
    <w:p>
      <w:pPr>
        <w:pStyle w:val="BodyText"/>
      </w:pPr>
      <w:r>
        <w:t xml:space="preserve">🚀 Performance</w:t>
      </w:r>
      <w:r>
        <w:t xml:space="preserve"> </w:t>
      </w:r>
      <w:r>
        <w:t xml:space="preserve">La réplication DFS, comme la réplication Active Directory du chapitre 6, doit être planifiée en tenant compte de la bande passante réellement disponible sur chaque liaison inter-sites — une réplication de gros volumes de données mal planifiée peut saturer une liaison déjà sollicitée par d’autres usages critiques.</w:t>
      </w:r>
    </w:p>
    <w:bookmarkEnd w:id="293"/>
    <w:bookmarkStart w:id="294" w:name="résumé-du-chapitre-10"/>
    <w:p>
      <w:pPr>
        <w:pStyle w:val="Heading2"/>
      </w:pPr>
      <w:r>
        <w:t xml:space="preserve">Résumé du chapitre</w:t>
      </w:r>
    </w:p>
    <w:p>
      <w:pPr>
        <w:pStyle w:val="Compact"/>
        <w:numPr>
          <w:ilvl w:val="0"/>
          <w:numId w:val="1253"/>
        </w:numPr>
      </w:pPr>
      <w:r>
        <w:t xml:space="preserve">DFS combine un espace de noms unifié (chemin logique stable, indépendant de l’emplacement physique réel) et une réplication (synchronisation du contenu entre plusieurs serveurs).</w:t>
      </w:r>
    </w:p>
    <w:p>
      <w:pPr>
        <w:pStyle w:val="Compact"/>
        <w:numPr>
          <w:ilvl w:val="0"/>
          <w:numId w:val="1253"/>
        </w:numPr>
      </w:pPr>
      <w:r>
        <w:t xml:space="preserve">Un second serveur de fichiers local par site, répliqué via DFS, réduit la latence perçue pour les utilisateurs distants — le même raisonnement que les contrôleurs de domaine locaux du chapitre 5.</w:t>
      </w:r>
    </w:p>
    <w:p>
      <w:pPr>
        <w:pStyle w:val="Compact"/>
        <w:numPr>
          <w:ilvl w:val="0"/>
          <w:numId w:val="1253"/>
        </w:numPr>
      </w:pPr>
      <w:r>
        <w:t xml:space="preserve">La réplication multi-site introduit un risque de conflit d’édition simultanée, détecté et géré automatiquement, mais à limiter par une bonne organisation des usages.</w:t>
      </w:r>
    </w:p>
    <w:p>
      <w:pPr>
        <w:pStyle w:val="Compact"/>
        <w:numPr>
          <w:ilvl w:val="0"/>
          <w:numId w:val="1253"/>
        </w:numPr>
      </w:pPr>
      <w:r>
        <w:t xml:space="preserve">Les quotas avec avertissement progressif préviennent la saturation d’espace disque sans surprendre brutalement l’utilisateur.</w:t>
      </w:r>
    </w:p>
    <w:p>
      <w:pPr>
        <w:pStyle w:val="Compact"/>
        <w:numPr>
          <w:ilvl w:val="0"/>
          <w:numId w:val="1253"/>
        </w:numPr>
      </w:pPr>
      <w:r>
        <w:t xml:space="preserve">FSRM étend la gestion au-delà du simple quota : filtrage de type de fichier et rapports de stockage périodiques.</w:t>
      </w:r>
    </w:p>
    <w:bookmarkEnd w:id="294"/>
    <w:bookmarkStart w:id="295" w:name="quiz-10"/>
    <w:p>
      <w:pPr>
        <w:pStyle w:val="Heading2"/>
      </w:pPr>
      <w:r>
        <w:t xml:space="preserve">Quiz</w:t>
      </w:r>
    </w:p>
    <w:p>
      <w:pPr>
        <w:pStyle w:val="FirstParagraph"/>
      </w:pPr>
      <w:r>
        <w:t xml:space="preserve">📝 QCM (une seule bonne réponse par question)</w:t>
      </w:r>
    </w:p>
    <w:p>
      <w:pPr>
        <w:pStyle w:val="Compact"/>
        <w:numPr>
          <w:ilvl w:val="0"/>
          <w:numId w:val="1254"/>
        </w:numPr>
      </w:pPr>
      <w:r>
        <w:t xml:space="preserve">L’espace de noms DFS sert principalement à :</w:t>
      </w:r>
    </w:p>
    <w:p>
      <w:pPr>
        <w:pStyle w:val="Compact"/>
        <w:numPr>
          <w:ilvl w:val="1"/>
          <w:numId w:val="1255"/>
        </w:numPr>
      </w:pPr>
    </w:p>
    <w:p>
      <w:pPr>
        <w:pStyle w:val="Compact"/>
        <w:numPr>
          <w:ilvl w:val="2"/>
          <w:numId w:val="1256"/>
        </w:numPr>
      </w:pPr>
      <w:r>
        <w:t xml:space="preserve">Chiffrer les fichiers partagés</w:t>
      </w:r>
    </w:p>
    <w:p>
      <w:pPr>
        <w:pStyle w:val="Compact"/>
        <w:numPr>
          <w:ilvl w:val="1"/>
          <w:numId w:val="1255"/>
        </w:numPr>
      </w:pPr>
    </w:p>
    <w:p>
      <w:pPr>
        <w:pStyle w:val="Compact"/>
        <w:numPr>
          <w:ilvl w:val="2"/>
          <w:numId w:val="1257"/>
        </w:numPr>
      </w:pPr>
      <w:r>
        <w:t xml:space="preserve">Masquer l’emplacement physique réel derrière un chemin logique unique</w:t>
      </w:r>
    </w:p>
    <w:p>
      <w:pPr>
        <w:pStyle w:val="Compact"/>
        <w:numPr>
          <w:ilvl w:val="1"/>
          <w:numId w:val="1255"/>
        </w:numPr>
      </w:pPr>
    </w:p>
    <w:p>
      <w:pPr>
        <w:pStyle w:val="Compact"/>
        <w:numPr>
          <w:ilvl w:val="2"/>
          <w:numId w:val="1258"/>
        </w:numPr>
      </w:pPr>
      <w:r>
        <w:t xml:space="preserve">Sauvegarder automatiquement les fichiers</w:t>
      </w:r>
    </w:p>
    <w:p>
      <w:pPr>
        <w:pStyle w:val="Compact"/>
        <w:numPr>
          <w:ilvl w:val="1"/>
          <w:numId w:val="1255"/>
        </w:numPr>
      </w:pPr>
    </w:p>
    <w:p>
      <w:pPr>
        <w:pStyle w:val="Compact"/>
        <w:numPr>
          <w:ilvl w:val="2"/>
          <w:numId w:val="1259"/>
        </w:numPr>
      </w:pPr>
      <w:r>
        <w:t xml:space="preserve">Compresser les fichiers volumineux</w:t>
      </w:r>
    </w:p>
    <w:p>
      <w:pPr>
        <w:pStyle w:val="Compact"/>
        <w:numPr>
          <w:ilvl w:val="0"/>
          <w:numId w:val="1254"/>
        </w:numPr>
      </w:pPr>
      <w:r>
        <w:t xml:space="preserve">FSRM permet notamment de :</w:t>
      </w:r>
    </w:p>
    <w:p>
      <w:pPr>
        <w:pStyle w:val="Compact"/>
        <w:numPr>
          <w:ilvl w:val="1"/>
          <w:numId w:val="1260"/>
        </w:numPr>
      </w:pPr>
    </w:p>
    <w:p>
      <w:pPr>
        <w:pStyle w:val="Compact"/>
        <w:numPr>
          <w:ilvl w:val="2"/>
          <w:numId w:val="1261"/>
        </w:numPr>
      </w:pPr>
      <w:r>
        <w:t xml:space="preserve">Créer des comptes utilisateurs</w:t>
      </w:r>
    </w:p>
    <w:p>
      <w:pPr>
        <w:pStyle w:val="Compact"/>
        <w:numPr>
          <w:ilvl w:val="1"/>
          <w:numId w:val="1260"/>
        </w:numPr>
      </w:pPr>
    </w:p>
    <w:p>
      <w:pPr>
        <w:pStyle w:val="Compact"/>
        <w:numPr>
          <w:ilvl w:val="2"/>
          <w:numId w:val="1262"/>
        </w:numPr>
      </w:pPr>
      <w:r>
        <w:t xml:space="preserve">Filtrer les types de fichiers autorisés sur un partage</w:t>
      </w:r>
    </w:p>
    <w:p>
      <w:pPr>
        <w:pStyle w:val="Compact"/>
        <w:numPr>
          <w:ilvl w:val="1"/>
          <w:numId w:val="1260"/>
        </w:numPr>
      </w:pPr>
    </w:p>
    <w:p>
      <w:pPr>
        <w:pStyle w:val="Compact"/>
        <w:numPr>
          <w:ilvl w:val="2"/>
          <w:numId w:val="1263"/>
        </w:numPr>
      </w:pPr>
      <w:r>
        <w:t xml:space="preserve">Configurer le DNS</w:t>
      </w:r>
    </w:p>
    <w:p>
      <w:pPr>
        <w:pStyle w:val="Compact"/>
        <w:numPr>
          <w:ilvl w:val="1"/>
          <w:numId w:val="1260"/>
        </w:numPr>
      </w:pPr>
    </w:p>
    <w:p>
      <w:pPr>
        <w:pStyle w:val="Compact"/>
        <w:numPr>
          <w:ilvl w:val="2"/>
          <w:numId w:val="1264"/>
        </w:numPr>
      </w:pPr>
      <w:r>
        <w:t xml:space="preserve">Gérer les rôles FSMO</w:t>
      </w:r>
    </w:p>
    <w:p>
      <w:pPr>
        <w:pStyle w:val="Compact"/>
        <w:numPr>
          <w:ilvl w:val="0"/>
          <w:numId w:val="1254"/>
        </w:numPr>
      </w:pPr>
      <w:r>
        <w:t xml:space="preserve">La bonne pratique pour un quota de stockage est de :</w:t>
      </w:r>
    </w:p>
    <w:p>
      <w:pPr>
        <w:pStyle w:val="Compact"/>
        <w:numPr>
          <w:ilvl w:val="1"/>
          <w:numId w:val="1265"/>
        </w:numPr>
      </w:pPr>
    </w:p>
    <w:p>
      <w:pPr>
        <w:pStyle w:val="Compact"/>
        <w:numPr>
          <w:ilvl w:val="2"/>
          <w:numId w:val="1266"/>
        </w:numPr>
      </w:pPr>
      <w:r>
        <w:t xml:space="preserve">Bloquer immédiatement à 100% sans avertissement préalable</w:t>
      </w:r>
    </w:p>
    <w:p>
      <w:pPr>
        <w:pStyle w:val="Compact"/>
        <w:numPr>
          <w:ilvl w:val="1"/>
          <w:numId w:val="1265"/>
        </w:numPr>
      </w:pPr>
    </w:p>
    <w:p>
      <w:pPr>
        <w:pStyle w:val="Compact"/>
        <w:numPr>
          <w:ilvl w:val="2"/>
          <w:numId w:val="1267"/>
        </w:numPr>
      </w:pPr>
      <w:r>
        <w:t xml:space="preserve">Ne jamais imposer de quota, pour éviter de frustrer les utilisateurs</w:t>
      </w:r>
    </w:p>
    <w:p>
      <w:pPr>
        <w:pStyle w:val="Compact"/>
        <w:numPr>
          <w:ilvl w:val="1"/>
          <w:numId w:val="1265"/>
        </w:numPr>
      </w:pPr>
    </w:p>
    <w:p>
      <w:pPr>
        <w:pStyle w:val="Compact"/>
        <w:numPr>
          <w:ilvl w:val="2"/>
          <w:numId w:val="1268"/>
        </w:numPr>
      </w:pPr>
      <w:r>
        <w:t xml:space="preserve">Envoyer des avertissements progressifs avant le blocage effectif</w:t>
      </w:r>
    </w:p>
    <w:p>
      <w:pPr>
        <w:pStyle w:val="Compact"/>
        <w:numPr>
          <w:ilvl w:val="1"/>
          <w:numId w:val="1265"/>
        </w:numPr>
      </w:pPr>
    </w:p>
    <w:p>
      <w:pPr>
        <w:pStyle w:val="Compact"/>
        <w:numPr>
          <w:ilvl w:val="2"/>
          <w:numId w:val="1269"/>
        </w:numPr>
      </w:pPr>
      <w:r>
        <w:t xml:space="preserve">Appliquer un quota identique à tous les serveurs sans exception</w:t>
      </w:r>
    </w:p>
    <w:p>
      <w:pPr>
        <w:pStyle w:val="FirstParagraph"/>
      </w:pPr>
      <w:r>
        <w:rPr>
          <w:b/>
          <w:bCs/>
        </w:rPr>
        <w:t xml:space="preserve">Corrigé</w:t>
      </w:r>
      <w:r>
        <w:t xml:space="preserve"> </w:t>
      </w:r>
      <w:r>
        <w:t xml:space="preserve">: 1-b, 2-b, 3-c.</w:t>
      </w:r>
    </w:p>
    <w:p>
      <w:pPr>
        <w:pStyle w:val="BodyText"/>
      </w:pPr>
      <w:r>
        <w:t xml:space="preserve">📝 Vrai ou Faux</w:t>
      </w:r>
    </w:p>
    <w:p>
      <w:pPr>
        <w:pStyle w:val="Compact"/>
        <w:numPr>
          <w:ilvl w:val="0"/>
          <w:numId w:val="1270"/>
        </w:numPr>
      </w:pPr>
      <w:r>
        <w:t xml:space="preserve">La réplication DFS élimine tout risque de conflit d’édition simultanée entre deux sites. —</w:t>
      </w:r>
      <w:r>
        <w:t xml:space="preserve"> </w:t>
      </w:r>
      <w:r>
        <w:rPr>
          <w:b/>
          <w:bCs/>
        </w:rPr>
        <w:t xml:space="preserve">Faux</w:t>
      </w:r>
      <w:r>
        <w:t xml:space="preserve"> </w:t>
      </w:r>
      <w:r>
        <w:t xml:space="preserve">(le risque existe, mais est détecté et géré, section 11.2).</w:t>
      </w:r>
    </w:p>
    <w:p>
      <w:pPr>
        <w:pStyle w:val="Compact"/>
        <w:numPr>
          <w:ilvl w:val="0"/>
          <w:numId w:val="1270"/>
        </w:numPr>
      </w:pPr>
      <w:r>
        <w:t xml:space="preserve">Un espace de noms DFS et la réplication DFS sont deux briques distinctes, utilisables séparément ou ensemble. —</w:t>
      </w:r>
      <w:r>
        <w:t xml:space="preserve"> </w:t>
      </w:r>
      <w:r>
        <w:rPr>
          <w:b/>
          <w:bCs/>
        </w:rPr>
        <w:t xml:space="preserve">Vrai</w:t>
      </w:r>
      <w:r>
        <w:t xml:space="preserve">.</w:t>
      </w:r>
    </w:p>
    <w:p>
      <w:pPr>
        <w:pStyle w:val="Compact"/>
        <w:numPr>
          <w:ilvl w:val="0"/>
          <w:numId w:val="1270"/>
        </w:numPr>
      </w:pPr>
      <w:r>
        <w:t xml:space="preserve">FSRM peut générer des rapports périodiques identifiant les plus gros consommateurs d’espace disque. —</w:t>
      </w:r>
      <w:r>
        <w:t xml:space="preserve"> </w:t>
      </w:r>
      <w:r>
        <w:rPr>
          <w:b/>
          <w:bCs/>
        </w:rPr>
        <w:t xml:space="preserve">Vrai</w:t>
      </w:r>
      <w:r>
        <w:t xml:space="preserve">.</w:t>
      </w:r>
    </w:p>
    <w:p>
      <w:pPr>
        <w:pStyle w:val="Compact"/>
        <w:numPr>
          <w:ilvl w:val="0"/>
          <w:numId w:val="1270"/>
        </w:numPr>
      </w:pPr>
      <w:r>
        <w:t xml:space="preserve">Répliquer systématiquement tous les partages vers tous les sites est toujours la meilleure pratique. —</w:t>
      </w:r>
      <w:r>
        <w:t xml:space="preserve"> </w:t>
      </w:r>
      <w:r>
        <w:rPr>
          <w:b/>
          <w:bCs/>
        </w:rPr>
        <w:t xml:space="preserve">Faux</w:t>
      </w:r>
      <w:r>
        <w:t xml:space="preserve"> </w:t>
      </w:r>
      <w:r>
        <w:t xml:space="preserve">(à appliquer avec discernement, section 11.5).</w:t>
      </w:r>
    </w:p>
    <w:p>
      <w:pPr>
        <w:pStyle w:val="FirstParagraph"/>
      </w:pPr>
      <w:r>
        <w:t xml:space="preserve">📝 Questions ouvertes</w:t>
      </w:r>
    </w:p>
    <w:p>
      <w:pPr>
        <w:pStyle w:val="Compact"/>
        <w:numPr>
          <w:ilvl w:val="0"/>
          <w:numId w:val="1271"/>
        </w:numPr>
      </w:pPr>
      <w:r>
        <w:t xml:space="preserve">Explique pourquoi la lenteur d’accès du scénario d’ouverture n’est pas un problème DNS (chapitre 9) ni DHCP (chapitre 10), mais un problème d’architecture de stockage.</w:t>
      </w:r>
    </w:p>
    <w:p>
      <w:pPr>
        <w:pStyle w:val="Compact"/>
        <w:numPr>
          <w:ilvl w:val="0"/>
          <w:numId w:val="1271"/>
        </w:numPr>
      </w:pPr>
      <w:r>
        <w:t xml:space="preserve">Un collègue affirme qu’un quota suffit à lui seul pour empêcher un usage détourné comme celui du service marketing dans le scénario d’ouverture. Corrige cette affirmation à partir de la section 11.4.</w:t>
      </w:r>
    </w:p>
    <w:p>
      <w:pPr>
        <w:pStyle w:val="FirstParagraph"/>
      </w:pPr>
      <w:r>
        <w:rPr>
          <w:b/>
          <w:bCs/>
        </w:rPr>
        <w:t xml:space="preserve">Corrigé 1</w:t>
      </w:r>
      <w:r>
        <w:t xml:space="preserve"> </w:t>
      </w:r>
      <w:r>
        <w:t xml:space="preserve">: le DNS (résolution de noms) et le DHCP (attribution d’adresses IP) fonctionnaient tous deux normalement dans ce scénario — les utilisateurs du Cap-Haïtien accédaient correctement au bon serveur, à la bonne adresse. Le problème provient de la distance physique et de la qualité de la liaison inter-sites que chaque accès devait traverser pour atteindre un serveur unique situé à Port-au-Prince — un problème d’architecture de distribution des données, pas de résolution de nom ou d’adressage réseau.</w:t>
      </w:r>
    </w:p>
    <w:p>
      <w:pPr>
        <w:pStyle w:val="BodyText"/>
      </w:pPr>
      <w:r>
        <w:rPr>
          <w:b/>
          <w:bCs/>
        </w:rPr>
        <w:t xml:space="preserve">Corrigé 2</w:t>
      </w:r>
      <w:r>
        <w:t xml:space="preserve"> </w:t>
      </w:r>
      <w:r>
        <w:t xml:space="preserve">: un quota limite uniquement la</w:t>
      </w:r>
      <w:r>
        <w:t xml:space="preserve"> </w:t>
      </w:r>
      <w:r>
        <w:rPr>
          <w:i/>
          <w:iCs/>
        </w:rPr>
        <w:t xml:space="preserve">quantité</w:t>
      </w:r>
      <w:r>
        <w:t xml:space="preserve"> </w:t>
      </w:r>
      <w:r>
        <w:t xml:space="preserve">totale d’espace utilisé, pas le</w:t>
      </w:r>
      <w:r>
        <w:t xml:space="preserve"> </w:t>
      </w:r>
      <w:r>
        <w:rPr>
          <w:i/>
          <w:iCs/>
        </w:rPr>
        <w:t xml:space="preserve">type</w:t>
      </w:r>
      <w:r>
        <w:t xml:space="preserve"> </w:t>
      </w:r>
      <w:r>
        <w:t xml:space="preserve">de contenu déposé — un utilisateur pourrait rester dans la limite de son quota tout en continuant à stocker des fichiers totalement étrangers à l’usage professionnel prévu. Le filtrage de type de fichier FSRM (section 11.4) est nécessaire en complément pour contrôler spécifiquement quels types de fichiers sont autorisés sur un partage donné, indépendamment de la quantité d’espace occupée.</w:t>
      </w:r>
    </w:p>
    <w:bookmarkEnd w:id="295"/>
    <w:bookmarkStart w:id="296" w:name="exercices-10"/>
    <w:p>
      <w:pPr>
        <w:pStyle w:val="Heading2"/>
      </w:pPr>
      <w:r>
        <w:t xml:space="preserve">Exercices</w:t>
      </w:r>
    </w:p>
    <w:p>
      <w:pPr>
        <w:pStyle w:val="FirstParagraph"/>
      </w:pPr>
      <w:r>
        <w:t xml:space="preserve">📝 Exercice 11.1</w:t>
      </w:r>
    </w:p>
    <w:p>
      <w:pPr>
        <w:pStyle w:val="BodyText"/>
      </w:pPr>
      <w:r>
        <w:t xml:space="preserve">Explique la différence entre un conflit de réplication DFS et un conflit de réplication Active Directory (chapitre 6), en termes de ce qui est en conflit et comment chacun est résolu.</w:t>
      </w:r>
    </w:p>
    <w:p>
      <w:pPr>
        <w:pStyle w:val="BodyText"/>
      </w:pPr>
      <w:r>
        <w:rPr>
          <w:b/>
          <w:bCs/>
        </w:rPr>
        <w:t xml:space="preserve">Corrigé :</w:t>
      </w:r>
      <w:r>
        <w:t xml:space="preserve"> </w:t>
      </w:r>
      <w:r>
        <w:t xml:space="preserve">Dans Active Directory (chapitre 6), un conflit survient typiquement quand deux objets portant le même nom sont créés indépendamment sur deux contrôleurs différents ; la résolution renomme automatiquement l’un des deux objets. Dans DFS Replication, un conflit survient quand un même fichier est modifié sur deux serveurs différents avant que la réplication n’ait eu lieu ; la résolution conserve généralement la version la plus récente sous le nom original et déplace l’autre version dans un dossier de conflits caché, plutôt que de la supprimer silencieusement — dans les deux cas, le principe commun est qu’aucune donnée n’est perdue silencieusement, mais le mécanisme précis de résolution diffère selon la nature de l’objet en conflit.</w:t>
      </w:r>
    </w:p>
    <w:p>
      <w:pPr>
        <w:pStyle w:val="BodyText"/>
      </w:pPr>
      <w:r>
        <w:t xml:space="preserve">📝 Exercice 11.2</w:t>
      </w:r>
    </w:p>
    <w:p>
      <w:pPr>
        <w:pStyle w:val="BodyText"/>
      </w:pPr>
      <w:r>
        <w:t xml:space="preserve">Rédige, en 3 à 5 phrases, un plan d’action complet (reprenant les trois mesures de la section 11.5) que tu présenterais au DSI pour résoudre à la fois la lenteur et la saturation évoquées dans le scénario d’ouverture.</w:t>
      </w:r>
    </w:p>
    <w:p>
      <w:pPr>
        <w:pStyle w:val="BodyText"/>
      </w:pPr>
      <w:r>
        <w:rPr>
          <w:b/>
          <w:bCs/>
        </w:rPr>
        <w:t xml:space="preserve">Corrigé (exemple de réponse) :</w:t>
      </w:r>
      <w:r>
        <w:t xml:space="preserve"> </w:t>
      </w:r>
      <w:r>
        <w:t xml:space="preserve">Je proposerais d’abord l’ajout d’un second serveur de fichiers au Cap-Haïtien, intégré dans un espace de noms DFS unifié avec réplication planifiée, pour que les utilisateurs locaux accèdent à une copie proche plutôt que de traverser systématiquement la liaison inter-sites. Ensuite, je configurerais des quotas avec avertissement progressif sur les dossiers personnels pour prévenir toute nouvelle saturation avant qu’elle ne devienne critique. Enfin, j’activerais un filtrage de type de fichier FSRM interdisant les formats non professionnels (vidéo, exécutables) sur les partages bureautiques, avec un rapport hebdomadaire automatique pour détecter rapidement toute nouvelle dérive d’usage similaire à celle du service marketing.</w:t>
      </w:r>
    </w:p>
    <w:bookmarkEnd w:id="296"/>
    <w:bookmarkStart w:id="297" w:name="checklist-de-fin-de-chapitre-10"/>
    <w:p>
      <w:pPr>
        <w:pStyle w:val="Heading2"/>
      </w:pPr>
      <w:r>
        <w:t xml:space="preserve">Checklist de fin de chapitre</w:t>
      </w:r>
    </w:p>
    <w:p>
      <w:pPr>
        <w:pStyle w:val="FirstParagraph"/>
      </w:pPr>
      <w:r>
        <w:t xml:space="preserve">☐ Je sais distinguer l’espace de noms DFS de la réplication DFS.</w:t>
      </w:r>
    </w:p>
    <w:p>
      <w:pPr>
        <w:pStyle w:val="BodyText"/>
      </w:pPr>
      <w:r>
        <w:t xml:space="preserve">☐ Je comprends comment DFS résout un problème de lenteur d’accès distant multi-sites.</w:t>
      </w:r>
    </w:p>
    <w:p>
      <w:pPr>
        <w:pStyle w:val="BodyText"/>
      </w:pPr>
      <w:r>
        <w:t xml:space="preserve">☐ Je sais expliquer comment un conflit d’édition simultanée est détecté et géré par DFS Replication.</w:t>
      </w:r>
    </w:p>
    <w:p>
      <w:pPr>
        <w:pStyle w:val="BodyText"/>
      </w:pPr>
      <w:r>
        <w:t xml:space="preserve">☐ Je sais configurer un quota avec avertissement progressif plutôt qu’un blocage brutal.</w:t>
      </w:r>
    </w:p>
    <w:p>
      <w:pPr>
        <w:pStyle w:val="BodyText"/>
      </w:pPr>
      <w:r>
        <w:t xml:space="preserve">☐ Je comprends le rôle de FSRM au-delà du simple quota (filtrage de type de fichier, rapports).</w:t>
      </w:r>
    </w:p>
    <w:bookmarkEnd w:id="297"/>
    <w:bookmarkStart w:id="298" w:name="faq-10"/>
    <w:p>
      <w:pPr>
        <w:pStyle w:val="Heading2"/>
      </w:pPr>
      <w:r>
        <w:t xml:space="preserve">FAQ</w:t>
      </w:r>
    </w:p>
    <w:p>
      <w:pPr>
        <w:pStyle w:val="FirstParagraph"/>
      </w:pPr>
      <w:r>
        <w:t xml:space="preserve">Faut-il toujours utiliser DFS, même pour une entreprise avec un seul site ?</w:t>
      </w:r>
    </w:p>
    <w:p>
      <w:pPr>
        <w:pStyle w:val="BodyText"/>
      </w:pPr>
      <w:r>
        <w:t xml:space="preserve">Non, l’espace de noms DFS reste utile même sur un site unique (simplification des chemins, migration transparente entre serveurs), mais la réplication multi-serveurs n’a d’intérêt réel que dès qu’il existe plusieurs sites ou plusieurs serveurs à synchroniser — pour une entreprise mono-site avec un seul serveur de fichiers, un partage classique suffit souvent.</w:t>
      </w:r>
    </w:p>
    <w:p>
      <w:pPr>
        <w:pStyle w:val="BodyText"/>
      </w:pPr>
      <w:r>
        <w:t xml:space="preserve">La réplication DFS remplace-t-elle une sauvegarde ?</w:t>
      </w:r>
    </w:p>
    <w:p>
      <w:pPr>
        <w:pStyle w:val="BodyText"/>
      </w:pPr>
      <w:r>
        <w:t xml:space="preserve">Non, absolument pas — une réplication synchronise les changements, y compris une suppression accidentelle ou une corruption, vers l’ensemble des copies répliquées. Une vraie sauvegarde (approfondie en Partie 5) conserve des versions historiques distinctes, permettant de revenir à un état antérieur, ce qu’une simple réplication ne permet pas par elle-même.</w:t>
      </w:r>
    </w:p>
    <w:p>
      <w:pPr>
        <w:pStyle w:val="BodyText"/>
      </w:pPr>
      <w:r>
        <w:t xml:space="preserve">Peut-on appliquer un quota différent selon le service ou le rôle de l’utilisateur ?</w:t>
      </w:r>
    </w:p>
    <w:p>
      <w:pPr>
        <w:pStyle w:val="BodyText"/>
      </w:pPr>
      <w:r>
        <w:t xml:space="preserve">Oui, FSRM permet des modèles de quotas différenciés, appliqués selon le dossier ou le groupe concerné — rien n’oblige à un quota strictement identique pour tous les utilisateurs de l’organisation, contrairement à ce que suggère à tort l’option d du QCM de ce chapitre.</w:t>
      </w:r>
    </w:p>
    <w:p>
      <w:pPr>
        <w:pStyle w:val="BodyText"/>
      </w:pPr>
      <w:r>
        <w:t xml:space="preserve">Le filtrage de type de fichier bloque-t-il aussi les fichiers déjà existants sur le partage ?</w:t>
      </w:r>
    </w:p>
    <w:p>
      <w:pPr>
        <w:pStyle w:val="BodyText"/>
      </w:pPr>
      <w:r>
        <w:t xml:space="preserve">Non, il s’applique aux nouveaux dépôts à partir du moment de son activation — un rapport de stockage FSRM (section 11.4) permet en complément d’identifier les fichiers déjà présents qui enfreindraient la nouvelle politique, pour un nettoyage manuel ou semi-automatisé ultérieur.</w:t>
      </w:r>
    </w:p>
    <w:bookmarkEnd w:id="298"/>
    <w:bookmarkStart w:id="301" w:name="références-et-pour-aller-plus-loin-10"/>
    <w:p>
      <w:pPr>
        <w:pStyle w:val="Heading2"/>
      </w:pPr>
      <w:r>
        <w:t xml:space="preserve">Références et pour aller plus loin</w:t>
      </w:r>
    </w:p>
    <w:p>
      <w:pPr>
        <w:pStyle w:val="Compact"/>
        <w:numPr>
          <w:ilvl w:val="0"/>
          <w:numId w:val="1272"/>
        </w:numPr>
      </w:pPr>
      <w:r>
        <w:t xml:space="preserve">Microsoft Learn — Vue d’ensemble de DFS Namespaces et DFS Replication :</w:t>
      </w:r>
      <w:r>
        <w:t xml:space="preserve"> </w:t>
      </w:r>
      <w:hyperlink r:id="rId299">
        <w:r>
          <w:rPr>
            <w:rStyle w:val="Hyperlink"/>
          </w:rPr>
          <w:t xml:space="preserve">https://learn.microsoft.com/fr-fr/windows-server/storage/dfs-namespaces/dfs-overview</w:t>
        </w:r>
      </w:hyperlink>
    </w:p>
    <w:p>
      <w:pPr>
        <w:pStyle w:val="Compact"/>
        <w:numPr>
          <w:ilvl w:val="0"/>
          <w:numId w:val="1272"/>
        </w:numPr>
      </w:pPr>
      <w:r>
        <w:t xml:space="preserve">Microsoft Learn — File Server Resource Manager (FSRM) :</w:t>
      </w:r>
      <w:r>
        <w:t xml:space="preserve"> </w:t>
      </w:r>
      <w:hyperlink r:id="rId300">
        <w:r>
          <w:rPr>
            <w:rStyle w:val="Hyperlink"/>
          </w:rPr>
          <w:t xml:space="preserve">https://learn.microsoft.com/fr-fr/windows-server/storage/fsrm/fsrm-overview</w:t>
        </w:r>
      </w:hyperlink>
    </w:p>
    <w:p>
      <w:pPr>
        <w:pStyle w:val="FirstParagraph"/>
      </w:pPr>
      <w:r>
        <w:rPr>
          <w:i/>
          <w:iCs/>
        </w:rPr>
        <w:t xml:space="preserve">Chapitre suivant : WSUS et gestion des mises à jour — comment déployer les correctifs de sécurité de façon contrôlée à l’ensemble du parc, sans jamais reproduire les risques d’un déploiement non testé étudiés au chapitre 2.</w:t>
      </w:r>
    </w:p>
    <w:p>
      <w:pPr>
        <w:pStyle w:val="BodyText"/>
      </w:pPr>
      <w:r>
        <w:t xml:space="preserve">CHAPITRE 12</w:t>
      </w:r>
    </w:p>
    <w:bookmarkEnd w:id="301"/>
    <w:bookmarkEnd w:id="302"/>
    <w:bookmarkStart w:id="324" w:name="wsus-et-gestion-des-mises-à-jour"/>
    <w:p>
      <w:pPr>
        <w:pStyle w:val="Heading1"/>
      </w:pPr>
      <w:r>
        <w:t xml:space="preserve">WSUS et gestion des mises à jour</w:t>
      </w:r>
    </w:p>
    <w:p>
      <w:pPr>
        <w:pStyle w:val="FirstParagraph"/>
      </w:pPr>
      <w:r>
        <w:t xml:space="preserve">🎯 Objectif du chapitre</w:t>
      </w:r>
      <w:r>
        <w:t xml:space="preserve"> </w:t>
      </w:r>
      <w:r>
        <w:t xml:space="preserve">Comprendre comment déployer les correctifs de sécurité et les mises à jour à l’ensemble d’un parc informatique de façon contrôlée, sans jamais reproduire les risques d’un déploiement non testé étudiés au chapitre 2. À la fin de ce chapitre, tu sauras concevoir des groupes de déploiement progressifs avec WSUS, expliquer pourquoi une mise à jour de sécurité critique et une mise à jour de fonctionnalité mineure ne devraient pas suivre le même calendrier, et diagnostiquer un échec de déploiement de correctifs.</w:t>
      </w:r>
    </w:p>
    <w:p>
      <w:pPr>
        <w:pStyle w:val="BodyText"/>
      </w:pPr>
      <w:r>
        <w:t xml:space="preserve">🎬 Mise en situation</w:t>
      </w:r>
      <w:r>
        <w:t xml:space="preserve"> </w:t>
      </w:r>
      <w:r>
        <w:t xml:space="preserve">Douzième semaine. Un mardi, Microsoft publie un correctif de sécurité critique corrigeant une vulnérabilité activement exploitée — exactement le type de</w:t>
      </w:r>
      <w:r>
        <w:t xml:space="preserve"> </w:t>
      </w:r>
      <w:r>
        <w:t xml:space="preserve">“changement urgent”</w:t>
      </w:r>
      <w:r>
        <w:t xml:space="preserve"> </w:t>
      </w:r>
      <w:r>
        <w:t xml:space="preserve">décrit au chapitre 2. Le DSI veut qu’il soit appliqué à l’ensemble des 80 postes et 12 serveurs de l’entreprise le plus vite possible. Mais il se souvient aussi d’un incident survenu chez un ancien employeur : une mise à jour Windows automatique, déployée simultanément sur tous les postes sans aucun test préalable, avait provoqué des écrans bleus sur près d’un tiers du parc, un vendredi après-midi.</w:t>
      </w:r>
      <w:r>
        <w:t xml:space="preserve"> </w:t>
      </w:r>
      <w:r>
        <w:t xml:space="preserve">“Je veux que ce soit rapide, mais je ne veux surtout pas revivre ça,”</w:t>
      </w:r>
      <w:r>
        <w:t xml:space="preserve"> </w:t>
      </w:r>
      <w:r>
        <w:t xml:space="preserve">te dit-il. Ce chapitre explique comment WSUS permet de concilier ces deux exigences apparemment contradictoires : rapidité et prudence.</w:t>
      </w:r>
    </w:p>
    <w:bookmarkStart w:id="303" w:name="quest-ce-que-wsus"/>
    <w:p>
      <w:pPr>
        <w:pStyle w:val="Heading2"/>
      </w:pPr>
      <w:r>
        <w:t xml:space="preserve">12.1 Qu’est-ce que WSUS</w:t>
      </w:r>
    </w:p>
    <w:p>
      <w:pPr>
        <w:pStyle w:val="FirstParagraph"/>
      </w:pPr>
      <w:r>
        <w:rPr>
          <w:b/>
          <w:bCs/>
        </w:rPr>
        <w:t xml:space="preserve">WSUS</w:t>
      </w:r>
      <w:r>
        <w:t xml:space="preserve"> </w:t>
      </w:r>
      <w:r>
        <w:t xml:space="preserve">(</w:t>
      </w:r>
      <w:r>
        <w:rPr>
          <w:i/>
          <w:iCs/>
        </w:rPr>
        <w:t xml:space="preserve">Windows Server Update Services</w:t>
      </w:r>
      <w:r>
        <w:t xml:space="preserve">) est un rôle Windows Server qui centralise le téléchargement, l’approbation et la distribution des mises à jour Windows à l’ensemble d’un parc, plutôt que de laisser chaque poste télécharger individuellement ses mises à jour directement depuis Internet.</w:t>
      </w:r>
    </w:p>
    <w:p>
      <w:pPr>
        <w:pStyle w:val="BodyText"/>
      </w:pPr>
      <w:r>
        <w:t xml:space="preserve">💡 Analogie — un grossiste plutôt que des achats individuels</w:t>
      </w:r>
      <w:r>
        <w:t xml:space="preserve"> </w:t>
      </w:r>
      <w:r>
        <w:t xml:space="preserve">Sans WSUS, chaque poste de l’entreprise télécharge individuellement ses mises à jour depuis les serveurs Microsoft, comme si chaque foyer d’un quartier faisait ses courses séparément au marché — consommant de la bande passante Internet redondante et laissant chaque poste appliquer les mises à jour à son propre rythme, sans contrôle centralisé. WSUS agit comme un grossiste local : il télécharge une seule fois chaque mise à jour, puis la redistribue en interne, avec un contrôle centralisé de ce qui est approuvé et quand.</w:t>
      </w:r>
    </w:p>
    <w:p>
      <w:pPr>
        <w:pStyle w:val="BodyText"/>
      </w:pPr>
      <w:r>
        <w:t xml:space="preserve">📌 À retenir</w:t>
      </w:r>
      <w:r>
        <w:t xml:space="preserve"> </w:t>
      </w:r>
      <w:r>
        <w:t xml:space="preserve">WSUS ne modifie jamais le contenu des mises à jour elles-mêmes — il contrôle uniquement</w:t>
      </w:r>
      <w:r>
        <w:t xml:space="preserve"> </w:t>
      </w:r>
      <w:r>
        <w:rPr>
          <w:b/>
          <w:bCs/>
        </w:rPr>
        <w:t xml:space="preserve">quelles</w:t>
      </w:r>
      <w:r>
        <w:t xml:space="preserve"> </w:t>
      </w:r>
      <w:r>
        <w:t xml:space="preserve">mises à jour sont mises à disposition,</w:t>
      </w:r>
      <w:r>
        <w:t xml:space="preserve"> </w:t>
      </w:r>
      <w:r>
        <w:rPr>
          <w:b/>
          <w:bCs/>
        </w:rPr>
        <w:t xml:space="preserve">à quels groupes</w:t>
      </w:r>
      <w:r>
        <w:t xml:space="preserve"> </w:t>
      </w:r>
      <w:r>
        <w:t xml:space="preserve">de postes, et</w:t>
      </w:r>
      <w:r>
        <w:t xml:space="preserve"> </w:t>
      </w:r>
      <w:r>
        <w:rPr>
          <w:b/>
          <w:bCs/>
        </w:rPr>
        <w:t xml:space="preserve">selon quel calendrier</w:t>
      </w:r>
      <w:r>
        <w:t xml:space="preserve">. C’est un outil de gouvernance et de distribution, pas de modification du correctif lui-même.</w:t>
      </w:r>
    </w:p>
    <w:bookmarkEnd w:id="303"/>
    <w:bookmarkStart w:id="307" w:name="X6c98bad3f4cf2a5aa1cdd1cce53024463a577ff"/>
    <w:p>
      <w:pPr>
        <w:pStyle w:val="Heading2"/>
      </w:pPr>
      <w:r>
        <w:t xml:space="preserve">12.2 Les groupes de déploiement : la réponse directe à la crainte du DSI</w:t>
      </w:r>
    </w:p>
    <w:p>
      <w:pPr>
        <w:pStyle w:val="FirstParagraph"/>
      </w:pPr>
      <w:r>
        <w:t xml:space="preserve">La fonctionnalité centrale de WSUS pour éviter le scénario catastrophe évoqué par le DSI est la possibilité de créer des</w:t>
      </w:r>
      <w:r>
        <w:t xml:space="preserve"> </w:t>
      </w:r>
      <w:r>
        <w:rPr>
          <w:b/>
          <w:bCs/>
        </w:rPr>
        <w:t xml:space="preserve">groupes d’ordinateurs</w:t>
      </w:r>
      <w:r>
        <w:t xml:space="preserve"> </w:t>
      </w:r>
      <w:r>
        <w:t xml:space="preserve">cibles, permettant un déploiement progressif plutôt que simultané à l’ensemble du parc.</w:t>
      </w:r>
    </w:p>
    <w:p>
      <w:pPr>
        <w:pStyle w:val="CaptionedFigure"/>
      </w:pPr>
      <w:r>
        <w:drawing>
          <wp:inline>
            <wp:extent cx="5334000" cy="1060373"/>
            <wp:effectExtent b="0" l="0" r="0" t="0"/>
            <wp:docPr descr="Diagramme" title="" id="305" name="Picture"/>
            <a:graphic>
              <a:graphicData uri="http://schemas.openxmlformats.org/drawingml/2006/picture">
                <pic:pic>
                  <pic:nvPicPr>
                    <pic:cNvPr descr="C:/Users/ingja/Desktop/jarvis-starter-kit/livrables/formations/manuel-administration-systeme/assets/diagrams/d-12-wsus-gestion-mises-a-jour-diagramme-1.png" id="306" name="Picture"/>
                    <pic:cNvPicPr>
                      <a:picLocks noChangeArrowheads="1" noChangeAspect="1"/>
                    </pic:cNvPicPr>
                  </pic:nvPicPr>
                  <pic:blipFill>
                    <a:blip r:embed="rId304"/>
                    <a:stretch>
                      <a:fillRect/>
                    </a:stretch>
                  </pic:blipFill>
                  <pic:spPr bwMode="auto">
                    <a:xfrm>
                      <a:off x="0" y="0"/>
                      <a:ext cx="5334000" cy="1060373"/>
                    </a:xfrm>
                    <a:prstGeom prst="rect">
                      <a:avLst/>
                    </a:prstGeom>
                    <a:noFill/>
                    <a:ln w="9525">
                      <a:noFill/>
                      <a:headEnd/>
                      <a:tailEnd/>
                    </a:ln>
                  </pic:spPr>
                </pic:pic>
              </a:graphicData>
            </a:graphic>
          </wp:inline>
        </w:drawing>
      </w:r>
    </w:p>
    <w:p>
      <w:pPr>
        <w:pStyle w:val="ImageCaption"/>
      </w:pPr>
      <w:r>
        <w:t xml:space="preserve">Diagramme</w:t>
      </w:r>
    </w:p>
    <w:p>
      <w:pPr>
        <w:pStyle w:val="BodyText"/>
      </w:pPr>
      <w:r>
        <w:t xml:space="preserve">✅ Bonne pratique — le déploiement en anneaux (rings)</w:t>
      </w:r>
      <w:r>
        <w:t xml:space="preserve"> </w:t>
      </w:r>
      <w:r>
        <w:t xml:space="preserve">Cette approche, souvent appelée</w:t>
      </w:r>
      <w:r>
        <w:t xml:space="preserve"> </w:t>
      </w:r>
      <w:r>
        <w:t xml:space="preserve">“déploiement en anneaux”</w:t>
      </w:r>
      <w:r>
        <w:t xml:space="preserve">, reprend directement le principe du groupe pilote déjà rencontré au chapitre 7 pour les GPO : tester d’abord sur un petit périmètre contrôlé, observer, puis élargir progressivement. Le groupe pilote inclut idéalement des postes représentatifs de la diversité réelle du parc (différents modèles, différentes configurations), pas seulement les postes de l’équipe IT elle-même, qui peuvent ne pas représenter fidèlement l’ensemble des cas d’usage réels de l’entreprise.</w:t>
      </w:r>
    </w:p>
    <w:p>
      <w:pPr>
        <w:pStyle w:val="BodyText"/>
      </w:pPr>
      <w:r>
        <w:t xml:space="preserve">⚠️ Concilier rapidité et prudence pour un correctif critique</w:t>
      </w:r>
      <w:r>
        <w:t xml:space="preserve"> </w:t>
      </w:r>
      <w:r>
        <w:t xml:space="preserve">Face à une vulnérabilité activement exploitée (comme dans le scénario d’ouverture), le calendrier de déploiement en anneaux peut être compressé (quelques heures entre chaque anneau plutôt que plusieurs jours), mais ne devrait presque jamais être totalement supprimé — même une vérification rapide de 2 à 4 heures sur un groupe pilote réduit significativement le risque d’un déploiement massif défaillant, pour un coût de délai minime comparé au risque évité.</w:t>
      </w:r>
    </w:p>
    <w:bookmarkEnd w:id="307"/>
    <w:bookmarkStart w:id="308" w:name="Xf55b7fb8c3264bba59c473c98688870b1593c23"/>
    <w:p>
      <w:pPr>
        <w:pStyle w:val="Heading2"/>
      </w:pPr>
      <w:r>
        <w:t xml:space="preserve">12.3 Les catégories de mises à jour, et pourquoi elles ne suivent pas le même calendrier</w:t>
      </w:r>
    </w:p>
    <w:p>
      <w:pPr>
        <w:pStyle w:val="FirstParagraph"/>
      </w:pPr>
      <w:r>
        <w:t xml:space="preserve">Toutes les mises à jour ne présentent pas le même profil de risque ni la même urgence :</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Catégorie</w:t>
            </w:r>
          </w:p>
        </w:tc>
        <w:tc>
          <w:tcPr/>
          <w:p>
            <w:pPr>
              <w:pStyle w:val="Compact"/>
            </w:pPr>
            <w:r>
              <w:t xml:space="preserve">Urgence typique</w:t>
            </w:r>
          </w:p>
        </w:tc>
        <w:tc>
          <w:tcPr/>
          <w:p>
            <w:pPr>
              <w:pStyle w:val="Compact"/>
            </w:pPr>
            <w:r>
              <w:t xml:space="preserve">Calendrier de déploiement recommandé</w:t>
            </w:r>
          </w:p>
        </w:tc>
      </w:tr>
      <w:tr>
        <w:tc>
          <w:tcPr/>
          <w:p>
            <w:pPr>
              <w:pStyle w:val="Compact"/>
            </w:pPr>
            <w:r>
              <w:rPr>
                <w:b/>
                <w:bCs/>
              </w:rPr>
              <w:t xml:space="preserve">Correctif de sécurité critique</w:t>
            </w:r>
            <w:r>
              <w:t xml:space="preserve"> </w:t>
            </w:r>
            <w:r>
              <w:t xml:space="preserve">(vulnérabilité activement exploitée)</w:t>
            </w:r>
          </w:p>
        </w:tc>
        <w:tc>
          <w:tcPr/>
          <w:p>
            <w:pPr>
              <w:pStyle w:val="Compact"/>
            </w:pPr>
            <w:r>
              <w:t xml:space="preserve">Très élevée</w:t>
            </w:r>
          </w:p>
        </w:tc>
        <w:tc>
          <w:tcPr/>
          <w:p>
            <w:pPr>
              <w:pStyle w:val="Compact"/>
            </w:pPr>
            <w:r>
              <w:t xml:space="preserve">Anneaux compressés (heures), rarement retardé au-delà de quelques jours</w:t>
            </w:r>
          </w:p>
        </w:tc>
      </w:tr>
      <w:tr>
        <w:tc>
          <w:tcPr/>
          <w:p>
            <w:pPr>
              <w:pStyle w:val="Compact"/>
            </w:pPr>
            <w:r>
              <w:rPr>
                <w:b/>
                <w:bCs/>
              </w:rPr>
              <w:t xml:space="preserve">Correctif de sécurité standard</w:t>
            </w:r>
            <w:r>
              <w:t xml:space="preserve"> </w:t>
            </w:r>
            <w:r>
              <w:t xml:space="preserve">(mensuel,</w:t>
            </w:r>
            <w:r>
              <w:t xml:space="preserve"> </w:t>
            </w:r>
            <w:r>
              <w:t xml:space="preserve">“Patch Tuesday”</w:t>
            </w:r>
            <w:r>
              <w:t xml:space="preserve">)</w:t>
            </w:r>
          </w:p>
        </w:tc>
        <w:tc>
          <w:tcPr/>
          <w:p>
            <w:pPr>
              <w:pStyle w:val="Compact"/>
            </w:pPr>
            <w:r>
              <w:t xml:space="preserve">Modérée</w:t>
            </w:r>
          </w:p>
        </w:tc>
        <w:tc>
          <w:tcPr/>
          <w:p>
            <w:pPr>
              <w:pStyle w:val="Compact"/>
            </w:pPr>
            <w:r>
              <w:t xml:space="preserve">Anneaux sur 1 à 2 semaines</w:t>
            </w:r>
          </w:p>
        </w:tc>
      </w:tr>
      <w:tr>
        <w:tc>
          <w:tcPr/>
          <w:p>
            <w:pPr>
              <w:pStyle w:val="Compact"/>
            </w:pPr>
            <w:r>
              <w:rPr>
                <w:b/>
                <w:bCs/>
              </w:rPr>
              <w:t xml:space="preserve">Mise à jour de fonctionnalité majeure</w:t>
            </w:r>
            <w:r>
              <w:t xml:space="preserve"> </w:t>
            </w:r>
            <w:r>
              <w:t xml:space="preserve">(nouvelle version de Windows)</w:t>
            </w:r>
          </w:p>
        </w:tc>
        <w:tc>
          <w:tcPr/>
          <w:p>
            <w:pPr>
              <w:pStyle w:val="Compact"/>
            </w:pPr>
            <w:r>
              <w:t xml:space="preserve">Faible dans l’immédiat</w:t>
            </w:r>
          </w:p>
        </w:tc>
        <w:tc>
          <w:tcPr/>
          <w:p>
            <w:pPr>
              <w:pStyle w:val="Compact"/>
            </w:pPr>
            <w:r>
              <w:t xml:space="preserve">Test approfondi sur plusieurs semaines, souvent plusieurs mois avant généralisation</w:t>
            </w:r>
          </w:p>
        </w:tc>
      </w:tr>
    </w:tbl>
    <w:p>
      <w:pPr>
        <w:pStyle w:val="BodyText"/>
      </w:pPr>
      <w:r>
        <w:t xml:space="preserve">🚀 Performance — pourquoi la précipitation coûte plus cher que la prudence mesurée</w:t>
      </w:r>
      <w:r>
        <w:t xml:space="preserve"> </w:t>
      </w:r>
      <w:r>
        <w:t xml:space="preserve">L’incident vécu par le DSI chez son ancien employeur illustre un principe central de ce chapitre : le coût d’un déploiement défaillant sur l’ensemble du parc (écrans bleus, pannes, temps de résolution, perte de confiance des utilisateurs envers l’équipe IT) dépasse presque toujours largement le coût d’un délai de quelques heures à quelques jours pour un déploiement en anneaux prudent — même pour un correctif critique et urgent.</w:t>
      </w:r>
    </w:p>
    <w:bookmarkEnd w:id="308"/>
    <w:bookmarkStart w:id="309" w:name="X5de3d85b2618a1319f574faefa816d2bba7a2ae"/>
    <w:p>
      <w:pPr>
        <w:pStyle w:val="Heading2"/>
      </w:pPr>
      <w:r>
        <w:t xml:space="preserve">12.4 Diagnostiquer un échec de déploiement de correctifs</w:t>
      </w:r>
    </w:p>
    <w:p>
      <w:pPr>
        <w:pStyle w:val="SourceCode"/>
      </w:pPr>
      <w:r>
        <w:rPr>
          <w:rStyle w:val="VerbatimChar"/>
        </w:rPr>
        <w:t xml:space="preserve"># Verifier l'etat de mise a jour d'un poste specifique, incluant</w:t>
      </w:r>
      <w:r>
        <w:br/>
      </w:r>
      <w:r>
        <w:rPr>
          <w:rStyle w:val="VerbatimChar"/>
        </w:rPr>
        <w:t xml:space="preserve"># les correctifs en attente, echoues, ou installes avec succes</w:t>
      </w:r>
      <w:r>
        <w:br/>
      </w:r>
      <w:r>
        <w:rPr>
          <w:rStyle w:val="VerbatimChar"/>
        </w:rPr>
        <w:t xml:space="preserve">Get-WindowsUpdateLog</w:t>
      </w:r>
      <w:r>
        <w:br/>
      </w:r>
      <w:r>
        <w:br/>
      </w:r>
      <w:r>
        <w:rPr>
          <w:rStyle w:val="VerbatimChar"/>
        </w:rPr>
        <w:t xml:space="preserve"># Forcer une verification immediate aupres du serveur WSUS,</w:t>
      </w:r>
      <w:r>
        <w:br/>
      </w:r>
      <w:r>
        <w:rPr>
          <w:rStyle w:val="VerbatimChar"/>
        </w:rPr>
        <w:t xml:space="preserve"># sans attendre le cycle de verification automatique</w:t>
      </w:r>
      <w:r>
        <w:br/>
      </w:r>
      <w:r>
        <w:rPr>
          <w:rStyle w:val="VerbatimChar"/>
        </w:rPr>
        <w:t xml:space="preserve">wuauclt /detectnow</w:t>
      </w:r>
    </w:p>
    <w:p>
      <w:pPr>
        <w:pStyle w:val="FirstParagraph"/>
      </w:pPr>
      <w:r>
        <w:t xml:space="preserve">🩺 Situation :</w:t>
      </w:r>
      <w:r>
        <w:t xml:space="preserve"> </w:t>
      </w:r>
      <w:r>
        <w:t xml:space="preserve">“Un correctif approuvé dans WSUS n’apparaît toujours pas installé sur certains postes”</w:t>
      </w:r>
    </w:p>
    <w:p>
      <w:pPr>
        <w:pStyle w:val="Compact"/>
        <w:numPr>
          <w:ilvl w:val="0"/>
          <w:numId w:val="1273"/>
        </w:numPr>
      </w:pPr>
      <w:r>
        <w:rPr>
          <w:b/>
          <w:bCs/>
        </w:rPr>
        <w:t xml:space="preserve">Diagnostic</w:t>
      </w:r>
      <w:r>
        <w:t xml:space="preserve"> </w:t>
      </w:r>
      <w:r>
        <w:t xml:space="preserve">: distingue si le problème touche un poste isolé (probablement un problème local : espace disque insuffisant, service Windows Update bloqué) ou un groupe entier de postes (probablement une erreur de configuration du groupe WSUS lui-même, ou un cycle de vérification pas encore écoulé).</w:t>
      </w:r>
    </w:p>
    <w:p>
      <w:pPr>
        <w:pStyle w:val="Compact"/>
        <w:numPr>
          <w:ilvl w:val="0"/>
          <w:numId w:val="1273"/>
        </w:numPr>
      </w:pPr>
      <w:r>
        <w:rPr>
          <w:b/>
          <w:bCs/>
        </w:rPr>
        <w:t xml:space="preserve">Comment vérifier</w:t>
      </w:r>
      <w:r>
        <w:t xml:space="preserve"> </w:t>
      </w:r>
      <w:r>
        <w:t xml:space="preserve">: le tableau de bord WSUS lui-même liste l’état de chaque poste par mise à jour (installée, en attente, échouée avec un code d’erreur précis) — une consultation systématique avant de deviner la cause.</w:t>
      </w:r>
    </w:p>
    <w:p>
      <w:pPr>
        <w:pStyle w:val="Compact"/>
        <w:numPr>
          <w:ilvl w:val="0"/>
          <w:numId w:val="1273"/>
        </w:numPr>
      </w:pPr>
      <w:r>
        <w:rPr>
          <w:b/>
          <w:bCs/>
        </w:rPr>
        <w:t xml:space="preserve">Résolution</w:t>
      </w:r>
      <w:r>
        <w:t xml:space="preserve"> </w:t>
      </w:r>
      <w:r>
        <w:t xml:space="preserve">: pour un poste isolé, vérifier l’espace disque disponible et l’état du service Windows Update local ; pour un groupe entier, revérifier l’appartenance au bon groupe de déploiement et l’approbation effective du correctif pour ce groupe précis.</w:t>
      </w:r>
    </w:p>
    <w:bookmarkEnd w:id="309"/>
    <w:bookmarkStart w:id="310" w:name="X9c91b830475191344c28ed9bbf28d32a66cf6e8"/>
    <w:p>
      <w:pPr>
        <w:pStyle w:val="Heading2"/>
      </w:pPr>
      <w:r>
        <w:t xml:space="preserve">12.5 Au-delà de Windows : les autres surfaces à maintenir à jour</w:t>
      </w:r>
    </w:p>
    <w:p>
      <w:pPr>
        <w:pStyle w:val="FirstParagraph"/>
      </w:pPr>
      <w:r>
        <w:t xml:space="preserve">🧠 À mémoriser — WSUS ne couvre que Windows et les produits Microsoft</w:t>
      </w:r>
      <w:r>
        <w:t xml:space="preserve"> </w:t>
      </w:r>
      <w:r>
        <w:t xml:space="preserve">WSUS gère les mises à jour du système d’exploitation Windows et de certains produits Microsoft (Office, par exemple), mais ne couvre</w:t>
      </w:r>
      <w:r>
        <w:t xml:space="preserve"> </w:t>
      </w:r>
      <w:r>
        <w:t xml:space="preserve">pas</w:t>
      </w:r>
      <w:r>
        <w:t xml:space="preserve"> </w:t>
      </w:r>
      <w:r>
        <w:t xml:space="preserve">les applications tierces (navigateurs non-Microsoft, lecteurs PDF, outils métier spécifiques) ni les firmwares matériels. Une stratégie de gestion des mises à jour complète et mature nécessite des outils complémentaires pour ces surfaces distinctes, ou une politique explicite de qui est responsable de leur suivi — un angle mort fréquent qui laisse des vulnérabilités non corrigées malgré un déploiement WSUS par ailleurs rigoureux.</w:t>
      </w:r>
    </w:p>
    <w:p>
      <w:pPr>
        <w:pStyle w:val="BodyText"/>
      </w:pPr>
      <w:r>
        <w:t xml:space="preserve">🔒 Sécurité — l’inventaire, encore une fois, comme fondation</w:t>
      </w:r>
      <w:r>
        <w:t xml:space="preserve"> </w:t>
      </w:r>
      <w:r>
        <w:t xml:space="preserve">Rappel direct du chapitre 3 : il est impossible de garantir qu’un logiciel tiers est à jour si son existence même n’est pas connue et inventoriée. La gestion des mises à jour, tout comme la sécurité en général, repose sur un inventaire fiable comme fondation première.</w:t>
      </w:r>
    </w:p>
    <w:bookmarkEnd w:id="310"/>
    <w:bookmarkStart w:id="311" w:name="Xaf0ef5b8e9778751122d90f2d614d7dafe99d94"/>
    <w:p>
      <w:pPr>
        <w:pStyle w:val="Heading2"/>
      </w:pPr>
      <w:r>
        <w:t xml:space="preserve">Atelier — Concevoir le calendrier de déploiement du correctif critique</w:t>
      </w:r>
    </w:p>
    <w:p>
      <w:pPr>
        <w:pStyle w:val="FirstParagraph"/>
      </w:pPr>
      <w:r>
        <w:t xml:space="preserve">🛠️ Atelier 12 — Planifier la réponse au scénario d’ouverture</w:t>
      </w:r>
    </w:p>
    <w:p>
      <w:pPr>
        <w:pStyle w:val="BodyText"/>
      </w:pPr>
      <w:r>
        <w:rPr>
          <w:b/>
          <w:bCs/>
        </w:rPr>
        <w:t xml:space="preserve">Objectif</w:t>
      </w:r>
      <w:r>
        <w:t xml:space="preserve"> </w:t>
      </w:r>
      <w:r>
        <w:t xml:space="preserve">: s’entraîner à concilier urgence et prudence dans un scénario de déploiement de correctif critique, en réponse directe à la demande du DSI.</w:t>
      </w:r>
    </w:p>
    <w:p>
      <w:pPr>
        <w:pStyle w:val="BodyText"/>
      </w:pPr>
      <w:r>
        <w:rPr>
          <w:b/>
          <w:bCs/>
        </w:rPr>
        <w:t xml:space="preserve">Préparation</w:t>
      </w:r>
      <w:r>
        <w:t xml:space="preserve"> </w:t>
      </w:r>
      <w:r>
        <w:t xml:space="preserve">: aucune installation nécessaire.</w:t>
      </w:r>
    </w:p>
    <w:p>
      <w:pPr>
        <w:pStyle w:val="BodyText"/>
      </w:pPr>
      <w:r>
        <w:rPr>
          <w:b/>
          <w:bCs/>
        </w:rPr>
        <w:t xml:space="preserve">Étapes détaillées</w:t>
      </w:r>
      <w:r>
        <w:t xml:space="preserve"> </w:t>
      </w:r>
      <w:r>
        <w:t xml:space="preserve">:</w:t>
      </w:r>
    </w:p>
    <w:p>
      <w:pPr>
        <w:pStyle w:val="Compact"/>
        <w:numPr>
          <w:ilvl w:val="0"/>
          <w:numId w:val="1274"/>
        </w:numPr>
      </w:pPr>
      <w:r>
        <w:t xml:space="preserve">Propose un calendrier de déploiement en anneaux pour le correctif critique du scénario d’ouverture (80 postes, 12 serveurs), avec au moins trois anneaux et une durée pour chacun.</w:t>
      </w:r>
    </w:p>
    <w:p>
      <w:pPr>
        <w:pStyle w:val="Compact"/>
        <w:numPr>
          <w:ilvl w:val="0"/>
          <w:numId w:val="1274"/>
        </w:numPr>
      </w:pPr>
      <w:r>
        <w:t xml:space="preserve">Justifie pourquoi tu ne déploierais jamais ce correctif simultanément aux 80 postes et aux 12 serveurs en même temps, dès le premier anneau.</w:t>
      </w:r>
    </w:p>
    <w:p>
      <w:pPr>
        <w:pStyle w:val="Compact"/>
        <w:numPr>
          <w:ilvl w:val="0"/>
          <w:numId w:val="1274"/>
        </w:numPr>
      </w:pPr>
      <w:r>
        <w:t xml:space="preserve">Propose un critère objectif pour décider de passer à l’anneau suivant (pas seulement</w:t>
      </w:r>
      <w:r>
        <w:t xml:space="preserve"> </w:t>
      </w:r>
      <w:r>
        <w:t xml:space="preserve">“attendre X heures”</w:t>
      </w:r>
      <w:r>
        <w:t xml:space="preserve">).</w:t>
      </w:r>
    </w:p>
    <w:p>
      <w:pPr>
        <w:pStyle w:val="Compact"/>
        <w:numPr>
          <w:ilvl w:val="0"/>
          <w:numId w:val="1274"/>
        </w:numPr>
      </w:pPr>
      <w:r>
        <w:t xml:space="preserve">Compare ta proposition à la section</w:t>
      </w:r>
      <w:r>
        <w:t xml:space="preserve"> </w:t>
      </w:r>
      <w:r>
        <w:t xml:space="preserve">“Résultat attendu”</w:t>
      </w:r>
      <w:r>
        <w:t xml:space="preserve">.</w:t>
      </w:r>
    </w:p>
    <w:p>
      <w:pPr>
        <w:pStyle w:val="FirstParagraph"/>
      </w:pPr>
      <w:r>
        <w:rPr>
          <w:b/>
          <w:bCs/>
        </w:rPr>
        <w:t xml:space="preserve">Résultat attendu</w:t>
      </w:r>
      <w:r>
        <w:t xml:space="preserve"> </w:t>
      </w:r>
      <w:r>
        <w:t xml:space="preserve">: un calendrier raisonnable pourrait inclure un premier anneau restreint (quelques postes IT + un serveur de test non critique) sur quelques heures, un second anneau élargi (volontaires representatifs + serveurs secondaires) sur 24 à 48 heures, puis le déploiement général. Les serveurs de production critiques (comme les contrôleurs de domaine du chapitre 5) méritent généralement leur propre anneau distinct des postes utilisateurs, car une défaillance sur un serveur critique a un impact bien plus large qu’une défaillance sur un poste individuel. Un critère objectif de progression pourrait être :</w:t>
      </w:r>
      <w:r>
        <w:t xml:space="preserve"> </w:t>
      </w:r>
      <w:r>
        <w:t xml:space="preserve">“aucune alerte de supervision (Partie 10) ni aucun ticket d’incident lié au correctif”</w:t>
      </w:r>
      <w:r>
        <w:t xml:space="preserve"> </w:t>
      </w:r>
      <w:r>
        <w:t xml:space="preserve">plutôt qu’une simple durée écoulée sans vérification active.</w:t>
      </w:r>
    </w:p>
    <w:p>
      <w:pPr>
        <w:pStyle w:val="BodyText"/>
      </w:pPr>
      <w:r>
        <w:rPr>
          <w:b/>
          <w:bCs/>
        </w:rPr>
        <w:t xml:space="preserve">Dépannage</w:t>
      </w:r>
      <w:r>
        <w:t xml:space="preserve"> </w:t>
      </w:r>
      <w:r>
        <w:t xml:space="preserve">: si tu hésites sur la durée de chaque anneau, reviens à la section 12.3 — la catégorie et l’urgence réelle du correctif déterminent directement la compression acceptable du calendrier.</w:t>
      </w:r>
    </w:p>
    <w:bookmarkEnd w:id="311"/>
    <w:bookmarkStart w:id="312" w:name="erreurs-fréquentes-11"/>
    <w:p>
      <w:pPr>
        <w:pStyle w:val="Heading2"/>
      </w:pPr>
      <w:r>
        <w:t xml:space="preserve">Erreurs fréquentes</w:t>
      </w:r>
    </w:p>
    <w:p>
      <w:pPr>
        <w:pStyle w:val="FirstParagraph"/>
      </w:pPr>
      <w:r>
        <w:t xml:space="preserve">⚠️ Erreur n°1 — déployer un correctif à tout le parc simultanément</w:t>
      </w:r>
      <w:r>
        <w:t xml:space="preserve"> </w:t>
      </w:r>
      <w:r>
        <w:t xml:space="preserve">Exactement l’incident vécu par le DSI chez son ancien employeur — un déploiement massif sans test préalable transforme un problème de correctif potentiellement isolé en incident majeur affectant l’ensemble de l’organisation en même temps.</w:t>
      </w:r>
    </w:p>
    <w:p>
      <w:pPr>
        <w:pStyle w:val="BodyText"/>
      </w:pPr>
      <w:r>
        <w:t xml:space="preserve">⚠️ Erreur n°2 — retarder indéfiniment un correctif de sécurité critique par excès de prudence</w:t>
      </w:r>
      <w:r>
        <w:t xml:space="preserve"> </w:t>
      </w:r>
      <w:r>
        <w:t xml:space="preserve">L’inverse de l’erreur précédente est tout aussi risqué : une vulnérabilité activement exploitée et non corrigée pendant des semaines par excès de prudence expose l’organisation à un risque réel et immédiat — l’équilibre entre rapidité et prudence (section 12.3) doit être ajusté à la criticité réelle, jamais figé dans un seul sens.</w:t>
      </w:r>
    </w:p>
    <w:p>
      <w:pPr>
        <w:pStyle w:val="BodyText"/>
      </w:pPr>
      <w:r>
        <w:t xml:space="preserve">⚠️ Erreur n°3 — négliger les logiciels tiers au profit du seul Windows</w:t>
      </w:r>
      <w:r>
        <w:t xml:space="preserve"> </w:t>
      </w:r>
      <w:r>
        <w:t xml:space="preserve">Comme vu en section 12.5, une gestion des mises à jour concentrée uniquement sur Windows laisse un angle mort réel sur les applications tierces, souvent tout aussi exposées à des vulnérabilités critiques.</w:t>
      </w:r>
    </w:p>
    <w:bookmarkEnd w:id="312"/>
    <w:bookmarkStart w:id="313" w:name="en-entreprise-11"/>
    <w:p>
      <w:pPr>
        <w:pStyle w:val="Heading2"/>
      </w:pPr>
      <w:r>
        <w:t xml:space="preserve">En entreprise</w:t>
      </w:r>
    </w:p>
    <w:p>
      <w:pPr>
        <w:pStyle w:val="Compact"/>
        <w:numPr>
          <w:ilvl w:val="0"/>
          <w:numId w:val="1275"/>
        </w:numPr>
      </w:pPr>
      <w:r>
        <w:rPr>
          <w:b/>
          <w:bCs/>
        </w:rPr>
        <w:t xml:space="preserve">Bonne pratique répandue</w:t>
      </w:r>
      <w:r>
        <w:t xml:space="preserve"> </w:t>
      </w:r>
      <w:r>
        <w:t xml:space="preserve">: constituer un groupe pilote représentatif de la diversité réelle du parc (différents modèles matériels, différentes configurations logicielles), plutôt qu’un simple échantillon de commodité composé uniquement de postes IT.</w:t>
      </w:r>
    </w:p>
    <w:p>
      <w:pPr>
        <w:pStyle w:val="Compact"/>
        <w:numPr>
          <w:ilvl w:val="0"/>
          <w:numId w:val="1275"/>
        </w:numPr>
      </w:pPr>
      <w:r>
        <w:rPr>
          <w:b/>
          <w:bCs/>
        </w:rPr>
        <w:t xml:space="preserve">Bonne pratique répandue</w:t>
      </w:r>
      <w:r>
        <w:t xml:space="preserve"> </w:t>
      </w:r>
      <w:r>
        <w:t xml:space="preserve">: documenter (chapitre 3) le calendrier de déploiement standard de l’organisation par catégorie de correctif, pour que chaque nouveau correctif suive une procédure connue plutôt qu’une décision improvisée à chaque fois.</w:t>
      </w:r>
    </w:p>
    <w:p>
      <w:pPr>
        <w:pStyle w:val="Compact"/>
        <w:numPr>
          <w:ilvl w:val="0"/>
          <w:numId w:val="1275"/>
        </w:numPr>
      </w:pPr>
      <w:r>
        <w:rPr>
          <w:b/>
          <w:bCs/>
        </w:rPr>
        <w:t xml:space="preserve">Erreur classique observée</w:t>
      </w:r>
      <w:r>
        <w:t xml:space="preserve"> </w:t>
      </w:r>
      <w:r>
        <w:t xml:space="preserve">: une entreprise qui désactive purement et simplement les mises à jour automatiques par crainte d’incidents, sans mettre en place de processus structuré de remplacement (comme celui de ce chapitre) — remplaçant un risque (déploiement mal contrôlé) par un risque pire encore (absence totale de correctifs de sécurité appliqués).</w:t>
      </w:r>
    </w:p>
    <w:bookmarkEnd w:id="313"/>
    <w:bookmarkStart w:id="314" w:name="entretien-technique-11"/>
    <w:p>
      <w:pPr>
        <w:pStyle w:val="Heading2"/>
      </w:pPr>
      <w:r>
        <w:t xml:space="preserve">Entretien technique</w:t>
      </w:r>
    </w:p>
    <w:p>
      <w:pPr>
        <w:pStyle w:val="FirstParagraph"/>
      </w:pPr>
      <w:r>
        <w:t xml:space="preserve">💼 Questions fréquemment posées en entretien</w:t>
      </w:r>
    </w:p>
    <w:p>
      <w:pPr>
        <w:pStyle w:val="BodyText"/>
      </w:pPr>
      <w:r>
        <w:rPr>
          <w:b/>
          <w:bCs/>
        </w:rPr>
        <w:t xml:space="preserve">Q1.</w:t>
      </w:r>
      <w:r>
        <w:rPr>
          <w:b/>
          <w:bCs/>
        </w:rPr>
        <w:t xml:space="preserve"> </w:t>
      </w:r>
      <w:r>
        <w:rPr>
          <w:b/>
          <w:bCs/>
        </w:rPr>
        <w:t xml:space="preserve">“Qu’est-ce que WSUS, et quel problème résout-il concrètement ?”</w:t>
      </w:r>
      <w:r>
        <w:t xml:space="preserve"> </w:t>
      </w:r>
      <w:r>
        <w:t xml:space="preserve">Réponse attendue : WSUS centralise le téléchargement et la distribution des mises à jour Windows, permettant un contrôle centralisé de ce qui est approuvé et quand, plutôt que chaque poste appliquant ses mises à jour de façon indépendante et non coordonnée.</w:t>
      </w:r>
    </w:p>
    <w:p>
      <w:pPr>
        <w:pStyle w:val="BodyText"/>
      </w:pPr>
      <w:r>
        <w:rPr>
          <w:b/>
          <w:bCs/>
        </w:rPr>
        <w:t xml:space="preserve">Q2.</w:t>
      </w:r>
      <w:r>
        <w:rPr>
          <w:b/>
          <w:bCs/>
        </w:rPr>
        <w:t xml:space="preserve"> </w:t>
      </w:r>
      <w:r>
        <w:rPr>
          <w:b/>
          <w:bCs/>
        </w:rPr>
        <w:t xml:space="preserve">“Comment concilierais-tu l’urgence d’un correctif de sécurité critique avec le risque d’un déploiement massif défaillant ?”</w:t>
      </w:r>
      <w:r>
        <w:t xml:space="preserve"> </w:t>
      </w:r>
      <w:r>
        <w:t xml:space="preserve">Réponse attendue : via un déploiement en anneaux compressé (groupe pilote restreint suivi d’un déploiement progressif), plutôt qu’un déploiement simultané à tout le parc ou, à l’inverse, un délai de test disproportionné qui laisserait la vulnérabilité critique non corrigée trop longtemps.</w:t>
      </w:r>
    </w:p>
    <w:p>
      <w:pPr>
        <w:pStyle w:val="BodyText"/>
      </w:pPr>
      <w:r>
        <w:rPr>
          <w:b/>
          <w:bCs/>
        </w:rPr>
        <w:t xml:space="preserve">Q3.</w:t>
      </w:r>
      <w:r>
        <w:rPr>
          <w:b/>
          <w:bCs/>
        </w:rPr>
        <w:t xml:space="preserve"> </w:t>
      </w:r>
      <w:r>
        <w:rPr>
          <w:b/>
          <w:bCs/>
        </w:rPr>
        <w:t xml:space="preserve">“WSUS suffit-il à lui seul pour une stratégie de gestion des mises à jour complète ?”</w:t>
      </w:r>
      <w:r>
        <w:t xml:space="preserve"> </w:t>
      </w:r>
      <w:r>
        <w:t xml:space="preserve">Réponse attendue : non, WSUS ne couvre que Windows et certains produits Microsoft — une stratégie complète nécessite des outils ou processus complémentaires pour les applications tierces et les firmwares, ainsi qu’un inventaire fiable (chapitre 3) de l’ensemble du parc logiciel réellement en usage.</w:t>
      </w:r>
    </w:p>
    <w:bookmarkEnd w:id="314"/>
    <w:bookmarkStart w:id="315" w:name="X17f307ded41ac7c1679af71a134fb4ddedf71aa"/>
    <w:p>
      <w:pPr>
        <w:pStyle w:val="Heading2"/>
      </w:pPr>
      <w:r>
        <w:t xml:space="preserve">Optimisation, sécurité et maintenabilité — les réflexes dès ce chapitre</w:t>
      </w:r>
    </w:p>
    <w:p>
      <w:pPr>
        <w:pStyle w:val="FirstParagraph"/>
      </w:pPr>
      <w:r>
        <w:t xml:space="preserve">🔒 Sécurité</w:t>
      </w:r>
      <w:r>
        <w:t xml:space="preserve"> </w:t>
      </w:r>
      <w:r>
        <w:t xml:space="preserve">Un correctif de sécurité non déployé, même pour de bonnes raisons de prudence temporaire, représente une fenêtre de vulnérabilité active — documenter explicitement (chapitre 3) toute décision de retarder volontairement un correctif, avec sa justification et sa date de réévaluation prévue, évite qu’un retard</w:t>
      </w:r>
      <w:r>
        <w:t xml:space="preserve"> </w:t>
      </w:r>
      <w:r>
        <w:t xml:space="preserve">“temporaire”</w:t>
      </w:r>
      <w:r>
        <w:t xml:space="preserve"> </w:t>
      </w:r>
      <w:r>
        <w:t xml:space="preserve">ne devienne un oubli permanent.</w:t>
      </w:r>
    </w:p>
    <w:p>
      <w:pPr>
        <w:pStyle w:val="BodyText"/>
      </w:pPr>
      <w:r>
        <w:t xml:space="preserve">✅ Maintenabilité</w:t>
      </w:r>
      <w:r>
        <w:t xml:space="preserve"> </w:t>
      </w:r>
      <w:r>
        <w:t xml:space="preserve">Documente le calendrier de déploiement standard par catégorie de correctif (section 12.3), pour que la décision ne soit jamais improvisée sous la pression d’un correctif critique urgent — exactement le type de runbook de procédure standard décrit au chapitre 3.</w:t>
      </w:r>
    </w:p>
    <w:p>
      <w:pPr>
        <w:pStyle w:val="BodyText"/>
      </w:pPr>
      <w:r>
        <w:t xml:space="preserve">🚀 Performance</w:t>
      </w:r>
      <w:r>
        <w:t xml:space="preserve"> </w:t>
      </w:r>
      <w:r>
        <w:t xml:space="preserve">WSUS réduit la consommation de bande passante Internet globale de l’organisation en centralisant le téléchargement des correctifs une seule fois, plutôt que de le répéter individuellement sur chaque poste — un bénéfice particulièrement appréciable sur une liaison Internet limitée, comme celle du Cap-Haïtien évoquée dans les chapitres précédents.</w:t>
      </w:r>
    </w:p>
    <w:bookmarkEnd w:id="315"/>
    <w:bookmarkStart w:id="316" w:name="résumé-du-chapitre-11"/>
    <w:p>
      <w:pPr>
        <w:pStyle w:val="Heading2"/>
      </w:pPr>
      <w:r>
        <w:t xml:space="preserve">Résumé du chapitre</w:t>
      </w:r>
    </w:p>
    <w:p>
      <w:pPr>
        <w:pStyle w:val="Compact"/>
        <w:numPr>
          <w:ilvl w:val="0"/>
          <w:numId w:val="1276"/>
        </w:numPr>
      </w:pPr>
      <w:r>
        <w:t xml:space="preserve">WSUS centralise le téléchargement, l’approbation et la distribution des mises à jour Windows à l’ensemble d’un parc, sans modifier le contenu des correctifs eux-mêmes.</w:t>
      </w:r>
    </w:p>
    <w:p>
      <w:pPr>
        <w:pStyle w:val="Compact"/>
        <w:numPr>
          <w:ilvl w:val="0"/>
          <w:numId w:val="1276"/>
        </w:numPr>
      </w:pPr>
      <w:r>
        <w:t xml:space="preserve">Les groupes de déploiement permettent un déploiement en anneaux progressif (pilote, anticipé, général), réduisant le risque d’un déploiement massif défaillant.</w:t>
      </w:r>
    </w:p>
    <w:p>
      <w:pPr>
        <w:pStyle w:val="Compact"/>
        <w:numPr>
          <w:ilvl w:val="0"/>
          <w:numId w:val="1276"/>
        </w:numPr>
      </w:pPr>
      <w:r>
        <w:t xml:space="preserve">Différentes catégories de mises à jour (sécurité critique, sécurité standard, fonctionnalité majeure) justifient des calendriers de déploiement différents, jamais un traitement uniforme.</w:t>
      </w:r>
    </w:p>
    <w:p>
      <w:pPr>
        <w:pStyle w:val="Compact"/>
        <w:numPr>
          <w:ilvl w:val="0"/>
          <w:numId w:val="1276"/>
        </w:numPr>
      </w:pPr>
      <w:r>
        <w:t xml:space="preserve">Un correctif de sécurité critique mérite un calendrier compressé, mais rarement une suppression totale du principe de test préalable.</w:t>
      </w:r>
    </w:p>
    <w:p>
      <w:pPr>
        <w:pStyle w:val="Compact"/>
        <w:numPr>
          <w:ilvl w:val="0"/>
          <w:numId w:val="1276"/>
        </w:numPr>
      </w:pPr>
      <w:r>
        <w:t xml:space="preserve">WSUS ne couvre que Windows et certains produits Microsoft — les applications tierces nécessitent une gestion complémentaire distincte.</w:t>
      </w:r>
    </w:p>
    <w:bookmarkEnd w:id="316"/>
    <w:bookmarkStart w:id="317" w:name="quiz-11"/>
    <w:p>
      <w:pPr>
        <w:pStyle w:val="Heading2"/>
      </w:pPr>
      <w:r>
        <w:t xml:space="preserve">Quiz</w:t>
      </w:r>
    </w:p>
    <w:p>
      <w:pPr>
        <w:pStyle w:val="FirstParagraph"/>
      </w:pPr>
      <w:r>
        <w:t xml:space="preserve">📝 QCM (une seule bonne réponse par question)</w:t>
      </w:r>
    </w:p>
    <w:p>
      <w:pPr>
        <w:pStyle w:val="Compact"/>
        <w:numPr>
          <w:ilvl w:val="0"/>
          <w:numId w:val="1277"/>
        </w:numPr>
      </w:pPr>
      <w:r>
        <w:t xml:space="preserve">WSUS sert principalement à :</w:t>
      </w:r>
    </w:p>
    <w:p>
      <w:pPr>
        <w:pStyle w:val="Compact"/>
        <w:numPr>
          <w:ilvl w:val="1"/>
          <w:numId w:val="1278"/>
        </w:numPr>
      </w:pPr>
    </w:p>
    <w:p>
      <w:pPr>
        <w:pStyle w:val="Compact"/>
        <w:numPr>
          <w:ilvl w:val="2"/>
          <w:numId w:val="1279"/>
        </w:numPr>
      </w:pPr>
      <w:r>
        <w:t xml:space="preserve">Modifier le contenu des mises à jour Windows</w:t>
      </w:r>
    </w:p>
    <w:p>
      <w:pPr>
        <w:pStyle w:val="Compact"/>
        <w:numPr>
          <w:ilvl w:val="1"/>
          <w:numId w:val="1278"/>
        </w:numPr>
      </w:pPr>
    </w:p>
    <w:p>
      <w:pPr>
        <w:pStyle w:val="Compact"/>
        <w:numPr>
          <w:ilvl w:val="2"/>
          <w:numId w:val="1280"/>
        </w:numPr>
      </w:pPr>
      <w:r>
        <w:t xml:space="preserve">Centraliser le téléchargement et contrôler la distribution des mises à jour Windows</w:t>
      </w:r>
    </w:p>
    <w:p>
      <w:pPr>
        <w:pStyle w:val="Compact"/>
        <w:numPr>
          <w:ilvl w:val="1"/>
          <w:numId w:val="1278"/>
        </w:numPr>
      </w:pPr>
    </w:p>
    <w:p>
      <w:pPr>
        <w:pStyle w:val="Compact"/>
        <w:numPr>
          <w:ilvl w:val="2"/>
          <w:numId w:val="1281"/>
        </w:numPr>
      </w:pPr>
      <w:r>
        <w:t xml:space="preserve">Remplacer complètement le besoin de tester les correctifs</w:t>
      </w:r>
    </w:p>
    <w:p>
      <w:pPr>
        <w:pStyle w:val="Compact"/>
        <w:numPr>
          <w:ilvl w:val="1"/>
          <w:numId w:val="1278"/>
        </w:numPr>
      </w:pPr>
    </w:p>
    <w:p>
      <w:pPr>
        <w:pStyle w:val="Compact"/>
        <w:numPr>
          <w:ilvl w:val="2"/>
          <w:numId w:val="1282"/>
        </w:numPr>
      </w:pPr>
      <w:r>
        <w:t xml:space="preserve">Gérer les mises à jour de tous les logiciels, y compris tiers</w:t>
      </w:r>
    </w:p>
    <w:p>
      <w:pPr>
        <w:pStyle w:val="Compact"/>
        <w:numPr>
          <w:ilvl w:val="0"/>
          <w:numId w:val="1277"/>
        </w:numPr>
      </w:pPr>
      <w:r>
        <w:t xml:space="preserve">Le principe du déploiement en anneaux consiste à :</w:t>
      </w:r>
    </w:p>
    <w:p>
      <w:pPr>
        <w:pStyle w:val="Compact"/>
        <w:numPr>
          <w:ilvl w:val="1"/>
          <w:numId w:val="1283"/>
        </w:numPr>
      </w:pPr>
    </w:p>
    <w:p>
      <w:pPr>
        <w:pStyle w:val="Compact"/>
        <w:numPr>
          <w:ilvl w:val="2"/>
          <w:numId w:val="1284"/>
        </w:numPr>
      </w:pPr>
      <w:r>
        <w:t xml:space="preserve">Déployer un correctif simultanément à l’ensemble du parc</w:t>
      </w:r>
    </w:p>
    <w:p>
      <w:pPr>
        <w:pStyle w:val="Compact"/>
        <w:numPr>
          <w:ilvl w:val="1"/>
          <w:numId w:val="1283"/>
        </w:numPr>
      </w:pPr>
    </w:p>
    <w:p>
      <w:pPr>
        <w:pStyle w:val="Compact"/>
        <w:numPr>
          <w:ilvl w:val="2"/>
          <w:numId w:val="1285"/>
        </w:numPr>
      </w:pPr>
      <w:r>
        <w:t xml:space="preserve">Déployer progressivement, d’un groupe pilote restreint vers un déploiement général</w:t>
      </w:r>
    </w:p>
    <w:p>
      <w:pPr>
        <w:pStyle w:val="Compact"/>
        <w:numPr>
          <w:ilvl w:val="1"/>
          <w:numId w:val="1283"/>
        </w:numPr>
      </w:pPr>
    </w:p>
    <w:p>
      <w:pPr>
        <w:pStyle w:val="Compact"/>
        <w:numPr>
          <w:ilvl w:val="2"/>
          <w:numId w:val="1286"/>
        </w:numPr>
      </w:pPr>
      <w:r>
        <w:t xml:space="preserve">Attendre systématiquement plusieurs mois avant tout déploiement</w:t>
      </w:r>
    </w:p>
    <w:p>
      <w:pPr>
        <w:pStyle w:val="Compact"/>
        <w:numPr>
          <w:ilvl w:val="1"/>
          <w:numId w:val="1283"/>
        </w:numPr>
      </w:pPr>
    </w:p>
    <w:p>
      <w:pPr>
        <w:pStyle w:val="Compact"/>
        <w:numPr>
          <w:ilvl w:val="2"/>
          <w:numId w:val="1287"/>
        </w:numPr>
      </w:pPr>
      <w:r>
        <w:t xml:space="preserve">Déployer uniquement sur les serveurs, jamais sur les postes utilisateurs</w:t>
      </w:r>
    </w:p>
    <w:p>
      <w:pPr>
        <w:pStyle w:val="Compact"/>
        <w:numPr>
          <w:ilvl w:val="0"/>
          <w:numId w:val="1277"/>
        </w:numPr>
      </w:pPr>
      <w:r>
        <w:t xml:space="preserve">Un correctif de sécurité critique corrigeant une vulnérabilité activement exploitée devrait généralement suivre :</w:t>
      </w:r>
    </w:p>
    <w:p>
      <w:pPr>
        <w:pStyle w:val="Compact"/>
        <w:numPr>
          <w:ilvl w:val="1"/>
          <w:numId w:val="1288"/>
        </w:numPr>
      </w:pPr>
    </w:p>
    <w:p>
      <w:pPr>
        <w:pStyle w:val="Compact"/>
        <w:numPr>
          <w:ilvl w:val="2"/>
          <w:numId w:val="1289"/>
        </w:numPr>
      </w:pPr>
      <w:r>
        <w:t xml:space="preserve">Un calendrier compressé, mais toujours avec un test préalable minimal</w:t>
      </w:r>
    </w:p>
    <w:p>
      <w:pPr>
        <w:pStyle w:val="Compact"/>
        <w:numPr>
          <w:ilvl w:val="1"/>
          <w:numId w:val="1288"/>
        </w:numPr>
      </w:pPr>
    </w:p>
    <w:p>
      <w:pPr>
        <w:pStyle w:val="Compact"/>
        <w:numPr>
          <w:ilvl w:val="2"/>
          <w:numId w:val="1290"/>
        </w:numPr>
      </w:pPr>
      <w:r>
        <w:t xml:space="preserve">Un déploiement immédiat et simultané, sans aucun test</w:t>
      </w:r>
    </w:p>
    <w:p>
      <w:pPr>
        <w:pStyle w:val="Compact"/>
        <w:numPr>
          <w:ilvl w:val="1"/>
          <w:numId w:val="1288"/>
        </w:numPr>
      </w:pPr>
    </w:p>
    <w:p>
      <w:pPr>
        <w:pStyle w:val="Compact"/>
        <w:numPr>
          <w:ilvl w:val="2"/>
          <w:numId w:val="1291"/>
        </w:numPr>
      </w:pPr>
      <w:r>
        <w:t xml:space="preserve">Le même calendrier qu’une mise à jour de fonctionnalité majeure</w:t>
      </w:r>
    </w:p>
    <w:p>
      <w:pPr>
        <w:pStyle w:val="Compact"/>
        <w:numPr>
          <w:ilvl w:val="1"/>
          <w:numId w:val="1288"/>
        </w:numPr>
      </w:pPr>
    </w:p>
    <w:p>
      <w:pPr>
        <w:pStyle w:val="Compact"/>
        <w:numPr>
          <w:ilvl w:val="2"/>
          <w:numId w:val="1292"/>
        </w:numPr>
      </w:pPr>
      <w:r>
        <w:t xml:space="preserve">Aucun déploiement tant qu’un incident n’est pas survenu</w:t>
      </w:r>
    </w:p>
    <w:p>
      <w:pPr>
        <w:pStyle w:val="FirstParagraph"/>
      </w:pPr>
      <w:r>
        <w:rPr>
          <w:b/>
          <w:bCs/>
        </w:rPr>
        <w:t xml:space="preserve">Corrigé</w:t>
      </w:r>
      <w:r>
        <w:t xml:space="preserve"> </w:t>
      </w:r>
      <w:r>
        <w:t xml:space="preserve">: 1-b, 2-b, 3-a.</w:t>
      </w:r>
    </w:p>
    <w:p>
      <w:pPr>
        <w:pStyle w:val="BodyText"/>
      </w:pPr>
      <w:r>
        <w:t xml:space="preserve">📝 Vrai ou Faux</w:t>
      </w:r>
    </w:p>
    <w:p>
      <w:pPr>
        <w:pStyle w:val="Compact"/>
        <w:numPr>
          <w:ilvl w:val="0"/>
          <w:numId w:val="1293"/>
        </w:numPr>
      </w:pPr>
      <w:r>
        <w:t xml:space="preserve">WSUS couvre automatiquement les mises à jour de tous les logiciels installés sur le parc, y compris les applications tierces. —</w:t>
      </w:r>
      <w:r>
        <w:t xml:space="preserve"> </w:t>
      </w:r>
      <w:r>
        <w:rPr>
          <w:b/>
          <w:bCs/>
        </w:rPr>
        <w:t xml:space="preserve">Faux</w:t>
      </w:r>
      <w:r>
        <w:t xml:space="preserve"> </w:t>
      </w:r>
      <w:r>
        <w:t xml:space="preserve">(uniquement Windows et certains produits Microsoft, section 12.5).</w:t>
      </w:r>
    </w:p>
    <w:p>
      <w:pPr>
        <w:pStyle w:val="Compact"/>
        <w:numPr>
          <w:ilvl w:val="0"/>
          <w:numId w:val="1293"/>
        </w:numPr>
      </w:pPr>
      <w:r>
        <w:t xml:space="preserve">Un groupe pilote devrait idéalement représenter la diversité réelle du parc, pas uniquement les postes de l’équipe IT. —</w:t>
      </w:r>
      <w:r>
        <w:t xml:space="preserve"> </w:t>
      </w:r>
      <w:r>
        <w:rPr>
          <w:b/>
          <w:bCs/>
        </w:rPr>
        <w:t xml:space="preserve">Vrai</w:t>
      </w:r>
      <w:r>
        <w:t xml:space="preserve">.</w:t>
      </w:r>
    </w:p>
    <w:p>
      <w:pPr>
        <w:pStyle w:val="Compact"/>
        <w:numPr>
          <w:ilvl w:val="0"/>
          <w:numId w:val="1293"/>
        </w:numPr>
      </w:pPr>
      <w:r>
        <w:t xml:space="preserve">Retarder indéfiniment un correctif de sécurité critique par excès de prudence est une pratique sans risque. —</w:t>
      </w:r>
      <w:r>
        <w:t xml:space="preserve"> </w:t>
      </w:r>
      <w:r>
        <w:rPr>
          <w:b/>
          <w:bCs/>
        </w:rPr>
        <w:t xml:space="preserve">Faux</w:t>
      </w:r>
      <w:r>
        <w:t xml:space="preserve"> </w:t>
      </w:r>
      <w:r>
        <w:t xml:space="preserve">(la vulnérabilité reste active et exploitable pendant tout le délai, erreur n°2 de ce chapitre).</w:t>
      </w:r>
    </w:p>
    <w:p>
      <w:pPr>
        <w:pStyle w:val="Compact"/>
        <w:numPr>
          <w:ilvl w:val="0"/>
          <w:numId w:val="1293"/>
        </w:numPr>
      </w:pPr>
      <w:r>
        <w:t xml:space="preserve">Le coût d’un déploiement défaillant sur l’ensemble du parc dépasse généralement le coût d’un délai de test prudent, même pour un correctif urgent. —</w:t>
      </w:r>
      <w:r>
        <w:t xml:space="preserve"> </w:t>
      </w:r>
      <w:r>
        <w:rPr>
          <w:b/>
          <w:bCs/>
        </w:rPr>
        <w:t xml:space="preserve">Vrai</w:t>
      </w:r>
      <w:r>
        <w:t xml:space="preserve">.</w:t>
      </w:r>
    </w:p>
    <w:p>
      <w:pPr>
        <w:pStyle w:val="FirstParagraph"/>
      </w:pPr>
      <w:r>
        <w:t xml:space="preserve">📝 Questions ouvertes</w:t>
      </w:r>
    </w:p>
    <w:p>
      <w:pPr>
        <w:pStyle w:val="Compact"/>
        <w:numPr>
          <w:ilvl w:val="0"/>
          <w:numId w:val="1294"/>
        </w:numPr>
      </w:pPr>
      <w:r>
        <w:t xml:space="preserve">Explique pourquoi les serveurs de production critiques (comme les contrôleurs de domaine) méritent généralement leur propre anneau de déploiement, distinct de celui des postes utilisateurs.</w:t>
      </w:r>
    </w:p>
    <w:p>
      <w:pPr>
        <w:pStyle w:val="Compact"/>
        <w:numPr>
          <w:ilvl w:val="0"/>
          <w:numId w:val="1294"/>
        </w:numPr>
      </w:pPr>
      <w:r>
        <w:t xml:space="preserve">Reprends le scénario d’ouverture. Explique, en langage simple, comment tu répondrais à la double exigence du DSI (rapidité et prudence) sans lui donner l’impression que tu choisis l’une au détriment de l’autre.</w:t>
      </w:r>
    </w:p>
    <w:p>
      <w:pPr>
        <w:pStyle w:val="FirstParagraph"/>
      </w:pPr>
      <w:r>
        <w:rPr>
          <w:b/>
          <w:bCs/>
        </w:rPr>
        <w:t xml:space="preserve">Corrigé 1</w:t>
      </w:r>
      <w:r>
        <w:t xml:space="preserve"> </w:t>
      </w:r>
      <w:r>
        <w:t xml:space="preserve">: une défaillance sur un serveur critique (comme un contrôleur de domaine, chapitre 5) peut affecter l’authentification et l’accès aux ressources pour l’ensemble d’un site ou de l’organisation, un impact potentiellement bien plus large et plus grave qu’une défaillance isolée sur un seul poste utilisateur. Séparer les anneaux permet de valider la stabilité du correctif sur des systèmes moins critiques avant de l’appliquer aux systèmes dont dépend le fonctionnement de toute l’organisation.</w:t>
      </w:r>
    </w:p>
    <w:p>
      <w:pPr>
        <w:pStyle w:val="BodyText"/>
      </w:pPr>
      <w:r>
        <w:rPr>
          <w:b/>
          <w:bCs/>
        </w:rPr>
        <w:t xml:space="preserve">Corrigé 2</w:t>
      </w:r>
      <w:r>
        <w:t xml:space="preserve"> </w:t>
      </w:r>
      <w:r>
        <w:t xml:space="preserve">: je lui expliquerais que le déploiement en anneaux permet justement de concilier les deux : le correctif commence à se déployer immédiatement sur un petit groupe pilote (donc une action rapide, pas un délai d’attente passive), et chaque étape suivante ne demande que quelques heures de vérification avant d’élargir — le délai total pour couvrir l’ensemble du parc reste court (quelques jours au maximum pour un correctif critique), tout en conservant la protection d’un test préalable qui aurait justement évité l’incident vécu chez son ancien employeur.</w:t>
      </w:r>
    </w:p>
    <w:bookmarkEnd w:id="317"/>
    <w:bookmarkStart w:id="318" w:name="exercices-11"/>
    <w:p>
      <w:pPr>
        <w:pStyle w:val="Heading2"/>
      </w:pPr>
      <w:r>
        <w:t xml:space="preserve">Exercices</w:t>
      </w:r>
    </w:p>
    <w:p>
      <w:pPr>
        <w:pStyle w:val="FirstParagraph"/>
      </w:pPr>
      <w:r>
        <w:t xml:space="preserve">📝 Exercice 12.1</w:t>
      </w:r>
    </w:p>
    <w:p>
      <w:pPr>
        <w:pStyle w:val="BodyText"/>
      </w:pPr>
      <w:r>
        <w:t xml:space="preserve">Explique pourquoi une mise à jour de fonctionnalité majeure (comme une nouvelle version de Windows) mérite un calendrier de test beaucoup plus long qu’un correctif de sécurité critique, malgré le fait que les deux soient distribués via le même outil WSUS.</w:t>
      </w:r>
    </w:p>
    <w:p>
      <w:pPr>
        <w:pStyle w:val="BodyText"/>
      </w:pPr>
      <w:r>
        <w:rPr>
          <w:b/>
          <w:bCs/>
        </w:rPr>
        <w:t xml:space="preserve">Corrigé :</w:t>
      </w:r>
      <w:r>
        <w:t xml:space="preserve"> </w:t>
      </w:r>
      <w:r>
        <w:t xml:space="preserve">Une mise à jour de fonctionnalité majeure modifie potentiellement un grand nombre de composants du système, avec un risque de compatibilité avec des applications métier existantes bien plus large qu’un correctif de sécurité ciblé. L’urgence est aussi généralement bien moindre : contrairement à une vulnérabilité activement exploitée qui expose un risque immédiat, une mise à jour de fonctionnalité n’a généralement pas de date limite de sécurité critique, ce qui justifie un calendrier de test beaucoup plus étendu (section 12.3) avant une généralisation, sans le même arbitrage urgence/prudence qu’un correctif critique.</w:t>
      </w:r>
    </w:p>
    <w:p>
      <w:pPr>
        <w:pStyle w:val="BodyText"/>
      </w:pPr>
      <w:r>
        <w:t xml:space="preserve">📝 Exercice 12.2</w:t>
      </w:r>
    </w:p>
    <w:p>
      <w:pPr>
        <w:pStyle w:val="BodyText"/>
      </w:pPr>
      <w:r>
        <w:t xml:space="preserve">Rédige, en 3 à 5 phrases, une politique courte de gestion des mises à jour pour les logiciels tiers (non couverts par WSUS) de l’entreprise d’assurance, en t’appuyant sur la section 12.5 et le chapitre 3.</w:t>
      </w:r>
    </w:p>
    <w:p>
      <w:pPr>
        <w:pStyle w:val="BodyText"/>
      </w:pPr>
      <w:r>
        <w:rPr>
          <w:b/>
          <w:bCs/>
        </w:rPr>
        <w:t xml:space="preserve">Corrigé (exemple de réponse) :</w:t>
      </w:r>
      <w:r>
        <w:t xml:space="preserve"> </w:t>
      </w:r>
      <w:r>
        <w:t xml:space="preserve">Toute application tierce installée sur le parc doit d’abord être inventoriée (chapitre 3), avec un responsable clairement identifié pour le suivi de ses mises à jour de sécurité. Un inventaire régulier des versions installées serait comparé aux versions officielles disponibles, pour repérer les logiciels significativement en retard sur leurs correctifs de sécurité. Les applications critiques ou largement déployées suivraient un principe de déploiement en anneaux similaire à celui de WSUS, adapté à l’outil de gestion propre à chaque logiciel, plutôt qu’une mise à jour manuelle poste par poste laissée à la discrétion de chaque utilisateur.</w:t>
      </w:r>
    </w:p>
    <w:bookmarkEnd w:id="318"/>
    <w:bookmarkStart w:id="319" w:name="checklist-de-fin-de-chapitre-11"/>
    <w:p>
      <w:pPr>
        <w:pStyle w:val="Heading2"/>
      </w:pPr>
      <w:r>
        <w:t xml:space="preserve">Checklist de fin de chapitre</w:t>
      </w:r>
    </w:p>
    <w:p>
      <w:pPr>
        <w:pStyle w:val="FirstParagraph"/>
      </w:pPr>
      <w:r>
        <w:t xml:space="preserve">☐ Je sais expliquer ce que fait WSUS et ce qu’il ne fait pas.</w:t>
      </w:r>
    </w:p>
    <w:p>
      <w:pPr>
        <w:pStyle w:val="BodyText"/>
      </w:pPr>
      <w:r>
        <w:t xml:space="preserve">☐ Je comprends le principe du déploiement en anneaux et pourquoi il réduit le risque d’un déploiement massif défaillant.</w:t>
      </w:r>
    </w:p>
    <w:p>
      <w:pPr>
        <w:pStyle w:val="BodyText"/>
      </w:pPr>
      <w:r>
        <w:t xml:space="preserve">☐ Je sais adapter le calendrier de déploiement selon la catégorie et l’urgence réelle d’une mise à jour.</w:t>
      </w:r>
    </w:p>
    <w:p>
      <w:pPr>
        <w:pStyle w:val="BodyText"/>
      </w:pPr>
      <w:r>
        <w:t xml:space="preserve">☐ Je sais diagnostiquer un échec de déploiement de correctif sur un poste ou un groupe de postes.</w:t>
      </w:r>
    </w:p>
    <w:p>
      <w:pPr>
        <w:pStyle w:val="BodyText"/>
      </w:pPr>
      <w:r>
        <w:t xml:space="preserve">☐ Je comprends pourquoi les applications tierces nécessitent une gestion des mises à jour complémentaire à WSUS.</w:t>
      </w:r>
    </w:p>
    <w:bookmarkEnd w:id="319"/>
    <w:bookmarkStart w:id="320" w:name="faq-11"/>
    <w:p>
      <w:pPr>
        <w:pStyle w:val="Heading2"/>
      </w:pPr>
      <w:r>
        <w:t xml:space="preserve">FAQ</w:t>
      </w:r>
    </w:p>
    <w:p>
      <w:pPr>
        <w:pStyle w:val="FirstParagraph"/>
      </w:pPr>
      <w:r>
        <w:t xml:space="preserve">WSUS est-il toujours pertinent en 2026, avec la généralisation des mises à jour automatiques via le cloud ?</w:t>
      </w:r>
    </w:p>
    <w:p>
      <w:pPr>
        <w:pStyle w:val="BodyText"/>
      </w:pPr>
      <w:r>
        <w:t xml:space="preserve">Oui, WSUS reste largement utilisé, notamment pour le contrôle centralisé qu’il offre sur le calendrier de déploiement — un avantage que les mises à jour purement automatiques et non contrôlées n’offrent pas de la même façon. Des alternatives cloud existent (comme Windows Update for Business), mais le principe du déploiement en anneaux reste central quelle que soit la technologie choisie.</w:t>
      </w:r>
    </w:p>
    <w:p>
      <w:pPr>
        <w:pStyle w:val="BodyText"/>
      </w:pPr>
      <w:r>
        <w:t xml:space="preserve">Faut-il un serveur WSUS distinct pour chaque site géographique ?</w:t>
      </w:r>
    </w:p>
    <w:p>
      <w:pPr>
        <w:pStyle w:val="BodyText"/>
      </w:pPr>
      <w:r>
        <w:t xml:space="preserve">Pas nécessairement un serveur totalement distinct, mais une configuration qui tient compte de la bande passante disponible entre sites (par exemple, un serveur WSUS secondaire répliqué localement) peut s’avérer pertinente pour un site distant avec une liaison limitée, dans le même esprit que les contrôleurs de domaine locaux du chapitre 5.</w:t>
      </w:r>
    </w:p>
    <w:p>
      <w:pPr>
        <w:pStyle w:val="BodyText"/>
      </w:pPr>
      <w:r>
        <w:t xml:space="preserve">Combien de temps faut-il attendre entre chaque anneau de déploiement ?</w:t>
      </w:r>
    </w:p>
    <w:p>
      <w:pPr>
        <w:pStyle w:val="BodyText"/>
      </w:pPr>
      <w:r>
        <w:t xml:space="preserve">Il n’existe pas de règle universelle — la durée dépend de la criticité du correctif (section 12.3) et de la capacité de l’organisation à détecter rapidement un problème (via la supervision, Partie 10). Un minimum de quelques heures avec surveillance active reste généralement recommandé, même pour les correctifs les plus urgents.</w:t>
      </w:r>
    </w:p>
    <w:p>
      <w:pPr>
        <w:pStyle w:val="BodyText"/>
      </w:pPr>
      <w:r>
        <w:t xml:space="preserve">Peut-on désapprouver un correctif déjà déployé s’il s’avère problématique après coup ?</w:t>
      </w:r>
    </w:p>
    <w:p>
      <w:pPr>
        <w:pStyle w:val="BodyText"/>
      </w:pPr>
      <w:r>
        <w:t xml:space="preserve">Oui, WSUS permet de désapprouver un correctif pour empêcher son déploiement à de nouveaux postes, mais cela ne désinstalle pas automatiquement le correctif des postes qui l’ont déjà reçu — une désinstallation, si nécessaire, doit être planifiée séparément comme n’importe quel autre changement (chapitre 2).</w:t>
      </w:r>
    </w:p>
    <w:bookmarkEnd w:id="320"/>
    <w:bookmarkStart w:id="323" w:name="références-et-pour-aller-plus-loin-11"/>
    <w:p>
      <w:pPr>
        <w:pStyle w:val="Heading2"/>
      </w:pPr>
      <w:r>
        <w:t xml:space="preserve">Références et pour aller plus loin</w:t>
      </w:r>
    </w:p>
    <w:p>
      <w:pPr>
        <w:pStyle w:val="Compact"/>
        <w:numPr>
          <w:ilvl w:val="0"/>
          <w:numId w:val="1295"/>
        </w:numPr>
      </w:pPr>
      <w:r>
        <w:t xml:space="preserve">Microsoft Learn — Vue d’ensemble de Windows Server Update Services (WSUS) :</w:t>
      </w:r>
      <w:r>
        <w:t xml:space="preserve"> </w:t>
      </w:r>
      <w:hyperlink r:id="rId321">
        <w:r>
          <w:rPr>
            <w:rStyle w:val="Hyperlink"/>
          </w:rPr>
          <w:t xml:space="preserve">https://learn.microsoft.com/fr-fr/windows-server/administration/windows-server-update-services/get-started/windows-server-update-services-wsus</w:t>
        </w:r>
      </w:hyperlink>
    </w:p>
    <w:p>
      <w:pPr>
        <w:pStyle w:val="Compact"/>
        <w:numPr>
          <w:ilvl w:val="0"/>
          <w:numId w:val="1295"/>
        </w:numPr>
      </w:pPr>
      <w:r>
        <w:t xml:space="preserve">Microsoft Learn — Windows Update for Business :</w:t>
      </w:r>
      <w:r>
        <w:t xml:space="preserve"> </w:t>
      </w:r>
      <w:hyperlink r:id="rId322">
        <w:r>
          <w:rPr>
            <w:rStyle w:val="Hyperlink"/>
          </w:rPr>
          <w:t xml:space="preserve">https://learn.microsoft.com/fr-fr/windows/deployment/update/waas-manage-updates-wufb</w:t>
        </w:r>
      </w:hyperlink>
    </w:p>
    <w:p>
      <w:pPr>
        <w:pStyle w:val="Compact"/>
        <w:numPr>
          <w:ilvl w:val="0"/>
          <w:numId w:val="1295"/>
        </w:numPr>
      </w:pPr>
      <w:r>
        <w:t xml:space="preserve">CISA — Recommandations sur la gestion des correctifs de sécurité :</w:t>
      </w:r>
      <w:r>
        <w:t xml:space="preserve"> </w:t>
      </w:r>
      <w:hyperlink r:id="rId121">
        <w:r>
          <w:rPr>
            <w:rStyle w:val="Hyperlink"/>
          </w:rPr>
          <w:t xml:space="preserve">https://www.cisa.gov</w:t>
        </w:r>
      </w:hyperlink>
    </w:p>
    <w:p>
      <w:pPr>
        <w:pStyle w:val="FirstParagraph"/>
      </w:pPr>
      <w:r>
        <w:rPr>
          <w:i/>
          <w:iCs/>
        </w:rPr>
        <w:t xml:space="preserve">Chapitre suivant : clustering et haute disponibilité Windows Server — comment garantir la continuité d’un service critique même en cas de panne totale d’un serveur, en s’appuyant sur les principes de tolérance de panne déjà rencontrés tout au long de cette partie.</w:t>
      </w:r>
    </w:p>
    <w:p>
      <w:pPr>
        <w:pStyle w:val="BodyText"/>
      </w:pPr>
      <w:r>
        <w:t xml:space="preserve">CHAPITRE 13</w:t>
      </w:r>
    </w:p>
    <w:bookmarkEnd w:id="323"/>
    <w:bookmarkEnd w:id="324"/>
    <w:bookmarkStart w:id="350" w:name="X7bc4b02fca84c880feb46fae2b9666aaaa16dda"/>
    <w:p>
      <w:pPr>
        <w:pStyle w:val="Heading1"/>
      </w:pPr>
      <w:r>
        <w:t xml:space="preserve">Clustering et haute disponibilité Windows Server</w:t>
      </w:r>
    </w:p>
    <w:p>
      <w:pPr>
        <w:pStyle w:val="FirstParagraph"/>
      </w:pPr>
      <w:r>
        <w:t xml:space="preserve">🎯 Objectif du chapitre</w:t>
      </w:r>
      <w:r>
        <w:t xml:space="preserve"> </w:t>
      </w:r>
      <w:r>
        <w:t xml:space="preserve">Comprendre comment garantir la continuité d’un service critique même en cas de panne totale d’un serveur, en allant au-delà des mécanismes de tolérance de panne déjà rencontrés (Active Directory au chapitre 6, DHCP au chapitre 10). À la fin de ce chapitre, tu sauras expliquer le fonctionnement d’un cluster de basculement (</w:t>
      </w:r>
      <w:r>
        <w:rPr>
          <w:i/>
          <w:iCs/>
        </w:rPr>
        <w:t xml:space="preserve">Failover Clustering</w:t>
      </w:r>
      <w:r>
        <w:t xml:space="preserve">), le rôle du quorum, et pourquoi la haute disponibilité ne se résume pas à</w:t>
      </w:r>
      <w:r>
        <w:t xml:space="preserve"> </w:t>
      </w:r>
      <w:r>
        <w:t xml:space="preserve">“ajouter un second serveur”</w:t>
      </w:r>
      <w:r>
        <w:t xml:space="preserve">.</w:t>
      </w:r>
    </w:p>
    <w:p>
      <w:pPr>
        <w:pStyle w:val="BodyText"/>
      </w:pPr>
      <w:r>
        <w:t xml:space="preserve">🎬 Mise en situation</w:t>
      </w:r>
      <w:r>
        <w:t xml:space="preserve"> </w:t>
      </w:r>
      <w:r>
        <w:t xml:space="preserve">Treizième semaine, dernière de cette partie consacrée à Windows Server. Le service de gestion des sinistres — l’application la plus critique de l’entreprise, mentionnée dès le chapitre 1 — tourne sur un seul serveur applicatif. Un vendredi soir, une panne matérielle immobilise ce serveur pendant six heures, bloquant tout traitement de sinistre jusqu’au lundi matin puisque personne n’était d’astreinte pour ce système précis (contrairement à Active Directory et au DHCP, désormais couverts par les mesures des chapitres 6 et 10). Le DSI, désormais bien formé aux principes de tolérance de panne rencontrés dans cette partie, te pose une question directe :</w:t>
      </w:r>
      <w:r>
        <w:t xml:space="preserve"> </w:t>
      </w:r>
      <w:r>
        <w:t xml:space="preserve">“Peut-on faire pour cette application ce qu’on a fait pour Active Directory et le DHCP — un second serveur qui prend le relais automatiquement ?”</w:t>
      </w:r>
      <w:r>
        <w:t xml:space="preserve"> </w:t>
      </w:r>
      <w:r>
        <w:t xml:space="preserve">La réponse est oui, mais avec une nuance importante que ce chapitre explique : la haute disponibilité applicative est un problème plus complexe que la simple duplication d’un serveur.</w:t>
      </w:r>
    </w:p>
    <w:bookmarkStart w:id="325" w:name="X201713751f23ee0ae6ceec56ec1b4eebf7512cf"/>
    <w:p>
      <w:pPr>
        <w:pStyle w:val="Heading2"/>
      </w:pPr>
      <w:r>
        <w:t xml:space="preserve">13.1 Pourquoi</w:t>
      </w:r>
      <w:r>
        <w:t xml:space="preserve"> </w:t>
      </w:r>
      <w:r>
        <w:t xml:space="preserve">“ajouter un second serveur”</w:t>
      </w:r>
      <w:r>
        <w:t xml:space="preserve"> </w:t>
      </w:r>
      <w:r>
        <w:t xml:space="preserve">ne suffit pas toujours</w:t>
      </w:r>
    </w:p>
    <w:p>
      <w:pPr>
        <w:pStyle w:val="FirstParagraph"/>
      </w:pPr>
      <w:r>
        <w:t xml:space="preserve">⚠️ La différence entre redondance et haute disponibilité automatique</w:t>
      </w:r>
      <w:r>
        <w:t xml:space="preserve"> </w:t>
      </w:r>
      <w:r>
        <w:t xml:space="preserve">Les mécanismes vus aux chapitres 6 et 10 (plusieurs contrôleurs de domaine, failover DHCP) fonctionnent parce qu’Active Directory et DHCP sont conçus, nativement, pour fonctionner en parallèle sur plusieurs serveurs simultanément, avec une coordination intégrée. Une application métier classique, comme le service de gestion des sinistres du scénario d’ouverture, n’est généralement</w:t>
      </w:r>
      <w:r>
        <w:t xml:space="preserve"> </w:t>
      </w:r>
      <w:r>
        <w:t xml:space="preserve">pas</w:t>
      </w:r>
      <w:r>
        <w:t xml:space="preserve"> </w:t>
      </w:r>
      <w:r>
        <w:t xml:space="preserve">conçue de cette façon par défaut : deux instances indépendantes de l’application, chacune avec sa propre copie de données, risqueraient une incohérence grave (deux sinistres enregistrés en parallèle sur deux bases différentes, jamais réconciliées). Un mécanisme spécifique — le cluster de basculement — est nécessaire pour garantir qu’un seul serveur traite activement les requêtes à un instant donné, tout en permettant un basculement automatique en cas de panne.</w:t>
      </w:r>
    </w:p>
    <w:p>
      <w:pPr>
        <w:pStyle w:val="BodyText"/>
      </w:pPr>
      <w:r>
        <w:t xml:space="preserve">💡 Analogie — une équipe de garde, pas deux équipes simultanées</w:t>
      </w:r>
      <w:r>
        <w:t xml:space="preserve"> </w:t>
      </w:r>
      <w:r>
        <w:t xml:space="preserve">Un cluster de basculement fonctionne comme une équipe de garde dans un hôpital : à un instant donné, une seule équipe est officiellement</w:t>
      </w:r>
      <w:r>
        <w:t xml:space="preserve"> </w:t>
      </w:r>
      <w:r>
        <w:t xml:space="preserve">“de service”</w:t>
      </w:r>
      <w:r>
        <w:t xml:space="preserve"> </w:t>
      </w:r>
      <w:r>
        <w:t xml:space="preserve">et prend les décisions, même si une seconde équipe est présente et prête à prendre immédiatement le relais si la première devient indisponible. Les deux équipes ne traitent jamais les mêmes patients en même temps de façon indépendante, ce qui créerait un chaos organisationnel — exactement le risque qu’un cluster de basculement évite pour une application.</w:t>
      </w:r>
    </w:p>
    <w:bookmarkEnd w:id="325"/>
    <w:bookmarkStart w:id="329" w:name="Xa7e37c23dbcb3765bd130d29f134a0e2a4b8646"/>
    <w:p>
      <w:pPr>
        <w:pStyle w:val="Heading2"/>
      </w:pPr>
      <w:r>
        <w:t xml:space="preserve">13.2 Les briques d’un cluster de basculement Windows Server</w:t>
      </w:r>
    </w:p>
    <w:p>
      <w:pPr>
        <w:pStyle w:val="CaptionedFigure"/>
      </w:pPr>
      <w:r>
        <w:drawing>
          <wp:inline>
            <wp:extent cx="5334000" cy="5671391"/>
            <wp:effectExtent b="0" l="0" r="0" t="0"/>
            <wp:docPr descr="Diagramme" title="" id="327" name="Picture"/>
            <a:graphic>
              <a:graphicData uri="http://schemas.openxmlformats.org/drawingml/2006/picture">
                <pic:pic>
                  <pic:nvPicPr>
                    <pic:cNvPr descr="C:/Users/ingja/Desktop/jarvis-starter-kit/livrables/formations/manuel-administration-systeme/assets/diagrams/d-13-clustering-haute-disponibilite-diagramme-1.png" id="328" name="Picture"/>
                    <pic:cNvPicPr>
                      <a:picLocks noChangeArrowheads="1" noChangeAspect="1"/>
                    </pic:cNvPicPr>
                  </pic:nvPicPr>
                  <pic:blipFill>
                    <a:blip r:embed="rId326"/>
                    <a:stretch>
                      <a:fillRect/>
                    </a:stretch>
                  </pic:blipFill>
                  <pic:spPr bwMode="auto">
                    <a:xfrm>
                      <a:off x="0" y="0"/>
                      <a:ext cx="5334000" cy="5671391"/>
                    </a:xfrm>
                    <a:prstGeom prst="rect">
                      <a:avLst/>
                    </a:prstGeom>
                    <a:noFill/>
                    <a:ln w="9525">
                      <a:noFill/>
                      <a:headEnd/>
                      <a:tailEnd/>
                    </a:ln>
                  </pic:spPr>
                </pic:pic>
              </a:graphicData>
            </a:graphic>
          </wp:inline>
        </w:drawing>
      </w:r>
    </w:p>
    <w:p>
      <w:pPr>
        <w:pStyle w:val="ImageCaption"/>
      </w:pPr>
      <w:r>
        <w:t xml:space="preserve">Diagramme</w:t>
      </w:r>
    </w:p>
    <w:p>
      <w:pPr>
        <w:pStyle w:val="BodyText"/>
      </w:pPr>
      <w:r>
        <w:t xml:space="preserve">📌 À retenir</w:t>
      </w:r>
      <w:r>
        <w:t xml:space="preserve"> </w:t>
      </w:r>
      <w:r>
        <w:t xml:space="preserve">Un cluster de basculement repose sur trois éléments essentiels : plusieurs</w:t>
      </w:r>
      <w:r>
        <w:t xml:space="preserve"> </w:t>
      </w:r>
      <w:r>
        <w:t xml:space="preserve">nœuds</w:t>
      </w:r>
      <w:r>
        <w:t xml:space="preserve"> </w:t>
      </w:r>
      <w:r>
        <w:t xml:space="preserve">(serveurs physiques ou virtuels membres du cluster), un</w:t>
      </w:r>
      <w:r>
        <w:t xml:space="preserve"> </w:t>
      </w:r>
      <w:r>
        <w:t xml:space="preserve">stockage partagé</w:t>
      </w:r>
      <w:r>
        <w:t xml:space="preserve"> </w:t>
      </w:r>
      <w:r>
        <w:t xml:space="preserve">(ou répliqué) accessible par tous les nœuds pour garantir la cohérence des données, et un mécanisme de</w:t>
      </w:r>
      <w:r>
        <w:t xml:space="preserve"> </w:t>
      </w:r>
      <w:r>
        <w:t xml:space="preserve">quorum</w:t>
      </w:r>
      <w:r>
        <w:t xml:space="preserve"> </w:t>
      </w:r>
      <w:r>
        <w:t xml:space="preserve">qui détermine qui a le droit d’être actif à un instant donné — les utilisateurs, eux, se connectent toujours à un</w:t>
      </w:r>
      <w:r>
        <w:t xml:space="preserve"> </w:t>
      </w:r>
      <w:r>
        <w:t xml:space="preserve">nom réseau unique</w:t>
      </w:r>
      <w:r>
        <w:t xml:space="preserve"> </w:t>
      </w:r>
      <w:r>
        <w:t xml:space="preserve">du cluster, sans avoir besoin de savoir quel nœud physique traite réellement leur requête à ce moment précis.</w:t>
      </w:r>
    </w:p>
    <w:bookmarkEnd w:id="329"/>
    <w:bookmarkStart w:id="333" w:name="X62e23f6680d07c17092cccfe6c6e7a9e06d0cc9"/>
    <w:p>
      <w:pPr>
        <w:pStyle w:val="Heading2"/>
      </w:pPr>
      <w:r>
        <w:t xml:space="preserve">13.3 Le quorum : éviter le scénario du</w:t>
      </w:r>
      <w:r>
        <w:t xml:space="preserve"> </w:t>
      </w:r>
      <w:r>
        <w:t xml:space="preserve">“cerveau divisé”</w:t>
      </w:r>
    </w:p>
    <w:p>
      <w:pPr>
        <w:pStyle w:val="FirstParagraph"/>
      </w:pPr>
      <w:r>
        <w:t xml:space="preserve">Le</w:t>
      </w:r>
      <w:r>
        <w:t xml:space="preserve"> </w:t>
      </w:r>
      <w:r>
        <w:rPr>
          <w:b/>
          <w:bCs/>
        </w:rPr>
        <w:t xml:space="preserve">quorum</w:t>
      </w:r>
      <w:r>
        <w:t xml:space="preserve"> </w:t>
      </w:r>
      <w:r>
        <w:t xml:space="preserve">est le mécanisme qui empêche un problème particulièrement dangereux, appelé</w:t>
      </w:r>
      <w:r>
        <w:t xml:space="preserve"> </w:t>
      </w:r>
      <w:r>
        <w:rPr>
          <w:i/>
          <w:iCs/>
        </w:rPr>
        <w:t xml:space="preserve">split-brain</w:t>
      </w:r>
      <w:r>
        <w:t xml:space="preserve"> </w:t>
      </w:r>
      <w:r>
        <w:t xml:space="preserve">(cerveau divisé) : une situation où, suite à une coupure réseau entre les nœuds (et non une vraie panne d’un nœud),</w:t>
      </w:r>
      <w:r>
        <w:t xml:space="preserve"> </w:t>
      </w:r>
      <w:r>
        <w:rPr>
          <w:b/>
          <w:bCs/>
        </w:rPr>
        <w:t xml:space="preserve">chaque</w:t>
      </w:r>
      <w:r>
        <w:t xml:space="preserve"> </w:t>
      </w:r>
      <w:r>
        <w:t xml:space="preserve">nœud croit à tort être le seul survivant et devient actif simultanément — provoquant exactement l’incohérence de données évoquée en section 13.1.</w:t>
      </w:r>
    </w:p>
    <w:p>
      <w:pPr>
        <w:pStyle w:val="BodyText"/>
      </w:pPr>
      <w:r>
        <w:t xml:space="preserve">🔒 Sécurité — pourquoi le split-brain est plus dangereux qu’une simple panne</w:t>
      </w:r>
      <w:r>
        <w:t xml:space="preserve"> </w:t>
      </w:r>
      <w:r>
        <w:t xml:space="preserve">Une panne franche d’un nœud est un problème simple à gérer : l’autre nœud prend le relais, sans ambiguïté. Un split-brain est bien plus insidieux, car</w:t>
      </w:r>
      <w:r>
        <w:t xml:space="preserve"> </w:t>
      </w:r>
      <w:r>
        <w:t xml:space="preserve">les deux nœuds semblent fonctionner correctement</w:t>
      </w:r>
      <w:r>
        <w:t xml:space="preserve"> </w:t>
      </w:r>
      <w:r>
        <w:t xml:space="preserve">à leurs propres yeux, chacun ignorant l’existence de l’autre — un risque de corruption de données bien plus difficile à détecter et à corriger après coup qu’une simple interruption de service.</w:t>
      </w:r>
    </w:p>
    <w:p>
      <w:pPr>
        <w:pStyle w:val="BodyText"/>
      </w:pPr>
      <w:r>
        <w:t xml:space="preserve">Windows Server Failover Clustering utilise un système de</w:t>
      </w:r>
      <w:r>
        <w:t xml:space="preserve"> </w:t>
      </w:r>
      <w:r>
        <w:t xml:space="preserve">“votes”</w:t>
      </w:r>
      <w:r>
        <w:t xml:space="preserve"> </w:t>
      </w:r>
      <w:r>
        <w:t xml:space="preserve">: chaque nœud dispose d’un vote, et un</w:t>
      </w:r>
      <w:r>
        <w:t xml:space="preserve"> </w:t>
      </w:r>
      <w:r>
        <w:rPr>
          <w:b/>
          <w:bCs/>
        </w:rPr>
        <w:t xml:space="preserve">témoin</w:t>
      </w:r>
      <w:r>
        <w:t xml:space="preserve"> </w:t>
      </w:r>
      <w:r>
        <w:t xml:space="preserve">(</w:t>
      </w:r>
      <w:r>
        <w:rPr>
          <w:i/>
          <w:iCs/>
        </w:rPr>
        <w:t xml:space="preserve">witness</w:t>
      </w:r>
      <w:r>
        <w:t xml:space="preserve">) — souvent un partage de fichiers désigné ou un service cloud dédié — peut apporter un vote supplémentaire pour départager une situation à effectifs pairs. Le cluster ne reste opérationnel (actif) que s’il dispose de la</w:t>
      </w:r>
      <w:r>
        <w:t xml:space="preserve"> </w:t>
      </w:r>
      <w:r>
        <w:rPr>
          <w:b/>
          <w:bCs/>
        </w:rPr>
        <w:t xml:space="preserve">majorité</w:t>
      </w:r>
      <w:r>
        <w:t xml:space="preserve"> </w:t>
      </w:r>
      <w:r>
        <w:t xml:space="preserve">des votes disponibles.</w:t>
      </w:r>
    </w:p>
    <w:p>
      <w:pPr>
        <w:pStyle w:val="CaptionedFigure"/>
      </w:pPr>
      <w:r>
        <w:drawing>
          <wp:inline>
            <wp:extent cx="5334000" cy="6201578"/>
            <wp:effectExtent b="0" l="0" r="0" t="0"/>
            <wp:docPr descr="Diagramme" title="" id="331" name="Picture"/>
            <a:graphic>
              <a:graphicData uri="http://schemas.openxmlformats.org/drawingml/2006/picture">
                <pic:pic>
                  <pic:nvPicPr>
                    <pic:cNvPr descr="C:/Users/ingja/Desktop/jarvis-starter-kit/livrables/formations/manuel-administration-systeme/assets/diagrams/d-13-clustering-haute-disponibilite-diagramme-2.png" id="332" name="Picture"/>
                    <pic:cNvPicPr>
                      <a:picLocks noChangeArrowheads="1" noChangeAspect="1"/>
                    </pic:cNvPicPr>
                  </pic:nvPicPr>
                  <pic:blipFill>
                    <a:blip r:embed="rId330"/>
                    <a:stretch>
                      <a:fillRect/>
                    </a:stretch>
                  </pic:blipFill>
                  <pic:spPr bwMode="auto">
                    <a:xfrm>
                      <a:off x="0" y="0"/>
                      <a:ext cx="5334000" cy="6201578"/>
                    </a:xfrm>
                    <a:prstGeom prst="rect">
                      <a:avLst/>
                    </a:prstGeom>
                    <a:noFill/>
                    <a:ln w="9525">
                      <a:noFill/>
                      <a:headEnd/>
                      <a:tailEnd/>
                    </a:ln>
                  </pic:spPr>
                </pic:pic>
              </a:graphicData>
            </a:graphic>
          </wp:inline>
        </w:drawing>
      </w:r>
    </w:p>
    <w:p>
      <w:pPr>
        <w:pStyle w:val="ImageCaption"/>
      </w:pPr>
      <w:r>
        <w:t xml:space="preserve">Diagramme</w:t>
      </w:r>
    </w:p>
    <w:p>
      <w:pPr>
        <w:pStyle w:val="BodyText"/>
      </w:pPr>
      <w:r>
        <w:t xml:space="preserve">🧠 À mémoriser</w:t>
      </w:r>
      <w:r>
        <w:t xml:space="preserve"> </w:t>
      </w:r>
      <w:r>
        <w:t xml:space="preserve">Face à une ambiguïté (coupure réseau entre nœuds, par exemple), un cluster bien conçu préfère</w:t>
      </w:r>
      <w:r>
        <w:t xml:space="preserve"> </w:t>
      </w:r>
      <w:r>
        <w:t xml:space="preserve">s’arrêter par sécurité</w:t>
      </w:r>
      <w:r>
        <w:t xml:space="preserve"> </w:t>
      </w:r>
      <w:r>
        <w:t xml:space="preserve">plutôt que de risquer une incohérence de données en laissant deux nœuds actifs simultanément — un choix qui peut sembler contre-intuitif (</w:t>
      </w:r>
      <w:r>
        <w:t xml:space="preserve">“pourquoi le cluster s’arrête-t-il alors que les deux serveurs fonctionnent individuellement ?”</w:t>
      </w:r>
      <w:r>
        <w:t xml:space="preserve">), mais qui protège l’intégrité des données au prix d’une indisponibilité temporaire, un compromis presque toujours préférable à une corruption silencieuse.</w:t>
      </w:r>
    </w:p>
    <w:bookmarkEnd w:id="333"/>
    <w:bookmarkStart w:id="334" w:name="Xfe3b07b02f08ff0d9b09de273c096be10eda96b"/>
    <w:p>
      <w:pPr>
        <w:pStyle w:val="Heading2"/>
      </w:pPr>
      <w:r>
        <w:t xml:space="preserve">13.4 Le stockage partagé : la contrainte la plus structurante</w:t>
      </w:r>
    </w:p>
    <w:p>
      <w:pPr>
        <w:pStyle w:val="FirstParagraph"/>
      </w:pPr>
      <w:r>
        <w:t xml:space="preserve">Rappel de la section 13.1 : le vrai défi d’un cluster n’est pas de dupliquer le serveur applicatif, mais de garantir que les données restent cohérentes entre les nœuds. Plusieurs approches existent :</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Approche</w:t>
            </w:r>
          </w:p>
        </w:tc>
        <w:tc>
          <w:tcPr/>
          <w:p>
            <w:pPr>
              <w:pStyle w:val="Compact"/>
            </w:pPr>
            <w:r>
              <w:t xml:space="preserve">Fonctionnement</w:t>
            </w:r>
          </w:p>
        </w:tc>
        <w:tc>
          <w:tcPr/>
          <w:p>
            <w:pPr>
              <w:pStyle w:val="Compact"/>
            </w:pPr>
            <w:r>
              <w:t xml:space="preserve">Cas d’usage typique</w:t>
            </w:r>
          </w:p>
        </w:tc>
      </w:tr>
      <w:tr>
        <w:tc>
          <w:tcPr/>
          <w:p>
            <w:pPr>
              <w:pStyle w:val="Compact"/>
            </w:pPr>
            <w:r>
              <w:rPr>
                <w:b/>
                <w:bCs/>
              </w:rPr>
              <w:t xml:space="preserve">Stockage partagé physique</w:t>
            </w:r>
            <w:r>
              <w:t xml:space="preserve"> </w:t>
            </w:r>
            <w:r>
              <w:t xml:space="preserve">(SAN)</w:t>
            </w:r>
          </w:p>
        </w:tc>
        <w:tc>
          <w:tcPr/>
          <w:p>
            <w:pPr>
              <w:pStyle w:val="Compact"/>
            </w:pPr>
            <w:r>
              <w:t xml:space="preserve">Les deux nœuds accèdent physiquement au même stockage externe</w:t>
            </w:r>
          </w:p>
        </w:tc>
        <w:tc>
          <w:tcPr/>
          <w:p>
            <w:pPr>
              <w:pStyle w:val="Compact"/>
            </w:pPr>
            <w:r>
              <w:t xml:space="preserve">Environnements avec infrastructure SAN existante (Partie 5)</w:t>
            </w:r>
          </w:p>
        </w:tc>
      </w:tr>
      <w:tr>
        <w:tc>
          <w:tcPr/>
          <w:p>
            <w:pPr>
              <w:pStyle w:val="Compact"/>
            </w:pPr>
            <w:r>
              <w:rPr>
                <w:b/>
                <w:bCs/>
              </w:rPr>
              <w:t xml:space="preserve">Espaces de stockage partagés</w:t>
            </w:r>
            <w:r>
              <w:t xml:space="preserve"> </w:t>
            </w:r>
            <w:r>
              <w:t xml:space="preserve">(</w:t>
            </w:r>
            <w:r>
              <w:rPr>
                <w:i/>
                <w:iCs/>
              </w:rPr>
              <w:t xml:space="preserve">Storage Spaces Direct</w:t>
            </w:r>
            <w:r>
              <w:t xml:space="preserve">)</w:t>
            </w:r>
          </w:p>
        </w:tc>
        <w:tc>
          <w:tcPr/>
          <w:p>
            <w:pPr>
              <w:pStyle w:val="Compact"/>
            </w:pPr>
            <w:r>
              <w:t xml:space="preserve">Réplication du stockage local entre nœuds, sans SAN dédié</w:t>
            </w:r>
          </w:p>
        </w:tc>
        <w:tc>
          <w:tcPr/>
          <w:p>
            <w:pPr>
              <w:pStyle w:val="Compact"/>
            </w:pPr>
            <w:r>
              <w:t xml:space="preserve">PME sans infrastructure SAN, coût réduit</w:t>
            </w:r>
          </w:p>
        </w:tc>
      </w:tr>
      <w:tr>
        <w:tc>
          <w:tcPr/>
          <w:p>
            <w:pPr>
              <w:pStyle w:val="Compact"/>
            </w:pPr>
            <w:r>
              <w:rPr>
                <w:b/>
                <w:bCs/>
              </w:rPr>
              <w:t xml:space="preserve">Réplication applicative propre</w:t>
            </w:r>
          </w:p>
        </w:tc>
        <w:tc>
          <w:tcPr/>
          <w:p>
            <w:pPr>
              <w:pStyle w:val="Compact"/>
            </w:pPr>
            <w:r>
              <w:t xml:space="preserve">L’application elle-même gère sa propre cohérence entre instances (cas de nombreuses bases de données modernes)</w:t>
            </w:r>
          </w:p>
        </w:tc>
        <w:tc>
          <w:tcPr/>
          <w:p>
            <w:pPr>
              <w:pStyle w:val="Compact"/>
            </w:pPr>
            <w:r>
              <w:t xml:space="preserve">Applications conçues nativement pour la haute disponibilité</w:t>
            </w:r>
          </w:p>
        </w:tc>
      </w:tr>
    </w:tbl>
    <w:p>
      <w:pPr>
        <w:pStyle w:val="BodyText"/>
      </w:pPr>
      <w:r>
        <w:t xml:space="preserve">✅ Bonne pratique — vérifier la compatibilité de l’application avant de promettre une solution</w:t>
      </w:r>
      <w:r>
        <w:t xml:space="preserve"> </w:t>
      </w:r>
      <w:r>
        <w:t xml:space="preserve">Avant de répondre au DSI que le clustering</w:t>
      </w:r>
      <w:r>
        <w:t xml:space="preserve"> </w:t>
      </w:r>
      <w:r>
        <w:t xml:space="preserve">“résoudra”</w:t>
      </w:r>
      <w:r>
        <w:t xml:space="preserve"> </w:t>
      </w:r>
      <w:r>
        <w:t xml:space="preserve">le problème du service de gestion des sinistres, une étape indispensable consiste à vérifier si cette application supporte réellement un fonctionnement en cluster (beaucoup d’applications legacy ne le supportent pas nativement) — une vérification similaire, dans l’esprit, à celle recommandée avant tout changement au chapitre 2 : comprendre l’impact réel avant d’agir, plutôt que de promettre une solution technique sans l’avoir validée pour ce cas précis.</w:t>
      </w:r>
    </w:p>
    <w:bookmarkEnd w:id="334"/>
    <w:bookmarkStart w:id="335" w:name="X4d8c27ef623a1a391cd491ab8249390f7a22ad5"/>
    <w:p>
      <w:pPr>
        <w:pStyle w:val="Heading2"/>
      </w:pPr>
      <w:r>
        <w:t xml:space="preserve">13.5 Répondre honnêtement à la question du DSI</w:t>
      </w:r>
    </w:p>
    <w:p>
      <w:pPr>
        <w:pStyle w:val="FirstParagraph"/>
      </w:pPr>
      <w:r>
        <w:t xml:space="preserve">🎯 Une réponse nuancée, pas un simple</w:t>
      </w:r>
      <w:r>
        <w:t xml:space="preserve"> </w:t>
      </w:r>
      <w:r>
        <w:t xml:space="preserve">“oui”</w:t>
      </w:r>
      <w:r>
        <w:t xml:space="preserve"> </w:t>
      </w:r>
      <w:r>
        <w:t xml:space="preserve">La bonne réponse au DSI n’est ni un</w:t>
      </w:r>
      <w:r>
        <w:t xml:space="preserve"> </w:t>
      </w:r>
      <w:r>
        <w:t xml:space="preserve">“oui”</w:t>
      </w:r>
      <w:r>
        <w:t xml:space="preserve"> </w:t>
      </w:r>
      <w:r>
        <w:t xml:space="preserve">simpliste, ni un refus — c’est une réponse structurée :</w:t>
      </w:r>
      <w:r>
        <w:t xml:space="preserve"> </w:t>
      </w:r>
      <w:r>
        <w:t xml:space="preserve">“Techniquement possible, à condition de vérifier d’abord que l’application le supporte, et d’investir dans un stockage partagé ou répliqué adapté. C’est un projet plus complexe que l’ajout d’un second contrôleur de domaine, avec un coût et un délai de mise en œuvre à évaluer précisément avant de s’engager.”</w:t>
      </w:r>
      <w:r>
        <w:t xml:space="preserve"> </w:t>
      </w:r>
      <w:r>
        <w:t xml:space="preserve">Cette honnêteté professionnelle rejoint directement la compétence humaine du chapitre 1 (section 1.6) : admettre la complexité réelle plutôt que promettre une solution simplifiée à l’excès.</w:t>
      </w:r>
    </w:p>
    <w:bookmarkEnd w:id="335"/>
    <w:bookmarkStart w:id="336" w:name="X025cd1391b7c4105b744986ee74c40a812d683c"/>
    <w:p>
      <w:pPr>
        <w:pStyle w:val="Heading2"/>
      </w:pPr>
      <w:r>
        <w:t xml:space="preserve">Atelier — Évaluer la faisabilité du clustering pour le scénario d’ouverture</w:t>
      </w:r>
    </w:p>
    <w:p>
      <w:pPr>
        <w:pStyle w:val="FirstParagraph"/>
      </w:pPr>
      <w:r>
        <w:t xml:space="preserve">🛠️ Atelier 13 — Poser les bonnes questions avant de s’engager</w:t>
      </w:r>
    </w:p>
    <w:p>
      <w:pPr>
        <w:pStyle w:val="BodyText"/>
      </w:pPr>
      <w:r>
        <w:rPr>
          <w:b/>
          <w:bCs/>
        </w:rPr>
        <w:t xml:space="preserve">Objectif</w:t>
      </w:r>
      <w:r>
        <w:t xml:space="preserve"> </w:t>
      </w:r>
      <w:r>
        <w:t xml:space="preserve">: s’entraîner à identifier les vérifications préalables nécessaires avant de proposer une solution de clustering, plutôt que de promettre une solution sans l’avoir validée.</w:t>
      </w:r>
    </w:p>
    <w:p>
      <w:pPr>
        <w:pStyle w:val="BodyText"/>
      </w:pPr>
      <w:r>
        <w:rPr>
          <w:b/>
          <w:bCs/>
        </w:rPr>
        <w:t xml:space="preserve">Préparation</w:t>
      </w:r>
      <w:r>
        <w:t xml:space="preserve"> </w:t>
      </w:r>
      <w:r>
        <w:t xml:space="preserve">: aucune installation nécessaire.</w:t>
      </w:r>
    </w:p>
    <w:p>
      <w:pPr>
        <w:pStyle w:val="BodyText"/>
      </w:pPr>
      <w:r>
        <w:rPr>
          <w:b/>
          <w:bCs/>
        </w:rPr>
        <w:t xml:space="preserve">Étapes détaillées</w:t>
      </w:r>
      <w:r>
        <w:t xml:space="preserve"> </w:t>
      </w:r>
      <w:r>
        <w:t xml:space="preserve">:</w:t>
      </w:r>
    </w:p>
    <w:p>
      <w:pPr>
        <w:pStyle w:val="Compact"/>
        <w:numPr>
          <w:ilvl w:val="0"/>
          <w:numId w:val="1296"/>
        </w:numPr>
      </w:pPr>
      <w:r>
        <w:t xml:space="preserve">Liste au moins quatre questions que tu poserais avant de confirmer au DSI que le clustering est une solution viable pour le service de gestion des sinistres, en t’appuyant sur les sections 13.4 et 13.5.</w:t>
      </w:r>
    </w:p>
    <w:p>
      <w:pPr>
        <w:pStyle w:val="Compact"/>
        <w:numPr>
          <w:ilvl w:val="0"/>
          <w:numId w:val="1296"/>
        </w:numPr>
      </w:pPr>
      <w:r>
        <w:t xml:space="preserve">Pour chaque question, explique brièvement pourquoi la réponse influence directement la faisabilité ou le coût du projet.</w:t>
      </w:r>
    </w:p>
    <w:p>
      <w:pPr>
        <w:pStyle w:val="Compact"/>
        <w:numPr>
          <w:ilvl w:val="0"/>
          <w:numId w:val="1296"/>
        </w:numPr>
      </w:pPr>
      <w:r>
        <w:t xml:space="preserve">Compare ta liste à la section</w:t>
      </w:r>
      <w:r>
        <w:t xml:space="preserve"> </w:t>
      </w:r>
      <w:r>
        <w:t xml:space="preserve">“Résultat attendu”</w:t>
      </w:r>
      <w:r>
        <w:t xml:space="preserve">.</w:t>
      </w:r>
    </w:p>
    <w:p>
      <w:pPr>
        <w:pStyle w:val="FirstParagraph"/>
      </w:pPr>
      <w:r>
        <w:rPr>
          <w:b/>
          <w:bCs/>
        </w:rPr>
        <w:t xml:space="preserve">Résultat attendu</w:t>
      </w:r>
      <w:r>
        <w:t xml:space="preserve"> </w:t>
      </w:r>
      <w:r>
        <w:t xml:space="preserve">: les questions attendues incluent au minimum :</w:t>
      </w:r>
      <w:r>
        <w:t xml:space="preserve"> </w:t>
      </w:r>
      <w:r>
        <w:t xml:space="preserve">“L’application supporte-t-elle nativement un fonctionnement en cluster ?”</w:t>
      </w:r>
      <w:r>
        <w:t xml:space="preserve"> </w:t>
      </w:r>
      <w:r>
        <w:t xml:space="preserve">(sans quoi le projet est irréalisable tel quel) ;</w:t>
      </w:r>
      <w:r>
        <w:t xml:space="preserve"> </w:t>
      </w:r>
      <w:r>
        <w:t xml:space="preserve">“Quel type de stockage partagé est disponible ou budgétisable ?”</w:t>
      </w:r>
      <w:r>
        <w:t xml:space="preserve"> </w:t>
      </w:r>
      <w:r>
        <w:t xml:space="preserve">(SAN existant, Storage Spaces Direct, ou aucun investissement prévu) ;</w:t>
      </w:r>
      <w:r>
        <w:t xml:space="preserve"> </w:t>
      </w:r>
      <w:r>
        <w:t xml:space="preserve">“Où sera positionné le témoin de quorum, et est-il lui-même suffisamment fiable ?”</w:t>
      </w:r>
      <w:r>
        <w:t xml:space="preserve"> </w:t>
      </w:r>
      <w:r>
        <w:t xml:space="preserve">(un témoin unique mal placé peut lui-même devenir un point de défaillance) ;</w:t>
      </w:r>
      <w:r>
        <w:t xml:space="preserve"> </w:t>
      </w:r>
      <w:r>
        <w:t xml:space="preserve">“Quelle indisponibilité l’entreprise est-elle prête à accepter en attendant la mise en œuvre complète ?”</w:t>
      </w:r>
      <w:r>
        <w:t xml:space="preserve"> </w:t>
      </w:r>
      <w:r>
        <w:t xml:space="preserve">(une mesure de mitigation temporaire, comme une astreinte dédiée à cette application, pourrait combler l’écart en attendant le projet complet).</w:t>
      </w:r>
    </w:p>
    <w:p>
      <w:pPr>
        <w:pStyle w:val="BodyText"/>
      </w:pPr>
      <w:r>
        <w:rPr>
          <w:b/>
          <w:bCs/>
        </w:rPr>
        <w:t xml:space="preserve">Dépannage</w:t>
      </w:r>
      <w:r>
        <w:t xml:space="preserve"> </w:t>
      </w:r>
      <w:r>
        <w:t xml:space="preserve">: si tu as du mal à formuler ces questions, relis la section 13.5 — l’objectif est d’éviter de promettre une solution avant d’avoir confirmé qu’elle est réellement applicable à ce cas précis.</w:t>
      </w:r>
    </w:p>
    <w:bookmarkEnd w:id="336"/>
    <w:bookmarkStart w:id="337" w:name="erreurs-fréquentes-12"/>
    <w:p>
      <w:pPr>
        <w:pStyle w:val="Heading2"/>
      </w:pPr>
      <w:r>
        <w:t xml:space="preserve">Erreurs fréquentes</w:t>
      </w:r>
    </w:p>
    <w:p>
      <w:pPr>
        <w:pStyle w:val="FirstParagraph"/>
      </w:pPr>
      <w:r>
        <w:t xml:space="preserve">⚠️ Erreur n°1 — croire que</w:t>
      </w:r>
      <w:r>
        <w:t xml:space="preserve"> </w:t>
      </w:r>
      <w:r>
        <w:t xml:space="preserve">“ajouter un serveur”</w:t>
      </w:r>
      <w:r>
        <w:t xml:space="preserve"> </w:t>
      </w:r>
      <w:r>
        <w:t xml:space="preserve">suffit à garantir la haute disponibilité</w:t>
      </w:r>
      <w:r>
        <w:t xml:space="preserve"> </w:t>
      </w:r>
      <w:r>
        <w:t xml:space="preserve">Comme vu en section 13.1, sans mécanisme de coordination (cluster, quorum, stockage cohérent), deux serveurs indépendants créent un risque d’incohérence plutôt qu’une vraie protection.</w:t>
      </w:r>
    </w:p>
    <w:p>
      <w:pPr>
        <w:pStyle w:val="BodyText"/>
      </w:pPr>
      <w:r>
        <w:t xml:space="preserve">⚠️ Erreur n°2 — un témoin de quorum mal positionné</w:t>
      </w:r>
      <w:r>
        <w:t xml:space="preserve"> </w:t>
      </w:r>
      <w:r>
        <w:t xml:space="preserve">Placer le témoin de quorum sur le même site physique qu’un seul des deux nœuds (plutôt que dans un emplacement réellement indépendant) recrée un point de défaillance unique : si ce site précis tombe, le nœud restant ailleurs perd potentiellement le quorum malgré son bon fonctionnement individuel.</w:t>
      </w:r>
    </w:p>
    <w:p>
      <w:pPr>
        <w:pStyle w:val="BodyText"/>
      </w:pPr>
      <w:r>
        <w:t xml:space="preserve">⚠️ Erreur n°3 — négliger de tester réellement un basculement</w:t>
      </w:r>
      <w:r>
        <w:t xml:space="preserve"> </w:t>
      </w:r>
      <w:r>
        <w:t xml:space="preserve">Comme pour une sauvegarde jamais testée (chapitre 1) ou un runbook jamais éprouvé (chapitre 3), un cluster configuré mais jamais soumis à un test réel de basculement (provoquer volontairement l’arrêt d’un nœud actif en environnement contrôlé) reste une garantie théorique, pas prouvée.</w:t>
      </w:r>
    </w:p>
    <w:bookmarkEnd w:id="337"/>
    <w:bookmarkStart w:id="338" w:name="en-entreprise-12"/>
    <w:p>
      <w:pPr>
        <w:pStyle w:val="Heading2"/>
      </w:pPr>
      <w:r>
        <w:t xml:space="preserve">En entreprise</w:t>
      </w:r>
    </w:p>
    <w:p>
      <w:pPr>
        <w:pStyle w:val="Compact"/>
        <w:numPr>
          <w:ilvl w:val="0"/>
          <w:numId w:val="1297"/>
        </w:numPr>
      </w:pPr>
      <w:r>
        <w:rPr>
          <w:b/>
          <w:bCs/>
        </w:rPr>
        <w:t xml:space="preserve">Bonne pratique répandue</w:t>
      </w:r>
      <w:r>
        <w:t xml:space="preserve"> </w:t>
      </w:r>
      <w:r>
        <w:t xml:space="preserve">: planifier des tests de basculement réguliers en dehors des heures de forte activité, pour vérifier que le mécanisme fonctionne réellement comme prévu, plutôt que de découvrir un défaut de configuration au moment précis d’une vraie panne.</w:t>
      </w:r>
    </w:p>
    <w:p>
      <w:pPr>
        <w:pStyle w:val="Compact"/>
        <w:numPr>
          <w:ilvl w:val="0"/>
          <w:numId w:val="1297"/>
        </w:numPr>
      </w:pPr>
      <w:r>
        <w:rPr>
          <w:b/>
          <w:bCs/>
        </w:rPr>
        <w:t xml:space="preserve">Bonne pratique répandue</w:t>
      </w:r>
      <w:r>
        <w:t xml:space="preserve"> </w:t>
      </w:r>
      <w:r>
        <w:t xml:space="preserve">: documenter (chapitre 3) la procédure de basculement manuel, pour le cas rare où le basculement automatique échouerait lui-même — un plan de secours au plan de secours.</w:t>
      </w:r>
    </w:p>
    <w:p>
      <w:pPr>
        <w:pStyle w:val="Compact"/>
        <w:numPr>
          <w:ilvl w:val="0"/>
          <w:numId w:val="1297"/>
        </w:numPr>
      </w:pPr>
      <w:r>
        <w:rPr>
          <w:b/>
          <w:bCs/>
        </w:rPr>
        <w:t xml:space="preserve">Erreur classique observée</w:t>
      </w:r>
      <w:r>
        <w:t xml:space="preserve"> </w:t>
      </w:r>
      <w:r>
        <w:t xml:space="preserve">: un cluster mis en place dans l’urgence après un incident majeur, sans validation préalable de la compatibilité applicative, aboutissant à un projet abandonné ou fortement retardé une fois la complexité réelle découverte en cours de route.</w:t>
      </w:r>
    </w:p>
    <w:bookmarkEnd w:id="338"/>
    <w:bookmarkStart w:id="339" w:name="entretien-technique-12"/>
    <w:p>
      <w:pPr>
        <w:pStyle w:val="Heading2"/>
      </w:pPr>
      <w:r>
        <w:t xml:space="preserve">Entretien technique</w:t>
      </w:r>
    </w:p>
    <w:p>
      <w:pPr>
        <w:pStyle w:val="FirstParagraph"/>
      </w:pPr>
      <w:r>
        <w:t xml:space="preserve">💼 Questions fréquemment posées en entretien</w:t>
      </w:r>
    </w:p>
    <w:p>
      <w:pPr>
        <w:pStyle w:val="BodyText"/>
      </w:pPr>
      <w:r>
        <w:rPr>
          <w:b/>
          <w:bCs/>
        </w:rPr>
        <w:t xml:space="preserve">Q1.</w:t>
      </w:r>
      <w:r>
        <w:rPr>
          <w:b/>
          <w:bCs/>
        </w:rPr>
        <w:t xml:space="preserve"> </w:t>
      </w:r>
      <w:r>
        <w:rPr>
          <w:b/>
          <w:bCs/>
        </w:rPr>
        <w:t xml:space="preserve">“Qu’est-ce que le quorum dans un cluster de basculement, et pourquoi est-il nécessaire ?”</w:t>
      </w:r>
      <w:r>
        <w:t xml:space="preserve"> </w:t>
      </w:r>
      <w:r>
        <w:t xml:space="preserve">Réponse attendue : un mécanisme de vote qui détermine si le cluster dispose d’une majorité suffisante pour rester actif en toute sécurité, évitant un scénario de split-brain où plusieurs nœuds deviendraient actifs simultanément suite à une coupure de communication entre eux, plutôt qu’une vraie panne.</w:t>
      </w:r>
    </w:p>
    <w:p>
      <w:pPr>
        <w:pStyle w:val="BodyText"/>
      </w:pPr>
      <w:r>
        <w:rPr>
          <w:b/>
          <w:bCs/>
        </w:rPr>
        <w:t xml:space="preserve">Q2.</w:t>
      </w:r>
      <w:r>
        <w:rPr>
          <w:b/>
          <w:bCs/>
        </w:rPr>
        <w:t xml:space="preserve"> </w:t>
      </w:r>
      <w:r>
        <w:rPr>
          <w:b/>
          <w:bCs/>
        </w:rPr>
        <w:t xml:space="preserve">“Pourquoi</w:t>
      </w:r>
      <w:r>
        <w:rPr>
          <w:b/>
          <w:bCs/>
        </w:rPr>
        <w:t xml:space="preserve"> </w:t>
      </w:r>
      <w:r>
        <w:rPr>
          <w:b/>
          <w:bCs/>
        </w:rPr>
        <w:t xml:space="preserve">‘ajouter un second serveur’</w:t>
      </w:r>
      <w:r>
        <w:rPr>
          <w:b/>
          <w:bCs/>
        </w:rPr>
        <w:t xml:space="preserve"> </w:t>
      </w:r>
      <w:r>
        <w:rPr>
          <w:b/>
          <w:bCs/>
        </w:rPr>
        <w:t xml:space="preserve">ne suffit-il pas toujours à garantir la haute disponibilité d’une application ?”</w:t>
      </w:r>
      <w:r>
        <w:t xml:space="preserve"> </w:t>
      </w:r>
      <w:r>
        <w:t xml:space="preserve">Réponse attendue : sans mécanisme de coordination (cluster, quorum) et sans cohérence des données garantie (stockage partagé ou réplication applicative propre), deux instances indépendantes risquent de traiter des requêtes en parallèle sans jamais se synchroniser, créant une incohérence de données plutôt qu’une vraie protection contre la panne.</w:t>
      </w:r>
    </w:p>
    <w:p>
      <w:pPr>
        <w:pStyle w:val="BodyText"/>
      </w:pPr>
      <w:r>
        <w:rPr>
          <w:b/>
          <w:bCs/>
        </w:rPr>
        <w:t xml:space="preserve">Q3.</w:t>
      </w:r>
      <w:r>
        <w:rPr>
          <w:b/>
          <w:bCs/>
        </w:rPr>
        <w:t xml:space="preserve"> </w:t>
      </w:r>
      <w:r>
        <w:rPr>
          <w:b/>
          <w:bCs/>
        </w:rPr>
        <w:t xml:space="preserve">“Que se passe-t-il si un cluster perd le quorum suite à une coupure réseau entre ses nœuds ?”</w:t>
      </w:r>
      <w:r>
        <w:t xml:space="preserve"> </w:t>
      </w:r>
      <w:r>
        <w:t xml:space="preserve">Réponse attendue : le cluster s’arrête par sécurité plutôt que de risquer un fonctionnement simultané non coordonné de plusieurs nœuds — un choix qui privilégie l’intégrité des données au prix d’une indisponibilité temporaire.</w:t>
      </w:r>
    </w:p>
    <w:bookmarkEnd w:id="339"/>
    <w:bookmarkStart w:id="340" w:name="X5bfd5930204e67c7ba4bc1cffd0f3abcf58df01"/>
    <w:p>
      <w:pPr>
        <w:pStyle w:val="Heading2"/>
      </w:pPr>
      <w:r>
        <w:t xml:space="preserve">Optimisation, sécurité et maintenabilité — les réflexes dès ce chapitre</w:t>
      </w:r>
    </w:p>
    <w:p>
      <w:pPr>
        <w:pStyle w:val="FirstParagraph"/>
      </w:pPr>
      <w:r>
        <w:t xml:space="preserve">🔒 Sécurité</w:t>
      </w:r>
      <w:r>
        <w:t xml:space="preserve"> </w:t>
      </w:r>
      <w:r>
        <w:t xml:space="preserve">Le stockage partagé d’un cluster devient un point de concentration critique pour la sécurité : sa compromission affecterait simultanément l’ensemble des nœuds qui en dépendent — un actif à protéger avec une rigueur au moins équivalente à celle des serveurs eux-mêmes, jamais négligée au profit de la seule redondance applicative.</w:t>
      </w:r>
    </w:p>
    <w:p>
      <w:pPr>
        <w:pStyle w:val="BodyText"/>
      </w:pPr>
      <w:r>
        <w:t xml:space="preserve">✅ Maintenabilité</w:t>
      </w:r>
      <w:r>
        <w:t xml:space="preserve"> </w:t>
      </w:r>
      <w:r>
        <w:t xml:space="preserve">Documente précisément l’architecture du cluster (nombre de nœuds, emplacement du témoin de quorum, type de stockage partagé, procédure de basculement manuel de secours) — une configuration de haute disponibilité complexe et non documentée devient un risque en soi le jour où elle doit être maintenue par quelqu’un d’autre que son concepteur initial.</w:t>
      </w:r>
    </w:p>
    <w:p>
      <w:pPr>
        <w:pStyle w:val="BodyText"/>
      </w:pPr>
      <w:r>
        <w:t xml:space="preserve">🚀 Performance</w:t>
      </w:r>
      <w:r>
        <w:t xml:space="preserve"> </w:t>
      </w:r>
      <w:r>
        <w:t xml:space="preserve">Un basculement automatique, même réussi, entraîne généralement une brève interruption de service (le temps que le nœud de secours prenne le relais) — à mesurer et documenter précisément plutôt que de supposer une continuité parfaitement invisible, une attente parfois irréaliste selon la technologie de cluster utilisée.</w:t>
      </w:r>
    </w:p>
    <w:bookmarkEnd w:id="340"/>
    <w:bookmarkStart w:id="341" w:name="résumé-du-chapitre-12"/>
    <w:p>
      <w:pPr>
        <w:pStyle w:val="Heading2"/>
      </w:pPr>
      <w:r>
        <w:t xml:space="preserve">Résumé du chapitre</w:t>
      </w:r>
    </w:p>
    <w:p>
      <w:pPr>
        <w:pStyle w:val="Compact"/>
        <w:numPr>
          <w:ilvl w:val="0"/>
          <w:numId w:val="1298"/>
        </w:numPr>
      </w:pPr>
      <w:r>
        <w:t xml:space="preserve">La haute disponibilité applicative va au-delà de la simple duplication d’un serveur — elle exige un mécanisme de coordination (cluster) et une cohérence garantie des données.</w:t>
      </w:r>
    </w:p>
    <w:p>
      <w:pPr>
        <w:pStyle w:val="Compact"/>
        <w:numPr>
          <w:ilvl w:val="0"/>
          <w:numId w:val="1298"/>
        </w:numPr>
      </w:pPr>
      <w:r>
        <w:t xml:space="preserve">Un cluster de basculement repose sur plusieurs nœuds, un stockage partagé ou répliqué, et un mécanisme de quorum.</w:t>
      </w:r>
    </w:p>
    <w:p>
      <w:pPr>
        <w:pStyle w:val="Compact"/>
        <w:numPr>
          <w:ilvl w:val="0"/>
          <w:numId w:val="1298"/>
        </w:numPr>
      </w:pPr>
      <w:r>
        <w:t xml:space="preserve">Le quorum évite le scénario dangereux du split-brain, où plusieurs nœuds deviendraient actifs simultanément suite à une coupure de communication.</w:t>
      </w:r>
    </w:p>
    <w:p>
      <w:pPr>
        <w:pStyle w:val="Compact"/>
        <w:numPr>
          <w:ilvl w:val="0"/>
          <w:numId w:val="1298"/>
        </w:numPr>
      </w:pPr>
      <w:r>
        <w:t xml:space="preserve">Face à une ambiguïté, un cluster bien conçu préfère s’arrêter par sécurité plutôt que de risquer une incohérence de données.</w:t>
      </w:r>
    </w:p>
    <w:p>
      <w:pPr>
        <w:pStyle w:val="Compact"/>
        <w:numPr>
          <w:ilvl w:val="0"/>
          <w:numId w:val="1298"/>
        </w:numPr>
      </w:pPr>
      <w:r>
        <w:t xml:space="preserve">Avant de proposer le clustering comme solution, il est indispensable de vérifier que l’application cible le supporte réellement, et d’évaluer le coût du stockage partagé nécessaire.</w:t>
      </w:r>
    </w:p>
    <w:bookmarkEnd w:id="341"/>
    <w:bookmarkStart w:id="342" w:name="quiz-12"/>
    <w:p>
      <w:pPr>
        <w:pStyle w:val="Heading2"/>
      </w:pPr>
      <w:r>
        <w:t xml:space="preserve">Quiz</w:t>
      </w:r>
    </w:p>
    <w:p>
      <w:pPr>
        <w:pStyle w:val="FirstParagraph"/>
      </w:pPr>
      <w:r>
        <w:t xml:space="preserve">📝 QCM (une seule bonne réponse par question)</w:t>
      </w:r>
    </w:p>
    <w:p>
      <w:pPr>
        <w:pStyle w:val="Compact"/>
        <w:numPr>
          <w:ilvl w:val="0"/>
          <w:numId w:val="1299"/>
        </w:numPr>
      </w:pPr>
      <w:r>
        <w:t xml:space="preserve">Le split-brain dans un cluster désigne :</w:t>
      </w:r>
    </w:p>
    <w:p>
      <w:pPr>
        <w:pStyle w:val="Compact"/>
        <w:numPr>
          <w:ilvl w:val="1"/>
          <w:numId w:val="1300"/>
        </w:numPr>
      </w:pPr>
    </w:p>
    <w:p>
      <w:pPr>
        <w:pStyle w:val="Compact"/>
        <w:numPr>
          <w:ilvl w:val="2"/>
          <w:numId w:val="1301"/>
        </w:numPr>
      </w:pPr>
      <w:r>
        <w:t xml:space="preserve">Une panne matérielle simultanée des deux nœuds</w:t>
      </w:r>
    </w:p>
    <w:p>
      <w:pPr>
        <w:pStyle w:val="Compact"/>
        <w:numPr>
          <w:ilvl w:val="1"/>
          <w:numId w:val="1300"/>
        </w:numPr>
      </w:pPr>
    </w:p>
    <w:p>
      <w:pPr>
        <w:pStyle w:val="Compact"/>
        <w:numPr>
          <w:ilvl w:val="2"/>
          <w:numId w:val="1302"/>
        </w:numPr>
      </w:pPr>
      <w:r>
        <w:t xml:space="preserve">Une situation où plusieurs nœuds deviennent actifs simultanément suite à une perte de communication</w:t>
      </w:r>
    </w:p>
    <w:p>
      <w:pPr>
        <w:pStyle w:val="Compact"/>
        <w:numPr>
          <w:ilvl w:val="1"/>
          <w:numId w:val="1300"/>
        </w:numPr>
      </w:pPr>
    </w:p>
    <w:p>
      <w:pPr>
        <w:pStyle w:val="Compact"/>
        <w:numPr>
          <w:ilvl w:val="2"/>
          <w:numId w:val="1303"/>
        </w:numPr>
      </w:pPr>
      <w:r>
        <w:t xml:space="preserve">Un type de sauvegarde corrompue</w:t>
      </w:r>
    </w:p>
    <w:p>
      <w:pPr>
        <w:pStyle w:val="Compact"/>
        <w:numPr>
          <w:ilvl w:val="1"/>
          <w:numId w:val="1300"/>
        </w:numPr>
      </w:pPr>
    </w:p>
    <w:p>
      <w:pPr>
        <w:pStyle w:val="Compact"/>
        <w:numPr>
          <w:ilvl w:val="2"/>
          <w:numId w:val="1304"/>
        </w:numPr>
      </w:pPr>
      <w:r>
        <w:t xml:space="preserve">Une erreur de configuration DNS</w:t>
      </w:r>
    </w:p>
    <w:p>
      <w:pPr>
        <w:pStyle w:val="Compact"/>
        <w:numPr>
          <w:ilvl w:val="0"/>
          <w:numId w:val="1299"/>
        </w:numPr>
      </w:pPr>
      <w:r>
        <w:t xml:space="preserve">Le rôle principal du quorum est de :</w:t>
      </w:r>
    </w:p>
    <w:p>
      <w:pPr>
        <w:pStyle w:val="Compact"/>
        <w:numPr>
          <w:ilvl w:val="1"/>
          <w:numId w:val="1305"/>
        </w:numPr>
      </w:pPr>
    </w:p>
    <w:p>
      <w:pPr>
        <w:pStyle w:val="Compact"/>
        <w:numPr>
          <w:ilvl w:val="2"/>
          <w:numId w:val="1306"/>
        </w:numPr>
      </w:pPr>
      <w:r>
        <w:t xml:space="preserve">Accélérer les performances du cluster</w:t>
      </w:r>
    </w:p>
    <w:p>
      <w:pPr>
        <w:pStyle w:val="Compact"/>
        <w:numPr>
          <w:ilvl w:val="1"/>
          <w:numId w:val="1305"/>
        </w:numPr>
      </w:pPr>
    </w:p>
    <w:p>
      <w:pPr>
        <w:pStyle w:val="Compact"/>
        <w:numPr>
          <w:ilvl w:val="2"/>
          <w:numId w:val="1307"/>
        </w:numPr>
      </w:pPr>
      <w:r>
        <w:t xml:space="preserve">Déterminer si le cluster dispose d’une majorité suffisante pour rester actif en sécurité</w:t>
      </w:r>
    </w:p>
    <w:p>
      <w:pPr>
        <w:pStyle w:val="Compact"/>
        <w:numPr>
          <w:ilvl w:val="1"/>
          <w:numId w:val="1305"/>
        </w:numPr>
      </w:pPr>
    </w:p>
    <w:p>
      <w:pPr>
        <w:pStyle w:val="Compact"/>
        <w:numPr>
          <w:ilvl w:val="2"/>
          <w:numId w:val="1308"/>
        </w:numPr>
      </w:pPr>
      <w:r>
        <w:t xml:space="preserve">Chiffrer les données du stockage partagé</w:t>
      </w:r>
    </w:p>
    <w:p>
      <w:pPr>
        <w:pStyle w:val="Compact"/>
        <w:numPr>
          <w:ilvl w:val="1"/>
          <w:numId w:val="1305"/>
        </w:numPr>
      </w:pPr>
    </w:p>
    <w:p>
      <w:pPr>
        <w:pStyle w:val="Compact"/>
        <w:numPr>
          <w:ilvl w:val="2"/>
          <w:numId w:val="1309"/>
        </w:numPr>
      </w:pPr>
      <w:r>
        <w:t xml:space="preserve">Remplacer le besoin de sauvegardes</w:t>
      </w:r>
    </w:p>
    <w:p>
      <w:pPr>
        <w:pStyle w:val="Compact"/>
        <w:numPr>
          <w:ilvl w:val="0"/>
          <w:numId w:val="1299"/>
        </w:numPr>
      </w:pPr>
      <w:r>
        <w:t xml:space="preserve">Avant de proposer le clustering comme solution pour une application existante, il faut impérativement vérifier :</w:t>
      </w:r>
    </w:p>
    <w:p>
      <w:pPr>
        <w:pStyle w:val="Compact"/>
        <w:numPr>
          <w:ilvl w:val="1"/>
          <w:numId w:val="1310"/>
        </w:numPr>
      </w:pPr>
    </w:p>
    <w:p>
      <w:pPr>
        <w:pStyle w:val="Compact"/>
        <w:numPr>
          <w:ilvl w:val="2"/>
          <w:numId w:val="1311"/>
        </w:numPr>
      </w:pPr>
      <w:r>
        <w:t xml:space="preserve">Uniquement le budget disponible</w:t>
      </w:r>
    </w:p>
    <w:p>
      <w:pPr>
        <w:pStyle w:val="Compact"/>
        <w:numPr>
          <w:ilvl w:val="1"/>
          <w:numId w:val="1310"/>
        </w:numPr>
      </w:pPr>
    </w:p>
    <w:p>
      <w:pPr>
        <w:pStyle w:val="Compact"/>
        <w:numPr>
          <w:ilvl w:val="2"/>
          <w:numId w:val="1312"/>
        </w:numPr>
      </w:pPr>
      <w:r>
        <w:t xml:space="preserve">Que l’application supporte réellement un fonctionnement en cluster</w:t>
      </w:r>
    </w:p>
    <w:p>
      <w:pPr>
        <w:pStyle w:val="Compact"/>
        <w:numPr>
          <w:ilvl w:val="1"/>
          <w:numId w:val="1310"/>
        </w:numPr>
      </w:pPr>
    </w:p>
    <w:p>
      <w:pPr>
        <w:pStyle w:val="Compact"/>
        <w:numPr>
          <w:ilvl w:val="2"/>
          <w:numId w:val="1313"/>
        </w:numPr>
      </w:pPr>
      <w:r>
        <w:t xml:space="preserve">Rien, le clustering fonctionne avec n’importe quelle application</w:t>
      </w:r>
    </w:p>
    <w:p>
      <w:pPr>
        <w:pStyle w:val="Compact"/>
        <w:numPr>
          <w:ilvl w:val="1"/>
          <w:numId w:val="1310"/>
        </w:numPr>
      </w:pPr>
    </w:p>
    <w:p>
      <w:pPr>
        <w:pStyle w:val="Compact"/>
        <w:numPr>
          <w:ilvl w:val="2"/>
          <w:numId w:val="1314"/>
        </w:numPr>
      </w:pPr>
      <w:r>
        <w:t xml:space="preserve">Uniquement la version de Windows Server utilisée</w:t>
      </w:r>
    </w:p>
    <w:p>
      <w:pPr>
        <w:pStyle w:val="FirstParagraph"/>
      </w:pPr>
      <w:r>
        <w:rPr>
          <w:b/>
          <w:bCs/>
        </w:rPr>
        <w:t xml:space="preserve">Corrigé</w:t>
      </w:r>
      <w:r>
        <w:t xml:space="preserve"> </w:t>
      </w:r>
      <w:r>
        <w:t xml:space="preserve">: 1-b, 2-b, 3-b.</w:t>
      </w:r>
    </w:p>
    <w:p>
      <w:pPr>
        <w:pStyle w:val="BodyText"/>
      </w:pPr>
      <w:r>
        <w:t xml:space="preserve">📝 Vrai ou Faux</w:t>
      </w:r>
    </w:p>
    <w:p>
      <w:pPr>
        <w:pStyle w:val="Compact"/>
        <w:numPr>
          <w:ilvl w:val="0"/>
          <w:numId w:val="1315"/>
        </w:numPr>
      </w:pPr>
      <w:r>
        <w:t xml:space="preserve">Ajouter simplement un second serveur indépendant garantit automatiquement la haute disponibilité d’une application. —</w:t>
      </w:r>
      <w:r>
        <w:t xml:space="preserve"> </w:t>
      </w:r>
      <w:r>
        <w:rPr>
          <w:b/>
          <w:bCs/>
        </w:rPr>
        <w:t xml:space="preserve">Faux</w:t>
      </w:r>
      <w:r>
        <w:t xml:space="preserve"> </w:t>
      </w:r>
      <w:r>
        <w:t xml:space="preserve">(section 13.1, un mécanisme de coordination est nécessaire).</w:t>
      </w:r>
    </w:p>
    <w:p>
      <w:pPr>
        <w:pStyle w:val="Compact"/>
        <w:numPr>
          <w:ilvl w:val="0"/>
          <w:numId w:val="1315"/>
        </w:numPr>
      </w:pPr>
      <w:r>
        <w:t xml:space="preserve">Un cluster bien conçu préfère s’arrêter par sécurité plutôt que de risquer une incohérence de données en cas de perte de quorum. —</w:t>
      </w:r>
      <w:r>
        <w:t xml:space="preserve"> </w:t>
      </w:r>
      <w:r>
        <w:rPr>
          <w:b/>
          <w:bCs/>
        </w:rPr>
        <w:t xml:space="preserve">Vrai</w:t>
      </w:r>
      <w:r>
        <w:t xml:space="preserve">.</w:t>
      </w:r>
    </w:p>
    <w:p>
      <w:pPr>
        <w:pStyle w:val="Compact"/>
        <w:numPr>
          <w:ilvl w:val="0"/>
          <w:numId w:val="1315"/>
        </w:numPr>
      </w:pPr>
      <w:r>
        <w:t xml:space="preserve">Un témoin de quorum placé sur le même site qu’un des deux nœuds offre une protection équivalente à un emplacement réellement indépendant. —</w:t>
      </w:r>
      <w:r>
        <w:t xml:space="preserve"> </w:t>
      </w:r>
      <w:r>
        <w:rPr>
          <w:b/>
          <w:bCs/>
        </w:rPr>
        <w:t xml:space="preserve">Faux</w:t>
      </w:r>
      <w:r>
        <w:t xml:space="preserve"> </w:t>
      </w:r>
      <w:r>
        <w:t xml:space="preserve">(erreur n°2 de ce chapitre, cela recrée un point de défaillance unique).</w:t>
      </w:r>
    </w:p>
    <w:p>
      <w:pPr>
        <w:pStyle w:val="Compact"/>
        <w:numPr>
          <w:ilvl w:val="0"/>
          <w:numId w:val="1315"/>
        </w:numPr>
      </w:pPr>
      <w:r>
        <w:t xml:space="preserve">Un cluster configuré doit être testé par un basculement réel avant d’être considéré fiable. —</w:t>
      </w:r>
      <w:r>
        <w:t xml:space="preserve"> </w:t>
      </w:r>
      <w:r>
        <w:rPr>
          <w:b/>
          <w:bCs/>
        </w:rPr>
        <w:t xml:space="preserve">Vrai</w:t>
      </w:r>
      <w:r>
        <w:t xml:space="preserve">.</w:t>
      </w:r>
    </w:p>
    <w:p>
      <w:pPr>
        <w:pStyle w:val="FirstParagraph"/>
      </w:pPr>
      <w:r>
        <w:t xml:space="preserve">📝 Questions ouvertes</w:t>
      </w:r>
    </w:p>
    <w:p>
      <w:pPr>
        <w:pStyle w:val="Compact"/>
        <w:numPr>
          <w:ilvl w:val="0"/>
          <w:numId w:val="1316"/>
        </w:numPr>
      </w:pPr>
      <w:r>
        <w:t xml:space="preserve">Explique, avec tes propres mots, pourquoi un split-brain est plus dangereux qu’une simple panne franche d’un nœud.</w:t>
      </w:r>
    </w:p>
    <w:p>
      <w:pPr>
        <w:pStyle w:val="Compact"/>
        <w:numPr>
          <w:ilvl w:val="0"/>
          <w:numId w:val="1316"/>
        </w:numPr>
      </w:pPr>
      <w:r>
        <w:t xml:space="preserve">Reprends le scénario d’ouverture. Explique pourquoi promettre immédiatement une solution de clustering au DSI, sans vérification préalable, serait imprudent.</w:t>
      </w:r>
    </w:p>
    <w:p>
      <w:pPr>
        <w:pStyle w:val="FirstParagraph"/>
      </w:pPr>
      <w:r>
        <w:rPr>
          <w:b/>
          <w:bCs/>
        </w:rPr>
        <w:t xml:space="preserve">Corrigé 1</w:t>
      </w:r>
      <w:r>
        <w:t xml:space="preserve"> </w:t>
      </w:r>
      <w:r>
        <w:t xml:space="preserve">: dans une panne franche, un seul nœud reste actif sans ambiguïté, et le système continue de fonctionner de façon cohérente. Dans un split-brain, les deux nœuds continuent de fonctionner indépendamment tout en croyant chacun être le seul actif, ce qui peut conduire à des écritures divergentes et incohérentes sur les mêmes données — un problème bien plus difficile à détecter (les deux nœuds semblent fonctionner normalement) et à corriger après coup (réconcilier deux versions divergentes des mêmes données) qu’une simple interruption de service.</w:t>
      </w:r>
    </w:p>
    <w:p>
      <w:pPr>
        <w:pStyle w:val="BodyText"/>
      </w:pPr>
      <w:r>
        <w:rPr>
          <w:b/>
          <w:bCs/>
        </w:rPr>
        <w:t xml:space="preserve">Corrigé 2</w:t>
      </w:r>
      <w:r>
        <w:t xml:space="preserve"> </w:t>
      </w:r>
      <w:r>
        <w:t xml:space="preserve">: comme vu en section 13.4, de nombreuses applications, en particulier les applications legacy, ne supportent pas nativement un fonctionnement en cluster — proposer cette solution sans l’avoir vérifiée risquerait de créer une attente irréaliste chez le DSI, suivie d’une déception ou d’un changement de plan coûteux une fois cette incompatibilité découverte en cours de projet. Une réponse honnête et nuancée (section 13.5), reconnaissant la complexité réelle avant de s’engager, est professionnellement plus solide qu’une promesse précipitée.</w:t>
      </w:r>
    </w:p>
    <w:bookmarkEnd w:id="342"/>
    <w:bookmarkStart w:id="343" w:name="exercices-12"/>
    <w:p>
      <w:pPr>
        <w:pStyle w:val="Heading2"/>
      </w:pPr>
      <w:r>
        <w:t xml:space="preserve">Exercices</w:t>
      </w:r>
    </w:p>
    <w:p>
      <w:pPr>
        <w:pStyle w:val="FirstParagraph"/>
      </w:pPr>
      <w:r>
        <w:t xml:space="preserve">📝 Exercice 13.1</w:t>
      </w:r>
    </w:p>
    <w:p>
      <w:pPr>
        <w:pStyle w:val="BodyText"/>
      </w:pPr>
      <w:r>
        <w:t xml:space="preserve">Explique pourquoi le stockage partagé (ou une réplication applicative équivalente) est considéré comme</w:t>
      </w:r>
      <w:r>
        <w:t xml:space="preserve"> </w:t>
      </w:r>
      <w:r>
        <w:t xml:space="preserve">“la contrainte la plus structurante”</w:t>
      </w:r>
      <w:r>
        <w:t xml:space="preserve"> </w:t>
      </w:r>
      <w:r>
        <w:t xml:space="preserve">d’un projet de clustering, plus encore que le nombre de nœuds ou le choix du témoin de quorum.</w:t>
      </w:r>
    </w:p>
    <w:p>
      <w:pPr>
        <w:pStyle w:val="BodyText"/>
      </w:pPr>
      <w:r>
        <w:rPr>
          <w:b/>
          <w:bCs/>
        </w:rPr>
        <w:t xml:space="preserve">Corrigé :</w:t>
      </w:r>
      <w:r>
        <w:t xml:space="preserve"> </w:t>
      </w:r>
      <w:r>
        <w:t xml:space="preserve">Le nombre de nœuds et le témoin de quorum sont des choix de configuration relativement flexibles, ajustables après coup sans remettre en cause l’architecture fondamentale. Le stockage partagé, en revanche, détermine si les données restent réellement cohérentes entre les nœuds actifs et passifs — un choix structurel qui dépend souvent de l’infrastructure existante (SAN disponible ou non, budget pour Storage Spaces Direct) et de la compatibilité de l’application elle-même (section 13.4), rendant ce choix beaucoup plus difficile et coûteux à revoir une fois le projet engagé.</w:t>
      </w:r>
    </w:p>
    <w:p>
      <w:pPr>
        <w:pStyle w:val="BodyText"/>
      </w:pPr>
      <w:r>
        <w:t xml:space="preserve">📝 Exercice 13.2</w:t>
      </w:r>
    </w:p>
    <w:p>
      <w:pPr>
        <w:pStyle w:val="BodyText"/>
      </w:pPr>
      <w:r>
        <w:t xml:space="preserve">Rédige, en 3 à 5 phrases, un plan de mitigation temporaire (en attendant un éventuel projet de clustering complet) pour réduire le risque d’une panne prolongée comme celle du scénario d’ouverture, sans mettre en place un cluster complet.</w:t>
      </w:r>
    </w:p>
    <w:p>
      <w:pPr>
        <w:pStyle w:val="BodyText"/>
      </w:pPr>
      <w:r>
        <w:rPr>
          <w:b/>
          <w:bCs/>
        </w:rPr>
        <w:t xml:space="preserve">Corrigé (exemple de réponse) :</w:t>
      </w:r>
      <w:r>
        <w:t xml:space="preserve"> </w:t>
      </w:r>
      <w:r>
        <w:t xml:space="preserve">En attendant une éventuelle mise en œuvre du clustering, j’intégrerais le service de gestion des sinistres au planning d’astreinte existant (chapitre 1), pour qu’une panne un vendredi soir soit détectée et traitée rapidement plutôt que découverte seulement le lundi matin. Je m’assurerais aussi qu’une sauvegarde régulière et testée (chapitre 1, section 1.4) du serveur applicatif existe, avec une procédure de restauration rapide documentée (runbook, chapitre 3) sur un serveur de secours même non clusterisé, réduisant le temps de récupération en cas de panne matérielle sans nécessiter l’investissement complet d’une architecture en cluster.</w:t>
      </w:r>
    </w:p>
    <w:bookmarkEnd w:id="343"/>
    <w:bookmarkStart w:id="344" w:name="checklist-de-fin-de-chapitre-12"/>
    <w:p>
      <w:pPr>
        <w:pStyle w:val="Heading2"/>
      </w:pPr>
      <w:r>
        <w:t xml:space="preserve">Checklist de fin de chapitre</w:t>
      </w:r>
    </w:p>
    <w:p>
      <w:pPr>
        <w:pStyle w:val="FirstParagraph"/>
      </w:pPr>
      <w:r>
        <w:t xml:space="preserve">☐ Je comprends pourquoi ajouter simplement un second serveur ne suffit pas à garantir la haute disponibilité.</w:t>
      </w:r>
    </w:p>
    <w:p>
      <w:pPr>
        <w:pStyle w:val="BodyText"/>
      </w:pPr>
      <w:r>
        <w:t xml:space="preserve">☐ Je sais expliquer les trois briques essentielles d’un cluster (nœuds, stockage partagé, quorum).</w:t>
      </w:r>
    </w:p>
    <w:p>
      <w:pPr>
        <w:pStyle w:val="BodyText"/>
      </w:pPr>
      <w:r>
        <w:t xml:space="preserve">☐ Je comprends ce qu’est un split-brain et pourquoi le quorum existe pour l’éviter.</w:t>
      </w:r>
    </w:p>
    <w:p>
      <w:pPr>
        <w:pStyle w:val="BodyText"/>
      </w:pPr>
      <w:r>
        <w:t xml:space="preserve">☐ Je sais pourquoi vérifier la compatibilité applicative est indispensable avant de proposer le clustering.</w:t>
      </w:r>
    </w:p>
    <w:p>
      <w:pPr>
        <w:pStyle w:val="BodyText"/>
      </w:pPr>
      <w:r>
        <w:t xml:space="preserve">☐ Je sais formuler une réponse honnête et nuancée face à une demande de haute disponibilité, plutôt qu’une promesse précipitée.</w:t>
      </w:r>
    </w:p>
    <w:bookmarkEnd w:id="344"/>
    <w:bookmarkStart w:id="345" w:name="faq-12"/>
    <w:p>
      <w:pPr>
        <w:pStyle w:val="Heading2"/>
      </w:pPr>
      <w:r>
        <w:t xml:space="preserve">FAQ</w:t>
      </w:r>
    </w:p>
    <w:p>
      <w:pPr>
        <w:pStyle w:val="FirstParagraph"/>
      </w:pPr>
      <w:r>
        <w:t xml:space="preserve">Un cluster nécessite-t-il toujours au moins trois nœuds ?</w:t>
      </w:r>
    </w:p>
    <w:p>
      <w:pPr>
        <w:pStyle w:val="BodyText"/>
      </w:pPr>
      <w:r>
        <w:t xml:space="preserve">Non, un cluster à deux nœuds est courant et parfaitement viable, à condition d’avoir un témoin de quorum correctement positionné (section 13.3) pour départager une situation à effectifs pairs — trois nœuds ou plus offrent une tolérance supplémentaire (le cluster peut perdre un nœud tout en gardant une majorité claire sans témoin), un choix à évaluer selon le budget et le niveau de criticité réel.</w:t>
      </w:r>
    </w:p>
    <w:p>
      <w:pPr>
        <w:pStyle w:val="BodyText"/>
      </w:pPr>
      <w:r>
        <w:t xml:space="preserve">Le clustering remplace-t-il le besoin de sauvegardes ?</w:t>
      </w:r>
    </w:p>
    <w:p>
      <w:pPr>
        <w:pStyle w:val="BodyText"/>
      </w:pPr>
      <w:r>
        <w:t xml:space="preserve">Non, absolument pas — un cluster protège contre la panne d’un nœud, mais pas contre une corruption de données, une suppression accidentelle, ou un rançongiciel qui affecterait le stockage partagé lui-même, accessible par tous les nœuds. Les sauvegardes (Partie 5) restent indispensables même avec un cluster en place.</w:t>
      </w:r>
    </w:p>
    <w:p>
      <w:pPr>
        <w:pStyle w:val="BodyText"/>
      </w:pPr>
      <w:r>
        <w:t xml:space="preserve">Toutes les versions de Windows Server supportent-elles le Failover Clustering ?</w:t>
      </w:r>
    </w:p>
    <w:p>
      <w:pPr>
        <w:pStyle w:val="BodyText"/>
      </w:pPr>
      <w:r>
        <w:t xml:space="preserve">La fonctionnalité est disponible sur les éditions Standard et Datacenter de Windows Server, avec certaines différences de limites et de fonctionnalités avancées entre les deux — un point à vérifier précisément selon la licence déjà en place dans l’organisation avant de planifier un projet de clustering.</w:t>
      </w:r>
    </w:p>
    <w:p>
      <w:pPr>
        <w:pStyle w:val="BodyText"/>
      </w:pPr>
      <w:r>
        <w:t xml:space="preserve">Combien de temps dure typiquement un basculement automatique ?</w:t>
      </w:r>
    </w:p>
    <w:p>
      <w:pPr>
        <w:pStyle w:val="BodyText"/>
      </w:pPr>
      <w:r>
        <w:t xml:space="preserve">Cela varie fortement selon l’application et la configuration, de quelques secondes à quelques minutes — un délai à mesurer précisément lors des tests de basculement recommandés en section</w:t>
      </w:r>
      <w:r>
        <w:t xml:space="preserve"> </w:t>
      </w:r>
      <w:r>
        <w:t xml:space="preserve">“En entreprise”</w:t>
      </w:r>
      <w:r>
        <w:t xml:space="preserve">, plutôt que de supposer une continuité instantanée et parfaitement invisible pour les utilisateurs.</w:t>
      </w:r>
    </w:p>
    <w:bookmarkEnd w:id="345"/>
    <w:bookmarkStart w:id="349" w:name="références-et-pour-aller-plus-loin-12"/>
    <w:p>
      <w:pPr>
        <w:pStyle w:val="Heading2"/>
      </w:pPr>
      <w:r>
        <w:t xml:space="preserve">Références et pour aller plus loin</w:t>
      </w:r>
    </w:p>
    <w:p>
      <w:pPr>
        <w:pStyle w:val="Compact"/>
        <w:numPr>
          <w:ilvl w:val="0"/>
          <w:numId w:val="1317"/>
        </w:numPr>
      </w:pPr>
      <w:r>
        <w:t xml:space="preserve">Microsoft Learn — Vue d’ensemble du Failover Clustering sur Windows Server :</w:t>
      </w:r>
      <w:r>
        <w:t xml:space="preserve"> </w:t>
      </w:r>
      <w:hyperlink r:id="rId346">
        <w:r>
          <w:rPr>
            <w:rStyle w:val="Hyperlink"/>
          </w:rPr>
          <w:t xml:space="preserve">https://learn.microsoft.com/fr-fr/windows-server/failover-clustering/failover-clustering-overview</w:t>
        </w:r>
      </w:hyperlink>
    </w:p>
    <w:p>
      <w:pPr>
        <w:pStyle w:val="Compact"/>
        <w:numPr>
          <w:ilvl w:val="0"/>
          <w:numId w:val="1317"/>
        </w:numPr>
      </w:pPr>
      <w:r>
        <w:t xml:space="preserve">Microsoft Learn — Configurer et gérer le quorum d’un cluster :</w:t>
      </w:r>
      <w:r>
        <w:t xml:space="preserve"> </w:t>
      </w:r>
      <w:hyperlink r:id="rId347">
        <w:r>
          <w:rPr>
            <w:rStyle w:val="Hyperlink"/>
          </w:rPr>
          <w:t xml:space="preserve">https://learn.microsoft.com/fr-fr/windows-server/failover-clustering/manage-cluster-quorum</w:t>
        </w:r>
      </w:hyperlink>
    </w:p>
    <w:p>
      <w:pPr>
        <w:pStyle w:val="Compact"/>
        <w:numPr>
          <w:ilvl w:val="0"/>
          <w:numId w:val="1317"/>
        </w:numPr>
      </w:pPr>
      <w:r>
        <w:t xml:space="preserve">Microsoft Learn — Storage Spaces Direct :</w:t>
      </w:r>
      <w:r>
        <w:t xml:space="preserve"> </w:t>
      </w:r>
      <w:hyperlink r:id="rId348">
        <w:r>
          <w:rPr>
            <w:rStyle w:val="Hyperlink"/>
          </w:rPr>
          <w:t xml:space="preserve">https://learn.microsoft.com/fr-fr/windows-server/storage/storage-spaces/storage-spaces-direct-overview</w:t>
        </w:r>
      </w:hyperlink>
    </w:p>
    <w:p>
      <w:pPr>
        <w:pStyle w:val="FirstParagraph"/>
      </w:pPr>
      <w:r>
        <w:rPr>
          <w:i/>
          <w:iCs/>
        </w:rPr>
        <w:t xml:space="preserve">Fin de la Partie 2. La Partie 3 commence maintenant l’administration Linux avancée, en partant du choix fondamental de toute infrastructure Linux d’entreprise : quelle distribution serveur adopter, et pourquoi.</w:t>
      </w:r>
    </w:p>
    <w:p>
      <w:pPr>
        <w:pStyle w:val="BodyText"/>
      </w:pPr>
      <w:r>
        <w:t xml:space="preserve">CHAPITRE 14</w:t>
      </w:r>
    </w:p>
    <w:bookmarkEnd w:id="349"/>
    <w:bookmarkEnd w:id="350"/>
    <w:bookmarkStart w:id="376" w:name="X671bfa23ef800064504e7b869f0cecce5fdd6c7"/>
    <w:p>
      <w:pPr>
        <w:pStyle w:val="Heading1"/>
      </w:pPr>
      <w:r>
        <w:t xml:space="preserve">Choisir sa distribution serveur : Ubuntu Server, Debian, Rocky Linux, RHEL</w:t>
      </w:r>
    </w:p>
    <w:p>
      <w:pPr>
        <w:pStyle w:val="FirstParagraph"/>
      </w:pPr>
      <w:r>
        <w:t xml:space="preserve">🎯 Objectif du chapitre</w:t>
      </w:r>
      <w:r>
        <w:t xml:space="preserve"> </w:t>
      </w:r>
      <w:r>
        <w:t xml:space="preserve">Comprendre les différences réelles entre les distributions Linux les plus utilisées en entreprise — pas au niveau superficiel des goûts personnels, mais au niveau des critères qui comptent vraiment : cycle de support, gestion des paquets, coût, écosystème de compatibilité. À la fin de ce chapitre, tu sauras choisir une distribution pour un projet donné en justifiant ce choix par des critères concrets, et tu comprendras pourquoi la question</w:t>
      </w:r>
      <w:r>
        <w:t xml:space="preserve"> </w:t>
      </w:r>
      <w:r>
        <w:t xml:space="preserve">“quelle est la meilleure distribution ?”</w:t>
      </w:r>
      <w:r>
        <w:t xml:space="preserve"> </w:t>
      </w:r>
      <w:r>
        <w:t xml:space="preserve">n’a pas de réponse universelle.</w:t>
      </w:r>
    </w:p>
    <w:p>
      <w:pPr>
        <w:pStyle w:val="BodyText"/>
      </w:pPr>
      <w:r>
        <w:t xml:space="preserve">🎬 Mise en situation</w:t>
      </w:r>
      <w:r>
        <w:t xml:space="preserve"> </w:t>
      </w:r>
      <w:r>
        <w:t xml:space="preserve">Dixième semaine. La compagnie d’assurance lance un projet de portail client en ligne (consultation de contrats, déclaration de sinistre en ligne), confié à une petite équipe de développeurs freelances. Le développeur principal te demande sur quel système d’exploitation il pourra déployer son application. Tu réalises que jusqu’ici, toute l’infrastructure de l’entreprise tourne sous Windows Server — ce projet est l’occasion d’introduire Linux. En réunion, deux avis s’affrontent : un développeur insiste pour Ubuntu Server,</w:t>
      </w:r>
      <w:r>
        <w:t xml:space="preserve"> </w:t>
      </w:r>
      <w:r>
        <w:t xml:space="preserve">“parce que c’est ce que j’utilise sur mon poste personnel”</w:t>
      </w:r>
      <w:r>
        <w:t xml:space="preserve"> </w:t>
      </w:r>
      <w:r>
        <w:t xml:space="preserve">; le DSI, prudent, demande s’il ne vaut pas mieux</w:t>
      </w:r>
      <w:r>
        <w:t xml:space="preserve"> </w:t>
      </w:r>
      <w:r>
        <w:t xml:space="preserve">“prendre la même chose que les grandes banques utilisent, pour être sûr que ce soit du sérieux”</w:t>
      </w:r>
      <w:r>
        <w:t xml:space="preserve">. Aucun des deux arguments n’est complètement faux, mais aucun n’est non plus une vraie méthode de décision. Ce chapitre te donne cette méthode.</w:t>
      </w:r>
    </w:p>
    <w:bookmarkStart w:id="351" w:name="Xf78034e3af9ecd5f6b5b136660d7814ec415341"/>
    <w:p>
      <w:pPr>
        <w:pStyle w:val="Heading2"/>
      </w:pPr>
      <w:r>
        <w:t xml:space="preserve">14.1 Pourquoi le choix de distribution n’est pas neutre</w:t>
      </w:r>
    </w:p>
    <w:p>
      <w:pPr>
        <w:pStyle w:val="FirstParagraph"/>
      </w:pPr>
      <w:r>
        <w:t xml:space="preserve">Une distribution Linux n’est pas seulement</w:t>
      </w:r>
      <w:r>
        <w:t xml:space="preserve"> </w:t>
      </w:r>
      <w:r>
        <w:t xml:space="preserve">“une saveur”</w:t>
      </w:r>
      <w:r>
        <w:t xml:space="preserve"> </w:t>
      </w:r>
      <w:r>
        <w:t xml:space="preserve">de Linux parmi d’autres, interchangeable sans conséquence — c’est un ensemble de décisions structurantes : quel gestionnaire de paquets utiliser, quelle fréquence de mise à jour attendre, quel niveau de support (gratuit communautaire ou payant avec garanties contractuelles) est disponible, et quelle compatibilité avec les logiciels que l’entreprise prévoit d’utiliser.</w:t>
      </w:r>
    </w:p>
    <w:p>
      <w:pPr>
        <w:pStyle w:val="BodyText"/>
      </w:pPr>
      <w:r>
        <w:t xml:space="preserve">📌 À retenir — deux grandes familles</w:t>
      </w:r>
      <w:r>
        <w:t xml:space="preserve"> </w:t>
      </w:r>
      <w:r>
        <w:t xml:space="preserve">La quasi-totalité des distributions serveur d’entreprise se rattachent à l’une de ces deux grandes familles : la famille</w:t>
      </w:r>
      <w:r>
        <w:t xml:space="preserve"> </w:t>
      </w:r>
      <w:r>
        <w:t xml:space="preserve">Debian</w:t>
      </w:r>
      <w:r>
        <w:t xml:space="preserve"> </w:t>
      </w:r>
      <w:r>
        <w:t xml:space="preserve">(Debian lui-même, Ubuntu), utilisant le gestionnaire de paquets</w:t>
      </w:r>
      <w:r>
        <w:t xml:space="preserve"> </w:t>
      </w:r>
      <w:r>
        <w:t xml:space="preserve">apt</w:t>
      </w:r>
      <w:r>
        <w:t xml:space="preserve"> </w:t>
      </w:r>
      <w:r>
        <w:t xml:space="preserve">et le format</w:t>
      </w:r>
      <w:r>
        <w:t xml:space="preserve"> </w:t>
      </w:r>
      <w:r>
        <w:t xml:space="preserve">.deb</w:t>
      </w:r>
      <w:r>
        <w:t xml:space="preserve"> </w:t>
      </w:r>
      <w:r>
        <w:t xml:space="preserve">; et la famille</w:t>
      </w:r>
      <w:r>
        <w:t xml:space="preserve"> </w:t>
      </w:r>
      <w:r>
        <w:t xml:space="preserve">Red Hat</w:t>
      </w:r>
      <w:r>
        <w:t xml:space="preserve"> </w:t>
      </w:r>
      <w:r>
        <w:t xml:space="preserve">(RHEL, Rocky Linux, et historiquement CentOS), utilisant</w:t>
      </w:r>
      <w:r>
        <w:t xml:space="preserve"> </w:t>
      </w:r>
      <w:r>
        <w:t xml:space="preserve">dnf</w:t>
      </w:r>
      <w:r>
        <w:t xml:space="preserve">/</w:t>
      </w:r>
      <w:r>
        <w:t xml:space="preserve">yum</w:t>
      </w:r>
      <w:r>
        <w:t xml:space="preserve"> </w:t>
      </w:r>
      <w:r>
        <w:t xml:space="preserve">et le format</w:t>
      </w:r>
      <w:r>
        <w:t xml:space="preserve"> </w:t>
      </w:r>
      <w:r>
        <w:t xml:space="preserve">.rpm</w:t>
      </w:r>
      <w:r>
        <w:t xml:space="preserve">. Ce choix de famille structure directement les commandes que tu utiliseras au quotidien (chapitre 15) — une bonne raison de le faire consciemment plutôt que par habitude personnelle.</w:t>
      </w:r>
    </w:p>
    <w:bookmarkEnd w:id="351"/>
    <w:bookmarkStart w:id="352" w:name="X78424215990b2e76156fdfa1ff6d29c060f75c5"/>
    <w:p>
      <w:pPr>
        <w:pStyle w:val="Heading2"/>
      </w:pPr>
      <w:r>
        <w:t xml:space="preserve">14.2 Debian : la fondation, stabilité et gratuité</w:t>
      </w:r>
    </w:p>
    <w:p>
      <w:pPr>
        <w:pStyle w:val="FirstParagraph"/>
      </w:pPr>
      <w:r>
        <w:rPr>
          <w:b/>
          <w:bCs/>
        </w:rPr>
        <w:t xml:space="preserve">Debian</w:t>
      </w:r>
      <w:r>
        <w:t xml:space="preserve"> </w:t>
      </w:r>
      <w:r>
        <w:t xml:space="preserve">est un projet communautaire, entièrement gratuit, réputé pour sa stabilité extrême et son conservatisme technique assumé : les paquets inclus dans une version stable de Debian sont volontairement figés et longuement testés, privilégiant la fiabilité à la fraîcheur des versions logicielles.</w:t>
      </w:r>
    </w:p>
    <w:p>
      <w:pPr>
        <w:pStyle w:val="BodyText"/>
      </w:pPr>
      <w:r>
        <w:t xml:space="preserve">💡 Analogie — le grand-parent prudent de la famille</w:t>
      </w:r>
      <w:r>
        <w:t xml:space="preserve"> </w:t>
      </w:r>
      <w:r>
        <w:t xml:space="preserve">Si les distributions Linux étaient une famille, Debian serait le grand-parent prudent : rien n’est ajouté sans une longue période de test, les changements brusques sont évités, et la stabilité prime toujours sur la nouveauté. Cette prudence a un coût (des versions de logiciels parfois moins récentes que sur d’autres distributions), mais elle explique pourquoi Debian reste un choix apprécié pour des serveurs où la fiabilité prime sur tout le reste.</w:t>
      </w:r>
    </w:p>
    <w:bookmarkEnd w:id="352"/>
    <w:bookmarkStart w:id="353" w:name="Xee285a910b832f3d42b7c7128d4a008baf7ab00"/>
    <w:p>
      <w:pPr>
        <w:pStyle w:val="Heading2"/>
      </w:pPr>
      <w:r>
        <w:t xml:space="preserve">14.3 Ubuntu Server : Debian avec un cycle clair et un support commercial</w:t>
      </w:r>
    </w:p>
    <w:p>
      <w:pPr>
        <w:pStyle w:val="FirstParagraph"/>
      </w:pPr>
      <w:r>
        <w:rPr>
          <w:b/>
          <w:bCs/>
        </w:rPr>
        <w:t xml:space="preserve">Ubuntu Server</w:t>
      </w:r>
      <w:r>
        <w:t xml:space="preserve">, développé par Canonical, est directement dérivé de Debian, mais y ajoute un cycle de publication prévisible et un support commercial optionnel. Le point le plus important à connaître : les versions</w:t>
      </w:r>
      <w:r>
        <w:t xml:space="preserve"> </w:t>
      </w:r>
      <w:r>
        <w:rPr>
          <w:b/>
          <w:bCs/>
        </w:rPr>
        <w:t xml:space="preserve">LTS</w:t>
      </w:r>
      <w:r>
        <w:t xml:space="preserve"> </w:t>
      </w:r>
      <w:r>
        <w:t xml:space="preserve">(</w:t>
      </w:r>
      <w:r>
        <w:rPr>
          <w:i/>
          <w:iCs/>
        </w:rPr>
        <w:t xml:space="preserve">Long Term Support</w:t>
      </w:r>
      <w:r>
        <w:t xml:space="preserve">), publiées tous les deux ans, bénéficient de cinq ans de mises à jour de sécurité gratuites (extensibles via Ubuntu Pro).</w:t>
      </w:r>
    </w:p>
    <w:p>
      <w:pPr>
        <w:pStyle w:val="BodyText"/>
      </w:pPr>
      <w:r>
        <w:t xml:space="preserve">✅ Bonne pratique — toujours choisir une version LTS pour un serveur de production</w:t>
      </w:r>
      <w:r>
        <w:t xml:space="preserve"> </w:t>
      </w:r>
      <w:r>
        <w:t xml:space="preserve">Les versions non-LTS d’Ubuntu (publiées tous les six mois) ont un cycle de support beaucoup plus court (neuf mois) — totalement inadapté à un serveur de production censé rester stable pendant des années. Une erreur fréquente chez les débutants est d’installer la version la plus récente disponible sans distinguer LTS et non-LTS ; en environnement serveur, une version LTS est presque toujours le bon choix par défaut.</w:t>
      </w:r>
    </w:p>
    <w:bookmarkEnd w:id="353"/>
    <w:bookmarkStart w:id="354" w:name="X929d8852e9057dd039573baad5108830baff9d7"/>
    <w:p>
      <w:pPr>
        <w:pStyle w:val="Heading2"/>
      </w:pPr>
      <w:r>
        <w:t xml:space="preserve">14.4 RHEL : le standard entreprise, support payant et certifications</w:t>
      </w:r>
    </w:p>
    <w:p>
      <w:pPr>
        <w:pStyle w:val="FirstParagraph"/>
      </w:pPr>
      <w:r>
        <w:rPr>
          <w:b/>
          <w:bCs/>
        </w:rPr>
        <w:t xml:space="preserve">Red Hat Enterprise Linux</w:t>
      </w:r>
      <w:r>
        <w:t xml:space="preserve"> </w:t>
      </w:r>
      <w:r>
        <w:t xml:space="preserve">(RHEL) est une distribution commerciale, avec un support payant assorti de garanties contractuelles fortes (SLA de correction de vulnérabilités, assistance technique directe de Red Hat). C’est historiquement la distribution la plus répandue dans les grandes entreprises, les administrations, et les secteurs fortement réglementés.</w:t>
      </w:r>
    </w:p>
    <w:p>
      <w:pPr>
        <w:pStyle w:val="BodyText"/>
      </w:pPr>
      <w:r>
        <w:t xml:space="preserve">🔒 Sécurité — pourquoi RHEL domine dans les secteurs réglementés</w:t>
      </w:r>
      <w:r>
        <w:t xml:space="preserve"> </w:t>
      </w:r>
      <w:r>
        <w:t xml:space="preserve">Certaines certifications de conformité réglementaire (dans le secteur bancaire, gouvernemental, ou de santé) exigent ou favorisent explicitement des systèmes bénéficiant d’un support commercial contractuel avec des délais garantis de correction des vulnérabilités critiques — une exigence qu’une distribution purement communautaire, sans engagement contractuel formel, ne peut pas offrir par nature. C’est la réponse concrète à l’intuition du DSI dans le scénario d’ouverture : les grandes banques utilisent effectivement souvent RHEL, mais pour une raison précise (garanties contractuelles), pas par simple prestige de marque.</w:t>
      </w:r>
    </w:p>
    <w:bookmarkEnd w:id="354"/>
    <w:bookmarkStart w:id="355" w:name="Xc092d9bfa4b5fc3aebccd0f497578f8320259d8"/>
    <w:p>
      <w:pPr>
        <w:pStyle w:val="Heading2"/>
      </w:pPr>
      <w:r>
        <w:t xml:space="preserve">14.5 Rocky Linux : l’héritier communautaire après la fin de CentOS</w:t>
      </w:r>
    </w:p>
    <w:p>
      <w:pPr>
        <w:pStyle w:val="FirstParagraph"/>
      </w:pPr>
      <w:r>
        <w:rPr>
          <w:b/>
          <w:bCs/>
        </w:rPr>
        <w:t xml:space="preserve">CentOS</w:t>
      </w:r>
      <w:r>
        <w:t xml:space="preserve">, longtemps la version gratuite et binairement compatible de RHEL (populaire précisément pour bénéficier de la robustesse de RHEL sans son coût), a changé de modèle en 2020 : le projet CentOS Stream est devenu une version de développement en amont de RHEL, plutôt qu’une version stable équivalente en aval — retirant de facto l’option</w:t>
      </w:r>
      <w:r>
        <w:t xml:space="preserve"> </w:t>
      </w:r>
      <w:r>
        <w:t xml:space="preserve">“RHEL gratuit et stable”</w:t>
      </w:r>
      <w:r>
        <w:t xml:space="preserve"> </w:t>
      </w:r>
      <w:r>
        <w:t xml:space="preserve">qui existait auparavant.</w:t>
      </w:r>
      <w:r>
        <w:t xml:space="preserve"> </w:t>
      </w:r>
      <w:r>
        <w:rPr>
          <w:b/>
          <w:bCs/>
        </w:rPr>
        <w:t xml:space="preserve">Rocky Linux</w:t>
      </w:r>
      <w:r>
        <w:t xml:space="preserve">, créé par un cofondateur historique du projet CentOS, a émergé directement en réponse à ce changement, avec un objectif explicite : rester</w:t>
      </w:r>
      <w:r>
        <w:t xml:space="preserve"> </w:t>
      </w:r>
      <w:r>
        <w:rPr>
          <w:b/>
          <w:bCs/>
        </w:rPr>
        <w:t xml:space="preserve">binairement compatible avec RHEL</w:t>
      </w:r>
      <w:r>
        <w:t xml:space="preserve">, gratuitement, avec un support communautaire actif.</w:t>
      </w:r>
    </w:p>
    <w:p>
      <w:pPr>
        <w:pStyle w:val="BodyText"/>
      </w:pPr>
      <w:r>
        <w:t xml:space="preserve">🧠 À mémoriser — l’histoire compte pour comprendre le paysage actuel</w:t>
      </w:r>
      <w:r>
        <w:t xml:space="preserve"> </w:t>
      </w:r>
      <w:r>
        <w:t xml:space="preserve">Si tu rencontres encore des serveurs sous CentOS 7 ou 8 dans une infrastructure existante (une situation encore fréquente en 2026), sache qu’ils approchent ou ont déjà dépassé leur fin de support — un signal d’alerte de sécurité à traiter en priorité (section 14.8), et souvent l’occasion d’une migration vers Rocky Linux ou RHEL directement.</w:t>
      </w:r>
    </w:p>
    <w:bookmarkEnd w:id="355"/>
    <w:bookmarkStart w:id="356" w:name="comparatif-synthétique"/>
    <w:p>
      <w:pPr>
        <w:pStyle w:val="Heading2"/>
      </w:pPr>
      <w:r>
        <w:t xml:space="preserve">14.6 Comparatif synthétique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Critère</w:t>
            </w:r>
          </w:p>
        </w:tc>
        <w:tc>
          <w:tcPr/>
          <w:p>
            <w:pPr>
              <w:pStyle w:val="Compact"/>
            </w:pPr>
            <w:r>
              <w:t xml:space="preserve">Debian</w:t>
            </w:r>
          </w:p>
        </w:tc>
        <w:tc>
          <w:tcPr/>
          <w:p>
            <w:pPr>
              <w:pStyle w:val="Compact"/>
            </w:pPr>
            <w:r>
              <w:t xml:space="preserve">Ubuntu Server (LTS)</w:t>
            </w:r>
          </w:p>
        </w:tc>
        <w:tc>
          <w:tcPr/>
          <w:p>
            <w:pPr>
              <w:pStyle w:val="Compact"/>
            </w:pPr>
            <w:r>
              <w:t xml:space="preserve">Rocky Linux</w:t>
            </w:r>
          </w:p>
        </w:tc>
        <w:tc>
          <w:tcPr/>
          <w:p>
            <w:pPr>
              <w:pStyle w:val="Compact"/>
            </w:pPr>
            <w:r>
              <w:t xml:space="preserve">RHEL</w:t>
            </w:r>
          </w:p>
        </w:tc>
      </w:tr>
      <w:tr>
        <w:tc>
          <w:tcPr/>
          <w:p>
            <w:pPr>
              <w:pStyle w:val="Compact"/>
            </w:pPr>
            <w:r>
              <w:t xml:space="preserve">Famille / gestionnaire de paquets</w:t>
            </w:r>
          </w:p>
        </w:tc>
        <w:tc>
          <w:tcPr/>
          <w:p>
            <w:pPr>
              <w:pStyle w:val="Compact"/>
            </w:pPr>
            <w:r>
              <w:t xml:space="preserve">Debian /</w:t>
            </w:r>
            <w:r>
              <w:t xml:space="preserve"> </w:t>
            </w:r>
            <w:r>
              <w:rPr>
                <w:rStyle w:val="VerbatimChar"/>
              </w:rPr>
              <w:t xml:space="preserve">apt</w:t>
            </w:r>
          </w:p>
        </w:tc>
        <w:tc>
          <w:tcPr/>
          <w:p>
            <w:pPr>
              <w:pStyle w:val="Compact"/>
            </w:pPr>
            <w:r>
              <w:t xml:space="preserve">Debian /</w:t>
            </w:r>
            <w:r>
              <w:t xml:space="preserve"> </w:t>
            </w:r>
            <w:r>
              <w:rPr>
                <w:rStyle w:val="VerbatimChar"/>
              </w:rPr>
              <w:t xml:space="preserve">apt</w:t>
            </w:r>
          </w:p>
        </w:tc>
        <w:tc>
          <w:tcPr/>
          <w:p>
            <w:pPr>
              <w:pStyle w:val="Compact"/>
            </w:pPr>
            <w:r>
              <w:t xml:space="preserve">Red Hat /</w:t>
            </w:r>
            <w:r>
              <w:t xml:space="preserve"> </w:t>
            </w:r>
            <w:r>
              <w:rPr>
                <w:rStyle w:val="VerbatimChar"/>
              </w:rPr>
              <w:t xml:space="preserve">dnf</w:t>
            </w:r>
          </w:p>
        </w:tc>
        <w:tc>
          <w:tcPr/>
          <w:p>
            <w:pPr>
              <w:pStyle w:val="Compact"/>
            </w:pPr>
            <w:r>
              <w:t xml:space="preserve">Red Hat /</w:t>
            </w:r>
            <w:r>
              <w:t xml:space="preserve"> </w:t>
            </w:r>
            <w:r>
              <w:rPr>
                <w:rStyle w:val="VerbatimChar"/>
              </w:rPr>
              <w:t xml:space="preserve">dnf</w:t>
            </w:r>
          </w:p>
        </w:tc>
      </w:tr>
      <w:tr>
        <w:tc>
          <w:tcPr/>
          <w:p>
            <w:pPr>
              <w:pStyle w:val="Compact"/>
            </w:pPr>
            <w:r>
              <w:t xml:space="preserve">Coût</w:t>
            </w:r>
          </w:p>
        </w:tc>
        <w:tc>
          <w:tcPr/>
          <w:p>
            <w:pPr>
              <w:pStyle w:val="Compact"/>
            </w:pPr>
            <w:r>
              <w:t xml:space="preserve">Gratuit</w:t>
            </w:r>
          </w:p>
        </w:tc>
        <w:tc>
          <w:tcPr/>
          <w:p>
            <w:pPr>
              <w:pStyle w:val="Compact"/>
            </w:pPr>
            <w:r>
              <w:t xml:space="preserve">Gratuit (support payant optionnel)</w:t>
            </w:r>
          </w:p>
        </w:tc>
        <w:tc>
          <w:tcPr/>
          <w:p>
            <w:pPr>
              <w:pStyle w:val="Compact"/>
            </w:pPr>
            <w:r>
              <w:t xml:space="preserve">Gratuit</w:t>
            </w:r>
          </w:p>
        </w:tc>
        <w:tc>
          <w:tcPr/>
          <w:p>
            <w:pPr>
              <w:pStyle w:val="Compact"/>
            </w:pPr>
            <w:r>
              <w:t xml:space="preserve">Payant (support et abonnement)</w:t>
            </w:r>
          </w:p>
        </w:tc>
      </w:tr>
      <w:tr>
        <w:tc>
          <w:tcPr/>
          <w:p>
            <w:pPr>
              <w:pStyle w:val="Compact"/>
            </w:pPr>
            <w:r>
              <w:t xml:space="preserve">Support garanti contractuellement</w:t>
            </w:r>
          </w:p>
        </w:tc>
        <w:tc>
          <w:tcPr/>
          <w:p>
            <w:pPr>
              <w:pStyle w:val="Compact"/>
            </w:pPr>
            <w:r>
              <w:t xml:space="preserve">Non (communautaire)</w:t>
            </w:r>
          </w:p>
        </w:tc>
        <w:tc>
          <w:tcPr/>
          <w:p>
            <w:pPr>
              <w:pStyle w:val="Compact"/>
            </w:pPr>
            <w:r>
              <w:t xml:space="preserve">Oui, si Ubuntu Pro</w:t>
            </w:r>
          </w:p>
        </w:tc>
        <w:tc>
          <w:tcPr/>
          <w:p>
            <w:pPr>
              <w:pStyle w:val="Compact"/>
            </w:pPr>
            <w:r>
              <w:t xml:space="preserve">Non (communautaire)</w:t>
            </w:r>
          </w:p>
        </w:tc>
        <w:tc>
          <w:tcPr/>
          <w:p>
            <w:pPr>
              <w:pStyle w:val="Compact"/>
            </w:pPr>
            <w:r>
              <w:t xml:space="preserve">Oui</w:t>
            </w:r>
          </w:p>
        </w:tc>
      </w:tr>
      <w:tr>
        <w:tc>
          <w:tcPr/>
          <w:p>
            <w:pPr>
              <w:pStyle w:val="Compact"/>
            </w:pPr>
            <w:r>
              <w:t xml:space="preserve">Fraîcheur des paquets</w:t>
            </w:r>
          </w:p>
        </w:tc>
        <w:tc>
          <w:tcPr/>
          <w:p>
            <w:pPr>
              <w:pStyle w:val="Compact"/>
            </w:pPr>
            <w:r>
              <w:t xml:space="preserve">Conservatrice</w:t>
            </w:r>
          </w:p>
        </w:tc>
        <w:tc>
          <w:tcPr/>
          <w:p>
            <w:pPr>
              <w:pStyle w:val="Compact"/>
            </w:pPr>
            <w:r>
              <w:t xml:space="preserve">Modérée</w:t>
            </w:r>
          </w:p>
        </w:tc>
        <w:tc>
          <w:tcPr/>
          <w:p>
            <w:pPr>
              <w:pStyle w:val="Compact"/>
            </w:pPr>
            <w:r>
              <w:t xml:space="preserve">Conservatrice (aligné RHEL)</w:t>
            </w:r>
          </w:p>
        </w:tc>
        <w:tc>
          <w:tcPr/>
          <w:p>
            <w:pPr>
              <w:pStyle w:val="Compact"/>
            </w:pPr>
            <w:r>
              <w:t xml:space="preserve">Conservatrice (aligné RHEL)</w:t>
            </w:r>
          </w:p>
        </w:tc>
      </w:tr>
      <w:tr>
        <w:tc>
          <w:tcPr/>
          <w:p>
            <w:pPr>
              <w:pStyle w:val="Compact"/>
            </w:pPr>
            <w:r>
              <w:t xml:space="preserve">Cas d’usage typique</w:t>
            </w:r>
          </w:p>
        </w:tc>
        <w:tc>
          <w:tcPr/>
          <w:p>
            <w:pPr>
              <w:pStyle w:val="Compact"/>
            </w:pPr>
            <w:r>
              <w:t xml:space="preserve">Serveurs où la stabilité gratuite prime</w:t>
            </w:r>
          </w:p>
        </w:tc>
        <w:tc>
          <w:tcPr/>
          <w:p>
            <w:pPr>
              <w:pStyle w:val="Compact"/>
            </w:pPr>
            <w:r>
              <w:t xml:space="preserve">Cloud, conteneurs, projets avec support Canonical optionnel</w:t>
            </w:r>
          </w:p>
        </w:tc>
        <w:tc>
          <w:tcPr/>
          <w:p>
            <w:pPr>
              <w:pStyle w:val="Compact"/>
            </w:pPr>
            <w:r>
              <w:t xml:space="preserve">Alternative gratuite à RHEL, secteurs sans exigence contractuelle stricte</w:t>
            </w:r>
          </w:p>
        </w:tc>
        <w:tc>
          <w:tcPr/>
          <w:p>
            <w:pPr>
              <w:pStyle w:val="Compact"/>
            </w:pPr>
            <w:r>
              <w:t xml:space="preserve">Secteurs réglementés, grandes entreprises, support critique</w:t>
            </w:r>
          </w:p>
        </w:tc>
      </w:tr>
    </w:tbl>
    <w:bookmarkEnd w:id="356"/>
    <w:bookmarkStart w:id="357" w:name="X09ee86093d93b536e027007681bd7d55c866838"/>
    <w:p>
      <w:pPr>
        <w:pStyle w:val="Heading2"/>
      </w:pPr>
      <w:r>
        <w:t xml:space="preserve">14.7 Comment choisir concrètement pour le scénario d’ouverture</w:t>
      </w:r>
    </w:p>
    <w:p>
      <w:pPr>
        <w:pStyle w:val="FirstParagraph"/>
      </w:pPr>
      <w:r>
        <w:t xml:space="preserve">💡 Un cadre de décision en quatre questions</w:t>
      </w:r>
      <w:r>
        <w:t xml:space="preserve"> </w:t>
      </w:r>
      <w:r>
        <w:t xml:space="preserve">1.</w:t>
      </w:r>
      <w:r>
        <w:t xml:space="preserve"> </w:t>
      </w:r>
      <w:r>
        <w:t xml:space="preserve">Une certification ou une exigence contractuelle impose-t-elle un support commercial garanti ?</w:t>
      </w:r>
      <w:r>
        <w:t xml:space="preserve"> </w:t>
      </w:r>
      <w:r>
        <w:t xml:space="preserve">Si oui → RHEL, ou une distribution avec support commercial équivalent (Ubuntu Pro).</w:t>
      </w:r>
      <w:r>
        <w:t xml:space="preserve"> </w:t>
      </w:r>
      <w:r>
        <w:t xml:space="preserve">2.</w:t>
      </w:r>
      <w:r>
        <w:t xml:space="preserve"> </w:t>
      </w:r>
      <w:r>
        <w:t xml:space="preserve">L’équipe a-t-elle déjà une expertise établie sur une famille précise ?</w:t>
      </w:r>
      <w:r>
        <w:t xml:space="preserve"> </w:t>
      </w:r>
      <w:r>
        <w:t xml:space="preserve">Réutiliser une expertise existante réduit le risque opérationnel plus sûrement qu’un choix</w:t>
      </w:r>
      <w:r>
        <w:t xml:space="preserve"> </w:t>
      </w:r>
      <w:r>
        <w:t xml:space="preserve">“techniquement optimal”</w:t>
      </w:r>
      <w:r>
        <w:t xml:space="preserve"> </w:t>
      </w:r>
      <w:r>
        <w:t xml:space="preserve">sur le papier mais inconnu de l’équipe.</w:t>
      </w:r>
      <w:r>
        <w:t xml:space="preserve"> </w:t>
      </w:r>
      <w:r>
        <w:t xml:space="preserve">3.</w:t>
      </w:r>
      <w:r>
        <w:t xml:space="preserve"> </w:t>
      </w:r>
      <w:r>
        <w:t xml:space="preserve">Le logiciel à déployer a-t-il des exigences ou des recommandations officielles de compatibilité ?</w:t>
      </w:r>
      <w:r>
        <w:t xml:space="preserve"> </w:t>
      </w:r>
      <w:r>
        <w:t xml:space="preserve">Certains logiciels ne sont testés et supportés officiellement que sur une distribution précise.</w:t>
      </w:r>
      <w:r>
        <w:t xml:space="preserve"> </w:t>
      </w:r>
      <w:r>
        <w:t xml:space="preserve">4.</w:t>
      </w:r>
      <w:r>
        <w:t xml:space="preserve"> </w:t>
      </w:r>
      <w:r>
        <w:t xml:space="preserve">Le budget permet-il un support commercial, ou faut-il rester sur une solution gratuite ?</w:t>
      </w:r>
    </w:p>
    <w:p>
      <w:pPr>
        <w:pStyle w:val="BodyText"/>
      </w:pPr>
      <w:r>
        <w:t xml:space="preserve">🏢</w:t>
      </w:r>
      <w:r>
        <w:t xml:space="preserve"> </w:t>
      </w:r>
      <w:r>
        <w:rPr>
          <w:b/>
          <w:bCs/>
        </w:rPr>
        <w:t xml:space="preserve">Application au scénario d’ouverture.</w:t>
      </w:r>
      <w:r>
        <w:t xml:space="preserve"> </w:t>
      </w:r>
      <w:r>
        <w:t xml:space="preserve">Pour ce portail client de la compagnie d’assurance : aucune exigence réglementaire stricte n’impose RHEL à ce stade (contrairement à un système bancaire de paiement, par exemple) ; l’équipe de développeurs freelances a déjà une familiarité avec Ubuntu ; le budget d’un projet pilote ne justifie pas nécessairement un abonnement RHEL immédiat.</w:t>
      </w:r>
      <w:r>
        <w:t xml:space="preserve"> </w:t>
      </w:r>
      <w:r>
        <w:rPr>
          <w:b/>
          <w:bCs/>
        </w:rPr>
        <w:t xml:space="preserve">Ubuntu Server LTS</w:t>
      </w:r>
      <w:r>
        <w:t xml:space="preserve"> </w:t>
      </w:r>
      <w:r>
        <w:t xml:space="preserve">est donc un choix défendable et raisonnable ici — pas parce que</w:t>
      </w:r>
      <w:r>
        <w:t xml:space="preserve"> </w:t>
      </w:r>
      <w:r>
        <w:t xml:space="preserve">“c’est ce que le développeur utilise sur son poste personnel”</w:t>
      </w:r>
      <w:r>
        <w:t xml:space="preserve"> </w:t>
      </w:r>
      <w:r>
        <w:t xml:space="preserve">(l’argument initial insuffisant du scénario), mais parce qu’il correspond aux quatre critères du cadre de décision ci-dessus pour ce projet précis. Un futur système de paiement en ligne plus sensible mériterait de reposer ce choix depuis le début.</w:t>
      </w:r>
    </w:p>
    <w:bookmarkEnd w:id="357"/>
    <w:bookmarkStart w:id="358" w:name="X8c7700eb1094f12e3c197c7e7eeb87004062836"/>
    <w:p>
      <w:pPr>
        <w:pStyle w:val="Heading2"/>
      </w:pPr>
      <w:r>
        <w:t xml:space="preserve">14.8 Le cycle de vie et l’importance de ne jamais tourner sur une version en fin de vie</w:t>
      </w:r>
    </w:p>
    <w:p>
      <w:pPr>
        <w:pStyle w:val="FirstParagraph"/>
      </w:pPr>
      <w:r>
        <w:t xml:space="preserve">⚠️ Une distribution en fin de vie (EOL) ne reçoit plus de correctifs de sécurité</w:t>
      </w:r>
      <w:r>
        <w:t xml:space="preserve"> </w:t>
      </w:r>
      <w:r>
        <w:t xml:space="preserve">Rappel direct du chapitre 3 (cycle de vie d’un actif) : chaque distribution a une date de fin de support (</w:t>
      </w:r>
      <w:r>
        <w:rPr>
          <w:i/>
          <w:iCs/>
        </w:rPr>
        <w:t xml:space="preserve">End Of Life</w:t>
      </w:r>
      <w:r>
        <w:t xml:space="preserve">, EOL) au-delà de laquelle plus aucun correctif de sécurité n’est publié, même pour des vulnérabilités critiques activement exploitées. Un serveur qui continue de tourner sur une version EOL (comme un ancien CentOS 8, dont le support s’est arrêté fin 2021) accumule silencieusement des vulnérabilités non corrigées — un risque de sécurité sérieux et croissant, souvent découvert seulement lors d’un audit, exactement le type de découverte redoutée évoquée au chapitre 3.</w:t>
      </w:r>
    </w:p>
    <w:p>
      <w:pPr>
        <w:pStyle w:val="BodyText"/>
      </w:pPr>
      <w:r>
        <w:t xml:space="preserve">🚀 Performance — planifier la migration avant l’échéance, pas après</w:t>
      </w:r>
      <w:r>
        <w:t xml:space="preserve"> </w:t>
      </w:r>
      <w:r>
        <w:t xml:space="preserve">La date de fin de vie d’une distribution est connue des années à l’avance, publiée officiellement — une migration planifiée bien avant l’échéance (dans le cadre d’un changement normal, chapitre 2) coûte beaucoup moins cher en temps et en risque qu’une migration précipitée réalisée dans l’urgence après avoir découvert, lors d’un audit, qu’un serveur critique tourne depuis des mois sans aucun correctif de sécurité disponible.</w:t>
      </w:r>
    </w:p>
    <w:bookmarkEnd w:id="358"/>
    <w:bookmarkStart w:id="359" w:name="X30d12dea6401749d6ad0a7eee64ccabe41d8233"/>
    <w:p>
      <w:pPr>
        <w:pStyle w:val="Heading2"/>
      </w:pPr>
      <w:r>
        <w:t xml:space="preserve">Atelier — Choisir une distribution pour trois scénarios</w:t>
      </w:r>
    </w:p>
    <w:p>
      <w:pPr>
        <w:pStyle w:val="FirstParagraph"/>
      </w:pPr>
      <w:r>
        <w:t xml:space="preserve">🛠️ Atelier 14 — Appliquer le cadre de décision</w:t>
      </w:r>
    </w:p>
    <w:p>
      <w:pPr>
        <w:pStyle w:val="BodyText"/>
      </w:pPr>
      <w:r>
        <w:rPr>
          <w:b/>
          <w:bCs/>
        </w:rPr>
        <w:t xml:space="preserve">Objectif</w:t>
      </w:r>
      <w:r>
        <w:t xml:space="preserve"> </w:t>
      </w:r>
      <w:r>
        <w:t xml:space="preserve">: s’entraîner à appliquer le cadre de décision en quatre questions (section 14.7) à des contextes variés, plutôt que de répondre par préférence personnelle.</w:t>
      </w:r>
    </w:p>
    <w:p>
      <w:pPr>
        <w:pStyle w:val="BodyText"/>
      </w:pPr>
      <w:r>
        <w:rPr>
          <w:b/>
          <w:bCs/>
        </w:rPr>
        <w:t xml:space="preserve">Préparation</w:t>
      </w:r>
      <w:r>
        <w:t xml:space="preserve"> </w:t>
      </w:r>
      <w:r>
        <w:t xml:space="preserve">: aucune installation nécessaire.</w:t>
      </w:r>
    </w:p>
    <w:p>
      <w:pPr>
        <w:pStyle w:val="BodyText"/>
      </w:pPr>
      <w:r>
        <w:rPr>
          <w:b/>
          <w:bCs/>
        </w:rPr>
        <w:t xml:space="preserve">Étapes détaillées</w:t>
      </w:r>
      <w:r>
        <w:t xml:space="preserve"> </w:t>
      </w:r>
      <w:r>
        <w:t xml:space="preserve">:</w:t>
      </w:r>
    </w:p>
    <w:p>
      <w:pPr>
        <w:pStyle w:val="Compact"/>
        <w:numPr>
          <w:ilvl w:val="0"/>
          <w:numId w:val="1318"/>
        </w:numPr>
      </w:pPr>
      <w:r>
        <w:t xml:space="preserve">Pour chacun des trois scénarios suivants, recommande une distribution et justifie ton choix à partir du cadre de décision :</w:t>
      </w:r>
    </w:p>
    <w:p>
      <w:pPr>
        <w:pStyle w:val="Compact"/>
        <w:numPr>
          <w:ilvl w:val="1"/>
          <w:numId w:val="1319"/>
        </w:numPr>
      </w:pPr>
    </w:p>
    <w:p>
      <w:pPr>
        <w:pStyle w:val="Compact"/>
        <w:numPr>
          <w:ilvl w:val="2"/>
          <w:numId w:val="1320"/>
        </w:numPr>
      </w:pPr>
      <w:r>
        <w:t xml:space="preserve">Une banque doit héberger un système de paiement soumis à une certification de sécurité stricte exigeant un support commercial contractuel.</w:t>
      </w:r>
    </w:p>
    <w:p>
      <w:pPr>
        <w:pStyle w:val="Compact"/>
        <w:numPr>
          <w:ilvl w:val="1"/>
          <w:numId w:val="1319"/>
        </w:numPr>
      </w:pPr>
    </w:p>
    <w:p>
      <w:pPr>
        <w:pStyle w:val="Compact"/>
        <w:numPr>
          <w:ilvl w:val="2"/>
          <w:numId w:val="1321"/>
        </w:numPr>
      </w:pPr>
      <w:r>
        <w:t xml:space="preserve">Une association à but non lucratif, sans budget pour du support commercial, souhaite héberger un site web associatif simple.</w:t>
      </w:r>
    </w:p>
    <w:p>
      <w:pPr>
        <w:pStyle w:val="Compact"/>
        <w:numPr>
          <w:ilvl w:val="1"/>
          <w:numId w:val="1319"/>
        </w:numPr>
      </w:pPr>
    </w:p>
    <w:p>
      <w:pPr>
        <w:pStyle w:val="Compact"/>
        <w:numPr>
          <w:ilvl w:val="2"/>
          <w:numId w:val="1322"/>
        </w:numPr>
      </w:pPr>
      <w:r>
        <w:t xml:space="preserve">Une startup technologique dont toute l’équipe a une solide expertise Red Hat/CentOS depuis des années, sans contrainte budgétaire particulière, souhaite héberger ses serveurs applicatifs.</w:t>
      </w:r>
    </w:p>
    <w:p>
      <w:pPr>
        <w:pStyle w:val="Compact"/>
        <w:numPr>
          <w:ilvl w:val="0"/>
          <w:numId w:val="1318"/>
        </w:numPr>
      </w:pPr>
      <w:r>
        <w:t xml:space="preserve">Compare tes réponses à la section</w:t>
      </w:r>
      <w:r>
        <w:t xml:space="preserve"> </w:t>
      </w:r>
      <w:r>
        <w:t xml:space="preserve">“Résultat attendu”</w:t>
      </w:r>
      <w:r>
        <w:t xml:space="preserve">.</w:t>
      </w:r>
    </w:p>
    <w:p>
      <w:pPr>
        <w:pStyle w:val="FirstParagraph"/>
      </w:pPr>
      <w:r>
        <w:rPr>
          <w:b/>
          <w:bCs/>
        </w:rPr>
        <w:t xml:space="preserve">Résultat attendu</w:t>
      </w:r>
      <w:r>
        <w:t xml:space="preserve"> </w:t>
      </w:r>
      <w:r>
        <w:t xml:space="preserve">:</w:t>
      </w:r>
      <w:r>
        <w:t xml:space="preserve"> </w:t>
      </w:r>
      <w:r>
        <w:t xml:space="preserve">- a)</w:t>
      </w:r>
      <w:r>
        <w:t xml:space="preserve"> </w:t>
      </w:r>
      <w:r>
        <w:rPr>
          <w:b/>
          <w:bCs/>
        </w:rPr>
        <w:t xml:space="preserve">RHEL</w:t>
      </w:r>
      <w:r>
        <w:t xml:space="preserve"> </w:t>
      </w:r>
      <w:r>
        <w:t xml:space="preserve">— l’exigence de support commercial contractuel avec garanties formelles rend ce choix quasiment obligatoire, indépendamment du coût.</w:t>
      </w:r>
      <w:r>
        <w:t xml:space="preserve"> </w:t>
      </w:r>
      <w:r>
        <w:t xml:space="preserve">- b)</w:t>
      </w:r>
      <w:r>
        <w:t xml:space="preserve"> </w:t>
      </w:r>
      <w:r>
        <w:rPr>
          <w:b/>
          <w:bCs/>
        </w:rPr>
        <w:t xml:space="preserve">Debian</w:t>
      </w:r>
      <w:r>
        <w:t xml:space="preserve"> </w:t>
      </w:r>
      <w:r>
        <w:t xml:space="preserve">ou</w:t>
      </w:r>
      <w:r>
        <w:t xml:space="preserve"> </w:t>
      </w:r>
      <w:r>
        <w:rPr>
          <w:b/>
          <w:bCs/>
        </w:rPr>
        <w:t xml:space="preserve">Rocky Linux</w:t>
      </w:r>
      <w:r>
        <w:t xml:space="preserve"> </w:t>
      </w:r>
      <w:r>
        <w:t xml:space="preserve">— gratuit, stable, sans besoin de support commercial payant pour un site associatif simple à faible criticité.</w:t>
      </w:r>
      <w:r>
        <w:t xml:space="preserve"> </w:t>
      </w:r>
      <w:r>
        <w:t xml:space="preserve">- c)</w:t>
      </w:r>
      <w:r>
        <w:t xml:space="preserve"> </w:t>
      </w:r>
      <w:r>
        <w:rPr>
          <w:b/>
          <w:bCs/>
        </w:rPr>
        <w:t xml:space="preserve">RHEL</w:t>
      </w:r>
      <w:r>
        <w:t xml:space="preserve"> </w:t>
      </w:r>
      <w:r>
        <w:t xml:space="preserve">ou</w:t>
      </w:r>
      <w:r>
        <w:t xml:space="preserve"> </w:t>
      </w:r>
      <w:r>
        <w:rPr>
          <w:b/>
          <w:bCs/>
        </w:rPr>
        <w:t xml:space="preserve">Rocky Linux</w:t>
      </w:r>
      <w:r>
        <w:t xml:space="preserve"> </w:t>
      </w:r>
      <w:r>
        <w:t xml:space="preserve">— l’expertise existante de l’équipe sur la famille Red Hat pèse lourdement dans ce choix (critère 2 du cadre de décision), le budget disponible permettant même d’envisager RHEL pour bénéficier du support commercial si la criticité des serveurs applicatifs le justifie.</w:t>
      </w:r>
    </w:p>
    <w:p>
      <w:pPr>
        <w:pStyle w:val="BodyText"/>
      </w:pPr>
      <w:r>
        <w:rPr>
          <w:b/>
          <w:bCs/>
        </w:rPr>
        <w:t xml:space="preserve">Dépannage</w:t>
      </w:r>
      <w:r>
        <w:t xml:space="preserve"> </w:t>
      </w:r>
      <w:r>
        <w:t xml:space="preserve">: si ta réponse repose uniquement sur</w:t>
      </w:r>
      <w:r>
        <w:t xml:space="preserve"> </w:t>
      </w:r>
      <w:r>
        <w:t xml:space="preserve">“c’est ce que je connais”</w:t>
      </w:r>
      <w:r>
        <w:t xml:space="preserve"> </w:t>
      </w:r>
      <w:r>
        <w:t xml:space="preserve">ou</w:t>
      </w:r>
      <w:r>
        <w:t xml:space="preserve"> </w:t>
      </w:r>
      <w:r>
        <w:t xml:space="preserve">“c’est le plus populaire”</w:t>
      </w:r>
      <w:r>
        <w:t xml:space="preserve">, reviens au cadre de décision en quatre questions et identifie explicitement lequel de ces critères motive réellement ton choix pour ce scénario précis.</w:t>
      </w:r>
    </w:p>
    <w:bookmarkEnd w:id="359"/>
    <w:bookmarkStart w:id="360" w:name="erreurs-fréquentes-13"/>
    <w:p>
      <w:pPr>
        <w:pStyle w:val="Heading2"/>
      </w:pPr>
      <w:r>
        <w:t xml:space="preserve">Erreurs fréquentes</w:t>
      </w:r>
    </w:p>
    <w:p>
      <w:pPr>
        <w:pStyle w:val="FirstParagraph"/>
      </w:pPr>
      <w:r>
        <w:t xml:space="preserve">⚠️ Erreur n°1 — choisir une distribution par préférence personnelle plutôt que par les besoins du projet</w:t>
      </w:r>
      <w:r>
        <w:t xml:space="preserve"> </w:t>
      </w:r>
      <w:r>
        <w:t xml:space="preserve">Exactement l’argument initial insuffisant du développeur dans le scénario d’ouverture. Une préférence personnelle est un critère parmi d’autres (elle rejoint le critère 2 du cadre de décision, l’expertise de l’équipe), mais jamais le seul critère valable pour un choix d’infrastructure de production.</w:t>
      </w:r>
    </w:p>
    <w:p>
      <w:pPr>
        <w:pStyle w:val="BodyText"/>
      </w:pPr>
      <w:r>
        <w:t xml:space="preserve">⚠️ Erreur n°2 — mélanger les familles de distribution sans raison justifiée</w:t>
      </w:r>
      <w:r>
        <w:t xml:space="preserve"> </w:t>
      </w:r>
      <w:r>
        <w:t xml:space="preserve">Faire cohabiter, sans réflexion, des serveurs Debian/Ubuntu et des serveurs RHEL/Rocky dans la même infrastructure multiplie la charge cognitive de l’équipe (deux gestionnaires de paquets, deux façons de gérer les mises à jour à maîtriser) sans bénéfice clair — un choix parfois justifié (contrainte logicielle précise sur une machine isolée), mais jamais un défaut par accident.</w:t>
      </w:r>
    </w:p>
    <w:p>
      <w:pPr>
        <w:pStyle w:val="BodyText"/>
      </w:pPr>
      <w:r>
        <w:t xml:space="preserve">⚠️ Erreur n°3 — ignorer les dates de fin de vie au moment du choix initial</w:t>
      </w:r>
      <w:r>
        <w:t xml:space="preserve"> </w:t>
      </w:r>
      <w:r>
        <w:t xml:space="preserve">Choisir une version qui approche déjà sa fin de vie au moment du déploiement initial condamne le projet à une migration prématurée peu après sa mise en production — une vérification simple (section 14.8) à faire systématiquement avant tout déploiement, jamais après coup.</w:t>
      </w:r>
    </w:p>
    <w:bookmarkEnd w:id="360"/>
    <w:bookmarkStart w:id="361" w:name="X91858232bceca2f247edea2bc91cb43abc963d8"/>
    <w:p>
      <w:pPr>
        <w:pStyle w:val="Heading2"/>
      </w:pPr>
      <w:r>
        <w:t xml:space="preserve">Diagnostiquer une distribution non documentée</w:t>
      </w:r>
    </w:p>
    <w:p>
      <w:pPr>
        <w:pStyle w:val="FirstParagraph"/>
      </w:pPr>
      <w:r>
        <w:t xml:space="preserve">🩺 Situation :</w:t>
      </w:r>
      <w:r>
        <w:t xml:space="preserve"> </w:t>
      </w:r>
      <w:r>
        <w:t xml:space="preserve">“Je dois administrer un serveur Linux existant, sans savoir quelle distribution ni quelle version il fait tourner”</w:t>
      </w:r>
    </w:p>
    <w:p>
      <w:pPr>
        <w:pStyle w:val="Compact"/>
        <w:numPr>
          <w:ilvl w:val="0"/>
          <w:numId w:val="1323"/>
        </w:numPr>
      </w:pPr>
      <w:r>
        <w:rPr>
          <w:b/>
          <w:bCs/>
        </w:rPr>
        <w:t xml:space="preserve">Diagnostic</w:t>
      </w:r>
      <w:r>
        <w:t xml:space="preserve"> </w:t>
      </w:r>
      <w:r>
        <w:t xml:space="preserve">: une situation fréquente sur une infrastructure héritée mal documentée (chapitre 3) — un audit rapide résout ce doute en quelques secondes.</w:t>
      </w:r>
    </w:p>
    <w:p>
      <w:pPr>
        <w:pStyle w:val="Compact"/>
        <w:numPr>
          <w:ilvl w:val="0"/>
          <w:numId w:val="1323"/>
        </w:numPr>
      </w:pPr>
      <w:r>
        <w:rPr>
          <w:b/>
          <w:bCs/>
        </w:rPr>
        <w:t xml:space="preserve">Comment vérifier</w:t>
      </w:r>
      <w:r>
        <w:t xml:space="preserve"> </w:t>
      </w:r>
      <w:r>
        <w:t xml:space="preserve">: la commande</w:t>
      </w:r>
      <w:r>
        <w:t xml:space="preserve"> </w:t>
      </w:r>
      <w:r>
        <w:rPr>
          <w:rStyle w:val="VerbatimChar"/>
        </w:rPr>
        <w:t xml:space="preserve">cat /etc/os-release</w:t>
      </w:r>
      <w:r>
        <w:t xml:space="preserve"> </w:t>
      </w:r>
      <w:r>
        <w:t xml:space="preserve">(approfondie au chapitre 15) affiche le nom exact et la version de la distribution sur la quasi-totalité des systèmes Linux modernes, indépendamment de la famille.</w:t>
      </w:r>
    </w:p>
    <w:p>
      <w:pPr>
        <w:pStyle w:val="Compact"/>
        <w:numPr>
          <w:ilvl w:val="0"/>
          <w:numId w:val="1323"/>
        </w:numPr>
      </w:pPr>
      <w:r>
        <w:rPr>
          <w:b/>
          <w:bCs/>
        </w:rPr>
        <w:t xml:space="preserve">Résolution</w:t>
      </w:r>
      <w:r>
        <w:t xml:space="preserve"> </w:t>
      </w:r>
      <w:r>
        <w:t xml:space="preserve">: une fois la distribution et la version identifiées, vérifie immédiatement sa date de fin de vie officielle (section 14.8) — une étape à ne jamais sauter lors de la prise en charge d’un serveur hérité inconnu, exactement le réflexe attendu d’un audit d’inventaire (chapitre 3).</w:t>
      </w:r>
    </w:p>
    <w:bookmarkEnd w:id="361"/>
    <w:bookmarkStart w:id="362" w:name="en-entreprise-13"/>
    <w:p>
      <w:pPr>
        <w:pStyle w:val="Heading2"/>
      </w:pPr>
      <w:r>
        <w:t xml:space="preserve">En entreprise</w:t>
      </w:r>
    </w:p>
    <w:p>
      <w:pPr>
        <w:pStyle w:val="Compact"/>
        <w:numPr>
          <w:ilvl w:val="0"/>
          <w:numId w:val="1324"/>
        </w:numPr>
      </w:pPr>
      <w:r>
        <w:rPr>
          <w:b/>
          <w:bCs/>
        </w:rPr>
        <w:t xml:space="preserve">Bonne pratique répandue</w:t>
      </w:r>
      <w:r>
        <w:t xml:space="preserve"> </w:t>
      </w:r>
      <w:r>
        <w:t xml:space="preserve">: documenter, pour chaque serveur (dans la CMDB du chapitre 3), la distribution, la version et la date de fin de vie prévue — permettant une revue périodique simple plutôt qu’une découverte tardive et stressante.</w:t>
      </w:r>
    </w:p>
    <w:p>
      <w:pPr>
        <w:pStyle w:val="Compact"/>
        <w:numPr>
          <w:ilvl w:val="0"/>
          <w:numId w:val="1324"/>
        </w:numPr>
      </w:pPr>
      <w:r>
        <w:rPr>
          <w:b/>
          <w:bCs/>
        </w:rPr>
        <w:t xml:space="preserve">Bonne pratique répandue</w:t>
      </w:r>
      <w:r>
        <w:t xml:space="preserve"> </w:t>
      </w:r>
      <w:r>
        <w:t xml:space="preserve">: standardiser autant que possible sur une seule famille de distribution à l’échelle de l’organisation, sauf contrainte technique précise justifiant une exception documentée.</w:t>
      </w:r>
    </w:p>
    <w:p>
      <w:pPr>
        <w:pStyle w:val="Compact"/>
        <w:numPr>
          <w:ilvl w:val="0"/>
          <w:numId w:val="1324"/>
        </w:numPr>
      </w:pPr>
      <w:r>
        <w:rPr>
          <w:b/>
          <w:bCs/>
        </w:rPr>
        <w:t xml:space="preserve">Erreur classique observée</w:t>
      </w:r>
      <w:r>
        <w:t xml:space="preserve"> </w:t>
      </w:r>
      <w:r>
        <w:t xml:space="preserve">: une infrastructure hétérogène accumulée au fil des années, chaque nouveau projet ayant choisi sa distribution selon la préférence du moment, sans cohérence ni documentation du raisonnement — rendant la maintenance globale nettement plus coûteuse qu’elle ne devrait l’être.</w:t>
      </w:r>
    </w:p>
    <w:bookmarkEnd w:id="362"/>
    <w:bookmarkStart w:id="363" w:name="entretien-technique-13"/>
    <w:p>
      <w:pPr>
        <w:pStyle w:val="Heading2"/>
      </w:pPr>
      <w:r>
        <w:t xml:space="preserve">Entretien technique</w:t>
      </w:r>
    </w:p>
    <w:p>
      <w:pPr>
        <w:pStyle w:val="FirstParagraph"/>
      </w:pPr>
      <w:r>
        <w:t xml:space="preserve">💼 Questions fréquemment posées en entretien</w:t>
      </w:r>
    </w:p>
    <w:p>
      <w:pPr>
        <w:pStyle w:val="BodyText"/>
      </w:pPr>
      <w:r>
        <w:rPr>
          <w:b/>
          <w:bCs/>
        </w:rPr>
        <w:t xml:space="preserve">Q1.</w:t>
      </w:r>
      <w:r>
        <w:rPr>
          <w:b/>
          <w:bCs/>
        </w:rPr>
        <w:t xml:space="preserve"> </w:t>
      </w:r>
      <w:r>
        <w:rPr>
          <w:b/>
          <w:bCs/>
        </w:rPr>
        <w:t xml:space="preserve">“Quelle est la différence fondamentale entre Ubuntu Server et RHEL ?”</w:t>
      </w:r>
      <w:r>
        <w:t xml:space="preserve"> </w:t>
      </w:r>
      <w:r>
        <w:t xml:space="preserve">Réponse attendue : elles appartiennent à deux familles différentes (Debian/</w:t>
      </w:r>
      <w:r>
        <w:rPr>
          <w:rStyle w:val="VerbatimChar"/>
        </w:rPr>
        <w:t xml:space="preserve">apt</w:t>
      </w:r>
      <w:r>
        <w:t xml:space="preserve"> </w:t>
      </w:r>
      <w:r>
        <w:t xml:space="preserve">pour Ubuntu, Red Hat/</w:t>
      </w:r>
      <w:r>
        <w:rPr>
          <w:rStyle w:val="VerbatimChar"/>
        </w:rPr>
        <w:t xml:space="preserve">dnf</w:t>
      </w:r>
      <w:r>
        <w:t xml:space="preserve"> </w:t>
      </w:r>
      <w:r>
        <w:t xml:space="preserve">pour RHEL), avec des modèles économiques distincts (Ubuntu gratuit avec support commercial optionnel, RHEL payant avec support contractuel inclus) — le choix dépend du contexte (budget, exigences de support, expertise de l’équipe), pas d’une supériorité technique absolue de l’une sur l’autre.</w:t>
      </w:r>
    </w:p>
    <w:p>
      <w:pPr>
        <w:pStyle w:val="BodyText"/>
      </w:pPr>
      <w:r>
        <w:rPr>
          <w:b/>
          <w:bCs/>
        </w:rPr>
        <w:t xml:space="preserve">Q2.</w:t>
      </w:r>
      <w:r>
        <w:rPr>
          <w:b/>
          <w:bCs/>
        </w:rPr>
        <w:t xml:space="preserve"> </w:t>
      </w:r>
      <w:r>
        <w:rPr>
          <w:b/>
          <w:bCs/>
        </w:rPr>
        <w:t xml:space="preserve">“Que s’est-il passé avec CentOS, et pourquoi Rocky Linux existe-t-il ?”</w:t>
      </w:r>
      <w:r>
        <w:t xml:space="preserve"> </w:t>
      </w:r>
      <w:r>
        <w:t xml:space="preserve">Réponse attendue : CentOS Stream a remplacé CentOS classique en 2020, devenant une version de développement en amont de RHEL plutôt qu’une version stable équivalente gratuite en aval. Rocky Linux a été créé pour combler ce vide, en visant une compatibilité binaire totale avec RHEL, gratuitement et avec un support communautaire actif.</w:t>
      </w:r>
    </w:p>
    <w:p>
      <w:pPr>
        <w:pStyle w:val="BodyText"/>
      </w:pPr>
      <w:r>
        <w:rPr>
          <w:b/>
          <w:bCs/>
        </w:rPr>
        <w:t xml:space="preserve">Q3.</w:t>
      </w:r>
      <w:r>
        <w:rPr>
          <w:b/>
          <w:bCs/>
        </w:rPr>
        <w:t xml:space="preserve"> </w:t>
      </w:r>
      <w:r>
        <w:rPr>
          <w:b/>
          <w:bCs/>
        </w:rPr>
        <w:t xml:space="preserve">“Comment choisirais-tu une distribution pour un nouveau projet, en pratique ?”</w:t>
      </w:r>
      <w:r>
        <w:t xml:space="preserve"> </w:t>
      </w:r>
      <w:r>
        <w:t xml:space="preserve">Réponse attendue : en appliquant un cadre de décision structuré (exigences de support contractuel, expertise existante de l’équipe, contraintes de compatibilité logicielle, budget disponible) plutôt qu’une préférence personnelle — exactement le cadre en quatre questions de la section 14.7.</w:t>
      </w:r>
    </w:p>
    <w:bookmarkEnd w:id="363"/>
    <w:bookmarkStart w:id="364" w:name="X83cc0f84e58c66d5d0eb15e0391764eaadf5ff7"/>
    <w:p>
      <w:pPr>
        <w:pStyle w:val="Heading2"/>
      </w:pPr>
      <w:r>
        <w:t xml:space="preserve">Optimisation, sécurité et maintenabilité — les réflexes dès ce chapitre</w:t>
      </w:r>
    </w:p>
    <w:p>
      <w:pPr>
        <w:pStyle w:val="FirstParagraph"/>
      </w:pPr>
      <w:r>
        <w:t xml:space="preserve">🔒 Sécurité</w:t>
      </w:r>
      <w:r>
        <w:t xml:space="preserve"> </w:t>
      </w:r>
      <w:r>
        <w:t xml:space="preserve">Vérifie systématiquement la date de fin de vie d’une distribution avant tout déploiement de production, et intègre cette date dans un calendrier de suivi (au même titre que le cycle de vie d’un actif, chapitre 3) — une migration planifiée des mois à l’avance coûte toujours moins cher qu’une correction en urgence après découverte d’un système non supporté.</w:t>
      </w:r>
    </w:p>
    <w:p>
      <w:pPr>
        <w:pStyle w:val="BodyText"/>
      </w:pPr>
      <w:r>
        <w:t xml:space="preserve">✅ Maintenabilité</w:t>
      </w:r>
      <w:r>
        <w:t xml:space="preserve"> </w:t>
      </w:r>
      <w:r>
        <w:t xml:space="preserve">Documente explicitement, pour chaque nouveau projet, la justification du choix de distribution (chapitre 3) — une décision d’architecture non documentée devient une question sans réponse claire des années plus tard, quand la personne qui a fait ce choix a changé de poste.</w:t>
      </w:r>
    </w:p>
    <w:p>
      <w:pPr>
        <w:pStyle w:val="BodyText"/>
      </w:pPr>
      <w:r>
        <w:t xml:space="preserve">🚀 Performance</w:t>
      </w:r>
      <w:r>
        <w:t xml:space="preserve"> </w:t>
      </w:r>
      <w:r>
        <w:t xml:space="preserve">Une standardisation raisonnable sur une seule famille de distribution à l’échelle de l’organisation réduit la charge cognitive de l’équipe et accélère la formation de nouveaux arrivants, qui n’ont besoin de maîtriser qu’un seul écosystème d’outils plutôt que plusieurs en parallèle.</w:t>
      </w:r>
    </w:p>
    <w:bookmarkEnd w:id="364"/>
    <w:bookmarkStart w:id="365" w:name="résumé-du-chapitre-13"/>
    <w:p>
      <w:pPr>
        <w:pStyle w:val="Heading2"/>
      </w:pPr>
      <w:r>
        <w:t xml:space="preserve">Résumé du chapitre</w:t>
      </w:r>
    </w:p>
    <w:p>
      <w:pPr>
        <w:pStyle w:val="Compact"/>
        <w:numPr>
          <w:ilvl w:val="0"/>
          <w:numId w:val="1325"/>
        </w:numPr>
      </w:pPr>
      <w:r>
        <w:t xml:space="preserve">Les distributions Linux serveur se répartissent principalement en deux familles : Debian (Debian, Ubuntu) et Red Hat (RHEL, Rocky Linux).</w:t>
      </w:r>
    </w:p>
    <w:p>
      <w:pPr>
        <w:pStyle w:val="Compact"/>
        <w:numPr>
          <w:ilvl w:val="0"/>
          <w:numId w:val="1325"/>
        </w:numPr>
      </w:pPr>
      <w:r>
        <w:t xml:space="preserve">Debian privilégie la stabilité gratuite ; Ubuntu Server LTS ajoute un cycle prévisible et un support commercial optionnel.</w:t>
      </w:r>
    </w:p>
    <w:p>
      <w:pPr>
        <w:pStyle w:val="Compact"/>
        <w:numPr>
          <w:ilvl w:val="0"/>
          <w:numId w:val="1325"/>
        </w:numPr>
      </w:pPr>
      <w:r>
        <w:t xml:space="preserve">RHEL offre un support commercial contractuel fort, particulièrement adapté aux secteurs réglementés ; Rocky Linux en est l’alternative gratuite et communautaire depuis la fin de CentOS classique en 2020.</w:t>
      </w:r>
    </w:p>
    <w:p>
      <w:pPr>
        <w:pStyle w:val="Compact"/>
        <w:numPr>
          <w:ilvl w:val="0"/>
          <w:numId w:val="1325"/>
        </w:numPr>
      </w:pPr>
      <w:r>
        <w:t xml:space="preserve">Le choix d’une distribution doit s’appuyer sur des critères concrets (exigences de support, expertise de l’équipe, compatibilité logicielle, budget), jamais sur la seule préférence personnelle.</w:t>
      </w:r>
    </w:p>
    <w:p>
      <w:pPr>
        <w:pStyle w:val="Compact"/>
        <w:numPr>
          <w:ilvl w:val="0"/>
          <w:numId w:val="1325"/>
        </w:numPr>
      </w:pPr>
      <w:r>
        <w:t xml:space="preserve">Une distribution en fin de vie (EOL) ne reçoit plus de correctifs de sécurité — un risque à anticiper largement à l’avance, jamais à découvrir tardivement lors d’un audit.</w:t>
      </w:r>
    </w:p>
    <w:bookmarkEnd w:id="365"/>
    <w:bookmarkStart w:id="366" w:name="quiz-13"/>
    <w:p>
      <w:pPr>
        <w:pStyle w:val="Heading2"/>
      </w:pPr>
      <w:r>
        <w:t xml:space="preserve">Quiz</w:t>
      </w:r>
    </w:p>
    <w:p>
      <w:pPr>
        <w:pStyle w:val="FirstParagraph"/>
      </w:pPr>
      <w:r>
        <w:t xml:space="preserve">📝 QCM (une seule bonne réponse par question)</w:t>
      </w:r>
    </w:p>
    <w:p>
      <w:pPr>
        <w:pStyle w:val="Compact"/>
        <w:numPr>
          <w:ilvl w:val="0"/>
          <w:numId w:val="1326"/>
        </w:numPr>
      </w:pPr>
      <w:r>
        <w:t xml:space="preserve">Ubuntu Server et Debian appartiennent à la même famille, utilisant le gestionnaire de paquets :</w:t>
      </w:r>
    </w:p>
    <w:p>
      <w:pPr>
        <w:pStyle w:val="Compact"/>
        <w:numPr>
          <w:ilvl w:val="1"/>
          <w:numId w:val="1327"/>
        </w:numPr>
      </w:pPr>
    </w:p>
    <w:p>
      <w:pPr>
        <w:pStyle w:val="Compact"/>
        <w:numPr>
          <w:ilvl w:val="2"/>
          <w:numId w:val="1328"/>
        </w:numPr>
      </w:pPr>
      <w:r>
        <w:rPr>
          <w:rStyle w:val="VerbatimChar"/>
        </w:rPr>
        <w:t xml:space="preserve">dnf</w:t>
      </w:r>
    </w:p>
    <w:p>
      <w:pPr>
        <w:pStyle w:val="Compact"/>
        <w:numPr>
          <w:ilvl w:val="1"/>
          <w:numId w:val="1327"/>
        </w:numPr>
      </w:pPr>
    </w:p>
    <w:p>
      <w:pPr>
        <w:pStyle w:val="Compact"/>
        <w:numPr>
          <w:ilvl w:val="2"/>
          <w:numId w:val="1329"/>
        </w:numPr>
      </w:pPr>
      <w:r>
        <w:rPr>
          <w:rStyle w:val="VerbatimChar"/>
        </w:rPr>
        <w:t xml:space="preserve">apt</w:t>
      </w:r>
    </w:p>
    <w:p>
      <w:pPr>
        <w:pStyle w:val="Compact"/>
        <w:numPr>
          <w:ilvl w:val="1"/>
          <w:numId w:val="1327"/>
        </w:numPr>
      </w:pPr>
    </w:p>
    <w:p>
      <w:pPr>
        <w:pStyle w:val="Compact"/>
        <w:numPr>
          <w:ilvl w:val="2"/>
          <w:numId w:val="1330"/>
        </w:numPr>
      </w:pPr>
      <w:r>
        <w:rPr>
          <w:rStyle w:val="VerbatimChar"/>
        </w:rPr>
        <w:t xml:space="preserve">yum</w:t>
      </w:r>
    </w:p>
    <w:p>
      <w:pPr>
        <w:pStyle w:val="Compact"/>
        <w:numPr>
          <w:ilvl w:val="1"/>
          <w:numId w:val="1327"/>
        </w:numPr>
      </w:pPr>
    </w:p>
    <w:p>
      <w:pPr>
        <w:pStyle w:val="Compact"/>
        <w:numPr>
          <w:ilvl w:val="2"/>
          <w:numId w:val="1331"/>
        </w:numPr>
      </w:pPr>
      <w:r>
        <w:rPr>
          <w:rStyle w:val="VerbatimChar"/>
        </w:rPr>
        <w:t xml:space="preserve">rpm</w:t>
      </w:r>
      <w:r>
        <w:t xml:space="preserve"> </w:t>
      </w:r>
      <w:r>
        <w:t xml:space="preserve">seul, sans gestionnaire de dépendances</w:t>
      </w:r>
    </w:p>
    <w:p>
      <w:pPr>
        <w:pStyle w:val="Compact"/>
        <w:numPr>
          <w:ilvl w:val="0"/>
          <w:numId w:val="1326"/>
        </w:numPr>
      </w:pPr>
      <w:r>
        <w:t xml:space="preserve">Rocky Linux a été créé en réponse à :</w:t>
      </w:r>
    </w:p>
    <w:p>
      <w:pPr>
        <w:pStyle w:val="Compact"/>
        <w:numPr>
          <w:ilvl w:val="1"/>
          <w:numId w:val="1332"/>
        </w:numPr>
      </w:pPr>
    </w:p>
    <w:p>
      <w:pPr>
        <w:pStyle w:val="Compact"/>
        <w:numPr>
          <w:ilvl w:val="2"/>
          <w:numId w:val="1333"/>
        </w:numPr>
      </w:pPr>
      <w:r>
        <w:t xml:space="preserve">La fin de vie de Debian</w:t>
      </w:r>
    </w:p>
    <w:p>
      <w:pPr>
        <w:pStyle w:val="Compact"/>
        <w:numPr>
          <w:ilvl w:val="1"/>
          <w:numId w:val="1332"/>
        </w:numPr>
      </w:pPr>
    </w:p>
    <w:p>
      <w:pPr>
        <w:pStyle w:val="Compact"/>
        <w:numPr>
          <w:ilvl w:val="2"/>
          <w:numId w:val="1334"/>
        </w:numPr>
      </w:pPr>
      <w:r>
        <w:t xml:space="preserve">Le changement de modèle de CentOS en 2020 (passage à CentOS Stream)</w:t>
      </w:r>
    </w:p>
    <w:p>
      <w:pPr>
        <w:pStyle w:val="Compact"/>
        <w:numPr>
          <w:ilvl w:val="1"/>
          <w:numId w:val="1332"/>
        </w:numPr>
      </w:pPr>
    </w:p>
    <w:p>
      <w:pPr>
        <w:pStyle w:val="Compact"/>
        <w:numPr>
          <w:ilvl w:val="2"/>
          <w:numId w:val="1335"/>
        </w:numPr>
      </w:pPr>
      <w:r>
        <w:t xml:space="preserve">Le rachat de Red Hat par IBM</w:t>
      </w:r>
    </w:p>
    <w:p>
      <w:pPr>
        <w:pStyle w:val="Compact"/>
        <w:numPr>
          <w:ilvl w:val="1"/>
          <w:numId w:val="1332"/>
        </w:numPr>
      </w:pPr>
    </w:p>
    <w:p>
      <w:pPr>
        <w:pStyle w:val="Compact"/>
        <w:numPr>
          <w:ilvl w:val="2"/>
          <w:numId w:val="1336"/>
        </w:numPr>
      </w:pPr>
      <w:r>
        <w:t xml:space="preserve">L’arrêt du support d’Ubuntu Server</w:t>
      </w:r>
    </w:p>
    <w:p>
      <w:pPr>
        <w:pStyle w:val="Compact"/>
        <w:numPr>
          <w:ilvl w:val="0"/>
          <w:numId w:val="1326"/>
        </w:numPr>
      </w:pPr>
      <w:r>
        <w:t xml:space="preserve">Une distribution en fin de vie (EOL) présente principalement le risque de :</w:t>
      </w:r>
    </w:p>
    <w:p>
      <w:pPr>
        <w:pStyle w:val="Compact"/>
        <w:numPr>
          <w:ilvl w:val="1"/>
          <w:numId w:val="1337"/>
        </w:numPr>
      </w:pPr>
    </w:p>
    <w:p>
      <w:pPr>
        <w:pStyle w:val="Compact"/>
        <w:numPr>
          <w:ilvl w:val="2"/>
          <w:numId w:val="1338"/>
        </w:numPr>
      </w:pPr>
      <w:r>
        <w:t xml:space="preserve">Ne plus recevoir de correctifs de sécurité</w:t>
      </w:r>
    </w:p>
    <w:p>
      <w:pPr>
        <w:pStyle w:val="Compact"/>
        <w:numPr>
          <w:ilvl w:val="1"/>
          <w:numId w:val="1337"/>
        </w:numPr>
      </w:pPr>
    </w:p>
    <w:p>
      <w:pPr>
        <w:pStyle w:val="Compact"/>
        <w:numPr>
          <w:ilvl w:val="2"/>
          <w:numId w:val="1339"/>
        </w:numPr>
      </w:pPr>
      <w:r>
        <w:t xml:space="preserve">Ne plus pouvoir démarrer du tout</w:t>
      </w:r>
    </w:p>
    <w:p>
      <w:pPr>
        <w:pStyle w:val="Compact"/>
        <w:numPr>
          <w:ilvl w:val="1"/>
          <w:numId w:val="1337"/>
        </w:numPr>
      </w:pPr>
    </w:p>
    <w:p>
      <w:pPr>
        <w:pStyle w:val="Compact"/>
        <w:numPr>
          <w:ilvl w:val="2"/>
          <w:numId w:val="1340"/>
        </w:numPr>
      </w:pPr>
      <w:r>
        <w:t xml:space="preserve">Perdre automatiquement toutes ses données</w:t>
      </w:r>
    </w:p>
    <w:p>
      <w:pPr>
        <w:pStyle w:val="Compact"/>
        <w:numPr>
          <w:ilvl w:val="1"/>
          <w:numId w:val="1337"/>
        </w:numPr>
      </w:pPr>
    </w:p>
    <w:p>
      <w:pPr>
        <w:pStyle w:val="Compact"/>
        <w:numPr>
          <w:ilvl w:val="2"/>
          <w:numId w:val="1341"/>
        </w:numPr>
      </w:pPr>
      <w:r>
        <w:t xml:space="preserve">Ne plus supporter le réseau</w:t>
      </w:r>
    </w:p>
    <w:p>
      <w:pPr>
        <w:pStyle w:val="FirstParagraph"/>
      </w:pPr>
      <w:r>
        <w:rPr>
          <w:b/>
          <w:bCs/>
        </w:rPr>
        <w:t xml:space="preserve">Corrigé</w:t>
      </w:r>
      <w:r>
        <w:t xml:space="preserve"> </w:t>
      </w:r>
      <w:r>
        <w:t xml:space="preserve">: 1-b, 2-b, 3-a.</w:t>
      </w:r>
    </w:p>
    <w:p>
      <w:pPr>
        <w:pStyle w:val="BodyText"/>
      </w:pPr>
      <w:r>
        <w:t xml:space="preserve">📝 Vrai ou Faux</w:t>
      </w:r>
    </w:p>
    <w:p>
      <w:pPr>
        <w:pStyle w:val="Compact"/>
        <w:numPr>
          <w:ilvl w:val="0"/>
          <w:numId w:val="1342"/>
        </w:numPr>
      </w:pPr>
      <w:r>
        <w:t xml:space="preserve">RHEL est toujours objectivement</w:t>
      </w:r>
      <w:r>
        <w:t xml:space="preserve"> </w:t>
      </w:r>
      <w:r>
        <w:t xml:space="preserve">“meilleur”</w:t>
      </w:r>
      <w:r>
        <w:t xml:space="preserve"> </w:t>
      </w:r>
      <w:r>
        <w:t xml:space="preserve">techniquement que Debian ou Ubuntu Server. —</w:t>
      </w:r>
      <w:r>
        <w:t xml:space="preserve"> </w:t>
      </w:r>
      <w:r>
        <w:rPr>
          <w:b/>
          <w:bCs/>
        </w:rPr>
        <w:t xml:space="preserve">Faux</w:t>
      </w:r>
      <w:r>
        <w:t xml:space="preserve"> </w:t>
      </w:r>
      <w:r>
        <w:t xml:space="preserve">(le meilleur choix dépend du contexte, pas d’une supériorité technique absolue).</w:t>
      </w:r>
    </w:p>
    <w:p>
      <w:pPr>
        <w:pStyle w:val="Compact"/>
        <w:numPr>
          <w:ilvl w:val="0"/>
          <w:numId w:val="1342"/>
        </w:numPr>
      </w:pPr>
      <w:r>
        <w:t xml:space="preserve">Rocky Linux vise une compatibilité binaire totale avec RHEL. —</w:t>
      </w:r>
      <w:r>
        <w:t xml:space="preserve"> </w:t>
      </w:r>
      <w:r>
        <w:rPr>
          <w:b/>
          <w:bCs/>
        </w:rPr>
        <w:t xml:space="preserve">Vrai</w:t>
      </w:r>
      <w:r>
        <w:t xml:space="preserve">.</w:t>
      </w:r>
    </w:p>
    <w:p>
      <w:pPr>
        <w:pStyle w:val="Compact"/>
        <w:numPr>
          <w:ilvl w:val="0"/>
          <w:numId w:val="1342"/>
        </w:numPr>
      </w:pPr>
      <w:r>
        <w:t xml:space="preserve">Les versions non-LTS d’Ubuntu Server conviennent parfaitement à un serveur de production à long terme. —</w:t>
      </w:r>
      <w:r>
        <w:t xml:space="preserve"> </w:t>
      </w:r>
      <w:r>
        <w:rPr>
          <w:b/>
          <w:bCs/>
        </w:rPr>
        <w:t xml:space="preserve">Faux</w:t>
      </w:r>
      <w:r>
        <w:t xml:space="preserve"> </w:t>
      </w:r>
      <w:r>
        <w:t xml:space="preserve">(leur support de neuf mois est inadapté, une version LTS est recommandée).</w:t>
      </w:r>
    </w:p>
    <w:p>
      <w:pPr>
        <w:pStyle w:val="Compact"/>
        <w:numPr>
          <w:ilvl w:val="0"/>
          <w:numId w:val="1342"/>
        </w:numPr>
      </w:pPr>
      <w:r>
        <w:t xml:space="preserve">Il est possible de connaître la distribution et la version exactes d’un serveur Linux via</w:t>
      </w:r>
      <w:r>
        <w:t xml:space="preserve"> </w:t>
      </w:r>
      <w:r>
        <w:rPr>
          <w:rStyle w:val="VerbatimChar"/>
        </w:rPr>
        <w:t xml:space="preserve">cat /etc/os-release</w:t>
      </w:r>
      <w:r>
        <w:t xml:space="preserve">. —</w:t>
      </w:r>
      <w:r>
        <w:t xml:space="preserve"> </w:t>
      </w:r>
      <w:r>
        <w:rPr>
          <w:b/>
          <w:bCs/>
        </w:rPr>
        <w:t xml:space="preserve">Vrai</w:t>
      </w:r>
      <w:r>
        <w:t xml:space="preserve">.</w:t>
      </w:r>
    </w:p>
    <w:p>
      <w:pPr>
        <w:pStyle w:val="FirstParagraph"/>
      </w:pPr>
      <w:r>
        <w:t xml:space="preserve">📝 Questions ouvertes</w:t>
      </w:r>
    </w:p>
    <w:p>
      <w:pPr>
        <w:pStyle w:val="Compact"/>
        <w:numPr>
          <w:ilvl w:val="0"/>
          <w:numId w:val="1343"/>
        </w:numPr>
      </w:pPr>
      <w:r>
        <w:t xml:space="preserve">Explique pourquoi l’argument</w:t>
      </w:r>
      <w:r>
        <w:t xml:space="preserve"> </w:t>
      </w:r>
      <w:r>
        <w:t xml:space="preserve">“c’est ce que j’utilise sur mon poste personnel”</w:t>
      </w:r>
      <w:r>
        <w:t xml:space="preserve"> </w:t>
      </w:r>
      <w:r>
        <w:t xml:space="preserve">est insuffisant, à lui seul, pour justifier le choix d’une distribution serveur en production.</w:t>
      </w:r>
    </w:p>
    <w:p>
      <w:pPr>
        <w:pStyle w:val="Compact"/>
        <w:numPr>
          <w:ilvl w:val="0"/>
          <w:numId w:val="1343"/>
        </w:numPr>
      </w:pPr>
      <w:r>
        <w:t xml:space="preserve">Reprends le scénario d’ouverture. Explique pourquoi l’intuition du DSI (</w:t>
      </w:r>
      <w:r>
        <w:t xml:space="preserve">“prendre la même chose que les grandes banques”</w:t>
      </w:r>
      <w:r>
        <w:t xml:space="preserve">) n’est ni complètement fausse ni une méthode de décision suffisante en elle-même.</w:t>
      </w:r>
    </w:p>
    <w:p>
      <w:pPr>
        <w:pStyle w:val="FirstParagraph"/>
      </w:pPr>
      <w:r>
        <w:rPr>
          <w:b/>
          <w:bCs/>
        </w:rPr>
        <w:t xml:space="preserve">Corrigé 1</w:t>
      </w:r>
      <w:r>
        <w:t xml:space="preserve"> </w:t>
      </w:r>
      <w:r>
        <w:t xml:space="preserve">: la familiarité personnelle est un critère légitime (elle rejoint le critère d’expertise de l’équipe du cadre de décision), mais elle ne prend en compte ni les exigences de support contractuel éventuelles, ni les contraintes de compatibilité logicielle, ni le budget disponible — des facteurs tout aussi déterminants pour un choix de production durable, pas seulement pour un poste de travail personnel.</w:t>
      </w:r>
    </w:p>
    <w:p>
      <w:pPr>
        <w:pStyle w:val="BodyText"/>
      </w:pPr>
      <w:r>
        <w:rPr>
          <w:b/>
          <w:bCs/>
        </w:rPr>
        <w:t xml:space="preserve">Corrigé 2</w:t>
      </w:r>
      <w:r>
        <w:t xml:space="preserve"> </w:t>
      </w:r>
      <w:r>
        <w:t xml:space="preserve">: les grandes banques choisissent effectivement souvent RHEL, mais pour une raison précise et vérifiable — les exigences de certification et de support contractuel garanti de leur secteur (section 14.4) — pas par simple réputation ou prestige de marque. L’intuition du DSI est donc fondée sur une observation réelle, mais devient une vraie méthode de décision seulement une fois reliée explicitement au cadre de décision en quatre questions (section 14.7), qui permet de vérifier si ces mêmes raisons s’appliquent réellement au projet en question.</w:t>
      </w:r>
    </w:p>
    <w:bookmarkEnd w:id="366"/>
    <w:bookmarkStart w:id="367" w:name="exercices-13"/>
    <w:p>
      <w:pPr>
        <w:pStyle w:val="Heading2"/>
      </w:pPr>
      <w:r>
        <w:t xml:space="preserve">Exercices</w:t>
      </w:r>
    </w:p>
    <w:p>
      <w:pPr>
        <w:pStyle w:val="FirstParagraph"/>
      </w:pPr>
      <w:r>
        <w:t xml:space="preserve">📝 Exercice 14.1</w:t>
      </w:r>
    </w:p>
    <w:p>
      <w:pPr>
        <w:pStyle w:val="BodyText"/>
      </w:pPr>
      <w:r>
        <w:t xml:space="preserve">Un serveur hérité tourne sous CentOS 8, dont le support standard s’est arrêté fin 2021. Explique les risques concrets de continuer à l’utiliser tel quel en 2026, et propose une action à recommander à la direction.</w:t>
      </w:r>
    </w:p>
    <w:p>
      <w:pPr>
        <w:pStyle w:val="BodyText"/>
      </w:pPr>
      <w:r>
        <w:rPr>
          <w:b/>
          <w:bCs/>
        </w:rPr>
        <w:t xml:space="preserve">Corrigé :</w:t>
      </w:r>
      <w:r>
        <w:t xml:space="preserve"> </w:t>
      </w:r>
      <w:r>
        <w:t xml:space="preserve">Ce serveur n’a reçu aucun correctif de sécurité depuis plusieurs années — toute vulnérabilité découverte depuis dans les composants du système reste non corrigée et potentiellement exploitable, un risque de sécurité sérieux et croissant avec le temps (section 14.8). Je recommanderais une migration planifiée, dans le cadre d’un changement normal documenté (chapitre 2), vers Rocky Linux (alternative gratuite la plus proche techniquement) ou RHEL si un support commercial est envisageable, plutôt que de continuer à reporter cette migration ou d’attendre un incident de sécurité pour agir dans l’urgence.</w:t>
      </w:r>
    </w:p>
    <w:p>
      <w:pPr>
        <w:pStyle w:val="BodyText"/>
      </w:pPr>
      <w:r>
        <w:t xml:space="preserve">📝 Exercice 14.2</w:t>
      </w:r>
    </w:p>
    <w:p>
      <w:pPr>
        <w:pStyle w:val="BodyText"/>
      </w:pPr>
      <w:r>
        <w:t xml:space="preserve">Rédige, en 3 à 5 phrases, comment tu justifierais par écrit (pour la documentation du chapitre 3) le choix d’Ubuntu Server LTS pour le portail client du scénario d’ouverture, en t’appuyant sur le cadre de décision de la section 14.7.</w:t>
      </w:r>
    </w:p>
    <w:p>
      <w:pPr>
        <w:pStyle w:val="BodyText"/>
      </w:pPr>
      <w:r>
        <w:rPr>
          <w:b/>
          <w:bCs/>
        </w:rPr>
        <w:t xml:space="preserve">Corrigé (exemple de réponse) :</w:t>
      </w:r>
      <w:r>
        <w:t xml:space="preserve"> </w:t>
      </w:r>
      <w:r>
        <w:t xml:space="preserve">Ubuntu Server LTS a été choisi pour le portail client car aucune exigence réglementaire stricte n’impose à ce stade un support commercial contractuel garanti, contrairement à un système de paiement plus sensible. L’équipe de développement freelance dispose déjà d’une expertise établie sur cette distribution, réduisant le risque opérationnel du projet. Le budget du projet pilote ne justifiait pas un abonnement RHEL immédiat, tout en conservant la possibilité d’ajouter un support commercial via Ubuntu Pro plus tard si la criticité du service augmente. Cette décision sera à réévaluer si le portail évolue vers des fonctionnalités de paiement en ligne nécessitant des certifications de sécurité plus strictes.</w:t>
      </w:r>
    </w:p>
    <w:bookmarkEnd w:id="367"/>
    <w:bookmarkStart w:id="368" w:name="checklist-de-fin-de-chapitre-13"/>
    <w:p>
      <w:pPr>
        <w:pStyle w:val="Heading2"/>
      </w:pPr>
      <w:r>
        <w:t xml:space="preserve">Checklist de fin de chapitre</w:t>
      </w:r>
    </w:p>
    <w:p>
      <w:pPr>
        <w:pStyle w:val="FirstParagraph"/>
      </w:pPr>
      <w:r>
        <w:t xml:space="preserve">☐ Je sais distinguer les familles Debian et Red Hat, et leurs gestionnaires de paquets respectifs.</w:t>
      </w:r>
    </w:p>
    <w:p>
      <w:pPr>
        <w:pStyle w:val="BodyText"/>
      </w:pPr>
      <w:r>
        <w:t xml:space="preserve">☐ Je comprends les différences entre Debian, Ubuntu Server, Rocky Linux et RHEL.</w:t>
      </w:r>
    </w:p>
    <w:p>
      <w:pPr>
        <w:pStyle w:val="BodyText"/>
      </w:pPr>
      <w:r>
        <w:t xml:space="preserve">☐ Je connais l’histoire du changement de modèle de CentOS et la naissance de Rocky Linux.</w:t>
      </w:r>
    </w:p>
    <w:p>
      <w:pPr>
        <w:pStyle w:val="BodyText"/>
      </w:pPr>
      <w:r>
        <w:t xml:space="preserve">☐ Je sais appliquer un cadre de décision structuré pour choisir une distribution, plutôt qu’une préférence personnelle.</w:t>
      </w:r>
    </w:p>
    <w:p>
      <w:pPr>
        <w:pStyle w:val="BodyText"/>
      </w:pPr>
      <w:r>
        <w:t xml:space="preserve">☐ Je comprends le risque d’une distribution en fin de vie (EOL) et l’importance d’anticiper une migration.</w:t>
      </w:r>
    </w:p>
    <w:p>
      <w:pPr>
        <w:pStyle w:val="BodyText"/>
      </w:pPr>
      <w:r>
        <w:t xml:space="preserve">☐ Je sais identifier la distribution et la version d’un serveur Linux existant via</w:t>
      </w:r>
      <w:r>
        <w:t xml:space="preserve"> </w:t>
      </w:r>
      <w:r>
        <w:rPr>
          <w:rStyle w:val="VerbatimChar"/>
        </w:rPr>
        <w:t xml:space="preserve">cat /etc/os-release</w:t>
      </w:r>
      <w:r>
        <w:t xml:space="preserve">.</w:t>
      </w:r>
    </w:p>
    <w:bookmarkEnd w:id="368"/>
    <w:bookmarkStart w:id="369" w:name="faq-13"/>
    <w:p>
      <w:pPr>
        <w:pStyle w:val="Heading2"/>
      </w:pPr>
      <w:r>
        <w:t xml:space="preserve">FAQ</w:t>
      </w:r>
    </w:p>
    <w:p>
      <w:pPr>
        <w:pStyle w:val="FirstParagraph"/>
      </w:pPr>
      <w:r>
        <w:t xml:space="preserve">Peut-on changer de distribution facilement après un premier déploiement ?</w:t>
      </w:r>
    </w:p>
    <w:p>
      <w:pPr>
        <w:pStyle w:val="BodyText"/>
      </w:pPr>
      <w:r>
        <w:t xml:space="preserve">Non, c’est rarement trivial — une migration de distribution implique généralement une réinstallation complète et une revalidation de toutes les applications concernées, plutôt qu’une simple mise à jour. C’est précisément pourquoi le choix initial mérite la réflexion structurée de ce chapitre, plutôt qu’une décision prise à la légère en espérant pouvoir</w:t>
      </w:r>
      <w:r>
        <w:t xml:space="preserve"> </w:t>
      </w:r>
      <w:r>
        <w:t xml:space="preserve">“changer plus tard facilement”</w:t>
      </w:r>
      <w:r>
        <w:t xml:space="preserve">.</w:t>
      </w:r>
    </w:p>
    <w:p>
      <w:pPr>
        <w:pStyle w:val="BodyText"/>
      </w:pPr>
      <w:r>
        <w:t xml:space="preserve">Fedora est-elle adaptée à un usage serveur de production ?</w:t>
      </w:r>
    </w:p>
    <w:p>
      <w:pPr>
        <w:pStyle w:val="BodyText"/>
      </w:pPr>
      <w:r>
        <w:t xml:space="preserve">Non, Fedora est un projet communautaire à cycle de vie très court (environ 13 mois), pensé comme terrain d’expérimentation des futures fonctionnalités de RHEL — utile pour découvrir de nouvelles technologies, mais inadapté à un serveur de production nécessitant une stabilité durable, contrairement à RHEL ou Rocky Linux qui en dérivent après stabilisation.</w:t>
      </w:r>
    </w:p>
    <w:p>
      <w:pPr>
        <w:pStyle w:val="BodyText"/>
      </w:pPr>
      <w:r>
        <w:t xml:space="preserve">Le choix de distribution affecte-t-il les compétences à acquérir dans la suite de ce manuel ?</w:t>
      </w:r>
    </w:p>
    <w:p>
      <w:pPr>
        <w:pStyle w:val="BodyText"/>
      </w:pPr>
      <w:r>
        <w:t xml:space="preserve">Les concepts fondamentaux couverts dans les prochains chapitres de cette partie (systemd, LVM, permissions, scripting) s’appliquent de façon quasiment identique à toutes les distributions Linux modernes — seule la gestion des paquets (chapitre 15) diffère significativement entre les deux familles.</w:t>
      </w:r>
    </w:p>
    <w:p>
      <w:pPr>
        <w:pStyle w:val="BodyText"/>
      </w:pPr>
      <w:r>
        <w:t xml:space="preserve">Ubuntu Pro est-il nécessaire pour un usage professionnel sérieux ?</w:t>
      </w:r>
    </w:p>
    <w:p>
      <w:pPr>
        <w:pStyle w:val="BodyText"/>
      </w:pPr>
      <w:r>
        <w:t xml:space="preserve">Non, pas systématiquement — Ubuntu Server LTS reste pleinement utilisable et à jour en sécurité gratuitement pendant cinq ans sans Ubuntu Pro. Ubuntu Pro devient intéressant pour un support étendu au-delà de cette période, ou pour des garanties contractuelles spécifiques exigées par certains contextes réglementaires.</w:t>
      </w:r>
    </w:p>
    <w:bookmarkEnd w:id="369"/>
    <w:bookmarkStart w:id="375" w:name="références-et-pour-aller-plus-loin-13"/>
    <w:p>
      <w:pPr>
        <w:pStyle w:val="Heading2"/>
      </w:pPr>
      <w:r>
        <w:t xml:space="preserve">Références et pour aller plus loin</w:t>
      </w:r>
    </w:p>
    <w:p>
      <w:pPr>
        <w:pStyle w:val="Compact"/>
        <w:numPr>
          <w:ilvl w:val="0"/>
          <w:numId w:val="1344"/>
        </w:numPr>
      </w:pPr>
      <w:r>
        <w:t xml:space="preserve">Documentation officielle Debian :</w:t>
      </w:r>
      <w:r>
        <w:t xml:space="preserve"> </w:t>
      </w:r>
      <w:hyperlink r:id="rId370">
        <w:r>
          <w:rPr>
            <w:rStyle w:val="Hyperlink"/>
          </w:rPr>
          <w:t xml:space="preserve">https://www.debian.org/doc/</w:t>
        </w:r>
      </w:hyperlink>
    </w:p>
    <w:p>
      <w:pPr>
        <w:pStyle w:val="Compact"/>
        <w:numPr>
          <w:ilvl w:val="0"/>
          <w:numId w:val="1344"/>
        </w:numPr>
      </w:pPr>
      <w:r>
        <w:t xml:space="preserve">Documentation officielle Ubuntu Server :</w:t>
      </w:r>
      <w:r>
        <w:t xml:space="preserve"> </w:t>
      </w:r>
      <w:hyperlink r:id="rId371">
        <w:r>
          <w:rPr>
            <w:rStyle w:val="Hyperlink"/>
          </w:rPr>
          <w:t xml:space="preserve">https://ubuntu.com/server/docs</w:t>
        </w:r>
      </w:hyperlink>
    </w:p>
    <w:p>
      <w:pPr>
        <w:pStyle w:val="Compact"/>
        <w:numPr>
          <w:ilvl w:val="0"/>
          <w:numId w:val="1344"/>
        </w:numPr>
      </w:pPr>
      <w:r>
        <w:t xml:space="preserve">Documentation officielle Rocky Linux :</w:t>
      </w:r>
      <w:r>
        <w:t xml:space="preserve"> </w:t>
      </w:r>
      <w:hyperlink r:id="rId372">
        <w:r>
          <w:rPr>
            <w:rStyle w:val="Hyperlink"/>
          </w:rPr>
          <w:t xml:space="preserve">https://docs.rockylinux.org/</w:t>
        </w:r>
      </w:hyperlink>
    </w:p>
    <w:p>
      <w:pPr>
        <w:pStyle w:val="Compact"/>
        <w:numPr>
          <w:ilvl w:val="0"/>
          <w:numId w:val="1344"/>
        </w:numPr>
      </w:pPr>
      <w:r>
        <w:t xml:space="preserve">Red Hat — Documentation et cycle de vie de RHEL :</w:t>
      </w:r>
      <w:r>
        <w:t xml:space="preserve"> </w:t>
      </w:r>
      <w:hyperlink r:id="rId373">
        <w:r>
          <w:rPr>
            <w:rStyle w:val="Hyperlink"/>
          </w:rPr>
          <w:t xml:space="preserve">https://access.redhat.com/support/policy/updates/errata</w:t>
        </w:r>
      </w:hyperlink>
    </w:p>
    <w:p>
      <w:pPr>
        <w:pStyle w:val="Compact"/>
        <w:numPr>
          <w:ilvl w:val="0"/>
          <w:numId w:val="1344"/>
        </w:numPr>
      </w:pPr>
      <w:r>
        <w:t xml:space="preserve">Ubuntu — Calendrier des versions et fins de support :</w:t>
      </w:r>
      <w:r>
        <w:t xml:space="preserve"> </w:t>
      </w:r>
      <w:hyperlink r:id="rId374">
        <w:r>
          <w:rPr>
            <w:rStyle w:val="Hyperlink"/>
          </w:rPr>
          <w:t xml:space="preserve">https://ubuntu.com/about/release-cycle</w:t>
        </w:r>
      </w:hyperlink>
    </w:p>
    <w:p>
      <w:pPr>
        <w:pStyle w:val="FirstParagraph"/>
      </w:pPr>
      <w:r>
        <w:rPr>
          <w:i/>
          <w:iCs/>
        </w:rPr>
        <w:t xml:space="preserve">Chapitre suivant : gestion des paquets et dépôts — comment installer, mettre à jour et retirer des logiciels sur Debian/Ubuntu (</w:t>
      </w:r>
      <w:r>
        <w:rPr>
          <w:rStyle w:val="VerbatimChar"/>
          <w:i/>
          <w:iCs/>
        </w:rPr>
        <w:t xml:space="preserve">apt</w:t>
      </w:r>
      <w:r>
        <w:rPr>
          <w:i/>
          <w:iCs/>
        </w:rPr>
        <w:t xml:space="preserve">) et sur Rocky Linux/RHEL (</w:t>
      </w:r>
      <w:r>
        <w:rPr>
          <w:rStyle w:val="VerbatimChar"/>
          <w:i/>
          <w:iCs/>
        </w:rPr>
        <w:t xml:space="preserve">dnf</w:t>
      </w:r>
      <w:r>
        <w:rPr>
          <w:i/>
          <w:iCs/>
        </w:rPr>
        <w:t xml:space="preserve">), la première compétence pratique concrète de cette nouvelle partie.</w:t>
      </w:r>
    </w:p>
    <w:p>
      <w:pPr>
        <w:pStyle w:val="BodyText"/>
      </w:pPr>
      <w:r>
        <w:t xml:space="preserve">CHAPITRE 15</w:t>
      </w:r>
    </w:p>
    <w:bookmarkEnd w:id="375"/>
    <w:bookmarkEnd w:id="376"/>
    <w:bookmarkStart w:id="397" w:name="gestion-des-paquets-et-dépôts"/>
    <w:p>
      <w:pPr>
        <w:pStyle w:val="Heading1"/>
      </w:pPr>
      <w:r>
        <w:t xml:space="preserve">Gestion des paquets et dépôts</w:t>
      </w:r>
    </w:p>
    <w:p>
      <w:pPr>
        <w:pStyle w:val="FirstParagraph"/>
      </w:pPr>
      <w:r>
        <w:t xml:space="preserve">🎯 Objectif du chapitre</w:t>
      </w:r>
      <w:r>
        <w:t xml:space="preserve"> </w:t>
      </w:r>
      <w:r>
        <w:t xml:space="preserve">Maîtriser l’installation, la mise à jour et le retrait de logiciels sur les deux grandes familles de distributions Linux (</w:t>
      </w:r>
      <w:r>
        <w:rPr>
          <w:rStyle w:val="VerbatimChar"/>
        </w:rPr>
        <w:t xml:space="preserve">apt</w:t>
      </w:r>
      <w:r>
        <w:t xml:space="preserve"> </w:t>
      </w:r>
      <w:r>
        <w:t xml:space="preserve">pour Debian/Ubuntu,</w:t>
      </w:r>
      <w:r>
        <w:t xml:space="preserve"> </w:t>
      </w:r>
      <w:r>
        <w:rPr>
          <w:rStyle w:val="VerbatimChar"/>
        </w:rPr>
        <w:t xml:space="preserve">dnf</w:t>
      </w:r>
      <w:r>
        <w:t xml:space="preserve"> </w:t>
      </w:r>
      <w:r>
        <w:t xml:space="preserve">pour Rocky Linux/RHEL), comprendre ce qu’est un dépôt et pourquoi sa fiabilité est une question de sécurité, et savoir diagnostiquer les erreurs les plus courantes de gestion de paquets. À la fin de ce chapitre, tu seras capable d’installer et de maintenir des logiciels sur un serveur Linux avec la même aisance qu’un administrateur Windows utilise le Gestionnaire de serveur.</w:t>
      </w:r>
    </w:p>
    <w:p>
      <w:pPr>
        <w:pStyle w:val="BodyText"/>
      </w:pPr>
      <w:r>
        <w:t xml:space="preserve">🎬 Mise en situation</w:t>
      </w:r>
      <w:r>
        <w:t xml:space="preserve"> </w:t>
      </w:r>
      <w:r>
        <w:t xml:space="preserve">Le premier serveur Ubuntu Server LTS du chapitre précédent vient d’être provisionné pour le portail client. Le développeur freelance t’envoie une liste de logiciels à installer : Nginx (serveur web), une base de données PostgreSQL, et un outil de monitoring qu’il a trouvé</w:t>
      </w:r>
      <w:r>
        <w:t xml:space="preserve"> </w:t>
      </w:r>
      <w:r>
        <w:t xml:space="preserve">“sur un tutoriel en ligne, avec un script à exécuter directement en tant que root”</w:t>
      </w:r>
      <w:r>
        <w:t xml:space="preserve">. Tu acceptes d’installer les deux premiers sans hésiter, mais tu marques une pause sur le troisième.</w:t>
      </w:r>
      <w:r>
        <w:t xml:space="preserve"> </w:t>
      </w:r>
      <w:r>
        <w:t xml:space="preserve">“Pourquoi tu ne l’installes pas directement avec le script, ça prend deux minutes”</w:t>
      </w:r>
      <w:r>
        <w:t xml:space="preserve">, te demande-t-il. Ta réponse à cette question — et la façon rigoureuse dont tu vas installer chacun de ces trois logiciels — est exactement le sujet de ce chapitre.</w:t>
      </w:r>
    </w:p>
    <w:bookmarkStart w:id="377" w:name="quest-ce-quun-paquet-quest-ce-quun-dépôt"/>
    <w:p>
      <w:pPr>
        <w:pStyle w:val="Heading2"/>
      </w:pPr>
      <w:r>
        <w:t xml:space="preserve">15.1 Qu’est-ce qu’un paquet, qu’est-ce qu’un dépôt</w:t>
      </w:r>
    </w:p>
    <w:p>
      <w:pPr>
        <w:pStyle w:val="FirstParagraph"/>
      </w:pPr>
      <w:r>
        <w:t xml:space="preserve">Un</w:t>
      </w:r>
      <w:r>
        <w:t xml:space="preserve"> </w:t>
      </w:r>
      <w:r>
        <w:rPr>
          <w:b/>
          <w:bCs/>
        </w:rPr>
        <w:t xml:space="preserve">paquet</w:t>
      </w:r>
      <w:r>
        <w:t xml:space="preserve"> </w:t>
      </w:r>
      <w:r>
        <w:t xml:space="preserve">est une archive contenant un logiciel prêt à l’emploi, accompagné de métadonnées (nom, version, dépendances nécessaires, instructions d’installation). Un</w:t>
      </w:r>
      <w:r>
        <w:t xml:space="preserve"> </w:t>
      </w:r>
      <w:r>
        <w:rPr>
          <w:b/>
          <w:bCs/>
        </w:rPr>
        <w:t xml:space="preserve">dépôt</w:t>
      </w:r>
      <w:r>
        <w:t xml:space="preserve"> </w:t>
      </w:r>
      <w:r>
        <w:t xml:space="preserve">est un serveur distant qui héberge une collection organisée de paquets, que le gestionnaire de paquets interroge pour trouver, télécharger et installer un logiciel demandé.</w:t>
      </w:r>
    </w:p>
    <w:p>
      <w:pPr>
        <w:pStyle w:val="BodyText"/>
      </w:pPr>
      <w:r>
        <w:t xml:space="preserve">💡 Analogie — la pharmacie contre le marché informel</w:t>
      </w:r>
      <w:r>
        <w:t xml:space="preserve"> </w:t>
      </w:r>
      <w:r>
        <w:t xml:space="preserve">Installer un logiciel depuis un dépôt officiel s’apparente à acheter un médicament en pharmacie : la chaîne de fabrication et de distribution est tracée, contrôlée, et la pharmacie engage sa responsabilité sur ce qu’elle vend. Exécuter un script trouvé</w:t>
      </w:r>
      <w:r>
        <w:t xml:space="preserve"> </w:t>
      </w:r>
      <w:r>
        <w:t xml:space="preserve">“sur un tutoriel en ligne”</w:t>
      </w:r>
      <w:r>
        <w:t xml:space="preserve"> </w:t>
      </w:r>
      <w:r>
        <w:t xml:space="preserve">en tant que root, comme le suggère le développeur du scénario d’ouverture, s’apparente davantage à acheter un remède auprès d’un vendeur inconnu dans la rue : peut-être que le produit est authentique, mais rien ne le garantit, et personne n’engage sa responsabilité si ce n’est pas le cas.</w:t>
      </w:r>
    </w:p>
    <w:p>
      <w:pPr>
        <w:pStyle w:val="BodyText"/>
      </w:pPr>
      <w:r>
        <w:t xml:space="preserve">🔒 Sécurité — pourquoi la provenance d’un paquet compte autant que son contenu</w:t>
      </w:r>
      <w:r>
        <w:t xml:space="preserve"> </w:t>
      </w:r>
      <w:r>
        <w:t xml:space="preserve">Un dépôt officiel (Debian, Ubuntu, RHEL/Rocky, ou un dépôt tiers reconnu comme celui d’un éditeur logiciel majeur) signe cryptographiquement ses paquets — le gestionnaire de paquets vérifie cette signature avant toute installation, garantissant que le paquet provient réellement de la source annoncée et n’a pas été altéré en chemin. Un script exécuté directement depuis Internet, en tant que root, contourne entièrement cette vérification : rien ne garantit son authenticité ni son intégrité, et une exécution en tant que root lui donne un accès total et immédiat au système, sans aucune limite.</w:t>
      </w:r>
    </w:p>
    <w:bookmarkEnd w:id="377"/>
    <w:bookmarkStart w:id="378" w:name="répondre-à-la-question-du-développeur"/>
    <w:p>
      <w:pPr>
        <w:pStyle w:val="Heading2"/>
      </w:pPr>
      <w:r>
        <w:t xml:space="preserve">15.2 Répondre à la question du développeur</w:t>
      </w:r>
    </w:p>
    <w:p>
      <w:pPr>
        <w:pStyle w:val="FirstParagraph"/>
      </w:pPr>
      <w:r>
        <w:t xml:space="preserve">Reprenons directement la question posée dans le scénario d’ouverture : pourquoi ne pas simplement exécuter le script trouvé en ligne ?</w:t>
      </w:r>
    </w:p>
    <w:p>
      <w:pPr>
        <w:pStyle w:val="BodyText"/>
      </w:pPr>
      <w:r>
        <w:t xml:space="preserve">❌ Mauvaise pratique —</w:t>
      </w:r>
      <w:r>
        <w:t xml:space="preserve"> </w:t>
      </w:r>
      <w:r>
        <w:rPr>
          <w:rStyle w:val="VerbatimChar"/>
        </w:rPr>
        <w:t xml:space="preserve">curl ... | sudo bash</w:t>
      </w:r>
      <w:r>
        <w:t xml:space="preserve"> </w:t>
      </w:r>
      <w:r>
        <w:t xml:space="preserve">Ce motif, très répandu dans des tutoriels en ligne peu rigoureux, télécharge un script depuis Internet et l’exécute immédiatement avec les privilèges root, sans jamais l’inspecter au préalable. Si la source est compromise (piratage du serveur hébergeant le script, attaque de la chaîne d’approvisionnement) ou si le script contient une erreur, le système est immédiatement exposé sans aucune barrière de sécurité intermédiaire — un risque disproportionné par rapport au gain de temps réel (quelques minutes) que cette méthode fait économiser par rapport à une installation via un dépôt correctement configuré.</w:t>
      </w:r>
    </w:p>
    <w:p>
      <w:pPr>
        <w:pStyle w:val="BodyText"/>
      </w:pPr>
      <w:r>
        <w:t xml:space="preserve">✅ Bonne pratique — privilégier toujours le dépôt officiel du logiciel</w:t>
      </w:r>
      <w:r>
        <w:t xml:space="preserve"> </w:t>
      </w:r>
      <w:r>
        <w:t xml:space="preserve">La grande majorité des logiciels sérieux (dont les outils de monitoring reconnus comme Prometheus, Grafana, ou Zabbix, approfondis en Partie 10) proposent officiellement un dépôt APT ou DNF à ajouter, avec une clé de signature publique à importer une seule fois — une méthode qui prend à peine plus de temps que le script direct, tout en bénéficiant de la vérification cryptographique et de la gestion normale des mises à jour futures via le gestionnaire de paquets standard.</w:t>
      </w:r>
    </w:p>
    <w:bookmarkEnd w:id="378"/>
    <w:bookmarkStart w:id="379" w:name="Xe6dbcb6c387bdd5744dc950f7549e1d2190ab25"/>
    <w:p>
      <w:pPr>
        <w:pStyle w:val="Heading2"/>
      </w:pPr>
      <w:r>
        <w:t xml:space="preserve">15.3</w:t>
      </w:r>
      <w:r>
        <w:t xml:space="preserve"> </w:t>
      </w:r>
      <w:r>
        <w:rPr>
          <w:rStyle w:val="VerbatimChar"/>
        </w:rPr>
        <w:t xml:space="preserve">apt</w:t>
      </w:r>
      <w:r>
        <w:t xml:space="preserve"> </w:t>
      </w:r>
      <w:r>
        <w:t xml:space="preserve">: gestion des paquets sur Debian et Ubuntu</w:t>
      </w:r>
    </w:p>
    <w:p>
      <w:pPr>
        <w:pStyle w:val="SourceCode"/>
      </w:pPr>
      <w:r>
        <w:rPr>
          <w:rStyle w:val="VerbatimChar"/>
        </w:rPr>
        <w:t xml:space="preserve"># Mettre a jour la liste locale des paquets disponibles depuis les depots</w:t>
      </w:r>
      <w:r>
        <w:br/>
      </w:r>
      <w:r>
        <w:rPr>
          <w:rStyle w:val="VerbatimChar"/>
        </w:rPr>
        <w:t xml:space="preserve"># configures (a faire avant toute installation, pour eviter d'installer</w:t>
      </w:r>
      <w:r>
        <w:br/>
      </w:r>
      <w:r>
        <w:rPr>
          <w:rStyle w:val="VerbatimChar"/>
        </w:rPr>
        <w:t xml:space="preserve"># une version obsolete deja retiree du depot)</w:t>
      </w:r>
      <w:r>
        <w:br/>
      </w:r>
      <w:r>
        <w:rPr>
          <w:rStyle w:val="VerbatimChar"/>
        </w:rPr>
        <w:t xml:space="preserve">sudo apt update</w:t>
      </w:r>
      <w:r>
        <w:br/>
      </w:r>
      <w:r>
        <w:br/>
      </w:r>
      <w:r>
        <w:rPr>
          <w:rStyle w:val="VerbatimChar"/>
        </w:rPr>
        <w:t xml:space="preserve"># Mettre a jour tous les paquets installes vers leur derniere version disponible</w:t>
      </w:r>
      <w:r>
        <w:br/>
      </w:r>
      <w:r>
        <w:rPr>
          <w:rStyle w:val="VerbatimChar"/>
        </w:rPr>
        <w:t xml:space="preserve">sudo apt upgrade</w:t>
      </w:r>
      <w:r>
        <w:br/>
      </w:r>
      <w:r>
        <w:br/>
      </w:r>
      <w:r>
        <w:rPr>
          <w:rStyle w:val="VerbatimChar"/>
        </w:rPr>
        <w:t xml:space="preserve"># Installer un nouveau paquet (ici, le serveur web Nginx)</w:t>
      </w:r>
      <w:r>
        <w:br/>
      </w:r>
      <w:r>
        <w:rPr>
          <w:rStyle w:val="VerbatimChar"/>
        </w:rPr>
        <w:t xml:space="preserve">sudo apt install nginx</w:t>
      </w:r>
      <w:r>
        <w:br/>
      </w:r>
      <w:r>
        <w:br/>
      </w:r>
      <w:r>
        <w:rPr>
          <w:rStyle w:val="VerbatimChar"/>
        </w:rPr>
        <w:t xml:space="preserve"># Rechercher un paquet par mot-cle</w:t>
      </w:r>
      <w:r>
        <w:br/>
      </w:r>
      <w:r>
        <w:rPr>
          <w:rStyle w:val="VerbatimChar"/>
        </w:rPr>
        <w:t xml:space="preserve">apt search postgresql</w:t>
      </w:r>
      <w:r>
        <w:br/>
      </w:r>
      <w:r>
        <w:br/>
      </w:r>
      <w:r>
        <w:rPr>
          <w:rStyle w:val="VerbatimChar"/>
        </w:rPr>
        <w:t xml:space="preserve"># Retirer un paquet, en conservant ses fichiers de configuration</w:t>
      </w:r>
      <w:r>
        <w:br/>
      </w:r>
      <w:r>
        <w:rPr>
          <w:rStyle w:val="VerbatimChar"/>
        </w:rPr>
        <w:t xml:space="preserve">sudo apt remove postgresql</w:t>
      </w:r>
      <w:r>
        <w:br/>
      </w:r>
      <w:r>
        <w:br/>
      </w:r>
      <w:r>
        <w:rPr>
          <w:rStyle w:val="VerbatimChar"/>
        </w:rPr>
        <w:t xml:space="preserve"># Retirer un paquet ET ses fichiers de configuration (nettoyage complet)</w:t>
      </w:r>
      <w:r>
        <w:br/>
      </w:r>
      <w:r>
        <w:rPr>
          <w:rStyle w:val="VerbatimChar"/>
        </w:rPr>
        <w:t xml:space="preserve">sudo apt purge postgresql</w:t>
      </w:r>
      <w:r>
        <w:br/>
      </w:r>
      <w:r>
        <w:br/>
      </w:r>
      <w:r>
        <w:rPr>
          <w:rStyle w:val="VerbatimChar"/>
        </w:rPr>
        <w:t xml:space="preserve"># Retirer les dependances devenues inutiles apres une suppression</w:t>
      </w:r>
      <w:r>
        <w:br/>
      </w:r>
      <w:r>
        <w:rPr>
          <w:rStyle w:val="VerbatimChar"/>
        </w:rPr>
        <w:t xml:space="preserve">sudo apt autoremove</w:t>
      </w:r>
    </w:p>
    <w:p>
      <w:pPr>
        <w:pStyle w:val="FirstParagraph"/>
      </w:pPr>
      <w:r>
        <w:t xml:space="preserve">⚠️ Ne jamais confondre</w:t>
      </w:r>
      <w:r>
        <w:t xml:space="preserve"> </w:t>
      </w:r>
      <w:r>
        <w:rPr>
          <w:rStyle w:val="VerbatimChar"/>
        </w:rPr>
        <w:t xml:space="preserve">apt update</w:t>
      </w:r>
      <w:r>
        <w:t xml:space="preserve"> </w:t>
      </w:r>
      <w:r>
        <w:t xml:space="preserve">et</w:t>
      </w:r>
      <w:r>
        <w:t xml:space="preserve"> </w:t>
      </w:r>
      <w:r>
        <w:rPr>
          <w:rStyle w:val="VerbatimChar"/>
        </w:rPr>
        <w:t xml:space="preserve">apt upgrade</w:t>
      </w:r>
      <w:r>
        <w:t xml:space="preserve"> </w:t>
      </w:r>
      <w:r>
        <w:t xml:space="preserve">C’est l’une des confusions les plus fréquentes chez les débutants sur Debian/Ubuntu :</w:t>
      </w:r>
      <w:r>
        <w:t xml:space="preserve"> </w:t>
      </w:r>
      <w:r>
        <w:t xml:space="preserve">apt update</w:t>
      </w:r>
      <w:r>
        <w:t xml:space="preserve"> </w:t>
      </w:r>
      <w:r>
        <w:t xml:space="preserve">ne met à jour</w:t>
      </w:r>
      <w:r>
        <w:t xml:space="preserve"> </w:t>
      </w:r>
      <w:r>
        <w:rPr>
          <w:b/>
          <w:bCs/>
        </w:rPr>
        <w:t xml:space="preserve">aucun logiciel</w:t>
      </w:r>
      <w:r>
        <w:t xml:space="preserve"> </w:t>
      </w:r>
      <w:r>
        <w:t xml:space="preserve">— il actualise uniquement la liste locale des paquets disponibles depuis les dépôts.</w:t>
      </w:r>
      <w:r>
        <w:t xml:space="preserve"> </w:t>
      </w:r>
      <w:r>
        <w:t xml:space="preserve">apt upgrade</w:t>
      </w:r>
      <w:r>
        <w:t xml:space="preserve"> </w:t>
      </w:r>
      <w:r>
        <w:t xml:space="preserve">effectue la mise à jour réelle des logiciels installés. Oublier</w:t>
      </w:r>
      <w:r>
        <w:t xml:space="preserve"> </w:t>
      </w:r>
      <w:r>
        <w:t xml:space="preserve">apt update</w:t>
      </w:r>
      <w:r>
        <w:t xml:space="preserve"> </w:t>
      </w:r>
      <w:r>
        <w:t xml:space="preserve">avant</w:t>
      </w:r>
      <w:r>
        <w:t xml:space="preserve"> </w:t>
      </w:r>
      <w:r>
        <w:t xml:space="preserve">apt upgrade</w:t>
      </w:r>
      <w:r>
        <w:t xml:space="preserve"> </w:t>
      </w:r>
      <w:r>
        <w:t xml:space="preserve">peut faire manquer des mises à jour de sécurité récentes, car le système travaille alors sur une liste de paquets potentiellement obsolète.</w:t>
      </w:r>
    </w:p>
    <w:bookmarkEnd w:id="379"/>
    <w:bookmarkStart w:id="380" w:name="Xd7f87250d4d04814efa63a9dadd001fe5a11949"/>
    <w:p>
      <w:pPr>
        <w:pStyle w:val="Heading2"/>
      </w:pPr>
      <w:r>
        <w:t xml:space="preserve">15.4</w:t>
      </w:r>
      <w:r>
        <w:t xml:space="preserve"> </w:t>
      </w:r>
      <w:r>
        <w:rPr>
          <w:rStyle w:val="VerbatimChar"/>
        </w:rPr>
        <w:t xml:space="preserve">dnf</w:t>
      </w:r>
      <w:r>
        <w:t xml:space="preserve"> </w:t>
      </w:r>
      <w:r>
        <w:t xml:space="preserve">: gestion des paquets sur Rocky Linux et RHEL</w:t>
      </w:r>
    </w:p>
    <w:p>
      <w:pPr>
        <w:pStyle w:val="SourceCode"/>
      </w:pPr>
      <w:r>
        <w:rPr>
          <w:rStyle w:val="VerbatimChar"/>
        </w:rPr>
        <w:t xml:space="preserve"># Mettre a jour tous les paquets installes (dnf combine en une seule commande</w:t>
      </w:r>
      <w:r>
        <w:br/>
      </w:r>
      <w:r>
        <w:rPr>
          <w:rStyle w:val="VerbatimChar"/>
        </w:rPr>
        <w:t xml:space="preserve"># ce qui necessite deux commandes distinctes avec apt : rafraichir + mettre a jour)</w:t>
      </w:r>
      <w:r>
        <w:br/>
      </w:r>
      <w:r>
        <w:rPr>
          <w:rStyle w:val="VerbatimChar"/>
        </w:rPr>
        <w:t xml:space="preserve">sudo dnf upgrade</w:t>
      </w:r>
      <w:r>
        <w:br/>
      </w:r>
      <w:r>
        <w:br/>
      </w:r>
      <w:r>
        <w:rPr>
          <w:rStyle w:val="VerbatimChar"/>
        </w:rPr>
        <w:t xml:space="preserve"># Installer un nouveau paquet</w:t>
      </w:r>
      <w:r>
        <w:br/>
      </w:r>
      <w:r>
        <w:rPr>
          <w:rStyle w:val="VerbatimChar"/>
        </w:rPr>
        <w:t xml:space="preserve">sudo dnf install nginx</w:t>
      </w:r>
      <w:r>
        <w:br/>
      </w:r>
      <w:r>
        <w:br/>
      </w:r>
      <w:r>
        <w:rPr>
          <w:rStyle w:val="VerbatimChar"/>
        </w:rPr>
        <w:t xml:space="preserve"># Rechercher un paquet par mot-cle</w:t>
      </w:r>
      <w:r>
        <w:br/>
      </w:r>
      <w:r>
        <w:rPr>
          <w:rStyle w:val="VerbatimChar"/>
        </w:rPr>
        <w:t xml:space="preserve">dnf search postgresql</w:t>
      </w:r>
      <w:r>
        <w:br/>
      </w:r>
      <w:r>
        <w:br/>
      </w:r>
      <w:r>
        <w:rPr>
          <w:rStyle w:val="VerbatimChar"/>
        </w:rPr>
        <w:t xml:space="preserve"># Retirer un paquet</w:t>
      </w:r>
      <w:r>
        <w:br/>
      </w:r>
      <w:r>
        <w:rPr>
          <w:rStyle w:val="VerbatimChar"/>
        </w:rPr>
        <w:t xml:space="preserve">sudo dnf remove postgresql</w:t>
      </w:r>
      <w:r>
        <w:br/>
      </w:r>
      <w:r>
        <w:br/>
      </w:r>
      <w:r>
        <w:rPr>
          <w:rStyle w:val="VerbatimChar"/>
        </w:rPr>
        <w:t xml:space="preserve"># Retirer les dependances devenues inutiles</w:t>
      </w:r>
      <w:r>
        <w:br/>
      </w:r>
      <w:r>
        <w:rPr>
          <w:rStyle w:val="VerbatimChar"/>
        </w:rPr>
        <w:t xml:space="preserve">sudo dnf autoremove</w:t>
      </w:r>
      <w:r>
        <w:br/>
      </w:r>
      <w:r>
        <w:br/>
      </w:r>
      <w:r>
        <w:rPr>
          <w:rStyle w:val="VerbatimChar"/>
        </w:rPr>
        <w:t xml:space="preserve"># Afficher des informations detaillees sur un paquet avant de l'installer</w:t>
      </w:r>
      <w:r>
        <w:br/>
      </w:r>
      <w:r>
        <w:rPr>
          <w:rStyle w:val="VerbatimChar"/>
        </w:rPr>
        <w:t xml:space="preserve">dnf info nginx</w:t>
      </w:r>
    </w:p>
    <w:p>
      <w:pPr>
        <w:pStyle w:val="FirstParagraph"/>
      </w:pPr>
      <w:r>
        <w:t xml:space="preserve">📌 À retenir — une différence structurelle entre</w:t>
      </w:r>
      <w:r>
        <w:t xml:space="preserve"> </w:t>
      </w:r>
      <w:r>
        <w:rPr>
          <w:rStyle w:val="VerbatimChar"/>
        </w:rPr>
        <w:t xml:space="preserve">apt</w:t>
      </w:r>
      <w:r>
        <w:t xml:space="preserve"> </w:t>
      </w:r>
      <w:r>
        <w:t xml:space="preserve">et</w:t>
      </w:r>
      <w:r>
        <w:t xml:space="preserve"> </w:t>
      </w:r>
      <w:r>
        <w:rPr>
          <w:rStyle w:val="VerbatimChar"/>
        </w:rPr>
        <w:t xml:space="preserve">dnf</w:t>
      </w:r>
      <w:r>
        <w:t xml:space="preserve"> </w:t>
      </w:r>
      <w:r>
        <w:t xml:space="preserve">Contrairement à</w:t>
      </w:r>
      <w:r>
        <w:t xml:space="preserve"> </w:t>
      </w:r>
      <w:r>
        <w:rPr>
          <w:rStyle w:val="VerbatimChar"/>
        </w:rPr>
        <w:t xml:space="preserve">apt</w:t>
      </w:r>
      <w:r>
        <w:t xml:space="preserve">, qui sépare explicitement le rafraîchissement de la liste des paquets (</w:t>
      </w:r>
      <w:r>
        <w:t xml:space="preserve">apt update</w:t>
      </w:r>
      <w:r>
        <w:t xml:space="preserve">) et leur mise à jour effective (</w:t>
      </w:r>
      <w:r>
        <w:t xml:space="preserve">apt upgrade</w:t>
      </w:r>
      <w:r>
        <w:t xml:space="preserve">) en deux commandes distinctes,</w:t>
      </w:r>
      <w:r>
        <w:t xml:space="preserve"> </w:t>
      </w:r>
      <w:r>
        <w:rPr>
          <w:rStyle w:val="VerbatimChar"/>
        </w:rPr>
        <w:t xml:space="preserve">dnf</w:t>
      </w:r>
      <w:r>
        <w:t xml:space="preserve"> </w:t>
      </w:r>
      <w:r>
        <w:t xml:space="preserve">rafraîchit automatiquement ses métadonnées avant chaque opération — une seule commande</w:t>
      </w:r>
      <w:r>
        <w:t xml:space="preserve"> </w:t>
      </w:r>
      <w:r>
        <w:t xml:space="preserve">dnf upgrade</w:t>
      </w:r>
      <w:r>
        <w:t xml:space="preserve"> </w:t>
      </w:r>
      <w:r>
        <w:t xml:space="preserve">suffit. Ce n’est pas une meilleure ou une moins bonne conception, seulement une convention différente à connaître pour éviter toute confusion en changeant de famille de distribution.</w:t>
      </w:r>
    </w:p>
    <w:bookmarkEnd w:id="380"/>
    <w:bookmarkStart w:id="381" w:name="ajouter-un-dépôt-tiers-en-toute-sécurité"/>
    <w:p>
      <w:pPr>
        <w:pStyle w:val="Heading2"/>
      </w:pPr>
      <w:r>
        <w:t xml:space="preserve">15.5 Ajouter un dépôt tiers en toute sécurité</w:t>
      </w:r>
    </w:p>
    <w:p>
      <w:pPr>
        <w:pStyle w:val="FirstParagraph"/>
      </w:pPr>
      <w:r>
        <w:t xml:space="preserve">Reprenons l’installation de l’outil de monitoring du scénario d’ouverture, cette fois via son dépôt officiel plutôt que via le script direct :</w:t>
      </w:r>
    </w:p>
    <w:p>
      <w:pPr>
        <w:pStyle w:val="SourceCode"/>
      </w:pPr>
      <w:r>
        <w:rPr>
          <w:rStyle w:val="VerbatimChar"/>
        </w:rPr>
        <w:t xml:space="preserve"># Exemple generique (la procedure exacte varie selon le logiciel,</w:t>
      </w:r>
      <w:r>
        <w:br/>
      </w:r>
      <w:r>
        <w:rPr>
          <w:rStyle w:val="VerbatimChar"/>
        </w:rPr>
        <w:t xml:space="preserve"># toujours suivre la documentation officielle du projet concerne) :</w:t>
      </w:r>
      <w:r>
        <w:br/>
      </w:r>
      <w:r>
        <w:br/>
      </w:r>
      <w:r>
        <w:rPr>
          <w:rStyle w:val="VerbatimChar"/>
        </w:rPr>
        <w:t xml:space="preserve"># 1. Telecharger et importer la cle de signature publique du depot</w:t>
      </w:r>
      <w:r>
        <w:br/>
      </w:r>
      <w:r>
        <w:rPr>
          <w:rStyle w:val="VerbatimChar"/>
        </w:rPr>
        <w:t xml:space="preserve">curl -fsSL https://exemple-outil.com/gpg-key.asc | sudo gpg --dearmor -o /usr/share/keyrings/exemple-outil.gpg</w:t>
      </w:r>
      <w:r>
        <w:br/>
      </w:r>
      <w:r>
        <w:br/>
      </w:r>
      <w:r>
        <w:rPr>
          <w:rStyle w:val="VerbatimChar"/>
        </w:rPr>
        <w:t xml:space="preserve"># 2. Ajouter le depot a la liste des sources, en reference explicite</w:t>
      </w:r>
      <w:r>
        <w:br/>
      </w:r>
      <w:r>
        <w:rPr>
          <w:rStyle w:val="VerbatimChar"/>
        </w:rPr>
        <w:t xml:space="preserve">#    a la cle importee (garantit que seuls les paquets signes par</w:t>
      </w:r>
      <w:r>
        <w:br/>
      </w:r>
      <w:r>
        <w:rPr>
          <w:rStyle w:val="VerbatimChar"/>
        </w:rPr>
        <w:t xml:space="preserve">#    cette cle precise seront acceptes depuis ce depot)</w:t>
      </w:r>
      <w:r>
        <w:br/>
      </w:r>
      <w:r>
        <w:rPr>
          <w:rStyle w:val="VerbatimChar"/>
        </w:rPr>
        <w:t xml:space="preserve">echo "deb [signed-by=/usr/share/keyrings/exemple-outil.gpg] https://exemple-outil.com/apt stable main" | sudo tee /etc/apt/sources.list.d/exemple-outil.list</w:t>
      </w:r>
      <w:r>
        <w:br/>
      </w:r>
      <w:r>
        <w:br/>
      </w:r>
      <w:r>
        <w:rPr>
          <w:rStyle w:val="VerbatimChar"/>
        </w:rPr>
        <w:t xml:space="preserve"># 3. Rafraichir la liste des paquets et installer normalement,</w:t>
      </w:r>
      <w:r>
        <w:br/>
      </w:r>
      <w:r>
        <w:rPr>
          <w:rStyle w:val="VerbatimChar"/>
        </w:rPr>
        <w:t xml:space="preserve">#    exactement comme un paquet du depot officiel de la distribution</w:t>
      </w:r>
      <w:r>
        <w:br/>
      </w:r>
      <w:r>
        <w:rPr>
          <w:rStyle w:val="VerbatimChar"/>
        </w:rPr>
        <w:t xml:space="preserve">sudo apt update</w:t>
      </w:r>
      <w:r>
        <w:br/>
      </w:r>
      <w:r>
        <w:rPr>
          <w:rStyle w:val="VerbatimChar"/>
        </w:rPr>
        <w:t xml:space="preserve">sudo apt install exemple-outil</w:t>
      </w:r>
    </w:p>
    <w:p>
      <w:pPr>
        <w:pStyle w:val="FirstParagraph"/>
      </w:pPr>
      <w:r>
        <w:t xml:space="preserve">🚀 Performance — le bénéfice à long terme d’un dépôt bien configuré</w:t>
      </w:r>
      <w:r>
        <w:t xml:space="preserve"> </w:t>
      </w:r>
      <w:r>
        <w:t xml:space="preserve">Au-delà de la sécurité immédiate, ajouter un dépôt correctement configuré signifie que les futures mises à jour de cet outil seront automatiquement proposées lors d’un simple</w:t>
      </w:r>
      <w:r>
        <w:t xml:space="preserve"> </w:t>
      </w:r>
      <w:r>
        <w:t xml:space="preserve">apt upgrade</w:t>
      </w:r>
      <w:r>
        <w:t xml:space="preserve"> </w:t>
      </w:r>
      <w:r>
        <w:t xml:space="preserve">ou</w:t>
      </w:r>
      <w:r>
        <w:t xml:space="preserve"> </w:t>
      </w:r>
      <w:r>
        <w:t xml:space="preserve">dnf upgrade</w:t>
      </w:r>
      <w:r>
        <w:t xml:space="preserve"> </w:t>
      </w:r>
      <w:r>
        <w:t xml:space="preserve">régulier — contrairement à un script exécuté manuellement une seule fois, qui n’offre aucun mécanisme de suivi des mises à jour futures et expose le système à une version figée et de plus en plus vulnérable avec le temps.</w:t>
      </w:r>
    </w:p>
    <w:bookmarkEnd w:id="381"/>
    <w:bookmarkStart w:id="382" w:name="Xdbe2657c05f5211ab2af9dee8142749006e0c22"/>
    <w:p>
      <w:pPr>
        <w:pStyle w:val="Heading2"/>
      </w:pPr>
      <w:r>
        <w:t xml:space="preserve">15.6 Diagnostiquer les erreurs courantes de gestion de paquets</w:t>
      </w:r>
    </w:p>
    <w:p>
      <w:pPr>
        <w:pStyle w:val="SourceCode"/>
      </w:pPr>
      <w:r>
        <w:rPr>
          <w:rStyle w:val="VerbatimChar"/>
        </w:rPr>
        <w:t xml:space="preserve"># Reparer un systeme de paquets dans un etat incoherent (installation</w:t>
      </w:r>
      <w:r>
        <w:br/>
      </w:r>
      <w:r>
        <w:rPr>
          <w:rStyle w:val="VerbatimChar"/>
        </w:rPr>
        <w:t xml:space="preserve"># interrompue en cours de route, dependances cassees)</w:t>
      </w:r>
      <w:r>
        <w:br/>
      </w:r>
      <w:r>
        <w:rPr>
          <w:rStyle w:val="VerbatimChar"/>
        </w:rPr>
        <w:t xml:space="preserve">sudo apt --fix-broken install     # Debian/Ubuntu</w:t>
      </w:r>
      <w:r>
        <w:br/>
      </w:r>
      <w:r>
        <w:rPr>
          <w:rStyle w:val="VerbatimChar"/>
        </w:rPr>
        <w:t xml:space="preserve">sudo dnf check                    # Rocky Linux/RHEL, diagnostic seul</w:t>
      </w:r>
      <w:r>
        <w:br/>
      </w:r>
      <w:r>
        <w:br/>
      </w:r>
      <w:r>
        <w:rPr>
          <w:rStyle w:val="VerbatimChar"/>
        </w:rPr>
        <w:t xml:space="preserve"># Verifier quel paquet fournit un fichier ou une commande precise,</w:t>
      </w:r>
      <w:r>
        <w:br/>
      </w:r>
      <w:r>
        <w:rPr>
          <w:rStyle w:val="VerbatimChar"/>
        </w:rPr>
        <w:t xml:space="preserve"># utile pour comprendre l'origine d'un logiciel deja installe</w:t>
      </w:r>
      <w:r>
        <w:br/>
      </w:r>
      <w:r>
        <w:rPr>
          <w:rStyle w:val="VerbatimChar"/>
        </w:rPr>
        <w:t xml:space="preserve">dpkg -S /usr/bin/nginx            # Debian/Ubuntu</w:t>
      </w:r>
      <w:r>
        <w:br/>
      </w:r>
      <w:r>
        <w:rPr>
          <w:rStyle w:val="VerbatimChar"/>
        </w:rPr>
        <w:t xml:space="preserve">dnf provides /usr/bin/nginx       # Rocky Linux/RHEL</w:t>
      </w:r>
    </w:p>
    <w:p>
      <w:pPr>
        <w:pStyle w:val="FirstParagraph"/>
      </w:pPr>
      <w:r>
        <w:t xml:space="preserve">🩺 Symptôme :</w:t>
      </w:r>
      <w:r>
        <w:t xml:space="preserve"> </w:t>
      </w:r>
      <w:r>
        <w:t xml:space="preserve">“l’installation d’un paquet échoue avec une erreur de dépendances”</w:t>
      </w:r>
    </w:p>
    <w:p>
      <w:pPr>
        <w:pStyle w:val="Compact"/>
        <w:numPr>
          <w:ilvl w:val="0"/>
          <w:numId w:val="1345"/>
        </w:numPr>
      </w:pPr>
      <w:r>
        <w:rPr>
          <w:b/>
          <w:bCs/>
        </w:rPr>
        <w:t xml:space="preserve">Diagnostic</w:t>
      </w:r>
      <w:r>
        <w:t xml:space="preserve"> </w:t>
      </w:r>
      <w:r>
        <w:t xml:space="preserve">: la cause la plus fréquente est une liste de paquets locale obsolète (oubli de</w:t>
      </w:r>
      <w:r>
        <w:t xml:space="preserve"> </w:t>
      </w:r>
      <w:r>
        <w:t xml:space="preserve">apt update</w:t>
      </w:r>
      <w:r>
        <w:t xml:space="preserve">, section 15.3) ou un dépôt tiers mal configuré qui entre en conflit avec les versions attendues par les dépôts officiels.</w:t>
      </w:r>
    </w:p>
    <w:p>
      <w:pPr>
        <w:pStyle w:val="Compact"/>
        <w:numPr>
          <w:ilvl w:val="0"/>
          <w:numId w:val="1345"/>
        </w:numPr>
      </w:pPr>
      <w:r>
        <w:rPr>
          <w:b/>
          <w:bCs/>
        </w:rPr>
        <w:t xml:space="preserve">Comment vérifier</w:t>
      </w:r>
      <w:r>
        <w:t xml:space="preserve"> </w:t>
      </w:r>
      <w:r>
        <w:t xml:space="preserve">: relancer</w:t>
      </w:r>
      <w:r>
        <w:t xml:space="preserve"> </w:t>
      </w:r>
      <w:r>
        <w:t xml:space="preserve">apt update</w:t>
      </w:r>
      <w:r>
        <w:t xml:space="preserve"> </w:t>
      </w:r>
      <w:r>
        <w:t xml:space="preserve">(ou</w:t>
      </w:r>
      <w:r>
        <w:t xml:space="preserve"> </w:t>
      </w:r>
      <w:r>
        <w:t xml:space="preserve">dnf clean all</w:t>
      </w:r>
      <w:r>
        <w:t xml:space="preserve"> </w:t>
      </w:r>
      <w:r>
        <w:t xml:space="preserve">puis une nouvelle opération sur Rocky/RHEL) avant de conclure à un problème plus profond.</w:t>
      </w:r>
    </w:p>
    <w:p>
      <w:pPr>
        <w:pStyle w:val="Compact"/>
        <w:numPr>
          <w:ilvl w:val="0"/>
          <w:numId w:val="1345"/>
        </w:numPr>
      </w:pPr>
      <w:r>
        <w:rPr>
          <w:b/>
          <w:bCs/>
        </w:rPr>
        <w:t xml:space="preserve">Résolution</w:t>
      </w:r>
      <w:r>
        <w:t xml:space="preserve"> </w:t>
      </w:r>
      <w:r>
        <w:t xml:space="preserve">: si le problème persiste après ce rafraîchissement,</w:t>
      </w:r>
      <w:r>
        <w:t xml:space="preserve"> </w:t>
      </w:r>
      <w:r>
        <w:rPr>
          <w:rStyle w:val="VerbatimChar"/>
        </w:rPr>
        <w:t xml:space="preserve">apt --fix-broken install</w:t>
      </w:r>
      <w:r>
        <w:t xml:space="preserve"> </w:t>
      </w:r>
      <w:r>
        <w:t xml:space="preserve">répare généralement un état incohérent sur Debian/Ubuntu ; sur Rocky/RHEL,</w:t>
      </w:r>
      <w:r>
        <w:t xml:space="preserve"> </w:t>
      </w:r>
      <w:r>
        <w:rPr>
          <w:rStyle w:val="VerbatimChar"/>
        </w:rPr>
        <w:t xml:space="preserve">dnf check</w:t>
      </w:r>
      <w:r>
        <w:t xml:space="preserve"> </w:t>
      </w:r>
      <w:r>
        <w:t xml:space="preserve">diagnostique l’incohérence avant correction manuelle ciblée.</w:t>
      </w:r>
    </w:p>
    <w:bookmarkEnd w:id="382"/>
    <w:bookmarkStart w:id="383" w:name="X62946699471c0c6486f8b4f33988a7acbed0f87"/>
    <w:p>
      <w:pPr>
        <w:pStyle w:val="Heading2"/>
      </w:pPr>
      <w:r>
        <w:t xml:space="preserve">Atelier — Installer les trois logiciels du scénario d’ouverture</w:t>
      </w:r>
    </w:p>
    <w:p>
      <w:pPr>
        <w:pStyle w:val="FirstParagraph"/>
      </w:pPr>
      <w:r>
        <w:t xml:space="preserve">🛠️ Atelier 15 — Une installation méthodique</w:t>
      </w:r>
    </w:p>
    <w:p>
      <w:pPr>
        <w:pStyle w:val="BodyText"/>
      </w:pPr>
      <w:r>
        <w:rPr>
          <w:b/>
          <w:bCs/>
        </w:rPr>
        <w:t xml:space="preserve">Objectif</w:t>
      </w:r>
      <w:r>
        <w:t xml:space="preserve"> </w:t>
      </w:r>
      <w:r>
        <w:t xml:space="preserve">: appliquer la méthode rigoureuse de ce chapitre à la demande initiale du développeur (Nginx, PostgreSQL, un outil de monitoring tiers), en justifiant chaque étape.</w:t>
      </w:r>
    </w:p>
    <w:p>
      <w:pPr>
        <w:pStyle w:val="BodyText"/>
      </w:pPr>
      <w:r>
        <w:rPr>
          <w:b/>
          <w:bCs/>
        </w:rPr>
        <w:t xml:space="preserve">Préparation</w:t>
      </w:r>
      <w:r>
        <w:t xml:space="preserve"> </w:t>
      </w:r>
      <w:r>
        <w:t xml:space="preserve">: accès à un serveur Ubuntu Server (réel ou machine virtuelle de test), ou à défaut une lecture attentive suffit pour cet atelier conceptuel.</w:t>
      </w:r>
    </w:p>
    <w:p>
      <w:pPr>
        <w:pStyle w:val="BodyText"/>
      </w:pPr>
      <w:r>
        <w:rPr>
          <w:b/>
          <w:bCs/>
        </w:rPr>
        <w:t xml:space="preserve">Étapes détaillées</w:t>
      </w:r>
      <w:r>
        <w:t xml:space="preserve"> </w:t>
      </w:r>
      <w:r>
        <w:t xml:space="preserve">:</w:t>
      </w:r>
    </w:p>
    <w:p>
      <w:pPr>
        <w:pStyle w:val="Compact"/>
        <w:numPr>
          <w:ilvl w:val="0"/>
          <w:numId w:val="1346"/>
        </w:numPr>
      </w:pPr>
      <w:r>
        <w:t xml:space="preserve">Rédige les commandes exactes pour installer Nginx et PostgreSQL depuis les dépôts officiels Ubuntu, dans le bon ordre (section 15.3).</w:t>
      </w:r>
    </w:p>
    <w:p>
      <w:pPr>
        <w:pStyle w:val="Compact"/>
        <w:numPr>
          <w:ilvl w:val="0"/>
          <w:numId w:val="1346"/>
        </w:numPr>
      </w:pPr>
      <w:r>
        <w:t xml:space="preserve">Pour l’outil de monitoring tiers, rédige la procédure d’ajout de son dépôt officiel avant installation (section 15.5), plutôt que d’exécuter le script direct proposé initialement.</w:t>
      </w:r>
    </w:p>
    <w:p>
      <w:pPr>
        <w:pStyle w:val="Compact"/>
        <w:numPr>
          <w:ilvl w:val="0"/>
          <w:numId w:val="1346"/>
        </w:numPr>
      </w:pPr>
      <w:r>
        <w:t xml:space="preserve">Rédige une phrase que tu adresserais au développeur pour expliquer, sans jargon excessif, pourquoi cette méthode légèrement plus longue est préférable.</w:t>
      </w:r>
    </w:p>
    <w:p>
      <w:pPr>
        <w:pStyle w:val="Compact"/>
        <w:numPr>
          <w:ilvl w:val="0"/>
          <w:numId w:val="1346"/>
        </w:numPr>
      </w:pPr>
      <w:r>
        <w:t xml:space="preserve">Compare ta démarche à la section</w:t>
      </w:r>
      <w:r>
        <w:t xml:space="preserve"> </w:t>
      </w:r>
      <w:r>
        <w:t xml:space="preserve">“Résultat attendu”</w:t>
      </w:r>
      <w:r>
        <w:t xml:space="preserve">.</w:t>
      </w:r>
    </w:p>
    <w:p>
      <w:pPr>
        <w:pStyle w:val="FirstParagraph"/>
      </w:pPr>
      <w:r>
        <w:rPr>
          <w:b/>
          <w:bCs/>
        </w:rPr>
        <w:t xml:space="preserve">Résultat attendu</w:t>
      </w:r>
      <w:r>
        <w:t xml:space="preserve"> </w:t>
      </w:r>
      <w:r>
        <w:t xml:space="preserve">:</w:t>
      </w:r>
      <w:r>
        <w:t xml:space="preserve"> </w:t>
      </w:r>
      <w:r>
        <w:rPr>
          <w:rStyle w:val="VerbatimChar"/>
        </w:rPr>
        <w:t xml:space="preserve">sudo apt update</w:t>
      </w:r>
      <w:r>
        <w:t xml:space="preserve"> </w:t>
      </w:r>
      <w:r>
        <w:t xml:space="preserve">suivi de</w:t>
      </w:r>
      <w:r>
        <w:t xml:space="preserve"> </w:t>
      </w:r>
      <w:r>
        <w:rPr>
          <w:rStyle w:val="VerbatimChar"/>
        </w:rPr>
        <w:t xml:space="preserve">sudo apt install nginx postgresql</w:t>
      </w:r>
      <w:r>
        <w:t xml:space="preserve"> </w:t>
      </w:r>
      <w:r>
        <w:t xml:space="preserve">couvre les deux premiers logiciels en une seule opération groupée. Pour le troisième, la procédure en trois étapes de la section 15.5 (importer la clé, ajouter le dépôt, installer) remplace le script direct. L’explication au développeur reprend l’idée centrale de la section 15.2 : la vérification cryptographique et la gestion automatique des futures mises à jour justifient largement les quelques minutes supplémentaires par rapport à un script non vérifié exécuté en tant que root.</w:t>
      </w:r>
    </w:p>
    <w:p>
      <w:pPr>
        <w:pStyle w:val="BodyText"/>
      </w:pPr>
      <w:r>
        <w:rPr>
          <w:b/>
          <w:bCs/>
        </w:rPr>
        <w:t xml:space="preserve">Dépannage</w:t>
      </w:r>
      <w:r>
        <w:t xml:space="preserve"> </w:t>
      </w:r>
      <w:r>
        <w:t xml:space="preserve">: si le dépôt officiel d’un outil précis n’existe pas ou semble peu fiable, une alternative plus sûre qu’un script direct reste souvent de compiler le logiciel soi-même depuis son code source officiel, ou de le déployer via un conteneur Docker (Partie 7) avec une image officielle vérifiée.</w:t>
      </w:r>
    </w:p>
    <w:bookmarkEnd w:id="383"/>
    <w:bookmarkStart w:id="384" w:name="erreurs-fréquentes-14"/>
    <w:p>
      <w:pPr>
        <w:pStyle w:val="Heading2"/>
      </w:pPr>
      <w:r>
        <w:t xml:space="preserve">Erreurs fréquentes</w:t>
      </w:r>
    </w:p>
    <w:p>
      <w:pPr>
        <w:pStyle w:val="FirstParagraph"/>
      </w:pPr>
      <w:r>
        <w:t xml:space="preserve">⚠️ Erreur n°1 — exécuter un script</w:t>
      </w:r>
      <w:r>
        <w:t xml:space="preserve"> </w:t>
      </w:r>
      <w:r>
        <w:rPr>
          <w:rStyle w:val="VerbatimChar"/>
        </w:rPr>
        <w:t xml:space="preserve">curl | sudo bash</w:t>
      </w:r>
      <w:r>
        <w:t xml:space="preserve"> </w:t>
      </w:r>
      <w:r>
        <w:t xml:space="preserve">sans l’avoir lu</w:t>
      </w:r>
      <w:r>
        <w:t xml:space="preserve"> </w:t>
      </w:r>
      <w:r>
        <w:t xml:space="preserve">Comme vu en section 15.2, cette pratique contourne toute vérification d’authenticité et donne un accès root immédiat et total à un code non inspecté — l’un des réflexes les plus risqués et pourtant les plus répandus chez les débutants pressés.</w:t>
      </w:r>
    </w:p>
    <w:p>
      <w:pPr>
        <w:pStyle w:val="BodyText"/>
      </w:pPr>
      <w:r>
        <w:t xml:space="preserve">⚠️ Erreur n°2 — oublier</w:t>
      </w:r>
      <w:r>
        <w:t xml:space="preserve"> </w:t>
      </w:r>
      <w:r>
        <w:rPr>
          <w:rStyle w:val="VerbatimChar"/>
        </w:rPr>
        <w:t xml:space="preserve">apt update</w:t>
      </w:r>
      <w:r>
        <w:t xml:space="preserve"> </w:t>
      </w:r>
      <w:r>
        <w:t xml:space="preserve">avant une installation ou une mise à jour</w:t>
      </w:r>
      <w:r>
        <w:t xml:space="preserve"> </w:t>
      </w:r>
      <w:r>
        <w:t xml:space="preserve">Rappel de la section 15.3 : cet oubli peut faire manquer des correctifs de sécurité récents ou provoquer des erreurs de dépendances évitables.</w:t>
      </w:r>
    </w:p>
    <w:p>
      <w:pPr>
        <w:pStyle w:val="BodyText"/>
      </w:pPr>
      <w:r>
        <w:t xml:space="preserve">⚠️ Erreur n°3 — mélanger des paquets installés via le gestionnaire de paquets et via des méthodes manuelles non suivies</w:t>
      </w:r>
      <w:r>
        <w:t xml:space="preserve"> </w:t>
      </w:r>
      <w:r>
        <w:t xml:space="preserve">Un logiciel installé manuellement (compilation depuis les sources, script direct) échappe totalement au suivi du gestionnaire de paquets — il n’apparaîtra jamais dans un audit de version ou une mise à jour groupée, créant un angle mort similaire au</w:t>
      </w:r>
      <w:r>
        <w:t xml:space="preserve"> </w:t>
      </w:r>
      <w:r>
        <w:t xml:space="preserve">“shadow IT”</w:t>
      </w:r>
      <w:r>
        <w:t xml:space="preserve"> </w:t>
      </w:r>
      <w:r>
        <w:t xml:space="preserve">évoqué au chapitre 3, mais à l’échelle d’un seul serveur plutôt que de toute l’infrastructure.</w:t>
      </w:r>
    </w:p>
    <w:bookmarkEnd w:id="384"/>
    <w:bookmarkStart w:id="385" w:name="en-entreprise-14"/>
    <w:p>
      <w:pPr>
        <w:pStyle w:val="Heading2"/>
      </w:pPr>
      <w:r>
        <w:t xml:space="preserve">En entreprise</w:t>
      </w:r>
    </w:p>
    <w:p>
      <w:pPr>
        <w:pStyle w:val="Compact"/>
        <w:numPr>
          <w:ilvl w:val="0"/>
          <w:numId w:val="1347"/>
        </w:numPr>
      </w:pPr>
      <w:r>
        <w:rPr>
          <w:b/>
          <w:bCs/>
        </w:rPr>
        <w:t xml:space="preserve">Bonne pratique répandue</w:t>
      </w:r>
      <w:r>
        <w:t xml:space="preserve"> </w:t>
      </w:r>
      <w:r>
        <w:t xml:space="preserve">: limiter strictement les dépôts tiers ajoutés à ceux réellement nécessaires et documentés (chapitre 3), plutôt que d’accumuler des sources non maîtrisées au fil des installations successives.</w:t>
      </w:r>
    </w:p>
    <w:p>
      <w:pPr>
        <w:pStyle w:val="Compact"/>
        <w:numPr>
          <w:ilvl w:val="0"/>
          <w:numId w:val="1347"/>
        </w:numPr>
      </w:pPr>
      <w:r>
        <w:rPr>
          <w:b/>
          <w:bCs/>
        </w:rPr>
        <w:t xml:space="preserve">Bonne pratique répandue</w:t>
      </w:r>
      <w:r>
        <w:t xml:space="preserve"> </w:t>
      </w:r>
      <w:r>
        <w:t xml:space="preserve">: planifier des fenêtres régulières de mise à jour des paquets (rejoignant directement WSUS pour Windows, chapitre 12), plutôt que de laisser les mises à jour de sécurité s’accumuler indéfiniment sans être appliquées.</w:t>
      </w:r>
    </w:p>
    <w:p>
      <w:pPr>
        <w:pStyle w:val="Compact"/>
        <w:numPr>
          <w:ilvl w:val="0"/>
          <w:numId w:val="1347"/>
        </w:numPr>
      </w:pPr>
      <w:r>
        <w:rPr>
          <w:b/>
          <w:bCs/>
        </w:rPr>
        <w:t xml:space="preserve">Erreur classique observée</w:t>
      </w:r>
      <w:r>
        <w:t xml:space="preserve"> </w:t>
      </w:r>
      <w:r>
        <w:t xml:space="preserve">: un serveur où plusieurs logiciels ont été installés</w:t>
      </w:r>
      <w:r>
        <w:t xml:space="preserve"> </w:t>
      </w:r>
      <w:r>
        <w:t xml:space="preserve">“à la main”</w:t>
      </w:r>
      <w:r>
        <w:t xml:space="preserve"> </w:t>
      </w:r>
      <w:r>
        <w:t xml:space="preserve">par différentes personnes au fil du temps, sans dépôt ni documentation, rendant impossible un audit fiable de ce qui tourne réellement sur la machine.</w:t>
      </w:r>
    </w:p>
    <w:bookmarkEnd w:id="385"/>
    <w:bookmarkStart w:id="386" w:name="entretien-technique-14"/>
    <w:p>
      <w:pPr>
        <w:pStyle w:val="Heading2"/>
      </w:pPr>
      <w:r>
        <w:t xml:space="preserve">Entretien technique</w:t>
      </w:r>
    </w:p>
    <w:p>
      <w:pPr>
        <w:pStyle w:val="FirstParagraph"/>
      </w:pPr>
      <w:r>
        <w:t xml:space="preserve">💼 Questions fréquemment posées en entretien</w:t>
      </w:r>
    </w:p>
    <w:p>
      <w:pPr>
        <w:pStyle w:val="BodyText"/>
      </w:pPr>
      <w:r>
        <w:rPr>
          <w:b/>
          <w:bCs/>
        </w:rPr>
        <w:t xml:space="preserve">Q1.</w:t>
      </w:r>
      <w:r>
        <w:rPr>
          <w:b/>
          <w:bCs/>
        </w:rPr>
        <w:t xml:space="preserve"> </w:t>
      </w:r>
      <w:r>
        <w:rPr>
          <w:b/>
          <w:bCs/>
        </w:rPr>
        <w:t xml:space="preserve">“Quelle est la différence entre</w:t>
      </w:r>
      <w:r>
        <w:rPr>
          <w:b/>
          <w:bCs/>
        </w:rPr>
        <w:t xml:space="preserve"> </w:t>
      </w:r>
      <w:r>
        <w:rPr>
          <w:rStyle w:val="VerbatimChar"/>
          <w:b/>
          <w:bCs/>
        </w:rPr>
        <w:t xml:space="preserve">apt update</w:t>
      </w:r>
      <w:r>
        <w:rPr>
          <w:b/>
          <w:bCs/>
        </w:rPr>
        <w:t xml:space="preserve"> </w:t>
      </w:r>
      <w:r>
        <w:rPr>
          <w:b/>
          <w:bCs/>
        </w:rPr>
        <w:t xml:space="preserve">et</w:t>
      </w:r>
      <w:r>
        <w:rPr>
          <w:b/>
          <w:bCs/>
        </w:rPr>
        <w:t xml:space="preserve"> </w:t>
      </w:r>
      <w:r>
        <w:rPr>
          <w:rStyle w:val="VerbatimChar"/>
          <w:b/>
          <w:bCs/>
        </w:rPr>
        <w:t xml:space="preserve">apt upgrade</w:t>
      </w:r>
      <w:r>
        <w:rPr>
          <w:b/>
          <w:bCs/>
        </w:rPr>
        <w:t xml:space="preserve"> </w:t>
      </w:r>
      <w:r>
        <w:rPr>
          <w:b/>
          <w:bCs/>
        </w:rPr>
        <w:t xml:space="preserve">?”</w:t>
      </w:r>
      <w:r>
        <w:t xml:space="preserve"> </w:t>
      </w:r>
      <w:r>
        <w:t xml:space="preserve">Réponse attendue :</w:t>
      </w:r>
      <w:r>
        <w:t xml:space="preserve"> </w:t>
      </w:r>
      <w:r>
        <w:rPr>
          <w:rStyle w:val="VerbatimChar"/>
        </w:rPr>
        <w:t xml:space="preserve">apt update</w:t>
      </w:r>
      <w:r>
        <w:t xml:space="preserve"> </w:t>
      </w:r>
      <w:r>
        <w:t xml:space="preserve">rafraîchit la liste locale des paquets disponibles depuis les dépôts configurés, sans installer aucune mise à jour ;</w:t>
      </w:r>
      <w:r>
        <w:t xml:space="preserve"> </w:t>
      </w:r>
      <w:r>
        <w:rPr>
          <w:rStyle w:val="VerbatimChar"/>
        </w:rPr>
        <w:t xml:space="preserve">apt upgrade</w:t>
      </w:r>
      <w:r>
        <w:t xml:space="preserve"> </w:t>
      </w:r>
      <w:r>
        <w:t xml:space="preserve">installe réellement les mises à jour disponibles pour les paquets déjà installés. Les deux sont généralement enchaînées, mais elles n’ont pas le même rôle.</w:t>
      </w:r>
    </w:p>
    <w:p>
      <w:pPr>
        <w:pStyle w:val="BodyText"/>
      </w:pPr>
      <w:r>
        <w:rPr>
          <w:b/>
          <w:bCs/>
        </w:rPr>
        <w:t xml:space="preserve">Q2.</w:t>
      </w:r>
      <w:r>
        <w:rPr>
          <w:b/>
          <w:bCs/>
        </w:rPr>
        <w:t xml:space="preserve"> </w:t>
      </w:r>
      <w:r>
        <w:rPr>
          <w:b/>
          <w:bCs/>
        </w:rPr>
        <w:t xml:space="preserve">“Pourquoi éviter d’installer un logiciel via un script</w:t>
      </w:r>
      <w:r>
        <w:rPr>
          <w:b/>
          <w:bCs/>
        </w:rPr>
        <w:t xml:space="preserve"> </w:t>
      </w:r>
      <w:r>
        <w:rPr>
          <w:rStyle w:val="VerbatimChar"/>
          <w:b/>
          <w:bCs/>
        </w:rPr>
        <w:t xml:space="preserve">curl | sudo bash</w:t>
      </w:r>
      <w:r>
        <w:rPr>
          <w:b/>
          <w:bCs/>
        </w:rPr>
        <w:t xml:space="preserve"> </w:t>
      </w:r>
      <w:r>
        <w:rPr>
          <w:b/>
          <w:bCs/>
        </w:rPr>
        <w:t xml:space="preserve">trouvé en ligne ?”</w:t>
      </w:r>
      <w:r>
        <w:t xml:space="preserve"> </w:t>
      </w:r>
      <w:r>
        <w:t xml:space="preserve">Réponse attendue : cette méthode contourne la vérification cryptographique de signature qu’offre un dépôt officiel correctement configuré, et exécute un code non inspecté avec des privilèges root complets — un risque de sécurité disproportionné par rapport au gain de temps réel, sans compter l’absence de suivi automatique des futures mises à jour.</w:t>
      </w:r>
    </w:p>
    <w:p>
      <w:pPr>
        <w:pStyle w:val="BodyText"/>
      </w:pPr>
      <w:r>
        <w:rPr>
          <w:b/>
          <w:bCs/>
        </w:rPr>
        <w:t xml:space="preserve">Q3.</w:t>
      </w:r>
      <w:r>
        <w:rPr>
          <w:b/>
          <w:bCs/>
        </w:rPr>
        <w:t xml:space="preserve"> </w:t>
      </w:r>
      <w:r>
        <w:rPr>
          <w:b/>
          <w:bCs/>
        </w:rPr>
        <w:t xml:space="preserve">“Comment diagnostiquerais-tu une erreur de dépendances lors d’une installation de paquet ?”</w:t>
      </w:r>
      <w:r>
        <w:t xml:space="preserve"> </w:t>
      </w:r>
      <w:r>
        <w:t xml:space="preserve">Réponse attendue : vérifier d’abord que la liste locale des paquets est à jour (</w:t>
      </w:r>
      <w:r>
        <w:rPr>
          <w:rStyle w:val="VerbatimChar"/>
        </w:rPr>
        <w:t xml:space="preserve">apt update</w:t>
      </w:r>
      <w:r>
        <w:t xml:space="preserve"> </w:t>
      </w:r>
      <w:r>
        <w:t xml:space="preserve">ou équivalent), puis utiliser les outils de diagnostic dédiés (</w:t>
      </w:r>
      <w:r>
        <w:rPr>
          <w:rStyle w:val="VerbatimChar"/>
        </w:rPr>
        <w:t xml:space="preserve">apt --fix-broken install</w:t>
      </w:r>
      <w:r>
        <w:t xml:space="preserve">,</w:t>
      </w:r>
      <w:r>
        <w:t xml:space="preserve"> </w:t>
      </w:r>
      <w:r>
        <w:rPr>
          <w:rStyle w:val="VerbatimChar"/>
        </w:rPr>
        <w:t xml:space="preserve">dnf check</w:t>
      </w:r>
      <w:r>
        <w:t xml:space="preserve">) avant d’explorer des causes plus complexes comme un conflit avec un dépôt tiers mal configuré.</w:t>
      </w:r>
    </w:p>
    <w:bookmarkEnd w:id="386"/>
    <w:bookmarkStart w:id="387" w:name="X3fb90b5fcc985e3e2e769e5aebe6602ae7a7821"/>
    <w:p>
      <w:pPr>
        <w:pStyle w:val="Heading2"/>
      </w:pPr>
      <w:r>
        <w:t xml:space="preserve">Optimisation, sécurité et maintenabilité — les réflexes dès ce chapitre</w:t>
      </w:r>
    </w:p>
    <w:p>
      <w:pPr>
        <w:pStyle w:val="FirstParagraph"/>
      </w:pPr>
      <w:r>
        <w:t xml:space="preserve">🔒 Sécurité</w:t>
      </w:r>
      <w:r>
        <w:t xml:space="preserve"> </w:t>
      </w:r>
      <w:r>
        <w:t xml:space="preserve">N’installe jamais un logiciel en production via une méthode qui contourne la vérification de signature d’un dépôt reconnu, sauf nécessité absolue documentée et justifiée — le réflexe</w:t>
      </w:r>
      <w:r>
        <w:t xml:space="preserve"> </w:t>
      </w:r>
      <w:r>
        <w:t xml:space="preserve">“dépôt officiel d’abord, alternative seulement si aucun dépôt fiable n’existe”</w:t>
      </w:r>
      <w:r>
        <w:t xml:space="preserve"> </w:t>
      </w:r>
      <w:r>
        <w:t xml:space="preserve">doit devenir automatique.</w:t>
      </w:r>
    </w:p>
    <w:p>
      <w:pPr>
        <w:pStyle w:val="BodyText"/>
      </w:pPr>
      <w:r>
        <w:t xml:space="preserve">✅ Maintenabilité</w:t>
      </w:r>
      <w:r>
        <w:t xml:space="preserve"> </w:t>
      </w:r>
      <w:r>
        <w:t xml:space="preserve">Documente (chapitre 3) chaque dépôt tiers ajouté à un serveur, avec sa raison d’être et sa source officielle — un audit futur doit pouvoir retrouver rapidement pourquoi chaque dépôt non standard a été ajouté, sans devoir deviner.</w:t>
      </w:r>
    </w:p>
    <w:p>
      <w:pPr>
        <w:pStyle w:val="BodyText"/>
      </w:pPr>
      <w:r>
        <w:t xml:space="preserve">🚀 Performance</w:t>
      </w:r>
      <w:r>
        <w:t xml:space="preserve"> </w:t>
      </w:r>
      <w:r>
        <w:t xml:space="preserve">Planifie des fenêtres de maintenance régulières pour appliquer les mises à jour de paquets, plutôt que de les laisser s’accumuler — une mise à jour groupée après des mois d’accumulation comporte un risque de régression bien plus élevé qu’une série de mises à jour régulières et incrémentales, plus faciles à tester et à revenir en arrière individuellement si besoin.</w:t>
      </w:r>
    </w:p>
    <w:bookmarkEnd w:id="387"/>
    <w:bookmarkStart w:id="388" w:name="résumé-du-chapitre-14"/>
    <w:p>
      <w:pPr>
        <w:pStyle w:val="Heading2"/>
      </w:pPr>
      <w:r>
        <w:t xml:space="preserve">Résumé du chapitre</w:t>
      </w:r>
    </w:p>
    <w:p>
      <w:pPr>
        <w:pStyle w:val="Compact"/>
        <w:numPr>
          <w:ilvl w:val="0"/>
          <w:numId w:val="1348"/>
        </w:numPr>
      </w:pPr>
      <w:r>
        <w:t xml:space="preserve">Un paquet est une archive logicielle avec ses métadonnées ; un dépôt héberge une collection de paquets vérifiés cryptographiquement.</w:t>
      </w:r>
    </w:p>
    <w:p>
      <w:pPr>
        <w:pStyle w:val="Compact"/>
        <w:numPr>
          <w:ilvl w:val="0"/>
          <w:numId w:val="1348"/>
        </w:numPr>
      </w:pPr>
      <w:r>
        <w:t xml:space="preserve">Installer un logiciel via un script</w:t>
      </w:r>
      <w:r>
        <w:t xml:space="preserve"> </w:t>
      </w:r>
      <w:r>
        <w:rPr>
          <w:rStyle w:val="VerbatimChar"/>
        </w:rPr>
        <w:t xml:space="preserve">curl | sudo bash</w:t>
      </w:r>
      <w:r>
        <w:t xml:space="preserve"> </w:t>
      </w:r>
      <w:r>
        <w:t xml:space="preserve">trouvé en ligne contourne toute vérification d’authenticité et donne un accès root immédiat à un code non inspecté — une pratique à éviter au profit d’un dépôt officiel.</w:t>
      </w:r>
    </w:p>
    <w:p>
      <w:pPr>
        <w:pStyle w:val="Compact"/>
        <w:numPr>
          <w:ilvl w:val="0"/>
          <w:numId w:val="1348"/>
        </w:numPr>
      </w:pPr>
      <w:r>
        <w:rPr>
          <w:rStyle w:val="VerbatimChar"/>
        </w:rPr>
        <w:t xml:space="preserve">apt</w:t>
      </w:r>
      <w:r>
        <w:t xml:space="preserve"> </w:t>
      </w:r>
      <w:r>
        <w:t xml:space="preserve">(Debian/Ubuntu) sépare rafraîchissement (</w:t>
      </w:r>
      <w:r>
        <w:rPr>
          <w:rStyle w:val="VerbatimChar"/>
        </w:rPr>
        <w:t xml:space="preserve">update</w:t>
      </w:r>
      <w:r>
        <w:t xml:space="preserve">) et mise à jour effective (</w:t>
      </w:r>
      <w:r>
        <w:rPr>
          <w:rStyle w:val="VerbatimChar"/>
        </w:rPr>
        <w:t xml:space="preserve">upgrade</w:t>
      </w:r>
      <w:r>
        <w:t xml:space="preserve">) ;</w:t>
      </w:r>
      <w:r>
        <w:t xml:space="preserve"> </w:t>
      </w:r>
      <w:r>
        <w:rPr>
          <w:rStyle w:val="VerbatimChar"/>
        </w:rPr>
        <w:t xml:space="preserve">dnf</w:t>
      </w:r>
      <w:r>
        <w:t xml:space="preserve"> </w:t>
      </w:r>
      <w:r>
        <w:t xml:space="preserve">(Rocky Linux/RHEL) combine les deux dans une seule opération.</w:t>
      </w:r>
    </w:p>
    <w:p>
      <w:pPr>
        <w:pStyle w:val="Compact"/>
        <w:numPr>
          <w:ilvl w:val="0"/>
          <w:numId w:val="1348"/>
        </w:numPr>
      </w:pPr>
      <w:r>
        <w:t xml:space="preserve">Ajouter un dépôt tiers officiel (clé de signature + source) prend à peine plus de temps qu’un script direct, tout en apportant vérification cryptographique et suivi automatique des futures mises à jour.</w:t>
      </w:r>
    </w:p>
    <w:p>
      <w:pPr>
        <w:pStyle w:val="Compact"/>
        <w:numPr>
          <w:ilvl w:val="0"/>
          <w:numId w:val="1348"/>
        </w:numPr>
      </w:pPr>
      <w:r>
        <w:t xml:space="preserve">Un logiciel installé hors du gestionnaire de paquets échappe à tout audit et suivi de version, créant un angle mort similaire au shadow IT du chapitre 3.</w:t>
      </w:r>
    </w:p>
    <w:bookmarkEnd w:id="388"/>
    <w:bookmarkStart w:id="389" w:name="quiz-14"/>
    <w:p>
      <w:pPr>
        <w:pStyle w:val="Heading2"/>
      </w:pPr>
      <w:r>
        <w:t xml:space="preserve">Quiz</w:t>
      </w:r>
    </w:p>
    <w:p>
      <w:pPr>
        <w:pStyle w:val="FirstParagraph"/>
      </w:pPr>
      <w:r>
        <w:t xml:space="preserve">📝 QCM (une seule bonne réponse par question)</w:t>
      </w:r>
    </w:p>
    <w:p>
      <w:pPr>
        <w:pStyle w:val="Compact"/>
        <w:numPr>
          <w:ilvl w:val="0"/>
          <w:numId w:val="1349"/>
        </w:numPr>
      </w:pPr>
      <w:r>
        <w:t xml:space="preserve">Sur Debian/Ubuntu, la commande qui rafraîchit la liste des paquets disponibles sans rien installer est :</w:t>
      </w:r>
    </w:p>
    <w:p>
      <w:pPr>
        <w:pStyle w:val="Compact"/>
        <w:numPr>
          <w:ilvl w:val="1"/>
          <w:numId w:val="1350"/>
        </w:numPr>
      </w:pPr>
    </w:p>
    <w:p>
      <w:pPr>
        <w:pStyle w:val="Compact"/>
        <w:numPr>
          <w:ilvl w:val="2"/>
          <w:numId w:val="1351"/>
        </w:numPr>
      </w:pPr>
      <w:r>
        <w:rPr>
          <w:rStyle w:val="VerbatimChar"/>
        </w:rPr>
        <w:t xml:space="preserve">apt upgrade</w:t>
      </w:r>
    </w:p>
    <w:p>
      <w:pPr>
        <w:pStyle w:val="Compact"/>
        <w:numPr>
          <w:ilvl w:val="1"/>
          <w:numId w:val="1350"/>
        </w:numPr>
      </w:pPr>
    </w:p>
    <w:p>
      <w:pPr>
        <w:pStyle w:val="Compact"/>
        <w:numPr>
          <w:ilvl w:val="2"/>
          <w:numId w:val="1352"/>
        </w:numPr>
      </w:pPr>
      <w:r>
        <w:rPr>
          <w:rStyle w:val="VerbatimChar"/>
        </w:rPr>
        <w:t xml:space="preserve">apt update</w:t>
      </w:r>
    </w:p>
    <w:p>
      <w:pPr>
        <w:pStyle w:val="Compact"/>
        <w:numPr>
          <w:ilvl w:val="1"/>
          <w:numId w:val="1350"/>
        </w:numPr>
      </w:pPr>
    </w:p>
    <w:p>
      <w:pPr>
        <w:pStyle w:val="Compact"/>
        <w:numPr>
          <w:ilvl w:val="2"/>
          <w:numId w:val="1353"/>
        </w:numPr>
      </w:pPr>
      <w:r>
        <w:rPr>
          <w:rStyle w:val="VerbatimChar"/>
        </w:rPr>
        <w:t xml:space="preserve">apt install</w:t>
      </w:r>
    </w:p>
    <w:p>
      <w:pPr>
        <w:pStyle w:val="Compact"/>
        <w:numPr>
          <w:ilvl w:val="1"/>
          <w:numId w:val="1350"/>
        </w:numPr>
      </w:pPr>
    </w:p>
    <w:p>
      <w:pPr>
        <w:pStyle w:val="Compact"/>
        <w:numPr>
          <w:ilvl w:val="2"/>
          <w:numId w:val="1354"/>
        </w:numPr>
      </w:pPr>
      <w:r>
        <w:rPr>
          <w:rStyle w:val="VerbatimChar"/>
        </w:rPr>
        <w:t xml:space="preserve">apt autoremove</w:t>
      </w:r>
    </w:p>
    <w:p>
      <w:pPr>
        <w:pStyle w:val="Compact"/>
        <w:numPr>
          <w:ilvl w:val="0"/>
          <w:numId w:val="1349"/>
        </w:numPr>
      </w:pPr>
      <w:r>
        <w:t xml:space="preserve">Le principal risque d’un script</w:t>
      </w:r>
      <w:r>
        <w:t xml:space="preserve"> </w:t>
      </w:r>
      <w:r>
        <w:rPr>
          <w:rStyle w:val="VerbatimChar"/>
        </w:rPr>
        <w:t xml:space="preserve">curl | sudo bash</w:t>
      </w:r>
      <w:r>
        <w:t xml:space="preserve"> </w:t>
      </w:r>
      <w:r>
        <w:t xml:space="preserve">exécuté depuis un tutoriel en ligne est :</w:t>
      </w:r>
    </w:p>
    <w:p>
      <w:pPr>
        <w:pStyle w:val="Compact"/>
        <w:numPr>
          <w:ilvl w:val="1"/>
          <w:numId w:val="1355"/>
        </w:numPr>
      </w:pPr>
    </w:p>
    <w:p>
      <w:pPr>
        <w:pStyle w:val="Compact"/>
        <w:numPr>
          <w:ilvl w:val="2"/>
          <w:numId w:val="1356"/>
        </w:numPr>
      </w:pPr>
      <w:r>
        <w:t xml:space="preserve">Il est toujours plus lent qu’une installation via dépôt</w:t>
      </w:r>
    </w:p>
    <w:p>
      <w:pPr>
        <w:pStyle w:val="Compact"/>
        <w:numPr>
          <w:ilvl w:val="1"/>
          <w:numId w:val="1355"/>
        </w:numPr>
      </w:pPr>
    </w:p>
    <w:p>
      <w:pPr>
        <w:pStyle w:val="Compact"/>
        <w:numPr>
          <w:ilvl w:val="2"/>
          <w:numId w:val="1357"/>
        </w:numPr>
      </w:pPr>
      <w:r>
        <w:t xml:space="preserve">Il contourne la vérification cryptographique et s’exécute avec un accès root total sans inspection</w:t>
      </w:r>
    </w:p>
    <w:p>
      <w:pPr>
        <w:pStyle w:val="Compact"/>
        <w:numPr>
          <w:ilvl w:val="1"/>
          <w:numId w:val="1355"/>
        </w:numPr>
      </w:pPr>
    </w:p>
    <w:p>
      <w:pPr>
        <w:pStyle w:val="Compact"/>
        <w:numPr>
          <w:ilvl w:val="2"/>
          <w:numId w:val="1358"/>
        </w:numPr>
      </w:pPr>
      <w:r>
        <w:t xml:space="preserve">Il ne fonctionne jamais sur Ubuntu Server</w:t>
      </w:r>
    </w:p>
    <w:p>
      <w:pPr>
        <w:pStyle w:val="Compact"/>
        <w:numPr>
          <w:ilvl w:val="1"/>
          <w:numId w:val="1355"/>
        </w:numPr>
      </w:pPr>
    </w:p>
    <w:p>
      <w:pPr>
        <w:pStyle w:val="Compact"/>
        <w:numPr>
          <w:ilvl w:val="2"/>
          <w:numId w:val="1359"/>
        </w:numPr>
      </w:pPr>
      <w:r>
        <w:t xml:space="preserve">Il installe systématiquement un virus</w:t>
      </w:r>
    </w:p>
    <w:p>
      <w:pPr>
        <w:pStyle w:val="Compact"/>
        <w:numPr>
          <w:ilvl w:val="0"/>
          <w:numId w:val="1349"/>
        </w:numPr>
      </w:pPr>
      <w:r>
        <w:t xml:space="preserve">Sur Rocky Linux/RHEL, le gestionnaire de paquets standard est :</w:t>
      </w:r>
    </w:p>
    <w:p>
      <w:pPr>
        <w:pStyle w:val="Compact"/>
        <w:numPr>
          <w:ilvl w:val="1"/>
          <w:numId w:val="1360"/>
        </w:numPr>
      </w:pPr>
    </w:p>
    <w:p>
      <w:pPr>
        <w:pStyle w:val="Compact"/>
        <w:numPr>
          <w:ilvl w:val="2"/>
          <w:numId w:val="1361"/>
        </w:numPr>
      </w:pPr>
      <w:r>
        <w:rPr>
          <w:rStyle w:val="VerbatimChar"/>
        </w:rPr>
        <w:t xml:space="preserve">apt</w:t>
      </w:r>
    </w:p>
    <w:p>
      <w:pPr>
        <w:pStyle w:val="Compact"/>
        <w:numPr>
          <w:ilvl w:val="1"/>
          <w:numId w:val="1360"/>
        </w:numPr>
      </w:pPr>
    </w:p>
    <w:p>
      <w:pPr>
        <w:pStyle w:val="Compact"/>
        <w:numPr>
          <w:ilvl w:val="2"/>
          <w:numId w:val="1362"/>
        </w:numPr>
      </w:pPr>
      <w:r>
        <w:rPr>
          <w:rStyle w:val="VerbatimChar"/>
        </w:rPr>
        <w:t xml:space="preserve">dnf</w:t>
      </w:r>
    </w:p>
    <w:p>
      <w:pPr>
        <w:pStyle w:val="Compact"/>
        <w:numPr>
          <w:ilvl w:val="1"/>
          <w:numId w:val="1360"/>
        </w:numPr>
      </w:pPr>
    </w:p>
    <w:p>
      <w:pPr>
        <w:pStyle w:val="Compact"/>
        <w:numPr>
          <w:ilvl w:val="2"/>
          <w:numId w:val="1363"/>
        </w:numPr>
      </w:pPr>
      <w:r>
        <w:rPr>
          <w:rStyle w:val="VerbatimChar"/>
        </w:rPr>
        <w:t xml:space="preserve">npm</w:t>
      </w:r>
    </w:p>
    <w:p>
      <w:pPr>
        <w:pStyle w:val="Compact"/>
        <w:numPr>
          <w:ilvl w:val="1"/>
          <w:numId w:val="1360"/>
        </w:numPr>
      </w:pPr>
    </w:p>
    <w:p>
      <w:pPr>
        <w:pStyle w:val="Compact"/>
        <w:numPr>
          <w:ilvl w:val="2"/>
          <w:numId w:val="1364"/>
        </w:numPr>
      </w:pPr>
      <w:r>
        <w:rPr>
          <w:rStyle w:val="VerbatimChar"/>
        </w:rPr>
        <w:t xml:space="preserve">pip</w:t>
      </w:r>
    </w:p>
    <w:p>
      <w:pPr>
        <w:pStyle w:val="FirstParagraph"/>
      </w:pPr>
      <w:r>
        <w:rPr>
          <w:b/>
          <w:bCs/>
        </w:rPr>
        <w:t xml:space="preserve">Corrigé</w:t>
      </w:r>
      <w:r>
        <w:t xml:space="preserve"> </w:t>
      </w:r>
      <w:r>
        <w:t xml:space="preserve">: 1-b, 2-b, 3-b.</w:t>
      </w:r>
    </w:p>
    <w:p>
      <w:pPr>
        <w:pStyle w:val="BodyText"/>
      </w:pPr>
      <w:r>
        <w:t xml:space="preserve">📝 Vrai ou Faux</w:t>
      </w:r>
    </w:p>
    <w:p>
      <w:pPr>
        <w:pStyle w:val="Compact"/>
        <w:numPr>
          <w:ilvl w:val="0"/>
          <w:numId w:val="1365"/>
        </w:numPr>
      </w:pPr>
      <w:r>
        <w:rPr>
          <w:rStyle w:val="VerbatimChar"/>
        </w:rPr>
        <w:t xml:space="preserve">dnf upgrade</w:t>
      </w:r>
      <w:r>
        <w:t xml:space="preserve"> </w:t>
      </w:r>
      <w:r>
        <w:t xml:space="preserve">rafraîchit automatiquement les métadonnées avant la mise à jour, contrairement à</w:t>
      </w:r>
      <w:r>
        <w:t xml:space="preserve"> </w:t>
      </w:r>
      <w:r>
        <w:rPr>
          <w:rStyle w:val="VerbatimChar"/>
        </w:rPr>
        <w:t xml:space="preserve">apt upgrade</w:t>
      </w:r>
      <w:r>
        <w:t xml:space="preserve"> </w:t>
      </w:r>
      <w:r>
        <w:t xml:space="preserve">seul. —</w:t>
      </w:r>
      <w:r>
        <w:t xml:space="preserve"> </w:t>
      </w:r>
      <w:r>
        <w:rPr>
          <w:b/>
          <w:bCs/>
        </w:rPr>
        <w:t xml:space="preserve">Vrai</w:t>
      </w:r>
      <w:r>
        <w:t xml:space="preserve">.</w:t>
      </w:r>
    </w:p>
    <w:p>
      <w:pPr>
        <w:pStyle w:val="Compact"/>
        <w:numPr>
          <w:ilvl w:val="0"/>
          <w:numId w:val="1365"/>
        </w:numPr>
      </w:pPr>
      <w:r>
        <w:t xml:space="preserve">Un logiciel installé via un script manuel bénéficie automatiquement des futures mises à jour de sécurité au même titre qu’un paquet du dépôt officiel. —</w:t>
      </w:r>
      <w:r>
        <w:t xml:space="preserve"> </w:t>
      </w:r>
      <w:r>
        <w:rPr>
          <w:b/>
          <w:bCs/>
        </w:rPr>
        <w:t xml:space="preserve">Faux</w:t>
      </w:r>
      <w:r>
        <w:t xml:space="preserve"> </w:t>
      </w:r>
      <w:r>
        <w:t xml:space="preserve">(il échappe totalement au suivi du gestionnaire de paquets).</w:t>
      </w:r>
    </w:p>
    <w:p>
      <w:pPr>
        <w:pStyle w:val="Compact"/>
        <w:numPr>
          <w:ilvl w:val="0"/>
          <w:numId w:val="1365"/>
        </w:numPr>
      </w:pPr>
      <w:r>
        <w:t xml:space="preserve">Ajouter un dépôt tiers signé et vérifié est toujours moins sûr qu’un script direct. —</w:t>
      </w:r>
      <w:r>
        <w:t xml:space="preserve"> </w:t>
      </w:r>
      <w:r>
        <w:rPr>
          <w:b/>
          <w:bCs/>
        </w:rPr>
        <w:t xml:space="preserve">Faux</w:t>
      </w:r>
      <w:r>
        <w:t xml:space="preserve"> </w:t>
      </w:r>
      <w:r>
        <w:t xml:space="preserve">(c’est l’inverse : le dépôt signé offre une vérification que le script direct n’offre pas).</w:t>
      </w:r>
    </w:p>
    <w:p>
      <w:pPr>
        <w:pStyle w:val="Compact"/>
        <w:numPr>
          <w:ilvl w:val="0"/>
          <w:numId w:val="1365"/>
        </w:numPr>
      </w:pPr>
      <w:r>
        <w:rPr>
          <w:rStyle w:val="VerbatimChar"/>
        </w:rPr>
        <w:t xml:space="preserve">dpkg -S</w:t>
      </w:r>
      <w:r>
        <w:t xml:space="preserve"> </w:t>
      </w:r>
      <w:r>
        <w:t xml:space="preserve">permet de savoir quel paquet a installé un fichier précis sur le système. —</w:t>
      </w:r>
      <w:r>
        <w:t xml:space="preserve"> </w:t>
      </w:r>
      <w:r>
        <w:rPr>
          <w:b/>
          <w:bCs/>
        </w:rPr>
        <w:t xml:space="preserve">Vrai</w:t>
      </w:r>
      <w:r>
        <w:t xml:space="preserve">.</w:t>
      </w:r>
    </w:p>
    <w:p>
      <w:pPr>
        <w:pStyle w:val="FirstParagraph"/>
      </w:pPr>
      <w:r>
        <w:t xml:space="preserve">📝 Questions ouvertes</w:t>
      </w:r>
    </w:p>
    <w:p>
      <w:pPr>
        <w:pStyle w:val="Compact"/>
        <w:numPr>
          <w:ilvl w:val="0"/>
          <w:numId w:val="1366"/>
        </w:numPr>
      </w:pPr>
      <w:r>
        <w:t xml:space="preserve">Explique pourquoi la vérification cryptographique d’un dépôt officiel change fondamentalement le niveau de confiance par rapport à un script téléchargé directement.</w:t>
      </w:r>
    </w:p>
    <w:p>
      <w:pPr>
        <w:pStyle w:val="Compact"/>
        <w:numPr>
          <w:ilvl w:val="0"/>
          <w:numId w:val="1366"/>
        </w:numPr>
      </w:pPr>
      <w:r>
        <w:t xml:space="preserve">Reprends le scénario d’ouverture. Rédige une réponse de 3 à 4 phrases au développeur, qui reconnaît que sa méthode fonctionnerait probablement, tout en expliquant pourquoi elle n’est pas recommandée.</w:t>
      </w:r>
    </w:p>
    <w:p>
      <w:pPr>
        <w:pStyle w:val="FirstParagraph"/>
      </w:pPr>
      <w:r>
        <w:rPr>
          <w:b/>
          <w:bCs/>
        </w:rPr>
        <w:t xml:space="preserve">Corrigé 1</w:t>
      </w:r>
      <w:r>
        <w:t xml:space="preserve"> </w:t>
      </w:r>
      <w:r>
        <w:t xml:space="preserve">: la signature cryptographique d’un dépôt garantit mathématiquement que le paquet reçu provient bien de la source annoncée et n’a été modifié par personne entre sa publication et son téléchargement — une garantie qu’aucun script téléchargé directement ne peut offrir, puisque rien ne prouve son origine réelle ni son intégrité au moment de l’exécution. Cette garantie protège contre deux scénarios distincts : une usurpation de la source (un attaquant se faisant passer pour l’éditeur légitime) et une altération en transit (une modification du contenu entre la publication et la réception).</w:t>
      </w:r>
    </w:p>
    <w:p>
      <w:pPr>
        <w:pStyle w:val="BodyText"/>
      </w:pPr>
      <w:r>
        <w:rPr>
          <w:b/>
          <w:bCs/>
        </w:rPr>
        <w:t xml:space="preserve">Corrigé 2</w:t>
      </w:r>
      <w:r>
        <w:t xml:space="preserve"> </w:t>
      </w:r>
      <w:r>
        <w:t xml:space="preserve">: je lui dirais que sa méthode fonctionnerait très probablement sans incident dans l’immédiat, ce qui explique pourquoi elle reste répandue malgré ses risques. Le problème n’est pas la probabilité d’un incident sur cette installation précise, mais le principe : un accès root total accordé à un code jamais vérifié reste une porte ouverte inutile, alors qu’une alternative presque aussi rapide (le dépôt officiel de l’outil) offre une vraie garantie de provenance et de suivi des futures mises à jour, pour un coût en temps minime.</w:t>
      </w:r>
    </w:p>
    <w:bookmarkEnd w:id="389"/>
    <w:bookmarkStart w:id="390" w:name="exercices-14"/>
    <w:p>
      <w:pPr>
        <w:pStyle w:val="Heading2"/>
      </w:pPr>
      <w:r>
        <w:t xml:space="preserve">Exercices</w:t>
      </w:r>
    </w:p>
    <w:p>
      <w:pPr>
        <w:pStyle w:val="FirstParagraph"/>
      </w:pPr>
      <w:r>
        <w:t xml:space="preserve">📝 Exercice 15.1</w:t>
      </w:r>
    </w:p>
    <w:p>
      <w:pPr>
        <w:pStyle w:val="BodyText"/>
      </w:pPr>
      <w:r>
        <w:t xml:space="preserve">Un collègue installe un paquet sur un serveur Rocky Linux avec</w:t>
      </w:r>
      <w:r>
        <w:t xml:space="preserve"> </w:t>
      </w:r>
      <w:r>
        <w:rPr>
          <w:rStyle w:val="VerbatimChar"/>
        </w:rPr>
        <w:t xml:space="preserve">dnf install nginx</w:t>
      </w:r>
      <w:r>
        <w:t xml:space="preserve">, sans avoir exécuté de commande de rafraîchissement au préalable. Explique pourquoi ce n’est pas une erreur, contrairement à ce qui se passerait avec</w:t>
      </w:r>
      <w:r>
        <w:t xml:space="preserve"> </w:t>
      </w:r>
      <w:r>
        <w:rPr>
          <w:rStyle w:val="VerbatimChar"/>
        </w:rPr>
        <w:t xml:space="preserve">apt install</w:t>
      </w:r>
      <w:r>
        <w:t xml:space="preserve"> </w:t>
      </w:r>
      <w:r>
        <w:t xml:space="preserve">seul sur Ubuntu sans</w:t>
      </w:r>
      <w:r>
        <w:t xml:space="preserve"> </w:t>
      </w:r>
      <w:r>
        <w:rPr>
          <w:rStyle w:val="VerbatimChar"/>
        </w:rPr>
        <w:t xml:space="preserve">apt update</w:t>
      </w:r>
      <w:r>
        <w:t xml:space="preserve"> </w:t>
      </w:r>
      <w:r>
        <w:t xml:space="preserve">préalable.</w:t>
      </w:r>
    </w:p>
    <w:p>
      <w:pPr>
        <w:pStyle w:val="BodyText"/>
      </w:pPr>
      <w:r>
        <w:rPr>
          <w:b/>
          <w:bCs/>
        </w:rPr>
        <w:t xml:space="preserve">Corrigé :</w:t>
      </w:r>
      <w:r>
        <w:t xml:space="preserve"> </w:t>
      </w:r>
      <w:r>
        <w:t xml:space="preserve">Contrairement à</w:t>
      </w:r>
      <w:r>
        <w:t xml:space="preserve"> </w:t>
      </w:r>
      <w:r>
        <w:rPr>
          <w:rStyle w:val="VerbatimChar"/>
        </w:rPr>
        <w:t xml:space="preserve">apt</w:t>
      </w:r>
      <w:r>
        <w:t xml:space="preserve">, qui nécessite un</w:t>
      </w:r>
      <w:r>
        <w:t xml:space="preserve"> </w:t>
      </w:r>
      <w:r>
        <w:rPr>
          <w:rStyle w:val="VerbatimChar"/>
        </w:rPr>
        <w:t xml:space="preserve">apt update</w:t>
      </w:r>
      <w:r>
        <w:t xml:space="preserve"> </w:t>
      </w:r>
      <w:r>
        <w:t xml:space="preserve">explicite et distinct pour rafraîchir ses métadonnées locales,</w:t>
      </w:r>
      <w:r>
        <w:t xml:space="preserve"> </w:t>
      </w:r>
      <w:r>
        <w:rPr>
          <w:rStyle w:val="VerbatimChar"/>
        </w:rPr>
        <w:t xml:space="preserve">dnf</w:t>
      </w:r>
      <w:r>
        <w:t xml:space="preserve"> </w:t>
      </w:r>
      <w:r>
        <w:t xml:space="preserve">rafraîchit automatiquement ses métadonnées à chaque opération avant de procéder (section 15.4) — une seule commande</w:t>
      </w:r>
      <w:r>
        <w:t xml:space="preserve"> </w:t>
      </w:r>
      <w:r>
        <w:rPr>
          <w:rStyle w:val="VerbatimChar"/>
        </w:rPr>
        <w:t xml:space="preserve">dnf install</w:t>
      </w:r>
      <w:r>
        <w:t xml:space="preserve"> </w:t>
      </w:r>
      <w:r>
        <w:t xml:space="preserve">suffit donc à garantir que la liste des paquets disponibles est à jour, sans étape séparée nécessaire.</w:t>
      </w:r>
    </w:p>
    <w:p>
      <w:pPr>
        <w:pStyle w:val="BodyText"/>
      </w:pPr>
      <w:r>
        <w:t xml:space="preserve">📝 Exercice 15.2</w:t>
      </w:r>
    </w:p>
    <w:p>
      <w:pPr>
        <w:pStyle w:val="BodyText"/>
      </w:pPr>
      <w:r>
        <w:t xml:space="preserve">Rédige, en 3 à 5 phrases, une politique courte que tu proposerais à ton équipe concernant l’installation de logiciels tiers non disponibles dans les dépôts officiels de la distribution.</w:t>
      </w:r>
    </w:p>
    <w:p>
      <w:pPr>
        <w:pStyle w:val="BodyText"/>
      </w:pPr>
      <w:r>
        <w:rPr>
          <w:b/>
          <w:bCs/>
        </w:rPr>
        <w:t xml:space="preserve">Corrigé (exemple de réponse) :</w:t>
      </w:r>
      <w:r>
        <w:t xml:space="preserve"> </w:t>
      </w:r>
      <w:r>
        <w:t xml:space="preserve">Toute installation de logiciel tiers doit d’abord privilégier le dépôt officiel signé du projet concerné, ajouté et documenté selon la procédure de la section 15.5. Si aucun dépôt officiel fiable n’existe, l’alternative recommandée est un conteneur Docker basé sur une image officielle vérifiée (Partie 7), plutôt qu’un script exécuté directement en tant que root. Toute exception à cette politique doit être documentée avec sa justification précise (chapitre 3) et validée par un second membre de l’équipe, suivant le même principe que la revue d’un changement à risque (chapitre 2).</w:t>
      </w:r>
    </w:p>
    <w:bookmarkEnd w:id="390"/>
    <w:bookmarkStart w:id="391" w:name="checklist-de-fin-de-chapitre-14"/>
    <w:p>
      <w:pPr>
        <w:pStyle w:val="Heading2"/>
      </w:pPr>
      <w:r>
        <w:t xml:space="preserve">Checklist de fin de chapitre</w:t>
      </w:r>
    </w:p>
    <w:p>
      <w:pPr>
        <w:pStyle w:val="FirstParagraph"/>
      </w:pPr>
      <w:r>
        <w:t xml:space="preserve">☐ Je comprends ce qu’est un paquet et un dépôt, et pourquoi leur provenance compte.</w:t>
      </w:r>
    </w:p>
    <w:p>
      <w:pPr>
        <w:pStyle w:val="BodyText"/>
      </w:pPr>
      <w:r>
        <w:t xml:space="preserve">☐ Je sais utiliser les commandes de base de</w:t>
      </w:r>
      <w:r>
        <w:t xml:space="preserve"> </w:t>
      </w:r>
      <w:r>
        <w:rPr>
          <w:rStyle w:val="VerbatimChar"/>
        </w:rPr>
        <w:t xml:space="preserve">apt</w:t>
      </w:r>
      <w:r>
        <w:t xml:space="preserve"> </w:t>
      </w:r>
      <w:r>
        <w:t xml:space="preserve">(Debian/Ubuntu) et</w:t>
      </w:r>
      <w:r>
        <w:t xml:space="preserve"> </w:t>
      </w:r>
      <w:r>
        <w:rPr>
          <w:rStyle w:val="VerbatimChar"/>
        </w:rPr>
        <w:t xml:space="preserve">dnf</w:t>
      </w:r>
      <w:r>
        <w:t xml:space="preserve"> </w:t>
      </w:r>
      <w:r>
        <w:t xml:space="preserve">(Rocky Linux/RHEL).</w:t>
      </w:r>
    </w:p>
    <w:p>
      <w:pPr>
        <w:pStyle w:val="BodyText"/>
      </w:pPr>
      <w:r>
        <w:t xml:space="preserve">☐ Je comprends la différence entre</w:t>
      </w:r>
      <w:r>
        <w:t xml:space="preserve"> </w:t>
      </w:r>
      <w:r>
        <w:rPr>
          <w:rStyle w:val="VerbatimChar"/>
        </w:rPr>
        <w:t xml:space="preserve">apt update</w:t>
      </w:r>
      <w:r>
        <w:t xml:space="preserve"> </w:t>
      </w:r>
      <w:r>
        <w:t xml:space="preserve">et</w:t>
      </w:r>
      <w:r>
        <w:t xml:space="preserve"> </w:t>
      </w:r>
      <w:r>
        <w:rPr>
          <w:rStyle w:val="VerbatimChar"/>
        </w:rPr>
        <w:t xml:space="preserve">apt upgrade</w:t>
      </w:r>
      <w:r>
        <w:t xml:space="preserve">.</w:t>
      </w:r>
    </w:p>
    <w:p>
      <w:pPr>
        <w:pStyle w:val="BodyText"/>
      </w:pPr>
      <w:r>
        <w:t xml:space="preserve">☐ Je sais pourquoi éviter un script</w:t>
      </w:r>
      <w:r>
        <w:t xml:space="preserve"> </w:t>
      </w:r>
      <w:r>
        <w:rPr>
          <w:rStyle w:val="VerbatimChar"/>
        </w:rPr>
        <w:t xml:space="preserve">curl | sudo bash</w:t>
      </w:r>
      <w:r>
        <w:t xml:space="preserve"> </w:t>
      </w:r>
      <w:r>
        <w:t xml:space="preserve">non vérifié, et quelle alternative privilégier.</w:t>
      </w:r>
    </w:p>
    <w:p>
      <w:pPr>
        <w:pStyle w:val="BodyText"/>
      </w:pPr>
      <w:r>
        <w:t xml:space="preserve">☐ Je sais ajouter un dépôt tiers officiel de façon sécurisée (clé de signature + source).</w:t>
      </w:r>
    </w:p>
    <w:p>
      <w:pPr>
        <w:pStyle w:val="BodyText"/>
      </w:pPr>
      <w:r>
        <w:t xml:space="preserve">☐ Je sais diagnostiquer une erreur de dépendances de base.</w:t>
      </w:r>
    </w:p>
    <w:bookmarkEnd w:id="391"/>
    <w:bookmarkStart w:id="392" w:name="faq-14"/>
    <w:p>
      <w:pPr>
        <w:pStyle w:val="Heading2"/>
      </w:pPr>
      <w:r>
        <w:t xml:space="preserve">FAQ</w:t>
      </w:r>
    </w:p>
    <w:p>
      <w:pPr>
        <w:pStyle w:val="FirstParagraph"/>
      </w:pPr>
      <w:r>
        <w:t xml:space="preserve">Peut-on avoir plusieurs versions du même logiciel installées simultanément via le gestionnaire de paquets ?</w:t>
      </w:r>
    </w:p>
    <w:p>
      <w:pPr>
        <w:pStyle w:val="BodyText"/>
      </w:pPr>
      <w:r>
        <w:t xml:space="preserve">Généralement non de façon native avec</w:t>
      </w:r>
      <w:r>
        <w:t xml:space="preserve"> </w:t>
      </w:r>
      <w:r>
        <w:rPr>
          <w:rStyle w:val="VerbatimChar"/>
        </w:rPr>
        <w:t xml:space="preserve">apt</w:t>
      </w:r>
      <w:r>
        <w:t xml:space="preserve"> </w:t>
      </w:r>
      <w:r>
        <w:t xml:space="preserve">ou</w:t>
      </w:r>
      <w:r>
        <w:t xml:space="preserve"> </w:t>
      </w:r>
      <w:r>
        <w:rPr>
          <w:rStyle w:val="VerbatimChar"/>
        </w:rPr>
        <w:t xml:space="preserve">dnf</w:t>
      </w:r>
      <w:r>
        <w:t xml:space="preserve"> </w:t>
      </w:r>
      <w:r>
        <w:t xml:space="preserve">seuls (une seule version est installée à la fois par défaut) — des outils complémentaires comme les conteneurs Docker (Partie 7) ou des gestionnaires de version dédiés à un langage précis répondent à ce besoin spécifique quand plusieurs versions doivent réellement coexister.</w:t>
      </w:r>
    </w:p>
    <w:p>
      <w:pPr>
        <w:pStyle w:val="BodyText"/>
      </w:pPr>
      <w:r>
        <w:t xml:space="preserve">Faut-il toujours faire</w:t>
      </w:r>
      <w:r>
        <w:t xml:space="preserve"> </w:t>
      </w:r>
      <w:r>
        <w:rPr>
          <w:rStyle w:val="VerbatimChar"/>
        </w:rPr>
        <w:t xml:space="preserve">apt upgrade</w:t>
      </w:r>
      <w:r>
        <w:t xml:space="preserve"> </w:t>
      </w:r>
      <w:r>
        <w:t xml:space="preserve">dès qu’une mise à jour est disponible ?</w:t>
      </w:r>
    </w:p>
    <w:p>
      <w:pPr>
        <w:pStyle w:val="BodyText"/>
      </w:pPr>
      <w:r>
        <w:t xml:space="preserve">Pas immédiatement et sans réflexion sur un serveur de production critique — suivre le processus de changement du chapitre 2 (test préalable, fenêtre de maintenance planifiée) reste recommandé, sauf pour des correctifs de sécurité critiques qui justifient une application plus rapide après une évaluation de risque accélérée.</w:t>
      </w:r>
    </w:p>
    <w:p>
      <w:pPr>
        <w:pStyle w:val="BodyText"/>
      </w:pPr>
      <w:r>
        <w:t xml:space="preserve">Comment savoir si un dépôt tiers est fiable avant de l’ajouter ?</w:t>
      </w:r>
    </w:p>
    <w:p>
      <w:pPr>
        <w:pStyle w:val="BodyText"/>
      </w:pPr>
      <w:r>
        <w:t xml:space="preserve">Vérifier qu’il s’agit bien du dépôt officiel documenté sur le site du projet logiciel lui-même (pas un lien trouvé dans un forum ou un tutoriel tiers non officiel), et que la clé de signature provient de la même source officielle — les mêmes réflexes de vérification de provenance que pour tout téléchargement sensible.</w:t>
      </w:r>
    </w:p>
    <w:p>
      <w:pPr>
        <w:pStyle w:val="BodyText"/>
      </w:pPr>
      <w:r>
        <w:t xml:space="preserve">Les commandes</w:t>
      </w:r>
      <w:r>
        <w:t xml:space="preserve"> </w:t>
      </w:r>
      <w:r>
        <w:rPr>
          <w:rStyle w:val="VerbatimChar"/>
        </w:rPr>
        <w:t xml:space="preserve">apt</w:t>
      </w:r>
      <w:r>
        <w:t xml:space="preserve"> </w:t>
      </w:r>
      <w:r>
        <w:t xml:space="preserve">et</w:t>
      </w:r>
      <w:r>
        <w:t xml:space="preserve"> </w:t>
      </w:r>
      <w:r>
        <w:rPr>
          <w:rStyle w:val="VerbatimChar"/>
        </w:rPr>
        <w:t xml:space="preserve">dnf</w:t>
      </w:r>
      <w:r>
        <w:t xml:space="preserve"> </w:t>
      </w:r>
      <w:r>
        <w:t xml:space="preserve">fonctionnent-elles de la même façon en mode non interactif (scripts d’automatisation) ?</w:t>
      </w:r>
    </w:p>
    <w:p>
      <w:pPr>
        <w:pStyle w:val="BodyText"/>
      </w:pPr>
      <w:r>
        <w:t xml:space="preserve">Toutes deux disposent d’options pour un usage non interactif (comme</w:t>
      </w:r>
      <w:r>
        <w:t xml:space="preserve"> </w:t>
      </w:r>
      <w:r>
        <w:t xml:space="preserve">-y</w:t>
      </w:r>
      <w:r>
        <w:t xml:space="preserve"> </w:t>
      </w:r>
      <w:r>
        <w:t xml:space="preserve">pour confirmer automatiquement), essentielles pour l’automatisation via des outils comme Ansible, approfondie au chapitre 52 — mais leur usage en script mérite encore plus de rigueur que leur usage manuel, faute de vérification humaine avant exécution.</w:t>
      </w:r>
    </w:p>
    <w:bookmarkEnd w:id="392"/>
    <w:bookmarkStart w:id="396" w:name="références-et-pour-aller-plus-loin-14"/>
    <w:p>
      <w:pPr>
        <w:pStyle w:val="Heading2"/>
      </w:pPr>
      <w:r>
        <w:t xml:space="preserve">Références et pour aller plus loin</w:t>
      </w:r>
    </w:p>
    <w:p>
      <w:pPr>
        <w:pStyle w:val="Compact"/>
        <w:numPr>
          <w:ilvl w:val="0"/>
          <w:numId w:val="1367"/>
        </w:numPr>
      </w:pPr>
      <w:r>
        <w:t xml:space="preserve">Documentation officielle Debian — APT :</w:t>
      </w:r>
      <w:r>
        <w:t xml:space="preserve"> </w:t>
      </w:r>
      <w:hyperlink r:id="rId393">
        <w:r>
          <w:rPr>
            <w:rStyle w:val="Hyperlink"/>
          </w:rPr>
          <w:t xml:space="preserve">https://wiki.debian.org/Apt</w:t>
        </w:r>
      </w:hyperlink>
    </w:p>
    <w:p>
      <w:pPr>
        <w:pStyle w:val="Compact"/>
        <w:numPr>
          <w:ilvl w:val="0"/>
          <w:numId w:val="1367"/>
        </w:numPr>
      </w:pPr>
      <w:r>
        <w:t xml:space="preserve">Documentation officielle Ubuntu — Gestion des paquets :</w:t>
      </w:r>
      <w:r>
        <w:t xml:space="preserve"> </w:t>
      </w:r>
      <w:hyperlink r:id="rId394">
        <w:r>
          <w:rPr>
            <w:rStyle w:val="Hyperlink"/>
          </w:rPr>
          <w:t xml:space="preserve">https://ubuntu.com/server/docs/package-management</w:t>
        </w:r>
      </w:hyperlink>
    </w:p>
    <w:p>
      <w:pPr>
        <w:pStyle w:val="Compact"/>
        <w:numPr>
          <w:ilvl w:val="0"/>
          <w:numId w:val="1367"/>
        </w:numPr>
      </w:pPr>
      <w:r>
        <w:t xml:space="preserve">Documentation officielle Red Hat — Gestion des paquets avec DNF :</w:t>
      </w:r>
      <w:r>
        <w:t xml:space="preserve"> </w:t>
      </w:r>
      <w:hyperlink r:id="rId395">
        <w:r>
          <w:rPr>
            <w:rStyle w:val="Hyperlink"/>
          </w:rPr>
          <w:t xml:space="preserve">https://access.redhat.com/documentation/fr-fr/red_hat_enterprise_linux/9/html/configuring_basic_system_settings/managing-software-packages_configuring-basic-system-settings</w:t>
        </w:r>
      </w:hyperlink>
    </w:p>
    <w:p>
      <w:pPr>
        <w:pStyle w:val="FirstParagraph"/>
      </w:pPr>
      <w:r>
        <w:rPr>
          <w:i/>
          <w:iCs/>
        </w:rPr>
        <w:t xml:space="preserve">Chapitre suivant : systemd — comprendre comment les services démarrent, s’arrêtent et sont supervisés sur un système Linux moderne, la brique qui rend chaque logiciel installé dans ce chapitre réellement opérationnel.</w:t>
      </w:r>
    </w:p>
    <w:p>
      <w:pPr>
        <w:pStyle w:val="BodyText"/>
      </w:pPr>
      <w:r>
        <w:t xml:space="preserve">CHAPITRE 16</w:t>
      </w:r>
    </w:p>
    <w:bookmarkEnd w:id="396"/>
    <w:bookmarkEnd w:id="397"/>
    <w:bookmarkStart w:id="417" w:name="systemd-services-unités-cibles"/>
    <w:p>
      <w:pPr>
        <w:pStyle w:val="Heading1"/>
      </w:pPr>
      <w:r>
        <w:t xml:space="preserve">systemd : services, unités, cibles</w:t>
      </w:r>
    </w:p>
    <w:p>
      <w:pPr>
        <w:pStyle w:val="FirstParagraph"/>
      </w:pPr>
      <w:r>
        <w:t xml:space="preserve">🎯 Objectif du chapitre</w:t>
      </w:r>
      <w:r>
        <w:t xml:space="preserve"> </w:t>
      </w:r>
      <w:r>
        <w:t xml:space="preserve">Comprendre systemd, le système d’initialisation et de gestion de services au cœur de la quasi-totalité des distributions Linux modernes. À la fin de ce chapitre, tu sauras démarrer, arrêter, activer au démarrage et diagnostiquer un service avec</w:t>
      </w:r>
      <w:r>
        <w:t xml:space="preserve"> </w:t>
      </w:r>
      <w:r>
        <w:rPr>
          <w:rStyle w:val="VerbatimChar"/>
        </w:rPr>
        <w:t xml:space="preserve">systemctl</w:t>
      </w:r>
      <w:r>
        <w:t xml:space="preserve">, consulter ses journaux avec</w:t>
      </w:r>
      <w:r>
        <w:t xml:space="preserve"> </w:t>
      </w:r>
      <w:r>
        <w:rPr>
          <w:rStyle w:val="VerbatimChar"/>
        </w:rPr>
        <w:t xml:space="preserve">journalctl</w:t>
      </w:r>
      <w:r>
        <w:t xml:space="preserve">, et créer une unité systemd simple pour un service maison — une compétence directement transposable au runbook de messagerie du chapitre 3, qui utilisait déjà</w:t>
      </w:r>
      <w:r>
        <w:t xml:space="preserve"> </w:t>
      </w:r>
      <w:r>
        <w:rPr>
          <w:rStyle w:val="VerbatimChar"/>
        </w:rPr>
        <w:t xml:space="preserve">systemctl</w:t>
      </w:r>
      <w:r>
        <w:t xml:space="preserve"> </w:t>
      </w:r>
      <w:r>
        <w:t xml:space="preserve">sans l’expliquer en détail.</w:t>
      </w:r>
    </w:p>
    <w:p>
      <w:pPr>
        <w:pStyle w:val="BodyText"/>
      </w:pPr>
      <w:r>
        <w:t xml:space="preserve">🎬 Mise en situation</w:t>
      </w:r>
      <w:r>
        <w:t xml:space="preserve"> </w:t>
      </w:r>
      <w:r>
        <w:t xml:space="preserve">Nginx et PostgreSQL, installés au chapitre précédent, tournent normalement sur le serveur du portail client. Un matin, le développeur t’appelle : l’application ne répond plus depuis le redémarrage du serveur effectué la veille pour une mise à jour de sécurité. Tu te connectes et découvres que PostgreSQL ne s’est pas relancé automatiquement après le redémarrage, contrairement à Nginx.</w:t>
      </w:r>
      <w:r>
        <w:t xml:space="preserve"> </w:t>
      </w:r>
      <w:r>
        <w:t xml:space="preserve">“Pourquoi l’un redémarre tout seul et pas l’autre ?”</w:t>
      </w:r>
      <w:r>
        <w:t xml:space="preserve"> </w:t>
      </w:r>
      <w:r>
        <w:t xml:space="preserve">te demande le développeur. La réponse se trouve entièrement dans la configuration systemd de chaque service — exactement le sujet de ce chapitre.</w:t>
      </w:r>
    </w:p>
    <w:bookmarkStart w:id="398" w:name="quest-ce-que-systemd"/>
    <w:p>
      <w:pPr>
        <w:pStyle w:val="Heading2"/>
      </w:pPr>
      <w:r>
        <w:t xml:space="preserve">16.1 Qu’est-ce que systemd</w:t>
      </w:r>
    </w:p>
    <w:p>
      <w:pPr>
        <w:pStyle w:val="FirstParagraph"/>
      </w:pPr>
      <w:r>
        <w:rPr>
          <w:b/>
          <w:bCs/>
        </w:rPr>
        <w:t xml:space="preserve">systemd</w:t>
      </w:r>
      <w:r>
        <w:t xml:space="preserve"> </w:t>
      </w:r>
      <w:r>
        <w:t xml:space="preserve">est le premier processus démarré par le noyau Linux (PID 1) sur la quasi-totalité des distributions modernes (Ubuntu, Debian, RHEL, Rocky Linux, et bien d’autres). Il démarre et supervise l’ensemble des services du système, gère leurs dépendances entre eux, et détermine ce qui doit démarrer automatiquement au boot.</w:t>
      </w:r>
    </w:p>
    <w:p>
      <w:pPr>
        <w:pStyle w:val="BodyText"/>
      </w:pPr>
      <w:r>
        <w:t xml:space="preserve">💡 Analogie — le chef d’orchestre du démarrage</w:t>
      </w:r>
      <w:r>
        <w:t xml:space="preserve"> </w:t>
      </w:r>
      <w:r>
        <w:t xml:space="preserve">Si le démarrage d’un serveur Linux était un orchestre, systemd serait le chef d’orchestre : il ne joue d’aucun instrument lui-même (il ne fait pas le travail des services), mais il sait exactement quel musicien (service) doit entrer en jeu, dans quel ordre, et quoi faire si l’un d’eux s’arrête de jouer en plein concert (un crash inattendu) — le redémarrer automatiquement, ou laisser le silence si ce n’était pas prévu.</w:t>
      </w:r>
    </w:p>
    <w:p>
      <w:pPr>
        <w:pStyle w:val="BodyText"/>
      </w:pPr>
      <w:r>
        <w:t xml:space="preserve">📌 À retenir</w:t>
      </w:r>
      <w:r>
        <w:t xml:space="preserve"> </w:t>
      </w:r>
      <w:r>
        <w:t xml:space="preserve">Une</w:t>
      </w:r>
      <w:r>
        <w:t xml:space="preserve"> </w:t>
      </w:r>
      <w:r>
        <w:rPr>
          <w:b/>
          <w:bCs/>
        </w:rPr>
        <w:t xml:space="preserve">unité</w:t>
      </w:r>
      <w:r>
        <w:t xml:space="preserve"> </w:t>
      </w:r>
      <w:r>
        <w:t xml:space="preserve">(</w:t>
      </w:r>
      <w:r>
        <w:rPr>
          <w:i/>
          <w:iCs/>
        </w:rPr>
        <w:t xml:space="preserve">unit</w:t>
      </w:r>
      <w:r>
        <w:t xml:space="preserve">) est la brique de base que systemd gère — le type le plus courant étant l’unité de</w:t>
      </w:r>
      <w:r>
        <w:t xml:space="preserve"> </w:t>
      </w:r>
      <w:r>
        <w:t xml:space="preserve">service</w:t>
      </w:r>
      <w:r>
        <w:t xml:space="preserve"> </w:t>
      </w:r>
      <w:r>
        <w:t xml:space="preserve">(</w:t>
      </w:r>
      <w:r>
        <w:t xml:space="preserve">.service</w:t>
      </w:r>
      <w:r>
        <w:t xml:space="preserve">), qui décrit comment démarrer, arrêter et superviser un programme précis (Nginx, PostgreSQL…). D’autres types d’unités existent (montages, minuteurs, sockets), mais les services couvrent la grande majorité des besoins quotidiens d’un administrateur système.</w:t>
      </w:r>
    </w:p>
    <w:bookmarkEnd w:id="398"/>
    <w:bookmarkStart w:id="399" w:name="les-commandes-essentielles-de-systemctl"/>
    <w:p>
      <w:pPr>
        <w:pStyle w:val="Heading2"/>
      </w:pPr>
      <w:r>
        <w:t xml:space="preserve">16.2 Les commandes essentielles de</w:t>
      </w:r>
      <w:r>
        <w:t xml:space="preserve"> </w:t>
      </w:r>
      <w:r>
        <w:rPr>
          <w:rStyle w:val="VerbatimChar"/>
        </w:rPr>
        <w:t xml:space="preserve">systemctl</w:t>
      </w:r>
    </w:p>
    <w:p>
      <w:pPr>
        <w:pStyle w:val="SourceCode"/>
      </w:pPr>
      <w:r>
        <w:rPr>
          <w:rStyle w:val="VerbatimChar"/>
        </w:rPr>
        <w:t xml:space="preserve"># Voir l'etat actuel d'un service (actif, en erreur, arrete...)</w:t>
      </w:r>
      <w:r>
        <w:br/>
      </w:r>
      <w:r>
        <w:rPr>
          <w:rStyle w:val="VerbatimChar"/>
        </w:rPr>
        <w:t xml:space="preserve">systemctl status postgresql</w:t>
      </w:r>
      <w:r>
        <w:br/>
      </w:r>
      <w:r>
        <w:br/>
      </w:r>
      <w:r>
        <w:rPr>
          <w:rStyle w:val="VerbatimChar"/>
        </w:rPr>
        <w:t xml:space="preserve"># Demarrer un service immediatement (sans effet sur le prochain boot)</w:t>
      </w:r>
      <w:r>
        <w:br/>
      </w:r>
      <w:r>
        <w:rPr>
          <w:rStyle w:val="VerbatimChar"/>
        </w:rPr>
        <w:t xml:space="preserve">sudo systemctl start postgresql</w:t>
      </w:r>
      <w:r>
        <w:br/>
      </w:r>
      <w:r>
        <w:br/>
      </w:r>
      <w:r>
        <w:rPr>
          <w:rStyle w:val="VerbatimChar"/>
        </w:rPr>
        <w:t xml:space="preserve"># Arreter un service immediatement</w:t>
      </w:r>
      <w:r>
        <w:br/>
      </w:r>
      <w:r>
        <w:rPr>
          <w:rStyle w:val="VerbatimChar"/>
        </w:rPr>
        <w:t xml:space="preserve">sudo systemctl stop postgresql</w:t>
      </w:r>
      <w:r>
        <w:br/>
      </w:r>
      <w:r>
        <w:br/>
      </w:r>
      <w:r>
        <w:rPr>
          <w:rStyle w:val="VerbatimChar"/>
        </w:rPr>
        <w:t xml:space="preserve"># Redemarrer un service (arret puis demarrage, utile apres un changement</w:t>
      </w:r>
      <w:r>
        <w:br/>
      </w:r>
      <w:r>
        <w:rPr>
          <w:rStyle w:val="VerbatimChar"/>
        </w:rPr>
        <w:t xml:space="preserve"># de configuration)</w:t>
      </w:r>
      <w:r>
        <w:br/>
      </w:r>
      <w:r>
        <w:rPr>
          <w:rStyle w:val="VerbatimChar"/>
        </w:rPr>
        <w:t xml:space="preserve">sudo systemctl restart postgresql</w:t>
      </w:r>
      <w:r>
        <w:br/>
      </w:r>
      <w:r>
        <w:br/>
      </w:r>
      <w:r>
        <w:rPr>
          <w:rStyle w:val="VerbatimChar"/>
        </w:rPr>
        <w:t xml:space="preserve"># Recharger la configuration d'un service SANS l'arreter completement,</w:t>
      </w:r>
      <w:r>
        <w:br/>
      </w:r>
      <w:r>
        <w:rPr>
          <w:rStyle w:val="VerbatimChar"/>
        </w:rPr>
        <w:t xml:space="preserve"># quand le service le supporte (utile pour ne jamais interrompre les</w:t>
      </w:r>
      <w:r>
        <w:br/>
      </w:r>
      <w:r>
        <w:rPr>
          <w:rStyle w:val="VerbatimChar"/>
        </w:rPr>
        <w:t xml:space="preserve"># connexions actives, ex. Nginx)</w:t>
      </w:r>
      <w:r>
        <w:br/>
      </w:r>
      <w:r>
        <w:rPr>
          <w:rStyle w:val="VerbatimChar"/>
        </w:rPr>
        <w:t xml:space="preserve">sudo systemctl reload nginx</w:t>
      </w:r>
      <w:r>
        <w:br/>
      </w:r>
      <w:r>
        <w:br/>
      </w:r>
      <w:r>
        <w:rPr>
          <w:rStyle w:val="VerbatimChar"/>
        </w:rPr>
        <w:t xml:space="preserve"># Activer un service au demarrage automatique du systeme (sans le</w:t>
      </w:r>
      <w:r>
        <w:br/>
      </w:r>
      <w:r>
        <w:rPr>
          <w:rStyle w:val="VerbatimChar"/>
        </w:rPr>
        <w:t xml:space="preserve"># demarrer immediatement)</w:t>
      </w:r>
      <w:r>
        <w:br/>
      </w:r>
      <w:r>
        <w:rPr>
          <w:rStyle w:val="VerbatimChar"/>
        </w:rPr>
        <w:t xml:space="preserve">sudo systemctl enable postgresql</w:t>
      </w:r>
      <w:r>
        <w:br/>
      </w:r>
      <w:r>
        <w:br/>
      </w:r>
      <w:r>
        <w:rPr>
          <w:rStyle w:val="VerbatimChar"/>
        </w:rPr>
        <w:t xml:space="preserve"># Desactiver le demarrage automatique (sans arreter le service actuel)</w:t>
      </w:r>
      <w:r>
        <w:br/>
      </w:r>
      <w:r>
        <w:rPr>
          <w:rStyle w:val="VerbatimChar"/>
        </w:rPr>
        <w:t xml:space="preserve">sudo systemctl disable postgresql</w:t>
      </w:r>
      <w:r>
        <w:br/>
      </w:r>
      <w:r>
        <w:br/>
      </w:r>
      <w:r>
        <w:rPr>
          <w:rStyle w:val="VerbatimChar"/>
        </w:rPr>
        <w:t xml:space="preserve"># Verifier si un service est active au demarrage</w:t>
      </w:r>
      <w:r>
        <w:br/>
      </w:r>
      <w:r>
        <w:rPr>
          <w:rStyle w:val="VerbatimChar"/>
        </w:rPr>
        <w:t xml:space="preserve">systemctl is-enabled postgresql</w:t>
      </w:r>
    </w:p>
    <w:p>
      <w:pPr>
        <w:pStyle w:val="FirstParagraph"/>
      </w:pPr>
      <w:r>
        <w:t xml:space="preserve">⚠️ La confusion la plus fréquente :</w:t>
      </w:r>
      <w:r>
        <w:t xml:space="preserve"> </w:t>
      </w:r>
      <w:r>
        <w:rPr>
          <w:rStyle w:val="VerbatimChar"/>
        </w:rPr>
        <w:t xml:space="preserve">start</w:t>
      </w:r>
      <w:r>
        <w:t xml:space="preserve"> </w:t>
      </w:r>
      <w:r>
        <w:t xml:space="preserve">vs</w:t>
      </w:r>
      <w:r>
        <w:t xml:space="preserve"> </w:t>
      </w:r>
      <w:r>
        <w:rPr>
          <w:rStyle w:val="VerbatimChar"/>
        </w:rPr>
        <w:t xml:space="preserve">enable</w:t>
      </w:r>
      <w:r>
        <w:t xml:space="preserve"> </w:t>
      </w:r>
      <w:r>
        <w:t xml:space="preserve">C’est exactement la cause du problème du scénario d’ouverture.</w:t>
      </w:r>
      <w:r>
        <w:t xml:space="preserve"> </w:t>
      </w:r>
      <w:r>
        <w:t xml:space="preserve">start</w:t>
      </w:r>
      <w:r>
        <w:t xml:space="preserve"> </w:t>
      </w:r>
      <w:r>
        <w:t xml:space="preserve">démarre un service</w:t>
      </w:r>
      <w:r>
        <w:t xml:space="preserve"> </w:t>
      </w:r>
      <w:r>
        <w:rPr>
          <w:b/>
          <w:bCs/>
        </w:rPr>
        <w:t xml:space="preserve">maintenant</w:t>
      </w:r>
      <w:r>
        <w:t xml:space="preserve">, mais n’a aucun effet sur les redémarrages futurs du serveur.</w:t>
      </w:r>
      <w:r>
        <w:t xml:space="preserve"> </w:t>
      </w:r>
      <w:r>
        <w:t xml:space="preserve">enable</w:t>
      </w:r>
      <w:r>
        <w:t xml:space="preserve"> </w:t>
      </w:r>
      <w:r>
        <w:t xml:space="preserve">configure un service pour qu’il démarre</w:t>
      </w:r>
      <w:r>
        <w:t xml:space="preserve"> </w:t>
      </w:r>
      <w:r>
        <w:rPr>
          <w:b/>
          <w:bCs/>
        </w:rPr>
        <w:t xml:space="preserve">automatiquement à chaque prochain démarrage du système</w:t>
      </w:r>
      <w:r>
        <w:t xml:space="preserve">, sans le démarrer immédiatement si ce n’est pas déjà fait. Un service démarré manuellement avec</w:t>
      </w:r>
      <w:r>
        <w:t xml:space="preserve"> </w:t>
      </w:r>
      <w:r>
        <w:t xml:space="preserve">start</w:t>
      </w:r>
      <w:r>
        <w:t xml:space="preserve"> </w:t>
      </w:r>
      <w:r>
        <w:t xml:space="preserve">mais jamais activé avec</w:t>
      </w:r>
      <w:r>
        <w:t xml:space="preserve"> </w:t>
      </w:r>
      <w:r>
        <w:t xml:space="preserve">enable</w:t>
      </w:r>
      <w:r>
        <w:t xml:space="preserve"> </w:t>
      </w:r>
      <w:r>
        <w:t xml:space="preserve">ne survivra à aucun redémarrage futur — très probablement la cause exacte du problème rencontré par le développeur.</w:t>
      </w:r>
    </w:p>
    <w:p>
      <w:pPr>
        <w:pStyle w:val="BodyText"/>
      </w:pPr>
      <w:r>
        <w:t xml:space="preserve">✅ Bonne pratique — toujours combiner</w:t>
      </w:r>
      <w:r>
        <w:t xml:space="preserve"> </w:t>
      </w:r>
      <w:r>
        <w:rPr>
          <w:rStyle w:val="VerbatimChar"/>
        </w:rPr>
        <w:t xml:space="preserve">start</w:t>
      </w:r>
      <w:r>
        <w:t xml:space="preserve"> </w:t>
      </w:r>
      <w:r>
        <w:t xml:space="preserve">et</w:t>
      </w:r>
      <w:r>
        <w:t xml:space="preserve"> </w:t>
      </w:r>
      <w:r>
        <w:rPr>
          <w:rStyle w:val="VerbatimChar"/>
        </w:rPr>
        <w:t xml:space="preserve">enable</w:t>
      </w:r>
      <w:r>
        <w:t xml:space="preserve"> </w:t>
      </w:r>
      <w:r>
        <w:t xml:space="preserve">pour un service de production</w:t>
      </w:r>
      <w:r>
        <w:t xml:space="preserve"> </w:t>
      </w:r>
      <w:r>
        <w:t xml:space="preserve">Pour un service censé tourner en permanence en production (comme PostgreSQL ou Nginx), la commande</w:t>
      </w:r>
      <w:r>
        <w:t xml:space="preserve"> </w:t>
      </w:r>
      <w:r>
        <w:t xml:space="preserve">sudo systemctl enable –now postgresql</w:t>
      </w:r>
      <w:r>
        <w:t xml:space="preserve"> </w:t>
      </w:r>
      <w:r>
        <w:t xml:space="preserve">combine les deux actions en une seule : elle démarre le service immédiatement ET l’active pour tous les futurs démarrages, éliminant le risque d’oublier l’une des deux étapes.</w:t>
      </w:r>
    </w:p>
    <w:bookmarkEnd w:id="399"/>
    <w:bookmarkStart w:id="400" w:name="diagnostiquer-le-scénario-douverture"/>
    <w:p>
      <w:pPr>
        <w:pStyle w:val="Heading2"/>
      </w:pPr>
      <w:r>
        <w:t xml:space="preserve">16.3 Diagnostiquer le scénario d’ouverture</w:t>
      </w:r>
    </w:p>
    <w:p>
      <w:pPr>
        <w:pStyle w:val="SourceCode"/>
      </w:pPr>
      <w:r>
        <w:rPr>
          <w:rStyle w:val="VerbatimChar"/>
        </w:rPr>
        <w:t xml:space="preserve"># Verifier si PostgreSQL est actif maintenant</w:t>
      </w:r>
      <w:r>
        <w:br/>
      </w:r>
      <w:r>
        <w:rPr>
          <w:rStyle w:val="VerbatimChar"/>
        </w:rPr>
        <w:t xml:space="preserve">systemctl status postgresql</w:t>
      </w:r>
      <w:r>
        <w:br/>
      </w:r>
      <w:r>
        <w:br/>
      </w:r>
      <w:r>
        <w:rPr>
          <w:rStyle w:val="VerbatimChar"/>
        </w:rPr>
        <w:t xml:space="preserve"># Verifier si PostgreSQL est configure pour demarrer automatiquement</w:t>
      </w:r>
      <w:r>
        <w:br/>
      </w:r>
      <w:r>
        <w:rPr>
          <w:rStyle w:val="VerbatimChar"/>
        </w:rPr>
        <w:t xml:space="preserve">systemctl is-enabled postgresql</w:t>
      </w:r>
    </w:p>
    <w:p>
      <w:pPr>
        <w:pStyle w:val="FirstParagraph"/>
      </w:pPr>
      <w:r>
        <w:t xml:space="preserve">🩺 Symptôme :</w:t>
      </w:r>
      <w:r>
        <w:t xml:space="preserve"> </w:t>
      </w:r>
      <w:r>
        <w:t xml:space="preserve">“un service ne redémarre pas après un redémarrage du serveur”</w:t>
      </w:r>
    </w:p>
    <w:p>
      <w:pPr>
        <w:pStyle w:val="Compact"/>
        <w:numPr>
          <w:ilvl w:val="0"/>
          <w:numId w:val="1368"/>
        </w:numPr>
      </w:pPr>
      <w:r>
        <w:rPr>
          <w:b/>
          <w:bCs/>
        </w:rPr>
        <w:t xml:space="preserve">Diagnostic</w:t>
      </w:r>
      <w:r>
        <w:t xml:space="preserve"> </w:t>
      </w:r>
      <w:r>
        <w:t xml:space="preserve">: vérifier en priorité si le service est réellement</w:t>
      </w:r>
      <w:r>
        <w:t xml:space="preserve"> </w:t>
      </w:r>
      <w:r>
        <w:rPr>
          <w:b/>
          <w:bCs/>
        </w:rPr>
        <w:t xml:space="preserve">activé</w:t>
      </w:r>
      <w:r>
        <w:t xml:space="preserve"> </w:t>
      </w:r>
      <w:r>
        <w:t xml:space="preserve">(</w:t>
      </w:r>
      <w:r>
        <w:t xml:space="preserve">enabled</w:t>
      </w:r>
      <w:r>
        <w:t xml:space="preserve">) au démarrage, pas seulement s’il fonctionne actuellement — exactement la distinction de la section 16.2.</w:t>
      </w:r>
    </w:p>
    <w:p>
      <w:pPr>
        <w:pStyle w:val="Compact"/>
        <w:numPr>
          <w:ilvl w:val="0"/>
          <w:numId w:val="1368"/>
        </w:numPr>
      </w:pPr>
      <w:r>
        <w:rPr>
          <w:b/>
          <w:bCs/>
        </w:rPr>
        <w:t xml:space="preserve">Comment vérifier</w:t>
      </w:r>
      <w:r>
        <w:t xml:space="preserve"> </w:t>
      </w:r>
      <w:r>
        <w:t xml:space="preserve">:</w:t>
      </w:r>
      <w:r>
        <w:t xml:space="preserve"> </w:t>
      </w:r>
      <w:r>
        <w:t xml:space="preserve">systemctl is-enabled nom-du-service</w:t>
      </w:r>
      <w:r>
        <w:t xml:space="preserve"> </w:t>
      </w:r>
      <w:r>
        <w:t xml:space="preserve">renvoie</w:t>
      </w:r>
      <w:r>
        <w:t xml:space="preserve"> </w:t>
      </w:r>
      <w:r>
        <w:t xml:space="preserve">enabled</w:t>
      </w:r>
      <w:r>
        <w:t xml:space="preserve"> </w:t>
      </w:r>
      <w:r>
        <w:t xml:space="preserve">ou</w:t>
      </w:r>
      <w:r>
        <w:t xml:space="preserve"> </w:t>
      </w:r>
      <w:r>
        <w:t xml:space="preserve">disabled</w:t>
      </w:r>
      <w:r>
        <w:t xml:space="preserve"> </w:t>
      </w:r>
      <w:r>
        <w:t xml:space="preserve">sans ambiguïté.</w:t>
      </w:r>
    </w:p>
    <w:p>
      <w:pPr>
        <w:pStyle w:val="Compact"/>
        <w:numPr>
          <w:ilvl w:val="0"/>
          <w:numId w:val="1368"/>
        </w:numPr>
      </w:pPr>
      <w:r>
        <w:rPr>
          <w:b/>
          <w:bCs/>
        </w:rPr>
        <w:t xml:space="preserve">Résolution</w:t>
      </w:r>
      <w:r>
        <w:t xml:space="preserve"> </w:t>
      </w:r>
      <w:r>
        <w:t xml:space="preserve">: si le service est</w:t>
      </w:r>
      <w:r>
        <w:t xml:space="preserve"> </w:t>
      </w:r>
      <w:r>
        <w:t xml:space="preserve">disabled</w:t>
      </w:r>
      <w:r>
        <w:t xml:space="preserve">, l’activer avec</w:t>
      </w:r>
      <w:r>
        <w:t xml:space="preserve"> </w:t>
      </w:r>
      <w:r>
        <w:t xml:space="preserve">systemctl enable</w:t>
      </w:r>
      <w:r>
        <w:t xml:space="preserve"> </w:t>
      </w:r>
      <w:r>
        <w:t xml:space="preserve">puis le démarrer avec</w:t>
      </w:r>
      <w:r>
        <w:t xml:space="preserve"> </w:t>
      </w:r>
      <w:r>
        <w:t xml:space="preserve">systemctl start</w:t>
      </w:r>
      <w:r>
        <w:t xml:space="preserve"> </w:t>
      </w:r>
      <w:r>
        <w:t xml:space="preserve">(ou les deux en une commande, section 16.2). Si le service est déjà correctement</w:t>
      </w:r>
      <w:r>
        <w:t xml:space="preserve"> </w:t>
      </w:r>
      <w:r>
        <w:t xml:space="preserve">enabled</w:t>
      </w:r>
      <w:r>
        <w:t xml:space="preserve"> </w:t>
      </w:r>
      <w:r>
        <w:t xml:space="preserve">mais ne démarre quand même pas, le problème est ailleurs (erreur de configuration, dépendance manquante) — à investiguer via les journaux, section 16.5.</w:t>
      </w:r>
    </w:p>
    <w:bookmarkEnd w:id="400"/>
    <w:bookmarkStart w:id="401" w:name="X15ba142e8cc6dd292860ebbf087878efaef9785"/>
    <w:p>
      <w:pPr>
        <w:pStyle w:val="Heading2"/>
      </w:pPr>
      <w:r>
        <w:t xml:space="preserve">16.4 Créer une unité systemd pour un service maison</w:t>
      </w:r>
    </w:p>
    <w:p>
      <w:pPr>
        <w:pStyle w:val="FirstParagraph"/>
      </w:pPr>
      <w:r>
        <w:t xml:space="preserve">Le développeur du scénario d’ouverture a également écrit un petit script Python qui doit tourner en permanence en arrière-plan. Plutôt que de le lancer manuellement (et de perdre le bénéfice de la supervision automatique de systemd), une unité dédiée peut être créée :</w:t>
      </w:r>
    </w:p>
    <w:p>
      <w:pPr>
        <w:pStyle w:val="SourceCode"/>
      </w:pPr>
      <w:r>
        <w:rPr>
          <w:rStyle w:val="CommentTok"/>
        </w:rPr>
        <w:t xml:space="preserve"># Fichier : /etc/systemd/system/portail-worker.service</w:t>
      </w:r>
      <w:r>
        <w:br/>
      </w:r>
      <w:r>
        <w:br/>
      </w:r>
      <w:r>
        <w:rPr>
          <w:rStyle w:val="KeywordTok"/>
        </w:rPr>
        <w:t xml:space="preserve">[Unit]</w:t>
      </w:r>
      <w:r>
        <w:br/>
      </w:r>
      <w:r>
        <w:rPr>
          <w:rStyle w:val="DataTypeTok"/>
        </w:rPr>
        <w:t xml:space="preserve">Description</w:t>
      </w:r>
      <w:r>
        <w:rPr>
          <w:rStyle w:val="OtherTok"/>
        </w:rPr>
        <w:t xml:space="preserve">=</w:t>
      </w:r>
      <w:r>
        <w:rPr>
          <w:rStyle w:val="StringTok"/>
        </w:rPr>
        <w:t xml:space="preserve">Worker de traitement asynchrone du portail client</w:t>
      </w:r>
      <w:r>
        <w:br/>
      </w:r>
      <w:r>
        <w:rPr>
          <w:rStyle w:val="DataTypeTok"/>
        </w:rPr>
        <w:t xml:space="preserve">After</w:t>
      </w:r>
      <w:r>
        <w:rPr>
          <w:rStyle w:val="OtherTok"/>
        </w:rPr>
        <w:t xml:space="preserve">=</w:t>
      </w:r>
      <w:r>
        <w:rPr>
          <w:rStyle w:val="StringTok"/>
        </w:rPr>
        <w:t xml:space="preserve">network.target postgresql.service</w:t>
      </w:r>
      <w:r>
        <w:br/>
      </w:r>
      <w:r>
        <w:br/>
      </w:r>
      <w:r>
        <w:rPr>
          <w:rStyle w:val="KeywordTok"/>
        </w:rPr>
        <w:t xml:space="preserve">[Service]</w:t>
      </w:r>
      <w:r>
        <w:br/>
      </w:r>
      <w:r>
        <w:rPr>
          <w:rStyle w:val="DataTypeTok"/>
        </w:rPr>
        <w:t xml:space="preserve">Type</w:t>
      </w:r>
      <w:r>
        <w:rPr>
          <w:rStyle w:val="OtherTok"/>
        </w:rPr>
        <w:t xml:space="preserve">=</w:t>
      </w:r>
      <w:r>
        <w:rPr>
          <w:rStyle w:val="StringTok"/>
        </w:rPr>
        <w:t xml:space="preserve">simple</w:t>
      </w:r>
      <w:r>
        <w:br/>
      </w:r>
      <w:r>
        <w:rPr>
          <w:rStyle w:val="DataTypeTok"/>
        </w:rPr>
        <w:t xml:space="preserve">User</w:t>
      </w:r>
      <w:r>
        <w:rPr>
          <w:rStyle w:val="OtherTok"/>
        </w:rPr>
        <w:t xml:space="preserve">=</w:t>
      </w:r>
      <w:r>
        <w:rPr>
          <w:rStyle w:val="StringTok"/>
        </w:rPr>
        <w:t xml:space="preserve">portail</w:t>
      </w:r>
      <w:r>
        <w:br/>
      </w:r>
      <w:r>
        <w:rPr>
          <w:rStyle w:val="DataTypeTok"/>
        </w:rPr>
        <w:t xml:space="preserve">ExecStart</w:t>
      </w:r>
      <w:r>
        <w:rPr>
          <w:rStyle w:val="OtherTok"/>
        </w:rPr>
        <w:t xml:space="preserve">=</w:t>
      </w:r>
      <w:r>
        <w:rPr>
          <w:rStyle w:val="StringTok"/>
        </w:rPr>
        <w:t xml:space="preserve">/usr/bin/python3 /opt/portail/worker.py</w:t>
      </w:r>
      <w:r>
        <w:br/>
      </w:r>
      <w:r>
        <w:rPr>
          <w:rStyle w:val="DataTypeTok"/>
        </w:rPr>
        <w:t xml:space="preserve">Restart</w:t>
      </w:r>
      <w:r>
        <w:rPr>
          <w:rStyle w:val="OtherTok"/>
        </w:rPr>
        <w:t xml:space="preserve">=</w:t>
      </w:r>
      <w:r>
        <w:rPr>
          <w:rStyle w:val="StringTok"/>
        </w:rPr>
        <w:t xml:space="preserve">on-failure</w:t>
      </w:r>
      <w:r>
        <w:br/>
      </w:r>
      <w:r>
        <w:rPr>
          <w:rStyle w:val="DataTypeTok"/>
        </w:rPr>
        <w:t xml:space="preserve">RestartSec</w:t>
      </w:r>
      <w:r>
        <w:rPr>
          <w:rStyle w:val="OtherTok"/>
        </w:rPr>
        <w:t xml:space="preserve">=</w:t>
      </w:r>
      <w:r>
        <w:rPr>
          <w:rStyle w:val="DecValTok"/>
        </w:rPr>
        <w:t xml:space="preserve">5</w:t>
      </w:r>
      <w:r>
        <w:br/>
      </w:r>
      <w:r>
        <w:br/>
      </w:r>
      <w:r>
        <w:rPr>
          <w:rStyle w:val="KeywordTok"/>
        </w:rPr>
        <w:t xml:space="preserve">[Install]</w:t>
      </w:r>
      <w:r>
        <w:br/>
      </w:r>
      <w:r>
        <w:rPr>
          <w:rStyle w:val="DataTypeTok"/>
        </w:rPr>
        <w:t xml:space="preserve">WantedBy</w:t>
      </w:r>
      <w:r>
        <w:rPr>
          <w:rStyle w:val="OtherTok"/>
        </w:rPr>
        <w:t xml:space="preserve">=</w:t>
      </w:r>
      <w:r>
        <w:rPr>
          <w:rStyle w:val="StringTok"/>
        </w:rPr>
        <w:t xml:space="preserve">multi-user.target</w:t>
      </w:r>
    </w:p>
    <w:p>
      <w:pPr>
        <w:pStyle w:val="FirstParagraph"/>
      </w:pPr>
      <w:r>
        <w:t xml:space="preserve">💡 Explication des lignes clés</w:t>
      </w:r>
      <w:r>
        <w:t xml:space="preserve"> </w:t>
      </w:r>
      <w:r>
        <w:t xml:space="preserve">After=</w:t>
      </w:r>
      <w:r>
        <w:t xml:space="preserve"> </w:t>
      </w:r>
      <w:r>
        <w:t xml:space="preserve">déclare une dépendance d’ordre : ce service ne démarrera qu’après le réseau et PostgreSQL, évitant une erreur de connexion à la base de données au tout premier instant du démarrage.</w:t>
      </w:r>
      <w:r>
        <w:t xml:space="preserve"> </w:t>
      </w:r>
      <w:r>
        <w:t xml:space="preserve">Restart=on-failure</w:t>
      </w:r>
      <w:r>
        <w:t xml:space="preserve"> </w:t>
      </w:r>
      <w:r>
        <w:t xml:space="preserve">relance automatiquement le service s’il se termine de façon anormale (crash) — un comportement de résilience que systemd offre gratuitement, sans qu’aucune ligne de code supplémentaire ne soit nécessaire dans le script Python lui-même.</w:t>
      </w:r>
      <w:r>
        <w:t xml:space="preserve"> </w:t>
      </w:r>
      <w:r>
        <w:t xml:space="preserve">User=portail</w:t>
      </w:r>
      <w:r>
        <w:t xml:space="preserve"> </w:t>
      </w:r>
      <w:r>
        <w:t xml:space="preserve">applique directement le principe du moindre privilège (chapitre 1) : ce service ne tourne jamais en tant que root sans raison.</w:t>
      </w:r>
    </w:p>
    <w:p>
      <w:pPr>
        <w:pStyle w:val="SourceCode"/>
      </w:pPr>
      <w:r>
        <w:rPr>
          <w:rStyle w:val="VerbatimChar"/>
        </w:rPr>
        <w:t xml:space="preserve"># Apres creation ou modification d'un fichier d'unite, systemd doit</w:t>
      </w:r>
      <w:r>
        <w:br/>
      </w:r>
      <w:r>
        <w:rPr>
          <w:rStyle w:val="VerbatimChar"/>
        </w:rPr>
        <w:t xml:space="preserve"># etre informe du changement avant que la nouvelle unite soit utilisable</w:t>
      </w:r>
      <w:r>
        <w:br/>
      </w:r>
      <w:r>
        <w:rPr>
          <w:rStyle w:val="VerbatimChar"/>
        </w:rPr>
        <w:t xml:space="preserve">sudo systemctl daemon-reload</w:t>
      </w:r>
      <w:r>
        <w:br/>
      </w:r>
      <w:r>
        <w:br/>
      </w:r>
      <w:r>
        <w:rPr>
          <w:rStyle w:val="VerbatimChar"/>
        </w:rPr>
        <w:t xml:space="preserve"># Puis activer et demarrer normalement, comme tout autre service</w:t>
      </w:r>
      <w:r>
        <w:br/>
      </w:r>
      <w:r>
        <w:rPr>
          <w:rStyle w:val="VerbatimChar"/>
        </w:rPr>
        <w:t xml:space="preserve">sudo systemctl enable --now portail-worker</w:t>
      </w:r>
    </w:p>
    <w:p>
      <w:pPr>
        <w:pStyle w:val="FirstParagraph"/>
      </w:pPr>
      <w:r>
        <w:t xml:space="preserve">🔒 Sécurité — ne jamais faire tourner un service applicatif en tant que root par défaut</w:t>
      </w:r>
      <w:r>
        <w:t xml:space="preserve"> </w:t>
      </w:r>
      <w:r>
        <w:t xml:space="preserve">Un service qui n’a besoin d’aucun privilège administratif particulier (comme ce worker Python) ne doit jamais tourner sous le compte root — s’il est un jour compromis (faille dans le code applicatif, dépendance vulnérable), l’impact reste limité aux permissions du compte dédié</w:t>
      </w:r>
      <w:r>
        <w:t xml:space="preserve"> </w:t>
      </w:r>
      <w:r>
        <w:t xml:space="preserve">portail</w:t>
      </w:r>
      <w:r>
        <w:t xml:space="preserve">, plutôt qu’un accès total et immédiat à l’ensemble du système. La création de comptes de service dédiés est approfondie au chapitre 18.</w:t>
      </w:r>
    </w:p>
    <w:bookmarkEnd w:id="401"/>
    <w:bookmarkStart w:id="402" w:name="consulter-les-journaux-avec-journalctl"/>
    <w:p>
      <w:pPr>
        <w:pStyle w:val="Heading2"/>
      </w:pPr>
      <w:r>
        <w:t xml:space="preserve">16.5 Consulter les journaux avec</w:t>
      </w:r>
      <w:r>
        <w:t xml:space="preserve"> </w:t>
      </w:r>
      <w:r>
        <w:rPr>
          <w:rStyle w:val="VerbatimChar"/>
        </w:rPr>
        <w:t xml:space="preserve">journalctl</w:t>
      </w:r>
    </w:p>
    <w:p>
      <w:pPr>
        <w:pStyle w:val="FirstParagraph"/>
      </w:pPr>
      <w:r>
        <w:t xml:space="preserve">systemd centralise les journaux de tous les services qu’il gère dans un système unifié, consultable via</w:t>
      </w:r>
      <w:r>
        <w:t xml:space="preserve"> </w:t>
      </w:r>
      <w:r>
        <w:rPr>
          <w:rStyle w:val="VerbatimChar"/>
        </w:rPr>
        <w:t xml:space="preserve">journalctl</w:t>
      </w:r>
      <w:r>
        <w:t xml:space="preserve"> </w:t>
      </w:r>
      <w:r>
        <w:t xml:space="preserve">— bien plus pratique que de chercher des fichiers de log épars à travers le système.</w:t>
      </w:r>
    </w:p>
    <w:p>
      <w:pPr>
        <w:pStyle w:val="SourceCode"/>
      </w:pPr>
      <w:r>
        <w:rPr>
          <w:rStyle w:val="VerbatimChar"/>
        </w:rPr>
        <w:t xml:space="preserve"># Voir les journaux d'un service precis</w:t>
      </w:r>
      <w:r>
        <w:br/>
      </w:r>
      <w:r>
        <w:rPr>
          <w:rStyle w:val="VerbatimChar"/>
        </w:rPr>
        <w:t xml:space="preserve">journalctl -u postgresql</w:t>
      </w:r>
      <w:r>
        <w:br/>
      </w:r>
      <w:r>
        <w:br/>
      </w:r>
      <w:r>
        <w:rPr>
          <w:rStyle w:val="VerbatimChar"/>
        </w:rPr>
        <w:t xml:space="preserve"># Suivre les journaux en temps reel (utile pendant un diagnostic actif,</w:t>
      </w:r>
      <w:r>
        <w:br/>
      </w:r>
      <w:r>
        <w:rPr>
          <w:rStyle w:val="VerbatimChar"/>
        </w:rPr>
        <w:t xml:space="preserve"># equivalent de "tail -f" applique aux journaux systemd)</w:t>
      </w:r>
      <w:r>
        <w:br/>
      </w:r>
      <w:r>
        <w:rPr>
          <w:rStyle w:val="VerbatimChar"/>
        </w:rPr>
        <w:t xml:space="preserve">journalctl -u nginx -f</w:t>
      </w:r>
      <w:r>
        <w:br/>
      </w:r>
      <w:r>
        <w:br/>
      </w:r>
      <w:r>
        <w:rPr>
          <w:rStyle w:val="VerbatimChar"/>
        </w:rPr>
        <w:t xml:space="preserve"># Voir uniquement les journaux depuis le dernier demarrage du systeme</w:t>
      </w:r>
      <w:r>
        <w:br/>
      </w:r>
      <w:r>
        <w:rPr>
          <w:rStyle w:val="VerbatimChar"/>
        </w:rPr>
        <w:t xml:space="preserve">journalctl -u postgresql -b</w:t>
      </w:r>
      <w:r>
        <w:br/>
      </w:r>
      <w:r>
        <w:br/>
      </w:r>
      <w:r>
        <w:rPr>
          <w:rStyle w:val="VerbatimChar"/>
        </w:rPr>
        <w:t xml:space="preserve"># Voir les 50 dernieres lignes uniquement</w:t>
      </w:r>
      <w:r>
        <w:br/>
      </w:r>
      <w:r>
        <w:rPr>
          <w:rStyle w:val="VerbatimChar"/>
        </w:rPr>
        <w:t xml:space="preserve">journalctl -u postgresql -n 50</w:t>
      </w:r>
    </w:p>
    <w:p>
      <w:pPr>
        <w:pStyle w:val="FirstParagraph"/>
      </w:pPr>
      <w:r>
        <w:t xml:space="preserve">🚀 Performance — un point d’entrée unique pour tous les journaux</w:t>
      </w:r>
      <w:r>
        <w:t xml:space="preserve"> </w:t>
      </w:r>
      <w:r>
        <w:t xml:space="preserve">Avant systemd et journalctl, chaque service pouvait écrire ses journaux dans un emplacement et un format différents, rendant le diagnostic d’un problème impliquant plusieurs services simultanément particulièrement fastidieux.</w:t>
      </w:r>
      <w:r>
        <w:t xml:space="preserve"> </w:t>
      </w:r>
      <w:r>
        <w:rPr>
          <w:rStyle w:val="VerbatimChar"/>
        </w:rPr>
        <w:t xml:space="preserve">journalctl</w:t>
      </w:r>
      <w:r>
        <w:t xml:space="preserve"> </w:t>
      </w:r>
      <w:r>
        <w:t xml:space="preserve">centralise tout, avec un filtrage cohérent par service, par période, ou par niveau de gravité — un gain de temps concret lors de tout diagnostic d’incident (chapitre 2).</w:t>
      </w:r>
    </w:p>
    <w:bookmarkEnd w:id="402"/>
    <w:bookmarkStart w:id="403" w:name="X5ccd124ebf39473683426206922312e20cef3ec"/>
    <w:p>
      <w:pPr>
        <w:pStyle w:val="Heading2"/>
      </w:pPr>
      <w:r>
        <w:t xml:space="preserve">Atelier — Corriger et fiabiliser le service PostgreSQL</w:t>
      </w:r>
    </w:p>
    <w:p>
      <w:pPr>
        <w:pStyle w:val="FirstParagraph"/>
      </w:pPr>
      <w:r>
        <w:t xml:space="preserve">🛠️ Atelier 16 — Résoudre le problème du scénario d’ouverture</w:t>
      </w:r>
    </w:p>
    <w:p>
      <w:pPr>
        <w:pStyle w:val="BodyText"/>
      </w:pPr>
      <w:r>
        <w:rPr>
          <w:b/>
          <w:bCs/>
        </w:rPr>
        <w:t xml:space="preserve">Objectif</w:t>
      </w:r>
      <w:r>
        <w:t xml:space="preserve"> </w:t>
      </w:r>
      <w:r>
        <w:t xml:space="preserve">: appliquer directement les commandes de ce chapitre pour diagnostiquer et corriger le problème rencontré par le développeur.</w:t>
      </w:r>
    </w:p>
    <w:p>
      <w:pPr>
        <w:pStyle w:val="BodyText"/>
      </w:pPr>
      <w:r>
        <w:rPr>
          <w:b/>
          <w:bCs/>
        </w:rPr>
        <w:t xml:space="preserve">Préparation</w:t>
      </w:r>
      <w:r>
        <w:t xml:space="preserve"> </w:t>
      </w:r>
      <w:r>
        <w:t xml:space="preserve">: accès à un serveur Linux de test avec un service installé (PostgreSQL ou tout autre service via</w:t>
      </w:r>
      <w:r>
        <w:t xml:space="preserve"> </w:t>
      </w:r>
      <w:r>
        <w:rPr>
          <w:rStyle w:val="VerbatimChar"/>
        </w:rPr>
        <w:t xml:space="preserve">systemctl</w:t>
      </w:r>
      <w:r>
        <w:t xml:space="preserve">), ou une lecture attentive suffit pour cet atelier conceptuel.</w:t>
      </w:r>
    </w:p>
    <w:p>
      <w:pPr>
        <w:pStyle w:val="BodyText"/>
      </w:pPr>
      <w:r>
        <w:rPr>
          <w:b/>
          <w:bCs/>
        </w:rPr>
        <w:t xml:space="preserve">Étapes détaillées</w:t>
      </w:r>
      <w:r>
        <w:t xml:space="preserve"> </w:t>
      </w:r>
      <w:r>
        <w:t xml:space="preserve">:</w:t>
      </w:r>
    </w:p>
    <w:p>
      <w:pPr>
        <w:pStyle w:val="Compact"/>
        <w:numPr>
          <w:ilvl w:val="0"/>
          <w:numId w:val="1369"/>
        </w:numPr>
      </w:pPr>
      <w:r>
        <w:t xml:space="preserve">Rédige la commande pour vérifier si PostgreSQL est actuellement actif.</w:t>
      </w:r>
    </w:p>
    <w:p>
      <w:pPr>
        <w:pStyle w:val="Compact"/>
        <w:numPr>
          <w:ilvl w:val="0"/>
          <w:numId w:val="1369"/>
        </w:numPr>
      </w:pPr>
      <w:r>
        <w:t xml:space="preserve">Rédige la commande pour vérifier si PostgreSQL est activé au démarrage automatique.</w:t>
      </w:r>
    </w:p>
    <w:p>
      <w:pPr>
        <w:pStyle w:val="Compact"/>
        <w:numPr>
          <w:ilvl w:val="0"/>
          <w:numId w:val="1369"/>
        </w:numPr>
      </w:pPr>
      <w:r>
        <w:t xml:space="preserve">En supposant que la seconde commande révèle que le service n’est pas activé, rédige la commande corrective en une seule ligne.</w:t>
      </w:r>
    </w:p>
    <w:p>
      <w:pPr>
        <w:pStyle w:val="Compact"/>
        <w:numPr>
          <w:ilvl w:val="0"/>
          <w:numId w:val="1369"/>
        </w:numPr>
      </w:pPr>
      <w:r>
        <w:t xml:space="preserve">Propose une explication en 2-3 phrases à donner au développeur sur la cause réelle du problème.</w:t>
      </w:r>
    </w:p>
    <w:p>
      <w:pPr>
        <w:pStyle w:val="Compact"/>
        <w:numPr>
          <w:ilvl w:val="0"/>
          <w:numId w:val="1369"/>
        </w:numPr>
      </w:pPr>
      <w:r>
        <w:t xml:space="preserve">Compare ta démarche à la section</w:t>
      </w:r>
      <w:r>
        <w:t xml:space="preserve"> </w:t>
      </w:r>
      <w:r>
        <w:t xml:space="preserve">“Résultat attendu”</w:t>
      </w:r>
      <w:r>
        <w:t xml:space="preserve">.</w:t>
      </w:r>
    </w:p>
    <w:p>
      <w:pPr>
        <w:pStyle w:val="FirstParagraph"/>
      </w:pPr>
      <w:r>
        <w:rPr>
          <w:b/>
          <w:bCs/>
        </w:rPr>
        <w:t xml:space="preserve">Résultat attendu</w:t>
      </w:r>
      <w:r>
        <w:t xml:space="preserve"> </w:t>
      </w:r>
      <w:r>
        <w:t xml:space="preserve">:</w:t>
      </w:r>
      <w:r>
        <w:t xml:space="preserve"> </w:t>
      </w:r>
      <w:r>
        <w:rPr>
          <w:rStyle w:val="VerbatimChar"/>
        </w:rPr>
        <w:t xml:space="preserve">systemctl status postgresql</w:t>
      </w:r>
      <w:r>
        <w:t xml:space="preserve"> </w:t>
      </w:r>
      <w:r>
        <w:t xml:space="preserve">confirme l’état actuel ;</w:t>
      </w:r>
      <w:r>
        <w:t xml:space="preserve"> </w:t>
      </w:r>
      <w:r>
        <w:rPr>
          <w:rStyle w:val="VerbatimChar"/>
        </w:rPr>
        <w:t xml:space="preserve">systemctl is-enabled postgresql</w:t>
      </w:r>
      <w:r>
        <w:t xml:space="preserve"> </w:t>
      </w:r>
      <w:r>
        <w:t xml:space="preserve">révèle probablement</w:t>
      </w:r>
      <w:r>
        <w:t xml:space="preserve"> </w:t>
      </w:r>
      <w:r>
        <w:rPr>
          <w:rStyle w:val="VerbatimChar"/>
        </w:rPr>
        <w:t xml:space="preserve">disabled</w:t>
      </w:r>
      <w:r>
        <w:t xml:space="preserve"> </w:t>
      </w:r>
      <w:r>
        <w:t xml:space="preserve">(l’installation initiale via</w:t>
      </w:r>
      <w:r>
        <w:t xml:space="preserve"> </w:t>
      </w:r>
      <w:r>
        <w:rPr>
          <w:rStyle w:val="VerbatimChar"/>
        </w:rPr>
        <w:t xml:space="preserve">apt install</w:t>
      </w:r>
      <w:r>
        <w:t xml:space="preserve">, chapitre 15, active généralement les services automatiquement par défaut — mais une configuration manuelle antérieure a pu désactiver cette activation sans que personne ne le remarque). La commande corrective est</w:t>
      </w:r>
      <w:r>
        <w:t xml:space="preserve"> </w:t>
      </w:r>
      <w:r>
        <w:rPr>
          <w:rStyle w:val="VerbatimChar"/>
        </w:rPr>
        <w:t xml:space="preserve">sudo systemctl enable --now postgresql</w:t>
      </w:r>
      <w:r>
        <w:t xml:space="preserve">. L’explication au développeur reprend la distinction centrale de la section 16.2 : démarrer un service et l’activer au démarrage automatique sont deux actions distinctes, et seule la seconde garantit sa survie à un redémarrage du serveur.</w:t>
      </w:r>
    </w:p>
    <w:p>
      <w:pPr>
        <w:pStyle w:val="BodyText"/>
      </w:pPr>
      <w:r>
        <w:rPr>
          <w:b/>
          <w:bCs/>
        </w:rPr>
        <w:t xml:space="preserve">Dépannage</w:t>
      </w:r>
      <w:r>
        <w:t xml:space="preserve"> </w:t>
      </w:r>
      <w:r>
        <w:t xml:space="preserve">: si le service reste inactif même après</w:t>
      </w:r>
      <w:r>
        <w:t xml:space="preserve"> </w:t>
      </w:r>
      <w:r>
        <w:rPr>
          <w:rStyle w:val="VerbatimChar"/>
        </w:rPr>
        <w:t xml:space="preserve">enable --now</w:t>
      </w:r>
      <w:r>
        <w:t xml:space="preserve">, consulte immédiatement</w:t>
      </w:r>
      <w:r>
        <w:t xml:space="preserve"> </w:t>
      </w:r>
      <w:r>
        <w:rPr>
          <w:rStyle w:val="VerbatimChar"/>
        </w:rPr>
        <w:t xml:space="preserve">journalctl -u postgresql -b</w:t>
      </w:r>
      <w:r>
        <w:t xml:space="preserve"> </w:t>
      </w:r>
      <w:r>
        <w:t xml:space="preserve">(section 16.5) pour identifier une éventuelle erreur de configuration empêchant réellement le démarrage, indépendamment de la question de l’activation automatique.</w:t>
      </w:r>
    </w:p>
    <w:bookmarkEnd w:id="403"/>
    <w:bookmarkStart w:id="404" w:name="erreurs-fréquentes-15"/>
    <w:p>
      <w:pPr>
        <w:pStyle w:val="Heading2"/>
      </w:pPr>
      <w:r>
        <w:t xml:space="preserve">Erreurs fréquentes</w:t>
      </w:r>
    </w:p>
    <w:p>
      <w:pPr>
        <w:pStyle w:val="FirstParagraph"/>
      </w:pPr>
      <w:r>
        <w:t xml:space="preserve">⚠️ Erreur n°1 — confondre</w:t>
      </w:r>
      <w:r>
        <w:t xml:space="preserve"> </w:t>
      </w:r>
      <w:r>
        <w:rPr>
          <w:rStyle w:val="VerbatimChar"/>
        </w:rPr>
        <w:t xml:space="preserve">start</w:t>
      </w:r>
      <w:r>
        <w:t xml:space="preserve"> </w:t>
      </w:r>
      <w:r>
        <w:t xml:space="preserve">et</w:t>
      </w:r>
      <w:r>
        <w:t xml:space="preserve"> </w:t>
      </w:r>
      <w:r>
        <w:rPr>
          <w:rStyle w:val="VerbatimChar"/>
        </w:rPr>
        <w:t xml:space="preserve">enable</w:t>
      </w:r>
      <w:r>
        <w:t xml:space="preserve"> </w:t>
      </w:r>
      <w:r>
        <w:t xml:space="preserve">La cause exacte du scénario d’ouverture, déjà détaillée en section 16.2 — l’une des confusions les plus fréquentes et les plus coûteuses chez les débutants Linux.</w:t>
      </w:r>
    </w:p>
    <w:p>
      <w:pPr>
        <w:pStyle w:val="BodyText"/>
      </w:pPr>
      <w:r>
        <w:t xml:space="preserve">⚠️ Erreur n°2 — oublier</w:t>
      </w:r>
      <w:r>
        <w:t xml:space="preserve"> </w:t>
      </w:r>
      <w:r>
        <w:rPr>
          <w:rStyle w:val="VerbatimChar"/>
        </w:rPr>
        <w:t xml:space="preserve">systemctl daemon-reload</w:t>
      </w:r>
      <w:r>
        <w:t xml:space="preserve"> </w:t>
      </w:r>
      <w:r>
        <w:t xml:space="preserve">après modification d’une unité</w:t>
      </w:r>
      <w:r>
        <w:t xml:space="preserve"> </w:t>
      </w:r>
      <w:r>
        <w:t xml:space="preserve">Modifier un fichier d’unité systemd sans recharger la configuration de systemd lui-même laisse l’ancienne définition active en mémoire — les changements semblent alors</w:t>
      </w:r>
      <w:r>
        <w:t xml:space="preserve"> </w:t>
      </w:r>
      <w:r>
        <w:t xml:space="preserve">“ne pas fonctionner”</w:t>
      </w:r>
      <w:r>
        <w:t xml:space="preserve">, alors que le fichier a pourtant été correctement modifié sur le disque.</w:t>
      </w:r>
    </w:p>
    <w:p>
      <w:pPr>
        <w:pStyle w:val="BodyText"/>
      </w:pPr>
      <w:r>
        <w:t xml:space="preserve">⚠️ Erreur n°3 — faire tourner un service applicatif maison en tant que root par défaut</w:t>
      </w:r>
      <w:r>
        <w:t xml:space="preserve"> </w:t>
      </w:r>
      <w:r>
        <w:t xml:space="preserve">Rappel de la section 16.4 : sans raison spécifique justifiant un accès root, un service applicatif doit toujours tourner sous un compte dédié à privilèges limités.</w:t>
      </w:r>
    </w:p>
    <w:bookmarkEnd w:id="404"/>
    <w:bookmarkStart w:id="405" w:name="en-entreprise-15"/>
    <w:p>
      <w:pPr>
        <w:pStyle w:val="Heading2"/>
      </w:pPr>
      <w:r>
        <w:t xml:space="preserve">En entreprise</w:t>
      </w:r>
    </w:p>
    <w:p>
      <w:pPr>
        <w:pStyle w:val="Compact"/>
        <w:numPr>
          <w:ilvl w:val="0"/>
          <w:numId w:val="1370"/>
        </w:numPr>
      </w:pPr>
      <w:r>
        <w:rPr>
          <w:b/>
          <w:bCs/>
        </w:rPr>
        <w:t xml:space="preserve">Bonne pratique répandue</w:t>
      </w:r>
      <w:r>
        <w:t xml:space="preserve"> </w:t>
      </w:r>
      <w:r>
        <w:t xml:space="preserve">: après toute installation ou création de service critique, vérifier systématiquement à la fois son état actuel ET son activation au démarrage — jamais l’un sans l’autre, pour éviter exactement le piège du scénario d’ouverture.</w:t>
      </w:r>
    </w:p>
    <w:p>
      <w:pPr>
        <w:pStyle w:val="Compact"/>
        <w:numPr>
          <w:ilvl w:val="0"/>
          <w:numId w:val="1370"/>
        </w:numPr>
      </w:pPr>
      <w:r>
        <w:rPr>
          <w:b/>
          <w:bCs/>
        </w:rPr>
        <w:t xml:space="preserve">Bonne pratique répandue</w:t>
      </w:r>
      <w:r>
        <w:t xml:space="preserve"> </w:t>
      </w:r>
      <w:r>
        <w:t xml:space="preserve">: documenter (chapitre 3) les unités systemd personnalisées créées pour des services maison, avec leur emplacement et leur raison d’être — un fichier</w:t>
      </w:r>
      <w:r>
        <w:t xml:space="preserve"> </w:t>
      </w:r>
      <w:r>
        <w:rPr>
          <w:rStyle w:val="VerbatimChar"/>
        </w:rPr>
        <w:t xml:space="preserve">.service</w:t>
      </w:r>
      <w:r>
        <w:t xml:space="preserve"> </w:t>
      </w:r>
      <w:r>
        <w:t xml:space="preserve">non documenté, découvert des mois plus tard par quelqu’un d’autre, pose les mêmes questions qu’un compte non documenté du chapitre 3.</w:t>
      </w:r>
    </w:p>
    <w:p>
      <w:pPr>
        <w:pStyle w:val="Compact"/>
        <w:numPr>
          <w:ilvl w:val="0"/>
          <w:numId w:val="1370"/>
        </w:numPr>
      </w:pPr>
      <w:r>
        <w:rPr>
          <w:b/>
          <w:bCs/>
        </w:rPr>
        <w:t xml:space="preserve">Erreur classique observée</w:t>
      </w:r>
      <w:r>
        <w:t xml:space="preserve"> </w:t>
      </w:r>
      <w:r>
        <w:t xml:space="preserve">: un service critique désactivé accidentellement lors d’une intervention de maintenance (par exemple, une commande</w:t>
      </w:r>
      <w:r>
        <w:t xml:space="preserve"> </w:t>
      </w:r>
      <w:r>
        <w:rPr>
          <w:rStyle w:val="VerbatimChar"/>
        </w:rPr>
        <w:t xml:space="preserve">disable</w:t>
      </w:r>
      <w:r>
        <w:t xml:space="preserve"> </w:t>
      </w:r>
      <w:r>
        <w:t xml:space="preserve">exécutée pour un diagnostic temporaire, jamais réactivée ensuite) — la vérification post-changement (chapitre 2) doit inclure une confirmation explicite de l’état d’activation.</w:t>
      </w:r>
    </w:p>
    <w:bookmarkEnd w:id="405"/>
    <w:bookmarkStart w:id="406" w:name="entretien-technique-15"/>
    <w:p>
      <w:pPr>
        <w:pStyle w:val="Heading2"/>
      </w:pPr>
      <w:r>
        <w:t xml:space="preserve">Entretien technique</w:t>
      </w:r>
    </w:p>
    <w:p>
      <w:pPr>
        <w:pStyle w:val="FirstParagraph"/>
      </w:pPr>
      <w:r>
        <w:t xml:space="preserve">💼 Questions fréquemment posées en entretien</w:t>
      </w:r>
    </w:p>
    <w:p>
      <w:pPr>
        <w:pStyle w:val="BodyText"/>
      </w:pPr>
      <w:r>
        <w:rPr>
          <w:b/>
          <w:bCs/>
        </w:rPr>
        <w:t xml:space="preserve">Q1.</w:t>
      </w:r>
      <w:r>
        <w:rPr>
          <w:b/>
          <w:bCs/>
        </w:rPr>
        <w:t xml:space="preserve"> </w:t>
      </w:r>
      <w:r>
        <w:rPr>
          <w:b/>
          <w:bCs/>
        </w:rPr>
        <w:t xml:space="preserve">“Quelle est la différence entre</w:t>
      </w:r>
      <w:r>
        <w:rPr>
          <w:b/>
          <w:bCs/>
        </w:rPr>
        <w:t xml:space="preserve"> </w:t>
      </w:r>
      <w:r>
        <w:rPr>
          <w:rStyle w:val="VerbatimChar"/>
          <w:b/>
          <w:bCs/>
        </w:rPr>
        <w:t xml:space="preserve">systemctl start</w:t>
      </w:r>
      <w:r>
        <w:rPr>
          <w:b/>
          <w:bCs/>
        </w:rPr>
        <w:t xml:space="preserve"> </w:t>
      </w:r>
      <w:r>
        <w:rPr>
          <w:b/>
          <w:bCs/>
        </w:rPr>
        <w:t xml:space="preserve">et</w:t>
      </w:r>
      <w:r>
        <w:rPr>
          <w:b/>
          <w:bCs/>
        </w:rPr>
        <w:t xml:space="preserve"> </w:t>
      </w:r>
      <w:r>
        <w:rPr>
          <w:rStyle w:val="VerbatimChar"/>
          <w:b/>
          <w:bCs/>
        </w:rPr>
        <w:t xml:space="preserve">systemctl enable</w:t>
      </w:r>
      <w:r>
        <w:rPr>
          <w:b/>
          <w:bCs/>
        </w:rPr>
        <w:t xml:space="preserve"> </w:t>
      </w:r>
      <w:r>
        <w:rPr>
          <w:b/>
          <w:bCs/>
        </w:rPr>
        <w:t xml:space="preserve">?”</w:t>
      </w:r>
      <w:r>
        <w:t xml:space="preserve"> </w:t>
      </w:r>
      <w:r>
        <w:t xml:space="preserve">Réponse attendue :</w:t>
      </w:r>
      <w:r>
        <w:t xml:space="preserve"> </w:t>
      </w:r>
      <w:r>
        <w:rPr>
          <w:rStyle w:val="VerbatimChar"/>
        </w:rPr>
        <w:t xml:space="preserve">start</w:t>
      </w:r>
      <w:r>
        <w:t xml:space="preserve"> </w:t>
      </w:r>
      <w:r>
        <w:t xml:space="preserve">démarre un service immédiatement, sans effet sur les futurs redémarrages du système ;</w:t>
      </w:r>
      <w:r>
        <w:t xml:space="preserve"> </w:t>
      </w:r>
      <w:r>
        <w:rPr>
          <w:rStyle w:val="VerbatimChar"/>
        </w:rPr>
        <w:t xml:space="preserve">enable</w:t>
      </w:r>
      <w:r>
        <w:t xml:space="preserve"> </w:t>
      </w:r>
      <w:r>
        <w:t xml:space="preserve">configure le service pour démarrer automatiquement à chaque futur démarrage, sans le démarrer immédiatement si ce n’est pas déjà fait. Les deux sont souvent combinées via</w:t>
      </w:r>
      <w:r>
        <w:t xml:space="preserve"> </w:t>
      </w:r>
      <w:r>
        <w:rPr>
          <w:rStyle w:val="VerbatimChar"/>
        </w:rPr>
        <w:t xml:space="preserve">enable --now</w:t>
      </w:r>
      <w:r>
        <w:t xml:space="preserve"> </w:t>
      </w:r>
      <w:r>
        <w:t xml:space="preserve">pour un service de production.</w:t>
      </w:r>
    </w:p>
    <w:p>
      <w:pPr>
        <w:pStyle w:val="BodyText"/>
      </w:pPr>
      <w:r>
        <w:rPr>
          <w:b/>
          <w:bCs/>
        </w:rPr>
        <w:t xml:space="preserve">Q2.</w:t>
      </w:r>
      <w:r>
        <w:rPr>
          <w:b/>
          <w:bCs/>
        </w:rPr>
        <w:t xml:space="preserve"> </w:t>
      </w:r>
      <w:r>
        <w:rPr>
          <w:b/>
          <w:bCs/>
        </w:rPr>
        <w:t xml:space="preserve">“Comment diagnostiquerais-tu un service qui refuse de démarrer ?”</w:t>
      </w:r>
      <w:r>
        <w:t xml:space="preserve"> </w:t>
      </w:r>
      <w:r>
        <w:t xml:space="preserve">Réponse attendue : vérifier d’abord son état actuel avec</w:t>
      </w:r>
      <w:r>
        <w:t xml:space="preserve"> </w:t>
      </w:r>
      <w:r>
        <w:rPr>
          <w:rStyle w:val="VerbatimChar"/>
        </w:rPr>
        <w:t xml:space="preserve">systemctl status</w:t>
      </w:r>
      <w:r>
        <w:t xml:space="preserve">, qui affiche souvent directement la cause de l’échec ; consulter ensuite</w:t>
      </w:r>
      <w:r>
        <w:t xml:space="preserve"> </w:t>
      </w:r>
      <w:r>
        <w:rPr>
          <w:rStyle w:val="VerbatimChar"/>
        </w:rPr>
        <w:t xml:space="preserve">journalctl -u nom-du-service</w:t>
      </w:r>
      <w:r>
        <w:t xml:space="preserve"> </w:t>
      </w:r>
      <w:r>
        <w:t xml:space="preserve">pour un historique plus détaillé si la cause n’est pas immédiatement claire dans le status.</w:t>
      </w:r>
    </w:p>
    <w:p>
      <w:pPr>
        <w:pStyle w:val="BodyText"/>
      </w:pPr>
      <w:r>
        <w:rPr>
          <w:b/>
          <w:bCs/>
        </w:rPr>
        <w:t xml:space="preserve">Q3.</w:t>
      </w:r>
      <w:r>
        <w:rPr>
          <w:b/>
          <w:bCs/>
        </w:rPr>
        <w:t xml:space="preserve"> </w:t>
      </w:r>
      <w:r>
        <w:rPr>
          <w:b/>
          <w:bCs/>
        </w:rPr>
        <w:t xml:space="preserve">“Pourquoi un service applicatif ne devrait-il pas tourner en tant que root par défaut ?”</w:t>
      </w:r>
      <w:r>
        <w:t xml:space="preserve"> </w:t>
      </w:r>
      <w:r>
        <w:t xml:space="preserve">Réponse attendue : en cas de compromission du service (faille applicative, dépendance vulnérable), un compte root compromis donne un accès total et immédiat au système entier, alors qu’un compte de service dédié limite l’impact aux permissions strictement nécessaires à ce service — une application directe du principe du moindre privilège du chapitre 1.</w:t>
      </w:r>
    </w:p>
    <w:bookmarkEnd w:id="406"/>
    <w:bookmarkStart w:id="407" w:name="Xd7a7874fc96717c8f0713a0a23b425acccecd83"/>
    <w:p>
      <w:pPr>
        <w:pStyle w:val="Heading2"/>
      </w:pPr>
      <w:r>
        <w:t xml:space="preserve">Optimisation, sécurité et maintenabilité — les réflexes dès ce chapitre</w:t>
      </w:r>
    </w:p>
    <w:p>
      <w:pPr>
        <w:pStyle w:val="FirstParagraph"/>
      </w:pPr>
      <w:r>
        <w:t xml:space="preserve">🔒 Sécurité</w:t>
      </w:r>
      <w:r>
        <w:t xml:space="preserve"> </w:t>
      </w:r>
      <w:r>
        <w:t xml:space="preserve">Applique systématiquement</w:t>
      </w:r>
      <w:r>
        <w:t xml:space="preserve"> </w:t>
      </w:r>
      <w:r>
        <w:rPr>
          <w:rStyle w:val="VerbatimChar"/>
        </w:rPr>
        <w:t xml:space="preserve">User=</w:t>
      </w:r>
      <w:r>
        <w:t xml:space="preserve"> </w:t>
      </w:r>
      <w:r>
        <w:t xml:space="preserve">dans chaque unité de service maison créée, avec un compte dédié et sans privilège superflu — un réflexe aussi automatique que la vérification de</w:t>
      </w:r>
      <w:r>
        <w:t xml:space="preserve"> </w:t>
      </w:r>
      <w:r>
        <w:rPr>
          <w:rStyle w:val="VerbatimChar"/>
        </w:rPr>
        <w:t xml:space="preserve">enable</w:t>
      </w:r>
      <w:r>
        <w:t xml:space="preserve"> </w:t>
      </w:r>
      <w:r>
        <w:t xml:space="preserve">pour chaque service critique.</w:t>
      </w:r>
    </w:p>
    <w:p>
      <w:pPr>
        <w:pStyle w:val="BodyText"/>
      </w:pPr>
      <w:r>
        <w:t xml:space="preserve">✅ Maintenabilité</w:t>
      </w:r>
      <w:r>
        <w:t xml:space="preserve"> </w:t>
      </w:r>
      <w:r>
        <w:t xml:space="preserve">Documente chaque unité systemd personnalisée créée (chapitre 3), y compris la raison de ses paramètres spécifiques (pourquoi ce</w:t>
      </w:r>
      <w:r>
        <w:t xml:space="preserve"> </w:t>
      </w:r>
      <w:r>
        <w:rPr>
          <w:rStyle w:val="VerbatimChar"/>
        </w:rPr>
        <w:t xml:space="preserve">Restart=</w:t>
      </w:r>
      <w:r>
        <w:t xml:space="preserve">, pourquoi cette dépendance</w:t>
      </w:r>
      <w:r>
        <w:t xml:space="preserve"> </w:t>
      </w:r>
      <w:r>
        <w:rPr>
          <w:rStyle w:val="VerbatimChar"/>
        </w:rPr>
        <w:t xml:space="preserve">After=</w:t>
      </w:r>
      <w:r>
        <w:t xml:space="preserve">) — des choix qui semblent évidents au moment de la création, mais rarement des mois plus tard.</w:t>
      </w:r>
    </w:p>
    <w:p>
      <w:pPr>
        <w:pStyle w:val="BodyText"/>
      </w:pPr>
      <w:r>
        <w:t xml:space="preserve">🚀 Performance</w:t>
      </w:r>
      <w:r>
        <w:t xml:space="preserve"> </w:t>
      </w:r>
      <w:r>
        <w:rPr>
          <w:rStyle w:val="VerbatimChar"/>
        </w:rPr>
        <w:t xml:space="preserve">Restart=on-failure</w:t>
      </w:r>
      <w:r>
        <w:t xml:space="preserve"> </w:t>
      </w:r>
      <w:r>
        <w:t xml:space="preserve">avec un</w:t>
      </w:r>
      <w:r>
        <w:t xml:space="preserve"> </w:t>
      </w:r>
      <w:r>
        <w:rPr>
          <w:rStyle w:val="VerbatimChar"/>
        </w:rPr>
        <w:t xml:space="preserve">RestartSec=</w:t>
      </w:r>
      <w:r>
        <w:t xml:space="preserve"> </w:t>
      </w:r>
      <w:r>
        <w:t xml:space="preserve">raisonnable offre une résilience automatique face à un crash isolé, sans intervention manuelle — mais une boucle de redémarrage en échec permanent (un service qui plante systématiquement dès son démarrage) doit être détectée par la supervision (Partie 10), pas seulement laissée à la merci de tentatives de redémarrage infinies.</w:t>
      </w:r>
    </w:p>
    <w:bookmarkEnd w:id="407"/>
    <w:bookmarkStart w:id="408" w:name="résumé-du-chapitre-15"/>
    <w:p>
      <w:pPr>
        <w:pStyle w:val="Heading2"/>
      </w:pPr>
      <w:r>
        <w:t xml:space="preserve">Résumé du chapitre</w:t>
      </w:r>
    </w:p>
    <w:p>
      <w:pPr>
        <w:pStyle w:val="Compact"/>
        <w:numPr>
          <w:ilvl w:val="0"/>
          <w:numId w:val="1371"/>
        </w:numPr>
      </w:pPr>
      <w:r>
        <w:t xml:space="preserve">systemd est le système d’initialisation qui démarre, arrête et supervise les services sur la quasi-totalité des distributions Linux modernes.</w:t>
      </w:r>
    </w:p>
    <w:p>
      <w:pPr>
        <w:pStyle w:val="Compact"/>
        <w:numPr>
          <w:ilvl w:val="0"/>
          <w:numId w:val="1371"/>
        </w:numPr>
      </w:pPr>
      <w:r>
        <w:rPr>
          <w:rStyle w:val="VerbatimChar"/>
        </w:rPr>
        <w:t xml:space="preserve">systemctl start</w:t>
      </w:r>
      <w:r>
        <w:t xml:space="preserve"> </w:t>
      </w:r>
      <w:r>
        <w:t xml:space="preserve">démarre un service maintenant ;</w:t>
      </w:r>
      <w:r>
        <w:t xml:space="preserve"> </w:t>
      </w:r>
      <w:r>
        <w:rPr>
          <w:rStyle w:val="VerbatimChar"/>
        </w:rPr>
        <w:t xml:space="preserve">systemctl enable</w:t>
      </w:r>
      <w:r>
        <w:t xml:space="preserve"> </w:t>
      </w:r>
      <w:r>
        <w:t xml:space="preserve">l’active pour les futurs démarrages — deux actions distinctes, souvent combinées via</w:t>
      </w:r>
      <w:r>
        <w:t xml:space="preserve"> </w:t>
      </w:r>
      <w:r>
        <w:rPr>
          <w:rStyle w:val="VerbatimChar"/>
        </w:rPr>
        <w:t xml:space="preserve">enable --now</w:t>
      </w:r>
      <w:r>
        <w:t xml:space="preserve">.</w:t>
      </w:r>
    </w:p>
    <w:p>
      <w:pPr>
        <w:pStyle w:val="Compact"/>
        <w:numPr>
          <w:ilvl w:val="0"/>
          <w:numId w:val="1371"/>
        </w:numPr>
      </w:pPr>
      <w:r>
        <w:t xml:space="preserve">Une unité systemd personnalisée se crée dans un fichier</w:t>
      </w:r>
      <w:r>
        <w:t xml:space="preserve"> </w:t>
      </w:r>
      <w:r>
        <w:rPr>
          <w:rStyle w:val="VerbatimChar"/>
        </w:rPr>
        <w:t xml:space="preserve">.service</w:t>
      </w:r>
      <w:r>
        <w:t xml:space="preserve">, avec des directives comme</w:t>
      </w:r>
      <w:r>
        <w:t xml:space="preserve"> </w:t>
      </w:r>
      <w:r>
        <w:rPr>
          <w:rStyle w:val="VerbatimChar"/>
        </w:rPr>
        <w:t xml:space="preserve">After=</w:t>
      </w:r>
      <w:r>
        <w:t xml:space="preserve"> </w:t>
      </w:r>
      <w:r>
        <w:t xml:space="preserve">(dépendances d’ordre),</w:t>
      </w:r>
      <w:r>
        <w:t xml:space="preserve"> </w:t>
      </w:r>
      <w:r>
        <w:rPr>
          <w:rStyle w:val="VerbatimChar"/>
        </w:rPr>
        <w:t xml:space="preserve">Restart=</w:t>
      </w:r>
      <w:r>
        <w:t xml:space="preserve"> </w:t>
      </w:r>
      <w:r>
        <w:t xml:space="preserve">(résilience automatique) et</w:t>
      </w:r>
      <w:r>
        <w:t xml:space="preserve"> </w:t>
      </w:r>
      <w:r>
        <w:rPr>
          <w:rStyle w:val="VerbatimChar"/>
        </w:rPr>
        <w:t xml:space="preserve">User=</w:t>
      </w:r>
      <w:r>
        <w:t xml:space="preserve"> </w:t>
      </w:r>
      <w:r>
        <w:t xml:space="preserve">(principe du moindre privilège).</w:t>
      </w:r>
    </w:p>
    <w:p>
      <w:pPr>
        <w:pStyle w:val="Compact"/>
        <w:numPr>
          <w:ilvl w:val="0"/>
          <w:numId w:val="1371"/>
        </w:numPr>
      </w:pPr>
      <w:r>
        <w:rPr>
          <w:rStyle w:val="VerbatimChar"/>
        </w:rPr>
        <w:t xml:space="preserve">journalctl -u nom-du-service</w:t>
      </w:r>
      <w:r>
        <w:t xml:space="preserve"> </w:t>
      </w:r>
      <w:r>
        <w:t xml:space="preserve">centralise et facilite la consultation des journaux d’un service, essentielle en diagnostic d’incident.</w:t>
      </w:r>
    </w:p>
    <w:p>
      <w:pPr>
        <w:pStyle w:val="Compact"/>
        <w:numPr>
          <w:ilvl w:val="0"/>
          <w:numId w:val="1371"/>
        </w:numPr>
      </w:pPr>
      <w:r>
        <w:t xml:space="preserve">Après toute modification d’un fichier d’unité,</w:t>
      </w:r>
      <w:r>
        <w:t xml:space="preserve"> </w:t>
      </w:r>
      <w:r>
        <w:rPr>
          <w:rStyle w:val="VerbatimChar"/>
        </w:rPr>
        <w:t xml:space="preserve">systemctl daemon-reload</w:t>
      </w:r>
      <w:r>
        <w:t xml:space="preserve"> </w:t>
      </w:r>
      <w:r>
        <w:t xml:space="preserve">est indispensable avant que le changement ne prenne effet.</w:t>
      </w:r>
    </w:p>
    <w:bookmarkEnd w:id="408"/>
    <w:bookmarkStart w:id="409" w:name="quiz-15"/>
    <w:p>
      <w:pPr>
        <w:pStyle w:val="Heading2"/>
      </w:pPr>
      <w:r>
        <w:t xml:space="preserve">Quiz</w:t>
      </w:r>
    </w:p>
    <w:p>
      <w:pPr>
        <w:pStyle w:val="FirstParagraph"/>
      </w:pPr>
      <w:r>
        <w:t xml:space="preserve">📝 QCM (une seule bonne réponse par question)</w:t>
      </w:r>
    </w:p>
    <w:p>
      <w:pPr>
        <w:pStyle w:val="Compact"/>
        <w:numPr>
          <w:ilvl w:val="0"/>
          <w:numId w:val="1372"/>
        </w:numPr>
      </w:pPr>
      <w:r>
        <w:rPr>
          <w:rStyle w:val="VerbatimChar"/>
        </w:rPr>
        <w:t xml:space="preserve">systemctl start postgresql</w:t>
      </w:r>
      <w:r>
        <w:t xml:space="preserve"> </w:t>
      </w:r>
      <w:r>
        <w:t xml:space="preserve">:</w:t>
      </w:r>
    </w:p>
    <w:p>
      <w:pPr>
        <w:pStyle w:val="Compact"/>
        <w:numPr>
          <w:ilvl w:val="1"/>
          <w:numId w:val="1373"/>
        </w:numPr>
      </w:pPr>
    </w:p>
    <w:p>
      <w:pPr>
        <w:pStyle w:val="Compact"/>
        <w:numPr>
          <w:ilvl w:val="2"/>
          <w:numId w:val="1374"/>
        </w:numPr>
      </w:pPr>
      <w:r>
        <w:t xml:space="preserve">Active PostgreSQL pour tous les futurs démarrages du système</w:t>
      </w:r>
    </w:p>
    <w:p>
      <w:pPr>
        <w:pStyle w:val="Compact"/>
        <w:numPr>
          <w:ilvl w:val="1"/>
          <w:numId w:val="1373"/>
        </w:numPr>
      </w:pPr>
    </w:p>
    <w:p>
      <w:pPr>
        <w:pStyle w:val="Compact"/>
        <w:numPr>
          <w:ilvl w:val="2"/>
          <w:numId w:val="1375"/>
        </w:numPr>
      </w:pPr>
      <w:r>
        <w:t xml:space="preserve">Démarre PostgreSQL immédiatement, sans effet sur les futurs redémarrages</w:t>
      </w:r>
    </w:p>
    <w:p>
      <w:pPr>
        <w:pStyle w:val="Compact"/>
        <w:numPr>
          <w:ilvl w:val="1"/>
          <w:numId w:val="1373"/>
        </w:numPr>
      </w:pPr>
    </w:p>
    <w:p>
      <w:pPr>
        <w:pStyle w:val="Compact"/>
        <w:numPr>
          <w:ilvl w:val="2"/>
          <w:numId w:val="1376"/>
        </w:numPr>
      </w:pPr>
      <w:r>
        <w:t xml:space="preserve">Désactive PostgreSQL</w:t>
      </w:r>
    </w:p>
    <w:p>
      <w:pPr>
        <w:pStyle w:val="Compact"/>
        <w:numPr>
          <w:ilvl w:val="1"/>
          <w:numId w:val="1373"/>
        </w:numPr>
      </w:pPr>
    </w:p>
    <w:p>
      <w:pPr>
        <w:pStyle w:val="Compact"/>
        <w:numPr>
          <w:ilvl w:val="2"/>
          <w:numId w:val="1377"/>
        </w:numPr>
      </w:pPr>
      <w:r>
        <w:t xml:space="preserve">Supprime PostgreSQL</w:t>
      </w:r>
    </w:p>
    <w:p>
      <w:pPr>
        <w:pStyle w:val="Compact"/>
        <w:numPr>
          <w:ilvl w:val="0"/>
          <w:numId w:val="1372"/>
        </w:numPr>
      </w:pPr>
      <w:r>
        <w:t xml:space="preserve">Après avoir modifié un fichier d’unité systemd, la commande à exécuter avant que le changement prenne effet est :</w:t>
      </w:r>
    </w:p>
    <w:p>
      <w:pPr>
        <w:pStyle w:val="Compact"/>
        <w:numPr>
          <w:ilvl w:val="1"/>
          <w:numId w:val="1378"/>
        </w:numPr>
      </w:pPr>
    </w:p>
    <w:p>
      <w:pPr>
        <w:pStyle w:val="Compact"/>
        <w:numPr>
          <w:ilvl w:val="2"/>
          <w:numId w:val="1379"/>
        </w:numPr>
      </w:pPr>
      <w:r>
        <w:rPr>
          <w:rStyle w:val="VerbatimChar"/>
        </w:rPr>
        <w:t xml:space="preserve">systemctl restart</w:t>
      </w:r>
    </w:p>
    <w:p>
      <w:pPr>
        <w:pStyle w:val="Compact"/>
        <w:numPr>
          <w:ilvl w:val="1"/>
          <w:numId w:val="1378"/>
        </w:numPr>
      </w:pPr>
    </w:p>
    <w:p>
      <w:pPr>
        <w:pStyle w:val="Compact"/>
        <w:numPr>
          <w:ilvl w:val="2"/>
          <w:numId w:val="1380"/>
        </w:numPr>
      </w:pPr>
      <w:r>
        <w:rPr>
          <w:rStyle w:val="VerbatimChar"/>
        </w:rPr>
        <w:t xml:space="preserve">systemctl daemon-reload</w:t>
      </w:r>
    </w:p>
    <w:p>
      <w:pPr>
        <w:pStyle w:val="Compact"/>
        <w:numPr>
          <w:ilvl w:val="1"/>
          <w:numId w:val="1378"/>
        </w:numPr>
      </w:pPr>
    </w:p>
    <w:p>
      <w:pPr>
        <w:pStyle w:val="Compact"/>
        <w:numPr>
          <w:ilvl w:val="2"/>
          <w:numId w:val="1381"/>
        </w:numPr>
      </w:pPr>
      <w:r>
        <w:rPr>
          <w:rStyle w:val="VerbatimChar"/>
        </w:rPr>
        <w:t xml:space="preserve">systemctl enable</w:t>
      </w:r>
    </w:p>
    <w:p>
      <w:pPr>
        <w:pStyle w:val="Compact"/>
        <w:numPr>
          <w:ilvl w:val="1"/>
          <w:numId w:val="1378"/>
        </w:numPr>
      </w:pPr>
    </w:p>
    <w:p>
      <w:pPr>
        <w:pStyle w:val="Compact"/>
        <w:numPr>
          <w:ilvl w:val="2"/>
          <w:numId w:val="1382"/>
        </w:numPr>
      </w:pPr>
      <w:r>
        <w:rPr>
          <w:rStyle w:val="VerbatimChar"/>
        </w:rPr>
        <w:t xml:space="preserve">apt update</w:t>
      </w:r>
    </w:p>
    <w:p>
      <w:pPr>
        <w:pStyle w:val="Compact"/>
        <w:numPr>
          <w:ilvl w:val="0"/>
          <w:numId w:val="1372"/>
        </w:numPr>
      </w:pPr>
      <w:r>
        <w:t xml:space="preserve">Pour consulter les journaux d’un service précis, on utilise :</w:t>
      </w:r>
    </w:p>
    <w:p>
      <w:pPr>
        <w:pStyle w:val="Compact"/>
        <w:numPr>
          <w:ilvl w:val="1"/>
          <w:numId w:val="1383"/>
        </w:numPr>
      </w:pPr>
    </w:p>
    <w:p>
      <w:pPr>
        <w:pStyle w:val="Compact"/>
        <w:numPr>
          <w:ilvl w:val="2"/>
          <w:numId w:val="1384"/>
        </w:numPr>
      </w:pPr>
      <w:r>
        <w:rPr>
          <w:rStyle w:val="VerbatimChar"/>
        </w:rPr>
        <w:t xml:space="preserve">systemctl status --logs</w:t>
      </w:r>
    </w:p>
    <w:p>
      <w:pPr>
        <w:pStyle w:val="Compact"/>
        <w:numPr>
          <w:ilvl w:val="1"/>
          <w:numId w:val="1383"/>
        </w:numPr>
      </w:pPr>
    </w:p>
    <w:p>
      <w:pPr>
        <w:pStyle w:val="Compact"/>
        <w:numPr>
          <w:ilvl w:val="2"/>
          <w:numId w:val="1385"/>
        </w:numPr>
      </w:pPr>
      <w:r>
        <w:rPr>
          <w:rStyle w:val="VerbatimChar"/>
        </w:rPr>
        <w:t xml:space="preserve">journalctl -u nom-du-service</w:t>
      </w:r>
    </w:p>
    <w:p>
      <w:pPr>
        <w:pStyle w:val="Compact"/>
        <w:numPr>
          <w:ilvl w:val="1"/>
          <w:numId w:val="1383"/>
        </w:numPr>
      </w:pPr>
    </w:p>
    <w:p>
      <w:pPr>
        <w:pStyle w:val="Compact"/>
        <w:numPr>
          <w:ilvl w:val="2"/>
          <w:numId w:val="1386"/>
        </w:numPr>
      </w:pPr>
      <w:r>
        <w:rPr>
          <w:rStyle w:val="VerbatimChar"/>
        </w:rPr>
        <w:t xml:space="preserve">cat /var/log/systemd.log</w:t>
      </w:r>
    </w:p>
    <w:p>
      <w:pPr>
        <w:pStyle w:val="Compact"/>
        <w:numPr>
          <w:ilvl w:val="1"/>
          <w:numId w:val="1383"/>
        </w:numPr>
      </w:pPr>
    </w:p>
    <w:p>
      <w:pPr>
        <w:pStyle w:val="Compact"/>
        <w:numPr>
          <w:ilvl w:val="2"/>
          <w:numId w:val="1387"/>
        </w:numPr>
      </w:pPr>
      <w:r>
        <w:rPr>
          <w:rStyle w:val="VerbatimChar"/>
        </w:rPr>
        <w:t xml:space="preserve">dnf logs</w:t>
      </w:r>
    </w:p>
    <w:p>
      <w:pPr>
        <w:pStyle w:val="FirstParagraph"/>
      </w:pPr>
      <w:r>
        <w:rPr>
          <w:b/>
          <w:bCs/>
        </w:rPr>
        <w:t xml:space="preserve">Corrigé</w:t>
      </w:r>
      <w:r>
        <w:t xml:space="preserve"> </w:t>
      </w:r>
      <w:r>
        <w:t xml:space="preserve">: 1-b, 2-b, 3-b.</w:t>
      </w:r>
    </w:p>
    <w:p>
      <w:pPr>
        <w:pStyle w:val="BodyText"/>
      </w:pPr>
      <w:r>
        <w:t xml:space="preserve">📝 Vrai ou Faux</w:t>
      </w:r>
    </w:p>
    <w:p>
      <w:pPr>
        <w:pStyle w:val="Compact"/>
        <w:numPr>
          <w:ilvl w:val="0"/>
          <w:numId w:val="1388"/>
        </w:numPr>
      </w:pPr>
      <w:r>
        <w:t xml:space="preserve">Un service démarré avec</w:t>
      </w:r>
      <w:r>
        <w:t xml:space="preserve"> </w:t>
      </w:r>
      <w:r>
        <w:rPr>
          <w:rStyle w:val="VerbatimChar"/>
        </w:rPr>
        <w:t xml:space="preserve">systemctl start</w:t>
      </w:r>
      <w:r>
        <w:t xml:space="preserve"> </w:t>
      </w:r>
      <w:r>
        <w:t xml:space="preserve">redémarre automatiquement après un redémarrage du serveur, même sans</w:t>
      </w:r>
      <w:r>
        <w:t xml:space="preserve"> </w:t>
      </w:r>
      <w:r>
        <w:rPr>
          <w:rStyle w:val="VerbatimChar"/>
        </w:rPr>
        <w:t xml:space="preserve">enable</w:t>
      </w:r>
      <w:r>
        <w:t xml:space="preserve">. —</w:t>
      </w:r>
      <w:r>
        <w:t xml:space="preserve"> </w:t>
      </w:r>
      <w:r>
        <w:rPr>
          <w:b/>
          <w:bCs/>
        </w:rPr>
        <w:t xml:space="preserve">Faux</w:t>
      </w:r>
      <w:r>
        <w:t xml:space="preserve"> </w:t>
      </w:r>
      <w:r>
        <w:t xml:space="preserve">(c’est exactement la confusion à l’origine du scénario d’ouverture).</w:t>
      </w:r>
    </w:p>
    <w:p>
      <w:pPr>
        <w:pStyle w:val="Compact"/>
        <w:numPr>
          <w:ilvl w:val="0"/>
          <w:numId w:val="1388"/>
        </w:numPr>
      </w:pPr>
      <w:r>
        <w:rPr>
          <w:rStyle w:val="VerbatimChar"/>
        </w:rPr>
        <w:t xml:space="preserve">journalctl -u nom-du-service -f</w:t>
      </w:r>
      <w:r>
        <w:t xml:space="preserve"> </w:t>
      </w:r>
      <w:r>
        <w:t xml:space="preserve">permet de suivre les journaux d’un service en temps réel. —</w:t>
      </w:r>
      <w:r>
        <w:t xml:space="preserve"> </w:t>
      </w:r>
      <w:r>
        <w:rPr>
          <w:b/>
          <w:bCs/>
        </w:rPr>
        <w:t xml:space="preserve">Vrai</w:t>
      </w:r>
      <w:r>
        <w:t xml:space="preserve">.</w:t>
      </w:r>
    </w:p>
    <w:p>
      <w:pPr>
        <w:pStyle w:val="Compact"/>
        <w:numPr>
          <w:ilvl w:val="0"/>
          <w:numId w:val="1388"/>
        </w:numPr>
      </w:pPr>
      <w:r>
        <w:t xml:space="preserve">Un service applicatif maison devrait toujours tourner en tant que root par défaut, pour éviter les problèmes de permissions. —</w:t>
      </w:r>
      <w:r>
        <w:t xml:space="preserve"> </w:t>
      </w:r>
      <w:r>
        <w:rPr>
          <w:b/>
          <w:bCs/>
        </w:rPr>
        <w:t xml:space="preserve">Faux</w:t>
      </w:r>
      <w:r>
        <w:t xml:space="preserve"> </w:t>
      </w:r>
      <w:r>
        <w:t xml:space="preserve">(l’inverse est recommandé, un compte dédié limite l’impact d’une compromission).</w:t>
      </w:r>
    </w:p>
    <w:p>
      <w:pPr>
        <w:pStyle w:val="Compact"/>
        <w:numPr>
          <w:ilvl w:val="0"/>
          <w:numId w:val="1388"/>
        </w:numPr>
      </w:pPr>
      <w:r>
        <w:rPr>
          <w:rStyle w:val="VerbatimChar"/>
        </w:rPr>
        <w:t xml:space="preserve">enable --now</w:t>
      </w:r>
      <w:r>
        <w:t xml:space="preserve"> </w:t>
      </w:r>
      <w:r>
        <w:t xml:space="preserve">combine l’activation au démarrage et le démarrage immédiat en une seule commande. —</w:t>
      </w:r>
      <w:r>
        <w:t xml:space="preserve"> </w:t>
      </w:r>
      <w:r>
        <w:rPr>
          <w:b/>
          <w:bCs/>
        </w:rPr>
        <w:t xml:space="preserve">Vrai</w:t>
      </w:r>
      <w:r>
        <w:t xml:space="preserve">.</w:t>
      </w:r>
    </w:p>
    <w:p>
      <w:pPr>
        <w:pStyle w:val="FirstParagraph"/>
      </w:pPr>
      <w:r>
        <w:t xml:space="preserve">📝 Questions ouvertes</w:t>
      </w:r>
    </w:p>
    <w:p>
      <w:pPr>
        <w:pStyle w:val="Compact"/>
        <w:numPr>
          <w:ilvl w:val="0"/>
          <w:numId w:val="1389"/>
        </w:numPr>
      </w:pPr>
      <w:r>
        <w:t xml:space="preserve">Explique pourquoi</w:t>
      </w:r>
      <w:r>
        <w:t xml:space="preserve"> </w:t>
      </w:r>
      <w:r>
        <w:rPr>
          <w:rStyle w:val="VerbatimChar"/>
        </w:rPr>
        <w:t xml:space="preserve">Restart=on-failure</w:t>
      </w:r>
      <w:r>
        <w:t xml:space="preserve"> </w:t>
      </w:r>
      <w:r>
        <w:t xml:space="preserve">dans une unité systemd ne remplace pas une supervision proactive (chapitre 1).</w:t>
      </w:r>
    </w:p>
    <w:p>
      <w:pPr>
        <w:pStyle w:val="Compact"/>
        <w:numPr>
          <w:ilvl w:val="0"/>
          <w:numId w:val="1389"/>
        </w:numPr>
      </w:pPr>
      <w:r>
        <w:t xml:space="preserve">Reprends le scénario d’ouverture. Propose une vérification systématique à ajouter à tout runbook de redémarrage de serveur (chapitre 3) pour éviter que ce problème ne se reproduise.</w:t>
      </w:r>
    </w:p>
    <w:p>
      <w:pPr>
        <w:pStyle w:val="FirstParagraph"/>
      </w:pPr>
      <w:r>
        <w:rPr>
          <w:b/>
          <w:bCs/>
        </w:rPr>
        <w:t xml:space="preserve">Corrigé 1</w:t>
      </w:r>
      <w:r>
        <w:t xml:space="preserve"> </w:t>
      </w:r>
      <w:r>
        <w:t xml:space="preserve">:</w:t>
      </w:r>
      <w:r>
        <w:t xml:space="preserve"> </w:t>
      </w:r>
      <w:r>
        <w:rPr>
          <w:rStyle w:val="VerbatimChar"/>
        </w:rPr>
        <w:t xml:space="preserve">Restart=on-failure</w:t>
      </w:r>
      <w:r>
        <w:t xml:space="preserve"> </w:t>
      </w:r>
      <w:r>
        <w:t xml:space="preserve">relance automatiquement un service après un crash isolé, mais un service qui échoue de façon répétée et systématique (une boucle de redémarrage en échec permanent) continuera d’échouer indéfiniment sans jamais alerter personne activement — seule une supervision proactive (Partie 10) peut détecter ce type de dégradation et alerter une personne humaine, la relance automatique n’étant qu’un filet de sécurité de premier niveau, pas une garantie de bon fonctionnement réel.</w:t>
      </w:r>
    </w:p>
    <w:p>
      <w:pPr>
        <w:pStyle w:val="BodyText"/>
      </w:pPr>
      <w:r>
        <w:rPr>
          <w:b/>
          <w:bCs/>
        </w:rPr>
        <w:t xml:space="preserve">Corrigé 2</w:t>
      </w:r>
      <w:r>
        <w:t xml:space="preserve"> </w:t>
      </w:r>
      <w:r>
        <w:t xml:space="preserve">: j’ajouterais une étape explicite au runbook de redémarrage de serveur :</w:t>
      </w:r>
      <w:r>
        <w:t xml:space="preserve"> </w:t>
      </w:r>
      <w:r>
        <w:t xml:space="preserve">“Après tout redémarrage planifié, vérifier avec</w:t>
      </w:r>
      <w:r>
        <w:t xml:space="preserve"> </w:t>
      </w:r>
      <w:r>
        <w:rPr>
          <w:rStyle w:val="VerbatimChar"/>
        </w:rPr>
        <w:t xml:space="preserve">systemctl is-enabled</w:t>
      </w:r>
      <w:r>
        <w:t xml:space="preserve"> </w:t>
      </w:r>
      <w:r>
        <w:t xml:space="preserve">et</w:t>
      </w:r>
      <w:r>
        <w:t xml:space="preserve"> </w:t>
      </w:r>
      <w:r>
        <w:rPr>
          <w:rStyle w:val="VerbatimChar"/>
        </w:rPr>
        <w:t xml:space="preserve">systemctl status</w:t>
      </w:r>
      <w:r>
        <w:t xml:space="preserve"> </w:t>
      </w:r>
      <w:r>
        <w:t xml:space="preserve">que chaque service critique attendu est bien actif et activé, avant de considérer le redémarrage terminé”</w:t>
      </w:r>
      <w:r>
        <w:t xml:space="preserve"> </w:t>
      </w:r>
      <w:r>
        <w:t xml:space="preserve">— une vérification simple qui aurait immédiatement révélé le problème de PostgreSQL avant même que le développeur ne le signale, plutôt que de découvrir le problème après coup via un incident utilisateur.</w:t>
      </w:r>
    </w:p>
    <w:bookmarkEnd w:id="409"/>
    <w:bookmarkStart w:id="410" w:name="exercices-15"/>
    <w:p>
      <w:pPr>
        <w:pStyle w:val="Heading2"/>
      </w:pPr>
      <w:r>
        <w:t xml:space="preserve">Exercices</w:t>
      </w:r>
    </w:p>
    <w:p>
      <w:pPr>
        <w:pStyle w:val="FirstParagraph"/>
      </w:pPr>
      <w:r>
        <w:t xml:space="preserve">📝 Exercice 16.1</w:t>
      </w:r>
    </w:p>
    <w:p>
      <w:pPr>
        <w:pStyle w:val="BodyText"/>
      </w:pPr>
      <w:r>
        <w:t xml:space="preserve">Explique pourquoi la directive</w:t>
      </w:r>
      <w:r>
        <w:t xml:space="preserve"> </w:t>
      </w:r>
      <w:r>
        <w:rPr>
          <w:rStyle w:val="VerbatimChar"/>
        </w:rPr>
        <w:t xml:space="preserve">After=network.target postgresql.service</w:t>
      </w:r>
      <w:r>
        <w:t xml:space="preserve"> </w:t>
      </w:r>
      <w:r>
        <w:t xml:space="preserve">dans l’unité</w:t>
      </w:r>
      <w:r>
        <w:t xml:space="preserve"> </w:t>
      </w:r>
      <w:r>
        <w:rPr>
          <w:rStyle w:val="VerbatimChar"/>
        </w:rPr>
        <w:t xml:space="preserve">portail-worker.service</w:t>
      </w:r>
      <w:r>
        <w:t xml:space="preserve"> </w:t>
      </w:r>
      <w:r>
        <w:t xml:space="preserve">de la section 16.4 est importante, et ce qui pourrait se passer sans elle.</w:t>
      </w:r>
    </w:p>
    <w:p>
      <w:pPr>
        <w:pStyle w:val="BodyText"/>
      </w:pPr>
      <w:r>
        <w:rPr>
          <w:b/>
          <w:bCs/>
        </w:rPr>
        <w:t xml:space="preserve">Corrigé :</w:t>
      </w:r>
      <w:r>
        <w:t xml:space="preserve"> </w:t>
      </w:r>
      <w:r>
        <w:t xml:space="preserve">Sans cette directive, systemd pourrait démarrer le worker Python avant que le réseau ou PostgreSQL ne soient pleinement opérationnels, provoquant une erreur de connexion à la base de données au tout premier lancement du service au démarrage du système — un échec qui n’aurait rien à voir avec un bug du code applicatif lui-même, mais uniquement avec un mauvais ordre de démarrage. La directive</w:t>
      </w:r>
      <w:r>
        <w:t xml:space="preserve"> </w:t>
      </w:r>
      <w:r>
        <w:rPr>
          <w:rStyle w:val="VerbatimChar"/>
        </w:rPr>
        <w:t xml:space="preserve">After=</w:t>
      </w:r>
      <w:r>
        <w:t xml:space="preserve"> </w:t>
      </w:r>
      <w:r>
        <w:t xml:space="preserve">garantit que ce service attend que ses dépendances soient prêtes avant de tenter de démarrer.</w:t>
      </w:r>
    </w:p>
    <w:p>
      <w:pPr>
        <w:pStyle w:val="BodyText"/>
      </w:pPr>
      <w:r>
        <w:t xml:space="preserve">📝 Exercice 16.2</w:t>
      </w:r>
    </w:p>
    <w:p>
      <w:pPr>
        <w:pStyle w:val="BodyText"/>
      </w:pPr>
      <w:r>
        <w:t xml:space="preserve">Rédige, en 3 à 5 phrases, pourquoi centraliser les journaux via</w:t>
      </w:r>
      <w:r>
        <w:t xml:space="preserve"> </w:t>
      </w:r>
      <w:r>
        <w:rPr>
          <w:rStyle w:val="VerbatimChar"/>
        </w:rPr>
        <w:t xml:space="preserve">journalctl</w:t>
      </w:r>
      <w:r>
        <w:t xml:space="preserve"> </w:t>
      </w:r>
      <w:r>
        <w:t xml:space="preserve">plutôt que de chercher des fichiers de log épars facilite le diagnostic d’un incident impliquant plusieurs services (comme un problème de connexion entre le worker Python et PostgreSQL).</w:t>
      </w:r>
    </w:p>
    <w:p>
      <w:pPr>
        <w:pStyle w:val="BodyText"/>
      </w:pPr>
      <w:r>
        <w:rPr>
          <w:b/>
          <w:bCs/>
        </w:rPr>
        <w:t xml:space="preserve">Corrigé (exemple de réponse) :</w:t>
      </w:r>
      <w:r>
        <w:t xml:space="preserve"> </w:t>
      </w:r>
      <w:r>
        <w:t xml:space="preserve">Avec</w:t>
      </w:r>
      <w:r>
        <w:t xml:space="preserve"> </w:t>
      </w:r>
      <w:r>
        <w:rPr>
          <w:rStyle w:val="VerbatimChar"/>
        </w:rPr>
        <w:t xml:space="preserve">journalctl</w:t>
      </w:r>
      <w:r>
        <w:t xml:space="preserve">, il est possible de filtrer et de comparer les journaux de plusieurs services (le worker et PostgreSQL) sur la même période exacte, sans devoir localiser et ouvrir manuellement plusieurs fichiers de log dans des emplacements et des formats potentiellement différents. Cela permet de corréler rapidement les événements — par exemple, voir si une erreur de connexion côté worker correspond exactement à un redémarrage ou une erreur côté PostgreSQL au même instant — un gain de temps direct sur le MTTR évoqué au chapitre 2, particulièrement précieux lors d’un incident impliquant l’interaction entre plusieurs services.</w:t>
      </w:r>
    </w:p>
    <w:bookmarkEnd w:id="410"/>
    <w:bookmarkStart w:id="411" w:name="checklist-de-fin-de-chapitre-15"/>
    <w:p>
      <w:pPr>
        <w:pStyle w:val="Heading2"/>
      </w:pPr>
      <w:r>
        <w:t xml:space="preserve">Checklist de fin de chapitre</w:t>
      </w:r>
    </w:p>
    <w:p>
      <w:pPr>
        <w:pStyle w:val="FirstParagraph"/>
      </w:pPr>
      <w:r>
        <w:t xml:space="preserve">☐ Je comprends le rôle de systemd comme système d’initialisation et de supervision de services.</w:t>
      </w:r>
    </w:p>
    <w:p>
      <w:pPr>
        <w:pStyle w:val="BodyText"/>
      </w:pPr>
      <w:r>
        <w:t xml:space="preserve">☐ Je sais utiliser</w:t>
      </w:r>
      <w:r>
        <w:t xml:space="preserve"> </w:t>
      </w:r>
      <w:r>
        <w:rPr>
          <w:rStyle w:val="VerbatimChar"/>
        </w:rPr>
        <w:t xml:space="preserve">systemctl start</w:t>
      </w:r>
      <w:r>
        <w:t xml:space="preserve">,</w:t>
      </w:r>
      <w:r>
        <w:t xml:space="preserve"> </w:t>
      </w:r>
      <w:r>
        <w:rPr>
          <w:rStyle w:val="VerbatimChar"/>
        </w:rPr>
        <w:t xml:space="preserve">stop</w:t>
      </w:r>
      <w:r>
        <w:t xml:space="preserve">,</w:t>
      </w:r>
      <w:r>
        <w:t xml:space="preserve"> </w:t>
      </w:r>
      <w:r>
        <w:rPr>
          <w:rStyle w:val="VerbatimChar"/>
        </w:rPr>
        <w:t xml:space="preserve">restart</w:t>
      </w:r>
      <w:r>
        <w:t xml:space="preserve">,</w:t>
      </w:r>
      <w:r>
        <w:t xml:space="preserve"> </w:t>
      </w:r>
      <w:r>
        <w:rPr>
          <w:rStyle w:val="VerbatimChar"/>
        </w:rPr>
        <w:t xml:space="preserve">reload</w:t>
      </w:r>
      <w:r>
        <w:t xml:space="preserve">,</w:t>
      </w:r>
      <w:r>
        <w:t xml:space="preserve"> </w:t>
      </w:r>
      <w:r>
        <w:rPr>
          <w:rStyle w:val="VerbatimChar"/>
        </w:rPr>
        <w:t xml:space="preserve">enable</w:t>
      </w:r>
      <w:r>
        <w:t xml:space="preserve">,</w:t>
      </w:r>
      <w:r>
        <w:t xml:space="preserve"> </w:t>
      </w:r>
      <w:r>
        <w:rPr>
          <w:rStyle w:val="VerbatimChar"/>
        </w:rPr>
        <w:t xml:space="preserve">disable</w:t>
      </w:r>
      <w:r>
        <w:t xml:space="preserve">.</w:t>
      </w:r>
    </w:p>
    <w:p>
      <w:pPr>
        <w:pStyle w:val="BodyText"/>
      </w:pPr>
      <w:r>
        <w:t xml:space="preserve">☐ Je comprends la différence critique entre</w:t>
      </w:r>
      <w:r>
        <w:t xml:space="preserve"> </w:t>
      </w:r>
      <w:r>
        <w:rPr>
          <w:rStyle w:val="VerbatimChar"/>
        </w:rPr>
        <w:t xml:space="preserve">start</w:t>
      </w:r>
      <w:r>
        <w:t xml:space="preserve"> </w:t>
      </w:r>
      <w:r>
        <w:t xml:space="preserve">et</w:t>
      </w:r>
      <w:r>
        <w:t xml:space="preserve"> </w:t>
      </w:r>
      <w:r>
        <w:rPr>
          <w:rStyle w:val="VerbatimChar"/>
        </w:rPr>
        <w:t xml:space="preserve">enable</w:t>
      </w:r>
      <w:r>
        <w:t xml:space="preserve">.</w:t>
      </w:r>
    </w:p>
    <w:p>
      <w:pPr>
        <w:pStyle w:val="BodyText"/>
      </w:pPr>
      <w:r>
        <w:t xml:space="preserve">☐ Je sais créer une unité systemd simple pour un service maison, avec</w:t>
      </w:r>
      <w:r>
        <w:t xml:space="preserve"> </w:t>
      </w:r>
      <w:r>
        <w:rPr>
          <w:rStyle w:val="VerbatimChar"/>
        </w:rPr>
        <w:t xml:space="preserve">After=</w:t>
      </w:r>
      <w:r>
        <w:t xml:space="preserve">,</w:t>
      </w:r>
      <w:r>
        <w:t xml:space="preserve"> </w:t>
      </w:r>
      <w:r>
        <w:rPr>
          <w:rStyle w:val="VerbatimChar"/>
        </w:rPr>
        <w:t xml:space="preserve">Restart=</w:t>
      </w:r>
      <w:r>
        <w:t xml:space="preserve"> </w:t>
      </w:r>
      <w:r>
        <w:t xml:space="preserve">et</w:t>
      </w:r>
      <w:r>
        <w:t xml:space="preserve"> </w:t>
      </w:r>
      <w:r>
        <w:rPr>
          <w:rStyle w:val="VerbatimChar"/>
        </w:rPr>
        <w:t xml:space="preserve">User=</w:t>
      </w:r>
      <w:r>
        <w:t xml:space="preserve">.</w:t>
      </w:r>
    </w:p>
    <w:p>
      <w:pPr>
        <w:pStyle w:val="BodyText"/>
      </w:pPr>
      <w:r>
        <w:t xml:space="preserve">☐ Je sais consulter les journaux d’un service avec</w:t>
      </w:r>
      <w:r>
        <w:t xml:space="preserve"> </w:t>
      </w:r>
      <w:r>
        <w:rPr>
          <w:rStyle w:val="VerbatimChar"/>
        </w:rPr>
        <w:t xml:space="preserve">journalctl -u</w:t>
      </w:r>
      <w:r>
        <w:t xml:space="preserve">.</w:t>
      </w:r>
    </w:p>
    <w:p>
      <w:pPr>
        <w:pStyle w:val="BodyText"/>
      </w:pPr>
      <w:r>
        <w:t xml:space="preserve">☐ Je sais pourquoi</w:t>
      </w:r>
      <w:r>
        <w:t xml:space="preserve"> </w:t>
      </w:r>
      <w:r>
        <w:rPr>
          <w:rStyle w:val="VerbatimChar"/>
        </w:rPr>
        <w:t xml:space="preserve">daemon-reload</w:t>
      </w:r>
      <w:r>
        <w:t xml:space="preserve"> </w:t>
      </w:r>
      <w:r>
        <w:t xml:space="preserve">est nécessaire après modification d’une unité.</w:t>
      </w:r>
    </w:p>
    <w:bookmarkEnd w:id="411"/>
    <w:bookmarkStart w:id="412" w:name="faq-15"/>
    <w:p>
      <w:pPr>
        <w:pStyle w:val="Heading2"/>
      </w:pPr>
      <w:r>
        <w:t xml:space="preserve">FAQ</w:t>
      </w:r>
    </w:p>
    <w:p>
      <w:pPr>
        <w:pStyle w:val="FirstParagraph"/>
      </w:pPr>
      <w:r>
        <w:t xml:space="preserve">Tous les services installés via</w:t>
      </w:r>
      <w:r>
        <w:t xml:space="preserve"> </w:t>
      </w:r>
      <w:r>
        <w:rPr>
          <w:rStyle w:val="VerbatimChar"/>
        </w:rPr>
        <w:t xml:space="preserve">apt</w:t>
      </w:r>
      <w:r>
        <w:t xml:space="preserve"> </w:t>
      </w:r>
      <w:r>
        <w:t xml:space="preserve">ou</w:t>
      </w:r>
      <w:r>
        <w:t xml:space="preserve"> </w:t>
      </w:r>
      <w:r>
        <w:rPr>
          <w:rStyle w:val="VerbatimChar"/>
        </w:rPr>
        <w:t xml:space="preserve">dnf</w:t>
      </w:r>
      <w:r>
        <w:t xml:space="preserve"> </w:t>
      </w:r>
      <w:r>
        <w:t xml:space="preserve">sont-ils automatiquement activés au démarrage ?</w:t>
      </w:r>
    </w:p>
    <w:p>
      <w:pPr>
        <w:pStyle w:val="BodyText"/>
      </w:pPr>
      <w:r>
        <w:t xml:space="preserve">Généralement oui pour les services destinés à tourner en permanence (comme PostgreSQL ou Nginx), mais ce n’est pas une garantie universelle absolue — une vérification explicite avec</w:t>
      </w:r>
      <w:r>
        <w:t xml:space="preserve"> </w:t>
      </w:r>
      <w:r>
        <w:rPr>
          <w:rStyle w:val="VerbatimChar"/>
        </w:rPr>
        <w:t xml:space="preserve">systemctl is-enabled</w:t>
      </w:r>
      <w:r>
        <w:t xml:space="preserve"> </w:t>
      </w:r>
      <w:r>
        <w:t xml:space="preserve">reste la seule façon de le confirmer avec certitude, plutôt que de le supposer.</w:t>
      </w:r>
    </w:p>
    <w:p>
      <w:pPr>
        <w:pStyle w:val="BodyText"/>
      </w:pPr>
      <w:r>
        <w:t xml:space="preserve">Que se passe-t-il si deux unités ont une dépendance circulaire entre elles ?</w:t>
      </w:r>
    </w:p>
    <w:p>
      <w:pPr>
        <w:pStyle w:val="BodyText"/>
      </w:pPr>
      <w:r>
        <w:t xml:space="preserve">systemd détecte généralement ce type de configuration incohérente et refuse de démarrer les unités concernées avec une erreur explicite plutôt qu’un blocage silencieux — un signe qu’il faut revoir la logique de dépendances (</w:t>
      </w:r>
      <w:r>
        <w:rPr>
          <w:rStyle w:val="VerbatimChar"/>
        </w:rPr>
        <w:t xml:space="preserve">After=</w:t>
      </w:r>
      <w:r>
        <w:t xml:space="preserve">/</w:t>
      </w:r>
      <w:r>
        <w:rPr>
          <w:rStyle w:val="VerbatimChar"/>
        </w:rPr>
        <w:t xml:space="preserve">Requires=</w:t>
      </w:r>
      <w:r>
        <w:t xml:space="preserve">) de l’une des deux unités.</w:t>
      </w:r>
    </w:p>
    <w:p>
      <w:pPr>
        <w:pStyle w:val="BodyText"/>
      </w:pPr>
      <w:r>
        <w:rPr>
          <w:rStyle w:val="VerbatimChar"/>
        </w:rPr>
        <w:t xml:space="preserve">reload</w:t>
      </w:r>
      <w:r>
        <w:t xml:space="preserve"> </w:t>
      </w:r>
      <w:r>
        <w:t xml:space="preserve">est-il toujours préférable à</w:t>
      </w:r>
      <w:r>
        <w:t xml:space="preserve"> </w:t>
      </w:r>
      <w:r>
        <w:rPr>
          <w:rStyle w:val="VerbatimChar"/>
        </w:rPr>
        <w:t xml:space="preserve">restart</w:t>
      </w:r>
      <w:r>
        <w:t xml:space="preserve"> </w:t>
      </w:r>
      <w:r>
        <w:t xml:space="preserve">pour appliquer un changement de configuration ?</w:t>
      </w:r>
    </w:p>
    <w:p>
      <w:pPr>
        <w:pStyle w:val="BodyText"/>
      </w:pPr>
      <w:r>
        <w:t xml:space="preserve">Non, cela dépend du service :</w:t>
      </w:r>
      <w:r>
        <w:t xml:space="preserve"> </w:t>
      </w:r>
      <w:r>
        <w:rPr>
          <w:rStyle w:val="VerbatimChar"/>
        </w:rPr>
        <w:t xml:space="preserve">reload</w:t>
      </w:r>
      <w:r>
        <w:t xml:space="preserve"> </w:t>
      </w:r>
      <w:r>
        <w:t xml:space="preserve">évite une coupure de service (utile pour Nginx, qui recharge sa configuration sans interrompre les connexions actives), mais tous les services ne supportent pas cette fonctionnalité — dans ce cas,</w:t>
      </w:r>
      <w:r>
        <w:t xml:space="preserve"> </w:t>
      </w:r>
      <w:r>
        <w:rPr>
          <w:rStyle w:val="VerbatimChar"/>
        </w:rPr>
        <w:t xml:space="preserve">restart</w:t>
      </w:r>
      <w:r>
        <w:t xml:space="preserve"> </w:t>
      </w:r>
      <w:r>
        <w:t xml:space="preserve">reste nécessaire, avec une brève interruption à anticiper dans une fenêtre de maintenance si le service est critique (chapitre 2).</w:t>
      </w:r>
    </w:p>
    <w:p>
      <w:pPr>
        <w:pStyle w:val="BodyText"/>
      </w:pPr>
      <w:r>
        <w:t xml:space="preserve">Peut-on limiter les ressources (CPU, mémoire) qu’un service systemd peut consommer ?</w:t>
      </w:r>
    </w:p>
    <w:p>
      <w:pPr>
        <w:pStyle w:val="BodyText"/>
      </w:pPr>
      <w:r>
        <w:t xml:space="preserve">Oui, via des directives comme</w:t>
      </w:r>
      <w:r>
        <w:t xml:space="preserve"> </w:t>
      </w:r>
      <w:r>
        <w:rPr>
          <w:rStyle w:val="VerbatimChar"/>
        </w:rPr>
        <w:t xml:space="preserve">MemoryMax=</w:t>
      </w:r>
      <w:r>
        <w:t xml:space="preserve"> </w:t>
      </w:r>
      <w:r>
        <w:t xml:space="preserve">ou</w:t>
      </w:r>
      <w:r>
        <w:t xml:space="preserve"> </w:t>
      </w:r>
      <w:r>
        <w:rPr>
          <w:rStyle w:val="VerbatimChar"/>
        </w:rPr>
        <w:t xml:space="preserve">CPUQuota=</w:t>
      </w:r>
      <w:r>
        <w:t xml:space="preserve"> </w:t>
      </w:r>
      <w:r>
        <w:t xml:space="preserve">dans la section</w:t>
      </w:r>
      <w:r>
        <w:t xml:space="preserve"> </w:t>
      </w:r>
      <w:r>
        <w:rPr>
          <w:rStyle w:val="VerbatimChar"/>
        </w:rPr>
        <w:t xml:space="preserve">[Service]</w:t>
      </w:r>
      <w:r>
        <w:t xml:space="preserve"> </w:t>
      </w:r>
      <w:r>
        <w:t xml:space="preserve">d’une unité — un sujet utile pour éviter qu’un service défaillant ne monopolise toutes les ressources du serveur, approfondi dans le contexte plus large de la supervision (Partie 10).</w:t>
      </w:r>
    </w:p>
    <w:bookmarkEnd w:id="412"/>
    <w:bookmarkStart w:id="416" w:name="références-et-pour-aller-plus-loin-15"/>
    <w:p>
      <w:pPr>
        <w:pStyle w:val="Heading2"/>
      </w:pPr>
      <w:r>
        <w:t xml:space="preserve">Références et pour aller plus loin</w:t>
      </w:r>
    </w:p>
    <w:p>
      <w:pPr>
        <w:pStyle w:val="Compact"/>
        <w:numPr>
          <w:ilvl w:val="0"/>
          <w:numId w:val="1390"/>
        </w:numPr>
      </w:pPr>
      <w:r>
        <w:t xml:space="preserve">Documentation officielle systemd (freedesktop.org) :</w:t>
      </w:r>
      <w:r>
        <w:t xml:space="preserve"> </w:t>
      </w:r>
      <w:hyperlink r:id="rId413">
        <w:r>
          <w:rPr>
            <w:rStyle w:val="Hyperlink"/>
          </w:rPr>
          <w:t xml:space="preserve">https://www.freedesktop.org/software/systemd/man/systemd.html</w:t>
        </w:r>
      </w:hyperlink>
    </w:p>
    <w:p>
      <w:pPr>
        <w:pStyle w:val="Compact"/>
        <w:numPr>
          <w:ilvl w:val="0"/>
          <w:numId w:val="1390"/>
        </w:numPr>
      </w:pPr>
      <w:r>
        <w:t xml:space="preserve">Red Hat — Gestion des services système avec systemctl :</w:t>
      </w:r>
      <w:r>
        <w:t xml:space="preserve"> </w:t>
      </w:r>
      <w:hyperlink r:id="rId414">
        <w:r>
          <w:rPr>
            <w:rStyle w:val="Hyperlink"/>
          </w:rPr>
          <w:t xml:space="preserve">https://access.redhat.com/documentation/fr-fr/red_hat_enterprise_linux/9/html/configuring_basic_system_settings/managing-systemd_configuring-basic-system-settings</w:t>
        </w:r>
      </w:hyperlink>
    </w:p>
    <w:p>
      <w:pPr>
        <w:pStyle w:val="Compact"/>
        <w:numPr>
          <w:ilvl w:val="0"/>
          <w:numId w:val="1390"/>
        </w:numPr>
      </w:pPr>
      <w:r>
        <w:t xml:space="preserve">Documentation officielle journalctl :</w:t>
      </w:r>
      <w:r>
        <w:t xml:space="preserve"> </w:t>
      </w:r>
      <w:hyperlink r:id="rId415">
        <w:r>
          <w:rPr>
            <w:rStyle w:val="Hyperlink"/>
          </w:rPr>
          <w:t xml:space="preserve">https://www.freedesktop.org/software/systemd/man/journalctl.html</w:t>
        </w:r>
      </w:hyperlink>
    </w:p>
    <w:p>
      <w:pPr>
        <w:pStyle w:val="FirstParagraph"/>
      </w:pPr>
      <w:r>
        <w:rPr>
          <w:i/>
          <w:iCs/>
        </w:rPr>
        <w:t xml:space="preserve">Chapitre suivant : le stockage Linux — partitionnement, LVM et RAID logiciel, pour comprendre comment les données sont réellement organisées sur les disques d’un serveur Linux.</w:t>
      </w:r>
    </w:p>
    <w:p>
      <w:pPr>
        <w:pStyle w:val="BodyText"/>
      </w:pPr>
      <w:r>
        <w:t xml:space="preserve">CHAPITRE 17</w:t>
      </w:r>
    </w:p>
    <w:bookmarkEnd w:id="416"/>
    <w:bookmarkEnd w:id="417"/>
    <w:bookmarkStart w:id="443" w:name="Xa16a6f8fa9b341843706e96769de0a47867c0b6"/>
    <w:p>
      <w:pPr>
        <w:pStyle w:val="Heading1"/>
      </w:pPr>
      <w:r>
        <w:t xml:space="preserve">Stockage Linux : partitionnement, LVM et RAID logiciel</w:t>
      </w:r>
    </w:p>
    <w:p>
      <w:pPr>
        <w:pStyle w:val="FirstParagraph"/>
      </w:pPr>
      <w:r>
        <w:t xml:space="preserve">🎯 Objectif du chapitre</w:t>
      </w:r>
      <w:r>
        <w:t xml:space="preserve"> </w:t>
      </w:r>
      <w:r>
        <w:t xml:space="preserve">Comprendre comment l’espace disque est organisé sur un serveur Linux, au-delà du simple partitionnement traditionnel : les volumes logiques (LVM), qui permettent d’étendre l’espace disque sans interruption de service, et le RAID logiciel, qui protège contre la panne d’un disque physique. À la fin de ce chapitre, tu sauras étendre un volume LVM à chaud, expliquer les niveaux de RAID courants, et comprendre pourquoi LVM aurait pu éviter une situation critique vécue par beaucoup d’administrateurs débutants.</w:t>
      </w:r>
    </w:p>
    <w:p>
      <w:pPr>
        <w:pStyle w:val="BodyText"/>
      </w:pPr>
      <w:r>
        <w:t xml:space="preserve">🎬 Mise en situation</w:t>
      </w:r>
      <w:r>
        <w:t xml:space="preserve"> </w:t>
      </w:r>
      <w:r>
        <w:t xml:space="preserve">Le portail client connaît un succès croissant : de plus en plus de documents (photos de sinistres, pièces justificatives) sont téléversés par les clients. Un vendredi après-midi, une alerte que tu as configurée (Partie 10, anticipée dès maintenant par bon réflexe) signale que la partition de stockage du serveur applicatif atteint 90% de sa capacité. Le serveur a été installé avec un partitionnement classique, sans LVM : la partition concernée fait exactement la taille qui lui a été allouée à l’installation, gravée dans le marbre. Étendre cet espace signifierait, en partitionnement traditionnel, une réinstallation complète ou une manipulation risquée de la table de partitions en production. Ce chapitre explique comment LVM, s’il avait été utilisé dès le départ, aurait transformé ce vendredi après-midi stressant en une opération de quelques minutes, sans interruption de service.</w:t>
      </w:r>
    </w:p>
    <w:bookmarkStart w:id="418" w:name="X0b19ee0e6c75e268d1e2ca24830e425e0ad2360"/>
    <w:p>
      <w:pPr>
        <w:pStyle w:val="Heading2"/>
      </w:pPr>
      <w:r>
        <w:t xml:space="preserve">17.1 Le partitionnement traditionnel : simple, mais rigide</w:t>
      </w:r>
    </w:p>
    <w:p>
      <w:pPr>
        <w:pStyle w:val="FirstParagraph"/>
      </w:pPr>
      <w:r>
        <w:t xml:space="preserve">Le partitionnement traditionnel divise un disque physique en zones fixes (partitions), chacune avec une taille déterminée à la création. C’est simple à comprendre, mais rigide : agrandir une partition existante, une fois d’autres partitions créées après elle sur le même disque, est une opération délicate, parfois impossible sans réinstallation.</w:t>
      </w:r>
    </w:p>
    <w:p>
      <w:pPr>
        <w:pStyle w:val="BodyText"/>
      </w:pPr>
      <w:r>
        <w:t xml:space="preserve">💡 Analogie — des pièces aux murs porteurs fixes</w:t>
      </w:r>
      <w:r>
        <w:t xml:space="preserve"> </w:t>
      </w:r>
      <w:r>
        <w:t xml:space="preserve">Un partitionnement traditionnel ressemble à un appartement dont tous les murs sont porteurs : agrandir une pièce signifie casser un mur porteur, une opération risquée qui peut fragiliser toute la structure. LVM, à l’inverse, fonctionne comme un appartement à cloisons amovibles : agrandir une pièce (un volume logique) en réduisant une autre, ou en ajoutant de l’espace disponible, devient une opération simple et sûre, réalisable sans</w:t>
      </w:r>
      <w:r>
        <w:t xml:space="preserve"> </w:t>
      </w:r>
      <w:r>
        <w:t xml:space="preserve">“casser”</w:t>
      </w:r>
      <w:r>
        <w:t xml:space="preserve"> </w:t>
      </w:r>
      <w:r>
        <w:t xml:space="preserve">quoi que ce soit.</w:t>
      </w:r>
    </w:p>
    <w:bookmarkEnd w:id="418"/>
    <w:bookmarkStart w:id="422" w:name="lvm-la-flexibilité-du-stockage"/>
    <w:p>
      <w:pPr>
        <w:pStyle w:val="Heading2"/>
      </w:pPr>
      <w:r>
        <w:t xml:space="preserve">17.2 LVM : la flexibilité du stockage</w:t>
      </w:r>
    </w:p>
    <w:p>
      <w:pPr>
        <w:pStyle w:val="FirstParagraph"/>
      </w:pPr>
      <w:r>
        <w:rPr>
          <w:b/>
          <w:bCs/>
        </w:rPr>
        <w:t xml:space="preserve">LVM</w:t>
      </w:r>
      <w:r>
        <w:t xml:space="preserve"> </w:t>
      </w:r>
      <w:r>
        <w:t xml:space="preserve">(</w:t>
      </w:r>
      <w:r>
        <w:rPr>
          <w:i/>
          <w:iCs/>
        </w:rPr>
        <w:t xml:space="preserve">Logical Volume Manager</w:t>
      </w:r>
      <w:r>
        <w:t xml:space="preserve">) ajoute une couche d’abstraction entre les disques physiques et les systèmes de fichiers, à travers trois niveaux :</w:t>
      </w:r>
    </w:p>
    <w:p>
      <w:pPr>
        <w:pStyle w:val="CaptionedFigure"/>
      </w:pPr>
      <w:r>
        <w:drawing>
          <wp:inline>
            <wp:extent cx="5334000" cy="7731693"/>
            <wp:effectExtent b="0" l="0" r="0" t="0"/>
            <wp:docPr descr="Diagramme" title="" id="420" name="Picture"/>
            <a:graphic>
              <a:graphicData uri="http://schemas.openxmlformats.org/drawingml/2006/picture">
                <pic:pic>
                  <pic:nvPicPr>
                    <pic:cNvPr descr="C:/Users/ingja/Desktop/jarvis-starter-kit/livrables/formations/manuel-administration-systeme/assets/diagrams/d-17-stockage-linux-lvm-raid-diagramme-1.png" id="421" name="Picture"/>
                    <pic:cNvPicPr>
                      <a:picLocks noChangeArrowheads="1" noChangeAspect="1"/>
                    </pic:cNvPicPr>
                  </pic:nvPicPr>
                  <pic:blipFill>
                    <a:blip r:embed="rId419"/>
                    <a:stretch>
                      <a:fillRect/>
                    </a:stretch>
                  </pic:blipFill>
                  <pic:spPr bwMode="auto">
                    <a:xfrm>
                      <a:off x="0" y="0"/>
                      <a:ext cx="5334000" cy="7731693"/>
                    </a:xfrm>
                    <a:prstGeom prst="rect">
                      <a:avLst/>
                    </a:prstGeom>
                    <a:noFill/>
                    <a:ln w="9525">
                      <a:noFill/>
                      <a:headEnd/>
                      <a:tailEnd/>
                    </a:ln>
                  </pic:spPr>
                </pic:pic>
              </a:graphicData>
            </a:graphic>
          </wp:inline>
        </w:drawing>
      </w:r>
    </w:p>
    <w:p>
      <w:pPr>
        <w:pStyle w:val="ImageCaption"/>
      </w:pPr>
      <w:r>
        <w:t xml:space="preserve">Diagramme</w:t>
      </w:r>
    </w:p>
    <w:p>
      <w:pPr>
        <w:pStyle w:val="BodyText"/>
      </w:pPr>
      <w:r>
        <w:t xml:space="preserve">📌 À retenir — la hiérarchie LVM</w:t>
      </w:r>
      <w:r>
        <w:t xml:space="preserve"> </w:t>
      </w:r>
      <w:r>
        <w:t xml:space="preserve">Un ou plusieurs disques physiques deviennent des</w:t>
      </w:r>
      <w:r>
        <w:t xml:space="preserve"> </w:t>
      </w:r>
      <w:r>
        <w:t xml:space="preserve">volumes physiques</w:t>
      </w:r>
      <w:r>
        <w:t xml:space="preserve"> </w:t>
      </w:r>
      <w:r>
        <w:t xml:space="preserve">(PV), regroupés dans un</w:t>
      </w:r>
      <w:r>
        <w:t xml:space="preserve"> </w:t>
      </w:r>
      <w:r>
        <w:t xml:space="preserve">groupe de volumes</w:t>
      </w:r>
      <w:r>
        <w:t xml:space="preserve"> </w:t>
      </w:r>
      <w:r>
        <w:t xml:space="preserve">(VG) qui agit comme un réservoir d’espace commun, lui-même découpé en</w:t>
      </w:r>
      <w:r>
        <w:t xml:space="preserve"> </w:t>
      </w:r>
      <w:r>
        <w:t xml:space="preserve">volumes logiques</w:t>
      </w:r>
      <w:r>
        <w:t xml:space="preserve"> </w:t>
      </w:r>
      <w:r>
        <w:t xml:space="preserve">(LV) — c’est sur ces LV, et non directement sur les disques, que les systèmes de fichiers sont créés et montés. Cette indirection est précisément ce qui permet d’étendre un LV à chaud, en piochant dans l’espace disponible du VG, sans jamais toucher à la structure physique des disques eux-mêmes.</w:t>
      </w:r>
    </w:p>
    <w:p>
      <w:pPr>
        <w:pStyle w:val="SourceCode"/>
      </w:pPr>
      <w:r>
        <w:rPr>
          <w:rStyle w:val="VerbatimChar"/>
        </w:rPr>
        <w:t xml:space="preserve"># Creer un volume physique a partir d'un disque brut (ou d'une partition)</w:t>
      </w:r>
      <w:r>
        <w:br/>
      </w:r>
      <w:r>
        <w:rPr>
          <w:rStyle w:val="VerbatimChar"/>
        </w:rPr>
        <w:t xml:space="preserve">sudo pvcreate /dev/sdb</w:t>
      </w:r>
      <w:r>
        <w:br/>
      </w:r>
      <w:r>
        <w:br/>
      </w:r>
      <w:r>
        <w:rPr>
          <w:rStyle w:val="VerbatimChar"/>
        </w:rPr>
        <w:t xml:space="preserve"># Creer un groupe de volumes regroupant ce volume physique</w:t>
      </w:r>
      <w:r>
        <w:br/>
      </w:r>
      <w:r>
        <w:rPr>
          <w:rStyle w:val="VerbatimChar"/>
        </w:rPr>
        <w:t xml:space="preserve">sudo vgcreate vg_data /dev/sdb</w:t>
      </w:r>
      <w:r>
        <w:br/>
      </w:r>
      <w:r>
        <w:br/>
      </w:r>
      <w:r>
        <w:rPr>
          <w:rStyle w:val="VerbatimChar"/>
        </w:rPr>
        <w:t xml:space="preserve"># Creer un volume logique de 50 Go dans ce groupe</w:t>
      </w:r>
      <w:r>
        <w:br/>
      </w:r>
      <w:r>
        <w:rPr>
          <w:rStyle w:val="VerbatimChar"/>
        </w:rPr>
        <w:t xml:space="preserve">sudo lvcreate -L 50G -n lv_documents vg_data</w:t>
      </w:r>
      <w:r>
        <w:br/>
      </w:r>
      <w:r>
        <w:br/>
      </w:r>
      <w:r>
        <w:rPr>
          <w:rStyle w:val="VerbatimChar"/>
        </w:rPr>
        <w:t xml:space="preserve"># Formater ce volume logique avec un systeme de fichiers</w:t>
      </w:r>
      <w:r>
        <w:br/>
      </w:r>
      <w:r>
        <w:rPr>
          <w:rStyle w:val="VerbatimChar"/>
        </w:rPr>
        <w:t xml:space="preserve">sudo mkfs.ext4 /dev/vg_data/lv_documents</w:t>
      </w:r>
      <w:r>
        <w:br/>
      </w:r>
      <w:r>
        <w:br/>
      </w:r>
      <w:r>
        <w:rPr>
          <w:rStyle w:val="VerbatimChar"/>
        </w:rPr>
        <w:t xml:space="preserve"># Monter le volume logique a un emplacement du systeme de fichiers</w:t>
      </w:r>
      <w:r>
        <w:br/>
      </w:r>
      <w:r>
        <w:rPr>
          <w:rStyle w:val="VerbatimChar"/>
        </w:rPr>
        <w:t xml:space="preserve">sudo mount /dev/vg_data/lv_documents /var/portail/documents</w:t>
      </w:r>
    </w:p>
    <w:bookmarkEnd w:id="422"/>
    <w:bookmarkStart w:id="423" w:name="X3cd378b0500f7db22c5cd03e46a390a2951d116"/>
    <w:p>
      <w:pPr>
        <w:pStyle w:val="Heading2"/>
      </w:pPr>
      <w:r>
        <w:t xml:space="preserve">17.3 Résoudre le scénario d’ouverture : étendre un volume LVM à chaud</w:t>
      </w:r>
    </w:p>
    <w:p>
      <w:pPr>
        <w:pStyle w:val="FirstParagraph"/>
      </w:pPr>
      <w:r>
        <w:t xml:space="preserve">Si le serveur du scénario d’ouverture avait été configuré avec LVM dès l’installation, voici comment l’espace aurait pu être étendu sans interruption :</w:t>
      </w:r>
    </w:p>
    <w:p>
      <w:pPr>
        <w:pStyle w:val="SourceCode"/>
      </w:pPr>
      <w:r>
        <w:rPr>
          <w:rStyle w:val="VerbatimChar"/>
        </w:rPr>
        <w:t xml:space="preserve"># Ajouter un nouveau disque physique au groupe de volumes existant</w:t>
      </w:r>
      <w:r>
        <w:br/>
      </w:r>
      <w:r>
        <w:rPr>
          <w:rStyle w:val="VerbatimChar"/>
        </w:rPr>
        <w:t xml:space="preserve"># (suppose qu'un nouveau disque a ete ajoute au serveur, physiquement</w:t>
      </w:r>
      <w:r>
        <w:br/>
      </w:r>
      <w:r>
        <w:rPr>
          <w:rStyle w:val="VerbatimChar"/>
        </w:rPr>
        <w:t xml:space="preserve"># ou via une extension de disque virtuel)</w:t>
      </w:r>
      <w:r>
        <w:br/>
      </w:r>
      <w:r>
        <w:rPr>
          <w:rStyle w:val="VerbatimChar"/>
        </w:rPr>
        <w:t xml:space="preserve">sudo pvcreate /dev/sdc</w:t>
      </w:r>
      <w:r>
        <w:br/>
      </w:r>
      <w:r>
        <w:rPr>
          <w:rStyle w:val="VerbatimChar"/>
        </w:rPr>
        <w:t xml:space="preserve">sudo vgextend vg_data /dev/sdc</w:t>
      </w:r>
      <w:r>
        <w:br/>
      </w:r>
      <w:r>
        <w:br/>
      </w:r>
      <w:r>
        <w:rPr>
          <w:rStyle w:val="VerbatimChar"/>
        </w:rPr>
        <w:t xml:space="preserve"># Etendre le volume logique de 20 Go supplementaires, en piochant</w:t>
      </w:r>
      <w:r>
        <w:br/>
      </w:r>
      <w:r>
        <w:rPr>
          <w:rStyle w:val="VerbatimChar"/>
        </w:rPr>
        <w:t xml:space="preserve"># dans l'espace nouvellement disponible du groupe de volumes</w:t>
      </w:r>
      <w:r>
        <w:br/>
      </w:r>
      <w:r>
        <w:rPr>
          <w:rStyle w:val="VerbatimChar"/>
        </w:rPr>
        <w:t xml:space="preserve">sudo lvextend -L +20G /dev/vg_data/lv_documents</w:t>
      </w:r>
      <w:r>
        <w:br/>
      </w:r>
      <w:r>
        <w:br/>
      </w:r>
      <w:r>
        <w:rPr>
          <w:rStyle w:val="VerbatimChar"/>
        </w:rPr>
        <w:t xml:space="preserve"># Etendre le systeme de fichiers lui-meme pour utiliser le nouvel</w:t>
      </w:r>
      <w:r>
        <w:br/>
      </w:r>
      <w:r>
        <w:rPr>
          <w:rStyle w:val="VerbatimChar"/>
        </w:rPr>
        <w:t xml:space="preserve"># espace du volume logique (etape distincte et INDISPENSABLE :</w:t>
      </w:r>
      <w:r>
        <w:br/>
      </w:r>
      <w:r>
        <w:rPr>
          <w:rStyle w:val="VerbatimChar"/>
        </w:rPr>
        <w:t xml:space="preserve"># etendre le LV seul n'agrandit pas automatiquement le systeme</w:t>
      </w:r>
      <w:r>
        <w:br/>
      </w:r>
      <w:r>
        <w:rPr>
          <w:rStyle w:val="VerbatimChar"/>
        </w:rPr>
        <w:t xml:space="preserve"># de fichiers qu'il contient)</w:t>
      </w:r>
      <w:r>
        <w:br/>
      </w:r>
      <w:r>
        <w:rPr>
          <w:rStyle w:val="VerbatimChar"/>
        </w:rPr>
        <w:t xml:space="preserve">sudo resize2fs /dev/vg_data/lv_documents</w:t>
      </w:r>
    </w:p>
    <w:p>
      <w:pPr>
        <w:pStyle w:val="FirstParagraph"/>
      </w:pPr>
      <w:r>
        <w:t xml:space="preserve">⚠️ Étendre le volume logique ne suffit pas : il faut aussi étendre le système de fichiers</w:t>
      </w:r>
      <w:r>
        <w:t xml:space="preserve"> </w:t>
      </w:r>
      <w:r>
        <w:t xml:space="preserve">Une erreur fréquente chez les débutants consiste à s’arrêter après</w:t>
      </w:r>
      <w:r>
        <w:t xml:space="preserve"> </w:t>
      </w:r>
      <w:r>
        <w:rPr>
          <w:rStyle w:val="VerbatimChar"/>
        </w:rPr>
        <w:t xml:space="preserve">lvextend</w:t>
      </w:r>
      <w:r>
        <w:t xml:space="preserve">, en supposant que l’espace supplémentaire est immédiatement utilisable. Le volume logique est bien plus grand, mais le système de fichiers qu’il contient (ext4, XFS…) ignore cet espace tant qu’il n’a pas été explicitement étendu avec</w:t>
      </w:r>
      <w:r>
        <w:t xml:space="preserve"> </w:t>
      </w:r>
      <w:r>
        <w:rPr>
          <w:rStyle w:val="VerbatimChar"/>
        </w:rPr>
        <w:t xml:space="preserve">resize2fs</w:t>
      </w:r>
      <w:r>
        <w:t xml:space="preserve"> </w:t>
      </w:r>
      <w:r>
        <w:t xml:space="preserve">(pour ext4) ou</w:t>
      </w:r>
      <w:r>
        <w:t xml:space="preserve"> </w:t>
      </w:r>
      <w:r>
        <w:rPr>
          <w:rStyle w:val="VerbatimChar"/>
        </w:rPr>
        <w:t xml:space="preserve">xfs_growfs</w:t>
      </w:r>
      <w:r>
        <w:t xml:space="preserve"> </w:t>
      </w:r>
      <w:r>
        <w:t xml:space="preserve">(pour XFS) — une étape distincte, facile à oublier, mais indispensable.</w:t>
      </w:r>
    </w:p>
    <w:p>
      <w:pPr>
        <w:pStyle w:val="BodyText"/>
      </w:pPr>
      <w:r>
        <w:t xml:space="preserve">✅ Bonne pratique — utiliser LVM par défaut dès l’installation, même sans besoin immédiat</w:t>
      </w:r>
      <w:r>
        <w:t xml:space="preserve"> </w:t>
      </w:r>
      <w:r>
        <w:t xml:space="preserve">Le coût d’utiliser LVM dès l’installation initiale d’un serveur est quasiment nul (une case à cocher dans la plupart des installateurs modernes), alors que le bénéfice se révèle précisément dans des situations comme celle du scénario d’ouverture. Configurer LVM</w:t>
      </w:r>
      <w:r>
        <w:t xml:space="preserve"> </w:t>
      </w:r>
      <w:r>
        <w:t xml:space="preserve">“au cas où”</w:t>
      </w:r>
      <w:r>
        <w:t xml:space="preserve"> </w:t>
      </w:r>
      <w:r>
        <w:t xml:space="preserve">dès le départ est l’une des décisions à faible coût et fort bénéfice les plus systématiquement recommandées en administration Linux moderne.</w:t>
      </w:r>
    </w:p>
    <w:bookmarkEnd w:id="423"/>
    <w:bookmarkStart w:id="424" w:name="X51f824ea4663adf2f60629cf128768c28350986"/>
    <w:p>
      <w:pPr>
        <w:pStyle w:val="Heading2"/>
      </w:pPr>
      <w:r>
        <w:t xml:space="preserve">17.4 Le RAID logiciel : protéger contre la panne d’un disque</w:t>
      </w:r>
    </w:p>
    <w:p>
      <w:pPr>
        <w:pStyle w:val="FirstParagraph"/>
      </w:pPr>
      <w:r>
        <w:t xml:space="preserve">Le</w:t>
      </w:r>
      <w:r>
        <w:t xml:space="preserve"> </w:t>
      </w:r>
      <w:r>
        <w:rPr>
          <w:b/>
          <w:bCs/>
        </w:rPr>
        <w:t xml:space="preserve">RAID</w:t>
      </w:r>
      <w:r>
        <w:t xml:space="preserve"> </w:t>
      </w:r>
      <w:r>
        <w:t xml:space="preserve">(</w:t>
      </w:r>
      <w:r>
        <w:rPr>
          <w:i/>
          <w:iCs/>
        </w:rPr>
        <w:t xml:space="preserve">Redundant Array of Independent Disks</w:t>
      </w:r>
      <w:r>
        <w:t xml:space="preserve">) combine plusieurs disques physiques pour améliorer la performance, la tolérance de panne, ou les deux. Le RAID</w:t>
      </w:r>
      <w:r>
        <w:t xml:space="preserve"> </w:t>
      </w:r>
      <w:r>
        <w:rPr>
          <w:b/>
          <w:bCs/>
        </w:rPr>
        <w:t xml:space="preserve">logiciel</w:t>
      </w:r>
      <w:r>
        <w:t xml:space="preserve"> </w:t>
      </w:r>
      <w:r>
        <w:t xml:space="preserve">(par opposition au RAID matériel, géré par un contrôleur dédié) est directement pris en charge par le noyau Linux via</w:t>
      </w:r>
      <w:r>
        <w:t xml:space="preserve"> </w:t>
      </w:r>
      <w:r>
        <w:rPr>
          <w:rStyle w:val="VerbatimChar"/>
        </w:rPr>
        <w:t xml:space="preserve">mdadm</w:t>
      </w:r>
      <w:r>
        <w:t xml:space="preserv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Niveau RAID</w:t>
            </w:r>
          </w:p>
        </w:tc>
        <w:tc>
          <w:tcPr/>
          <w:p>
            <w:pPr>
              <w:pStyle w:val="Compact"/>
            </w:pPr>
            <w:r>
              <w:t xml:space="preserve">Fonctionnement</w:t>
            </w:r>
          </w:p>
        </w:tc>
        <w:tc>
          <w:tcPr/>
          <w:p>
            <w:pPr>
              <w:pStyle w:val="Compact"/>
            </w:pPr>
            <w:r>
              <w:t xml:space="preserve">Tolérance de panne</w:t>
            </w:r>
          </w:p>
        </w:tc>
        <w:tc>
          <w:tcPr/>
          <w:p>
            <w:pPr>
              <w:pStyle w:val="Compact"/>
            </w:pPr>
            <w:r>
              <w:t xml:space="preserve">Espace utilisable</w:t>
            </w:r>
          </w:p>
        </w:tc>
      </w:tr>
      <w:tr>
        <w:tc>
          <w:tcPr/>
          <w:p>
            <w:pPr>
              <w:pStyle w:val="Compact"/>
            </w:pPr>
            <w:r>
              <w:rPr>
                <w:b/>
                <w:bCs/>
              </w:rPr>
              <w:t xml:space="preserve">RAID 0</w:t>
            </w:r>
          </w:p>
        </w:tc>
        <w:tc>
          <w:tcPr/>
          <w:p>
            <w:pPr>
              <w:pStyle w:val="Compact"/>
            </w:pPr>
            <w:r>
              <w:t xml:space="preserve">Répartition des données sur plusieurs disques (striping)</w:t>
            </w:r>
          </w:p>
        </w:tc>
        <w:tc>
          <w:tcPr/>
          <w:p>
            <w:pPr>
              <w:pStyle w:val="Compact"/>
            </w:pPr>
            <w:r>
              <w:t xml:space="preserve">Aucune — la panne d’un seul disque perd toutes les données</w:t>
            </w:r>
          </w:p>
        </w:tc>
        <w:tc>
          <w:tcPr/>
          <w:p>
            <w:pPr>
              <w:pStyle w:val="Compact"/>
            </w:pPr>
            <w:r>
              <w:t xml:space="preserve">100% de la capacité totale</w:t>
            </w:r>
          </w:p>
        </w:tc>
      </w:tr>
      <w:tr>
        <w:tc>
          <w:tcPr/>
          <w:p>
            <w:pPr>
              <w:pStyle w:val="Compact"/>
            </w:pPr>
            <w:r>
              <w:rPr>
                <w:b/>
                <w:bCs/>
              </w:rPr>
              <w:t xml:space="preserve">RAID 1</w:t>
            </w:r>
          </w:p>
        </w:tc>
        <w:tc>
          <w:tcPr/>
          <w:p>
            <w:pPr>
              <w:pStyle w:val="Compact"/>
            </w:pPr>
            <w:r>
              <w:t xml:space="preserve">Duplication intégrale des données sur deux disques (mirroring)</w:t>
            </w:r>
          </w:p>
        </w:tc>
        <w:tc>
          <w:tcPr/>
          <w:p>
            <w:pPr>
              <w:pStyle w:val="Compact"/>
            </w:pPr>
            <w:r>
              <w:t xml:space="preserve">Un disque peut tomber en panne sans perte de données</w:t>
            </w:r>
          </w:p>
        </w:tc>
        <w:tc>
          <w:tcPr/>
          <w:p>
            <w:pPr>
              <w:pStyle w:val="Compact"/>
            </w:pPr>
            <w:r>
              <w:t xml:space="preserve">50% de la capacité totale</w:t>
            </w:r>
          </w:p>
        </w:tc>
      </w:tr>
      <w:tr>
        <w:tc>
          <w:tcPr/>
          <w:p>
            <w:pPr>
              <w:pStyle w:val="Compact"/>
            </w:pPr>
            <w:r>
              <w:rPr>
                <w:b/>
                <w:bCs/>
              </w:rPr>
              <w:t xml:space="preserve">RAID 5</w:t>
            </w:r>
          </w:p>
        </w:tc>
        <w:tc>
          <w:tcPr/>
          <w:p>
            <w:pPr>
              <w:pStyle w:val="Compact"/>
            </w:pPr>
            <w:r>
              <w:t xml:space="preserve">Répartition avec parité distribuée</w:t>
            </w:r>
          </w:p>
        </w:tc>
        <w:tc>
          <w:tcPr/>
          <w:p>
            <w:pPr>
              <w:pStyle w:val="Compact"/>
            </w:pPr>
            <w:r>
              <w:t xml:space="preserve">Un disque peut tomber en panne sans perte de données</w:t>
            </w:r>
          </w:p>
        </w:tc>
        <w:tc>
          <w:tcPr/>
          <w:p>
            <w:pPr>
              <w:pStyle w:val="Compact"/>
            </w:pPr>
            <w:r>
              <w:t xml:space="preserve">Capacité totale moins un disque</w:t>
            </w:r>
          </w:p>
        </w:tc>
      </w:tr>
      <w:tr>
        <w:tc>
          <w:tcPr/>
          <w:p>
            <w:pPr>
              <w:pStyle w:val="Compact"/>
            </w:pPr>
            <w:r>
              <w:rPr>
                <w:b/>
                <w:bCs/>
              </w:rPr>
              <w:t xml:space="preserve">RAID 10</w:t>
            </w:r>
          </w:p>
        </w:tc>
        <w:tc>
          <w:tcPr/>
          <w:p>
            <w:pPr>
              <w:pStyle w:val="Compact"/>
            </w:pPr>
            <w:r>
              <w:t xml:space="preserve">Combinaison de mirroring et striping</w:t>
            </w:r>
          </w:p>
        </w:tc>
        <w:tc>
          <w:tcPr/>
          <w:p>
            <w:pPr>
              <w:pStyle w:val="Compact"/>
            </w:pPr>
            <w:r>
              <w:t xml:space="preserve">Tolère la panne d’un disque par paire miroir</w:t>
            </w:r>
          </w:p>
        </w:tc>
        <w:tc>
          <w:tcPr/>
          <w:p>
            <w:pPr>
              <w:pStyle w:val="Compact"/>
            </w:pPr>
            <w:r>
              <w:t xml:space="preserve">50% de la capacité totale</w:t>
            </w:r>
          </w:p>
        </w:tc>
      </w:tr>
    </w:tbl>
    <w:p>
      <w:pPr>
        <w:pStyle w:val="BodyText"/>
      </w:pPr>
      <w:r>
        <w:t xml:space="preserve">⚠️ Erreur de compréhension fréquente :</w:t>
      </w:r>
      <w:r>
        <w:t xml:space="preserve"> </w:t>
      </w:r>
      <w:r>
        <w:t xml:space="preserve">“RAID 0 protège les données”</w:t>
      </w:r>
      <w:r>
        <w:t xml:space="preserve"> </w:t>
      </w:r>
      <w:r>
        <w:t xml:space="preserve">C’est l’inverse exact : RAID 0 améliore uniquement la performance (répartition de la charge de lecture/écriture sur plusieurs disques), mais</w:t>
      </w:r>
      <w:r>
        <w:t xml:space="preserve"> </w:t>
      </w:r>
      <w:r>
        <w:rPr>
          <w:b/>
          <w:bCs/>
        </w:rPr>
        <w:t xml:space="preserve">aggrave</w:t>
      </w:r>
      <w:r>
        <w:t xml:space="preserve"> </w:t>
      </w:r>
      <w:r>
        <w:t xml:space="preserve">le risque de perte de données par rapport à un disque unique — la panne d’un seul disque du groupe RAID 0 rend l’ensemble des données inutilisables, car chaque fichier est fragmenté à travers tous les disques du groupe. Le</w:t>
      </w:r>
      <w:r>
        <w:t xml:space="preserve"> </w:t>
      </w:r>
      <w:r>
        <w:t xml:space="preserve">“R”</w:t>
      </w:r>
      <w:r>
        <w:t xml:space="preserve"> </w:t>
      </w:r>
      <w:r>
        <w:t xml:space="preserve">de RAID (</w:t>
      </w:r>
      <w:r>
        <w:rPr>
          <w:i/>
          <w:iCs/>
        </w:rPr>
        <w:t xml:space="preserve">Redundant</w:t>
      </w:r>
      <w:r>
        <w:t xml:space="preserve">) ne s’applique pas au niveau 0, malgré le nom générique de la technologie.</w:t>
      </w:r>
    </w:p>
    <w:p>
      <w:pPr>
        <w:pStyle w:val="BodyText"/>
      </w:pPr>
      <w:r>
        <w:t xml:space="preserve">🔒 Sécurité — le RAID n’est jamais un substitut à une sauvegarde</w:t>
      </w:r>
      <w:r>
        <w:t xml:space="preserve"> </w:t>
      </w:r>
      <w:r>
        <w:t xml:space="preserve">Rappel direct du chapitre 1 (section 1.4) et de la Partie 5 à venir sur la continuité d’activité : le RAID protège contre la panne</w:t>
      </w:r>
      <w:r>
        <w:t xml:space="preserve"> </w:t>
      </w:r>
      <w:r>
        <w:rPr>
          <w:b/>
          <w:bCs/>
        </w:rPr>
        <w:t xml:space="preserve">matérielle</w:t>
      </w:r>
      <w:r>
        <w:t xml:space="preserve"> </w:t>
      </w:r>
      <w:r>
        <w:t xml:space="preserve">d’un disque, mais ne protège absolument pas contre une suppression accidentelle de fichier, une corruption logique, un rançongiciel, ou une erreur humaine — ces événements se répliquent instantanément sur tous les disques du groupe RAID, y compris les disques</w:t>
      </w:r>
      <w:r>
        <w:t xml:space="preserve"> </w:t>
      </w:r>
      <w:r>
        <w:t xml:space="preserve">“de secours”</w:t>
      </w:r>
      <w:r>
        <w:t xml:space="preserve">. Un RAID 1 avec un fichier supprimé par erreur perd ce fichier sur les deux disques miroirs simultanément, sans aucune protection. Le RAID et la sauvegarde répondent à deux risques complètement différents, et l’un ne remplace jamais l’autre.</w:t>
      </w:r>
    </w:p>
    <w:bookmarkEnd w:id="424"/>
    <w:bookmarkStart w:id="428" w:name="X1275889685e86c7ac7c2e43a96edbf65371993f"/>
    <w:p>
      <w:pPr>
        <w:pStyle w:val="Heading2"/>
      </w:pPr>
      <w:r>
        <w:t xml:space="preserve">17.5 LVM et RAID ensemble : une combinaison courante</w:t>
      </w:r>
    </w:p>
    <w:p>
      <w:pPr>
        <w:pStyle w:val="FirstParagraph"/>
      </w:pPr>
      <w:r>
        <w:t xml:space="preserve">En pratique, LVM et RAID logiciel se combinent fréquemment : le RAID assure la tolérance de panne matérielle au niveau des disques physiques, tandis que LVM apporte la flexibilité de gestion de l’espace au niveau logique, par-dessus les disques déjà protégés par RAID.</w:t>
      </w:r>
    </w:p>
    <w:p>
      <w:pPr>
        <w:pStyle w:val="CaptionedFigure"/>
      </w:pPr>
      <w:r>
        <w:drawing>
          <wp:inline>
            <wp:extent cx="5334000" cy="5285801"/>
            <wp:effectExtent b="0" l="0" r="0" t="0"/>
            <wp:docPr descr="Diagramme" title="" id="426" name="Picture"/>
            <a:graphic>
              <a:graphicData uri="http://schemas.openxmlformats.org/drawingml/2006/picture">
                <pic:pic>
                  <pic:nvPicPr>
                    <pic:cNvPr descr="C:/Users/ingja/Desktop/jarvis-starter-kit/livrables/formations/manuel-administration-systeme/assets/diagrams/d-17-stockage-linux-lvm-raid-diagramme-2.png" id="427" name="Picture"/>
                    <pic:cNvPicPr>
                      <a:picLocks noChangeArrowheads="1" noChangeAspect="1"/>
                    </pic:cNvPicPr>
                  </pic:nvPicPr>
                  <pic:blipFill>
                    <a:blip r:embed="rId425"/>
                    <a:stretch>
                      <a:fillRect/>
                    </a:stretch>
                  </pic:blipFill>
                  <pic:spPr bwMode="auto">
                    <a:xfrm>
                      <a:off x="0" y="0"/>
                      <a:ext cx="5334000" cy="5285801"/>
                    </a:xfrm>
                    <a:prstGeom prst="rect">
                      <a:avLst/>
                    </a:prstGeom>
                    <a:noFill/>
                    <a:ln w="9525">
                      <a:noFill/>
                      <a:headEnd/>
                      <a:tailEnd/>
                    </a:ln>
                  </pic:spPr>
                </pic:pic>
              </a:graphicData>
            </a:graphic>
          </wp:inline>
        </w:drawing>
      </w:r>
    </w:p>
    <w:p>
      <w:pPr>
        <w:pStyle w:val="ImageCaption"/>
      </w:pPr>
      <w:r>
        <w:t xml:space="preserve">Diagramme</w:t>
      </w:r>
    </w:p>
    <w:p>
      <w:pPr>
        <w:pStyle w:val="BodyText"/>
      </w:pPr>
      <w:r>
        <w:t xml:space="preserve">🚀 Performance — répartir les volumes logiques selon leur usage réel</w:t>
      </w:r>
      <w:r>
        <w:t xml:space="preserve"> </w:t>
      </w:r>
      <w:r>
        <w:t xml:space="preserve">Séparer les journaux applicatifs (écriture continue, souvent volumineuse) des données applicatives elles-mêmes dans des volumes logiques distincts, comme dans le schéma ci-dessus, permet d’éviter qu’une explosion soudaine de la taille des journaux (un bug applicatif qui génère des journaux excessifs, par exemple) ne sature l’espace disponible pour les données réellement critiques — une bonne pratique de conception à anticiper dès l’installation initiale.</w:t>
      </w:r>
    </w:p>
    <w:bookmarkEnd w:id="428"/>
    <w:bookmarkStart w:id="429" w:name="Xe15d28e96817d652de0d23809128509e2def934"/>
    <w:p>
      <w:pPr>
        <w:pStyle w:val="Heading2"/>
      </w:pPr>
      <w:r>
        <w:t xml:space="preserve">Atelier — Planifier le stockage du serveur du scénario d’ouverture</w:t>
      </w:r>
    </w:p>
    <w:p>
      <w:pPr>
        <w:pStyle w:val="FirstParagraph"/>
      </w:pPr>
      <w:r>
        <w:t xml:space="preserve">🛠️ Atelier 17 — Concevoir une architecture de stockage résiliente et flexible</w:t>
      </w:r>
    </w:p>
    <w:p>
      <w:pPr>
        <w:pStyle w:val="BodyText"/>
      </w:pPr>
      <w:r>
        <w:rPr>
          <w:b/>
          <w:bCs/>
        </w:rPr>
        <w:t xml:space="preserve">Objectif</w:t>
      </w:r>
      <w:r>
        <w:t xml:space="preserve"> </w:t>
      </w:r>
      <w:r>
        <w:t xml:space="preserve">: appliquer LVM et RAID ensemble pour concevoir un stockage à la fois résilient et flexible pour le prochain serveur du portail client.</w:t>
      </w:r>
    </w:p>
    <w:p>
      <w:pPr>
        <w:pStyle w:val="BodyText"/>
      </w:pPr>
      <w:r>
        <w:rPr>
          <w:b/>
          <w:bCs/>
        </w:rPr>
        <w:t xml:space="preserve">Préparation</w:t>
      </w:r>
      <w:r>
        <w:t xml:space="preserve"> </w:t>
      </w:r>
      <w:r>
        <w:t xml:space="preserve">: aucune installation nécessaire, un schéma sur papier suffit.</w:t>
      </w:r>
    </w:p>
    <w:p>
      <w:pPr>
        <w:pStyle w:val="BodyText"/>
      </w:pPr>
      <w:r>
        <w:rPr>
          <w:b/>
          <w:bCs/>
        </w:rPr>
        <w:t xml:space="preserve">Étapes détaillées</w:t>
      </w:r>
      <w:r>
        <w:t xml:space="preserve"> </w:t>
      </w:r>
      <w:r>
        <w:t xml:space="preserve">:</w:t>
      </w:r>
    </w:p>
    <w:p>
      <w:pPr>
        <w:pStyle w:val="Compact"/>
        <w:numPr>
          <w:ilvl w:val="0"/>
          <w:numId w:val="1391"/>
        </w:numPr>
      </w:pPr>
      <w:r>
        <w:t xml:space="preserve">Le nouveau serveur dispose de quatre disques physiques identiques. Propose une configuration RAID adaptée à un serveur de production où la tolérance de panne prime sur la capacité maximale brute, en justifiant ton choix parmi les niveaux de la section 17.4.</w:t>
      </w:r>
    </w:p>
    <w:p>
      <w:pPr>
        <w:pStyle w:val="Compact"/>
        <w:numPr>
          <w:ilvl w:val="0"/>
          <w:numId w:val="1391"/>
        </w:numPr>
      </w:pPr>
      <w:r>
        <w:t xml:space="preserve">Par-dessus ce RAID, propose une organisation LVM avec au moins deux volumes logiques distincts, en justifiant leur séparation.</w:t>
      </w:r>
    </w:p>
    <w:p>
      <w:pPr>
        <w:pStyle w:val="Compact"/>
        <w:numPr>
          <w:ilvl w:val="0"/>
          <w:numId w:val="1391"/>
        </w:numPr>
      </w:pPr>
      <w:r>
        <w:t xml:space="preserve">Explique comment cette architecture aurait évité le problème vécu dans le scénario d’ouverture.</w:t>
      </w:r>
    </w:p>
    <w:p>
      <w:pPr>
        <w:pStyle w:val="Compact"/>
        <w:numPr>
          <w:ilvl w:val="0"/>
          <w:numId w:val="1391"/>
        </w:numPr>
      </w:pPr>
      <w:r>
        <w:t xml:space="preserve">Compare ta proposition à la section</w:t>
      </w:r>
      <w:r>
        <w:t xml:space="preserve"> </w:t>
      </w:r>
      <w:r>
        <w:t xml:space="preserve">“Résultat attendu”</w:t>
      </w:r>
      <w:r>
        <w:t xml:space="preserve">.</w:t>
      </w:r>
    </w:p>
    <w:p>
      <w:pPr>
        <w:pStyle w:val="FirstParagraph"/>
      </w:pPr>
      <w:r>
        <w:rPr>
          <w:b/>
          <w:bCs/>
        </w:rPr>
        <w:t xml:space="preserve">Résultat attendu</w:t>
      </w:r>
      <w:r>
        <w:t xml:space="preserve"> </w:t>
      </w:r>
      <w:r>
        <w:t xml:space="preserve">: RAID 10 (ou RAID 1 si seuls deux disques sont réellement dédiés à la tolérance de panne, les deux autres pouvant servir à un second groupe) offre un bon compromis performance/tolérance de panne pour un serveur de production avec quatre disques. Par-dessus, deux volumes logiques distincts — un pour les données applicatives (documents téléversés), un pour les journaux — évitent qu’une croissance imprévue de l’un n’affecte l’autre. Cette architecture aurait permis d’étendre le volume logique des documents à chaud (section 17.3) dès l’alerte à 90%, sans le stress ni le risque d’une intervention en urgence sur un partitionnement rigide.</w:t>
      </w:r>
    </w:p>
    <w:p>
      <w:pPr>
        <w:pStyle w:val="BodyText"/>
      </w:pPr>
      <w:r>
        <w:rPr>
          <w:b/>
          <w:bCs/>
        </w:rPr>
        <w:t xml:space="preserve">Dépannage</w:t>
      </w:r>
      <w:r>
        <w:t xml:space="preserve"> </w:t>
      </w:r>
      <w:r>
        <w:t xml:space="preserve">: si tu hésites sur le niveau RAID à choisir, reviens au tableau de la section 17.4 et pose-toi la question centrale : combien de disques ce serveur peut-il perdre simultanément sans perte de données, et quelle capacité utile cela laisse-t-il réellement disponible ?</w:t>
      </w:r>
    </w:p>
    <w:bookmarkEnd w:id="429"/>
    <w:bookmarkStart w:id="430" w:name="erreurs-fréquentes-16"/>
    <w:p>
      <w:pPr>
        <w:pStyle w:val="Heading2"/>
      </w:pPr>
      <w:r>
        <w:t xml:space="preserve">Erreurs fréquentes</w:t>
      </w:r>
    </w:p>
    <w:p>
      <w:pPr>
        <w:pStyle w:val="FirstParagraph"/>
      </w:pPr>
      <w:r>
        <w:t xml:space="preserve">⚠️ Erreur n°1 — installer un serveur de production sans LVM par défaut</w:t>
      </w:r>
      <w:r>
        <w:t xml:space="preserve"> </w:t>
      </w:r>
      <w:r>
        <w:t xml:space="preserve">Comme vu en section 17.3, ce choix initial en apparence anodin peut transformer une extension de stockage triviale en opération risquée et potentiellement impossible sans interruption de service, exactement le piège du scénario d’ouverture.</w:t>
      </w:r>
    </w:p>
    <w:p>
      <w:pPr>
        <w:pStyle w:val="BodyText"/>
      </w:pPr>
      <w:r>
        <w:t xml:space="preserve">⚠️ Erreur n°2 — confondre RAID et sauvegarde</w:t>
      </w:r>
      <w:r>
        <w:t xml:space="preserve"> </w:t>
      </w:r>
      <w:r>
        <w:t xml:space="preserve">Rappel de la section 17.4 : le RAID protège contre une panne matérielle, jamais contre une suppression accidentelle, une corruption logique, ou un rançongiciel — une confusion dangereuse qui peut donner un faux sentiment de sécurité complète.</w:t>
      </w:r>
    </w:p>
    <w:p>
      <w:pPr>
        <w:pStyle w:val="BodyText"/>
      </w:pPr>
      <w:r>
        <w:t xml:space="preserve">⚠️ Erreur n°3 — oublier d’étendre le système de fichiers après avoir étendu un volume logique</w:t>
      </w:r>
      <w:r>
        <w:t xml:space="preserve"> </w:t>
      </w:r>
      <w:r>
        <w:t xml:space="preserve">Rappel de la section 17.3 :</w:t>
      </w:r>
      <w:r>
        <w:t xml:space="preserve"> </w:t>
      </w:r>
      <w:r>
        <w:rPr>
          <w:rStyle w:val="VerbatimChar"/>
        </w:rPr>
        <w:t xml:space="preserve">lvextend</w:t>
      </w:r>
      <w:r>
        <w:t xml:space="preserve"> </w:t>
      </w:r>
      <w:r>
        <w:t xml:space="preserve">seul n’agrandit pas l’espace réellement utilisable —</w:t>
      </w:r>
      <w:r>
        <w:t xml:space="preserve"> </w:t>
      </w:r>
      <w:r>
        <w:rPr>
          <w:rStyle w:val="VerbatimChar"/>
        </w:rPr>
        <w:t xml:space="preserve">resize2fs</w:t>
      </w:r>
      <w:r>
        <w:t xml:space="preserve"> </w:t>
      </w:r>
      <w:r>
        <w:t xml:space="preserve">ou l’équivalent selon le système de fichiers reste une étape distincte et indispensable.</w:t>
      </w:r>
    </w:p>
    <w:bookmarkEnd w:id="430"/>
    <w:bookmarkStart w:id="431" w:name="en-entreprise-16"/>
    <w:p>
      <w:pPr>
        <w:pStyle w:val="Heading2"/>
      </w:pPr>
      <w:r>
        <w:t xml:space="preserve">En entreprise</w:t>
      </w:r>
    </w:p>
    <w:p>
      <w:pPr>
        <w:pStyle w:val="Compact"/>
        <w:numPr>
          <w:ilvl w:val="0"/>
          <w:numId w:val="1392"/>
        </w:numPr>
      </w:pPr>
      <w:r>
        <w:rPr>
          <w:b/>
          <w:bCs/>
        </w:rPr>
        <w:t xml:space="preserve">Bonne pratique répandue</w:t>
      </w:r>
      <w:r>
        <w:t xml:space="preserve"> </w:t>
      </w:r>
      <w:r>
        <w:t xml:space="preserve">: documenter (chapitre 3) l’architecture de stockage de chaque serveur — quels disques physiques, quel niveau RAID, quels groupes et volumes LVM, avec leur usage prévu — un schéma indispensable avant toute intervention future sur le stockage.</w:t>
      </w:r>
    </w:p>
    <w:p>
      <w:pPr>
        <w:pStyle w:val="Compact"/>
        <w:numPr>
          <w:ilvl w:val="0"/>
          <w:numId w:val="1392"/>
        </w:numPr>
      </w:pPr>
      <w:r>
        <w:rPr>
          <w:b/>
          <w:bCs/>
        </w:rPr>
        <w:t xml:space="preserve">Bonne pratique répandue</w:t>
      </w:r>
      <w:r>
        <w:t xml:space="preserve"> </w:t>
      </w:r>
      <w:r>
        <w:t xml:space="preserve">: surveiller proactivement l’espace disque disponible (rejoignant directement la supervision proactive du chapitre 1, section 1.4) plutôt que de découvrir une saturation via une alerte critique à 90%, déjà trop tardive pour agir sereinement.</w:t>
      </w:r>
    </w:p>
    <w:p>
      <w:pPr>
        <w:pStyle w:val="Compact"/>
        <w:numPr>
          <w:ilvl w:val="0"/>
          <w:numId w:val="1392"/>
        </w:numPr>
      </w:pPr>
      <w:r>
        <w:rPr>
          <w:b/>
          <w:bCs/>
        </w:rPr>
        <w:t xml:space="preserve">Erreur classique observée</w:t>
      </w:r>
      <w:r>
        <w:t xml:space="preserve"> </w:t>
      </w:r>
      <w:r>
        <w:t xml:space="preserve">: un serveur historique installé sans LVM des années auparavant, jamais migré depuis faute de fenêtre de maintenance suffisante, devenant une contrainte récurrente à chaque nouvelle demande d’extension de stockage.</w:t>
      </w:r>
    </w:p>
    <w:bookmarkEnd w:id="431"/>
    <w:bookmarkStart w:id="432" w:name="entretien-technique-16"/>
    <w:p>
      <w:pPr>
        <w:pStyle w:val="Heading2"/>
      </w:pPr>
      <w:r>
        <w:t xml:space="preserve">Entretien technique</w:t>
      </w:r>
    </w:p>
    <w:p>
      <w:pPr>
        <w:pStyle w:val="FirstParagraph"/>
      </w:pPr>
      <w:r>
        <w:t xml:space="preserve">💼 Questions fréquemment posées en entretien</w:t>
      </w:r>
    </w:p>
    <w:p>
      <w:pPr>
        <w:pStyle w:val="BodyText"/>
      </w:pPr>
      <w:r>
        <w:rPr>
          <w:b/>
          <w:bCs/>
        </w:rPr>
        <w:t xml:space="preserve">Q1.</w:t>
      </w:r>
      <w:r>
        <w:rPr>
          <w:b/>
          <w:bCs/>
        </w:rPr>
        <w:t xml:space="preserve"> </w:t>
      </w:r>
      <w:r>
        <w:rPr>
          <w:b/>
          <w:bCs/>
        </w:rPr>
        <w:t xml:space="preserve">“Quel est l’avantage principal de LVM par rapport au partitionnement traditionnel ?”</w:t>
      </w:r>
      <w:r>
        <w:t xml:space="preserve"> </w:t>
      </w:r>
      <w:r>
        <w:t xml:space="preserve">Réponse attendue : LVM permet d’étendre (ou de redimensionner) l’espace disque à chaud, sans interruption de service et sans les contraintes rigides du partitionnement traditionnel, grâce à sa couche d’abstraction entre les disques physiques et les systèmes de fichiers (volumes physiques, groupes de volumes, volumes logiques).</w:t>
      </w:r>
    </w:p>
    <w:p>
      <w:pPr>
        <w:pStyle w:val="BodyText"/>
      </w:pPr>
      <w:r>
        <w:rPr>
          <w:b/>
          <w:bCs/>
        </w:rPr>
        <w:t xml:space="preserve">Q2.</w:t>
      </w:r>
      <w:r>
        <w:rPr>
          <w:b/>
          <w:bCs/>
        </w:rPr>
        <w:t xml:space="preserve"> </w:t>
      </w:r>
      <w:r>
        <w:rPr>
          <w:b/>
          <w:bCs/>
        </w:rPr>
        <w:t xml:space="preserve">“Pourquoi RAID 0 n’offre-t-il aucune protection des données ?”</w:t>
      </w:r>
      <w:r>
        <w:t xml:space="preserve"> </w:t>
      </w:r>
      <w:r>
        <w:t xml:space="preserve">Réponse attendue : RAID 0 répartit les données sur plusieurs disques uniquement pour améliorer la performance (striping), sans aucune redondance — la panne d’un seul disque du groupe rend l’ensemble des données inutilisables, puisque chaque fichier est fragmenté à travers tous les disques.</w:t>
      </w:r>
    </w:p>
    <w:p>
      <w:pPr>
        <w:pStyle w:val="BodyText"/>
      </w:pPr>
      <w:r>
        <w:rPr>
          <w:b/>
          <w:bCs/>
        </w:rPr>
        <w:t xml:space="preserve">Q3.</w:t>
      </w:r>
      <w:r>
        <w:rPr>
          <w:b/>
          <w:bCs/>
        </w:rPr>
        <w:t xml:space="preserve"> </w:t>
      </w:r>
      <w:r>
        <w:rPr>
          <w:b/>
          <w:bCs/>
        </w:rPr>
        <w:t xml:space="preserve">“Le RAID remplace-t-il le besoin de sauvegardes ?”</w:t>
      </w:r>
      <w:r>
        <w:t xml:space="preserve"> </w:t>
      </w:r>
      <w:r>
        <w:t xml:space="preserve">Réponse attendue : non, absolument pas — le RAID protège uniquement contre une panne matérielle de disque, jamais contre une suppression accidentelle, une corruption logique ou un rançongiciel, qui se répliquent instantanément sur tous les disques du groupe RAID. Les deux mécanismes répondent à des risques différents et sont complémentaires, jamais substituables l’un à l’autre.</w:t>
      </w:r>
    </w:p>
    <w:bookmarkEnd w:id="432"/>
    <w:bookmarkStart w:id="433" w:name="Xc4bac102cd1fd28c3c690a92b043ae21f64781d"/>
    <w:p>
      <w:pPr>
        <w:pStyle w:val="Heading2"/>
      </w:pPr>
      <w:r>
        <w:t xml:space="preserve">Optimisation, sécurité et maintenabilité — les réflexes dès ce chapitre</w:t>
      </w:r>
    </w:p>
    <w:p>
      <w:pPr>
        <w:pStyle w:val="FirstParagraph"/>
      </w:pPr>
      <w:r>
        <w:t xml:space="preserve">🔒 Sécurité</w:t>
      </w:r>
      <w:r>
        <w:t xml:space="preserve"> </w:t>
      </w:r>
      <w:r>
        <w:t xml:space="preserve">Ne considère jamais un RAID (quel que soit son niveau) comme une stratégie de sauvegarde à lui seul — la Partie 5 de ce manuel détaille la stratégie de sauvegarde réelle nécessaire en complément, jamais en remplacement.</w:t>
      </w:r>
    </w:p>
    <w:p>
      <w:pPr>
        <w:pStyle w:val="BodyText"/>
      </w:pPr>
      <w:r>
        <w:t xml:space="preserve">✅ Maintenabilité</w:t>
      </w:r>
      <w:r>
        <w:t xml:space="preserve"> </w:t>
      </w:r>
      <w:r>
        <w:t xml:space="preserve">Configure LVM par défaut sur tout nouveau serveur, même en l’absence de besoin d’extension immédiatement anticipé (section 17.3) — le coût de cette précaution est quasiment nul au moment de l’installation, et son absence peut coûter cher des mois ou des années plus tard.</w:t>
      </w:r>
    </w:p>
    <w:p>
      <w:pPr>
        <w:pStyle w:val="BodyText"/>
      </w:pPr>
      <w:r>
        <w:t xml:space="preserve">🚀 Performance</w:t>
      </w:r>
      <w:r>
        <w:t xml:space="preserve"> </w:t>
      </w:r>
      <w:r>
        <w:t xml:space="preserve">Sépare les volumes logiques selon leur profil d’usage réel (données applicatives, journaux, bases de données) plutôt qu’un unique volume générique fourre-tout — une organisation qui facilite à la fois la supervision ciblée (Partie 10) et la limitation de l’impact d’une saturation localisée à un seul type de données.</w:t>
      </w:r>
    </w:p>
    <w:bookmarkEnd w:id="433"/>
    <w:bookmarkStart w:id="434" w:name="résumé-du-chapitre-16"/>
    <w:p>
      <w:pPr>
        <w:pStyle w:val="Heading2"/>
      </w:pPr>
      <w:r>
        <w:t xml:space="preserve">Résumé du chapitre</w:t>
      </w:r>
    </w:p>
    <w:p>
      <w:pPr>
        <w:pStyle w:val="Compact"/>
        <w:numPr>
          <w:ilvl w:val="0"/>
          <w:numId w:val="1393"/>
        </w:numPr>
      </w:pPr>
      <w:r>
        <w:t xml:space="preserve">Le partitionnement traditionnel est simple mais rigide ; LVM ajoute une couche d’abstraction (volumes physiques, groupes de volumes, volumes logiques) qui permet d’étendre l’espace disque à chaud.</w:t>
      </w:r>
    </w:p>
    <w:p>
      <w:pPr>
        <w:pStyle w:val="Compact"/>
        <w:numPr>
          <w:ilvl w:val="0"/>
          <w:numId w:val="1393"/>
        </w:numPr>
      </w:pPr>
      <w:r>
        <w:t xml:space="preserve">Étendre un volume logique LVM nécessite deux étapes distinctes :</w:t>
      </w:r>
      <w:r>
        <w:t xml:space="preserve"> </w:t>
      </w:r>
      <w:r>
        <w:rPr>
          <w:rStyle w:val="VerbatimChar"/>
        </w:rPr>
        <w:t xml:space="preserve">lvextend</w:t>
      </w:r>
      <w:r>
        <w:t xml:space="preserve"> </w:t>
      </w:r>
      <w:r>
        <w:t xml:space="preserve">(le volume logique lui-même) puis</w:t>
      </w:r>
      <w:r>
        <w:t xml:space="preserve"> </w:t>
      </w:r>
      <w:r>
        <w:rPr>
          <w:rStyle w:val="VerbatimChar"/>
        </w:rPr>
        <w:t xml:space="preserve">resize2fs</w:t>
      </w:r>
      <w:r>
        <w:t xml:space="preserve"> </w:t>
      </w:r>
      <w:r>
        <w:t xml:space="preserve">ou équivalent (le système de fichiers qu’il contient).</w:t>
      </w:r>
    </w:p>
    <w:p>
      <w:pPr>
        <w:pStyle w:val="Compact"/>
        <w:numPr>
          <w:ilvl w:val="0"/>
          <w:numId w:val="1393"/>
        </w:numPr>
      </w:pPr>
      <w:r>
        <w:t xml:space="preserve">Le RAID protège contre la panne matérielle d’un ou plusieurs disques, avec des niveaux offrant des compromis différents entre performance, tolérance de panne et capacité utilisable.</w:t>
      </w:r>
    </w:p>
    <w:p>
      <w:pPr>
        <w:pStyle w:val="Compact"/>
        <w:numPr>
          <w:ilvl w:val="0"/>
          <w:numId w:val="1393"/>
        </w:numPr>
      </w:pPr>
      <w:r>
        <w:t xml:space="preserve">RAID 0 améliore uniquement la performance, sans aucune protection — une confusion fréquente et dangereuse à éviter.</w:t>
      </w:r>
    </w:p>
    <w:p>
      <w:pPr>
        <w:pStyle w:val="Compact"/>
        <w:numPr>
          <w:ilvl w:val="0"/>
          <w:numId w:val="1393"/>
        </w:numPr>
      </w:pPr>
      <w:r>
        <w:t xml:space="preserve">Le RAID ne remplace jamais une stratégie de sauvegarde : il protège contre des risques matériels, pas contre une suppression, une corruption logique ou un rançongiciel.</w:t>
      </w:r>
    </w:p>
    <w:p>
      <w:pPr>
        <w:pStyle w:val="Compact"/>
        <w:numPr>
          <w:ilvl w:val="0"/>
          <w:numId w:val="1393"/>
        </w:numPr>
      </w:pPr>
      <w:r>
        <w:t xml:space="preserve">LVM et RAID se combinent couramment : le RAID au niveau physique, LVM au niveau logique par-dessus.</w:t>
      </w:r>
    </w:p>
    <w:bookmarkEnd w:id="434"/>
    <w:bookmarkStart w:id="435" w:name="quiz-16"/>
    <w:p>
      <w:pPr>
        <w:pStyle w:val="Heading2"/>
      </w:pPr>
      <w:r>
        <w:t xml:space="preserve">Quiz</w:t>
      </w:r>
    </w:p>
    <w:p>
      <w:pPr>
        <w:pStyle w:val="FirstParagraph"/>
      </w:pPr>
      <w:r>
        <w:t xml:space="preserve">📝 QCM (une seule bonne réponse par question)</w:t>
      </w:r>
    </w:p>
    <w:p>
      <w:pPr>
        <w:pStyle w:val="Compact"/>
        <w:numPr>
          <w:ilvl w:val="0"/>
          <w:numId w:val="1394"/>
        </w:numPr>
      </w:pPr>
      <w:r>
        <w:t xml:space="preserve">LVM permet principalement de :</w:t>
      </w:r>
    </w:p>
    <w:p>
      <w:pPr>
        <w:pStyle w:val="Compact"/>
        <w:numPr>
          <w:ilvl w:val="1"/>
          <w:numId w:val="1395"/>
        </w:numPr>
      </w:pPr>
    </w:p>
    <w:p>
      <w:pPr>
        <w:pStyle w:val="Compact"/>
        <w:numPr>
          <w:ilvl w:val="2"/>
          <w:numId w:val="1396"/>
        </w:numPr>
      </w:pPr>
      <w:r>
        <w:t xml:space="preserve">Chiffrer automatiquement les disques</w:t>
      </w:r>
    </w:p>
    <w:p>
      <w:pPr>
        <w:pStyle w:val="Compact"/>
        <w:numPr>
          <w:ilvl w:val="1"/>
          <w:numId w:val="1395"/>
        </w:numPr>
      </w:pPr>
    </w:p>
    <w:p>
      <w:pPr>
        <w:pStyle w:val="Compact"/>
        <w:numPr>
          <w:ilvl w:val="2"/>
          <w:numId w:val="1397"/>
        </w:numPr>
      </w:pPr>
      <w:r>
        <w:t xml:space="preserve">Étendre l’espace disque à chaud, sans les contraintes du partitionnement traditionnel</w:t>
      </w:r>
    </w:p>
    <w:p>
      <w:pPr>
        <w:pStyle w:val="Compact"/>
        <w:numPr>
          <w:ilvl w:val="1"/>
          <w:numId w:val="1395"/>
        </w:numPr>
      </w:pPr>
    </w:p>
    <w:p>
      <w:pPr>
        <w:pStyle w:val="Compact"/>
        <w:numPr>
          <w:ilvl w:val="2"/>
          <w:numId w:val="1398"/>
        </w:numPr>
      </w:pPr>
      <w:r>
        <w:t xml:space="preserve">Remplacer entièrement le besoin de sauvegardes</w:t>
      </w:r>
    </w:p>
    <w:p>
      <w:pPr>
        <w:pStyle w:val="Compact"/>
        <w:numPr>
          <w:ilvl w:val="1"/>
          <w:numId w:val="1395"/>
        </w:numPr>
      </w:pPr>
    </w:p>
    <w:p>
      <w:pPr>
        <w:pStyle w:val="Compact"/>
        <w:numPr>
          <w:ilvl w:val="2"/>
          <w:numId w:val="1399"/>
        </w:numPr>
      </w:pPr>
      <w:r>
        <w:t xml:space="preserve">Accélérer le démarrage du système</w:t>
      </w:r>
    </w:p>
    <w:p>
      <w:pPr>
        <w:pStyle w:val="Compact"/>
        <w:numPr>
          <w:ilvl w:val="0"/>
          <w:numId w:val="1394"/>
        </w:numPr>
      </w:pPr>
      <w:r>
        <w:t xml:space="preserve">RAID 0 offre :</w:t>
      </w:r>
    </w:p>
    <w:p>
      <w:pPr>
        <w:pStyle w:val="Compact"/>
        <w:numPr>
          <w:ilvl w:val="1"/>
          <w:numId w:val="1400"/>
        </w:numPr>
      </w:pPr>
    </w:p>
    <w:p>
      <w:pPr>
        <w:pStyle w:val="Compact"/>
        <w:numPr>
          <w:ilvl w:val="2"/>
          <w:numId w:val="1401"/>
        </w:numPr>
      </w:pPr>
      <w:r>
        <w:t xml:space="preserve">Une tolérance de panne d’un disque</w:t>
      </w:r>
    </w:p>
    <w:p>
      <w:pPr>
        <w:pStyle w:val="Compact"/>
        <w:numPr>
          <w:ilvl w:val="1"/>
          <w:numId w:val="1400"/>
        </w:numPr>
      </w:pPr>
    </w:p>
    <w:p>
      <w:pPr>
        <w:pStyle w:val="Compact"/>
        <w:numPr>
          <w:ilvl w:val="2"/>
          <w:numId w:val="1402"/>
        </w:numPr>
      </w:pPr>
      <w:r>
        <w:t xml:space="preserve">Une amélioration de performance sans aucune tolérance de panne</w:t>
      </w:r>
    </w:p>
    <w:p>
      <w:pPr>
        <w:pStyle w:val="Compact"/>
        <w:numPr>
          <w:ilvl w:val="1"/>
          <w:numId w:val="1400"/>
        </w:numPr>
      </w:pPr>
    </w:p>
    <w:p>
      <w:pPr>
        <w:pStyle w:val="Compact"/>
        <w:numPr>
          <w:ilvl w:val="2"/>
          <w:numId w:val="1403"/>
        </w:numPr>
      </w:pPr>
      <w:r>
        <w:t xml:space="preserve">Une duplication intégrale des données</w:t>
      </w:r>
    </w:p>
    <w:p>
      <w:pPr>
        <w:pStyle w:val="Compact"/>
        <w:numPr>
          <w:ilvl w:val="1"/>
          <w:numId w:val="1400"/>
        </w:numPr>
      </w:pPr>
    </w:p>
    <w:p>
      <w:pPr>
        <w:pStyle w:val="Compact"/>
        <w:numPr>
          <w:ilvl w:val="2"/>
          <w:numId w:val="1404"/>
        </w:numPr>
      </w:pPr>
      <w:r>
        <w:t xml:space="preserve">Une protection contre les rançongiciels</w:t>
      </w:r>
    </w:p>
    <w:p>
      <w:pPr>
        <w:pStyle w:val="Compact"/>
        <w:numPr>
          <w:ilvl w:val="0"/>
          <w:numId w:val="1394"/>
        </w:numPr>
      </w:pPr>
      <w:r>
        <w:t xml:space="preserve">Après avoir étendu un volume logique LVM avec</w:t>
      </w:r>
      <w:r>
        <w:t xml:space="preserve"> </w:t>
      </w:r>
      <w:r>
        <w:rPr>
          <w:rStyle w:val="VerbatimChar"/>
        </w:rPr>
        <w:t xml:space="preserve">lvextend</w:t>
      </w:r>
      <w:r>
        <w:t xml:space="preserve">, l’étape supplémentaire indispensable est :</w:t>
      </w:r>
    </w:p>
    <w:p>
      <w:pPr>
        <w:pStyle w:val="Compact"/>
        <w:numPr>
          <w:ilvl w:val="1"/>
          <w:numId w:val="1405"/>
        </w:numPr>
      </w:pPr>
    </w:p>
    <w:p>
      <w:pPr>
        <w:pStyle w:val="Compact"/>
        <w:numPr>
          <w:ilvl w:val="2"/>
          <w:numId w:val="1406"/>
        </w:numPr>
      </w:pPr>
      <w:r>
        <w:t xml:space="preserve">Redémarrer le serveur</w:t>
      </w:r>
    </w:p>
    <w:p>
      <w:pPr>
        <w:pStyle w:val="Compact"/>
        <w:numPr>
          <w:ilvl w:val="1"/>
          <w:numId w:val="1405"/>
        </w:numPr>
      </w:pPr>
    </w:p>
    <w:p>
      <w:pPr>
        <w:pStyle w:val="Compact"/>
        <w:numPr>
          <w:ilvl w:val="2"/>
          <w:numId w:val="1407"/>
        </w:numPr>
      </w:pPr>
      <w:r>
        <w:t xml:space="preserve">Reformater entièrement le volume</w:t>
      </w:r>
    </w:p>
    <w:p>
      <w:pPr>
        <w:pStyle w:val="Compact"/>
        <w:numPr>
          <w:ilvl w:val="1"/>
          <w:numId w:val="1405"/>
        </w:numPr>
      </w:pPr>
    </w:p>
    <w:p>
      <w:pPr>
        <w:pStyle w:val="Compact"/>
        <w:numPr>
          <w:ilvl w:val="2"/>
          <w:numId w:val="1408"/>
        </w:numPr>
      </w:pPr>
      <w:r>
        <w:t xml:space="preserve">Étendre le système de fichiers avec</w:t>
      </w:r>
      <w:r>
        <w:t xml:space="preserve"> </w:t>
      </w:r>
      <w:r>
        <w:rPr>
          <w:rStyle w:val="VerbatimChar"/>
        </w:rPr>
        <w:t xml:space="preserve">resize2fs</w:t>
      </w:r>
      <w:r>
        <w:t xml:space="preserve"> </w:t>
      </w:r>
      <w:r>
        <w:t xml:space="preserve">ou équivalent</w:t>
      </w:r>
    </w:p>
    <w:p>
      <w:pPr>
        <w:pStyle w:val="Compact"/>
        <w:numPr>
          <w:ilvl w:val="1"/>
          <w:numId w:val="1405"/>
        </w:numPr>
      </w:pPr>
    </w:p>
    <w:p>
      <w:pPr>
        <w:pStyle w:val="Compact"/>
        <w:numPr>
          <w:ilvl w:val="2"/>
          <w:numId w:val="1409"/>
        </w:numPr>
      </w:pPr>
      <w:r>
        <w:t xml:space="preserve">Aucune, l’espace est immédiatement utilisable</w:t>
      </w:r>
    </w:p>
    <w:p>
      <w:pPr>
        <w:pStyle w:val="FirstParagraph"/>
      </w:pPr>
      <w:r>
        <w:rPr>
          <w:b/>
          <w:bCs/>
        </w:rPr>
        <w:t xml:space="preserve">Corrigé</w:t>
      </w:r>
      <w:r>
        <w:t xml:space="preserve"> </w:t>
      </w:r>
      <w:r>
        <w:t xml:space="preserve">: 1-b, 2-b, 3-c.</w:t>
      </w:r>
    </w:p>
    <w:p>
      <w:pPr>
        <w:pStyle w:val="BodyText"/>
      </w:pPr>
      <w:r>
        <w:t xml:space="preserve">📝 Vrai ou Faux</w:t>
      </w:r>
    </w:p>
    <w:p>
      <w:pPr>
        <w:pStyle w:val="Compact"/>
        <w:numPr>
          <w:ilvl w:val="0"/>
          <w:numId w:val="1410"/>
        </w:numPr>
      </w:pPr>
      <w:r>
        <w:t xml:space="preserve">Un RAID 1 protège contre une suppression accidentelle de fichier. —</w:t>
      </w:r>
      <w:r>
        <w:t xml:space="preserve"> </w:t>
      </w:r>
      <w:r>
        <w:rPr>
          <w:b/>
          <w:bCs/>
        </w:rPr>
        <w:t xml:space="preserve">Faux</w:t>
      </w:r>
      <w:r>
        <w:t xml:space="preserve"> </w:t>
      </w:r>
      <w:r>
        <w:t xml:space="preserve">(la suppression se réplique instantanément sur tous les disques du miroir).</w:t>
      </w:r>
    </w:p>
    <w:p>
      <w:pPr>
        <w:pStyle w:val="Compact"/>
        <w:numPr>
          <w:ilvl w:val="0"/>
          <w:numId w:val="1410"/>
        </w:numPr>
      </w:pPr>
      <w:r>
        <w:t xml:space="preserve">LVM peut regrouper plusieurs disques physiques dans un même groupe de volumes. —</w:t>
      </w:r>
      <w:r>
        <w:t xml:space="preserve"> </w:t>
      </w:r>
      <w:r>
        <w:rPr>
          <w:b/>
          <w:bCs/>
        </w:rPr>
        <w:t xml:space="preserve">Vrai</w:t>
      </w:r>
      <w:r>
        <w:t xml:space="preserve">.</w:t>
      </w:r>
    </w:p>
    <w:p>
      <w:pPr>
        <w:pStyle w:val="Compact"/>
        <w:numPr>
          <w:ilvl w:val="0"/>
          <w:numId w:val="1410"/>
        </w:numPr>
      </w:pPr>
      <w:r>
        <w:t xml:space="preserve">RAID 5 tolère la panne d’un disque grâce à la parité distribuée. —</w:t>
      </w:r>
      <w:r>
        <w:t xml:space="preserve"> </w:t>
      </w:r>
      <w:r>
        <w:rPr>
          <w:b/>
          <w:bCs/>
        </w:rPr>
        <w:t xml:space="preserve">Vrai</w:t>
      </w:r>
      <w:r>
        <w:t xml:space="preserve">.</w:t>
      </w:r>
    </w:p>
    <w:p>
      <w:pPr>
        <w:pStyle w:val="Compact"/>
        <w:numPr>
          <w:ilvl w:val="0"/>
          <w:numId w:val="1410"/>
        </w:numPr>
      </w:pPr>
      <w:r>
        <w:t xml:space="preserve">Configurer LVM dès l’installation d’un serveur a un coût généralement élevé et complexe. —</w:t>
      </w:r>
      <w:r>
        <w:t xml:space="preserve"> </w:t>
      </w:r>
      <w:r>
        <w:rPr>
          <w:b/>
          <w:bCs/>
        </w:rPr>
        <w:t xml:space="preserve">Faux</w:t>
      </w:r>
      <w:r>
        <w:t xml:space="preserve"> </w:t>
      </w:r>
      <w:r>
        <w:t xml:space="preserve">(le coût est quasiment nul, souvent une simple case à cocher à l’installation).</w:t>
      </w:r>
    </w:p>
    <w:p>
      <w:pPr>
        <w:pStyle w:val="FirstParagraph"/>
      </w:pPr>
      <w:r>
        <w:t xml:space="preserve">📝 Questions ouvertes</w:t>
      </w:r>
    </w:p>
    <w:p>
      <w:pPr>
        <w:pStyle w:val="Compact"/>
        <w:numPr>
          <w:ilvl w:val="0"/>
          <w:numId w:val="1411"/>
        </w:numPr>
      </w:pPr>
      <w:r>
        <w:t xml:space="preserve">Explique pourquoi le RAID et la sauvegarde répondent à deux risques différents, et pourquoi l’un ne remplace jamais l’autre.</w:t>
      </w:r>
    </w:p>
    <w:p>
      <w:pPr>
        <w:pStyle w:val="Compact"/>
        <w:numPr>
          <w:ilvl w:val="0"/>
          <w:numId w:val="1411"/>
        </w:numPr>
      </w:pPr>
      <w:r>
        <w:t xml:space="preserve">Reprends le scénario d’ouverture. Explique, en 3 à 5 phrases, ce que tu recommanderais pour le prochain serveur afin d’éviter que ce type de situation stressante ne se reproduise.</w:t>
      </w:r>
    </w:p>
    <w:p>
      <w:pPr>
        <w:pStyle w:val="FirstParagraph"/>
      </w:pPr>
      <w:r>
        <w:rPr>
          <w:b/>
          <w:bCs/>
        </w:rPr>
        <w:t xml:space="preserve">Corrigé 1</w:t>
      </w:r>
      <w:r>
        <w:t xml:space="preserve"> </w:t>
      </w:r>
      <w:r>
        <w:t xml:space="preserve">: le RAID protège contre une défaillance</w:t>
      </w:r>
      <w:r>
        <w:t xml:space="preserve"> </w:t>
      </w:r>
      <w:r>
        <w:rPr>
          <w:b/>
          <w:bCs/>
        </w:rPr>
        <w:t xml:space="preserve">matérielle</w:t>
      </w:r>
      <w:r>
        <w:t xml:space="preserve"> </w:t>
      </w:r>
      <w:r>
        <w:t xml:space="preserve">d’un disque physique — un composant qui tombe réellement en panne. La sauvegarde protège contre une perte</w:t>
      </w:r>
      <w:r>
        <w:t xml:space="preserve"> </w:t>
      </w:r>
      <w:r>
        <w:rPr>
          <w:b/>
          <w:bCs/>
        </w:rPr>
        <w:t xml:space="preserve">logique</w:t>
      </w:r>
      <w:r>
        <w:t xml:space="preserve"> </w:t>
      </w:r>
      <w:r>
        <w:t xml:space="preserve">des données elles-mêmes — suppression accidentelle, corruption, rançongiciel, erreur humaine — des événements qui se répliquent instantanément et fidèlement sur tous les disques d’un groupe RAID, y compris les disques redondants, précisément parce que le RAID réplique fidèlement tout ce qui est écrit, y compris les erreurs. Les deux mécanismes se complètent pour couvrir des risques distincts, jamais l’un au détriment de l’autre.</w:t>
      </w:r>
    </w:p>
    <w:p>
      <w:pPr>
        <w:pStyle w:val="BodyText"/>
      </w:pPr>
      <w:r>
        <w:rPr>
          <w:b/>
          <w:bCs/>
        </w:rPr>
        <w:t xml:space="preserve">Corrigé 2</w:t>
      </w:r>
      <w:r>
        <w:t xml:space="preserve"> </w:t>
      </w:r>
      <w:r>
        <w:t xml:space="preserve">: je recommanderais de configurer LVM dès l’installation du prochain serveur, même sans besoin d’extension immédiatement identifié, pour permettre une extension à chaud future sans stress ni risque (section 17.3). J’ajouterais une supervision proactive de l’espace disque avec des seuils d’alerte plus précoces (par exemple 70% plutôt que d’attendre 90%), laissant davantage de temps pour planifier une extension sereinement plutôt que dans l’urgence d’un vendredi après-midi. Enfin, je documenterais cette architecture de stockage dans la CMDB du chapitre 3, pour que toute personne intervenant plus tard comprenne immédiatement la configuration en place.</w:t>
      </w:r>
    </w:p>
    <w:bookmarkEnd w:id="435"/>
    <w:bookmarkStart w:id="436" w:name="exercices-16"/>
    <w:p>
      <w:pPr>
        <w:pStyle w:val="Heading2"/>
      </w:pPr>
      <w:r>
        <w:t xml:space="preserve">Exercices</w:t>
      </w:r>
    </w:p>
    <w:p>
      <w:pPr>
        <w:pStyle w:val="FirstParagraph"/>
      </w:pPr>
      <w:r>
        <w:t xml:space="preserve">📝 Exercice 17.1</w:t>
      </w:r>
    </w:p>
    <w:p>
      <w:pPr>
        <w:pStyle w:val="BodyText"/>
      </w:pPr>
      <w:r>
        <w:t xml:space="preserve">Un serveur dispose d’un groupe de volumes LVM avec 100 Go d’espace total, dont 80 Go déjà alloués à des volumes logiques existants. Un administrateur souhaite créer un nouveau volume logique de 30 Go. Explique pourquoi cette opération échouera telle quelle, et propose deux solutions possibles.</w:t>
      </w:r>
    </w:p>
    <w:p>
      <w:pPr>
        <w:pStyle w:val="BodyText"/>
      </w:pPr>
      <w:r>
        <w:rPr>
          <w:b/>
          <w:bCs/>
        </w:rPr>
        <w:t xml:space="preserve">Corrigé :</w:t>
      </w:r>
      <w:r>
        <w:t xml:space="preserve"> </w:t>
      </w:r>
      <w:r>
        <w:t xml:space="preserve">Le groupe de volumes ne dispose que de 20 Go d’espace libre (100 Go moins les 80 Go déjà alloués), insuffisant pour créer un nouveau volume logique de 30 Go. Deux solutions possibles : (1) ajouter un nouveau disque physique au groupe de volumes existant via</w:t>
      </w:r>
      <w:r>
        <w:t xml:space="preserve"> </w:t>
      </w:r>
      <w:r>
        <w:rPr>
          <w:rStyle w:val="VerbatimChar"/>
        </w:rPr>
        <w:t xml:space="preserve">pvcreate</w:t>
      </w:r>
      <w:r>
        <w:t xml:space="preserve"> </w:t>
      </w:r>
      <w:r>
        <w:t xml:space="preserve">puis</w:t>
      </w:r>
      <w:r>
        <w:t xml:space="preserve"> </w:t>
      </w:r>
      <w:r>
        <w:rPr>
          <w:rStyle w:val="VerbatimChar"/>
        </w:rPr>
        <w:t xml:space="preserve">vgextend</w:t>
      </w:r>
      <w:r>
        <w:t xml:space="preserve"> </w:t>
      </w:r>
      <w:r>
        <w:t xml:space="preserve">(section 17.3), augmentant l’espace total disponible avant de créer le nouveau volume logique ; (2) réduire un volume logique existant sous-utilisé (une opération plus délicate, qui nécessite généralement de démonter le volume et de réduire d’abord le système de fichiers avant le volume logique lui-même, dans l’ordre inverse de l’extension) pour libérer de l’espace au sein du groupe de volumes actuel.</w:t>
      </w:r>
    </w:p>
    <w:p>
      <w:pPr>
        <w:pStyle w:val="BodyText"/>
      </w:pPr>
      <w:r>
        <w:t xml:space="preserve">📝 Exercice 17.2</w:t>
      </w:r>
    </w:p>
    <w:p>
      <w:pPr>
        <w:pStyle w:val="BodyText"/>
      </w:pPr>
      <w:r>
        <w:t xml:space="preserve">Rédige, en 3 à 5 phrases, pourquoi séparer les volumes logiques</w:t>
      </w:r>
      <w:r>
        <w:t xml:space="preserve"> </w:t>
      </w:r>
      <w:r>
        <w:t xml:space="preserve">“données applicatives”</w:t>
      </w:r>
      <w:r>
        <w:t xml:space="preserve"> </w:t>
      </w:r>
      <w:r>
        <w:t xml:space="preserve">et</w:t>
      </w:r>
      <w:r>
        <w:t xml:space="preserve"> </w:t>
      </w:r>
      <w:r>
        <w:t xml:space="preserve">“journaux”</w:t>
      </w:r>
      <w:r>
        <w:t xml:space="preserve"> </w:t>
      </w:r>
      <w:r>
        <w:t xml:space="preserve">(section 17.5) constitue une bonne pratique, en donnant un exemple concret de problème que cette séparation permettrait d’éviter.</w:t>
      </w:r>
    </w:p>
    <w:p>
      <w:pPr>
        <w:pStyle w:val="BodyText"/>
      </w:pPr>
      <w:r>
        <w:rPr>
          <w:b/>
          <w:bCs/>
        </w:rPr>
        <w:t xml:space="preserve">Corrigé (exemple de réponse) :</w:t>
      </w:r>
      <w:r>
        <w:t xml:space="preserve"> </w:t>
      </w:r>
      <w:r>
        <w:t xml:space="preserve">Séparer ces volumes logiques limite l’impact d’un problème localisé à un seul type de données. Par exemple, si un bug applicatif provoque une explosion soudaine du volume de journaux générés (un cas fréquent, notamment lors d’une boucle d’erreur répétée), un volume logique dédié aux journaux saturerait sans affecter l’espace disponible pour les données applicatives critiques — alors qu’un volume unique partagé verrait les deux types de données menacés simultanément par le même incident, risquant de bloquer l’application elle-même faute d’espace disponible pour ses propres données.</w:t>
      </w:r>
    </w:p>
    <w:bookmarkEnd w:id="436"/>
    <w:bookmarkStart w:id="437" w:name="checklist-de-fin-de-chapitre-16"/>
    <w:p>
      <w:pPr>
        <w:pStyle w:val="Heading2"/>
      </w:pPr>
      <w:r>
        <w:t xml:space="preserve">Checklist de fin de chapitre</w:t>
      </w:r>
    </w:p>
    <w:p>
      <w:pPr>
        <w:pStyle w:val="FirstParagraph"/>
      </w:pPr>
      <w:r>
        <w:t xml:space="preserve">☐ Je comprends la différence entre partitionnement traditionnel et LVM.</w:t>
      </w:r>
    </w:p>
    <w:p>
      <w:pPr>
        <w:pStyle w:val="BodyText"/>
      </w:pPr>
      <w:r>
        <w:t xml:space="preserve">☐ Je connais la hiérarchie LVM : volumes physiques, groupes de volumes, volumes logiques.</w:t>
      </w:r>
    </w:p>
    <w:p>
      <w:pPr>
        <w:pStyle w:val="BodyText"/>
      </w:pPr>
      <w:r>
        <w:t xml:space="preserve">☐ Je sais étendre un volume logique LVM à chaud, y compris l’étape d’extension du système de fichiers.</w:t>
      </w:r>
    </w:p>
    <w:p>
      <w:pPr>
        <w:pStyle w:val="BodyText"/>
      </w:pPr>
      <w:r>
        <w:t xml:space="preserve">☐ Je connais les niveaux RAID courants (0, 1, 5, 10) et leurs compromis performance/tolérance de panne.</w:t>
      </w:r>
    </w:p>
    <w:p>
      <w:pPr>
        <w:pStyle w:val="BodyText"/>
      </w:pPr>
      <w:r>
        <w:t xml:space="preserve">☐ Je comprends pourquoi RAID 0 n’offre aucune protection des données.</w:t>
      </w:r>
    </w:p>
    <w:p>
      <w:pPr>
        <w:pStyle w:val="BodyText"/>
      </w:pPr>
      <w:r>
        <w:t xml:space="preserve">☐ Je comprends pourquoi le RAID ne remplace jamais une stratégie de sauvegarde.</w:t>
      </w:r>
    </w:p>
    <w:bookmarkEnd w:id="437"/>
    <w:bookmarkStart w:id="438" w:name="faq-16"/>
    <w:p>
      <w:pPr>
        <w:pStyle w:val="Heading2"/>
      </w:pPr>
      <w:r>
        <w:t xml:space="preserve">FAQ</w:t>
      </w:r>
    </w:p>
    <w:p>
      <w:pPr>
        <w:pStyle w:val="FirstParagraph"/>
      </w:pPr>
      <w:r>
        <w:t xml:space="preserve">Peut-on convertir un serveur déjà installé en partitionnement traditionnel vers LVM sans réinstallation ?</w:t>
      </w:r>
    </w:p>
    <w:p>
      <w:pPr>
        <w:pStyle w:val="BodyText"/>
      </w:pPr>
      <w:r>
        <w:t xml:space="preserve">C’est techniquement possible dans certains cas avec des outils spécialisés, mais généralement complexe et risqué sur un système déjà en production — c’est précisément pourquoi la bonne pratique de la section 17.3 recommande de configurer LVM dès l’installation initiale, plutôt que de compter sur une migration ultérieure incertaine.</w:t>
      </w:r>
    </w:p>
    <w:p>
      <w:pPr>
        <w:pStyle w:val="BodyText"/>
      </w:pPr>
      <w:r>
        <w:t xml:space="preserve">Le RAID logiciel (</w:t>
      </w:r>
      <w:r>
        <w:rPr>
          <w:rStyle w:val="VerbatimChar"/>
        </w:rPr>
        <w:t xml:space="preserve">mdadm</w:t>
      </w:r>
      <w:r>
        <w:t xml:space="preserve">) est-il moins performant que le RAID matériel ?</w:t>
      </w:r>
    </w:p>
    <w:p>
      <w:pPr>
        <w:pStyle w:val="BodyText"/>
      </w:pPr>
      <w:r>
        <w:t xml:space="preserve">Le RAID matériel dédié peut offrir de meilleures performances dans certains scénarios intensifs grâce à un processeur dédié sur le contrôleur, mais le RAID logiciel moderne reste largement suffisant pour la grande majorité des besoins d’un serveur d’entreprise standard, avec l’avantage d’une plus grande flexibilité et d’une absence de dépendance à un contrôleur matériel propriétaire spécifique.</w:t>
      </w:r>
    </w:p>
    <w:p>
      <w:pPr>
        <w:pStyle w:val="BodyText"/>
      </w:pPr>
      <w:r>
        <w:t xml:space="preserve">Combien de disques physiques faut-il au minimum pour chaque niveau RAID ?</w:t>
      </w:r>
    </w:p>
    <w:p>
      <w:pPr>
        <w:pStyle w:val="BodyText"/>
      </w:pPr>
      <w:r>
        <w:t xml:space="preserve">RAID 0 et RAID 1 nécessitent un minimum de deux disques ; RAID 5 nécessite un minimum de trois disques (pour bénéficier réellement de la parité distribuée) ; RAID 10 nécessite un minimum de quatre disques, par paires de deux.</w:t>
      </w:r>
    </w:p>
    <w:p>
      <w:pPr>
        <w:pStyle w:val="BodyText"/>
      </w:pPr>
      <w:r>
        <w:t xml:space="preserve">Faut-il toujours combiner LVM et RAID, ou l’un seul peut-il suffire ?</w:t>
      </w:r>
    </w:p>
    <w:p>
      <w:pPr>
        <w:pStyle w:val="BodyText"/>
      </w:pPr>
      <w:r>
        <w:t xml:space="preserve">Cela dépend du contexte : un petit serveur de test sans exigence de tolérance de panne peut se contenter de LVM seul pour sa flexibilité ; un serveur de production critique bénéficie généralement des deux ensemble, comme illustré dans l’atelier de ce chapitre, pour cumuler flexibilité et résilience matérielle.</w:t>
      </w:r>
    </w:p>
    <w:bookmarkEnd w:id="438"/>
    <w:bookmarkStart w:id="442" w:name="références-et-pour-aller-plus-loin-16"/>
    <w:p>
      <w:pPr>
        <w:pStyle w:val="Heading2"/>
      </w:pPr>
      <w:r>
        <w:t xml:space="preserve">Références et pour aller plus loin</w:t>
      </w:r>
    </w:p>
    <w:p>
      <w:pPr>
        <w:pStyle w:val="Compact"/>
        <w:numPr>
          <w:ilvl w:val="0"/>
          <w:numId w:val="1412"/>
        </w:numPr>
      </w:pPr>
      <w:r>
        <w:t xml:space="preserve">Documentation officielle Red Hat — Gestion du stockage LVM :</w:t>
      </w:r>
      <w:r>
        <w:t xml:space="preserve"> </w:t>
      </w:r>
      <w:hyperlink r:id="rId439">
        <w:r>
          <w:rPr>
            <w:rStyle w:val="Hyperlink"/>
          </w:rPr>
          <w:t xml:space="preserve">https://access.redhat.com/documentation/fr-fr/red_hat_enterprise_linux/9/html/configuring_and_managing_logical_volumes/index</w:t>
        </w:r>
      </w:hyperlink>
    </w:p>
    <w:p>
      <w:pPr>
        <w:pStyle w:val="Compact"/>
        <w:numPr>
          <w:ilvl w:val="0"/>
          <w:numId w:val="1412"/>
        </w:numPr>
      </w:pPr>
      <w:r>
        <w:t xml:space="preserve">Documentation officielle du RAID logiciel Linux (</w:t>
      </w:r>
      <w:r>
        <w:rPr>
          <w:rStyle w:val="VerbatimChar"/>
        </w:rPr>
        <w:t xml:space="preserve">mdadm</w:t>
      </w:r>
      <w:r>
        <w:t xml:space="preserve">) :</w:t>
      </w:r>
      <w:r>
        <w:t xml:space="preserve"> </w:t>
      </w:r>
      <w:hyperlink r:id="rId440">
        <w:r>
          <w:rPr>
            <w:rStyle w:val="Hyperlink"/>
          </w:rPr>
          <w:t xml:space="preserve">https://raid.wiki.kernel.org/index.php/Linux_Raid</w:t>
        </w:r>
      </w:hyperlink>
    </w:p>
    <w:p>
      <w:pPr>
        <w:pStyle w:val="Compact"/>
        <w:numPr>
          <w:ilvl w:val="0"/>
          <w:numId w:val="1412"/>
        </w:numPr>
      </w:pPr>
      <w:r>
        <w:t xml:space="preserve">Documentation Ubuntu Server — LVM :</w:t>
      </w:r>
      <w:r>
        <w:t xml:space="preserve"> </w:t>
      </w:r>
      <w:hyperlink r:id="rId441">
        <w:r>
          <w:rPr>
            <w:rStyle w:val="Hyperlink"/>
          </w:rPr>
          <w:t xml:space="preserve">https://ubuntu.com/server/docs/lvm-basic-volume-management</w:t>
        </w:r>
      </w:hyperlink>
    </w:p>
    <w:p>
      <w:pPr>
        <w:pStyle w:val="FirstParagraph"/>
      </w:pPr>
      <w:r>
        <w:rPr>
          <w:i/>
          <w:iCs/>
        </w:rPr>
        <w:t xml:space="preserve">Chapitre suivant : utilisateurs, groupes et permissions avancées — ACL et sudo, pour comprendre comment contrôler précisément qui peut faire quoi sur un serveur Linux.</w:t>
      </w:r>
    </w:p>
    <w:p>
      <w:pPr>
        <w:pStyle w:val="BodyText"/>
      </w:pPr>
      <w:r>
        <w:t xml:space="preserve">CHAPITRE 18</w:t>
      </w:r>
    </w:p>
    <w:bookmarkEnd w:id="442"/>
    <w:bookmarkEnd w:id="443"/>
    <w:bookmarkStart w:id="464" w:name="X325214e16fba2b37c8af2a64f2404ad0ab1c7d6"/>
    <w:p>
      <w:pPr>
        <w:pStyle w:val="Heading1"/>
      </w:pPr>
      <w:r>
        <w:t xml:space="preserve">Utilisateurs, groupes et permissions avancées : ACL et sudo</w:t>
      </w:r>
    </w:p>
    <w:p>
      <w:pPr>
        <w:pStyle w:val="FirstParagraph"/>
      </w:pPr>
      <w:r>
        <w:t xml:space="preserve">🎯 Objectif du chapitre</w:t>
      </w:r>
      <w:r>
        <w:t xml:space="preserve"> </w:t>
      </w:r>
      <w:r>
        <w:t xml:space="preserve">Aller au-delà du modèle traditionnel de permissions Unix (propriétaire/groupe/autres) pour maîtriser les listes de contrôle d’accès (ACL), qui permettent des permissions fines impossibles avec le modèle classique, et</w:t>
      </w:r>
      <w:r>
        <w:t xml:space="preserve"> </w:t>
      </w:r>
      <w:r>
        <w:rPr>
          <w:rStyle w:val="VerbatimChar"/>
        </w:rPr>
        <w:t xml:space="preserve">sudo</w:t>
      </w:r>
      <w:r>
        <w:t xml:space="preserve">, qui permet de déléguer des privilèges précis sans jamais partager le mot de passe root. À la fin de ce chapitre, tu sauras configurer une règle</w:t>
      </w:r>
      <w:r>
        <w:t xml:space="preserve"> </w:t>
      </w:r>
      <w:r>
        <w:rPr>
          <w:rStyle w:val="VerbatimChar"/>
        </w:rPr>
        <w:t xml:space="preserve">sudo</w:t>
      </w:r>
      <w:r>
        <w:t xml:space="preserve"> </w:t>
      </w:r>
      <w:r>
        <w:t xml:space="preserve">restreinte à une tâche précise, appliquer une ACL pour un besoin de collaboration réel, et éviter le piège de sécurité le plus répandu et le plus dangereux de la configuration</w:t>
      </w:r>
      <w:r>
        <w:t xml:space="preserve"> </w:t>
      </w:r>
      <w:r>
        <w:rPr>
          <w:rStyle w:val="VerbatimChar"/>
        </w:rPr>
        <w:t xml:space="preserve">sudo</w:t>
      </w:r>
      <w:r>
        <w:t xml:space="preserve">.</w:t>
      </w:r>
    </w:p>
    <w:p>
      <w:pPr>
        <w:pStyle w:val="BodyText"/>
      </w:pPr>
      <w:r>
        <w:t xml:space="preserve">🎬 Mise en situation</w:t>
      </w:r>
      <w:r>
        <w:t xml:space="preserve"> </w:t>
      </w:r>
      <w:r>
        <w:t xml:space="preserve">Un second développeur freelance rejoint le projet de portail client. Le développeur principal, pressé de lui donner accès au serveur, ajoute la ligne suivante dans le fichier de configuration</w:t>
      </w:r>
      <w:r>
        <w:t xml:space="preserve"> </w:t>
      </w:r>
      <w:r>
        <w:rPr>
          <w:rStyle w:val="VerbatimChar"/>
        </w:rPr>
        <w:t xml:space="preserve">sudo</w:t>
      </w:r>
      <w:r>
        <w:t xml:space="preserve"> </w:t>
      </w:r>
      <w:r>
        <w:t xml:space="preserve">:</w:t>
      </w:r>
      <w:r>
        <w:t xml:space="preserve"> </w:t>
      </w:r>
      <w:r>
        <w:t xml:space="preserve">nouveau_dev ALL=(ALL) NOPASSWD: ALL</w:t>
      </w:r>
      <w:r>
        <w:t xml:space="preserve">.</w:t>
      </w:r>
      <w:r>
        <w:t xml:space="preserve"> </w:t>
      </w:r>
      <w:r>
        <w:t xml:space="preserve">“Comme ça il peut tout faire sans qu’on ait à s’en soucier”</w:t>
      </w:r>
      <w:r>
        <w:t xml:space="preserve">, t’explique-t-il. En parallèle, les deux développeurs doivent collaborer sur un même dossier de journaux applicatifs — l’un doit pouvoir lire et écrire, l’autre seulement lire, sans que ni l’un ni l’autre ne fasse partie du même groupe Unix que le propriétaire du dossier. Ces deux besoins, mal résolus, sont exactement ce que ce chapitre corrige : une délégation de privilèges précise plutôt que totale, et une gestion de permissions fine plutôt qu’une approche binaire tout-ou-rien.</w:t>
      </w:r>
    </w:p>
    <w:bookmarkStart w:id="444" w:name="X73268010c79102ef4a4fc942533e49a5963275d"/>
    <w:p>
      <w:pPr>
        <w:pStyle w:val="Heading2"/>
      </w:pPr>
      <w:r>
        <w:t xml:space="preserve">18.1 Rappel du modèle traditionnel et ses limites</w:t>
      </w:r>
    </w:p>
    <w:p>
      <w:pPr>
        <w:pStyle w:val="FirstParagraph"/>
      </w:pPr>
      <w:r>
        <w:t xml:space="preserve">Le modèle traditionnel Unix attribue des permissions de lecture, écriture et exécution (</w:t>
      </w:r>
      <w:r>
        <w:rPr>
          <w:rStyle w:val="VerbatimChar"/>
        </w:rPr>
        <w:t xml:space="preserve">rwx</w:t>
      </w:r>
      <w:r>
        <w:t xml:space="preserve">) selon trois catégories : le</w:t>
      </w:r>
      <w:r>
        <w:t xml:space="preserve"> </w:t>
      </w:r>
      <w:r>
        <w:rPr>
          <w:b/>
          <w:bCs/>
        </w:rPr>
        <w:t xml:space="preserve">propriétaire</w:t>
      </w:r>
      <w:r>
        <w:t xml:space="preserve"> </w:t>
      </w:r>
      <w:r>
        <w:t xml:space="preserve">du fichier, son</w:t>
      </w:r>
      <w:r>
        <w:t xml:space="preserve"> </w:t>
      </w:r>
      <w:r>
        <w:rPr>
          <w:b/>
          <w:bCs/>
        </w:rPr>
        <w:t xml:space="preserve">groupe</w:t>
      </w:r>
      <w:r>
        <w:t xml:space="preserve">, et</w:t>
      </w:r>
      <w:r>
        <w:t xml:space="preserve"> </w:t>
      </w:r>
      <w:r>
        <w:rPr>
          <w:b/>
          <w:bCs/>
        </w:rPr>
        <w:t xml:space="preserve">les autres</w:t>
      </w:r>
      <w:r>
        <w:t xml:space="preserve">. Ce modèle, simple et efficace pour la majorité des cas, atteint vite ses limites dès qu’un besoin de permission plus fin apparaît.</w:t>
      </w:r>
    </w:p>
    <w:p>
      <w:pPr>
        <w:pStyle w:val="BodyText"/>
      </w:pPr>
      <w:r>
        <w:t xml:space="preserve">⚠️ La limite exacte rencontrée dans le scénario d’ouverture</w:t>
      </w:r>
      <w:r>
        <w:t xml:space="preserve"> </w:t>
      </w:r>
      <w:r>
        <w:t xml:space="preserve">Le modèle traditionnel ne permet d’attribuer qu’</w:t>
      </w:r>
      <w:r>
        <w:rPr>
          <w:b/>
          <w:bCs/>
        </w:rPr>
        <w:t xml:space="preserve">un seul</w:t>
      </w:r>
      <w:r>
        <w:t xml:space="preserve"> </w:t>
      </w:r>
      <w:r>
        <w:t xml:space="preserve">jeu de permissions de groupe à un fichier ou dossier. Si deux développeurs ont besoin de permissions différentes (lecture-écriture pour l’un, lecture seule pour l’autre) sur le même dossier, sans appartenir au même groupe, le modèle traditionnel ne peut tout simplement pas exprimer cette distinction — il faudrait soit leur donner les mêmes droits à tous les deux, soit créer une architecture de groupes plus complexe que nécessaire pour un besoin aussi ponctuel.</w:t>
      </w:r>
    </w:p>
    <w:bookmarkEnd w:id="444"/>
    <w:bookmarkStart w:id="445" w:name="X95099c5db319bdb7e3e7e128027c7115dc9cff3"/>
    <w:p>
      <w:pPr>
        <w:pStyle w:val="Heading2"/>
      </w:pPr>
      <w:r>
        <w:t xml:space="preserve">18.2 Les ACL : des permissions fines par utilisateur ou groupe précis</w:t>
      </w:r>
    </w:p>
    <w:p>
      <w:pPr>
        <w:pStyle w:val="FirstParagraph"/>
      </w:pPr>
      <w:r>
        <w:t xml:space="preserve">Les</w:t>
      </w:r>
      <w:r>
        <w:t xml:space="preserve"> </w:t>
      </w:r>
      <w:r>
        <w:rPr>
          <w:b/>
          <w:bCs/>
        </w:rPr>
        <w:t xml:space="preserve">ACL</w:t>
      </w:r>
      <w:r>
        <w:t xml:space="preserve"> </w:t>
      </w:r>
      <w:r>
        <w:t xml:space="preserve">(</w:t>
      </w:r>
      <w:r>
        <w:rPr>
          <w:i/>
          <w:iCs/>
        </w:rPr>
        <w:t xml:space="preserve">Access Control Lists</w:t>
      </w:r>
      <w:r>
        <w:t xml:space="preserve">) étendent le modèle traditionnel en permettant d’attribuer des permissions à des utilisateurs ou groupes</w:t>
      </w:r>
      <w:r>
        <w:t xml:space="preserve"> </w:t>
      </w:r>
      <w:r>
        <w:rPr>
          <w:b/>
          <w:bCs/>
        </w:rPr>
        <w:t xml:space="preserve">spécifiques</w:t>
      </w:r>
      <w:r>
        <w:t xml:space="preserve">, au-delà du simple propriétaire/groupe/autres.</w:t>
      </w:r>
    </w:p>
    <w:p>
      <w:pPr>
        <w:pStyle w:val="SourceCode"/>
      </w:pPr>
      <w:r>
        <w:rPr>
          <w:rStyle w:val="VerbatimChar"/>
        </w:rPr>
        <w:t xml:space="preserve"># Consulter les ACL actuelles d'un dossier</w:t>
      </w:r>
      <w:r>
        <w:br/>
      </w:r>
      <w:r>
        <w:rPr>
          <w:rStyle w:val="VerbatimChar"/>
        </w:rPr>
        <w:t xml:space="preserve">getfacl /var/portail/journaux</w:t>
      </w:r>
      <w:r>
        <w:br/>
      </w:r>
      <w:r>
        <w:br/>
      </w:r>
      <w:r>
        <w:rPr>
          <w:rStyle w:val="VerbatimChar"/>
        </w:rPr>
        <w:t xml:space="preserve"># Accorder la lecture et l'ecriture a un utilisateur precis (dev_principal),</w:t>
      </w:r>
      <w:r>
        <w:br/>
      </w:r>
      <w:r>
        <w:rPr>
          <w:rStyle w:val="VerbatimChar"/>
        </w:rPr>
        <w:t xml:space="preserve"># sans toucher aux permissions traditionnelles existantes ni au groupe</w:t>
      </w:r>
      <w:r>
        <w:br/>
      </w:r>
      <w:r>
        <w:rPr>
          <w:rStyle w:val="VerbatimChar"/>
        </w:rPr>
        <w:t xml:space="preserve">setfacl -m u:dev_principal:rw /var/portail/journaux</w:t>
      </w:r>
      <w:r>
        <w:br/>
      </w:r>
      <w:r>
        <w:br/>
      </w:r>
      <w:r>
        <w:rPr>
          <w:rStyle w:val="VerbatimChar"/>
        </w:rPr>
        <w:t xml:space="preserve"># Accorder uniquement la lecture a un second utilisateur precis (nouveau_dev)</w:t>
      </w:r>
      <w:r>
        <w:br/>
      </w:r>
      <w:r>
        <w:rPr>
          <w:rStyle w:val="VerbatimChar"/>
        </w:rPr>
        <w:t xml:space="preserve">setfacl -m u:nouveau_dev:r /var/portail/journaux</w:t>
      </w:r>
      <w:r>
        <w:br/>
      </w:r>
      <w:r>
        <w:br/>
      </w:r>
      <w:r>
        <w:rPr>
          <w:rStyle w:val="VerbatimChar"/>
        </w:rPr>
        <w:t xml:space="preserve"># Appliquer recursivement une ACL a un dossier et tout son contenu existant</w:t>
      </w:r>
      <w:r>
        <w:br/>
      </w:r>
      <w:r>
        <w:rPr>
          <w:rStyle w:val="VerbatimChar"/>
        </w:rPr>
        <w:t xml:space="preserve">setfacl -R -m u:dev_principal:rw /var/portail/journaux</w:t>
      </w:r>
      <w:r>
        <w:br/>
      </w:r>
      <w:r>
        <w:br/>
      </w:r>
      <w:r>
        <w:rPr>
          <w:rStyle w:val="VerbatimChar"/>
        </w:rPr>
        <w:t xml:space="preserve"># Definir une ACL "par defaut" : tout nouveau fichier cree dans ce dossier</w:t>
      </w:r>
      <w:r>
        <w:br/>
      </w:r>
      <w:r>
        <w:rPr>
          <w:rStyle w:val="VerbatimChar"/>
        </w:rPr>
        <w:t xml:space="preserve"># heritera automatiquement de ces memes permissions (essentiel pour un</w:t>
      </w:r>
      <w:r>
        <w:br/>
      </w:r>
      <w:r>
        <w:rPr>
          <w:rStyle w:val="VerbatimChar"/>
        </w:rPr>
        <w:t xml:space="preserve"># dossier partage ou de nouveaux fichiers sont crees en continu)</w:t>
      </w:r>
      <w:r>
        <w:br/>
      </w:r>
      <w:r>
        <w:rPr>
          <w:rStyle w:val="VerbatimChar"/>
        </w:rPr>
        <w:t xml:space="preserve">setfacl -d -m u:dev_principal:rw /var/portail/journaux</w:t>
      </w:r>
    </w:p>
    <w:p>
      <w:pPr>
        <w:pStyle w:val="FirstParagraph"/>
      </w:pPr>
      <w:r>
        <w:t xml:space="preserve">💡 Explication de la solution au scénario d’ouverture</w:t>
      </w:r>
      <w:r>
        <w:t xml:space="preserve"> </w:t>
      </w:r>
      <w:r>
        <w:t xml:space="preserve">Avec ces commandes,</w:t>
      </w:r>
      <w:r>
        <w:t xml:space="preserve"> </w:t>
      </w:r>
      <w:r>
        <w:rPr>
          <w:rStyle w:val="VerbatimChar"/>
        </w:rPr>
        <w:t xml:space="preserve">dev_principal</w:t>
      </w:r>
      <w:r>
        <w:t xml:space="preserve"> </w:t>
      </w:r>
      <w:r>
        <w:t xml:space="preserve">obtient lecture et écriture sur le dossier de journaux, tandis que</w:t>
      </w:r>
      <w:r>
        <w:t xml:space="preserve"> </w:t>
      </w:r>
      <w:r>
        <w:rPr>
          <w:rStyle w:val="VerbatimChar"/>
        </w:rPr>
        <w:t xml:space="preserve">nouveau_dev</w:t>
      </w:r>
      <w:r>
        <w:t xml:space="preserve"> </w:t>
      </w:r>
      <w:r>
        <w:t xml:space="preserve">obtient uniquement la lecture — exactement le besoin exprimé dans le scénario d’ouverture, sans avoir à restructurer les groupes Unix existants ni à donner les mêmes droits aux deux développeurs. L’ACL par défaut (</w:t>
      </w:r>
      <w:r>
        <w:t xml:space="preserve">-d</w:t>
      </w:r>
      <w:r>
        <w:t xml:space="preserve">) garantit que ce comportement s’applique aussi aux futurs fichiers de journaux créés dans ce dossier, pas seulement à ceux qui existent au moment de la commande.</w:t>
      </w:r>
    </w:p>
    <w:p>
      <w:pPr>
        <w:pStyle w:val="BodyText"/>
      </w:pPr>
      <w:r>
        <w:t xml:space="preserve">⚠️ Un fichier avec une ACL affiche un</w:t>
      </w:r>
      <w:r>
        <w:t xml:space="preserve"> </w:t>
      </w:r>
      <w:r>
        <w:t xml:space="preserve">“+”</w:t>
      </w:r>
      <w:r>
        <w:t xml:space="preserve"> </w:t>
      </w:r>
      <w:r>
        <w:t xml:space="preserve">dans</w:t>
      </w:r>
      <w:r>
        <w:t xml:space="preserve"> </w:t>
      </w:r>
      <w:r>
        <w:rPr>
          <w:rStyle w:val="VerbatimChar"/>
        </w:rPr>
        <w:t xml:space="preserve">ls -l</w:t>
      </w:r>
      <w:r>
        <w:t xml:space="preserve"> </w:t>
      </w:r>
      <w:r>
        <w:t xml:space="preserve">Un signe discret mais important à connaître : un fichier ou dossier disposant d’une ACL affiche un</w:t>
      </w:r>
      <w:r>
        <w:t xml:space="preserve"> </w:t>
      </w:r>
      <w:r>
        <w:t xml:space="preserve">+</w:t>
      </w:r>
      <w:r>
        <w:t xml:space="preserve"> </w:t>
      </w:r>
      <w:r>
        <w:t xml:space="preserve">à la fin de la chaîne de permissions dans la sortie de</w:t>
      </w:r>
      <w:r>
        <w:t xml:space="preserve"> </w:t>
      </w:r>
      <w:r>
        <w:t xml:space="preserve">ls -l</w:t>
      </w:r>
      <w:r>
        <w:t xml:space="preserve"> </w:t>
      </w:r>
      <w:r>
        <w:t xml:space="preserve">(par exemple</w:t>
      </w:r>
      <w:r>
        <w:t xml:space="preserve"> </w:t>
      </w:r>
      <w:r>
        <w:t xml:space="preserve">drwxr-x—+</w:t>
      </w:r>
      <w:r>
        <w:t xml:space="preserve">). Ce signal indique qu’il existe des permissions supplémentaires au-delà de ce que la chaîne de permissions traditionnelle affiche seule — un réflexe utile pour repérer qu’une vérification via</w:t>
      </w:r>
      <w:r>
        <w:t xml:space="preserve"> </w:t>
      </w:r>
      <w:r>
        <w:t xml:space="preserve">getfacl</w:t>
      </w:r>
      <w:r>
        <w:t xml:space="preserve"> </w:t>
      </w:r>
      <w:r>
        <w:t xml:space="preserve">est nécessaire pour comprendre l’ensemble réel des droits sur ce fichier.</w:t>
      </w:r>
    </w:p>
    <w:bookmarkEnd w:id="445"/>
    <w:bookmarkStart w:id="446" w:name="Xcd44567af439b10b1561e69ee34677df12900cf"/>
    <w:p>
      <w:pPr>
        <w:pStyle w:val="Heading2"/>
      </w:pPr>
      <w:r>
        <w:t xml:space="preserve">18.3</w:t>
      </w:r>
      <w:r>
        <w:t xml:space="preserve"> </w:t>
      </w:r>
      <w:r>
        <w:rPr>
          <w:rStyle w:val="VerbatimChar"/>
        </w:rPr>
        <w:t xml:space="preserve">sudo</w:t>
      </w:r>
      <w:r>
        <w:t xml:space="preserve"> </w:t>
      </w:r>
      <w:r>
        <w:t xml:space="preserve">: déléguer des privilèges sans partager le mot de passe root</w:t>
      </w:r>
    </w:p>
    <w:p>
      <w:pPr>
        <w:pStyle w:val="FirstParagraph"/>
      </w:pPr>
      <w:r>
        <w:rPr>
          <w:rStyle w:val="VerbatimChar"/>
        </w:rPr>
        <w:t xml:space="preserve">sudo</w:t>
      </w:r>
      <w:r>
        <w:t xml:space="preserve"> </w:t>
      </w:r>
      <w:r>
        <w:t xml:space="preserve">(</w:t>
      </w:r>
      <w:r>
        <w:rPr>
          <w:i/>
          <w:iCs/>
        </w:rPr>
        <w:t xml:space="preserve">superuser do</w:t>
      </w:r>
      <w:r>
        <w:t xml:space="preserve">) permet à un utilisateur autorisé d’exécuter des commandes avec les privilèges d’un autre utilisateur (généralement root), sans jamais connaître ni utiliser directement le mot de passe root lui-même. La configuration se fait dans le fichier</w:t>
      </w:r>
      <w:r>
        <w:t xml:space="preserve"> </w:t>
      </w:r>
      <w:r>
        <w:rPr>
          <w:rStyle w:val="VerbatimChar"/>
        </w:rPr>
        <w:t xml:space="preserve">/etc/sudoers</w:t>
      </w:r>
      <w:r>
        <w:t xml:space="preserve">, à éditer exclusivement via la commande</w:t>
      </w:r>
      <w:r>
        <w:t xml:space="preserve"> </w:t>
      </w:r>
      <w:r>
        <w:rPr>
          <w:rStyle w:val="VerbatimChar"/>
        </w:rPr>
        <w:t xml:space="preserve">visudo</w:t>
      </w:r>
      <w:r>
        <w:t xml:space="preserve">.</w:t>
      </w:r>
    </w:p>
    <w:p>
      <w:pPr>
        <w:pStyle w:val="BodyText"/>
      </w:pPr>
      <w:r>
        <w:t xml:space="preserve">🔒 Sécurité — pourquoi</w:t>
      </w:r>
      <w:r>
        <w:t xml:space="preserve"> </w:t>
      </w:r>
      <w:r>
        <w:rPr>
          <w:rStyle w:val="VerbatimChar"/>
        </w:rPr>
        <w:t xml:space="preserve">visudo</w:t>
      </w:r>
      <w:r>
        <w:t xml:space="preserve"> </w:t>
      </w:r>
      <w:r>
        <w:t xml:space="preserve">et jamais un éditeur de texte classique</w:t>
      </w:r>
      <w:r>
        <w:t xml:space="preserve"> </w:t>
      </w:r>
      <w:r>
        <w:rPr>
          <w:rStyle w:val="VerbatimChar"/>
        </w:rPr>
        <w:t xml:space="preserve">visudo</w:t>
      </w:r>
      <w:r>
        <w:t xml:space="preserve"> </w:t>
      </w:r>
      <w:r>
        <w:t xml:space="preserve">verrouille le fichier pendant l’édition (évitant que deux administrateurs ne le modifient simultanément, ce qui pourrait corrompre le fichier) et surtout</w:t>
      </w:r>
      <w:r>
        <w:t xml:space="preserve"> </w:t>
      </w:r>
      <w:r>
        <w:rPr>
          <w:b/>
          <w:bCs/>
        </w:rPr>
        <w:t xml:space="preserve">valide la syntaxe avant d’enregistrer</w:t>
      </w:r>
      <w:r>
        <w:t xml:space="preserve"> </w:t>
      </w:r>
      <w:r>
        <w:t xml:space="preserve">— une erreur de syntaxe dans</w:t>
      </w:r>
      <w:r>
        <w:t xml:space="preserve"> </w:t>
      </w:r>
      <w:r>
        <w:rPr>
          <w:rStyle w:val="VerbatimChar"/>
        </w:rPr>
        <w:t xml:space="preserve">/etc/sudoers</w:t>
      </w:r>
      <w:r>
        <w:t xml:space="preserve"> </w:t>
      </w:r>
      <w:r>
        <w:t xml:space="preserve">édité directement avec un éditeur classique peut bloquer purement et simplement toute utilisation de</w:t>
      </w:r>
      <w:r>
        <w:t xml:space="preserve"> </w:t>
      </w:r>
      <w:r>
        <w:rPr>
          <w:rStyle w:val="VerbatimChar"/>
        </w:rPr>
        <w:t xml:space="preserve">sudo</w:t>
      </w:r>
      <w:r>
        <w:t xml:space="preserve"> </w:t>
      </w:r>
      <w:r>
        <w:t xml:space="preserve">sur le système, y compris pour la corriger, dans un cas extrême nécessitant un accès de secours pour réparer la situation.</w:t>
      </w:r>
    </w:p>
    <w:p>
      <w:pPr>
        <w:pStyle w:val="SourceCode"/>
      </w:pPr>
      <w:r>
        <w:rPr>
          <w:rStyle w:val="VerbatimChar"/>
        </w:rPr>
        <w:t xml:space="preserve"># Toujours editer /etc/sudoers via visudo, jamais directement</w:t>
      </w:r>
      <w:r>
        <w:br/>
      </w:r>
      <w:r>
        <w:rPr>
          <w:rStyle w:val="VerbatimChar"/>
        </w:rPr>
        <w:t xml:space="preserve">sudo visudo</w:t>
      </w:r>
      <w:r>
        <w:br/>
      </w:r>
      <w:r>
        <w:br/>
      </w:r>
      <w:r>
        <w:rPr>
          <w:rStyle w:val="VerbatimChar"/>
        </w:rPr>
        <w:t xml:space="preserve"># Exemple de regle GRANULAIRE, restreinte a une tache precise :</w:t>
      </w:r>
      <w:r>
        <w:br/>
      </w:r>
      <w:r>
        <w:rPr>
          <w:rStyle w:val="VerbatimChar"/>
        </w:rPr>
        <w:t xml:space="preserve"># nouveau_dev peut redemarrer UNIQUEMENT le service nginx, rien d'autre,</w:t>
      </w:r>
      <w:r>
        <w:br/>
      </w:r>
      <w:r>
        <w:rPr>
          <w:rStyle w:val="VerbatimChar"/>
        </w:rPr>
        <w:t xml:space="preserve"># et devra saisir son propre mot de passe pour le faire</w:t>
      </w:r>
      <w:r>
        <w:br/>
      </w:r>
      <w:r>
        <w:rPr>
          <w:rStyle w:val="VerbatimChar"/>
        </w:rPr>
        <w:t xml:space="preserve">nouveau_dev ALL=(root) /usr/bin/systemctl restart nginx</w:t>
      </w:r>
      <w:r>
        <w:br/>
      </w:r>
      <w:r>
        <w:br/>
      </w:r>
      <w:r>
        <w:rPr>
          <w:rStyle w:val="VerbatimChar"/>
        </w:rPr>
        <w:t xml:space="preserve"># Exemple de regle utilisant un groupe plutot qu'un utilisateur individuel,</w:t>
      </w:r>
      <w:r>
        <w:br/>
      </w:r>
      <w:r>
        <w:rPr>
          <w:rStyle w:val="VerbatimChar"/>
        </w:rPr>
        <w:t xml:space="preserve"># plus maintenable a mesure que l'equipe grandit (section 18.5)</w:t>
      </w:r>
      <w:r>
        <w:br/>
      </w:r>
      <w:r>
        <w:rPr>
          <w:rStyle w:val="VerbatimChar"/>
        </w:rPr>
        <w:t xml:space="preserve">%dev_portail ALL=(root) /usr/bin/systemctl restart nginx, /usr/bin/systemctl restart portail-worker</w:t>
      </w:r>
    </w:p>
    <w:bookmarkEnd w:id="446"/>
    <w:bookmarkStart w:id="447" w:name="le-piège-de-allall-nopasswd-all"/>
    <w:p>
      <w:pPr>
        <w:pStyle w:val="Heading2"/>
      </w:pPr>
      <w:r>
        <w:t xml:space="preserve">18.4 Le piège de</w:t>
      </w:r>
      <w:r>
        <w:t xml:space="preserve"> </w:t>
      </w:r>
      <w:r>
        <w:rPr>
          <w:rStyle w:val="VerbatimChar"/>
        </w:rPr>
        <w:t xml:space="preserve">ALL=(ALL) NOPASSWD: ALL</w:t>
      </w:r>
    </w:p>
    <w:p>
      <w:pPr>
        <w:pStyle w:val="FirstParagraph"/>
      </w:pPr>
      <w:r>
        <w:t xml:space="preserve">Reprenons directement la configuration du scénario d’ouverture :</w:t>
      </w:r>
    </w:p>
    <w:p>
      <w:pPr>
        <w:pStyle w:val="BodyText"/>
      </w:pPr>
      <w:r>
        <w:t xml:space="preserve">❌ Mauvaise pratique —</w:t>
      </w:r>
      <w:r>
        <w:t xml:space="preserve"> </w:t>
      </w:r>
      <w:r>
        <w:rPr>
          <w:rStyle w:val="VerbatimChar"/>
        </w:rPr>
        <w:t xml:space="preserve">ALL=(ALL) NOPASSWD: ALL</w:t>
      </w:r>
      <w:r>
        <w:t xml:space="preserve"> </w:t>
      </w:r>
      <w:r>
        <w:t xml:space="preserve">Cette ligne accorde à l’utilisateur concerné un accès root</w:t>
      </w:r>
      <w:r>
        <w:t xml:space="preserve"> </w:t>
      </w:r>
      <w:r>
        <w:rPr>
          <w:b/>
          <w:bCs/>
        </w:rPr>
        <w:t xml:space="preserve">total et sans même redemander de mot de passe</w:t>
      </w:r>
      <w:r>
        <w:t xml:space="preserve"> </w:t>
      </w:r>
      <w:r>
        <w:t xml:space="preserve">— l’équivalent de lui confier directement le mot de passe root, mais en plus dangereux, car cet accès total devient permanent et invisible dans l’usage quotidien (aucune invite de mot de passe ne rappelle jamais que l’action en cours engage des privilèges root complets). Si le compte de ce développeur est compromis (phishing, mot de passe faible réutilisé ailleurs), l’attaquant obtient instantanément un accès root complet et silencieux au serveur entier.</w:t>
      </w:r>
    </w:p>
    <w:p>
      <w:pPr>
        <w:pStyle w:val="BodyText"/>
      </w:pPr>
      <w:r>
        <w:t xml:space="preserve">✅ Bonne pratique — le principe du moindre privilège appliqué à</w:t>
      </w:r>
      <w:r>
        <w:t xml:space="preserve"> </w:t>
      </w:r>
      <w:r>
        <w:rPr>
          <w:rStyle w:val="VerbatimChar"/>
        </w:rPr>
        <w:t xml:space="preserve">sudo</w:t>
      </w:r>
      <w:r>
        <w:t xml:space="preserve"> </w:t>
      </w:r>
      <w:r>
        <w:t xml:space="preserve">Rappel direct du chapitre 1 : chaque règle</w:t>
      </w:r>
      <w:r>
        <w:t xml:space="preserve"> </w:t>
      </w:r>
      <w:r>
        <w:rPr>
          <w:rStyle w:val="VerbatimChar"/>
        </w:rPr>
        <w:t xml:space="preserve">sudo</w:t>
      </w:r>
      <w:r>
        <w:t xml:space="preserve"> </w:t>
      </w:r>
      <w:r>
        <w:t xml:space="preserve">devrait accorder exactement les commandes nécessaires à la tâche réelle de la personne concernée, ni plus ni moins. Un développeur qui a besoin de redémarrer un service applicatif précis n’a pas besoin d’un accès root total pour autant — la règle granulaire de la section 18.3 couvre son besoin réel sans lui ouvrir l’ensemble du système.</w:t>
      </w:r>
    </w:p>
    <w:p>
      <w:pPr>
        <w:pStyle w:val="BodyText"/>
      </w:pPr>
      <w:r>
        <w:t xml:space="preserve">⚠️</w:t>
      </w:r>
      <w:r>
        <w:t xml:space="preserve"> </w:t>
      </w:r>
      <w:r>
        <w:rPr>
          <w:rStyle w:val="VerbatimChar"/>
        </w:rPr>
        <w:t xml:space="preserve">NOPASSWD</w:t>
      </w:r>
      <w:r>
        <w:t xml:space="preserve"> </w:t>
      </w:r>
      <w:r>
        <w:t xml:space="preserve">n’est pas systématiquement une mauvaise pratique en soi</w:t>
      </w:r>
      <w:r>
        <w:t xml:space="preserve"> </w:t>
      </w:r>
      <w:r>
        <w:t xml:space="preserve">Le vrai problème du scénario d’ouverture est la combinaison de</w:t>
      </w:r>
      <w:r>
        <w:t xml:space="preserve"> </w:t>
      </w:r>
      <w:r>
        <w:t xml:space="preserve">ALL=(ALL)</w:t>
      </w:r>
      <w:r>
        <w:t xml:space="preserve"> </w:t>
      </w:r>
      <w:r>
        <w:t xml:space="preserve">(accès total, sans restriction de commande) et</w:t>
      </w:r>
      <w:r>
        <w:t xml:space="preserve"> </w:t>
      </w:r>
      <w:r>
        <w:t xml:space="preserve">NOPASSWD</w:t>
      </w:r>
      <w:r>
        <w:t xml:space="preserve"> </w:t>
      </w:r>
      <w:r>
        <w:t xml:space="preserve">(sans re-authentification), pas</w:t>
      </w:r>
      <w:r>
        <w:t xml:space="preserve"> </w:t>
      </w:r>
      <w:r>
        <w:t xml:space="preserve">NOPASSWD</w:t>
      </w:r>
      <w:r>
        <w:t xml:space="preserve"> </w:t>
      </w:r>
      <w:r>
        <w:t xml:space="preserve">à lui seul. Une règle granulaire comme</w:t>
      </w:r>
      <w:r>
        <w:t xml:space="preserve"> </w:t>
      </w:r>
      <w:r>
        <w:t xml:space="preserve">nouveau_dev ALL=(root) NOPASSWD: /usr/bin/systemctl restart nginx</w:t>
      </w:r>
      <w:r>
        <w:t xml:space="preserve"> </w:t>
      </w:r>
      <w:r>
        <w:t xml:space="preserve">reste raisonnable pour une action fréquente, peu risquée et bien définie, notamment dans un contexte d’automatisation (Partie 9) où une invite de mot de passe interactive n’a de toute façon aucun sens.</w:t>
      </w:r>
    </w:p>
    <w:bookmarkEnd w:id="447"/>
    <w:bookmarkStart w:id="448" w:name="X5b64eef35fa7be408d6b0b13c8c42012ecd85d2"/>
    <w:p>
      <w:pPr>
        <w:pStyle w:val="Heading2"/>
      </w:pPr>
      <w:r>
        <w:t xml:space="preserve">18.5 Organiser les permissions via des groupes plutôt qu’individuellement</w:t>
      </w:r>
    </w:p>
    <w:p>
      <w:pPr>
        <w:pStyle w:val="FirstParagraph"/>
      </w:pPr>
      <w:r>
        <w:t xml:space="preserve">🚀 Performance — pourquoi les groupes simplifient la maintenance à long terme</w:t>
      </w:r>
      <w:r>
        <w:t xml:space="preserve"> </w:t>
      </w:r>
      <w:r>
        <w:t xml:space="preserve">Attribuer des règles</w:t>
      </w:r>
      <w:r>
        <w:t xml:space="preserve"> </w:t>
      </w:r>
      <w:r>
        <w:rPr>
          <w:rStyle w:val="VerbatimChar"/>
        </w:rPr>
        <w:t xml:space="preserve">sudo</w:t>
      </w:r>
      <w:r>
        <w:t xml:space="preserve"> </w:t>
      </w:r>
      <w:r>
        <w:t xml:space="preserve">ou des ACL à des groupes plutôt qu’à des utilisateurs individuels (comme</w:t>
      </w:r>
      <w:r>
        <w:t xml:space="preserve"> </w:t>
      </w:r>
      <w:r>
        <w:t xml:space="preserve">%dev_portail</w:t>
      </w:r>
      <w:r>
        <w:t xml:space="preserve"> </w:t>
      </w:r>
      <w:r>
        <w:t xml:space="preserve">dans l’exemple de la section 18.3) simplifie considérablement la gestion à mesure que l’équipe grandit : ajouter un troisième développeur au projet ne nécessite alors qu’une seule commande (l’ajouter au groupe existant), plutôt que de dupliquer et adapter individuellement chaque règle de permission pour chaque nouvelle personne.</w:t>
      </w:r>
    </w:p>
    <w:p>
      <w:pPr>
        <w:pStyle w:val="SourceCode"/>
      </w:pPr>
      <w:r>
        <w:rPr>
          <w:rStyle w:val="VerbatimChar"/>
        </w:rPr>
        <w:t xml:space="preserve"># Creer un groupe dedie au projet</w:t>
      </w:r>
      <w:r>
        <w:br/>
      </w:r>
      <w:r>
        <w:rPr>
          <w:rStyle w:val="VerbatimChar"/>
        </w:rPr>
        <w:t xml:space="preserve">sudo groupadd dev_portail</w:t>
      </w:r>
      <w:r>
        <w:br/>
      </w:r>
      <w:r>
        <w:br/>
      </w:r>
      <w:r>
        <w:rPr>
          <w:rStyle w:val="VerbatimChar"/>
        </w:rPr>
        <w:t xml:space="preserve"># Ajouter un utilisateur existant a ce groupe</w:t>
      </w:r>
      <w:r>
        <w:br/>
      </w:r>
      <w:r>
        <w:rPr>
          <w:rStyle w:val="VerbatimChar"/>
        </w:rPr>
        <w:t xml:space="preserve">sudo usermod -aG dev_portail nouveau_dev</w:t>
      </w:r>
      <w:r>
        <w:br/>
      </w:r>
      <w:r>
        <w:br/>
      </w:r>
      <w:r>
        <w:rPr>
          <w:rStyle w:val="VerbatimChar"/>
        </w:rPr>
        <w:t xml:space="preserve"># Verifier les groupes d'appartenance d'un utilisateur</w:t>
      </w:r>
      <w:r>
        <w:br/>
      </w:r>
      <w:r>
        <w:rPr>
          <w:rStyle w:val="VerbatimChar"/>
        </w:rPr>
        <w:t xml:space="preserve">groups nouveau_dev</w:t>
      </w:r>
    </w:p>
    <w:p>
      <w:pPr>
        <w:pStyle w:val="FirstParagraph"/>
      </w:pPr>
      <w:r>
        <w:t xml:space="preserve">⚠️ Un changement de groupe nécessite une nouvelle session pour prendre effet</w:t>
      </w:r>
      <w:r>
        <w:t xml:space="preserve"> </w:t>
      </w:r>
      <w:r>
        <w:t xml:space="preserve">Ajouter un utilisateur à un groupe avec</w:t>
      </w:r>
      <w:r>
        <w:t xml:space="preserve"> </w:t>
      </w:r>
      <w:r>
        <w:rPr>
          <w:rStyle w:val="VerbatimChar"/>
        </w:rPr>
        <w:t xml:space="preserve">usermod -aG</w:t>
      </w:r>
      <w:r>
        <w:t xml:space="preserve"> </w:t>
      </w:r>
      <w:r>
        <w:t xml:space="preserve">ne modifie pas immédiatement les permissions de ses sessions déjà ouvertes — l’utilisateur doit se déconnecter et se reconnecter (ou, à défaut, exécuter</w:t>
      </w:r>
      <w:r>
        <w:t xml:space="preserve"> </w:t>
      </w:r>
      <w:r>
        <w:rPr>
          <w:rStyle w:val="VerbatimChar"/>
        </w:rPr>
        <w:t xml:space="preserve">newgrp nom_du_groupe</w:t>
      </w:r>
      <w:r>
        <w:t xml:space="preserve"> </w:t>
      </w:r>
      <w:r>
        <w:t xml:space="preserve">dans sa session actuelle) pour que l’appartenance au nouveau groupe soit effectivement prise en compte. Un oubli fréquent qui fait croire, à tort, qu’une commande a échoué.</w:t>
      </w:r>
    </w:p>
    <w:bookmarkEnd w:id="448"/>
    <w:bookmarkStart w:id="449" w:name="auditer-qui-a-quels-droits"/>
    <w:p>
      <w:pPr>
        <w:pStyle w:val="Heading2"/>
      </w:pPr>
      <w:r>
        <w:t xml:space="preserve">18.6 Auditer qui a quels droits</w:t>
      </w:r>
    </w:p>
    <w:p>
      <w:pPr>
        <w:pStyle w:val="FirstParagraph"/>
      </w:pPr>
      <w:r>
        <w:t xml:space="preserve">✅ Bonne pratique — revoir périodiquement les règles sudo et les ACL existantes</w:t>
      </w:r>
      <w:r>
        <w:t xml:space="preserve"> </w:t>
      </w:r>
      <w:r>
        <w:t xml:space="preserve">Exactement comme la revue périodique des accès distants recommandée au chapitre 4, les règles</w:t>
      </w:r>
      <w:r>
        <w:t xml:space="preserve"> </w:t>
      </w:r>
      <w:r>
        <w:rPr>
          <w:rStyle w:val="VerbatimChar"/>
        </w:rPr>
        <w:t xml:space="preserve">sudo</w:t>
      </w:r>
      <w:r>
        <w:t xml:space="preserve"> </w:t>
      </w:r>
      <w:r>
        <w:t xml:space="preserve">et les ACL méritent un audit régulier : une règle créée pour un besoin ponctuel (comme dans le scénario d’ouverture) mais jamais retirée après que ce besoin a disparu devient un privilège fantôme, oublié mais toujours actif — exactement le type de risque de sécurité silencieux évoqué au chapitre 3 sur les comptes non désactivés.</w:t>
      </w:r>
    </w:p>
    <w:p>
      <w:pPr>
        <w:pStyle w:val="SourceCode"/>
      </w:pPr>
      <w:r>
        <w:rPr>
          <w:rStyle w:val="VerbatimChar"/>
        </w:rPr>
        <w:t xml:space="preserve"># Voir l'ensemble des privileges sudo accordes a l'utilisateur courant</w:t>
      </w:r>
      <w:r>
        <w:br/>
      </w:r>
      <w:r>
        <w:rPr>
          <w:rStyle w:val="VerbatimChar"/>
        </w:rPr>
        <w:t xml:space="preserve">sudo -l</w:t>
      </w:r>
      <w:r>
        <w:br/>
      </w:r>
      <w:r>
        <w:br/>
      </w:r>
      <w:r>
        <w:rPr>
          <w:rStyle w:val="VerbatimChar"/>
        </w:rPr>
        <w:t xml:space="preserve"># Voir l'ensemble des privileges sudo accordes a un utilisateur precis</w:t>
      </w:r>
      <w:r>
        <w:br/>
      </w:r>
      <w:r>
        <w:rPr>
          <w:rStyle w:val="VerbatimChar"/>
        </w:rPr>
        <w:t xml:space="preserve">sudo -l -U nouveau_dev</w:t>
      </w:r>
    </w:p>
    <w:bookmarkEnd w:id="449"/>
    <w:bookmarkStart w:id="450" w:name="Xc4b7a166dc29dfaee9420781b7cdb1a69f1b4dd"/>
    <w:p>
      <w:pPr>
        <w:pStyle w:val="Heading2"/>
      </w:pPr>
      <w:r>
        <w:t xml:space="preserve">Atelier — Corriger la configuration du scénario d’ouverture</w:t>
      </w:r>
    </w:p>
    <w:p>
      <w:pPr>
        <w:pStyle w:val="FirstParagraph"/>
      </w:pPr>
      <w:r>
        <w:t xml:space="preserve">🛠️ Atelier 18 — Remplacer un accès total par des permissions ciblées</w:t>
      </w:r>
    </w:p>
    <w:p>
      <w:pPr>
        <w:pStyle w:val="BodyText"/>
      </w:pPr>
      <w:r>
        <w:rPr>
          <w:b/>
          <w:bCs/>
        </w:rPr>
        <w:t xml:space="preserve">Objectif</w:t>
      </w:r>
      <w:r>
        <w:t xml:space="preserve"> </w:t>
      </w:r>
      <w:r>
        <w:t xml:space="preserve">: appliquer les principes de ce chapitre pour corriger les deux problèmes exacts du scénario d’ouverture.</w:t>
      </w:r>
    </w:p>
    <w:p>
      <w:pPr>
        <w:pStyle w:val="BodyText"/>
      </w:pPr>
      <w:r>
        <w:rPr>
          <w:b/>
          <w:bCs/>
        </w:rPr>
        <w:t xml:space="preserve">Préparation</w:t>
      </w:r>
      <w:r>
        <w:t xml:space="preserve"> </w:t>
      </w:r>
      <w:r>
        <w:t xml:space="preserve">: aucune installation nécessaire pour cet atelier conceptuel, ou un accès à un serveur Linux de test pour le pratiquer réellement.</w:t>
      </w:r>
    </w:p>
    <w:p>
      <w:pPr>
        <w:pStyle w:val="BodyText"/>
      </w:pPr>
      <w:r>
        <w:rPr>
          <w:b/>
          <w:bCs/>
        </w:rPr>
        <w:t xml:space="preserve">Étapes détaillées</w:t>
      </w:r>
      <w:r>
        <w:t xml:space="preserve"> </w:t>
      </w:r>
      <w:r>
        <w:t xml:space="preserve">:</w:t>
      </w:r>
    </w:p>
    <w:p>
      <w:pPr>
        <w:pStyle w:val="Compact"/>
        <w:numPr>
          <w:ilvl w:val="0"/>
          <w:numId w:val="1413"/>
        </w:numPr>
      </w:pPr>
      <w:r>
        <w:t xml:space="preserve">Rédige une règle</w:t>
      </w:r>
      <w:r>
        <w:t xml:space="preserve"> </w:t>
      </w:r>
      <w:r>
        <w:rPr>
          <w:rStyle w:val="VerbatimChar"/>
        </w:rPr>
        <w:t xml:space="preserve">sudo</w:t>
      </w:r>
      <w:r>
        <w:t xml:space="preserve"> </w:t>
      </w:r>
      <w:r>
        <w:t xml:space="preserve">de remplacement pour</w:t>
      </w:r>
      <w:r>
        <w:t xml:space="preserve"> </w:t>
      </w:r>
      <w:r>
        <w:rPr>
          <w:rStyle w:val="VerbatimChar"/>
        </w:rPr>
        <w:t xml:space="preserve">nouveau_dev</w:t>
      </w:r>
      <w:r>
        <w:t xml:space="preserve">, qui lui permette uniquement de redémarrer le service applicatif du portail (</w:t>
      </w:r>
      <w:r>
        <w:rPr>
          <w:rStyle w:val="VerbatimChar"/>
        </w:rPr>
        <w:t xml:space="preserve">portail-worker</w:t>
      </w:r>
      <w:r>
        <w:t xml:space="preserve">) et de consulter les journaux systemd, sans accès root total.</w:t>
      </w:r>
    </w:p>
    <w:p>
      <w:pPr>
        <w:pStyle w:val="Compact"/>
        <w:numPr>
          <w:ilvl w:val="0"/>
          <w:numId w:val="1413"/>
        </w:numPr>
      </w:pPr>
      <w:r>
        <w:t xml:space="preserve">Rédige les commandes ACL nécessaires pour que</w:t>
      </w:r>
      <w:r>
        <w:t xml:space="preserve"> </w:t>
      </w:r>
      <w:r>
        <w:rPr>
          <w:rStyle w:val="VerbatimChar"/>
        </w:rPr>
        <w:t xml:space="preserve">dev_principal</w:t>
      </w:r>
      <w:r>
        <w:t xml:space="preserve"> </w:t>
      </w:r>
      <w:r>
        <w:t xml:space="preserve">ait lecture-écriture et</w:t>
      </w:r>
      <w:r>
        <w:t xml:space="preserve"> </w:t>
      </w:r>
      <w:r>
        <w:rPr>
          <w:rStyle w:val="VerbatimChar"/>
        </w:rPr>
        <w:t xml:space="preserve">nouveau_dev</w:t>
      </w:r>
      <w:r>
        <w:t xml:space="preserve"> </w:t>
      </w:r>
      <w:r>
        <w:t xml:space="preserve">ait lecture seule sur</w:t>
      </w:r>
      <w:r>
        <w:t xml:space="preserve"> </w:t>
      </w:r>
      <w:r>
        <w:rPr>
          <w:rStyle w:val="VerbatimChar"/>
        </w:rPr>
        <w:t xml:space="preserve">/var/portail/journaux</w:t>
      </w:r>
      <w:r>
        <w:t xml:space="preserve">, y compris pour les futurs fichiers créés dans ce dossier.</w:t>
      </w:r>
    </w:p>
    <w:p>
      <w:pPr>
        <w:pStyle w:val="Compact"/>
        <w:numPr>
          <w:ilvl w:val="0"/>
          <w:numId w:val="1413"/>
        </w:numPr>
      </w:pPr>
      <w:r>
        <w:t xml:space="preserve">Propose une explication de 3-4 phrases à donner au développeur principal, qui reconnaît son intention légitime (simplifier l’accès) tout en expliquant le risque réel de sa solution initiale.</w:t>
      </w:r>
    </w:p>
    <w:p>
      <w:pPr>
        <w:pStyle w:val="Compact"/>
        <w:numPr>
          <w:ilvl w:val="0"/>
          <w:numId w:val="1413"/>
        </w:numPr>
      </w:pPr>
      <w:r>
        <w:t xml:space="preserve">Compare ta démarche à la section</w:t>
      </w:r>
      <w:r>
        <w:t xml:space="preserve"> </w:t>
      </w:r>
      <w:r>
        <w:t xml:space="preserve">“Résultat attendu”</w:t>
      </w:r>
      <w:r>
        <w:t xml:space="preserve">.</w:t>
      </w:r>
    </w:p>
    <w:p>
      <w:pPr>
        <w:pStyle w:val="FirstParagraph"/>
      </w:pPr>
      <w:r>
        <w:rPr>
          <w:b/>
          <w:bCs/>
        </w:rPr>
        <w:t xml:space="preserve">Résultat attendu</w:t>
      </w:r>
      <w:r>
        <w:t xml:space="preserve"> </w:t>
      </w:r>
      <w:r>
        <w:t xml:space="preserve">: la règle</w:t>
      </w:r>
      <w:r>
        <w:t xml:space="preserve"> </w:t>
      </w:r>
      <w:r>
        <w:rPr>
          <w:rStyle w:val="VerbatimChar"/>
        </w:rPr>
        <w:t xml:space="preserve">sudo</w:t>
      </w:r>
      <w:r>
        <w:t xml:space="preserve"> </w:t>
      </w:r>
      <w:r>
        <w:t xml:space="preserve">granulaire ressemble à</w:t>
      </w:r>
      <w:r>
        <w:t xml:space="preserve"> </w:t>
      </w:r>
      <w:r>
        <w:rPr>
          <w:rStyle w:val="VerbatimChar"/>
        </w:rPr>
        <w:t xml:space="preserve">nouveau_dev ALL=(root) /usr/bin/systemctl restart portail-worker, /usr/bin/journalctl -u portail-worker</w:t>
      </w:r>
      <w:r>
        <w:t xml:space="preserve">. Les commandes ACL reprennent exactement celles de la section 18.2 (</w:t>
      </w:r>
      <w:r>
        <w:rPr>
          <w:rStyle w:val="VerbatimChar"/>
        </w:rPr>
        <w:t xml:space="preserve">setfacl -m u:dev_principal:rw ...</w:t>
      </w:r>
      <w:r>
        <w:t xml:space="preserve">,</w:t>
      </w:r>
      <w:r>
        <w:t xml:space="preserve"> </w:t>
      </w:r>
      <w:r>
        <w:rPr>
          <w:rStyle w:val="VerbatimChar"/>
        </w:rPr>
        <w:t xml:space="preserve">setfacl -m u:nouveau_dev:r ...</w:t>
      </w:r>
      <w:r>
        <w:t xml:space="preserve">, avec l’ACL par défaut</w:t>
      </w:r>
      <w:r>
        <w:t xml:space="preserve"> </w:t>
      </w:r>
      <w:r>
        <w:rPr>
          <w:rStyle w:val="VerbatimChar"/>
        </w:rPr>
        <w:t xml:space="preserve">-d</w:t>
      </w:r>
      <w:r>
        <w:t xml:space="preserve"> </w:t>
      </w:r>
      <w:r>
        <w:t xml:space="preserve">pour les futurs fichiers). L’explication au développeur principal reconnaît que son intention (faciliter le travail du nouveau collègue) est légitime, mais qu’un accès root total et sans mot de passe transforme un compte individuel compromis en risque pour le serveur entier — un risque disproportionné par rapport au gain de commodité, alors qu’une règle granulaire couvre exactement le même besoin réel sans cette exposition.</w:t>
      </w:r>
    </w:p>
    <w:p>
      <w:pPr>
        <w:pStyle w:val="BodyText"/>
      </w:pPr>
      <w:r>
        <w:rPr>
          <w:b/>
          <w:bCs/>
        </w:rPr>
        <w:t xml:space="preserve">Dépannage</w:t>
      </w:r>
      <w:r>
        <w:t xml:space="preserve"> </w:t>
      </w:r>
      <w:r>
        <w:t xml:space="preserve">: si tu hésites sur les commandes exactes autorisées dans une règle</w:t>
      </w:r>
      <w:r>
        <w:t xml:space="preserve"> </w:t>
      </w:r>
      <w:r>
        <w:rPr>
          <w:rStyle w:val="VerbatimChar"/>
        </w:rPr>
        <w:t xml:space="preserve">sudo</w:t>
      </w:r>
      <w:r>
        <w:t xml:space="preserve">, identifie d’abord précisément quelles commandes la personne exécute réellement au quotidien (en lui demandant directement, ou en observant son usage réel) — une règle trop restrictive découverte par un blocage frustrant se corrige facilement en l’élargissant légèrement ; une règle trop permissive découverte lors d’un incident de sécurité coûte, elle, beaucoup plus cher.</w:t>
      </w:r>
    </w:p>
    <w:bookmarkEnd w:id="450"/>
    <w:bookmarkStart w:id="451" w:name="erreurs-fréquentes-17"/>
    <w:p>
      <w:pPr>
        <w:pStyle w:val="Heading2"/>
      </w:pPr>
      <w:r>
        <w:t xml:space="preserve">Erreurs fréquentes</w:t>
      </w:r>
    </w:p>
    <w:p>
      <w:pPr>
        <w:pStyle w:val="FirstParagraph"/>
      </w:pPr>
      <w:r>
        <w:t xml:space="preserve">⚠️ Erreur n°1 —</w:t>
      </w:r>
      <w:r>
        <w:t xml:space="preserve"> </w:t>
      </w:r>
      <w:r>
        <w:rPr>
          <w:rStyle w:val="VerbatimChar"/>
        </w:rPr>
        <w:t xml:space="preserve">ALL=(ALL) NOPASSWD: ALL</w:t>
      </w:r>
      <w:r>
        <w:t xml:space="preserve"> </w:t>
      </w:r>
      <w:r>
        <w:t xml:space="preserve">par facilité</w:t>
      </w:r>
      <w:r>
        <w:t xml:space="preserve"> </w:t>
      </w:r>
      <w:r>
        <w:t xml:space="preserve">Exactement le piège du scénario d’ouverture, détaillé en section 18.4 — la solution la plus rapide à écrire, mais la plus risquée, quand une règle granulaire répond presque toujours au besoin réel avec un effort à peine supérieur.</w:t>
      </w:r>
    </w:p>
    <w:p>
      <w:pPr>
        <w:pStyle w:val="BodyText"/>
      </w:pPr>
      <w:r>
        <w:t xml:space="preserve">⚠️ Erreur n°2 — éditer</w:t>
      </w:r>
      <w:r>
        <w:t xml:space="preserve"> </w:t>
      </w:r>
      <w:r>
        <w:rPr>
          <w:rStyle w:val="VerbatimChar"/>
        </w:rPr>
        <w:t xml:space="preserve">/etc/sudoers</w:t>
      </w:r>
      <w:r>
        <w:t xml:space="preserve"> </w:t>
      </w:r>
      <w:r>
        <w:t xml:space="preserve">directement sans</w:t>
      </w:r>
      <w:r>
        <w:t xml:space="preserve"> </w:t>
      </w:r>
      <w:r>
        <w:rPr>
          <w:rStyle w:val="VerbatimChar"/>
        </w:rPr>
        <w:t xml:space="preserve">visudo</w:t>
      </w:r>
      <w:r>
        <w:t xml:space="preserve"> </w:t>
      </w:r>
      <w:r>
        <w:t xml:space="preserve">Rappel de la section 18.3 : une erreur de syntaxe non détectée peut bloquer l’usage même de</w:t>
      </w:r>
      <w:r>
        <w:t xml:space="preserve"> </w:t>
      </w:r>
      <w:r>
        <w:rPr>
          <w:rStyle w:val="VerbatimChar"/>
        </w:rPr>
        <w:t xml:space="preserve">sudo</w:t>
      </w:r>
      <w:r>
        <w:t xml:space="preserve"> </w:t>
      </w:r>
      <w:r>
        <w:t xml:space="preserve">pour la corriger, un incident particulièrement délicat à résoudre sans accès de secours prévu à l’avance.</w:t>
      </w:r>
    </w:p>
    <w:p>
      <w:pPr>
        <w:pStyle w:val="BodyText"/>
      </w:pPr>
      <w:r>
        <w:t xml:space="preserve">⚠️ Erreur n°3 — oublier de retirer les règles sudo ou ACL devenues obsolètes</w:t>
      </w:r>
      <w:r>
        <w:t xml:space="preserve"> </w:t>
      </w:r>
      <w:r>
        <w:t xml:space="preserve">Rappel de la section 18.6 : un privilège accordé pour un besoin ponctuel, jamais retiré après coup, devient un risque silencieux et oublié — à traiter avec la même rigueur qu’un compte utilisateur jamais désactivé après un départ (chapitre 3).</w:t>
      </w:r>
    </w:p>
    <w:bookmarkEnd w:id="451"/>
    <w:bookmarkStart w:id="452" w:name="diagnostiquer-une-erreur-de-permission"/>
    <w:p>
      <w:pPr>
        <w:pStyle w:val="Heading2"/>
      </w:pPr>
      <w:r>
        <w:t xml:space="preserve">Diagnostiquer une erreur de permission</w:t>
      </w:r>
    </w:p>
    <w:p>
      <w:pPr>
        <w:pStyle w:val="FirstParagraph"/>
      </w:pPr>
      <w:r>
        <w:t xml:space="preserve">🩺 Situation :</w:t>
      </w:r>
      <w:r>
        <w:t xml:space="preserve"> </w:t>
      </w:r>
      <w:r>
        <w:t xml:space="preserve">“Permission denied”</w:t>
      </w:r>
      <w:r>
        <w:t xml:space="preserve"> </w:t>
      </w:r>
      <w:r>
        <w:t xml:space="preserve">alors que l’utilisateur devrait normalement avoir accès</w:t>
      </w:r>
    </w:p>
    <w:p>
      <w:pPr>
        <w:pStyle w:val="Compact"/>
        <w:numPr>
          <w:ilvl w:val="0"/>
          <w:numId w:val="1414"/>
        </w:numPr>
      </w:pPr>
      <w:r>
        <w:rPr>
          <w:b/>
          <w:bCs/>
        </w:rPr>
        <w:t xml:space="preserve">Diagnostic</w:t>
      </w:r>
      <w:r>
        <w:t xml:space="preserve"> </w:t>
      </w:r>
      <w:r>
        <w:t xml:space="preserve">: vérifier d’abord les permissions traditionnelles (</w:t>
      </w:r>
      <w:r>
        <w:rPr>
          <w:rStyle w:val="VerbatimChar"/>
        </w:rPr>
        <w:t xml:space="preserve">ls -l</w:t>
      </w:r>
      <w:r>
        <w:t xml:space="preserve">) et la présence éventuelle d’un</w:t>
      </w:r>
      <w:r>
        <w:t xml:space="preserve"> </w:t>
      </w:r>
      <w:r>
        <w:rPr>
          <w:rStyle w:val="VerbatimChar"/>
        </w:rPr>
        <w:t xml:space="preserve">+</w:t>
      </w:r>
      <w:r>
        <w:t xml:space="preserve"> </w:t>
      </w:r>
      <w:r>
        <w:t xml:space="preserve">signalant une ACL (section 18.2) — un signe fréquemment ignoré par les débutants qui ne consultent que les permissions classiques.</w:t>
      </w:r>
    </w:p>
    <w:p>
      <w:pPr>
        <w:pStyle w:val="Compact"/>
        <w:numPr>
          <w:ilvl w:val="0"/>
          <w:numId w:val="1414"/>
        </w:numPr>
      </w:pPr>
      <w:r>
        <w:rPr>
          <w:b/>
          <w:bCs/>
        </w:rPr>
        <w:t xml:space="preserve">Comment vérifier</w:t>
      </w:r>
      <w:r>
        <w:t xml:space="preserve"> </w:t>
      </w:r>
      <w:r>
        <w:t xml:space="preserve">:</w:t>
      </w:r>
      <w:r>
        <w:t xml:space="preserve"> </w:t>
      </w:r>
      <w:r>
        <w:rPr>
          <w:rStyle w:val="VerbatimChar"/>
        </w:rPr>
        <w:t xml:space="preserve">getfacl</w:t>
      </w:r>
      <w:r>
        <w:t xml:space="preserve"> </w:t>
      </w:r>
      <w:r>
        <w:t xml:space="preserve">sur le fichier ou dossier concerné révèle l’ensemble complet des permissions réellement appliquées, au-delà de ce que</w:t>
      </w:r>
      <w:r>
        <w:t xml:space="preserve"> </w:t>
      </w:r>
      <w:r>
        <w:rPr>
          <w:rStyle w:val="VerbatimChar"/>
        </w:rPr>
        <w:t xml:space="preserve">ls -l</w:t>
      </w:r>
      <w:r>
        <w:t xml:space="preserve"> </w:t>
      </w:r>
      <w:r>
        <w:t xml:space="preserve">affiche seul.</w:t>
      </w:r>
    </w:p>
    <w:p>
      <w:pPr>
        <w:pStyle w:val="Compact"/>
        <w:numPr>
          <w:ilvl w:val="0"/>
          <w:numId w:val="1414"/>
        </w:numPr>
      </w:pPr>
      <w:r>
        <w:rPr>
          <w:b/>
          <w:bCs/>
        </w:rPr>
        <w:t xml:space="preserve">Résolution</w:t>
      </w:r>
      <w:r>
        <w:t xml:space="preserve"> </w:t>
      </w:r>
      <w:r>
        <w:t xml:space="preserve">: si une ACL existe et semble incorrecte, l’ajuster avec</w:t>
      </w:r>
      <w:r>
        <w:t xml:space="preserve"> </w:t>
      </w:r>
      <w:r>
        <w:rPr>
          <w:rStyle w:val="VerbatimChar"/>
        </w:rPr>
        <w:t xml:space="preserve">setfacl -m</w:t>
      </w:r>
      <w:r>
        <w:t xml:space="preserve"> </w:t>
      </w:r>
      <w:r>
        <w:t xml:space="preserve">; si aucune ACL n’existe et que le problème vient des permissions traditionnelles ou de l’appartenance à un groupe, vérifier aussi si l’utilisateur a effectivement ouvert une nouvelle session depuis son ajout au groupe concerné (section 18.5), une cause très fréquente et facile à négliger.</w:t>
      </w:r>
    </w:p>
    <w:bookmarkEnd w:id="452"/>
    <w:bookmarkStart w:id="453" w:name="en-entreprise-17"/>
    <w:p>
      <w:pPr>
        <w:pStyle w:val="Heading2"/>
      </w:pPr>
      <w:r>
        <w:t xml:space="preserve">En entreprise</w:t>
      </w:r>
    </w:p>
    <w:p>
      <w:pPr>
        <w:pStyle w:val="Compact"/>
        <w:numPr>
          <w:ilvl w:val="0"/>
          <w:numId w:val="1415"/>
        </w:numPr>
      </w:pPr>
      <w:r>
        <w:rPr>
          <w:b/>
          <w:bCs/>
        </w:rPr>
        <w:t xml:space="preserve">Bonne pratique répandue</w:t>
      </w:r>
      <w:r>
        <w:t xml:space="preserve"> </w:t>
      </w:r>
      <w:r>
        <w:t xml:space="preserve">: documenter (chapitre 3) chaque règle</w:t>
      </w:r>
      <w:r>
        <w:t xml:space="preserve"> </w:t>
      </w:r>
      <w:r>
        <w:rPr>
          <w:rStyle w:val="VerbatimChar"/>
        </w:rPr>
        <w:t xml:space="preserve">sudo</w:t>
      </w:r>
      <w:r>
        <w:t xml:space="preserve"> </w:t>
      </w:r>
      <w:r>
        <w:t xml:space="preserve">non standard et chaque ACL appliquée sur des ressources critiques, avec leur justification — un audit de sécurité futur doit pouvoir retrouver rapidement pourquoi chaque exception existe.</w:t>
      </w:r>
    </w:p>
    <w:p>
      <w:pPr>
        <w:pStyle w:val="Compact"/>
        <w:numPr>
          <w:ilvl w:val="0"/>
          <w:numId w:val="1415"/>
        </w:numPr>
      </w:pPr>
      <w:r>
        <w:rPr>
          <w:b/>
          <w:bCs/>
        </w:rPr>
        <w:t xml:space="preserve">Bonne pratique répandue</w:t>
      </w:r>
      <w:r>
        <w:t xml:space="preserve"> </w:t>
      </w:r>
      <w:r>
        <w:t xml:space="preserve">: préférer systématiquement les groupes aux règles individuelles pour toute permission destinée à plus d’une personne, exactement comme recommandé en section 18.5.</w:t>
      </w:r>
    </w:p>
    <w:p>
      <w:pPr>
        <w:pStyle w:val="Compact"/>
        <w:numPr>
          <w:ilvl w:val="0"/>
          <w:numId w:val="1415"/>
        </w:numPr>
      </w:pPr>
      <w:r>
        <w:rPr>
          <w:b/>
          <w:bCs/>
        </w:rPr>
        <w:t xml:space="preserve">Erreur classique observée</w:t>
      </w:r>
      <w:r>
        <w:t xml:space="preserve"> </w:t>
      </w:r>
      <w:r>
        <w:t xml:space="preserve">: une accumulation de règles</w:t>
      </w:r>
      <w:r>
        <w:t xml:space="preserve"> </w:t>
      </w:r>
      <w:r>
        <w:rPr>
          <w:rStyle w:val="VerbatimChar"/>
        </w:rPr>
        <w:t xml:space="preserve">sudo</w:t>
      </w:r>
      <w:r>
        <w:t xml:space="preserve"> </w:t>
      </w:r>
      <w:r>
        <w:t xml:space="preserve">trop larges créées dans l’urgence pour</w:t>
      </w:r>
      <w:r>
        <w:t xml:space="preserve"> </w:t>
      </w:r>
      <w:r>
        <w:t xml:space="preserve">“débloquer rapidement”</w:t>
      </w:r>
      <w:r>
        <w:t xml:space="preserve"> </w:t>
      </w:r>
      <w:r>
        <w:t xml:space="preserve">une situation ponctuelle, jamais resserrées après coup — un schéma qui rejoint directement le piège de l’héroïsme permanent évoqué au chapitre 1.</w:t>
      </w:r>
    </w:p>
    <w:bookmarkEnd w:id="453"/>
    <w:bookmarkStart w:id="454" w:name="entretien-technique-17"/>
    <w:p>
      <w:pPr>
        <w:pStyle w:val="Heading2"/>
      </w:pPr>
      <w:r>
        <w:t xml:space="preserve">Entretien technique</w:t>
      </w:r>
    </w:p>
    <w:p>
      <w:pPr>
        <w:pStyle w:val="FirstParagraph"/>
      </w:pPr>
      <w:r>
        <w:t xml:space="preserve">💼 Questions fréquemment posées en entretien</w:t>
      </w:r>
    </w:p>
    <w:p>
      <w:pPr>
        <w:pStyle w:val="BodyText"/>
      </w:pPr>
      <w:r>
        <w:rPr>
          <w:b/>
          <w:bCs/>
        </w:rPr>
        <w:t xml:space="preserve">Q1.</w:t>
      </w:r>
      <w:r>
        <w:rPr>
          <w:b/>
          <w:bCs/>
        </w:rPr>
        <w:t xml:space="preserve"> </w:t>
      </w:r>
      <w:r>
        <w:rPr>
          <w:b/>
          <w:bCs/>
        </w:rPr>
        <w:t xml:space="preserve">“Pourquoi les ACL sont-elles nécessaires si le modèle traditionnel Unix (propriétaire/groupe/autres) existe déjà ?”</w:t>
      </w:r>
      <w:r>
        <w:t xml:space="preserve"> </w:t>
      </w:r>
      <w:r>
        <w:t xml:space="preserve">Réponse attendue : le modèle traditionnel ne permet qu’un seul jeu de permissions de groupe par fichier — les ACL permettent d’attribuer des permissions distinctes à plusieurs utilisateurs ou groupes spécifiques sur la même ressource, un besoin que le modèle traditionnel ne peut tout simplement pas exprimer.</w:t>
      </w:r>
    </w:p>
    <w:p>
      <w:pPr>
        <w:pStyle w:val="BodyText"/>
      </w:pPr>
      <w:r>
        <w:rPr>
          <w:b/>
          <w:bCs/>
        </w:rPr>
        <w:t xml:space="preserve">Q2.</w:t>
      </w:r>
      <w:r>
        <w:rPr>
          <w:b/>
          <w:bCs/>
        </w:rPr>
        <w:t xml:space="preserve"> </w:t>
      </w:r>
      <w:r>
        <w:rPr>
          <w:b/>
          <w:bCs/>
        </w:rPr>
        <w:t xml:space="preserve">“Pourquoi</w:t>
      </w:r>
      <w:r>
        <w:rPr>
          <w:b/>
          <w:bCs/>
        </w:rPr>
        <w:t xml:space="preserve"> </w:t>
      </w:r>
      <w:r>
        <w:rPr>
          <w:rStyle w:val="VerbatimChar"/>
          <w:b/>
          <w:bCs/>
        </w:rPr>
        <w:t xml:space="preserve">ALL=(ALL) NOPASSWD: ALL</w:t>
      </w:r>
      <w:r>
        <w:rPr>
          <w:b/>
          <w:bCs/>
        </w:rPr>
        <w:t xml:space="preserve"> </w:t>
      </w:r>
      <w:r>
        <w:rPr>
          <w:b/>
          <w:bCs/>
        </w:rPr>
        <w:t xml:space="preserve">est-il considéré comme une mauvaise pratique de sécurité ?”</w:t>
      </w:r>
      <w:r>
        <w:t xml:space="preserve"> </w:t>
      </w:r>
      <w:r>
        <w:t xml:space="preserve">Réponse attendue : cette règle accorde un accès root total, permanent et sans re-authentification — si le compte concerné est compromis, l’attaquant obtient immédiatement un accès root complet et silencieux, sans qu’aucune barrière supplémentaire ne ralentisse ou ne détecte l’action. Une règle granulaire, limitée aux commandes réellement nécessaires, réduit fortement ce risque tout en couvrant le même besoin légitime.</w:t>
      </w:r>
    </w:p>
    <w:p>
      <w:pPr>
        <w:pStyle w:val="BodyText"/>
      </w:pPr>
      <w:r>
        <w:rPr>
          <w:b/>
          <w:bCs/>
        </w:rPr>
        <w:t xml:space="preserve">Q3.</w:t>
      </w:r>
      <w:r>
        <w:rPr>
          <w:b/>
          <w:bCs/>
        </w:rPr>
        <w:t xml:space="preserve"> </w:t>
      </w:r>
      <w:r>
        <w:rPr>
          <w:b/>
          <w:bCs/>
        </w:rPr>
        <w:t xml:space="preserve">“Pourquoi faut-il toujours utiliser</w:t>
      </w:r>
      <w:r>
        <w:rPr>
          <w:b/>
          <w:bCs/>
        </w:rPr>
        <w:t xml:space="preserve"> </w:t>
      </w:r>
      <w:r>
        <w:rPr>
          <w:rStyle w:val="VerbatimChar"/>
          <w:b/>
          <w:bCs/>
        </w:rPr>
        <w:t xml:space="preserve">visudo</w:t>
      </w:r>
      <w:r>
        <w:rPr>
          <w:b/>
          <w:bCs/>
        </w:rPr>
        <w:t xml:space="preserve"> </w:t>
      </w:r>
      <w:r>
        <w:rPr>
          <w:b/>
          <w:bCs/>
        </w:rPr>
        <w:t xml:space="preserve">plutôt qu’un éditeur de texte classique pour modifier</w:t>
      </w:r>
      <w:r>
        <w:rPr>
          <w:b/>
          <w:bCs/>
        </w:rPr>
        <w:t xml:space="preserve"> </w:t>
      </w:r>
      <w:r>
        <w:rPr>
          <w:rStyle w:val="VerbatimChar"/>
          <w:b/>
          <w:bCs/>
        </w:rPr>
        <w:t xml:space="preserve">/etc/sudoers</w:t>
      </w:r>
      <w:r>
        <w:rPr>
          <w:b/>
          <w:bCs/>
        </w:rPr>
        <w:t xml:space="preserve"> </w:t>
      </w:r>
      <w:r>
        <w:rPr>
          <w:b/>
          <w:bCs/>
        </w:rPr>
        <w:t xml:space="preserve">?”</w:t>
      </w:r>
      <w:r>
        <w:t xml:space="preserve"> </w:t>
      </w:r>
      <w:r>
        <w:t xml:space="preserve">Réponse attendue :</w:t>
      </w:r>
      <w:r>
        <w:t xml:space="preserve"> </w:t>
      </w:r>
      <w:r>
        <w:rPr>
          <w:rStyle w:val="VerbatimChar"/>
        </w:rPr>
        <w:t xml:space="preserve">visudo</w:t>
      </w:r>
      <w:r>
        <w:t xml:space="preserve"> </w:t>
      </w:r>
      <w:r>
        <w:t xml:space="preserve">valide la syntaxe du fichier avant de l’enregistrer, évitant qu’une erreur ne rende</w:t>
      </w:r>
      <w:r>
        <w:t xml:space="preserve"> </w:t>
      </w:r>
      <w:r>
        <w:rPr>
          <w:rStyle w:val="VerbatimChar"/>
        </w:rPr>
        <w:t xml:space="preserve">sudo</w:t>
      </w:r>
      <w:r>
        <w:t xml:space="preserve"> </w:t>
      </w:r>
      <w:r>
        <w:t xml:space="preserve">inutilisable sur tout le système — un risque bien réel avec un éditeur classique, qui n’effectue aucune vérification avant l’enregistrement.</w:t>
      </w:r>
    </w:p>
    <w:bookmarkEnd w:id="454"/>
    <w:bookmarkStart w:id="455" w:name="Xfd3baab56fb1069b3ec90be1b526a15a0e9081a"/>
    <w:p>
      <w:pPr>
        <w:pStyle w:val="Heading2"/>
      </w:pPr>
      <w:r>
        <w:t xml:space="preserve">Optimisation, sécurité et maintenabilité — les réflexes dès ce chapitre</w:t>
      </w:r>
    </w:p>
    <w:p>
      <w:pPr>
        <w:pStyle w:val="FirstParagraph"/>
      </w:pPr>
      <w:r>
        <w:t xml:space="preserve">🔒 Sécurité</w:t>
      </w:r>
      <w:r>
        <w:t xml:space="preserve"> </w:t>
      </w:r>
      <w:r>
        <w:t xml:space="preserve">Applique systématiquement le principe du moindre privilège à chaque règle</w:t>
      </w:r>
      <w:r>
        <w:t xml:space="preserve"> </w:t>
      </w:r>
      <w:r>
        <w:rPr>
          <w:rStyle w:val="VerbatimChar"/>
        </w:rPr>
        <w:t xml:space="preserve">sudo</w:t>
      </w:r>
      <w:r>
        <w:t xml:space="preserve"> </w:t>
      </w:r>
      <w:r>
        <w:t xml:space="preserve">créée : identifie la commande précise réellement nécessaire, jamais un accès total</w:t>
      </w:r>
      <w:r>
        <w:t xml:space="preserve"> </w:t>
      </w:r>
      <w:r>
        <w:t xml:space="preserve">“par facilité”</w:t>
      </w:r>
      <w:r>
        <w:t xml:space="preserve"> </w:t>
      </w:r>
      <w:r>
        <w:t xml:space="preserve">— le réflexe central de tout ce chapitre.</w:t>
      </w:r>
    </w:p>
    <w:p>
      <w:pPr>
        <w:pStyle w:val="BodyText"/>
      </w:pPr>
      <w:r>
        <w:t xml:space="preserve">✅ Maintenabilité</w:t>
      </w:r>
      <w:r>
        <w:t xml:space="preserve"> </w:t>
      </w:r>
      <w:r>
        <w:t xml:space="preserve">Privilégie les groupes aux règles individuelles dès que plus d’une personne est concernée par une même permission (section 18.5), et documente (chapitre 3) chaque exception non standard, avec sa justification et sa date de création — utile lors d’un futur audit périodique (section 18.6).</w:t>
      </w:r>
    </w:p>
    <w:p>
      <w:pPr>
        <w:pStyle w:val="BodyText"/>
      </w:pPr>
      <w:r>
        <w:t xml:space="preserve">🚀 Performance</w:t>
      </w:r>
      <w:r>
        <w:t xml:space="preserve"> </w:t>
      </w:r>
      <w:r>
        <w:t xml:space="preserve">Un système de permissions bien conçu dès le départ (groupes cohérents, ACL utilisées uniquement quand réellement nécessaire) évite l’accumulation d’exceptions ad hoc difficiles à auditer des mois plus tard — un gain de temps direct lors de tout futur audit de sécurité ou onboarding de nouveau membre d’équipe.</w:t>
      </w:r>
    </w:p>
    <w:bookmarkEnd w:id="455"/>
    <w:bookmarkStart w:id="456" w:name="résumé-du-chapitre-17"/>
    <w:p>
      <w:pPr>
        <w:pStyle w:val="Heading2"/>
      </w:pPr>
      <w:r>
        <w:t xml:space="preserve">Résumé du chapitre</w:t>
      </w:r>
    </w:p>
    <w:p>
      <w:pPr>
        <w:pStyle w:val="Compact"/>
        <w:numPr>
          <w:ilvl w:val="0"/>
          <w:numId w:val="1416"/>
        </w:numPr>
      </w:pPr>
      <w:r>
        <w:t xml:space="preserve">Le modèle traditionnel Unix (propriétaire/groupe/autres) atteint ses limites dès qu’un besoin de permission plus fin, impliquant plusieurs utilisateurs ou groupes distincts sur une même ressource, apparaît.</w:t>
      </w:r>
    </w:p>
    <w:p>
      <w:pPr>
        <w:pStyle w:val="Compact"/>
        <w:numPr>
          <w:ilvl w:val="0"/>
          <w:numId w:val="1416"/>
        </w:numPr>
      </w:pPr>
      <w:r>
        <w:t xml:space="preserve">Les ACL (</w:t>
      </w:r>
      <w:r>
        <w:rPr>
          <w:rStyle w:val="VerbatimChar"/>
        </w:rPr>
        <w:t xml:space="preserve">getfacl</w:t>
      </w:r>
      <w:r>
        <w:t xml:space="preserve">/</w:t>
      </w:r>
      <w:r>
        <w:rPr>
          <w:rStyle w:val="VerbatimChar"/>
        </w:rPr>
        <w:t xml:space="preserve">setfacl</w:t>
      </w:r>
      <w:r>
        <w:t xml:space="preserve">) permettent d’attribuer des permissions précises à des utilisateurs ou groupes spécifiques, au-delà du modèle traditionnel.</w:t>
      </w:r>
    </w:p>
    <w:p>
      <w:pPr>
        <w:pStyle w:val="Compact"/>
        <w:numPr>
          <w:ilvl w:val="0"/>
          <w:numId w:val="1416"/>
        </w:numPr>
      </w:pPr>
      <w:r>
        <w:rPr>
          <w:rStyle w:val="VerbatimChar"/>
        </w:rPr>
        <w:t xml:space="preserve">sudo</w:t>
      </w:r>
      <w:r>
        <w:t xml:space="preserve"> </w:t>
      </w:r>
      <w:r>
        <w:t xml:space="preserve">doit toujours être configuré via</w:t>
      </w:r>
      <w:r>
        <w:t xml:space="preserve"> </w:t>
      </w:r>
      <w:r>
        <w:rPr>
          <w:rStyle w:val="VerbatimChar"/>
        </w:rPr>
        <w:t xml:space="preserve">visudo</w:t>
      </w:r>
      <w:r>
        <w:t xml:space="preserve">, avec des règles aussi granulaires que possible plutôt qu’un accès root total par facilité.</w:t>
      </w:r>
    </w:p>
    <w:p>
      <w:pPr>
        <w:pStyle w:val="Compact"/>
        <w:numPr>
          <w:ilvl w:val="0"/>
          <w:numId w:val="1416"/>
        </w:numPr>
      </w:pPr>
      <w:r>
        <w:rPr>
          <w:rStyle w:val="VerbatimChar"/>
        </w:rPr>
        <w:t xml:space="preserve">ALL=(ALL) NOPASSWD: ALL</w:t>
      </w:r>
      <w:r>
        <w:t xml:space="preserve"> </w:t>
      </w:r>
      <w:r>
        <w:t xml:space="preserve">est l’une des pires pratiques de sécurité</w:t>
      </w:r>
      <w:r>
        <w:t xml:space="preserve"> </w:t>
      </w:r>
      <w:r>
        <w:rPr>
          <w:rStyle w:val="VerbatimChar"/>
        </w:rPr>
        <w:t xml:space="preserve">sudo</w:t>
      </w:r>
      <w:r>
        <w:t xml:space="preserve">, transformant un compte individuel compromis en accès root total et silencieux.</w:t>
      </w:r>
    </w:p>
    <w:p>
      <w:pPr>
        <w:pStyle w:val="Compact"/>
        <w:numPr>
          <w:ilvl w:val="0"/>
          <w:numId w:val="1416"/>
        </w:numPr>
      </w:pPr>
      <w:r>
        <w:t xml:space="preserve">Les groupes simplifient la gestion des permissions à mesure qu’une équipe grandit, par rapport à des règles individuelles dupliquées pour chaque personne.</w:t>
      </w:r>
    </w:p>
    <w:p>
      <w:pPr>
        <w:pStyle w:val="Compact"/>
        <w:numPr>
          <w:ilvl w:val="0"/>
          <w:numId w:val="1416"/>
        </w:numPr>
      </w:pPr>
      <w:r>
        <w:t xml:space="preserve">Un audit périodique des règles</w:t>
      </w:r>
      <w:r>
        <w:t xml:space="preserve"> </w:t>
      </w:r>
      <w:r>
        <w:rPr>
          <w:rStyle w:val="VerbatimChar"/>
        </w:rPr>
        <w:t xml:space="preserve">sudo</w:t>
      </w:r>
      <w:r>
        <w:t xml:space="preserve"> </w:t>
      </w:r>
      <w:r>
        <w:t xml:space="preserve">et des ACL existantes évite l’accumulation de privilèges fantômes oubliés.</w:t>
      </w:r>
    </w:p>
    <w:bookmarkEnd w:id="456"/>
    <w:bookmarkStart w:id="457" w:name="quiz-17"/>
    <w:p>
      <w:pPr>
        <w:pStyle w:val="Heading2"/>
      </w:pPr>
      <w:r>
        <w:t xml:space="preserve">Quiz</w:t>
      </w:r>
    </w:p>
    <w:p>
      <w:pPr>
        <w:pStyle w:val="FirstParagraph"/>
      </w:pPr>
      <w:r>
        <w:t xml:space="preserve">📝 QCM (une seule bonne réponse par question)</w:t>
      </w:r>
    </w:p>
    <w:p>
      <w:pPr>
        <w:pStyle w:val="Compact"/>
        <w:numPr>
          <w:ilvl w:val="0"/>
          <w:numId w:val="1417"/>
        </w:numPr>
      </w:pPr>
      <w:r>
        <w:t xml:space="preserve">Le modèle traditionnel Unix de permissions se limite à :</w:t>
      </w:r>
    </w:p>
    <w:p>
      <w:pPr>
        <w:pStyle w:val="Compact"/>
        <w:numPr>
          <w:ilvl w:val="1"/>
          <w:numId w:val="1418"/>
        </w:numPr>
      </w:pPr>
    </w:p>
    <w:p>
      <w:pPr>
        <w:pStyle w:val="Compact"/>
        <w:numPr>
          <w:ilvl w:val="2"/>
          <w:numId w:val="1419"/>
        </w:numPr>
      </w:pPr>
      <w:r>
        <w:t xml:space="preserve">Propriétaire, groupe, et autres</w:t>
      </w:r>
    </w:p>
    <w:p>
      <w:pPr>
        <w:pStyle w:val="Compact"/>
        <w:numPr>
          <w:ilvl w:val="1"/>
          <w:numId w:val="1418"/>
        </w:numPr>
      </w:pPr>
    </w:p>
    <w:p>
      <w:pPr>
        <w:pStyle w:val="Compact"/>
        <w:numPr>
          <w:ilvl w:val="2"/>
          <w:numId w:val="1420"/>
        </w:numPr>
      </w:pPr>
      <w:r>
        <w:t xml:space="preserve">Un nombre illimité d’utilisateurs individuels</w:t>
      </w:r>
    </w:p>
    <w:p>
      <w:pPr>
        <w:pStyle w:val="Compact"/>
        <w:numPr>
          <w:ilvl w:val="1"/>
          <w:numId w:val="1418"/>
        </w:numPr>
      </w:pPr>
    </w:p>
    <w:p>
      <w:pPr>
        <w:pStyle w:val="Compact"/>
        <w:numPr>
          <w:ilvl w:val="2"/>
          <w:numId w:val="1421"/>
        </w:numPr>
      </w:pPr>
      <w:r>
        <w:t xml:space="preserve">Uniquement le propriétaire</w:t>
      </w:r>
    </w:p>
    <w:p>
      <w:pPr>
        <w:pStyle w:val="Compact"/>
        <w:numPr>
          <w:ilvl w:val="1"/>
          <w:numId w:val="1418"/>
        </w:numPr>
      </w:pPr>
    </w:p>
    <w:p>
      <w:pPr>
        <w:pStyle w:val="Compact"/>
        <w:numPr>
          <w:ilvl w:val="2"/>
          <w:numId w:val="1422"/>
        </w:numPr>
      </w:pPr>
      <w:r>
        <w:t xml:space="preserve">Uniquement des groupes</w:t>
      </w:r>
    </w:p>
    <w:p>
      <w:pPr>
        <w:pStyle w:val="Compact"/>
        <w:numPr>
          <w:ilvl w:val="0"/>
          <w:numId w:val="1417"/>
        </w:numPr>
      </w:pPr>
      <w:r>
        <w:t xml:space="preserve">La commande pour éditer en toute sécurité le fichier</w:t>
      </w:r>
      <w:r>
        <w:t xml:space="preserve"> </w:t>
      </w:r>
      <w:r>
        <w:rPr>
          <w:rStyle w:val="VerbatimChar"/>
        </w:rPr>
        <w:t xml:space="preserve">/etc/sudoers</w:t>
      </w:r>
      <w:r>
        <w:t xml:space="preserve"> </w:t>
      </w:r>
      <w:r>
        <w:t xml:space="preserve">est :</w:t>
      </w:r>
    </w:p>
    <w:p>
      <w:pPr>
        <w:pStyle w:val="Compact"/>
        <w:numPr>
          <w:ilvl w:val="1"/>
          <w:numId w:val="1423"/>
        </w:numPr>
      </w:pPr>
    </w:p>
    <w:p>
      <w:pPr>
        <w:pStyle w:val="Compact"/>
        <w:numPr>
          <w:ilvl w:val="2"/>
          <w:numId w:val="1424"/>
        </w:numPr>
      </w:pPr>
      <w:r>
        <w:rPr>
          <w:rStyle w:val="VerbatimChar"/>
        </w:rPr>
        <w:t xml:space="preserve">nano /etc/sudoers</w:t>
      </w:r>
    </w:p>
    <w:p>
      <w:pPr>
        <w:pStyle w:val="Compact"/>
        <w:numPr>
          <w:ilvl w:val="1"/>
          <w:numId w:val="1423"/>
        </w:numPr>
      </w:pPr>
    </w:p>
    <w:p>
      <w:pPr>
        <w:pStyle w:val="Compact"/>
        <w:numPr>
          <w:ilvl w:val="2"/>
          <w:numId w:val="1425"/>
        </w:numPr>
      </w:pPr>
      <w:r>
        <w:rPr>
          <w:rStyle w:val="VerbatimChar"/>
        </w:rPr>
        <w:t xml:space="preserve">visudo</w:t>
      </w:r>
    </w:p>
    <w:p>
      <w:pPr>
        <w:pStyle w:val="Compact"/>
        <w:numPr>
          <w:ilvl w:val="1"/>
          <w:numId w:val="1423"/>
        </w:numPr>
      </w:pPr>
    </w:p>
    <w:p>
      <w:pPr>
        <w:pStyle w:val="Compact"/>
        <w:numPr>
          <w:ilvl w:val="2"/>
          <w:numId w:val="1426"/>
        </w:numPr>
      </w:pPr>
      <w:r>
        <w:rPr>
          <w:rStyle w:val="VerbatimChar"/>
        </w:rPr>
        <w:t xml:space="preserve">vim /etc/sudoers</w:t>
      </w:r>
    </w:p>
    <w:p>
      <w:pPr>
        <w:pStyle w:val="Compact"/>
        <w:numPr>
          <w:ilvl w:val="1"/>
          <w:numId w:val="1423"/>
        </w:numPr>
      </w:pPr>
    </w:p>
    <w:p>
      <w:pPr>
        <w:pStyle w:val="Compact"/>
        <w:numPr>
          <w:ilvl w:val="2"/>
          <w:numId w:val="1427"/>
        </w:numPr>
      </w:pPr>
      <w:r>
        <w:rPr>
          <w:rStyle w:val="VerbatimChar"/>
        </w:rPr>
        <w:t xml:space="preserve">sudo edit sudoers</w:t>
      </w:r>
    </w:p>
    <w:p>
      <w:pPr>
        <w:pStyle w:val="Compact"/>
        <w:numPr>
          <w:ilvl w:val="0"/>
          <w:numId w:val="1417"/>
        </w:numPr>
      </w:pPr>
      <w:r>
        <w:t xml:space="preserve">La règle</w:t>
      </w:r>
      <w:r>
        <w:t xml:space="preserve"> </w:t>
      </w:r>
      <w:r>
        <w:rPr>
          <w:rStyle w:val="VerbatimChar"/>
        </w:rPr>
        <w:t xml:space="preserve">ALL=(ALL) NOPASSWD: ALL</w:t>
      </w:r>
      <w:r>
        <w:t xml:space="preserve"> </w:t>
      </w:r>
      <w:r>
        <w:t xml:space="preserve">accorde :</w:t>
      </w:r>
    </w:p>
    <w:p>
      <w:pPr>
        <w:pStyle w:val="Compact"/>
        <w:numPr>
          <w:ilvl w:val="1"/>
          <w:numId w:val="1428"/>
        </w:numPr>
      </w:pPr>
    </w:p>
    <w:p>
      <w:pPr>
        <w:pStyle w:val="Compact"/>
        <w:numPr>
          <w:ilvl w:val="2"/>
          <w:numId w:val="1429"/>
        </w:numPr>
      </w:pPr>
      <w:r>
        <w:t xml:space="preserve">Un accès root total, permanent et sans re-authentification</w:t>
      </w:r>
    </w:p>
    <w:p>
      <w:pPr>
        <w:pStyle w:val="Compact"/>
        <w:numPr>
          <w:ilvl w:val="1"/>
          <w:numId w:val="1428"/>
        </w:numPr>
      </w:pPr>
    </w:p>
    <w:p>
      <w:pPr>
        <w:pStyle w:val="Compact"/>
        <w:numPr>
          <w:ilvl w:val="2"/>
          <w:numId w:val="1430"/>
        </w:numPr>
      </w:pPr>
      <w:r>
        <w:t xml:space="preserve">Un accès limité à une seule commande</w:t>
      </w:r>
    </w:p>
    <w:p>
      <w:pPr>
        <w:pStyle w:val="Compact"/>
        <w:numPr>
          <w:ilvl w:val="1"/>
          <w:numId w:val="1428"/>
        </w:numPr>
      </w:pPr>
    </w:p>
    <w:p>
      <w:pPr>
        <w:pStyle w:val="Compact"/>
        <w:numPr>
          <w:ilvl w:val="2"/>
          <w:numId w:val="1431"/>
        </w:numPr>
      </w:pPr>
      <w:r>
        <w:t xml:space="preserve">Un accès en lecture seule</w:t>
      </w:r>
    </w:p>
    <w:p>
      <w:pPr>
        <w:pStyle w:val="Compact"/>
        <w:numPr>
          <w:ilvl w:val="1"/>
          <w:numId w:val="1428"/>
        </w:numPr>
      </w:pPr>
    </w:p>
    <w:p>
      <w:pPr>
        <w:pStyle w:val="Compact"/>
        <w:numPr>
          <w:ilvl w:val="2"/>
          <w:numId w:val="1432"/>
        </w:numPr>
      </w:pPr>
      <w:r>
        <w:t xml:space="preserve">Aucun accès particulier</w:t>
      </w:r>
    </w:p>
    <w:p>
      <w:pPr>
        <w:pStyle w:val="FirstParagraph"/>
      </w:pPr>
      <w:r>
        <w:rPr>
          <w:b/>
          <w:bCs/>
        </w:rPr>
        <w:t xml:space="preserve">Corrigé</w:t>
      </w:r>
      <w:r>
        <w:t xml:space="preserve"> </w:t>
      </w:r>
      <w:r>
        <w:t xml:space="preserve">: 1-a, 2-b, 3-a.</w:t>
      </w:r>
    </w:p>
    <w:p>
      <w:pPr>
        <w:pStyle w:val="BodyText"/>
      </w:pPr>
      <w:r>
        <w:t xml:space="preserve">📝 Vrai ou Faux</w:t>
      </w:r>
    </w:p>
    <w:p>
      <w:pPr>
        <w:pStyle w:val="Compact"/>
        <w:numPr>
          <w:ilvl w:val="0"/>
          <w:numId w:val="1433"/>
        </w:numPr>
      </w:pPr>
      <w:r>
        <w:t xml:space="preserve">Les ACL permettent d’attribuer des permissions distinctes à plusieurs utilisateurs spécifiques sur le même fichier. —</w:t>
      </w:r>
      <w:r>
        <w:t xml:space="preserve"> </w:t>
      </w:r>
      <w:r>
        <w:rPr>
          <w:b/>
          <w:bCs/>
        </w:rPr>
        <w:t xml:space="preserve">Vrai</w:t>
      </w:r>
      <w:r>
        <w:t xml:space="preserve">.</w:t>
      </w:r>
    </w:p>
    <w:p>
      <w:pPr>
        <w:pStyle w:val="Compact"/>
        <w:numPr>
          <w:ilvl w:val="0"/>
          <w:numId w:val="1433"/>
        </w:numPr>
      </w:pPr>
      <w:r>
        <w:t xml:space="preserve">Un changement de groupe via</w:t>
      </w:r>
      <w:r>
        <w:t xml:space="preserve"> </w:t>
      </w:r>
      <w:r>
        <w:rPr>
          <w:rStyle w:val="VerbatimChar"/>
        </w:rPr>
        <w:t xml:space="preserve">usermod -aG</w:t>
      </w:r>
      <w:r>
        <w:t xml:space="preserve"> </w:t>
      </w:r>
      <w:r>
        <w:t xml:space="preserve">prend effet immédiatement sur toutes les sessions déjà ouvertes de l’utilisateur. —</w:t>
      </w:r>
      <w:r>
        <w:t xml:space="preserve"> </w:t>
      </w:r>
      <w:r>
        <w:rPr>
          <w:b/>
          <w:bCs/>
        </w:rPr>
        <w:t xml:space="preserve">Faux</w:t>
      </w:r>
      <w:r>
        <w:t xml:space="preserve"> </w:t>
      </w:r>
      <w:r>
        <w:t xml:space="preserve">(une nouvelle session, ou</w:t>
      </w:r>
      <w:r>
        <w:t xml:space="preserve"> </w:t>
      </w:r>
      <w:r>
        <w:rPr>
          <w:rStyle w:val="VerbatimChar"/>
        </w:rPr>
        <w:t xml:space="preserve">newgrp</w:t>
      </w:r>
      <w:r>
        <w:t xml:space="preserve">, est nécessaire).</w:t>
      </w:r>
    </w:p>
    <w:p>
      <w:pPr>
        <w:pStyle w:val="Compact"/>
        <w:numPr>
          <w:ilvl w:val="0"/>
          <w:numId w:val="1433"/>
        </w:numPr>
      </w:pPr>
      <w:r>
        <w:rPr>
          <w:rStyle w:val="VerbatimChar"/>
        </w:rPr>
        <w:t xml:space="preserve">NOPASSWD</w:t>
      </w:r>
      <w:r>
        <w:t xml:space="preserve"> </w:t>
      </w:r>
      <w:r>
        <w:t xml:space="preserve">est toujours une mauvaise pratique de sécurité, quel que soit le contexte. —</w:t>
      </w:r>
      <w:r>
        <w:t xml:space="preserve"> </w:t>
      </w:r>
      <w:r>
        <w:rPr>
          <w:b/>
          <w:bCs/>
        </w:rPr>
        <w:t xml:space="preserve">Faux</w:t>
      </w:r>
      <w:r>
        <w:t xml:space="preserve"> </w:t>
      </w:r>
      <w:r>
        <w:t xml:space="preserve">(le vrai problème est sa combinaison avec un accès total</w:t>
      </w:r>
      <w:r>
        <w:t xml:space="preserve"> </w:t>
      </w:r>
      <w:r>
        <w:rPr>
          <w:rStyle w:val="VerbatimChar"/>
        </w:rPr>
        <w:t xml:space="preserve">ALL=(ALL)</w:t>
      </w:r>
      <w:r>
        <w:t xml:space="preserve">, pas</w:t>
      </w:r>
      <w:r>
        <w:t xml:space="preserve"> </w:t>
      </w:r>
      <w:r>
        <w:rPr>
          <w:rStyle w:val="VerbatimChar"/>
        </w:rPr>
        <w:t xml:space="preserve">NOPASSWD</w:t>
      </w:r>
      <w:r>
        <w:t xml:space="preserve"> </w:t>
      </w:r>
      <w:r>
        <w:t xml:space="preserve">seul).</w:t>
      </w:r>
    </w:p>
    <w:p>
      <w:pPr>
        <w:pStyle w:val="Compact"/>
        <w:numPr>
          <w:ilvl w:val="0"/>
          <w:numId w:val="1433"/>
        </w:numPr>
      </w:pPr>
      <w:r>
        <w:t xml:space="preserve">Un fichier avec une ACL affiche un signe distinctif (</w:t>
      </w:r>
      <w:r>
        <w:rPr>
          <w:rStyle w:val="VerbatimChar"/>
        </w:rPr>
        <w:t xml:space="preserve">+</w:t>
      </w:r>
      <w:r>
        <w:t xml:space="preserve">) dans la sortie de</w:t>
      </w:r>
      <w:r>
        <w:t xml:space="preserve"> </w:t>
      </w:r>
      <w:r>
        <w:rPr>
          <w:rStyle w:val="VerbatimChar"/>
        </w:rPr>
        <w:t xml:space="preserve">ls -l</w:t>
      </w:r>
      <w:r>
        <w:t xml:space="preserve">. —</w:t>
      </w:r>
      <w:r>
        <w:t xml:space="preserve"> </w:t>
      </w:r>
      <w:r>
        <w:rPr>
          <w:b/>
          <w:bCs/>
        </w:rPr>
        <w:t xml:space="preserve">Vrai</w:t>
      </w:r>
      <w:r>
        <w:t xml:space="preserve">.</w:t>
      </w:r>
    </w:p>
    <w:p>
      <w:pPr>
        <w:pStyle w:val="FirstParagraph"/>
      </w:pPr>
      <w:r>
        <w:t xml:space="preserve">📝 Questions ouvertes</w:t>
      </w:r>
    </w:p>
    <w:p>
      <w:pPr>
        <w:pStyle w:val="Compact"/>
        <w:numPr>
          <w:ilvl w:val="0"/>
          <w:numId w:val="1434"/>
        </w:numPr>
      </w:pPr>
      <w:r>
        <w:t xml:space="preserve">Explique pourquoi une règle</w:t>
      </w:r>
      <w:r>
        <w:t xml:space="preserve"> </w:t>
      </w:r>
      <w:r>
        <w:rPr>
          <w:rStyle w:val="VerbatimChar"/>
        </w:rPr>
        <w:t xml:space="preserve">sudo</w:t>
      </w:r>
      <w:r>
        <w:t xml:space="preserve"> </w:t>
      </w:r>
      <w:r>
        <w:t xml:space="preserve">granulaire est presque toujours préférable à un accès root total, même quand la personne concernée est totalement digne de confiance.</w:t>
      </w:r>
    </w:p>
    <w:p>
      <w:pPr>
        <w:pStyle w:val="Compact"/>
        <w:numPr>
          <w:ilvl w:val="0"/>
          <w:numId w:val="1434"/>
        </w:numPr>
      </w:pPr>
      <w:r>
        <w:t xml:space="preserve">Reprends le scénario d’ouverture. Explique pourquoi la solution ACL est plus adaptée qu’une restructuration complète des groupes Unix existants pour ce besoin précis.</w:t>
      </w:r>
    </w:p>
    <w:p>
      <w:pPr>
        <w:pStyle w:val="FirstParagraph"/>
      </w:pPr>
      <w:r>
        <w:rPr>
          <w:b/>
          <w:bCs/>
        </w:rPr>
        <w:t xml:space="preserve">Corrigé 1</w:t>
      </w:r>
      <w:r>
        <w:t xml:space="preserve"> </w:t>
      </w:r>
      <w:r>
        <w:t xml:space="preserve">: la confiance envers la personne n’élimine pas le risque que</w:t>
      </w:r>
      <w:r>
        <w:t xml:space="preserve"> </w:t>
      </w:r>
      <w:r>
        <w:rPr>
          <w:b/>
          <w:bCs/>
        </w:rPr>
        <w:t xml:space="preserve">son compte</w:t>
      </w:r>
      <w:r>
        <w:t xml:space="preserve"> </w:t>
      </w:r>
      <w:r>
        <w:t xml:space="preserve">soit compromis indépendamment de sa volonté (phishing, mot de passe réutilisé ailleurs, poste de travail infecté) — dans ce cas, c’est l’étendue du privilège accordé au compte, pas la confiance envers la personne, qui détermine l’ampleur des dégâts possibles. Une règle granulaire limite mécaniquement ce qu’un attaquant pourrait faire même en cas de compromission du compte, indépendamment de la fiabilité réelle de la personne elle-même.</w:t>
      </w:r>
    </w:p>
    <w:p>
      <w:pPr>
        <w:pStyle w:val="BodyText"/>
      </w:pPr>
      <w:r>
        <w:rPr>
          <w:b/>
          <w:bCs/>
        </w:rPr>
        <w:t xml:space="preserve">Corrigé 2</w:t>
      </w:r>
      <w:r>
        <w:t xml:space="preserve"> </w:t>
      </w:r>
      <w:r>
        <w:t xml:space="preserve">: restructurer les groupes Unix existants pour un besoin aussi ponctuel (deux permissions différentes sur un seul dossier) serait disproportionné et pourrait affecter d’autres ressources ou personnes utilisant déjà ces mêmes groupes pour d’autres besoins. Les ACL permettent de répondre précisément au besoin exprimé (des permissions différentes pour deux utilisateurs précis, sur une ressource précise) sans toucher à l’architecture de groupes existante ni créer d’effets de bord sur d’autres ressources ou d’autres utilisateurs du système.</w:t>
      </w:r>
    </w:p>
    <w:bookmarkEnd w:id="457"/>
    <w:bookmarkStart w:id="458" w:name="exercices-17"/>
    <w:p>
      <w:pPr>
        <w:pStyle w:val="Heading2"/>
      </w:pPr>
      <w:r>
        <w:t xml:space="preserve">Exercices</w:t>
      </w:r>
    </w:p>
    <w:p>
      <w:pPr>
        <w:pStyle w:val="FirstParagraph"/>
      </w:pPr>
      <w:r>
        <w:t xml:space="preserve">📝 Exercice 18.1</w:t>
      </w:r>
    </w:p>
    <w:p>
      <w:pPr>
        <w:pStyle w:val="BodyText"/>
      </w:pPr>
      <w:r>
        <w:t xml:space="preserve">Un troisième développeur rejoint le projet quelques semaines plus tard. Explique pourquoi la solution de groupe (section 18.5) mise en place dès le départ rend son intégration plus simple que si des règles</w:t>
      </w:r>
      <w:r>
        <w:t xml:space="preserve"> </w:t>
      </w:r>
      <w:r>
        <w:rPr>
          <w:rStyle w:val="VerbatimChar"/>
        </w:rPr>
        <w:t xml:space="preserve">sudo</w:t>
      </w:r>
      <w:r>
        <w:t xml:space="preserve"> </w:t>
      </w:r>
      <w:r>
        <w:t xml:space="preserve">individuelles avaient été créées pour chaque développeur.</w:t>
      </w:r>
    </w:p>
    <w:p>
      <w:pPr>
        <w:pStyle w:val="BodyText"/>
      </w:pPr>
      <w:r>
        <w:rPr>
          <w:b/>
          <w:bCs/>
        </w:rPr>
        <w:t xml:space="preserve">Corrigé :</w:t>
      </w:r>
      <w:r>
        <w:t xml:space="preserve"> </w:t>
      </w:r>
      <w:r>
        <w:t xml:space="preserve">Avec une règle</w:t>
      </w:r>
      <w:r>
        <w:t xml:space="preserve"> </w:t>
      </w:r>
      <w:r>
        <w:rPr>
          <w:rStyle w:val="VerbatimChar"/>
        </w:rPr>
        <w:t xml:space="preserve">sudo</w:t>
      </w:r>
      <w:r>
        <w:t xml:space="preserve"> </w:t>
      </w:r>
      <w:r>
        <w:t xml:space="preserve">basée sur le groupe</w:t>
      </w:r>
      <w:r>
        <w:t xml:space="preserve"> </w:t>
      </w:r>
      <w:r>
        <w:rPr>
          <w:rStyle w:val="VerbatimChar"/>
        </w:rPr>
        <w:t xml:space="preserve">%dev_portail</w:t>
      </w:r>
      <w:r>
        <w:t xml:space="preserve">, intégrer le troisième développeur se limite à l’ajouter à ce groupe existant (</w:t>
      </w:r>
      <w:r>
        <w:rPr>
          <w:rStyle w:val="VerbatimChar"/>
        </w:rPr>
        <w:t xml:space="preserve">usermod -aG dev_portail troisieme_dev</w:t>
      </w:r>
      <w:r>
        <w:t xml:space="preserve">) — la règle</w:t>
      </w:r>
      <w:r>
        <w:t xml:space="preserve"> </w:t>
      </w:r>
      <w:r>
        <w:rPr>
          <w:rStyle w:val="VerbatimChar"/>
        </w:rPr>
        <w:t xml:space="preserve">sudo</w:t>
      </w:r>
      <w:r>
        <w:t xml:space="preserve"> </w:t>
      </w:r>
      <w:r>
        <w:t xml:space="preserve">elle-même n’a besoin d’aucune modification, puisqu’elle s’applique déjà à tous les membres du groupe. Avec des règles individuelles, il aurait fallu dupliquer et adapter une nouvelle ligne de configuration</w:t>
      </w:r>
      <w:r>
        <w:t xml:space="preserve"> </w:t>
      </w:r>
      <w:r>
        <w:rPr>
          <w:rStyle w:val="VerbatimChar"/>
        </w:rPr>
        <w:t xml:space="preserve">sudoers</w:t>
      </w:r>
      <w:r>
        <w:t xml:space="preserve"> </w:t>
      </w:r>
      <w:r>
        <w:t xml:space="preserve">pour ce troisième développeur, une opération plus lente et plus sujette à l’erreur (oubli d’une commande autorisée dans la nouvelle règle, incohérence progressive entre les règles de chaque développeur au fil du temps).</w:t>
      </w:r>
    </w:p>
    <w:p>
      <w:pPr>
        <w:pStyle w:val="BodyText"/>
      </w:pPr>
      <w:r>
        <w:t xml:space="preserve">📝 Exercice 18.2</w:t>
      </w:r>
    </w:p>
    <w:p>
      <w:pPr>
        <w:pStyle w:val="BodyText"/>
      </w:pPr>
      <w:r>
        <w:t xml:space="preserve">Rédige, en 3 à 5 phrases, une politique courte d’équipe sur la création de nouvelles règles</w:t>
      </w:r>
      <w:r>
        <w:t xml:space="preserve"> </w:t>
      </w:r>
      <w:r>
        <w:rPr>
          <w:rStyle w:val="VerbatimChar"/>
        </w:rPr>
        <w:t xml:space="preserve">sudo</w:t>
      </w:r>
      <w:r>
        <w:t xml:space="preserve">, destinée à éviter que la situation du scénario d’ouverture ne se reproduise à l’avenir.</w:t>
      </w:r>
    </w:p>
    <w:p>
      <w:pPr>
        <w:pStyle w:val="BodyText"/>
      </w:pPr>
      <w:r>
        <w:rPr>
          <w:b/>
          <w:bCs/>
        </w:rPr>
        <w:t xml:space="preserve">Corrigé (exemple de réponse) :</w:t>
      </w:r>
      <w:r>
        <w:t xml:space="preserve"> </w:t>
      </w:r>
      <w:r>
        <w:t xml:space="preserve">Toute nouvelle règle</w:t>
      </w:r>
      <w:r>
        <w:t xml:space="preserve"> </w:t>
      </w:r>
      <w:r>
        <w:rPr>
          <w:rStyle w:val="VerbatimChar"/>
        </w:rPr>
        <w:t xml:space="preserve">sudo</w:t>
      </w:r>
      <w:r>
        <w:t xml:space="preserve"> </w:t>
      </w:r>
      <w:r>
        <w:t xml:space="preserve">doit être créée avec les commandes précises réellement nécessaires à la tâche concernée, jamais avec</w:t>
      </w:r>
      <w:r>
        <w:t xml:space="preserve"> </w:t>
      </w:r>
      <w:r>
        <w:rPr>
          <w:rStyle w:val="VerbatimChar"/>
        </w:rPr>
        <w:t xml:space="preserve">ALL=(ALL)</w:t>
      </w:r>
      <w:r>
        <w:t xml:space="preserve"> </w:t>
      </w:r>
      <w:r>
        <w:t xml:space="preserve">sauf justification exceptionnelle documentée et validée par un second membre de l’équipe. Les règles doivent être attribuées à des groupes plutôt qu’à des utilisateurs individuels dès que plus d’une personne est concernée. Chaque règle non standard doit être documentée dans la CMDB du chapitre 3 avec sa justification, et l’ensemble des règles</w:t>
      </w:r>
      <w:r>
        <w:t xml:space="preserve"> </w:t>
      </w:r>
      <w:r>
        <w:rPr>
          <w:rStyle w:val="VerbatimChar"/>
        </w:rPr>
        <w:t xml:space="preserve">sudo</w:t>
      </w:r>
      <w:r>
        <w:t xml:space="preserve"> </w:t>
      </w:r>
      <w:r>
        <w:t xml:space="preserve">actives doit faire l’objet d’une revue trimestrielle pour identifier et retirer les privilèges devenus obsolètes.</w:t>
      </w:r>
    </w:p>
    <w:bookmarkEnd w:id="458"/>
    <w:bookmarkStart w:id="459" w:name="checklist-de-fin-de-chapitre-17"/>
    <w:p>
      <w:pPr>
        <w:pStyle w:val="Heading2"/>
      </w:pPr>
      <w:r>
        <w:t xml:space="preserve">Checklist de fin de chapitre</w:t>
      </w:r>
    </w:p>
    <w:p>
      <w:pPr>
        <w:pStyle w:val="FirstParagraph"/>
      </w:pPr>
      <w:r>
        <w:t xml:space="preserve">☐ Je comprends les limites du modèle traditionnel Unix de permissions.</w:t>
      </w:r>
    </w:p>
    <w:p>
      <w:pPr>
        <w:pStyle w:val="BodyText"/>
      </w:pPr>
      <w:r>
        <w:t xml:space="preserve">☐ Je sais utiliser</w:t>
      </w:r>
      <w:r>
        <w:t xml:space="preserve"> </w:t>
      </w:r>
      <w:r>
        <w:rPr>
          <w:rStyle w:val="VerbatimChar"/>
        </w:rPr>
        <w:t xml:space="preserve">getfacl</w:t>
      </w:r>
      <w:r>
        <w:t xml:space="preserve"> </w:t>
      </w:r>
      <w:r>
        <w:t xml:space="preserve">et</w:t>
      </w:r>
      <w:r>
        <w:t xml:space="preserve"> </w:t>
      </w:r>
      <w:r>
        <w:rPr>
          <w:rStyle w:val="VerbatimChar"/>
        </w:rPr>
        <w:t xml:space="preserve">setfacl</w:t>
      </w:r>
      <w:r>
        <w:t xml:space="preserve"> </w:t>
      </w:r>
      <w:r>
        <w:t xml:space="preserve">pour attribuer des permissions fines à des utilisateurs ou groupes spécifiques.</w:t>
      </w:r>
    </w:p>
    <w:p>
      <w:pPr>
        <w:pStyle w:val="BodyText"/>
      </w:pPr>
      <w:r>
        <w:t xml:space="preserve">☐ Je sais configurer une règle</w:t>
      </w:r>
      <w:r>
        <w:t xml:space="preserve"> </w:t>
      </w:r>
      <w:r>
        <w:rPr>
          <w:rStyle w:val="VerbatimChar"/>
        </w:rPr>
        <w:t xml:space="preserve">sudo</w:t>
      </w:r>
      <w:r>
        <w:t xml:space="preserve"> </w:t>
      </w:r>
      <w:r>
        <w:t xml:space="preserve">granulaire via</w:t>
      </w:r>
      <w:r>
        <w:t xml:space="preserve"> </w:t>
      </w:r>
      <w:r>
        <w:rPr>
          <w:rStyle w:val="VerbatimChar"/>
        </w:rPr>
        <w:t xml:space="preserve">visudo</w:t>
      </w:r>
      <w:r>
        <w:t xml:space="preserve">, plutôt qu’un accès root total.</w:t>
      </w:r>
    </w:p>
    <w:p>
      <w:pPr>
        <w:pStyle w:val="BodyText"/>
      </w:pPr>
      <w:r>
        <w:t xml:space="preserve">☐ Je comprends pourquoi</w:t>
      </w:r>
      <w:r>
        <w:t xml:space="preserve"> </w:t>
      </w:r>
      <w:r>
        <w:rPr>
          <w:rStyle w:val="VerbatimChar"/>
        </w:rPr>
        <w:t xml:space="preserve">ALL=(ALL) NOPASSWD: ALL</w:t>
      </w:r>
      <w:r>
        <w:t xml:space="preserve"> </w:t>
      </w:r>
      <w:r>
        <w:t xml:space="preserve">est une pratique de sécurité risquée.</w:t>
      </w:r>
    </w:p>
    <w:p>
      <w:pPr>
        <w:pStyle w:val="BodyText"/>
      </w:pPr>
      <w:r>
        <w:t xml:space="preserve">☐ Je sais pourquoi privilégier les groupes aux règles individuelles pour la gestion des permissions.</w:t>
      </w:r>
    </w:p>
    <w:p>
      <w:pPr>
        <w:pStyle w:val="BodyText"/>
      </w:pPr>
      <w:r>
        <w:t xml:space="preserve">☐ Je sais diagnostiquer une erreur</w:t>
      </w:r>
      <w:r>
        <w:t xml:space="preserve"> </w:t>
      </w:r>
      <w:r>
        <w:t xml:space="preserve">“Permission denied”</w:t>
      </w:r>
      <w:r>
        <w:t xml:space="preserve"> </w:t>
      </w:r>
      <w:r>
        <w:t xml:space="preserve">en tenant compte des ACL, pas seulement des permissions traditionnelles.</w:t>
      </w:r>
    </w:p>
    <w:bookmarkEnd w:id="459"/>
    <w:bookmarkStart w:id="460" w:name="faq-17"/>
    <w:p>
      <w:pPr>
        <w:pStyle w:val="Heading2"/>
      </w:pPr>
      <w:r>
        <w:t xml:space="preserve">FAQ</w:t>
      </w:r>
    </w:p>
    <w:p>
      <w:pPr>
        <w:pStyle w:val="FirstParagraph"/>
      </w:pPr>
      <w:r>
        <w:t xml:space="preserve">Les ACL sont-elles supportées par tous les systèmes de fichiers Linux ?</w:t>
      </w:r>
    </w:p>
    <w:p>
      <w:pPr>
        <w:pStyle w:val="BodyText"/>
      </w:pPr>
      <w:r>
        <w:t xml:space="preserve">La plupart des systèmes de fichiers modernes (ext4, XFS) les supportent nativement, mais leur activation peut nécessiter une option de montage spécifique selon la configuration — une vérification à faire avant de compter dessus sur un système existant, notamment sur un système ancien ou configuré de façon minimaliste.</w:t>
      </w:r>
    </w:p>
    <w:p>
      <w:pPr>
        <w:pStyle w:val="BodyText"/>
      </w:pPr>
      <w:r>
        <w:t xml:space="preserve">Une ACL a-t-elle priorité sur les permissions traditionnelles, ou l’inverse ?</w:t>
      </w:r>
    </w:p>
    <w:p>
      <w:pPr>
        <w:pStyle w:val="BodyText"/>
      </w:pPr>
      <w:r>
        <w:t xml:space="preserve">Les ACL viennent s’ajouter aux permissions traditionnelles plutôt que de les remplacer entièrement — la règle générale est que la permission la plus spécifique (une ACL nommant précisément un utilisateur) prime sur une permission plus générale (les permissions de groupe ou</w:t>
      </w:r>
      <w:r>
        <w:t xml:space="preserve"> </w:t>
      </w:r>
      <w:r>
        <w:t xml:space="preserve">“autres”</w:t>
      </w:r>
      <w:r>
        <w:t xml:space="preserve"> </w:t>
      </w:r>
      <w:r>
        <w:t xml:space="preserve">traditionnelles), mais la logique exacte de priorité entre les différentes entrées mérite toujours une vérification avec</w:t>
      </w:r>
      <w:r>
        <w:t xml:space="preserve"> </w:t>
      </w:r>
      <w:r>
        <w:rPr>
          <w:rStyle w:val="VerbatimChar"/>
        </w:rPr>
        <w:t xml:space="preserve">getfacl</w:t>
      </w:r>
      <w:r>
        <w:t xml:space="preserve"> </w:t>
      </w:r>
      <w:r>
        <w:t xml:space="preserve">en cas de doute, plutôt qu’une supposition.</w:t>
      </w:r>
    </w:p>
    <w:p>
      <w:pPr>
        <w:pStyle w:val="BodyText"/>
      </w:pPr>
      <w:r>
        <w:t xml:space="preserve">Faut-il éviter complètement</w:t>
      </w:r>
      <w:r>
        <w:t xml:space="preserve"> </w:t>
      </w:r>
      <w:r>
        <w:rPr>
          <w:rStyle w:val="VerbatimChar"/>
        </w:rPr>
        <w:t xml:space="preserve">sudo</w:t>
      </w:r>
      <w:r>
        <w:t xml:space="preserve"> </w:t>
      </w:r>
      <w:r>
        <w:t xml:space="preserve">et préférer se connecter directement en tant que root ?</w:t>
      </w:r>
    </w:p>
    <w:p>
      <w:pPr>
        <w:pStyle w:val="BodyText"/>
      </w:pPr>
      <w:r>
        <w:t xml:space="preserve">Non, c’est l’inverse qui est recommandé :</w:t>
      </w:r>
      <w:r>
        <w:t xml:space="preserve"> </w:t>
      </w:r>
      <w:r>
        <w:rPr>
          <w:rStyle w:val="VerbatimChar"/>
        </w:rPr>
        <w:t xml:space="preserve">sudo</w:t>
      </w:r>
      <w:r>
        <w:t xml:space="preserve"> </w:t>
      </w:r>
      <w:r>
        <w:t xml:space="preserve">garde une trace de qui a exécuté quelle commande (contrairement à une session root partagée où cette traçabilité individuelle disparaît), rejoignant directement le principe des comptes nominatifs du chapitre 4. Une connexion directe en tant que root doit rester l’exception, jamais l’usage courant.</w:t>
      </w:r>
    </w:p>
    <w:p>
      <w:pPr>
        <w:pStyle w:val="BodyText"/>
      </w:pPr>
      <w:r>
        <w:t xml:space="preserve">Les outils de sauvegarde préservent-ils toujours les ACL lors d’une restauration ?</w:t>
      </w:r>
    </w:p>
    <w:p>
      <w:pPr>
        <w:pStyle w:val="BodyText"/>
      </w:pPr>
      <w:r>
        <w:t xml:space="preserve">Pas systématiquement selon l’outil utilisé — une vérification explicite de ce point fait partie des bonnes pratiques de test de restauration évoquées au chapitre 1 (section 1.4), pour éviter de découvrir, après un incident réel, qu’une restauration a silencieusement perdu des permissions fines critiques.</w:t>
      </w:r>
    </w:p>
    <w:bookmarkEnd w:id="460"/>
    <w:bookmarkStart w:id="463" w:name="références-et-pour-aller-plus-loin-17"/>
    <w:p>
      <w:pPr>
        <w:pStyle w:val="Heading2"/>
      </w:pPr>
      <w:r>
        <w:t xml:space="preserve">Références et pour aller plus loin</w:t>
      </w:r>
    </w:p>
    <w:p>
      <w:pPr>
        <w:pStyle w:val="Compact"/>
        <w:numPr>
          <w:ilvl w:val="0"/>
          <w:numId w:val="1435"/>
        </w:numPr>
      </w:pPr>
      <w:r>
        <w:t xml:space="preserve">Documentation officielle Red Hat — Gestion des ACL :</w:t>
      </w:r>
      <w:r>
        <w:t xml:space="preserve"> </w:t>
      </w:r>
      <w:hyperlink r:id="rId461">
        <w:r>
          <w:rPr>
            <w:rStyle w:val="Hyperlink"/>
          </w:rPr>
          <w:t xml:space="preserve">https://access.redhat.com/documentation/fr-fr/red_hat_enterprise_linux/9/html/configuring_basic_system_settings/assembly_managing-file-permissions_configuring-basic-system-settings</w:t>
        </w:r>
      </w:hyperlink>
    </w:p>
    <w:p>
      <w:pPr>
        <w:pStyle w:val="Compact"/>
        <w:numPr>
          <w:ilvl w:val="0"/>
          <w:numId w:val="1435"/>
        </w:numPr>
      </w:pPr>
      <w:r>
        <w:t xml:space="preserve">Documentation officielle sudo :</w:t>
      </w:r>
      <w:r>
        <w:t xml:space="preserve"> </w:t>
      </w:r>
      <w:hyperlink r:id="rId462">
        <w:r>
          <w:rPr>
            <w:rStyle w:val="Hyperlink"/>
          </w:rPr>
          <w:t xml:space="preserve">https://www.sudo.ws/docs/</w:t>
        </w:r>
      </w:hyperlink>
    </w:p>
    <w:p>
      <w:pPr>
        <w:pStyle w:val="Compact"/>
        <w:numPr>
          <w:ilvl w:val="0"/>
          <w:numId w:val="1435"/>
        </w:numPr>
      </w:pPr>
      <w:r>
        <w:t xml:space="preserve">CIS Benchmarks — recommandations de configuration sudo et permissions :</w:t>
      </w:r>
      <w:r>
        <w:t xml:space="preserve"> </w:t>
      </w:r>
      <w:hyperlink r:id="rId198">
        <w:r>
          <w:rPr>
            <w:rStyle w:val="Hyperlink"/>
          </w:rPr>
          <w:t xml:space="preserve">https://www.cisecurity.org/cis-benchmarks</w:t>
        </w:r>
      </w:hyperlink>
    </w:p>
    <w:p>
      <w:pPr>
        <w:pStyle w:val="FirstParagraph"/>
      </w:pPr>
      <w:r>
        <w:rPr>
          <w:i/>
          <w:iCs/>
        </w:rPr>
        <w:t xml:space="preserve">Chapitre suivant : sécurité Linux avec SELinux et AppArmor — une couche de protection supplémentaire, au-delà des permissions traditionnelles et des ACL, qui limite ce qu’un processus peut faire même s’il s’exécute avec les bonnes permissions Unix.</w:t>
      </w:r>
    </w:p>
    <w:p>
      <w:pPr>
        <w:pStyle w:val="BodyText"/>
      </w:pPr>
      <w:r>
        <w:t xml:space="preserve">CHAPITRE 19</w:t>
      </w:r>
    </w:p>
    <w:bookmarkEnd w:id="463"/>
    <w:bookmarkEnd w:id="464"/>
    <w:bookmarkStart w:id="485" w:name="sécurité-linux-selinux-et-apparmor"/>
    <w:p>
      <w:pPr>
        <w:pStyle w:val="Heading1"/>
      </w:pPr>
      <w:r>
        <w:t xml:space="preserve">Sécurité Linux : SELinux et AppArmor</w:t>
      </w:r>
    </w:p>
    <w:p>
      <w:pPr>
        <w:pStyle w:val="FirstParagraph"/>
      </w:pPr>
      <w:r>
        <w:t xml:space="preserve">🎯 Objectif du chapitre</w:t>
      </w:r>
      <w:r>
        <w:t xml:space="preserve"> </w:t>
      </w:r>
      <w:r>
        <w:t xml:space="preserve">Comprendre le contrôle d’accès obligatoire (MAC), une couche de sécurité qui va au-delà des permissions traditionnelles et des ACL du chapitre 18, en limitant ce qu’un processus peut faire même s’il dispose techniquement des bonnes permissions Unix. À la fin de ce chapitre, tu sauras diagnostiquer un blocage SELinux sans céder au réflexe de le désactiver, comprendre la logique des profils AppArmor, et choisir la bonne approche de diagnostic selon la distribution utilisée.</w:t>
      </w:r>
    </w:p>
    <w:p>
      <w:pPr>
        <w:pStyle w:val="BodyText"/>
      </w:pPr>
      <w:r>
        <w:t xml:space="preserve">🎬 Mise en situation</w:t>
      </w:r>
      <w:r>
        <w:t xml:space="preserve"> </w:t>
      </w:r>
      <w:r>
        <w:t xml:space="preserve">La compagnie d’assurance déploie un nouveau système de gestion documentaire, soumis à des exigences de conformité plus strictes que le portail client (chapitre 14) — le choix se porte sur Rocky Linux, suivant le cadre de décision du chapitre 14. Le développeur configure Nginx pour servir des documents depuis un dossier personnalisé,</w:t>
      </w:r>
      <w:r>
        <w:t xml:space="preserve"> </w:t>
      </w:r>
      <w:r>
        <w:rPr>
          <w:rStyle w:val="VerbatimChar"/>
        </w:rPr>
        <w:t xml:space="preserve">/donnees/documents</w:t>
      </w:r>
      <w:r>
        <w:t xml:space="preserve">, avec des permissions Unix parfaitement correctes (vérifiées trois fois). Pourtant, Nginx renvoie systématiquement une erreur 403</w:t>
      </w:r>
      <w:r>
        <w:t xml:space="preserve"> </w:t>
      </w:r>
      <w:r>
        <w:t xml:space="preserve">“Forbidden”</w:t>
      </w:r>
      <w:r>
        <w:t xml:space="preserve"> </w:t>
      </w:r>
      <w:r>
        <w:t xml:space="preserve">en tentant d’accéder à ce dossier.</w:t>
      </w:r>
      <w:r>
        <w:t xml:space="preserve"> </w:t>
      </w:r>
      <w:r>
        <w:t xml:space="preserve">“Les permissions sont bonnes,</w:t>
      </w:r>
      <w:r>
        <w:t xml:space="preserve"> </w:t>
      </w:r>
      <w:r>
        <w:rPr>
          <w:rStyle w:val="VerbatimChar"/>
        </w:rPr>
        <w:t xml:space="preserve">chmod</w:t>
      </w:r>
      <w:r>
        <w:t xml:space="preserve"> </w:t>
      </w:r>
      <w:r>
        <w:t xml:space="preserve">et</w:t>
      </w:r>
      <w:r>
        <w:t xml:space="preserve"> </w:t>
      </w:r>
      <w:r>
        <w:rPr>
          <w:rStyle w:val="VerbatimChar"/>
        </w:rPr>
        <w:t xml:space="preserve">chown</w:t>
      </w:r>
      <w:r>
        <w:t xml:space="preserve"> </w:t>
      </w:r>
      <w:r>
        <w:t xml:space="preserve">sont corrects, je ne comprends pas”</w:t>
      </w:r>
      <w:r>
        <w:t xml:space="preserve">, te dit-il, à deux doigts de proposer de</w:t>
      </w:r>
      <w:r>
        <w:t xml:space="preserve"> </w:t>
      </w:r>
      <w:r>
        <w:t xml:space="preserve">“désactiver la sécurité pour que ça marche enfin”</w:t>
      </w:r>
      <w:r>
        <w:t xml:space="preserve">. C’est exactement le moment où ce chapitre devient indispensable : le problème n’est ni un bug ni une permission Unix incorrecte, mais SELinux, une couche de sécurité entièrement différente.</w:t>
      </w:r>
    </w:p>
    <w:bookmarkStart w:id="465" w:name="Xff63334846af23236b5e669236f35b510e2650b"/>
    <w:p>
      <w:pPr>
        <w:pStyle w:val="Heading2"/>
      </w:pPr>
      <w:r>
        <w:t xml:space="preserve">19.1 Au-delà des permissions Unix : le contrôle d’accès obligatoire</w:t>
      </w:r>
    </w:p>
    <w:p>
      <w:pPr>
        <w:pStyle w:val="FirstParagraph"/>
      </w:pPr>
      <w:r>
        <w:t xml:space="preserve">Les permissions Unix traditionnelles et les ACL du chapitre 18 relèvent du</w:t>
      </w:r>
      <w:r>
        <w:t xml:space="preserve"> </w:t>
      </w:r>
      <w:r>
        <w:rPr>
          <w:b/>
          <w:bCs/>
        </w:rPr>
        <w:t xml:space="preserve">contrôle d’accès discrétionnaire</w:t>
      </w:r>
      <w:r>
        <w:t xml:space="preserve"> </w:t>
      </w:r>
      <w:r>
        <w:t xml:space="preserve">(DAC,</w:t>
      </w:r>
      <w:r>
        <w:t xml:space="preserve"> </w:t>
      </w:r>
      <w:r>
        <w:rPr>
          <w:i/>
          <w:iCs/>
        </w:rPr>
        <w:t xml:space="preserve">Discretionary Access Control</w:t>
      </w:r>
      <w:r>
        <w:t xml:space="preserve">) : le propriétaire d’un fichier décide lui-même qui peut y accéder.</w:t>
      </w:r>
      <w:r>
        <w:t xml:space="preserve"> </w:t>
      </w:r>
      <w:r>
        <w:rPr>
          <w:b/>
          <w:bCs/>
        </w:rPr>
        <w:t xml:space="preserve">SELinux</w:t>
      </w:r>
      <w:r>
        <w:t xml:space="preserve"> </w:t>
      </w:r>
      <w:r>
        <w:t xml:space="preserve">et</w:t>
      </w:r>
      <w:r>
        <w:t xml:space="preserve"> </w:t>
      </w:r>
      <w:r>
        <w:rPr>
          <w:b/>
          <w:bCs/>
        </w:rPr>
        <w:t xml:space="preserve">AppArmor</w:t>
      </w:r>
      <w:r>
        <w:t xml:space="preserve"> </w:t>
      </w:r>
      <w:r>
        <w:t xml:space="preserve">ajoutent une couche de</w:t>
      </w:r>
      <w:r>
        <w:t xml:space="preserve"> </w:t>
      </w:r>
      <w:r>
        <w:rPr>
          <w:b/>
          <w:bCs/>
        </w:rPr>
        <w:t xml:space="preserve">contrôle d’accès obligatoire</w:t>
      </w:r>
      <w:r>
        <w:t xml:space="preserve"> </w:t>
      </w:r>
      <w:r>
        <w:t xml:space="preserve">(MAC,</w:t>
      </w:r>
      <w:r>
        <w:t xml:space="preserve"> </w:t>
      </w:r>
      <w:r>
        <w:rPr>
          <w:i/>
          <w:iCs/>
        </w:rPr>
        <w:t xml:space="preserve">Mandatory Access Control</w:t>
      </w:r>
      <w:r>
        <w:t xml:space="preserve">) : même le propriétaire d’un fichier, même root, ne peut pas outrepasser une politique de sécurité centrale définie au niveau du système.</w:t>
      </w:r>
    </w:p>
    <w:p>
      <w:pPr>
        <w:pStyle w:val="BodyText"/>
      </w:pPr>
      <w:r>
        <w:t xml:space="preserve">💡 Analogie — le badge d’accès d’un immeuble sécurisé</w:t>
      </w:r>
      <w:r>
        <w:t xml:space="preserve"> </w:t>
      </w:r>
      <w:r>
        <w:t xml:space="preserve">Les permissions Unix ressemblent à une porte de bureau que son occupant peut librement verrouiller ou déverrouiller pour qui il veut (contrôle discrétionnaire). SELinux et AppArmor ressemblent au système de badge central d’un immeuble sécurisé : même si l’occupant d’un bureau te donne verbalement l’autorisation d’entrer, le badge central peut quand même te refuser l’accès si la politique de sécurité de l’immeuble ne prévoit pas cette entrée précise pour toi — une décision qui échappe totalement à l’occupant du bureau lui-même.</w:t>
      </w:r>
    </w:p>
    <w:p>
      <w:pPr>
        <w:pStyle w:val="BodyText"/>
      </w:pPr>
      <w:r>
        <w:t xml:space="preserve">📌 À retenir</w:t>
      </w:r>
      <w:r>
        <w:t xml:space="preserve"> </w:t>
      </w:r>
      <w:r>
        <w:t xml:space="preserve">C’est exactement ce qui se passe dans le scénario d’ouverture : les permissions Unix (contrôle discrétionnaire) sont correctes, mais SELinux (contrôle obligatoire) applique une politique indépendante qui bloque quand même l’accès de Nginx à ce dossier précis, non prévu dans son contexte de sécurité habituel.</w:t>
      </w:r>
    </w:p>
    <w:bookmarkEnd w:id="465"/>
    <w:bookmarkStart w:id="466" w:name="Xe1c417d8ba31b46daeec13b1a74f2436478b4c5"/>
    <w:p>
      <w:pPr>
        <w:pStyle w:val="Heading2"/>
      </w:pPr>
      <w:r>
        <w:t xml:space="preserve">19.2 SELinux : la logique des contextes de sécurité</w:t>
      </w:r>
    </w:p>
    <w:p>
      <w:pPr>
        <w:pStyle w:val="FirstParagraph"/>
      </w:pPr>
      <w:r>
        <w:t xml:space="preserve">Sur Rocky Linux et RHEL, chaque fichier, dossier et processus porte un</w:t>
      </w:r>
      <w:r>
        <w:t xml:space="preserve"> </w:t>
      </w:r>
      <w:r>
        <w:rPr>
          <w:b/>
          <w:bCs/>
        </w:rPr>
        <w:t xml:space="preserve">contexte de sécurité</w:t>
      </w:r>
      <w:r>
        <w:t xml:space="preserve"> </w:t>
      </w:r>
      <w:r>
        <w:t xml:space="preserve">(ou</w:t>
      </w:r>
      <w:r>
        <w:t xml:space="preserve"> </w:t>
      </w:r>
      <w:r>
        <w:rPr>
          <w:i/>
          <w:iCs/>
        </w:rPr>
        <w:t xml:space="preserve">label</w:t>
      </w:r>
      <w:r>
        <w:t xml:space="preserve">) — une étiquette qui détermine, selon la politique SELinux active, quelles interactions sont autorisées entre ce fichier et ce processus.</w:t>
      </w:r>
    </w:p>
    <w:p>
      <w:pPr>
        <w:pStyle w:val="SourceCode"/>
      </w:pPr>
      <w:r>
        <w:rPr>
          <w:rStyle w:val="VerbatimChar"/>
        </w:rPr>
        <w:t xml:space="preserve"># Afficher les contextes de securite des fichiers d'un dossier</w:t>
      </w:r>
      <w:r>
        <w:br/>
      </w:r>
      <w:r>
        <w:rPr>
          <w:rStyle w:val="VerbatimChar"/>
        </w:rPr>
        <w:t xml:space="preserve">ls -Z /donnees/documents</w:t>
      </w:r>
      <w:r>
        <w:br/>
      </w:r>
      <w:r>
        <w:br/>
      </w:r>
      <w:r>
        <w:rPr>
          <w:rStyle w:val="VerbatimChar"/>
        </w:rPr>
        <w:t xml:space="preserve"># Afficher le contexte de securite des processus en cours</w:t>
      </w:r>
      <w:r>
        <w:br/>
      </w:r>
      <w:r>
        <w:rPr>
          <w:rStyle w:val="VerbatimChar"/>
        </w:rPr>
        <w:t xml:space="preserve">ps -eZ | grep nginx</w:t>
      </w:r>
    </w:p>
    <w:p>
      <w:pPr>
        <w:pStyle w:val="FirstParagraph"/>
      </w:pPr>
      <w:r>
        <w:t xml:space="preserve">⚠️ La cause exacte du problème du scénario d’ouverture</w:t>
      </w:r>
      <w:r>
        <w:t xml:space="preserve"> </w:t>
      </w:r>
      <w:r>
        <w:t xml:space="preserve">Le dossier standard servi par Nginx (</w:t>
      </w:r>
      <w:r>
        <w:rPr>
          <w:rStyle w:val="VerbatimChar"/>
        </w:rPr>
        <w:t xml:space="preserve">/usr/share/nginx/html</w:t>
      </w:r>
      <w:r>
        <w:t xml:space="preserve">) porte le contexte</w:t>
      </w:r>
      <w:r>
        <w:t xml:space="preserve"> </w:t>
      </w:r>
      <w:r>
        <w:t xml:space="preserve">httpd_sys_content_t</w:t>
      </w:r>
      <w:r>
        <w:t xml:space="preserve">, que la politique SELinux autorise explicitement pour Nginx. Un dossier personnalisé créé ailleurs (comme</w:t>
      </w:r>
      <w:r>
        <w:t xml:space="preserve"> </w:t>
      </w:r>
      <w:r>
        <w:t xml:space="preserve">/donnees/documents</w:t>
      </w:r>
      <w:r>
        <w:t xml:space="preserve">) hérite par défaut du contexte de son emplacement parent — généralement un contexte générique non reconnu par la politique SELinux comme autorisé pour Nginx, même si les permissions Unix elles-mêmes sont parfaitement correctes. SELinux bloque alors l’accès, non pas parce que les permissions sont mauvaises, mais parce que le contexte de sécurité ne correspond pas à ce que la politique autorise pour ce type de processus.</w:t>
      </w:r>
    </w:p>
    <w:p>
      <w:pPr>
        <w:pStyle w:val="SourceCode"/>
      </w:pPr>
      <w:r>
        <w:rPr>
          <w:rStyle w:val="VerbatimChar"/>
        </w:rPr>
        <w:t xml:space="preserve"># Corriger le contexte du dossier personnalise pour qu'il corresponde</w:t>
      </w:r>
      <w:r>
        <w:br/>
      </w:r>
      <w:r>
        <w:rPr>
          <w:rStyle w:val="VerbatimChar"/>
        </w:rPr>
        <w:t xml:space="preserve"># a ce que Nginx est autorise a lire (resout precisement le scenario</w:t>
      </w:r>
      <w:r>
        <w:br/>
      </w:r>
      <w:r>
        <w:rPr>
          <w:rStyle w:val="VerbatimChar"/>
        </w:rPr>
        <w:t xml:space="preserve"># d'ouverture)</w:t>
      </w:r>
      <w:r>
        <w:br/>
      </w:r>
      <w:r>
        <w:rPr>
          <w:rStyle w:val="VerbatimChar"/>
        </w:rPr>
        <w:t xml:space="preserve">sudo semanage fcontext -a -t httpd_sys_content_t "/donnees/documents(/.*)?"</w:t>
      </w:r>
      <w:r>
        <w:br/>
      </w:r>
      <w:r>
        <w:rPr>
          <w:rStyle w:val="VerbatimChar"/>
        </w:rPr>
        <w:t xml:space="preserve">sudo restorecon -Rv /donnees/documents</w:t>
      </w:r>
    </w:p>
    <w:p>
      <w:pPr>
        <w:pStyle w:val="FirstParagraph"/>
      </w:pPr>
      <w:r>
        <w:t xml:space="preserve">✅ Bonne pratique — corriger le contexte plutôt que désactiver SELinux</w:t>
      </w:r>
      <w:r>
        <w:t xml:space="preserve"> </w:t>
      </w:r>
      <w:r>
        <w:t xml:space="preserve">La solution correcte n’est jamais de désactiver SELinux</w:t>
      </w:r>
      <w:r>
        <w:t xml:space="preserve"> </w:t>
      </w:r>
      <w:r>
        <w:t xml:space="preserve">“pour que ça marche”</w:t>
      </w:r>
      <w:r>
        <w:t xml:space="preserve"> </w:t>
      </w:r>
      <w:r>
        <w:t xml:space="preserve">(section 19.6), mais d’ajuster précisément le contexte de sécurité du dossier concerné pour qu’il corresponde à l’usage réel prévu — exactement les deux commandes ci-dessus. Cette correction est ciblée, documentable, et ne réduit en rien la protection SELinux pour l’ensemble du reste du système.</w:t>
      </w:r>
    </w:p>
    <w:bookmarkEnd w:id="466"/>
    <w:bookmarkStart w:id="467" w:name="X125e2792f2122b062486ae1bfc37a065d37d6a1"/>
    <w:p>
      <w:pPr>
        <w:pStyle w:val="Heading2"/>
      </w:pPr>
      <w:r>
        <w:t xml:space="preserve">19.3 Diagnostiquer méthodiquement un blocage SELinux</w:t>
      </w:r>
    </w:p>
    <w:p>
      <w:pPr>
        <w:pStyle w:val="SourceCode"/>
      </w:pPr>
      <w:r>
        <w:rPr>
          <w:rStyle w:val="VerbatimChar"/>
        </w:rPr>
        <w:t xml:space="preserve"># Consulter les refus SELinux recents, la source d'information la</w:t>
      </w:r>
      <w:r>
        <w:br/>
      </w:r>
      <w:r>
        <w:rPr>
          <w:rStyle w:val="VerbatimChar"/>
        </w:rPr>
        <w:t xml:space="preserve"># plus directe pour comprendre pourquoi un acces a ete bloque</w:t>
      </w:r>
      <w:r>
        <w:br/>
      </w:r>
      <w:r>
        <w:rPr>
          <w:rStyle w:val="VerbatimChar"/>
        </w:rPr>
        <w:t xml:space="preserve">sudo ausearch -m avc -ts recent</w:t>
      </w:r>
      <w:r>
        <w:br/>
      </w:r>
      <w:r>
        <w:br/>
      </w:r>
      <w:r>
        <w:rPr>
          <w:rStyle w:val="VerbatimChar"/>
        </w:rPr>
        <w:t xml:space="preserve"># Generer automatiquement une regle de politique a partir d'un refus</w:t>
      </w:r>
      <w:r>
        <w:br/>
      </w:r>
      <w:r>
        <w:rPr>
          <w:rStyle w:val="VerbatimChar"/>
        </w:rPr>
        <w:t xml:space="preserve"># observe (a examiner et valider avant application, jamais appliquer</w:t>
      </w:r>
      <w:r>
        <w:br/>
      </w:r>
      <w:r>
        <w:rPr>
          <w:rStyle w:val="VerbatimChar"/>
        </w:rPr>
        <w:t xml:space="preserve"># aveuglement une regle generee automatiquement sans comprendre son effet)</w:t>
      </w:r>
      <w:r>
        <w:br/>
      </w:r>
      <w:r>
        <w:rPr>
          <w:rStyle w:val="VerbatimChar"/>
        </w:rPr>
        <w:t xml:space="preserve">sudo audit2allow -a</w:t>
      </w:r>
    </w:p>
    <w:p>
      <w:pPr>
        <w:pStyle w:val="FirstParagraph"/>
      </w:pPr>
      <w:r>
        <w:t xml:space="preserve">🩺 Symptôme :</w:t>
      </w:r>
      <w:r>
        <w:t xml:space="preserve"> </w:t>
      </w:r>
      <w:r>
        <w:t xml:space="preserve">“Permission denied”</w:t>
      </w:r>
      <w:r>
        <w:t xml:space="preserve"> </w:t>
      </w:r>
      <w:r>
        <w:t xml:space="preserve">ou erreur 403, alors que les permissions Unix semblent correctes</w:t>
      </w:r>
    </w:p>
    <w:p>
      <w:pPr>
        <w:pStyle w:val="Compact"/>
        <w:numPr>
          <w:ilvl w:val="0"/>
          <w:numId w:val="1436"/>
        </w:numPr>
      </w:pPr>
      <w:r>
        <w:rPr>
          <w:b/>
          <w:bCs/>
        </w:rPr>
        <w:t xml:space="preserve">Diagnostic</w:t>
      </w:r>
      <w:r>
        <w:t xml:space="preserve"> </w:t>
      </w:r>
      <w:r>
        <w:t xml:space="preserve">: sur un système Rocky Linux/RHEL, vérifier systématiquement SELinux avant de conclure à une erreur de configuration applicative — exactement le réflexe qui a manqué au développeur du scénario d’ouverture, prêt à désactiver</w:t>
      </w:r>
      <w:r>
        <w:t xml:space="preserve"> </w:t>
      </w:r>
      <w:r>
        <w:t xml:space="preserve">“la sécurité”</w:t>
      </w:r>
      <w:r>
        <w:t xml:space="preserve"> </w:t>
      </w:r>
      <w:r>
        <w:t xml:space="preserve">avant même d’avoir vérifié cette hypothèse.</w:t>
      </w:r>
    </w:p>
    <w:p>
      <w:pPr>
        <w:pStyle w:val="Compact"/>
        <w:numPr>
          <w:ilvl w:val="0"/>
          <w:numId w:val="1436"/>
        </w:numPr>
      </w:pPr>
      <w:r>
        <w:rPr>
          <w:b/>
          <w:bCs/>
        </w:rPr>
        <w:t xml:space="preserve">Comment vérifier</w:t>
      </w:r>
      <w:r>
        <w:t xml:space="preserve"> </w:t>
      </w:r>
      <w:r>
        <w:t xml:space="preserve">:</w:t>
      </w:r>
      <w:r>
        <w:t xml:space="preserve"> </w:t>
      </w:r>
      <w:r>
        <w:rPr>
          <w:rStyle w:val="VerbatimChar"/>
        </w:rPr>
        <w:t xml:space="preserve">ausearch -m avc -ts recent</w:t>
      </w:r>
      <w:r>
        <w:t xml:space="preserve"> </w:t>
      </w:r>
      <w:r>
        <w:t xml:space="preserve">révèle immédiatement si SELinux a effectivement bloqué une action récente, avec le contexte précis en cause.</w:t>
      </w:r>
    </w:p>
    <w:p>
      <w:pPr>
        <w:pStyle w:val="Compact"/>
        <w:numPr>
          <w:ilvl w:val="0"/>
          <w:numId w:val="1436"/>
        </w:numPr>
      </w:pPr>
      <w:r>
        <w:rPr>
          <w:b/>
          <w:bCs/>
        </w:rPr>
        <w:t xml:space="preserve">Résolution</w:t>
      </w:r>
      <w:r>
        <w:t xml:space="preserve"> </w:t>
      </w:r>
      <w:r>
        <w:t xml:space="preserve">: ajuster le contexte de sécurité avec</w:t>
      </w:r>
      <w:r>
        <w:t xml:space="preserve"> </w:t>
      </w:r>
      <w:r>
        <w:rPr>
          <w:rStyle w:val="VerbatimChar"/>
        </w:rPr>
        <w:t xml:space="preserve">semanage fcontext</w:t>
      </w:r>
      <w:r>
        <w:t xml:space="preserve"> </w:t>
      </w:r>
      <w:r>
        <w:t xml:space="preserve">et</w:t>
      </w:r>
      <w:r>
        <w:t xml:space="preserve"> </w:t>
      </w:r>
      <w:r>
        <w:rPr>
          <w:rStyle w:val="VerbatimChar"/>
        </w:rPr>
        <w:t xml:space="preserve">restorecon</w:t>
      </w:r>
      <w:r>
        <w:t xml:space="preserve"> </w:t>
      </w:r>
      <w:r>
        <w:t xml:space="preserve">(section 19.2) pour le cas d’un fichier ou dossier mal étiqueté ; pour un besoin plus complexe (un service ayant besoin d’une capacité normalement non autorisée), examiner la suggestion générée par</w:t>
      </w:r>
      <w:r>
        <w:t xml:space="preserve"> </w:t>
      </w:r>
      <w:r>
        <w:rPr>
          <w:rStyle w:val="VerbatimChar"/>
        </w:rPr>
        <w:t xml:space="preserve">audit2allow</w:t>
      </w:r>
      <w:r>
        <w:t xml:space="preserve"> </w:t>
      </w:r>
      <w:r>
        <w:t xml:space="preserve">avant de l’appliquer consciemment, jamais par réflexe automatique.</w:t>
      </w:r>
    </w:p>
    <w:p>
      <w:pPr>
        <w:pStyle w:val="FirstParagraph"/>
      </w:pPr>
      <w:r>
        <w:t xml:space="preserve">🧠 À mémoriser — la démarche en trois temps face à un blocage SELinux</w:t>
      </w:r>
      <w:r>
        <w:t xml:space="preserve"> </w:t>
      </w:r>
      <w:r>
        <w:t xml:space="preserve">1. Confirmer que SELinux est bien la cause via</w:t>
      </w:r>
      <w:r>
        <w:t xml:space="preserve"> </w:t>
      </w:r>
      <w:r>
        <w:rPr>
          <w:rStyle w:val="VerbatimChar"/>
        </w:rPr>
        <w:t xml:space="preserve">ausearch -m avc -ts recent</w:t>
      </w:r>
      <w:r>
        <w:t xml:space="preserve">, plutôt que de le supposer ou de l’écarter sans vérification.</w:t>
      </w:r>
      <w:r>
        <w:t xml:space="preserve"> </w:t>
      </w:r>
      <w:r>
        <w:t xml:space="preserve">2. Comprendre précisément quel contexte est attendu et lequel est réellement présent.</w:t>
      </w:r>
      <w:r>
        <w:t xml:space="preserve"> </w:t>
      </w:r>
      <w:r>
        <w:t xml:space="preserve">3. Corriger le contexte de façon ciblée (</w:t>
      </w:r>
      <w:r>
        <w:rPr>
          <w:rStyle w:val="VerbatimChar"/>
        </w:rPr>
        <w:t xml:space="preserve">semanage</w:t>
      </w:r>
      <w:r>
        <w:t xml:space="preserve">/</w:t>
      </w:r>
      <w:r>
        <w:rPr>
          <w:rStyle w:val="VerbatimChar"/>
        </w:rPr>
        <w:t xml:space="preserve">restorecon</w:t>
      </w:r>
      <w:r>
        <w:t xml:space="preserve">), jamais désactiver la protection dans son ensemble.</w:t>
      </w:r>
    </w:p>
    <w:bookmarkEnd w:id="467"/>
    <w:bookmarkStart w:id="468" w:name="Xe77651a826e29f77f1cdd1f44c97a1289bce257"/>
    <w:p>
      <w:pPr>
        <w:pStyle w:val="Heading2"/>
      </w:pPr>
      <w:r>
        <w:t xml:space="preserve">19.4 AppArmor : une approche différente, par chemin de fichier</w:t>
      </w:r>
    </w:p>
    <w:p>
      <w:pPr>
        <w:pStyle w:val="FirstParagraph"/>
      </w:pPr>
      <w:r>
        <w:rPr>
          <w:b/>
          <w:bCs/>
        </w:rPr>
        <w:t xml:space="preserve">AppArmor</w:t>
      </w:r>
      <w:r>
        <w:t xml:space="preserve">, utilisé par défaut sur Ubuntu et Debian, répond au même objectif que SELinux (contrôle d’accès obligatoire) mais avec une approche différente : plutôt que d’étiqueter chaque fichier avec un contexte abstrait, AppArmor définit des</w:t>
      </w:r>
      <w:r>
        <w:t xml:space="preserve"> </w:t>
      </w:r>
      <w:r>
        <w:rPr>
          <w:b/>
          <w:bCs/>
        </w:rPr>
        <w:t xml:space="preserve">profils</w:t>
      </w:r>
      <w:r>
        <w:t xml:space="preserve"> </w:t>
      </w:r>
      <w:r>
        <w:t xml:space="preserve">par application, listant explicitement les chemins de fichiers auxquels cette application a le droit d’accéder.</w:t>
      </w:r>
    </w:p>
    <w:p>
      <w:pPr>
        <w:pStyle w:val="SourceCode"/>
      </w:pPr>
      <w:r>
        <w:rPr>
          <w:rStyle w:val="VerbatimChar"/>
        </w:rPr>
        <w:t xml:space="preserve"># Voir l'etat des profils AppArmor charges</w:t>
      </w:r>
      <w:r>
        <w:br/>
      </w:r>
      <w:r>
        <w:rPr>
          <w:rStyle w:val="VerbatimChar"/>
        </w:rPr>
        <w:t xml:space="preserve">sudo aa-status</w:t>
      </w:r>
      <w:r>
        <w:br/>
      </w:r>
      <w:r>
        <w:br/>
      </w:r>
      <w:r>
        <w:rPr>
          <w:rStyle w:val="VerbatimChar"/>
        </w:rPr>
        <w:t xml:space="preserve"># Placer un profil en mode "plainte" (complain) : les violations sont</w:t>
      </w:r>
      <w:r>
        <w:br/>
      </w:r>
      <w:r>
        <w:rPr>
          <w:rStyle w:val="VerbatimChar"/>
        </w:rPr>
        <w:t xml:space="preserve"># journalisees mais PAS bloquees, utile pour observer le comportement</w:t>
      </w:r>
      <w:r>
        <w:br/>
      </w:r>
      <w:r>
        <w:rPr>
          <w:rStyle w:val="VerbatimChar"/>
        </w:rPr>
        <w:t xml:space="preserve"># reel d'une application avant de passer en mode strict</w:t>
      </w:r>
      <w:r>
        <w:br/>
      </w:r>
      <w:r>
        <w:rPr>
          <w:rStyle w:val="VerbatimChar"/>
        </w:rPr>
        <w:t xml:space="preserve">sudo aa-complain /etc/apparmor.d/usr.sbin.nginx</w:t>
      </w:r>
      <w:r>
        <w:br/>
      </w:r>
      <w:r>
        <w:br/>
      </w:r>
      <w:r>
        <w:rPr>
          <w:rStyle w:val="VerbatimChar"/>
        </w:rPr>
        <w:t xml:space="preserve"># Repasser un profil en mode strict (enforce), une fois le profil</w:t>
      </w:r>
      <w:r>
        <w:br/>
      </w:r>
      <w:r>
        <w:rPr>
          <w:rStyle w:val="VerbatimChar"/>
        </w:rPr>
        <w:t xml:space="preserve"># ajuste et valide</w:t>
      </w:r>
      <w:r>
        <w:br/>
      </w:r>
      <w:r>
        <w:rPr>
          <w:rStyle w:val="VerbatimChar"/>
        </w:rPr>
        <w:t xml:space="preserve">sudo aa-enforce /etc/apparmor.d/usr.sbin.nginx</w:t>
      </w:r>
    </w:p>
    <w:p>
      <w:pPr>
        <w:pStyle w:val="FirstParagraph"/>
      </w:pPr>
      <w:r>
        <w:t xml:space="preserve">📌 À retenir — SELinux vs AppArmor, la différence philosophique clé</w:t>
      </w:r>
      <w:r>
        <w:t xml:space="preserve"> </w:t>
      </w:r>
      <w:r>
        <w:t xml:space="preserve">SELinux raisonne en</w:t>
      </w:r>
      <w:r>
        <w:t xml:space="preserve"> </w:t>
      </w:r>
      <w:r>
        <w:t xml:space="preserve">contextes/labels</w:t>
      </w:r>
      <w:r>
        <w:t xml:space="preserve"> </w:t>
      </w:r>
      <w:r>
        <w:t xml:space="preserve">abstraits attachés à chaque objet (fichier, processus), indépendamment de son chemin d’accès — une approche puissante mais avec une courbe d’apprentissage plus raide. AppArmor raisonne en</w:t>
      </w:r>
      <w:r>
        <w:t xml:space="preserve"> </w:t>
      </w:r>
      <w:r>
        <w:t xml:space="preserve">chemins de fichiers</w:t>
      </w:r>
      <w:r>
        <w:t xml:space="preserve"> </w:t>
      </w:r>
      <w:r>
        <w:t xml:space="preserve">explicites dans un profil dédié à chaque application — une approche plus intuitive à lire pour un débutant, mais potentiellement moins robuste si un fichier est déplacé ou accédé via un chemin non prévu explicitement dans le profil.</w:t>
      </w:r>
    </w:p>
    <w:p>
      <w:pPr>
        <w:pStyle w:val="BodyText"/>
      </w:pPr>
      <w:r>
        <w:t xml:space="preserve">💡 Le mode</w:t>
      </w:r>
      <w:r>
        <w:t xml:space="preserve"> </w:t>
      </w:r>
      <w:r>
        <w:t xml:space="preserve">“plainte”</w:t>
      </w:r>
      <w:r>
        <w:t xml:space="preserve"> </w:t>
      </w:r>
      <w:r>
        <w:t xml:space="preserve">(complain), un allié précieux pour le diagnostic</w:t>
      </w:r>
      <w:r>
        <w:t xml:space="preserve"> </w:t>
      </w:r>
      <w:r>
        <w:t xml:space="preserve">Le mode</w:t>
      </w:r>
      <w:r>
        <w:t xml:space="preserve"> </w:t>
      </w:r>
      <w:r>
        <w:t xml:space="preserve">complain</w:t>
      </w:r>
      <w:r>
        <w:t xml:space="preserve"> </w:t>
      </w:r>
      <w:r>
        <w:t xml:space="preserve">d’AppArmor (section ci-dessus) permet d’observer ce qu’une application tenterait de faire sans réellement bloquer ces actions — un outil de diagnostic précieux avant de resserrer un profil, permettant de construire ou d’ajuster un profil à partir d’un usage réel observé, plutôt qu’en devinant à l’aveugle toutes les actions légitimes possibles.</w:t>
      </w:r>
    </w:p>
    <w:bookmarkEnd w:id="468"/>
    <w:bookmarkStart w:id="469" w:name="comparatif-synthétique-1"/>
    <w:p>
      <w:pPr>
        <w:pStyle w:val="Heading2"/>
      </w:pPr>
      <w:r>
        <w:t xml:space="preserve">19.5 Comparatif synthétique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Critère</w:t>
            </w:r>
          </w:p>
        </w:tc>
        <w:tc>
          <w:tcPr/>
          <w:p>
            <w:pPr>
              <w:pStyle w:val="Compact"/>
            </w:pPr>
            <w:r>
              <w:t xml:space="preserve">SELinux (RHEL/Rocky)</w:t>
            </w:r>
          </w:p>
        </w:tc>
        <w:tc>
          <w:tcPr/>
          <w:p>
            <w:pPr>
              <w:pStyle w:val="Compact"/>
            </w:pPr>
            <w:r>
              <w:t xml:space="preserve">AppArmor (Ubuntu/Debian)</w:t>
            </w:r>
          </w:p>
        </w:tc>
      </w:tr>
      <w:tr>
        <w:tc>
          <w:tcPr/>
          <w:p>
            <w:pPr>
              <w:pStyle w:val="Compact"/>
            </w:pPr>
            <w:r>
              <w:t xml:space="preserve">Approche</w:t>
            </w:r>
          </w:p>
        </w:tc>
        <w:tc>
          <w:tcPr/>
          <w:p>
            <w:pPr>
              <w:pStyle w:val="Compact"/>
            </w:pPr>
            <w:r>
              <w:t xml:space="preserve">Contextes/labels abstraits</w:t>
            </w:r>
          </w:p>
        </w:tc>
        <w:tc>
          <w:tcPr/>
          <w:p>
            <w:pPr>
              <w:pStyle w:val="Compact"/>
            </w:pPr>
            <w:r>
              <w:t xml:space="preserve">Profils par chemin de fichier</w:t>
            </w:r>
          </w:p>
        </w:tc>
      </w:tr>
      <w:tr>
        <w:tc>
          <w:tcPr/>
          <w:p>
            <w:pPr>
              <w:pStyle w:val="Compact"/>
            </w:pPr>
            <w:r>
              <w:t xml:space="preserve">Courbe d’apprentissage</w:t>
            </w:r>
          </w:p>
        </w:tc>
        <w:tc>
          <w:tcPr/>
          <w:p>
            <w:pPr>
              <w:pStyle w:val="Compact"/>
            </w:pPr>
            <w:r>
              <w:t xml:space="preserve">Plus raide</w:t>
            </w:r>
          </w:p>
        </w:tc>
        <w:tc>
          <w:tcPr/>
          <w:p>
            <w:pPr>
              <w:pStyle w:val="Compact"/>
            </w:pPr>
            <w:r>
              <w:t xml:space="preserve">Plus intuitive pour un débutant</w:t>
            </w:r>
          </w:p>
        </w:tc>
      </w:tr>
      <w:tr>
        <w:tc>
          <w:tcPr/>
          <w:p>
            <w:pPr>
              <w:pStyle w:val="Compact"/>
            </w:pPr>
            <w:r>
              <w:t xml:space="preserve">Granularité</w:t>
            </w:r>
          </w:p>
        </w:tc>
        <w:tc>
          <w:tcPr/>
          <w:p>
            <w:pPr>
              <w:pStyle w:val="Compact"/>
            </w:pPr>
            <w:r>
              <w:t xml:space="preserve">Très fine</w:t>
            </w:r>
          </w:p>
        </w:tc>
        <w:tc>
          <w:tcPr/>
          <w:p>
            <w:pPr>
              <w:pStyle w:val="Compact"/>
            </w:pPr>
            <w:r>
              <w:t xml:space="preserve">Fine, mais liée aux chemins explicites</w:t>
            </w:r>
          </w:p>
        </w:tc>
      </w:tr>
      <w:tr>
        <w:tc>
          <w:tcPr/>
          <w:p>
            <w:pPr>
              <w:pStyle w:val="Compact"/>
            </w:pPr>
            <w:r>
              <w:t xml:space="preserve">Outil de diagnostic principal</w:t>
            </w:r>
          </w:p>
        </w:tc>
        <w:tc>
          <w:tcPr/>
          <w:p>
            <w:pPr>
              <w:pStyle w:val="Compact"/>
            </w:pPr>
            <w:r>
              <w:rPr>
                <w:rStyle w:val="VerbatimChar"/>
              </w:rPr>
              <w:t xml:space="preserve">ausearch</w:t>
            </w:r>
            <w:r>
              <w:t xml:space="preserve">,</w:t>
            </w:r>
            <w:r>
              <w:t xml:space="preserve"> </w:t>
            </w:r>
            <w:r>
              <w:rPr>
                <w:rStyle w:val="VerbatimChar"/>
              </w:rPr>
              <w:t xml:space="preserve">audit2allow</w:t>
            </w:r>
          </w:p>
        </w:tc>
        <w:tc>
          <w:tcPr/>
          <w:p>
            <w:pPr>
              <w:pStyle w:val="Compact"/>
            </w:pPr>
            <w:r>
              <w:rPr>
                <w:rStyle w:val="VerbatimChar"/>
              </w:rPr>
              <w:t xml:space="preserve">aa-status</w:t>
            </w:r>
            <w:r>
              <w:t xml:space="preserve">, mode</w:t>
            </w:r>
            <w:r>
              <w:t xml:space="preserve"> </w:t>
            </w:r>
            <w:r>
              <w:rPr>
                <w:rStyle w:val="VerbatimChar"/>
              </w:rPr>
              <w:t xml:space="preserve">complain</w:t>
            </w:r>
          </w:p>
        </w:tc>
      </w:tr>
      <w:tr>
        <w:tc>
          <w:tcPr/>
          <w:p>
            <w:pPr>
              <w:pStyle w:val="Compact"/>
            </w:pPr>
            <w:r>
              <w:t xml:space="preserve">Mode d’observation sans blocage</w:t>
            </w:r>
          </w:p>
        </w:tc>
        <w:tc>
          <w:tcPr/>
          <w:p>
            <w:pPr>
              <w:pStyle w:val="Compact"/>
            </w:pPr>
            <w:r>
              <w:rPr>
                <w:rStyle w:val="VerbatimChar"/>
              </w:rPr>
              <w:t xml:space="preserve">permissive</w:t>
            </w:r>
            <w:r>
              <w:t xml:space="preserve"> </w:t>
            </w:r>
            <w:r>
              <w:t xml:space="preserve">(systémique)</w:t>
            </w:r>
          </w:p>
        </w:tc>
        <w:tc>
          <w:tcPr/>
          <w:p>
            <w:pPr>
              <w:pStyle w:val="Compact"/>
            </w:pPr>
            <w:r>
              <w:rPr>
                <w:rStyle w:val="VerbatimChar"/>
              </w:rPr>
              <w:t xml:space="preserve">complain</w:t>
            </w:r>
            <w:r>
              <w:t xml:space="preserve"> </w:t>
            </w:r>
            <w:r>
              <w:t xml:space="preserve">(par profil)</w:t>
            </w:r>
          </w:p>
        </w:tc>
      </w:tr>
    </w:tbl>
    <w:bookmarkEnd w:id="469"/>
    <w:bookmarkStart w:id="470" w:name="Xc3570ac96f0b7c4084bc7fe465be1655d2f2682"/>
    <w:p>
      <w:pPr>
        <w:pStyle w:val="Heading2"/>
      </w:pPr>
      <w:r>
        <w:t xml:space="preserve">19.6 Le piège classique : désactiver la protection</w:t>
      </w:r>
      <w:r>
        <w:t xml:space="preserve"> </w:t>
      </w:r>
      <w:r>
        <w:t xml:space="preserve">“pour que ça marche”</w:t>
      </w:r>
    </w:p>
    <w:p>
      <w:pPr>
        <w:pStyle w:val="FirstParagraph"/>
      </w:pPr>
      <w:r>
        <w:t xml:space="preserve">❌ Mauvaise pratique —</w:t>
      </w:r>
      <w:r>
        <w:t xml:space="preserve"> </w:t>
      </w:r>
      <w:r>
        <w:rPr>
          <w:rStyle w:val="VerbatimChar"/>
        </w:rPr>
        <w:t xml:space="preserve">setenforce 0</w:t>
      </w:r>
      <w:r>
        <w:t xml:space="preserve"> </w:t>
      </w:r>
      <w:r>
        <w:t xml:space="preserve">en production, sans jamais revenir en arrière</w:t>
      </w:r>
      <w:r>
        <w:t xml:space="preserve"> </w:t>
      </w:r>
      <w:r>
        <w:t xml:space="preserve">Face à un blocage SELinux frustrant et mal compris, le réflexe le plus répandu — et le plus dangereux — consiste à désactiver purement et simplement SELinux (</w:t>
      </w:r>
      <w:r>
        <w:t xml:space="preserve">setenforce 0</w:t>
      </w:r>
      <w:r>
        <w:t xml:space="preserve">, ou pire, une désactivation permanente dans la configuration du système). Cette</w:t>
      </w:r>
      <w:r>
        <w:t xml:space="preserve"> </w:t>
      </w:r>
      <w:r>
        <w:t xml:space="preserve">“solution”</w:t>
      </w:r>
      <w:r>
        <w:t xml:space="preserve"> </w:t>
      </w:r>
      <w:r>
        <w:t xml:space="preserve">élimine effectivement le symptôme immédiat, mais désactive aussi toute la protection MAC pour l’ensemble du système, pas seulement pour le cas précis qui posait problème — annulant complètement le bénéfice de sécurité que SELinux était censé apporter, souvent de façon permanente puisque personne ne pense à réactiver la protection une fois le problème immédiat</w:t>
      </w:r>
      <w:r>
        <w:t xml:space="preserve"> </w:t>
      </w:r>
      <w:r>
        <w:t xml:space="preserve">“résolu”</w:t>
      </w:r>
      <w:r>
        <w:t xml:space="preserve">.</w:t>
      </w:r>
    </w:p>
    <w:p>
      <w:pPr>
        <w:pStyle w:val="BodyText"/>
      </w:pPr>
      <w:r>
        <w:t xml:space="preserve">🔒 Sécurité — le mode</w:t>
      </w:r>
      <w:r>
        <w:t xml:space="preserve"> </w:t>
      </w:r>
      <w:r>
        <w:t xml:space="preserve">“permissive”</w:t>
      </w:r>
      <w:r>
        <w:t xml:space="preserve"> </w:t>
      </w:r>
      <w:r>
        <w:t xml:space="preserve">comme outil de diagnostic temporaire, jamais comme solution finale</w:t>
      </w:r>
      <w:r>
        <w:t xml:space="preserve"> </w:t>
      </w:r>
      <w:r>
        <w:t xml:space="preserve">Le mode</w:t>
      </w:r>
      <w:r>
        <w:t xml:space="preserve"> </w:t>
      </w:r>
      <w:r>
        <w:t xml:space="preserve">permissive</w:t>
      </w:r>
      <w:r>
        <w:t xml:space="preserve"> </w:t>
      </w:r>
      <w:r>
        <w:t xml:space="preserve">de SELinux (équivalent au mode</w:t>
      </w:r>
      <w:r>
        <w:t xml:space="preserve"> </w:t>
      </w:r>
      <w:r>
        <w:t xml:space="preserve">complain</w:t>
      </w:r>
      <w:r>
        <w:t xml:space="preserve"> </w:t>
      </w:r>
      <w:r>
        <w:t xml:space="preserve">d’AppArmor) journalise les violations sans les bloquer — utile pour un diagnostic temporaire et contrôlé (identifier précisément ce qui serait bloqué), mais ne doit jamais devenir l’état permanent d’un serveur de production. La bonne pratique reste toujours de revenir en mode</w:t>
      </w:r>
      <w:r>
        <w:t xml:space="preserve"> </w:t>
      </w:r>
      <w:r>
        <w:t xml:space="preserve">enforcing</w:t>
      </w:r>
      <w:r>
        <w:t xml:space="preserve"> </w:t>
      </w:r>
      <w:r>
        <w:t xml:space="preserve">une fois le contexte ou le profil correctement ajusté, jamais de rester indéfiniment en mode diagnostic par facilité.</w:t>
      </w:r>
    </w:p>
    <w:bookmarkEnd w:id="470"/>
    <w:bookmarkStart w:id="471" w:name="X5f4e437971341530ec7c4fd9218b44a2fca417b"/>
    <w:p>
      <w:pPr>
        <w:pStyle w:val="Heading2"/>
      </w:pPr>
      <w:r>
        <w:t xml:space="preserve">Atelier — Diagnostiquer et corriger le scénario d’ouverture</w:t>
      </w:r>
    </w:p>
    <w:p>
      <w:pPr>
        <w:pStyle w:val="FirstParagraph"/>
      </w:pPr>
      <w:r>
        <w:t xml:space="preserve">🛠️ Atelier 19 — Résoudre le blocage Nginx sans désactiver SELinux</w:t>
      </w:r>
    </w:p>
    <w:p>
      <w:pPr>
        <w:pStyle w:val="BodyText"/>
      </w:pPr>
      <w:r>
        <w:rPr>
          <w:b/>
          <w:bCs/>
        </w:rPr>
        <w:t xml:space="preserve">Objectif</w:t>
      </w:r>
      <w:r>
        <w:t xml:space="preserve"> </w:t>
      </w:r>
      <w:r>
        <w:t xml:space="preserve">: appliquer la démarche méthodique de la section 19.3 pour résoudre le problème exact du scénario d’ouverture, sans céder au réflexe de désactivation.</w:t>
      </w:r>
    </w:p>
    <w:p>
      <w:pPr>
        <w:pStyle w:val="BodyText"/>
      </w:pPr>
      <w:r>
        <w:rPr>
          <w:b/>
          <w:bCs/>
        </w:rPr>
        <w:t xml:space="preserve">Préparation</w:t>
      </w:r>
      <w:r>
        <w:t xml:space="preserve"> </w:t>
      </w:r>
      <w:r>
        <w:t xml:space="preserve">: accès à un serveur Rocky Linux de test avec Nginx installé (chapitre 15), ou une lecture attentive suffit pour cet atelier conceptuel.</w:t>
      </w:r>
    </w:p>
    <w:p>
      <w:pPr>
        <w:pStyle w:val="BodyText"/>
      </w:pPr>
      <w:r>
        <w:rPr>
          <w:b/>
          <w:bCs/>
        </w:rPr>
        <w:t xml:space="preserve">Étapes détaillées</w:t>
      </w:r>
      <w:r>
        <w:t xml:space="preserve"> </w:t>
      </w:r>
      <w:r>
        <w:t xml:space="preserve">:</w:t>
      </w:r>
    </w:p>
    <w:p>
      <w:pPr>
        <w:pStyle w:val="Compact"/>
        <w:numPr>
          <w:ilvl w:val="0"/>
          <w:numId w:val="1437"/>
        </w:numPr>
      </w:pPr>
      <w:r>
        <w:t xml:space="preserve">Rédige la commande pour confirmer que SELinux est bien la cause du refus d’accès observé par le développeur.</w:t>
      </w:r>
    </w:p>
    <w:p>
      <w:pPr>
        <w:pStyle w:val="Compact"/>
        <w:numPr>
          <w:ilvl w:val="0"/>
          <w:numId w:val="1437"/>
        </w:numPr>
      </w:pPr>
      <w:r>
        <w:t xml:space="preserve">Rédige les deux commandes nécessaires pour corriger le contexte de sécurité du dossier</w:t>
      </w:r>
      <w:r>
        <w:t xml:space="preserve"> </w:t>
      </w:r>
      <w:r>
        <w:rPr>
          <w:rStyle w:val="VerbatimChar"/>
        </w:rPr>
        <w:t xml:space="preserve">/donnees/documents</w:t>
      </w:r>
      <w:r>
        <w:t xml:space="preserve">, en t’appuyant sur la section 19.2.</w:t>
      </w:r>
    </w:p>
    <w:p>
      <w:pPr>
        <w:pStyle w:val="Compact"/>
        <w:numPr>
          <w:ilvl w:val="0"/>
          <w:numId w:val="1437"/>
        </w:numPr>
      </w:pPr>
      <w:r>
        <w:t xml:space="preserve">Explique en 2-3 phrases pourquoi cette solution est préférable à</w:t>
      </w:r>
      <w:r>
        <w:t xml:space="preserve"> </w:t>
      </w:r>
      <w:r>
        <w:rPr>
          <w:rStyle w:val="VerbatimChar"/>
        </w:rPr>
        <w:t xml:space="preserve">setenforce 0</w:t>
      </w:r>
      <w:r>
        <w:t xml:space="preserve">.</w:t>
      </w:r>
    </w:p>
    <w:p>
      <w:pPr>
        <w:pStyle w:val="Compact"/>
        <w:numPr>
          <w:ilvl w:val="0"/>
          <w:numId w:val="1437"/>
        </w:numPr>
      </w:pPr>
      <w:r>
        <w:t xml:space="preserve">Compare ta démarche à la section</w:t>
      </w:r>
      <w:r>
        <w:t xml:space="preserve"> </w:t>
      </w:r>
      <w:r>
        <w:t xml:space="preserve">“Résultat attendu”</w:t>
      </w:r>
      <w:r>
        <w:t xml:space="preserve">.</w:t>
      </w:r>
    </w:p>
    <w:p>
      <w:pPr>
        <w:pStyle w:val="FirstParagraph"/>
      </w:pPr>
      <w:r>
        <w:rPr>
          <w:b/>
          <w:bCs/>
        </w:rPr>
        <w:t xml:space="preserve">Résultat attendu</w:t>
      </w:r>
      <w:r>
        <w:t xml:space="preserve"> </w:t>
      </w:r>
      <w:r>
        <w:t xml:space="preserve">:</w:t>
      </w:r>
      <w:r>
        <w:t xml:space="preserve"> </w:t>
      </w:r>
      <w:r>
        <w:rPr>
          <w:rStyle w:val="VerbatimChar"/>
        </w:rPr>
        <w:t xml:space="preserve">sudo ausearch -m avc -ts recent</w:t>
      </w:r>
      <w:r>
        <w:t xml:space="preserve"> </w:t>
      </w:r>
      <w:r>
        <w:t xml:space="preserve">confirme la cause exacte.</w:t>
      </w:r>
      <w:r>
        <w:t xml:space="preserve"> </w:t>
      </w:r>
      <w:r>
        <w:rPr>
          <w:rStyle w:val="VerbatimChar"/>
        </w:rPr>
        <w:t xml:space="preserve">sudo semanage fcontext -a -t httpd_sys_content_t "/donnees/documents(/.*)?"</w:t>
      </w:r>
      <w:r>
        <w:t xml:space="preserve"> </w:t>
      </w:r>
      <w:r>
        <w:t xml:space="preserve">puis</w:t>
      </w:r>
      <w:r>
        <w:t xml:space="preserve"> </w:t>
      </w:r>
      <w:r>
        <w:rPr>
          <w:rStyle w:val="VerbatimChar"/>
        </w:rPr>
        <w:t xml:space="preserve">sudo restorecon -Rv /donnees/documents</w:t>
      </w:r>
      <w:r>
        <w:t xml:space="preserve"> </w:t>
      </w:r>
      <w:r>
        <w:t xml:space="preserve">corrigent précisément et durablement le contexte du dossier concerné. Cette solution est préférable car elle résout le problème réel (un contexte mal configuré) sans désactiver la protection SELinux pour l’ensemble du système — Nginx reste protégé contre tout accès non prévu ailleurs sur le serveur, seul l’accès légitime à ce dossier précis est désormais autorisé.</w:t>
      </w:r>
    </w:p>
    <w:p>
      <w:pPr>
        <w:pStyle w:val="BodyText"/>
      </w:pPr>
      <w:r>
        <w:rPr>
          <w:b/>
          <w:bCs/>
        </w:rPr>
        <w:t xml:space="preserve">Dépannage</w:t>
      </w:r>
      <w:r>
        <w:t xml:space="preserve"> </w:t>
      </w:r>
      <w:r>
        <w:t xml:space="preserve">: si la correction de contexte ne résout pas entièrement le problème, vérifie si un booléen SELinux distinct doit aussi être activé (par exemple</w:t>
      </w:r>
      <w:r>
        <w:t xml:space="preserve"> </w:t>
      </w:r>
      <w:r>
        <w:rPr>
          <w:rStyle w:val="VerbatimChar"/>
        </w:rPr>
        <w:t xml:space="preserve">httpd_can_network_connect</w:t>
      </w:r>
      <w:r>
        <w:t xml:space="preserve"> </w:t>
      </w:r>
      <w:r>
        <w:t xml:space="preserve">pour certains scénarios réseau) via</w:t>
      </w:r>
      <w:r>
        <w:t xml:space="preserve"> </w:t>
      </w:r>
      <w:r>
        <w:rPr>
          <w:rStyle w:val="VerbatimChar"/>
        </w:rPr>
        <w:t xml:space="preserve">getsebool -a | grep httpd</w:t>
      </w:r>
      <w:r>
        <w:t xml:space="preserve"> </w:t>
      </w:r>
      <w:r>
        <w:t xml:space="preserve">— un mécanisme SELinux complémentaire aux contextes de fichiers, hors du périmètre détaillé de ce chapitre introductif mais utile à savoir chercher en cas de blocage persistant.</w:t>
      </w:r>
    </w:p>
    <w:bookmarkEnd w:id="471"/>
    <w:bookmarkStart w:id="472" w:name="erreurs-fréquentes-18"/>
    <w:p>
      <w:pPr>
        <w:pStyle w:val="Heading2"/>
      </w:pPr>
      <w:r>
        <w:t xml:space="preserve">Erreurs fréquentes</w:t>
      </w:r>
    </w:p>
    <w:p>
      <w:pPr>
        <w:pStyle w:val="FirstParagraph"/>
      </w:pPr>
      <w:r>
        <w:t xml:space="preserve">⚠️ Erreur n°1 — désactiver SELinux ou AppArmor au premier blocage rencontré</w:t>
      </w:r>
      <w:r>
        <w:t xml:space="preserve"> </w:t>
      </w:r>
      <w:r>
        <w:t xml:space="preserve">Le réflexe le plus répandu et le plus risqué, détaillé en section 19.6 — la protection MAC existe précisément pour bloquer des accès non prévus, la désactiver élimine cette protection pour l’ensemble du système, pas seulement pour le cas gênant du moment.</w:t>
      </w:r>
    </w:p>
    <w:p>
      <w:pPr>
        <w:pStyle w:val="BodyText"/>
      </w:pPr>
      <w:r>
        <w:t xml:space="preserve">⚠️ Erreur n°2 — appliquer aveuglément une règle générée par</w:t>
      </w:r>
      <w:r>
        <w:t xml:space="preserve"> </w:t>
      </w:r>
      <w:r>
        <w:rPr>
          <w:rStyle w:val="VerbatimChar"/>
        </w:rPr>
        <w:t xml:space="preserve">audit2allow</w:t>
      </w:r>
      <w:r>
        <w:t xml:space="preserve"> </w:t>
      </w:r>
      <w:r>
        <w:rPr>
          <w:rStyle w:val="VerbatimChar"/>
        </w:rPr>
        <w:t xml:space="preserve">audit2allow</w:t>
      </w:r>
      <w:r>
        <w:t xml:space="preserve"> </w:t>
      </w:r>
      <w:r>
        <w:t xml:space="preserve">génère une règle technique valide, mais ne juge jamais si cette règle est réellement souhaitable du point de vue de la sécurité — l’appliquer sans comprendre ce qu’elle autorise réellement peut ouvrir un accès plus large que nécessaire, à l’encontre du principe du moindre privilège (chapitre 1).</w:t>
      </w:r>
    </w:p>
    <w:p>
      <w:pPr>
        <w:pStyle w:val="BodyText"/>
      </w:pPr>
      <w:r>
        <w:t xml:space="preserve">⚠️ Erreur n°3 — oublier de vérifier SELinux/AppArmor lors d’un diagnostic applicatif</w:t>
      </w:r>
      <w:r>
        <w:t xml:space="preserve"> </w:t>
      </w:r>
      <w:r>
        <w:t xml:space="preserve">Exactement le piège initial du développeur dans le scénario d’ouverture — passer un temps considérable à revérifier les permissions Unix, déjà correctes, sans penser à la couche de sécurité MAC potentiellement en cause.</w:t>
      </w:r>
    </w:p>
    <w:bookmarkEnd w:id="472"/>
    <w:bookmarkStart w:id="473" w:name="en-entreprise-18"/>
    <w:p>
      <w:pPr>
        <w:pStyle w:val="Heading2"/>
      </w:pPr>
      <w:r>
        <w:t xml:space="preserve">En entreprise</w:t>
      </w:r>
    </w:p>
    <w:p>
      <w:pPr>
        <w:pStyle w:val="Compact"/>
        <w:numPr>
          <w:ilvl w:val="0"/>
          <w:numId w:val="1438"/>
        </w:numPr>
      </w:pPr>
      <w:r>
        <w:rPr>
          <w:b/>
          <w:bCs/>
        </w:rPr>
        <w:t xml:space="preserve">Bonne pratique répandue</w:t>
      </w:r>
      <w:r>
        <w:t xml:space="preserve"> </w:t>
      </w:r>
      <w:r>
        <w:t xml:space="preserve">: documenter (chapitre 3) chaque contexte SELinux personnalisé ou profil AppArmor ajusté, avec sa justification — un audit de sécurité futur doit pouvoir comprendre rapidement pourquoi chaque exception à la politique par défaut existe.</w:t>
      </w:r>
    </w:p>
    <w:p>
      <w:pPr>
        <w:pStyle w:val="Compact"/>
        <w:numPr>
          <w:ilvl w:val="0"/>
          <w:numId w:val="1438"/>
        </w:numPr>
      </w:pPr>
      <w:r>
        <w:rPr>
          <w:b/>
          <w:bCs/>
        </w:rPr>
        <w:t xml:space="preserve">Bonne pratique répandue</w:t>
      </w:r>
      <w:r>
        <w:t xml:space="preserve"> </w:t>
      </w:r>
      <w:r>
        <w:t xml:space="preserve">: utiliser systématiquement le mode diagnostic (</w:t>
      </w:r>
      <w:r>
        <w:rPr>
          <w:rStyle w:val="VerbatimChar"/>
        </w:rPr>
        <w:t xml:space="preserve">permissive</w:t>
      </w:r>
      <w:r>
        <w:t xml:space="preserve">/</w:t>
      </w:r>
      <w:r>
        <w:rPr>
          <w:rStyle w:val="VerbatimChar"/>
        </w:rPr>
        <w:t xml:space="preserve">complain</w:t>
      </w:r>
      <w:r>
        <w:t xml:space="preserve">) de façon temporaire et contrôlée pour comprendre un nouveau déploiement, jamais comme configuration permanente de production.</w:t>
      </w:r>
    </w:p>
    <w:p>
      <w:pPr>
        <w:pStyle w:val="Compact"/>
        <w:numPr>
          <w:ilvl w:val="0"/>
          <w:numId w:val="1438"/>
        </w:numPr>
      </w:pPr>
      <w:r>
        <w:rPr>
          <w:b/>
          <w:bCs/>
        </w:rPr>
        <w:t xml:space="preserve">Erreur classique observée</w:t>
      </w:r>
      <w:r>
        <w:t xml:space="preserve"> </w:t>
      </w:r>
      <w:r>
        <w:t xml:space="preserve">: une infrastructure entière avec SELinux désactivé</w:t>
      </w:r>
      <w:r>
        <w:t xml:space="preserve"> </w:t>
      </w:r>
      <w:r>
        <w:t xml:space="preserve">“depuis le début du projet, personne ne se souvient trop pourquoi”</w:t>
      </w:r>
      <w:r>
        <w:t xml:space="preserve">, révélée lors d’un audit de sécurité — une dette de sécurité accumulée silencieusement, difficile à corriger rétroactivement sans un travail de reconstruction méthodique des contextes appropriés.</w:t>
      </w:r>
    </w:p>
    <w:bookmarkEnd w:id="473"/>
    <w:bookmarkStart w:id="474" w:name="entretien-technique-18"/>
    <w:p>
      <w:pPr>
        <w:pStyle w:val="Heading2"/>
      </w:pPr>
      <w:r>
        <w:t xml:space="preserve">Entretien technique</w:t>
      </w:r>
    </w:p>
    <w:p>
      <w:pPr>
        <w:pStyle w:val="FirstParagraph"/>
      </w:pPr>
      <w:r>
        <w:t xml:space="preserve">💼 Questions fréquemment posées en entretien</w:t>
      </w:r>
    </w:p>
    <w:p>
      <w:pPr>
        <w:pStyle w:val="BodyText"/>
      </w:pPr>
      <w:r>
        <w:rPr>
          <w:b/>
          <w:bCs/>
        </w:rPr>
        <w:t xml:space="preserve">Q1.</w:t>
      </w:r>
      <w:r>
        <w:rPr>
          <w:b/>
          <w:bCs/>
        </w:rPr>
        <w:t xml:space="preserve"> </w:t>
      </w:r>
      <w:r>
        <w:rPr>
          <w:b/>
          <w:bCs/>
        </w:rPr>
        <w:t xml:space="preserve">“Quelle est la différence entre le contrôle d’accès discrétionnaire (DAC) et obligatoire (MAC) ?”</w:t>
      </w:r>
      <w:r>
        <w:t xml:space="preserve"> </w:t>
      </w:r>
      <w:r>
        <w:t xml:space="preserve">Réponse attendue : le DAC (permissions Unix traditionnelles, ACL) laisse le propriétaire d’une ressource décider qui peut y accéder ; le MAC (SELinux, AppArmor) applique une politique de sécurité centrale que même le propriétaire ou root ne peut pas outrepasser, ajoutant une couche de protection indépendante des permissions traditionnelles.</w:t>
      </w:r>
    </w:p>
    <w:p>
      <w:pPr>
        <w:pStyle w:val="BodyText"/>
      </w:pPr>
      <w:r>
        <w:rPr>
          <w:b/>
          <w:bCs/>
        </w:rPr>
        <w:t xml:space="preserve">Q2.</w:t>
      </w:r>
      <w:r>
        <w:rPr>
          <w:b/>
          <w:bCs/>
        </w:rPr>
        <w:t xml:space="preserve"> </w:t>
      </w:r>
      <w:r>
        <w:rPr>
          <w:b/>
          <w:bCs/>
        </w:rPr>
        <w:t xml:space="preserve">“Un développeur te dit que SELinux</w:t>
      </w:r>
      <w:r>
        <w:rPr>
          <w:b/>
          <w:bCs/>
        </w:rPr>
        <w:t xml:space="preserve"> </w:t>
      </w:r>
      <w:r>
        <w:rPr>
          <w:b/>
          <w:bCs/>
        </w:rPr>
        <w:t xml:space="preserve">‘bloque tout n’importe comment’</w:t>
      </w:r>
      <w:r>
        <w:rPr>
          <w:b/>
          <w:bCs/>
        </w:rPr>
        <w:t xml:space="preserve"> </w:t>
      </w:r>
      <w:r>
        <w:rPr>
          <w:b/>
          <w:bCs/>
        </w:rPr>
        <w:t xml:space="preserve">et propose de le désactiver. Que lui réponds-tu ?”</w:t>
      </w:r>
      <w:r>
        <w:t xml:space="preserve"> </w:t>
      </w:r>
      <w:r>
        <w:t xml:space="preserve">Réponse attendue : SELinux ne bloque jamais</w:t>
      </w:r>
      <w:r>
        <w:t xml:space="preserve"> </w:t>
      </w:r>
      <w:r>
        <w:t xml:space="preserve">“n’importe comment”</w:t>
      </w:r>
      <w:r>
        <w:t xml:space="preserve"> </w:t>
      </w:r>
      <w:r>
        <w:t xml:space="preserve">— chaque refus a une cause précise et traçable via</w:t>
      </w:r>
      <w:r>
        <w:t xml:space="preserve"> </w:t>
      </w:r>
      <w:r>
        <w:rPr>
          <w:rStyle w:val="VerbatimChar"/>
        </w:rPr>
        <w:t xml:space="preserve">ausearch -m avc</w:t>
      </w:r>
      <w:r>
        <w:t xml:space="preserve">, généralement un contexte de sécurité mal configuré plutôt qu’un vrai bug de SELinux lui-même. La bonne réponse est de diagnostiquer et corriger le contexte précis en cause, jamais de désactiver la protection pour l’ensemble du système.</w:t>
      </w:r>
    </w:p>
    <w:p>
      <w:pPr>
        <w:pStyle w:val="BodyText"/>
      </w:pPr>
      <w:r>
        <w:rPr>
          <w:b/>
          <w:bCs/>
        </w:rPr>
        <w:t xml:space="preserve">Q3.</w:t>
      </w:r>
      <w:r>
        <w:rPr>
          <w:b/>
          <w:bCs/>
        </w:rPr>
        <w:t xml:space="preserve"> </w:t>
      </w:r>
      <w:r>
        <w:rPr>
          <w:b/>
          <w:bCs/>
        </w:rPr>
        <w:t xml:space="preserve">“Quelle est la différence philosophique principale entre SELinux et AppArmor ?”</w:t>
      </w:r>
      <w:r>
        <w:t xml:space="preserve"> </w:t>
      </w:r>
      <w:r>
        <w:t xml:space="preserve">Réponse attendue : SELinux raisonne en contextes/labels abstraits attachés aux objets, indépendamment de leur chemin d’accès ; AppArmor raisonne en chemins de fichiers explicites dans des profils par application — une approche plus intuitive à lire, mais potentiellement moins robuste face à des chemins d’accès non prévus explicitement.</w:t>
      </w:r>
    </w:p>
    <w:bookmarkEnd w:id="474"/>
    <w:bookmarkStart w:id="475" w:name="X15673a40fb6ca900d8f165fbb0dece2489e55e5"/>
    <w:p>
      <w:pPr>
        <w:pStyle w:val="Heading2"/>
      </w:pPr>
      <w:r>
        <w:t xml:space="preserve">Optimisation, sécurité et maintenabilité — les réflexes dès ce chapitre</w:t>
      </w:r>
    </w:p>
    <w:p>
      <w:pPr>
        <w:pStyle w:val="FirstParagraph"/>
      </w:pPr>
      <w:r>
        <w:t xml:space="preserve">🔒 Sécurité</w:t>
      </w:r>
      <w:r>
        <w:t xml:space="preserve"> </w:t>
      </w:r>
      <w:r>
        <w:t xml:space="preserve">Ne désactive jamais SELinux ou AppArmor en production comme solution à un blocage — diagnostique toujours la cause précise (section 19.3) et corrige le contexte ou le profil de façon ciblée, en conservant la protection active pour tout le reste du système.</w:t>
      </w:r>
    </w:p>
    <w:p>
      <w:pPr>
        <w:pStyle w:val="BodyText"/>
      </w:pPr>
      <w:r>
        <w:t xml:space="preserve">✅ Maintenabilité</w:t>
      </w:r>
      <w:r>
        <w:t xml:space="preserve"> </w:t>
      </w:r>
      <w:r>
        <w:t xml:space="preserve">Documente (chapitre 3) chaque ajustement de contexte SELinux ou de profil AppArmor effectué en production, avec sa justification précise — une information indispensable pour tout futur audit ou toute personne reprenant l’administration de ce serveur.</w:t>
      </w:r>
    </w:p>
    <w:p>
      <w:pPr>
        <w:pStyle w:val="BodyText"/>
      </w:pPr>
      <w:r>
        <w:t xml:space="preserve">🚀 Performance</w:t>
      </w:r>
      <w:r>
        <w:t xml:space="preserve"> </w:t>
      </w:r>
      <w:r>
        <w:t xml:space="preserve">La surcharge de performance de SELinux ou AppArmor est généralement négligeable sur un serveur moderne — un argument de performance n’est presque jamais une raison légitime de désactiver cette protection, contrairement à une idée reçue parfois avancée pour justifier une désactivation par facilité.</w:t>
      </w:r>
    </w:p>
    <w:bookmarkEnd w:id="475"/>
    <w:bookmarkStart w:id="476" w:name="résumé-du-chapitre-18"/>
    <w:p>
      <w:pPr>
        <w:pStyle w:val="Heading2"/>
      </w:pPr>
      <w:r>
        <w:t xml:space="preserve">Résumé du chapitre</w:t>
      </w:r>
    </w:p>
    <w:p>
      <w:pPr>
        <w:pStyle w:val="Compact"/>
        <w:numPr>
          <w:ilvl w:val="0"/>
          <w:numId w:val="1439"/>
        </w:numPr>
      </w:pPr>
      <w:r>
        <w:t xml:space="preserve">Le contrôle d’accès obligatoire (MAC), via SELinux ou AppArmor, ajoute une couche de sécurité indépendante des permissions Unix traditionnelles (DAC) du chapitre 18.</w:t>
      </w:r>
    </w:p>
    <w:p>
      <w:pPr>
        <w:pStyle w:val="Compact"/>
        <w:numPr>
          <w:ilvl w:val="0"/>
          <w:numId w:val="1439"/>
        </w:numPr>
      </w:pPr>
      <w:r>
        <w:t xml:space="preserve">SELinux (RHEL/Rocky) fonctionne par contextes de sécurité abstraits ; AppArmor (Ubuntu/Debian) fonctionne par profils basés sur des chemins de fichiers explicites.</w:t>
      </w:r>
    </w:p>
    <w:p>
      <w:pPr>
        <w:pStyle w:val="Compact"/>
        <w:numPr>
          <w:ilvl w:val="0"/>
          <w:numId w:val="1439"/>
        </w:numPr>
      </w:pPr>
      <w:r>
        <w:t xml:space="preserve">Un blocage SELinux ou AppArmor se diagnostique méthodiquement (</w:t>
      </w:r>
      <w:r>
        <w:rPr>
          <w:rStyle w:val="VerbatimChar"/>
        </w:rPr>
        <w:t xml:space="preserve">ausearch</w:t>
      </w:r>
      <w:r>
        <w:t xml:space="preserve">,</w:t>
      </w:r>
      <w:r>
        <w:t xml:space="preserve"> </w:t>
      </w:r>
      <w:r>
        <w:rPr>
          <w:rStyle w:val="VerbatimChar"/>
        </w:rPr>
        <w:t xml:space="preserve">aa-status</w:t>
      </w:r>
      <w:r>
        <w:t xml:space="preserve">), jamais en désactivant purement et simplement la protection.</w:t>
      </w:r>
    </w:p>
    <w:p>
      <w:pPr>
        <w:pStyle w:val="Compact"/>
        <w:numPr>
          <w:ilvl w:val="0"/>
          <w:numId w:val="1439"/>
        </w:numPr>
      </w:pPr>
      <w:r>
        <w:t xml:space="preserve">Le mode</w:t>
      </w:r>
      <w:r>
        <w:t xml:space="preserve"> </w:t>
      </w:r>
      <w:r>
        <w:rPr>
          <w:rStyle w:val="VerbatimChar"/>
        </w:rPr>
        <w:t xml:space="preserve">permissive</w:t>
      </w:r>
      <w:r>
        <w:t xml:space="preserve">/</w:t>
      </w:r>
      <w:r>
        <w:rPr>
          <w:rStyle w:val="VerbatimChar"/>
        </w:rPr>
        <w:t xml:space="preserve">complain</w:t>
      </w:r>
      <w:r>
        <w:t xml:space="preserve"> </w:t>
      </w:r>
      <w:r>
        <w:t xml:space="preserve">est un outil de diagnostic temporaire, jamais une configuration permanente de production.</w:t>
      </w:r>
    </w:p>
    <w:p>
      <w:pPr>
        <w:pStyle w:val="Compact"/>
        <w:numPr>
          <w:ilvl w:val="0"/>
          <w:numId w:val="1439"/>
        </w:numPr>
      </w:pPr>
      <w:r>
        <w:rPr>
          <w:rStyle w:val="VerbatimChar"/>
        </w:rPr>
        <w:t xml:space="preserve">audit2allow</w:t>
      </w:r>
      <w:r>
        <w:t xml:space="preserve"> </w:t>
      </w:r>
      <w:r>
        <w:t xml:space="preserve">génère des règles techniquement valides, mais nécessite toujours une validation humaine avant application, pour éviter d’ouvrir un accès plus large que nécessaire.</w:t>
      </w:r>
    </w:p>
    <w:bookmarkEnd w:id="476"/>
    <w:bookmarkStart w:id="477" w:name="quiz-18"/>
    <w:p>
      <w:pPr>
        <w:pStyle w:val="Heading2"/>
      </w:pPr>
      <w:r>
        <w:t xml:space="preserve">Quiz</w:t>
      </w:r>
    </w:p>
    <w:p>
      <w:pPr>
        <w:pStyle w:val="FirstParagraph"/>
      </w:pPr>
      <w:r>
        <w:t xml:space="preserve">📝 QCM (une seule bonne réponse par question)</w:t>
      </w:r>
    </w:p>
    <w:p>
      <w:pPr>
        <w:pStyle w:val="Compact"/>
        <w:numPr>
          <w:ilvl w:val="0"/>
          <w:numId w:val="1440"/>
        </w:numPr>
      </w:pPr>
      <w:r>
        <w:t xml:space="preserve">Le contrôle d’accès obligatoire (MAC) se distingue du contrôle discrétionnaire (DAC) car :</w:t>
      </w:r>
    </w:p>
    <w:p>
      <w:pPr>
        <w:pStyle w:val="Compact"/>
        <w:numPr>
          <w:ilvl w:val="1"/>
          <w:numId w:val="1441"/>
        </w:numPr>
      </w:pPr>
    </w:p>
    <w:p>
      <w:pPr>
        <w:pStyle w:val="Compact"/>
        <w:numPr>
          <w:ilvl w:val="2"/>
          <w:numId w:val="1442"/>
        </w:numPr>
      </w:pPr>
      <w:r>
        <w:t xml:space="preserve">Il est plus rapide à configurer</w:t>
      </w:r>
    </w:p>
    <w:p>
      <w:pPr>
        <w:pStyle w:val="Compact"/>
        <w:numPr>
          <w:ilvl w:val="1"/>
          <w:numId w:val="1441"/>
        </w:numPr>
      </w:pPr>
    </w:p>
    <w:p>
      <w:pPr>
        <w:pStyle w:val="Compact"/>
        <w:numPr>
          <w:ilvl w:val="2"/>
          <w:numId w:val="1443"/>
        </w:numPr>
      </w:pPr>
      <w:r>
        <w:t xml:space="preserve">Même le propriétaire d’une ressource ne peut pas outrepasser la politique centrale</w:t>
      </w:r>
    </w:p>
    <w:p>
      <w:pPr>
        <w:pStyle w:val="Compact"/>
        <w:numPr>
          <w:ilvl w:val="1"/>
          <w:numId w:val="1441"/>
        </w:numPr>
      </w:pPr>
    </w:p>
    <w:p>
      <w:pPr>
        <w:pStyle w:val="Compact"/>
        <w:numPr>
          <w:ilvl w:val="2"/>
          <w:numId w:val="1444"/>
        </w:numPr>
      </w:pPr>
      <w:r>
        <w:t xml:space="preserve">Il remplace entièrement le besoin de permissions Unix</w:t>
      </w:r>
    </w:p>
    <w:p>
      <w:pPr>
        <w:pStyle w:val="Compact"/>
        <w:numPr>
          <w:ilvl w:val="1"/>
          <w:numId w:val="1441"/>
        </w:numPr>
      </w:pPr>
    </w:p>
    <w:p>
      <w:pPr>
        <w:pStyle w:val="Compact"/>
        <w:numPr>
          <w:ilvl w:val="2"/>
          <w:numId w:val="1445"/>
        </w:numPr>
      </w:pPr>
      <w:r>
        <w:t xml:space="preserve">Il ne concerne que les utilisateurs root</w:t>
      </w:r>
    </w:p>
    <w:p>
      <w:pPr>
        <w:pStyle w:val="Compact"/>
        <w:numPr>
          <w:ilvl w:val="0"/>
          <w:numId w:val="1440"/>
        </w:numPr>
      </w:pPr>
      <w:r>
        <w:t xml:space="preserve">SELinux est utilisé par défaut sur :</w:t>
      </w:r>
    </w:p>
    <w:p>
      <w:pPr>
        <w:pStyle w:val="Compact"/>
        <w:numPr>
          <w:ilvl w:val="1"/>
          <w:numId w:val="1446"/>
        </w:numPr>
      </w:pPr>
    </w:p>
    <w:p>
      <w:pPr>
        <w:pStyle w:val="Compact"/>
        <w:numPr>
          <w:ilvl w:val="2"/>
          <w:numId w:val="1447"/>
        </w:numPr>
      </w:pPr>
      <w:r>
        <w:t xml:space="preserve">Ubuntu et Debian</w:t>
      </w:r>
    </w:p>
    <w:p>
      <w:pPr>
        <w:pStyle w:val="Compact"/>
        <w:numPr>
          <w:ilvl w:val="1"/>
          <w:numId w:val="1446"/>
        </w:numPr>
      </w:pPr>
    </w:p>
    <w:p>
      <w:pPr>
        <w:pStyle w:val="Compact"/>
        <w:numPr>
          <w:ilvl w:val="2"/>
          <w:numId w:val="1448"/>
        </w:numPr>
      </w:pPr>
      <w:r>
        <w:t xml:space="preserve">RHEL et Rocky Linux</w:t>
      </w:r>
    </w:p>
    <w:p>
      <w:pPr>
        <w:pStyle w:val="Compact"/>
        <w:numPr>
          <w:ilvl w:val="1"/>
          <w:numId w:val="1446"/>
        </w:numPr>
      </w:pPr>
    </w:p>
    <w:p>
      <w:pPr>
        <w:pStyle w:val="Compact"/>
        <w:numPr>
          <w:ilvl w:val="2"/>
          <w:numId w:val="1449"/>
        </w:numPr>
      </w:pPr>
      <w:r>
        <w:t xml:space="preserve">Windows Server</w:t>
      </w:r>
    </w:p>
    <w:p>
      <w:pPr>
        <w:pStyle w:val="Compact"/>
        <w:numPr>
          <w:ilvl w:val="1"/>
          <w:numId w:val="1446"/>
        </w:numPr>
      </w:pPr>
    </w:p>
    <w:p>
      <w:pPr>
        <w:pStyle w:val="Compact"/>
        <w:numPr>
          <w:ilvl w:val="2"/>
          <w:numId w:val="1450"/>
        </w:numPr>
      </w:pPr>
      <w:r>
        <w:t xml:space="preserve">Toutes les distributions Linux de façon identique</w:t>
      </w:r>
    </w:p>
    <w:p>
      <w:pPr>
        <w:pStyle w:val="Compact"/>
        <w:numPr>
          <w:ilvl w:val="0"/>
          <w:numId w:val="1440"/>
        </w:numPr>
      </w:pPr>
      <w:r>
        <w:t xml:space="preserve">La bonne pratique face à un blocage SELinux mal compris est de :</w:t>
      </w:r>
    </w:p>
    <w:p>
      <w:pPr>
        <w:pStyle w:val="Compact"/>
        <w:numPr>
          <w:ilvl w:val="1"/>
          <w:numId w:val="1451"/>
        </w:numPr>
      </w:pPr>
    </w:p>
    <w:p>
      <w:pPr>
        <w:pStyle w:val="Compact"/>
        <w:numPr>
          <w:ilvl w:val="2"/>
          <w:numId w:val="1452"/>
        </w:numPr>
      </w:pPr>
      <w:r>
        <w:t xml:space="preserve">Désactiver SELinux immédiatement</w:t>
      </w:r>
    </w:p>
    <w:p>
      <w:pPr>
        <w:pStyle w:val="Compact"/>
        <w:numPr>
          <w:ilvl w:val="1"/>
          <w:numId w:val="1451"/>
        </w:numPr>
      </w:pPr>
    </w:p>
    <w:p>
      <w:pPr>
        <w:pStyle w:val="Compact"/>
        <w:numPr>
          <w:ilvl w:val="2"/>
          <w:numId w:val="1453"/>
        </w:numPr>
      </w:pPr>
      <w:r>
        <w:t xml:space="preserve">Diagnostiquer la cause précise et corriger le contexte concerné</w:t>
      </w:r>
    </w:p>
    <w:p>
      <w:pPr>
        <w:pStyle w:val="Compact"/>
        <w:numPr>
          <w:ilvl w:val="1"/>
          <w:numId w:val="1451"/>
        </w:numPr>
      </w:pPr>
    </w:p>
    <w:p>
      <w:pPr>
        <w:pStyle w:val="Compact"/>
        <w:numPr>
          <w:ilvl w:val="2"/>
          <w:numId w:val="1454"/>
        </w:numPr>
      </w:pPr>
      <w:r>
        <w:t xml:space="preserve">Redémarrer le serveur en boucle jusqu’à ce que ça fonctionne</w:t>
      </w:r>
    </w:p>
    <w:p>
      <w:pPr>
        <w:pStyle w:val="Compact"/>
        <w:numPr>
          <w:ilvl w:val="1"/>
          <w:numId w:val="1451"/>
        </w:numPr>
      </w:pPr>
    </w:p>
    <w:p>
      <w:pPr>
        <w:pStyle w:val="Compact"/>
        <w:numPr>
          <w:ilvl w:val="2"/>
          <w:numId w:val="1455"/>
        </w:numPr>
      </w:pPr>
      <w:r>
        <w:t xml:space="preserve">Passer à AppArmor à la place</w:t>
      </w:r>
    </w:p>
    <w:p>
      <w:pPr>
        <w:pStyle w:val="FirstParagraph"/>
      </w:pPr>
      <w:r>
        <w:rPr>
          <w:b/>
          <w:bCs/>
        </w:rPr>
        <w:t xml:space="preserve">Corrigé</w:t>
      </w:r>
      <w:r>
        <w:t xml:space="preserve"> </w:t>
      </w:r>
      <w:r>
        <w:t xml:space="preserve">: 1-b, 2-b, 3-b.</w:t>
      </w:r>
    </w:p>
    <w:p>
      <w:pPr>
        <w:pStyle w:val="BodyText"/>
      </w:pPr>
      <w:r>
        <w:t xml:space="preserve">📝 Vrai ou Faux</w:t>
      </w:r>
    </w:p>
    <w:p>
      <w:pPr>
        <w:pStyle w:val="Compact"/>
        <w:numPr>
          <w:ilvl w:val="0"/>
          <w:numId w:val="1456"/>
        </w:numPr>
      </w:pPr>
      <w:r>
        <w:t xml:space="preserve">Le mode</w:t>
      </w:r>
      <w:r>
        <w:t xml:space="preserve"> </w:t>
      </w:r>
      <w:r>
        <w:rPr>
          <w:rStyle w:val="VerbatimChar"/>
        </w:rPr>
        <w:t xml:space="preserve">permissive</w:t>
      </w:r>
      <w:r>
        <w:t xml:space="preserve"> </w:t>
      </w:r>
      <w:r>
        <w:t xml:space="preserve">de SELinux bloque les accès non autorisés tout en les journalisant. —</w:t>
      </w:r>
      <w:r>
        <w:t xml:space="preserve"> </w:t>
      </w:r>
      <w:r>
        <w:rPr>
          <w:b/>
          <w:bCs/>
        </w:rPr>
        <w:t xml:space="preserve">Faux</w:t>
      </w:r>
      <w:r>
        <w:t xml:space="preserve"> </w:t>
      </w:r>
      <w:r>
        <w:t xml:space="preserve">(il journalise sans bloquer, section 19.6).</w:t>
      </w:r>
    </w:p>
    <w:p>
      <w:pPr>
        <w:pStyle w:val="Compact"/>
        <w:numPr>
          <w:ilvl w:val="0"/>
          <w:numId w:val="1456"/>
        </w:numPr>
      </w:pPr>
      <w:r>
        <w:t xml:space="preserve">AppArmor raisonne principalement en chemins de fichiers explicites par profil applicatif. —</w:t>
      </w:r>
      <w:r>
        <w:t xml:space="preserve"> </w:t>
      </w:r>
      <w:r>
        <w:rPr>
          <w:b/>
          <w:bCs/>
        </w:rPr>
        <w:t xml:space="preserve">Vrai</w:t>
      </w:r>
      <w:r>
        <w:t xml:space="preserve">.</w:t>
      </w:r>
    </w:p>
    <w:p>
      <w:pPr>
        <w:pStyle w:val="Compact"/>
        <w:numPr>
          <w:ilvl w:val="0"/>
          <w:numId w:val="1456"/>
        </w:numPr>
      </w:pPr>
      <w:r>
        <w:rPr>
          <w:rStyle w:val="VerbatimChar"/>
        </w:rPr>
        <w:t xml:space="preserve">audit2allow</w:t>
      </w:r>
      <w:r>
        <w:t xml:space="preserve"> </w:t>
      </w:r>
      <w:r>
        <w:t xml:space="preserve">peut être appliqué automatiquement sans revue humaine, ses règles étant toujours sûres. —</w:t>
      </w:r>
      <w:r>
        <w:t xml:space="preserve"> </w:t>
      </w:r>
      <w:r>
        <w:rPr>
          <w:b/>
          <w:bCs/>
        </w:rPr>
        <w:t xml:space="preserve">Faux</w:t>
      </w:r>
      <w:r>
        <w:t xml:space="preserve"> </w:t>
      </w:r>
      <w:r>
        <w:t xml:space="preserve">(une revue humaine reste nécessaire, section 19.6).</w:t>
      </w:r>
    </w:p>
    <w:p>
      <w:pPr>
        <w:pStyle w:val="Compact"/>
        <w:numPr>
          <w:ilvl w:val="0"/>
          <w:numId w:val="1456"/>
        </w:numPr>
      </w:pPr>
      <w:r>
        <w:t xml:space="preserve">Désactiver SELinux résout un blocage précis sans affecter la protection du reste du système. —</w:t>
      </w:r>
      <w:r>
        <w:t xml:space="preserve"> </w:t>
      </w:r>
      <w:r>
        <w:rPr>
          <w:b/>
          <w:bCs/>
        </w:rPr>
        <w:t xml:space="preserve">Faux</w:t>
      </w:r>
      <w:r>
        <w:t xml:space="preserve"> </w:t>
      </w:r>
      <w:r>
        <w:t xml:space="preserve">(cela désactive la protection pour l’ensemble du système, pas seulement le cas problématique).</w:t>
      </w:r>
    </w:p>
    <w:p>
      <w:pPr>
        <w:pStyle w:val="FirstParagraph"/>
      </w:pPr>
      <w:r>
        <w:t xml:space="preserve">📝 Questions ouvertes</w:t>
      </w:r>
    </w:p>
    <w:p>
      <w:pPr>
        <w:pStyle w:val="Compact"/>
        <w:numPr>
          <w:ilvl w:val="0"/>
          <w:numId w:val="1457"/>
        </w:numPr>
      </w:pPr>
      <w:r>
        <w:t xml:space="preserve">Explique pourquoi un problème de permissions Unix parfaitement correctes peut quand même provoquer une erreur</w:t>
      </w:r>
      <w:r>
        <w:t xml:space="preserve"> </w:t>
      </w:r>
      <w:r>
        <w:t xml:space="preserve">“Permission denied”</w:t>
      </w:r>
      <w:r>
        <w:t xml:space="preserve"> </w:t>
      </w:r>
      <w:r>
        <w:t xml:space="preserve">sur un système avec SELinux actif.</w:t>
      </w:r>
    </w:p>
    <w:p>
      <w:pPr>
        <w:pStyle w:val="Compact"/>
        <w:numPr>
          <w:ilvl w:val="0"/>
          <w:numId w:val="1457"/>
        </w:numPr>
      </w:pPr>
      <w:r>
        <w:t xml:space="preserve">Reprends le scénario d’ouverture. Explique ce que tu répondrais au développeur qui propose de</w:t>
      </w:r>
      <w:r>
        <w:t xml:space="preserve"> </w:t>
      </w:r>
      <w:r>
        <w:t xml:space="preserve">“désactiver la sécurité pour que ça marche”</w:t>
      </w:r>
      <w:r>
        <w:t xml:space="preserve">.</w:t>
      </w:r>
    </w:p>
    <w:p>
      <w:pPr>
        <w:pStyle w:val="FirstParagraph"/>
      </w:pPr>
      <w:r>
        <w:rPr>
          <w:b/>
          <w:bCs/>
        </w:rPr>
        <w:t xml:space="preserve">Corrigé 1</w:t>
      </w:r>
      <w:r>
        <w:t xml:space="preserve"> </w:t>
      </w:r>
      <w:r>
        <w:t xml:space="preserve">: les permissions Unix (DAC) et SELinux (MAC) sont deux couches de contrôle d’accès totalement indépendantes, qui doivent toutes les deux autoriser une action pour qu’elle réussisse. Des permissions Unix correctes garantissent seulement que la première couche autorise l’accès — si le contexte de sécurité SELinux du fichier ne correspond pas à ce que la politique autorise pour le processus concerné, la seconde couche bloque quand même l’accès, indépendamment de la validité de la première.</w:t>
      </w:r>
    </w:p>
    <w:p>
      <w:pPr>
        <w:pStyle w:val="BodyText"/>
      </w:pPr>
      <w:r>
        <w:rPr>
          <w:b/>
          <w:bCs/>
        </w:rPr>
        <w:t xml:space="preserve">Corrigé 2</w:t>
      </w:r>
      <w:r>
        <w:t xml:space="preserve"> </w:t>
      </w:r>
      <w:r>
        <w:t xml:space="preserve">: je lui expliquerais que SELinux ne bloque jamais arbitrairement — le refus observé a une cause précise et vérifiable (</w:t>
      </w:r>
      <w:r>
        <w:rPr>
          <w:rStyle w:val="VerbatimChar"/>
        </w:rPr>
        <w:t xml:space="preserve">ausearch -m avc</w:t>
      </w:r>
      <w:r>
        <w:t xml:space="preserve">), presque toujours un contexte de sécurité mal configuré plutôt qu’un vrai obstacle à contourner. Désactiver SELinux résoudrait ce cas précis, mais supprimerait aussi la protection pour l’ensemble du système, exposant potentiellement d’autres services à des risques que SELinux aurait autrement bloqués. La correction ciblée du contexte (section 19.2) résout le problème réel sans ce compromis de sécurité disproportionné.</w:t>
      </w:r>
    </w:p>
    <w:bookmarkEnd w:id="477"/>
    <w:bookmarkStart w:id="478" w:name="exercices-18"/>
    <w:p>
      <w:pPr>
        <w:pStyle w:val="Heading2"/>
      </w:pPr>
      <w:r>
        <w:t xml:space="preserve">Exercices</w:t>
      </w:r>
    </w:p>
    <w:p>
      <w:pPr>
        <w:pStyle w:val="FirstParagraph"/>
      </w:pPr>
      <w:r>
        <w:t xml:space="preserve">📝 Exercice 19.1</w:t>
      </w:r>
    </w:p>
    <w:p>
      <w:pPr>
        <w:pStyle w:val="BodyText"/>
      </w:pPr>
      <w:r>
        <w:t xml:space="preserve">Un fichier a des permissions Unix</w:t>
      </w:r>
      <w:r>
        <w:t xml:space="preserve"> </w:t>
      </w:r>
      <w:r>
        <w:rPr>
          <w:rStyle w:val="VerbatimChar"/>
        </w:rPr>
        <w:t xml:space="preserve">rwxr-xr-x</w:t>
      </w:r>
      <w:r>
        <w:t xml:space="preserve"> </w:t>
      </w:r>
      <w:r>
        <w:t xml:space="preserve">et appartient à l’utilisateur</w:t>
      </w:r>
      <w:r>
        <w:t xml:space="preserve"> </w:t>
      </w:r>
      <w:r>
        <w:rPr>
          <w:rStyle w:val="VerbatimChar"/>
        </w:rPr>
        <w:t xml:space="preserve">nginx</w:t>
      </w:r>
      <w:r>
        <w:t xml:space="preserve">, ce qui semble parfaitement correct pour un accès en lecture par le processus Nginx. Pourtant, Nginx reçoit une erreur</w:t>
      </w:r>
      <w:r>
        <w:t xml:space="preserve"> </w:t>
      </w:r>
      <w:r>
        <w:t xml:space="preserve">“Permission denied”</w:t>
      </w:r>
      <w:r>
        <w:t xml:space="preserve"> </w:t>
      </w:r>
      <w:r>
        <w:t xml:space="preserve">en tentant de le lire sur un serveur Rocky Linux. Propose une explication possible et la commande pour la vérifier.</w:t>
      </w:r>
    </w:p>
    <w:p>
      <w:pPr>
        <w:pStyle w:val="BodyText"/>
      </w:pPr>
      <w:r>
        <w:rPr>
          <w:b/>
          <w:bCs/>
        </w:rPr>
        <w:t xml:space="preserve">Corrigé :</w:t>
      </w:r>
      <w:r>
        <w:t xml:space="preserve"> </w:t>
      </w:r>
      <w:r>
        <w:t xml:space="preserve">La cause la plus probable est un contexte de sécurité SELinux incorrect sur ce fichier — les permissions Unix peuvent être parfaitement correctes tout en étant bloquées par la couche MAC indépendante de SELinux (section 19.1). La commande</w:t>
      </w:r>
      <w:r>
        <w:t xml:space="preserve"> </w:t>
      </w:r>
      <w:r>
        <w:rPr>
          <w:rStyle w:val="VerbatimChar"/>
        </w:rPr>
        <w:t xml:space="preserve">sudo ausearch -m avc -ts recent</w:t>
      </w:r>
      <w:r>
        <w:t xml:space="preserve"> </w:t>
      </w:r>
      <w:r>
        <w:t xml:space="preserve">permettrait de confirmer cette hypothèse en révélant un éventuel refus SELinux récent lié à ce fichier, avant de corriger le contexte avec</w:t>
      </w:r>
      <w:r>
        <w:t xml:space="preserve"> </w:t>
      </w:r>
      <w:r>
        <w:rPr>
          <w:rStyle w:val="VerbatimChar"/>
        </w:rPr>
        <w:t xml:space="preserve">semanage fcontext</w:t>
      </w:r>
      <w:r>
        <w:t xml:space="preserve"> </w:t>
      </w:r>
      <w:r>
        <w:t xml:space="preserve">et</w:t>
      </w:r>
      <w:r>
        <w:t xml:space="preserve"> </w:t>
      </w:r>
      <w:r>
        <w:rPr>
          <w:rStyle w:val="VerbatimChar"/>
        </w:rPr>
        <w:t xml:space="preserve">restorecon</w:t>
      </w:r>
      <w:r>
        <w:t xml:space="preserve"> </w:t>
      </w:r>
      <w:r>
        <w:t xml:space="preserve">si l’hypothèse se confirme.</w:t>
      </w:r>
    </w:p>
    <w:p>
      <w:pPr>
        <w:pStyle w:val="BodyText"/>
      </w:pPr>
      <w:r>
        <w:t xml:space="preserve">📝 Exercice 19.2</w:t>
      </w:r>
    </w:p>
    <w:p>
      <w:pPr>
        <w:pStyle w:val="BodyText"/>
      </w:pPr>
      <w:r>
        <w:t xml:space="preserve">Rédige, en 3 à 5 phrases, pourquoi le mode</w:t>
      </w:r>
      <w:r>
        <w:t xml:space="preserve"> </w:t>
      </w:r>
      <w:r>
        <w:rPr>
          <w:rStyle w:val="VerbatimChar"/>
        </w:rPr>
        <w:t xml:space="preserve">permissive</w:t>
      </w:r>
      <w:r>
        <w:t xml:space="preserve">/</w:t>
      </w:r>
      <w:r>
        <w:rPr>
          <w:rStyle w:val="VerbatimChar"/>
        </w:rPr>
        <w:t xml:space="preserve">complain</w:t>
      </w:r>
      <w:r>
        <w:t xml:space="preserve"> </w:t>
      </w:r>
      <w:r>
        <w:t xml:space="preserve">est un outil précieux pendant le déploiement initial d’un nouveau service, mais dangereux s’il reste actif indéfiniment en production.</w:t>
      </w:r>
    </w:p>
    <w:p>
      <w:pPr>
        <w:pStyle w:val="BodyText"/>
      </w:pPr>
      <w:r>
        <w:rPr>
          <w:b/>
          <w:bCs/>
        </w:rPr>
        <w:t xml:space="preserve">Corrigé (exemple de réponse) :</w:t>
      </w:r>
      <w:r>
        <w:t xml:space="preserve"> </w:t>
      </w:r>
      <w:r>
        <w:t xml:space="preserve">Pendant un déploiement initial, le mode</w:t>
      </w:r>
      <w:r>
        <w:t xml:space="preserve"> </w:t>
      </w:r>
      <w:r>
        <w:rPr>
          <w:rStyle w:val="VerbatimChar"/>
        </w:rPr>
        <w:t xml:space="preserve">permissive</w:t>
      </w:r>
      <w:r>
        <w:t xml:space="preserve">/</w:t>
      </w:r>
      <w:r>
        <w:rPr>
          <w:rStyle w:val="VerbatimChar"/>
        </w:rPr>
        <w:t xml:space="preserve">complain</w:t>
      </w:r>
      <w:r>
        <w:t xml:space="preserve"> </w:t>
      </w:r>
      <w:r>
        <w:t xml:space="preserve">permet d’observer précisément quelles actions un nouveau service tente de réaliser, sans bloquer son fonctionnement le temps de comprendre et d’ajuster correctement ses contextes ou profils — un outil de diagnostic sûr et contrôlé. Si ce mode reste actif indéfiniment en production, la protection MAC devient purement décorative : elle journalise les violations sans jamais les empêcher réellement, laissant le système aussi vulnérable que s’il n’avait aucune protection MAC du tout, tout en donnant une fausse impression de sécurité à quiconque constaterait simplement que SELinux ou AppArmor est</w:t>
      </w:r>
      <w:r>
        <w:t xml:space="preserve"> </w:t>
      </w:r>
      <w:r>
        <w:t xml:space="preserve">“installé et actif”</w:t>
      </w:r>
      <w:r>
        <w:t xml:space="preserve"> </w:t>
      </w:r>
      <w:r>
        <w:t xml:space="preserve">sans vérifier son mode réel de fonctionnement.</w:t>
      </w:r>
    </w:p>
    <w:bookmarkEnd w:id="478"/>
    <w:bookmarkStart w:id="479" w:name="checklist-de-fin-de-chapitre-18"/>
    <w:p>
      <w:pPr>
        <w:pStyle w:val="Heading2"/>
      </w:pPr>
      <w:r>
        <w:t xml:space="preserve">Checklist de fin de chapitre</w:t>
      </w:r>
    </w:p>
    <w:p>
      <w:pPr>
        <w:pStyle w:val="FirstParagraph"/>
      </w:pPr>
      <w:r>
        <w:t xml:space="preserve">☐ Je comprends la différence entre contrôle d’accès discrétionnaire (DAC) et obligatoire (MAC).</w:t>
      </w:r>
    </w:p>
    <w:p>
      <w:pPr>
        <w:pStyle w:val="BodyText"/>
      </w:pPr>
      <w:r>
        <w:t xml:space="preserve">☐ Je sais diagnostiquer un blocage SELinux avec</w:t>
      </w:r>
      <w:r>
        <w:t xml:space="preserve"> </w:t>
      </w:r>
      <w:r>
        <w:rPr>
          <w:rStyle w:val="VerbatimChar"/>
        </w:rPr>
        <w:t xml:space="preserve">ausearch -m avc</w:t>
      </w:r>
      <w:r>
        <w:t xml:space="preserve"> </w:t>
      </w:r>
      <w:r>
        <w:t xml:space="preserve">avant de conclure à un bug applicatif.</w:t>
      </w:r>
    </w:p>
    <w:p>
      <w:pPr>
        <w:pStyle w:val="BodyText"/>
      </w:pPr>
      <w:r>
        <w:t xml:space="preserve">☐ Je sais corriger un contexte de sécurité SELinux avec</w:t>
      </w:r>
      <w:r>
        <w:t xml:space="preserve"> </w:t>
      </w:r>
      <w:r>
        <w:rPr>
          <w:rStyle w:val="VerbatimChar"/>
        </w:rPr>
        <w:t xml:space="preserve">semanage fcontext</w:t>
      </w:r>
      <w:r>
        <w:t xml:space="preserve"> </w:t>
      </w:r>
      <w:r>
        <w:t xml:space="preserve">et</w:t>
      </w:r>
      <w:r>
        <w:t xml:space="preserve"> </w:t>
      </w:r>
      <w:r>
        <w:rPr>
          <w:rStyle w:val="VerbatimChar"/>
        </w:rPr>
        <w:t xml:space="preserve">restorecon</w:t>
      </w:r>
      <w:r>
        <w:t xml:space="preserve">.</w:t>
      </w:r>
    </w:p>
    <w:p>
      <w:pPr>
        <w:pStyle w:val="BodyText"/>
      </w:pPr>
      <w:r>
        <w:t xml:space="preserve">☐ Je comprends la différence philosophique entre SELinux (contextes) et AppArmor (chemins de fichiers).</w:t>
      </w:r>
    </w:p>
    <w:p>
      <w:pPr>
        <w:pStyle w:val="BodyText"/>
      </w:pPr>
      <w:r>
        <w:t xml:space="preserve">☐ Je sais pourquoi désactiver SELinux ou AppArmor est presque toujours une mauvaise pratique.</w:t>
      </w:r>
    </w:p>
    <w:p>
      <w:pPr>
        <w:pStyle w:val="BodyText"/>
      </w:pPr>
      <w:r>
        <w:t xml:space="preserve">☐ Je comprends que le mode</w:t>
      </w:r>
      <w:r>
        <w:t xml:space="preserve"> </w:t>
      </w:r>
      <w:r>
        <w:rPr>
          <w:rStyle w:val="VerbatimChar"/>
        </w:rPr>
        <w:t xml:space="preserve">permissive</w:t>
      </w:r>
      <w:r>
        <w:t xml:space="preserve">/</w:t>
      </w:r>
      <w:r>
        <w:rPr>
          <w:rStyle w:val="VerbatimChar"/>
        </w:rPr>
        <w:t xml:space="preserve">complain</w:t>
      </w:r>
      <w:r>
        <w:t xml:space="preserve"> </w:t>
      </w:r>
      <w:r>
        <w:t xml:space="preserve">est un outil de diagnostic temporaire, jamais une configuration permanente.</w:t>
      </w:r>
    </w:p>
    <w:bookmarkEnd w:id="479"/>
    <w:bookmarkStart w:id="480" w:name="faq-18"/>
    <w:p>
      <w:pPr>
        <w:pStyle w:val="Heading2"/>
      </w:pPr>
      <w:r>
        <w:t xml:space="preserve">FAQ</w:t>
      </w:r>
    </w:p>
    <w:p>
      <w:pPr>
        <w:pStyle w:val="FirstParagraph"/>
      </w:pPr>
      <w:r>
        <w:t xml:space="preserve">SELinux et AppArmor peuvent-ils fonctionner ensemble sur le même système ?</w:t>
      </w:r>
    </w:p>
    <w:p>
      <w:pPr>
        <w:pStyle w:val="BodyText"/>
      </w:pPr>
      <w:r>
        <w:t xml:space="preserve">Non, les deux ne sont généralement pas conçus pour cohabiter activement sur le même système — chaque distribution utilise l’un ou l’autre par défaut (SELinux pour RHEL/Rocky, AppArmor pour Ubuntu/Debian), et il est rare et déconseillé de tenter de faire cohabiter les deux simultanément.</w:t>
      </w:r>
    </w:p>
    <w:p>
      <w:pPr>
        <w:pStyle w:val="BodyText"/>
      </w:pPr>
      <w:r>
        <w:t xml:space="preserve">Un serveur sans SELinux ni AppArmor est-il automatiquement moins sécurisé ?</w:t>
      </w:r>
    </w:p>
    <w:p>
      <w:pPr>
        <w:pStyle w:val="BodyText"/>
      </w:pPr>
      <w:r>
        <w:t xml:space="preserve">Il perd une couche de défense en profondeur significative, mais reste protégé par les autres mesures de sécurité en place (permissions, pare-feu, bastion du chapitre 4) — la sécurité globale dépend de l’ensemble de ces couches combinées, mais retirer volontairement une couche de protection sans raison précise reste une décision à éviter sans justification solide.</w:t>
      </w:r>
    </w:p>
    <w:p>
      <w:pPr>
        <w:pStyle w:val="BodyText"/>
      </w:pPr>
      <w:r>
        <w:t xml:space="preserve">Combien de temps faut-il pour maîtriser réellement SELinux ?</w:t>
      </w:r>
    </w:p>
    <w:p>
      <w:pPr>
        <w:pStyle w:val="BodyText"/>
      </w:pPr>
      <w:r>
        <w:t xml:space="preserve">La démarche de diagnostic de base (section 19.3) s’acquiert rapidement, mais une maîtrise avancée (écriture de politiques personnalisées complexes) demande une pratique plus approfondie — heureusement, la grande majorité des besoins quotidiens d’un administrateur système se limite à corriger des contextes de fichiers, une compétence largement suffisante pour la plupart des situations réelles.</w:t>
      </w:r>
    </w:p>
    <w:p>
      <w:pPr>
        <w:pStyle w:val="BodyText"/>
      </w:pPr>
      <w:r>
        <w:t xml:space="preserve">Existe-t-il un outil graphique pour faciliter la gestion de SELinux ?</w:t>
      </w:r>
    </w:p>
    <w:p>
      <w:pPr>
        <w:pStyle w:val="BodyText"/>
      </w:pPr>
      <w:r>
        <w:t xml:space="preserve">Oui, des outils comme</w:t>
      </w:r>
      <w:r>
        <w:t xml:space="preserve"> </w:t>
      </w:r>
      <w:r>
        <w:rPr>
          <w:rStyle w:val="VerbatimChar"/>
        </w:rPr>
        <w:t xml:space="preserve">system-config-selinux</w:t>
      </w:r>
      <w:r>
        <w:t xml:space="preserve"> </w:t>
      </w:r>
      <w:r>
        <w:t xml:space="preserve">(avec interface graphique) existent et peuvent faciliter une première prise en main visuelle, mais la ligne de commande (</w:t>
      </w:r>
      <w:r>
        <w:rPr>
          <w:rStyle w:val="VerbatimChar"/>
        </w:rPr>
        <w:t xml:space="preserve">ausearch</w:t>
      </w:r>
      <w:r>
        <w:t xml:space="preserve">,</w:t>
      </w:r>
      <w:r>
        <w:t xml:space="preserve"> </w:t>
      </w:r>
      <w:r>
        <w:rPr>
          <w:rStyle w:val="VerbatimChar"/>
        </w:rPr>
        <w:t xml:space="preserve">semanage</w:t>
      </w:r>
      <w:r>
        <w:t xml:space="preserve">,</w:t>
      </w:r>
      <w:r>
        <w:t xml:space="preserve"> </w:t>
      </w:r>
      <w:r>
        <w:rPr>
          <w:rStyle w:val="VerbatimChar"/>
        </w:rPr>
        <w:t xml:space="preserve">restorecon</w:t>
      </w:r>
      <w:r>
        <w:t xml:space="preserve">) reste l’outil de référence pour un diagnostic rapide et pour l’automatisation future (Partie 9).</w:t>
      </w:r>
    </w:p>
    <w:bookmarkEnd w:id="480"/>
    <w:bookmarkStart w:id="484" w:name="références-et-pour-aller-plus-loin-18"/>
    <w:p>
      <w:pPr>
        <w:pStyle w:val="Heading2"/>
      </w:pPr>
      <w:r>
        <w:t xml:space="preserve">Références et pour aller plus loin</w:t>
      </w:r>
    </w:p>
    <w:p>
      <w:pPr>
        <w:pStyle w:val="Compact"/>
        <w:numPr>
          <w:ilvl w:val="0"/>
          <w:numId w:val="1458"/>
        </w:numPr>
      </w:pPr>
      <w:r>
        <w:t xml:space="preserve">Documentation officielle Red Hat — Utilisation de SELinux :</w:t>
      </w:r>
      <w:r>
        <w:t xml:space="preserve"> </w:t>
      </w:r>
      <w:hyperlink r:id="rId481">
        <w:r>
          <w:rPr>
            <w:rStyle w:val="Hyperlink"/>
          </w:rPr>
          <w:t xml:space="preserve">https://access.redhat.com/documentation/fr-fr/red_hat_enterprise_linux/9/html/using_selinux/index</w:t>
        </w:r>
      </w:hyperlink>
    </w:p>
    <w:p>
      <w:pPr>
        <w:pStyle w:val="Compact"/>
        <w:numPr>
          <w:ilvl w:val="0"/>
          <w:numId w:val="1458"/>
        </w:numPr>
      </w:pPr>
      <w:r>
        <w:t xml:space="preserve">Documentation officielle Ubuntu — AppArmor :</w:t>
      </w:r>
      <w:r>
        <w:t xml:space="preserve"> </w:t>
      </w:r>
      <w:hyperlink r:id="rId482">
        <w:r>
          <w:rPr>
            <w:rStyle w:val="Hyperlink"/>
          </w:rPr>
          <w:t xml:space="preserve">https://ubuntu.com/server/docs/apparmor</w:t>
        </w:r>
      </w:hyperlink>
    </w:p>
    <w:p>
      <w:pPr>
        <w:pStyle w:val="Compact"/>
        <w:numPr>
          <w:ilvl w:val="0"/>
          <w:numId w:val="1458"/>
        </w:numPr>
      </w:pPr>
      <w:r>
        <w:t xml:space="preserve">Wiki AppArmor officiel :</w:t>
      </w:r>
      <w:r>
        <w:t xml:space="preserve"> </w:t>
      </w:r>
      <w:hyperlink r:id="rId483">
        <w:r>
          <w:rPr>
            <w:rStyle w:val="Hyperlink"/>
          </w:rPr>
          <w:t xml:space="preserve">https://gitlab.com/apparmor/apparmor/-/wikis/home</w:t>
        </w:r>
      </w:hyperlink>
    </w:p>
    <w:p>
      <w:pPr>
        <w:pStyle w:val="FirstParagraph"/>
      </w:pPr>
      <w:r>
        <w:rPr>
          <w:i/>
          <w:iCs/>
        </w:rPr>
        <w:t xml:space="preserve">Chapitre suivant : scripting Bash pour l’administration système — automatiser les tâches répétitives rencontrées dans les chapitres précédents (vérifications, diagnostics, installations) plutôt que de les répéter manuellement à chaque fois.</w:t>
      </w:r>
    </w:p>
    <w:p>
      <w:pPr>
        <w:pStyle w:val="BodyText"/>
      </w:pPr>
      <w:r>
        <w:t xml:space="preserve">CHAPITRE 20</w:t>
      </w:r>
    </w:p>
    <w:bookmarkEnd w:id="484"/>
    <w:bookmarkEnd w:id="485"/>
    <w:bookmarkStart w:id="510" w:name="X1fc65dd96fb0630dceb772f32ab76a1c1c4905a"/>
    <w:p>
      <w:pPr>
        <w:pStyle w:val="Heading1"/>
      </w:pPr>
      <w:r>
        <w:t xml:space="preserve">Scripting Bash pour l’administration système</w:t>
      </w:r>
    </w:p>
    <w:p>
      <w:pPr>
        <w:pStyle w:val="FirstParagraph"/>
      </w:pPr>
      <w:r>
        <w:t xml:space="preserve">🎯 Objectif du chapitre</w:t>
      </w:r>
      <w:r>
        <w:t xml:space="preserve"> </w:t>
      </w:r>
      <w:r>
        <w:t xml:space="preserve">Transformer les vérifications manuelles répétées des chapitres précédents (état des services, espace disque, contextes SELinux) en scripts Bash fiables, plutôt que de les retaper à chaque fois. À la fin de ce chapitre, tu sauras écrire un script Bash robuste (gestion d’erreurs, quoting correct, journalisation), le planifier automatiquement avec cron, et éviter les pièges de script les plus fréquents et les plus dangereux en administration système.</w:t>
      </w:r>
    </w:p>
    <w:p>
      <w:pPr>
        <w:pStyle w:val="BodyText"/>
      </w:pPr>
      <w:r>
        <w:t xml:space="preserve">🎬 Mise en situation</w:t>
      </w:r>
      <w:r>
        <w:t xml:space="preserve"> </w:t>
      </w:r>
      <w:r>
        <w:t xml:space="preserve">Depuis plusieurs semaines, chaque matin, tu répètes manuellement la même routine sur les serveurs Linux de l’entreprise : vérifier l’espace disque, l’état des services critiques (Nginx, PostgreSQL, le worker Python), et l’absence de refus SELinux récents. Le DSI, qui a remarqué cette routine quotidienne, te demande :</w:t>
      </w:r>
      <w:r>
        <w:t xml:space="preserve"> </w:t>
      </w:r>
      <w:r>
        <w:t xml:space="preserve">“Est-ce qu’on ne devrait pas automatiser tout ça ? Je préfère que tu passes ton temps sur autre chose que retaper les mêmes dix commandes chaque matin.”</w:t>
      </w:r>
      <w:r>
        <w:t xml:space="preserve"> </w:t>
      </w:r>
      <w:r>
        <w:t xml:space="preserve">C’est exactement l’objet de ce chapitre — transformer cette routine manuelle en un script fiable, qui s’exécute automatiquement et t’alerte uniquement quand quelque chose nécessite réellement ton attention.</w:t>
      </w:r>
    </w:p>
    <w:bookmarkStart w:id="486" w:name="X720b6e402b58b01c35a27650f01307652f87ea1"/>
    <w:p>
      <w:pPr>
        <w:pStyle w:val="Heading2"/>
      </w:pPr>
      <w:r>
        <w:t xml:space="preserve">20.1 Pourquoi scripter : au-delà du simple gain de temps</w:t>
      </w:r>
    </w:p>
    <w:p>
      <w:pPr>
        <w:pStyle w:val="FirstParagraph"/>
      </w:pPr>
      <w:r>
        <w:t xml:space="preserve">Automatiser une tâche répétitive n’est pas seulement une question de confort — c’est directement lié à la discipline proactive du chapitre 1 (section 1.4) : un script exécuté automatiquement chaque matin détecte un problème naissant bien plus fiablement qu’une vérification manuelle, sujette à l’oubli, à la fatigue, ou à l’absence ponctuelle de la personne habituellement en charge.</w:t>
      </w:r>
    </w:p>
    <w:p>
      <w:pPr>
        <w:pStyle w:val="BodyText"/>
      </w:pPr>
      <w:r>
        <w:t xml:space="preserve">💡 Analogie — la checklist du pilote avant décollage</w:t>
      </w:r>
      <w:r>
        <w:t xml:space="preserve"> </w:t>
      </w:r>
      <w:r>
        <w:t xml:space="preserve">Un pilote de ligne suit la même checklist avant chaque décollage, qu’il ait 20 ans d’expérience ou 6 mois — non par manque de confiance en sa mémoire, mais parce qu’une checklist systématique élimine le risque d’un oubli ponctuel, même rare, aux conséquences potentiellement graves. Un script d’administration système joue exactement ce rôle : il exécute la même vérification, avec la même rigueur, tous les jours, sans jamais</w:t>
      </w:r>
      <w:r>
        <w:t xml:space="preserve"> </w:t>
      </w:r>
      <w:r>
        <w:t xml:space="preserve">“oublier”</w:t>
      </w:r>
      <w:r>
        <w:t xml:space="preserve"> </w:t>
      </w:r>
      <w:r>
        <w:t xml:space="preserve">une étape par fatigue ou distraction.</w:t>
      </w:r>
    </w:p>
    <w:bookmarkEnd w:id="486"/>
    <w:bookmarkStart w:id="487" w:name="anatomie-dun-script-bash-robuste"/>
    <w:p>
      <w:pPr>
        <w:pStyle w:val="Heading2"/>
      </w:pPr>
      <w:r>
        <w:t xml:space="preserve">20.2 Anatomie d’un script Bash robuste</w:t>
      </w:r>
    </w:p>
    <w:p>
      <w:pPr>
        <w:pStyle w:val="SourceCode"/>
      </w:pPr>
      <w:r>
        <w:rPr>
          <w:rStyle w:val="CommentTok"/>
        </w:rPr>
        <w:t xml:space="preserve">#!/usr/bin/env bash</w:t>
      </w:r>
      <w:r>
        <w:br/>
      </w:r>
      <w:r>
        <w:rPr>
          <w:rStyle w:val="CommentTok"/>
        </w:rPr>
        <w:t xml:space="preserve"># health-check.sh — Verification quotidienne de sante des serveurs</w:t>
      </w:r>
      <w:r>
        <w:br/>
      </w:r>
      <w:r>
        <w:rPr>
          <w:rStyle w:val="CommentTok"/>
        </w:rPr>
        <w:t xml:space="preserve"># Usage : ./health-check.sh</w:t>
      </w:r>
      <w:r>
        <w:br/>
      </w:r>
      <w:r>
        <w:br/>
      </w:r>
      <w:r>
        <w:rPr>
          <w:rStyle w:val="BuiltInTok"/>
        </w:rPr>
        <w:t xml:space="preserve">set</w:t>
      </w:r>
      <w:r>
        <w:rPr>
          <w:rStyle w:val="NormalTok"/>
        </w:rPr>
        <w:t xml:space="preserve"> </w:t>
      </w:r>
      <w:r>
        <w:rPr>
          <w:rStyle w:val="AttributeTok"/>
        </w:rPr>
        <w:t xml:space="preserve">-euo</w:t>
      </w:r>
      <w:r>
        <w:rPr>
          <w:rStyle w:val="NormalTok"/>
        </w:rPr>
        <w:t xml:space="preserve"> pipefail</w:t>
      </w:r>
    </w:p>
    <w:p>
      <w:pPr>
        <w:pStyle w:val="FirstParagraph"/>
      </w:pPr>
      <w:r>
        <w:t xml:space="preserve">🧠 À mémoriser —</w:t>
      </w:r>
      <w:r>
        <w:t xml:space="preserve"> </w:t>
      </w:r>
      <w:r>
        <w:rPr>
          <w:rStyle w:val="VerbatimChar"/>
        </w:rPr>
        <w:t xml:space="preserve">set -euo pipefail</w:t>
      </w:r>
      <w:r>
        <w:t xml:space="preserve">, la ligne la plus importante de ce chapitre</w:t>
      </w:r>
      <w:r>
        <w:t xml:space="preserve"> </w:t>
      </w:r>
      <w:r>
        <w:t xml:space="preserve">Cette ligne, quasiment absente des tutoriels Bash superficiels, change fondamentalement le comportement d’un script :</w:t>
      </w:r>
      <w:r>
        <w:t xml:space="preserve"> </w:t>
      </w:r>
      <w:r>
        <w:t xml:space="preserve">-</w:t>
      </w:r>
      <w:r>
        <w:t xml:space="preserve"> </w:t>
      </w:r>
      <w:r>
        <w:t xml:space="preserve">-e</w:t>
      </w:r>
      <w:r>
        <w:t xml:space="preserve"> </w:t>
      </w:r>
      <w:r>
        <w:t xml:space="preserve">: arrête immédiatement le script si une commande échoue, plutôt que de continuer aveuglément sur un état déjà incohérent.</w:t>
      </w:r>
      <w:r>
        <w:t xml:space="preserve"> </w:t>
      </w:r>
      <w:r>
        <w:t xml:space="preserve">-</w:t>
      </w:r>
      <w:r>
        <w:t xml:space="preserve"> </w:t>
      </w:r>
      <w:r>
        <w:t xml:space="preserve">-u</w:t>
      </w:r>
      <w:r>
        <w:t xml:space="preserve"> </w:t>
      </w:r>
      <w:r>
        <w:t xml:space="preserve">: provoque une erreur si une variable non définie est utilisée, plutôt que de la traiter silencieusement comme une chaîne vide (une source fréquente de bugs subtils).</w:t>
      </w:r>
      <w:r>
        <w:t xml:space="preserve"> </w:t>
      </w:r>
      <w:r>
        <w:t xml:space="preserve">-</w:t>
      </w:r>
      <w:r>
        <w:t xml:space="preserve"> </w:t>
      </w:r>
      <w:r>
        <w:t xml:space="preserve">-o pipefail</w:t>
      </w:r>
      <w:r>
        <w:t xml:space="preserve"> </w:t>
      </w:r>
      <w:r>
        <w:t xml:space="preserve">: fait échouer un pipeline (</w:t>
      </w:r>
      <w:r>
        <w:t xml:space="preserve">commande1 | commande2</w:t>
      </w:r>
      <w:r>
        <w:t xml:space="preserve">) si N’IMPORTE LAQUELLE des commandes de la chaîne échoue, pas seulement la dernière — sans cette option, une erreur au début d’un pipeline peut passer totalement inaperçue.</w:t>
      </w:r>
    </w:p>
    <w:bookmarkEnd w:id="487"/>
    <w:bookmarkStart w:id="488" w:name="variables-et-le-piège-du-word-splitting"/>
    <w:p>
      <w:pPr>
        <w:pStyle w:val="Heading2"/>
      </w:pPr>
      <w:r>
        <w:t xml:space="preserve">20.3 Variables et le piège du word-splitting</w:t>
      </w:r>
    </w:p>
    <w:p>
      <w:pPr>
        <w:pStyle w:val="SourceCode"/>
      </w:pPr>
      <w:r>
        <w:rPr>
          <w:rStyle w:val="CommentTok"/>
        </w:rPr>
        <w:t xml:space="preserve"># MAUVAIS : la variable non quotee est sujette au "word splitting"</w:t>
      </w:r>
      <w:r>
        <w:br/>
      </w:r>
      <w:r>
        <w:rPr>
          <w:rStyle w:val="CommentTok"/>
        </w:rPr>
        <w:t xml:space="preserve"># (Bash la redecoupe en plusieurs mots si elle contient des espaces)</w:t>
      </w:r>
      <w:r>
        <w:br/>
      </w:r>
      <w:r>
        <w:rPr>
          <w:rStyle w:val="VariableTok"/>
        </w:rPr>
        <w:t xml:space="preserve">fichier</w:t>
      </w:r>
      <w:r>
        <w:rPr>
          <w:rStyle w:val="OperatorTok"/>
        </w:rPr>
        <w:t xml:space="preserve">=</w:t>
      </w:r>
      <w:r>
        <w:rPr>
          <w:rStyle w:val="VariableTok"/>
        </w:rPr>
        <w:t xml:space="preserve">$1</w:t>
      </w:r>
      <w:r>
        <w:br/>
      </w:r>
      <w:r>
        <w:rPr>
          <w:rStyle w:val="ControlFlowTok"/>
        </w:rPr>
        <w:t xml:space="preserve">if</w:t>
      </w:r>
      <w:r>
        <w:rPr>
          <w:rStyle w:val="NormalTok"/>
        </w:rPr>
        <w:t xml:space="preserve"> </w:t>
      </w:r>
      <w:r>
        <w:rPr>
          <w:rStyle w:val="BuiltInTok"/>
        </w:rPr>
        <w:t xml:space="preserve">[</w:t>
      </w:r>
      <w:r>
        <w:rPr>
          <w:rStyle w:val="NormalTok"/>
        </w:rPr>
        <w:t xml:space="preserve"> </w:t>
      </w:r>
      <w:r>
        <w:rPr>
          <w:rStyle w:val="OtherTok"/>
        </w:rPr>
        <w:t xml:space="preserve">-f</w:t>
      </w:r>
      <w:r>
        <w:rPr>
          <w:rStyle w:val="NormalTok"/>
        </w:rPr>
        <w:t xml:space="preserve"> </w:t>
      </w:r>
      <w:r>
        <w:rPr>
          <w:rStyle w:val="VariableTok"/>
        </w:rPr>
        <w:t xml:space="preserve">$fichier</w:t>
      </w:r>
      <w:r>
        <w:rPr>
          <w:rStyle w:val="NormalTok"/>
        </w:rPr>
        <w:t xml:space="preserve"> </w:t>
      </w:r>
      <w:r>
        <w:rPr>
          <w:rStyle w:val="BuiltInTok"/>
        </w:rPr>
        <w:t xml:space="preserve">]</w:t>
      </w:r>
      <w:r>
        <w:rPr>
          <w:rStyle w:val="KeywordTok"/>
        </w:rPr>
        <w:t xml:space="preserve">;</w:t>
      </w:r>
      <w:r>
        <w:rPr>
          <w:rStyle w:val="NormalTok"/>
        </w:rPr>
        <w:t xml:space="preserve"> </w:t>
      </w:r>
      <w:r>
        <w:rPr>
          <w:rStyle w:val="ControlFlowTok"/>
        </w:rPr>
        <w:t xml:space="preserve">then</w:t>
      </w:r>
      <w:r>
        <w:rPr>
          <w:rStyle w:val="NormalTok"/>
        </w:rPr>
        <w:t xml:space="preserve">    </w:t>
      </w:r>
      <w:r>
        <w:rPr>
          <w:rStyle w:val="CommentTok"/>
        </w:rPr>
        <w:t xml:space="preserve"># dangereux si $fichier contient un espace</w:t>
      </w:r>
      <w:r>
        <w:br/>
      </w:r>
      <w:r>
        <w:rPr>
          <w:rStyle w:val="NormalTok"/>
        </w:rPr>
        <w:t xml:space="preserve">    </w:t>
      </w:r>
      <w:r>
        <w:rPr>
          <w:rStyle w:val="BuiltInTok"/>
        </w:rPr>
        <w:t xml:space="preserve">echo</w:t>
      </w:r>
      <w:r>
        <w:rPr>
          <w:rStyle w:val="NormalTok"/>
        </w:rPr>
        <w:t xml:space="preserve"> </w:t>
      </w:r>
      <w:r>
        <w:rPr>
          <w:rStyle w:val="StringTok"/>
        </w:rPr>
        <w:t xml:space="preserve">"trouve"</w:t>
      </w:r>
      <w:r>
        <w:br/>
      </w:r>
      <w:r>
        <w:rPr>
          <w:rStyle w:val="ControlFlowTok"/>
        </w:rPr>
        <w:t xml:space="preserve">fi</w:t>
      </w:r>
      <w:r>
        <w:br/>
      </w:r>
      <w:r>
        <w:br/>
      </w:r>
      <w:r>
        <w:rPr>
          <w:rStyle w:val="CommentTok"/>
        </w:rPr>
        <w:t xml:space="preserve"># BON : toujours quoter les variables, par reflexe systematique</w:t>
      </w:r>
      <w:r>
        <w:br/>
      </w:r>
      <w:r>
        <w:rPr>
          <w:rStyle w:val="VariableTok"/>
        </w:rPr>
        <w:t xml:space="preserve">fichier</w:t>
      </w:r>
      <w:r>
        <w:rPr>
          <w:rStyle w:val="OperatorTok"/>
        </w:rPr>
        <w:t xml:space="preserve">=</w:t>
      </w:r>
      <w:r>
        <w:rPr>
          <w:rStyle w:val="StringTok"/>
        </w:rPr>
        <w:t xml:space="preserve">"</w:t>
      </w:r>
      <w:r>
        <w:rPr>
          <w:rStyle w:val="VariableTok"/>
        </w:rPr>
        <w:t xml:space="preserve">$1</w:t>
      </w:r>
      <w:r>
        <w:rPr>
          <w:rStyle w:val="StringTok"/>
        </w:rPr>
        <w:t xml:space="preserve">"</w:t>
      </w:r>
      <w:r>
        <w:br/>
      </w:r>
      <w:r>
        <w:rPr>
          <w:rStyle w:val="ControlFlowTok"/>
        </w:rPr>
        <w:t xml:space="preserve">if</w:t>
      </w:r>
      <w:r>
        <w:rPr>
          <w:rStyle w:val="NormalTok"/>
        </w:rPr>
        <w:t xml:space="preserve"> </w:t>
      </w:r>
      <w:r>
        <w:rPr>
          <w:rStyle w:val="BuiltInTok"/>
        </w:rPr>
        <w:t xml:space="preserve">[</w:t>
      </w:r>
      <w:r>
        <w:rPr>
          <w:rStyle w:val="NormalTok"/>
        </w:rPr>
        <w:t xml:space="preserve"> </w:t>
      </w:r>
      <w:r>
        <w:rPr>
          <w:rStyle w:val="OtherTok"/>
        </w:rPr>
        <w:t xml:space="preserve">-f</w:t>
      </w:r>
      <w:r>
        <w:rPr>
          <w:rStyle w:val="NormalTok"/>
        </w:rPr>
        <w:t xml:space="preserve"> </w:t>
      </w:r>
      <w:r>
        <w:rPr>
          <w:rStyle w:val="StringTok"/>
        </w:rPr>
        <w:t xml:space="preserve">"</w:t>
      </w:r>
      <w:r>
        <w:rPr>
          <w:rStyle w:val="VariableTok"/>
        </w:rPr>
        <w:t xml:space="preserve">$fichier</w:t>
      </w:r>
      <w:r>
        <w:rPr>
          <w:rStyle w:val="StringTok"/>
        </w:rPr>
        <w:t xml:space="preserve">"</w:t>
      </w:r>
      <w:r>
        <w:rPr>
          <w:rStyle w:val="NormalTok"/>
        </w:rPr>
        <w:t xml:space="preserve"> </w:t>
      </w:r>
      <w:r>
        <w:rPr>
          <w:rStyle w:val="BuiltIn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"trouve"</w:t>
      </w:r>
      <w:r>
        <w:br/>
      </w:r>
      <w:r>
        <w:rPr>
          <w:rStyle w:val="ControlFlowTok"/>
        </w:rPr>
        <w:t xml:space="preserve">fi</w:t>
      </w:r>
    </w:p>
    <w:p>
      <w:pPr>
        <w:pStyle w:val="FirstParagraph"/>
      </w:pPr>
      <w:r>
        <w:t xml:space="preserve">⚠️ Le piège du word-splitting, une source majeure de bugs et de failles</w:t>
      </w:r>
      <w:r>
        <w:t xml:space="preserve"> </w:t>
      </w:r>
      <w:r>
        <w:t xml:space="preserve">Une variable non quotée dans Bash est redécoupée selon les espaces qu’elle contient — un fichier nommé</w:t>
      </w:r>
      <w:r>
        <w:t xml:space="preserve"> </w:t>
      </w:r>
      <w:r>
        <w:t xml:space="preserve">“rapport final.txt”</w:t>
      </w:r>
      <w:r>
        <w:t xml:space="preserve"> </w:t>
      </w:r>
      <w:r>
        <w:t xml:space="preserve">devient silencieusement deux arguments distincts (</w:t>
      </w:r>
      <w:r>
        <w:t xml:space="preserve">“rapport”</w:t>
      </w:r>
      <w:r>
        <w:t xml:space="preserve"> </w:t>
      </w:r>
      <w:r>
        <w:t xml:space="preserve">et</w:t>
      </w:r>
      <w:r>
        <w:t xml:space="preserve"> </w:t>
      </w:r>
      <w:r>
        <w:t xml:space="preserve">“final.txt”</w:t>
      </w:r>
      <w:r>
        <w:t xml:space="preserve">) pour une commande qui attendait un seul nom de fichier. Ce n’est pas seulement un bug potentiel : dans un script manipulant des noms de fichiers fournis par un utilisateur ou une source externe, ce comportement peut être exploité pour provoquer des actions non prévues. Le réflexe</w:t>
      </w:r>
      <w:r>
        <w:t xml:space="preserve"> </w:t>
      </w:r>
      <w:r>
        <w:t xml:space="preserve">“toujours quoter mes variables”</w:t>
      </w:r>
      <w:r>
        <w:t xml:space="preserve"> </w:t>
      </w:r>
      <w:r>
        <w:t xml:space="preserve">doit devenir systématique, sans exception réfléchie au cas par cas.</w:t>
      </w:r>
    </w:p>
    <w:bookmarkEnd w:id="488"/>
    <w:bookmarkStart w:id="489" w:name="Xf0e7abe8d431c24fc9f815a54140cf6940fadb2"/>
    <w:p>
      <w:pPr>
        <w:pStyle w:val="Heading2"/>
      </w:pPr>
      <w:r>
        <w:t xml:space="preserve">20.4 Structures de contrôle appliquées à un cas réel</w:t>
      </w:r>
    </w:p>
    <w:p>
      <w:pPr>
        <w:pStyle w:val="SourceCode"/>
      </w:pPr>
      <w:r>
        <w:rPr>
          <w:rStyle w:val="CommentTok"/>
        </w:rPr>
        <w:t xml:space="preserve"># Verifier l'etat de plusieurs services, avec une boucle plutot</w:t>
      </w:r>
      <w:r>
        <w:br/>
      </w:r>
      <w:r>
        <w:rPr>
          <w:rStyle w:val="CommentTok"/>
        </w:rPr>
        <w:t xml:space="preserve"># que de repeter la meme verification pour chacun individuellement</w:t>
      </w:r>
      <w:r>
        <w:br/>
      </w:r>
      <w:r>
        <w:rPr>
          <w:rStyle w:val="VariableTok"/>
        </w:rPr>
        <w:t xml:space="preserve">services</w:t>
      </w:r>
      <w:r>
        <w:rPr>
          <w:rStyle w:val="OperatorTok"/>
        </w:rPr>
        <w:t xml:space="preserve">=</w:t>
      </w:r>
      <w:r>
        <w:rPr>
          <w:rStyle w:val="VariableTok"/>
        </w:rPr>
        <w:t xml:space="preserve">(</w:t>
      </w:r>
      <w:r>
        <w:rPr>
          <w:rStyle w:val="StringTok"/>
        </w:rPr>
        <w:t xml:space="preserve">"nginx"</w:t>
      </w:r>
      <w:r>
        <w:rPr>
          <w:rStyle w:val="NormalTok"/>
        </w:rPr>
        <w:t xml:space="preserve"> </w:t>
      </w:r>
      <w:r>
        <w:rPr>
          <w:rStyle w:val="StringTok"/>
        </w:rPr>
        <w:t xml:space="preserve">"postgresql"</w:t>
      </w:r>
      <w:r>
        <w:rPr>
          <w:rStyle w:val="NormalTok"/>
        </w:rPr>
        <w:t xml:space="preserve"> </w:t>
      </w:r>
      <w:r>
        <w:rPr>
          <w:rStyle w:val="StringTok"/>
        </w:rPr>
        <w:t xml:space="preserve">"portail-worker"</w:t>
      </w:r>
      <w:r>
        <w:rPr>
          <w:rStyle w:val="VariableTok"/>
        </w:rPr>
        <w:t xml:space="preserve">)</w:t>
      </w:r>
      <w:r>
        <w:br/>
      </w:r>
      <w:r>
        <w:br/>
      </w:r>
      <w:r>
        <w:rPr>
          <w:rStyle w:val="ControlFlowTok"/>
        </w:rPr>
        <w:t xml:space="preserve">for</w:t>
      </w:r>
      <w:r>
        <w:rPr>
          <w:rStyle w:val="NormalTok"/>
        </w:rPr>
        <w:t xml:space="preserve"> service </w:t>
      </w:r>
      <w:r>
        <w:rPr>
          <w:rStyle w:val="KeywordTok"/>
        </w:rPr>
        <w:t xml:space="preserve">in</w:t>
      </w:r>
      <w:r>
        <w:rPr>
          <w:rStyle w:val="NormalTok"/>
        </w:rPr>
        <w:t xml:space="preserve"> </w:t>
      </w:r>
      <w:r>
        <w:rPr>
          <w:rStyle w:val="StringTok"/>
        </w:rPr>
        <w:t xml:space="preserve">"</w:t>
      </w:r>
      <w:r>
        <w:rPr>
          <w:rStyle w:val="VariableTok"/>
        </w:rPr>
        <w:t xml:space="preserve">${services</w:t>
      </w:r>
      <w:r>
        <w:rPr>
          <w:rStyle w:val="OperatorTok"/>
        </w:rPr>
        <w:t xml:space="preserve">[@]</w:t>
      </w:r>
      <w:r>
        <w:rPr>
          <w:rStyle w:val="VariableTok"/>
        </w:rPr>
        <w:t xml:space="preserve">}</w:t>
      </w:r>
      <w:r>
        <w:rPr>
          <w:rStyle w:val="StringTok"/>
        </w:rPr>
        <w:t xml:space="preserve">"</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ControlFlowTok"/>
        </w:rPr>
        <w:t xml:space="preserve">if</w:t>
      </w:r>
      <w:r>
        <w:rPr>
          <w:rStyle w:val="NormalTok"/>
        </w:rPr>
        <w:t xml:space="preserve"> </w:t>
      </w:r>
      <w:r>
        <w:rPr>
          <w:rStyle w:val="ExtensionTok"/>
        </w:rPr>
        <w:t xml:space="preserve">systemctl</w:t>
      </w:r>
      <w:r>
        <w:rPr>
          <w:rStyle w:val="NormalTok"/>
        </w:rPr>
        <w:t xml:space="preserve"> is-active </w:t>
      </w:r>
      <w:r>
        <w:rPr>
          <w:rStyle w:val="AttributeTok"/>
        </w:rPr>
        <w:t xml:space="preserve">--quiet</w:t>
      </w:r>
      <w:r>
        <w:rPr>
          <w:rStyle w:val="NormalTok"/>
        </w:rPr>
        <w:t xml:space="preserve"> </w:t>
      </w:r>
      <w:r>
        <w:rPr>
          <w:rStyle w:val="StringTok"/>
        </w:rPr>
        <w:t xml:space="preserve">"</w:t>
      </w:r>
      <w:r>
        <w:rPr>
          <w:rStyle w:val="VariableTok"/>
        </w:rPr>
        <w:t xml:space="preserve">$service</w:t>
      </w:r>
      <w:r>
        <w:rPr>
          <w:rStyle w:val="String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"OK : </w:t>
      </w:r>
      <w:r>
        <w:rPr>
          <w:rStyle w:val="VariableTok"/>
        </w:rPr>
        <w:t xml:space="preserve">$service</w:t>
      </w:r>
      <w:r>
        <w:rPr>
          <w:rStyle w:val="StringTok"/>
        </w:rPr>
        <w:t xml:space="preserve"> est actif"</w:t>
      </w:r>
      <w:r>
        <w:br/>
      </w:r>
      <w:r>
        <w:rPr>
          <w:rStyle w:val="NormalTok"/>
        </w:rPr>
        <w:t xml:space="preserve">    </w:t>
      </w:r>
      <w:r>
        <w:rPr>
          <w:rStyle w:val="ControlFlowTok"/>
        </w:rPr>
        <w:t xml:space="preserve">else</w:t>
      </w:r>
      <w:r>
        <w:br/>
      </w:r>
      <w:r>
        <w:rPr>
          <w:rStyle w:val="NormalTok"/>
        </w:rPr>
        <w:t xml:space="preserve">        </w:t>
      </w:r>
      <w:r>
        <w:rPr>
          <w:rStyle w:val="BuiltInTok"/>
        </w:rPr>
        <w:t xml:space="preserve">echo</w:t>
      </w:r>
      <w:r>
        <w:rPr>
          <w:rStyle w:val="NormalTok"/>
        </w:rPr>
        <w:t xml:space="preserve"> </w:t>
      </w:r>
      <w:r>
        <w:rPr>
          <w:rStyle w:val="StringTok"/>
        </w:rPr>
        <w:t xml:space="preserve">"ALERTE : </w:t>
      </w:r>
      <w:r>
        <w:rPr>
          <w:rStyle w:val="VariableTok"/>
        </w:rPr>
        <w:t xml:space="preserve">$service</w:t>
      </w:r>
      <w:r>
        <w:rPr>
          <w:rStyle w:val="StringTok"/>
        </w:rPr>
        <w:t xml:space="preserve"> n'est PAS actif"</w:t>
      </w:r>
      <w:r>
        <w:br/>
      </w:r>
      <w:r>
        <w:rPr>
          <w:rStyle w:val="NormalTok"/>
        </w:rPr>
        <w:t xml:space="preserve">    </w:t>
      </w:r>
      <w:r>
        <w:rPr>
          <w:rStyle w:val="ControlFlowTok"/>
        </w:rPr>
        <w:t xml:space="preserve">fi</w:t>
      </w:r>
      <w:r>
        <w:br/>
      </w:r>
      <w:r>
        <w:rPr>
          <w:rStyle w:val="ControlFlowTok"/>
        </w:rPr>
        <w:t xml:space="preserve">done</w:t>
      </w:r>
    </w:p>
    <w:p>
      <w:pPr>
        <w:pStyle w:val="FirstParagraph"/>
      </w:pPr>
      <w:r>
        <w:t xml:space="preserve">💡 Explication —</w:t>
      </w:r>
      <w:r>
        <w:t xml:space="preserve"> </w:t>
      </w:r>
      <w:r>
        <w:rPr>
          <w:rStyle w:val="VerbatimChar"/>
        </w:rPr>
        <w:t xml:space="preserve">"${services[@]}"</w:t>
      </w:r>
      <w:r>
        <w:t xml:space="preserve"> </w:t>
      </w:r>
      <w:r>
        <w:t xml:space="preserve">plutôt que</w:t>
      </w:r>
      <w:r>
        <w:t xml:space="preserve"> </w:t>
      </w:r>
      <w:r>
        <w:rPr>
          <w:rStyle w:val="VerbatimChar"/>
        </w:rPr>
        <w:t xml:space="preserve">$services</w:t>
      </w:r>
      <w:r>
        <w:t xml:space="preserve"> </w:t>
      </w:r>
      <w:r>
        <w:t xml:space="preserve">Pour parcourir correctement un tableau Bash sans risque de word-splitting, la syntaxe complète</w:t>
      </w:r>
      <w:r>
        <w:t xml:space="preserve"> </w:t>
      </w:r>
      <w:r>
        <w:t xml:space="preserve">“${services[@]}”</w:t>
      </w:r>
      <w:r>
        <w:t xml:space="preserve"> </w:t>
      </w:r>
      <w:r>
        <w:t xml:space="preserve">(avec guillemets et crochets) est indispensable — une syntaxe qui semble verbeuse au premier abord, mais qui garantit que chaque élément du tableau est traité comme une unité complète, même s’il contient des espaces.</w:t>
      </w:r>
    </w:p>
    <w:bookmarkEnd w:id="489"/>
    <w:bookmarkStart w:id="490" w:name="Xd9b53cdf4bc269fdfb061f1f8b5064a08d450df"/>
    <w:p>
      <w:pPr>
        <w:pStyle w:val="Heading2"/>
      </w:pPr>
      <w:r>
        <w:t xml:space="preserve">20.5 Fonctions : rendre un script modulaire et lisible</w:t>
      </w:r>
    </w:p>
    <w:p>
      <w:pPr>
        <w:pStyle w:val="SourceCode"/>
      </w:pPr>
      <w:r>
        <w:rPr>
          <w:rStyle w:val="FunctionTok"/>
        </w:rPr>
        <w:t xml:space="preserve">verifier_espace_disque()</w:t>
      </w:r>
      <w:r>
        <w:rPr>
          <w:rStyle w:val="NormalTok"/>
        </w:rPr>
        <w:t xml:space="preserve"> </w:t>
      </w:r>
      <w:r>
        <w:rPr>
          <w:rStyle w:val="KeywordTok"/>
        </w:rPr>
        <w:t xml:space="preserve">{</w:t>
      </w:r>
      <w:r>
        <w:br/>
      </w:r>
      <w:r>
        <w:rPr>
          <w:rStyle w:val="NormalTok"/>
        </w:rPr>
        <w:t xml:space="preserve">    </w:t>
      </w:r>
      <w:r>
        <w:rPr>
          <w:rStyle w:val="BuiltInTok"/>
        </w:rPr>
        <w:t xml:space="preserve">local</w:t>
      </w:r>
      <w:r>
        <w:rPr>
          <w:rStyle w:val="NormalTok"/>
        </w:rPr>
        <w:t xml:space="preserve"> </w:t>
      </w:r>
      <w:r>
        <w:rPr>
          <w:rStyle w:val="VariableTok"/>
        </w:rPr>
        <w:t xml:space="preserve">seuil_alerte</w:t>
      </w:r>
      <w:r>
        <w:rPr>
          <w:rStyle w:val="OperatorTok"/>
        </w:rPr>
        <w:t xml:space="preserve">=</w:t>
      </w:r>
      <w:r>
        <w:rPr>
          <w:rStyle w:val="NormalTok"/>
        </w:rPr>
        <w:t xml:space="preserve">90</w:t>
      </w:r>
      <w:r>
        <w:br/>
      </w:r>
      <w:r>
        <w:rPr>
          <w:rStyle w:val="NormalTok"/>
        </w:rPr>
        <w:t xml:space="preserve">    </w:t>
      </w:r>
      <w:r>
        <w:rPr>
          <w:rStyle w:val="BuiltInTok"/>
        </w:rPr>
        <w:t xml:space="preserve">local</w:t>
      </w:r>
      <w:r>
        <w:rPr>
          <w:rStyle w:val="NormalTok"/>
        </w:rPr>
        <w:t xml:space="preserve"> </w:t>
      </w:r>
      <w:r>
        <w:rPr>
          <w:rStyle w:val="VariableTok"/>
        </w:rPr>
        <w:t xml:space="preserve">usage</w:t>
      </w:r>
      <w:r>
        <w:br/>
      </w:r>
      <w:r>
        <w:rPr>
          <w:rStyle w:val="NormalTok"/>
        </w:rPr>
        <w:t xml:space="preserve">    </w:t>
      </w:r>
      <w:r>
        <w:rPr>
          <w:rStyle w:val="VariableTok"/>
        </w:rPr>
        <w:t xml:space="preserve">usage</w:t>
      </w:r>
      <w:r>
        <w:rPr>
          <w:rStyle w:val="OperatorTok"/>
        </w:rPr>
        <w:t xml:space="preserve">=</w:t>
      </w:r>
      <w:r>
        <w:rPr>
          <w:rStyle w:val="VariableTok"/>
        </w:rPr>
        <w:t xml:space="preserve">$(</w:t>
      </w:r>
      <w:r>
        <w:rPr>
          <w:rStyle w:val="FunctionTok"/>
        </w:rPr>
        <w:t xml:space="preserve">df</w:t>
      </w:r>
      <w:r>
        <w:rPr>
          <w:rStyle w:val="NormalTok"/>
        </w:rPr>
        <w:t xml:space="preserve"> / </w:t>
      </w:r>
      <w:r>
        <w:rPr>
          <w:rStyle w:val="AttributeTok"/>
        </w:rPr>
        <w:t xml:space="preserve">--output</w:t>
      </w:r>
      <w:r>
        <w:rPr>
          <w:rStyle w:val="OperatorTok"/>
        </w:rPr>
        <w:t xml:space="preserve">=</w:t>
      </w:r>
      <w:r>
        <w:rPr>
          <w:rStyle w:val="NormalTok"/>
        </w:rPr>
        <w:t xml:space="preserve">pcent </w:t>
      </w:r>
      <w:r>
        <w:rPr>
          <w:rStyle w:val="KeywordTok"/>
        </w:rPr>
        <w:t xml:space="preserve">|</w:t>
      </w:r>
      <w:r>
        <w:rPr>
          <w:rStyle w:val="NormalTok"/>
        </w:rPr>
        <w:t xml:space="preserve"> </w:t>
      </w:r>
      <w:r>
        <w:rPr>
          <w:rStyle w:val="FunctionTok"/>
        </w:rPr>
        <w:t xml:space="preserve">tail</w:t>
      </w:r>
      <w:r>
        <w:rPr>
          <w:rStyle w:val="NormalTok"/>
        </w:rPr>
        <w:t xml:space="preserve"> </w:t>
      </w:r>
      <w:r>
        <w:rPr>
          <w:rStyle w:val="AttributeTok"/>
        </w:rPr>
        <w:t xml:space="preserve">-1</w:t>
      </w:r>
      <w:r>
        <w:rPr>
          <w:rStyle w:val="NormalTok"/>
        </w:rPr>
        <w:t xml:space="preserve"> </w:t>
      </w:r>
      <w:r>
        <w:rPr>
          <w:rStyle w:val="KeywordTok"/>
        </w:rPr>
        <w:t xml:space="preserve">|</w:t>
      </w:r>
      <w:r>
        <w:rPr>
          <w:rStyle w:val="NormalTok"/>
        </w:rPr>
        <w:t xml:space="preserve"> </w:t>
      </w:r>
      <w:r>
        <w:rPr>
          <w:rStyle w:val="FunctionTok"/>
        </w:rPr>
        <w:t xml:space="preserve">tr</w:t>
      </w:r>
      <w:r>
        <w:rPr>
          <w:rStyle w:val="NormalTok"/>
        </w:rPr>
        <w:t xml:space="preserve"> </w:t>
      </w:r>
      <w:r>
        <w:rPr>
          <w:rStyle w:val="AttributeTok"/>
        </w:rPr>
        <w:t xml:space="preserve">-d</w:t>
      </w:r>
      <w:r>
        <w:rPr>
          <w:rStyle w:val="NormalTok"/>
        </w:rPr>
        <w:t xml:space="preserve"> </w:t>
      </w:r>
      <w:r>
        <w:rPr>
          <w:rStyle w:val="StringTok"/>
        </w:rPr>
        <w:t xml:space="preserve">'% '</w:t>
      </w:r>
      <w:r>
        <w:rPr>
          <w:rStyle w:val="VariableTok"/>
        </w:rPr>
        <w:t xml:space="preserve">)</w:t>
      </w:r>
      <w:r>
        <w:br/>
      </w:r>
      <w:r>
        <w:br/>
      </w:r>
      <w:r>
        <w:rPr>
          <w:rStyle w:val="NormalTok"/>
        </w:rPr>
        <w:t xml:space="preserve">    </w:t>
      </w:r>
      <w:r>
        <w:rPr>
          <w:rStyle w:val="ControlFlowTok"/>
        </w:rPr>
        <w:t xml:space="preserve">if</w:t>
      </w:r>
      <w:r>
        <w:rPr>
          <w:rStyle w:val="NormalTok"/>
        </w:rPr>
        <w:t xml:space="preserve"> </w:t>
      </w:r>
      <w:r>
        <w:rPr>
          <w:rStyle w:val="KeywordTok"/>
        </w:rPr>
        <w:t xml:space="preserve">((</w:t>
      </w:r>
      <w:r>
        <w:rPr>
          <w:rStyle w:val="NormalTok"/>
        </w:rPr>
        <w:t xml:space="preserve"> </w:t>
      </w:r>
      <w:r>
        <w:rPr>
          <w:rStyle w:val="VariableTok"/>
        </w:rPr>
        <w:t xml:space="preserve">usage</w:t>
      </w:r>
      <w:r>
        <w:rPr>
          <w:rStyle w:val="NormalTok"/>
        </w:rPr>
        <w:t xml:space="preserve"> </w:t>
      </w:r>
      <w:r>
        <w:rPr>
          <w:rStyle w:val="OperatorTok"/>
        </w:rPr>
        <w:t xml:space="preserve">&gt;=</w:t>
      </w:r>
      <w:r>
        <w:rPr>
          <w:rStyle w:val="NormalTok"/>
        </w:rPr>
        <w:t xml:space="preserve"> </w:t>
      </w:r>
      <w:r>
        <w:rPr>
          <w:rStyle w:val="VariableTok"/>
        </w:rPr>
        <w:t xml:space="preserve">seuil_alerte</w:t>
      </w:r>
      <w:r>
        <w:rPr>
          <w:rStyle w:val="NormalTok"/>
        </w:rPr>
        <w:t xml:space="preserve"> </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"ALERTE : espace disque a </w:t>
      </w:r>
      <w:r>
        <w:rPr>
          <w:rStyle w:val="VariableTok"/>
        </w:rPr>
        <w:t xml:space="preserve">${usage}</w:t>
      </w:r>
      <w:r>
        <w:rPr>
          <w:rStyle w:val="StringTok"/>
        </w:rPr>
        <w:t xml:space="preserve">% (seuil : </w:t>
      </w:r>
      <w:r>
        <w:rPr>
          <w:rStyle w:val="VariableTok"/>
        </w:rPr>
        <w:t xml:space="preserve">${seuil_alerte}</w:t>
      </w:r>
      <w:r>
        <w:rPr>
          <w:rStyle w:val="String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br/>
      </w:r>
      <w:r>
        <w:rPr>
          <w:rStyle w:val="NormalTok"/>
        </w:rPr>
        <w:t xml:space="preserve">    </w:t>
      </w:r>
      <w:r>
        <w:rPr>
          <w:rStyle w:val="ControlFlowTok"/>
        </w:rPr>
        <w:t xml:space="preserve">else</w:t>
      </w:r>
      <w:r>
        <w:br/>
      </w:r>
      <w:r>
        <w:rPr>
          <w:rStyle w:val="NormalTok"/>
        </w:rPr>
        <w:t xml:space="preserve">        </w:t>
      </w:r>
      <w:r>
        <w:rPr>
          <w:rStyle w:val="BuiltInTok"/>
        </w:rPr>
        <w:t xml:space="preserve">echo</w:t>
      </w:r>
      <w:r>
        <w:rPr>
          <w:rStyle w:val="NormalTok"/>
        </w:rPr>
        <w:t xml:space="preserve"> </w:t>
      </w:r>
      <w:r>
        <w:rPr>
          <w:rStyle w:val="StringTok"/>
        </w:rPr>
        <w:t xml:space="preserve">"OK : espace disque a </w:t>
      </w:r>
      <w:r>
        <w:rPr>
          <w:rStyle w:val="VariableTok"/>
        </w:rPr>
        <w:t xml:space="preserve">${usage}</w:t>
      </w:r>
      <w:r>
        <w:rPr>
          <w:rStyle w:val="String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br/>
      </w:r>
      <w:r>
        <w:rPr>
          <w:rStyle w:val="NormalTok"/>
        </w:rPr>
        <w:t xml:space="preserve">    </w:t>
      </w:r>
      <w:r>
        <w:rPr>
          <w:rStyle w:val="ControlFlowTok"/>
        </w:rPr>
        <w:t xml:space="preserve">fi</w:t>
      </w:r>
      <w:r>
        <w:br/>
      </w:r>
      <w:r>
        <w:rPr>
          <w:rStyle w:val="KeywordTok"/>
        </w:rPr>
        <w:t xml:space="preserve">}</w:t>
      </w:r>
    </w:p>
    <w:p>
      <w:pPr>
        <w:pStyle w:val="FirstParagraph"/>
      </w:pPr>
      <w:r>
        <w:t xml:space="preserve">✅ Bonne pratique —</w:t>
      </w:r>
      <w:r>
        <w:t xml:space="preserve"> </w:t>
      </w:r>
      <w:r>
        <w:rPr>
          <w:rStyle w:val="VerbatimChar"/>
        </w:rPr>
        <w:t xml:space="preserve">local</w:t>
      </w:r>
      <w:r>
        <w:t xml:space="preserve"> </w:t>
      </w:r>
      <w:r>
        <w:t xml:space="preserve">pour les variables internes à une fonction</w:t>
      </w:r>
      <w:r>
        <w:t xml:space="preserve"> </w:t>
      </w:r>
      <w:r>
        <w:t xml:space="preserve">Déclarer une variable avec</w:t>
      </w:r>
      <w:r>
        <w:t xml:space="preserve"> </w:t>
      </w:r>
      <w:r>
        <w:t xml:space="preserve">local</w:t>
      </w:r>
      <w:r>
        <w:t xml:space="preserve"> </w:t>
      </w:r>
      <w:r>
        <w:t xml:space="preserve">à l’intérieur d’une fonction évite qu’elle n’entre en conflit avec une variable de même nom ailleurs dans le script — un réflexe simple qui évite des bugs difficiles à diagnostiquer dans des scripts plus longs, où une variable globale modifiée par erreur dans une fonction peut affecter silencieusement le comportement du reste du script.</w:t>
      </w:r>
    </w:p>
    <w:bookmarkEnd w:id="490"/>
    <w:bookmarkStart w:id="491" w:name="gestion-des-erreurs-et-codes-de-sortie"/>
    <w:p>
      <w:pPr>
        <w:pStyle w:val="Heading2"/>
      </w:pPr>
      <w:r>
        <w:t xml:space="preserve">20.6 Gestion des erreurs et codes de sortie</w:t>
      </w:r>
    </w:p>
    <w:p>
      <w:pPr>
        <w:pStyle w:val="FirstParagraph"/>
      </w:pPr>
      <w:r>
        <w:t xml:space="preserve">📌 À retenir — le code de sortie, le langage universel du succès ou de l’échec</w:t>
      </w:r>
      <w:r>
        <w:t xml:space="preserve"> </w:t>
      </w:r>
      <w:r>
        <w:t xml:space="preserve">Chaque commande Unix retourne un code de sortie :</w:t>
      </w:r>
      <w:r>
        <w:t xml:space="preserve"> </w:t>
      </w:r>
      <w:r>
        <w:t xml:space="preserve">0</w:t>
      </w:r>
      <w:r>
        <w:t xml:space="preserve"> </w:t>
      </w:r>
      <w:r>
        <w:t xml:space="preserve">signifie succès, toute autre valeur (généralement 1 à 255) signifie un échec, avec parfois une signification précise selon la commande. La variable spéciale</w:t>
      </w:r>
      <w:r>
        <w:t xml:space="preserve"> </w:t>
      </w:r>
      <w:r>
        <w:t xml:space="preserve">$?</w:t>
      </w:r>
      <w:r>
        <w:t xml:space="preserve"> </w:t>
      </w:r>
      <w:r>
        <w:t xml:space="preserve">contient le code de sortie de la dernière commande exécutée — un mécanisme fondamental que</w:t>
      </w:r>
      <w:r>
        <w:t xml:space="preserve"> </w:t>
      </w:r>
      <w:r>
        <w:t xml:space="preserve">set -e</w:t>
      </w:r>
      <w:r>
        <w:t xml:space="preserve"> </w:t>
      </w:r>
      <w:r>
        <w:t xml:space="preserve">(section 20.2) exploite automatiquement pour arrêter le script dès qu’une commande échoue.</w:t>
      </w:r>
    </w:p>
    <w:p>
      <w:pPr>
        <w:pStyle w:val="SourceCode"/>
      </w:pPr>
      <w:r>
        <w:rPr>
          <w:rStyle w:val="FunctionTok"/>
        </w:rPr>
        <w:t xml:space="preserve">verifier_selinux()</w:t>
      </w:r>
      <w:r>
        <w:rPr>
          <w:rStyle w:val="NormalTok"/>
        </w:rPr>
        <w:t xml:space="preserve"> </w:t>
      </w:r>
      <w:r>
        <w:rPr>
          <w:rStyle w:val="KeywordTok"/>
        </w:rPr>
        <w:t xml:space="preserve">{</w:t>
      </w:r>
      <w:r>
        <w:br/>
      </w:r>
      <w:r>
        <w:rPr>
          <w:rStyle w:val="NormalTok"/>
        </w:rPr>
        <w:t xml:space="preserve">    </w:t>
      </w:r>
      <w:r>
        <w:rPr>
          <w:rStyle w:val="BuiltInTok"/>
        </w:rPr>
        <w:t xml:space="preserve">local</w:t>
      </w:r>
      <w:r>
        <w:rPr>
          <w:rStyle w:val="NormalTok"/>
        </w:rPr>
        <w:t xml:space="preserve"> </w:t>
      </w:r>
      <w:r>
        <w:rPr>
          <w:rStyle w:val="VariableTok"/>
        </w:rPr>
        <w:t xml:space="preserve">refus</w:t>
      </w:r>
      <w:r>
        <w:br/>
      </w:r>
      <w:r>
        <w:rPr>
          <w:rStyle w:val="NormalTok"/>
        </w:rPr>
        <w:t xml:space="preserve">    </w:t>
      </w:r>
      <w:r>
        <w:rPr>
          <w:rStyle w:val="VariableTok"/>
        </w:rPr>
        <w:t xml:space="preserve">refus</w:t>
      </w:r>
      <w:r>
        <w:rPr>
          <w:rStyle w:val="OperatorTok"/>
        </w:rPr>
        <w:t xml:space="preserve">=</w:t>
      </w:r>
      <w:r>
        <w:rPr>
          <w:rStyle w:val="VariableTok"/>
        </w:rPr>
        <w:t xml:space="preserve">$(</w:t>
      </w:r>
      <w:r>
        <w:rPr>
          <w:rStyle w:val="ExtensionTok"/>
        </w:rPr>
        <w:t xml:space="preserve">ausearch</w:t>
      </w:r>
      <w:r>
        <w:rPr>
          <w:rStyle w:val="NormalTok"/>
        </w:rPr>
        <w:t xml:space="preserve"> </w:t>
      </w:r>
      <w:r>
        <w:rPr>
          <w:rStyle w:val="AttributeTok"/>
        </w:rPr>
        <w:t xml:space="preserve">-m</w:t>
      </w:r>
      <w:r>
        <w:rPr>
          <w:rStyle w:val="NormalTok"/>
        </w:rPr>
        <w:t xml:space="preserve"> avc </w:t>
      </w:r>
      <w:r>
        <w:rPr>
          <w:rStyle w:val="AttributeTok"/>
        </w:rPr>
        <w:t xml:space="preserve">-ts</w:t>
      </w:r>
      <w:r>
        <w:rPr>
          <w:rStyle w:val="NormalTok"/>
        </w:rPr>
        <w:t xml:space="preserve"> recent </w:t>
      </w:r>
      <w:r>
        <w:rPr>
          <w:rStyle w:val="DecValTok"/>
        </w:rPr>
        <w:t xml:space="preserve">2</w:t>
      </w:r>
      <w:r>
        <w:rPr>
          <w:rStyle w:val="OperatorTok"/>
        </w:rPr>
        <w:t xml:space="preserve">&gt;</w:t>
      </w:r>
      <w:r>
        <w:rPr>
          <w:rStyle w:val="NormalTok"/>
        </w:rPr>
        <w:t xml:space="preserve">/dev/null </w:t>
      </w:r>
      <w:r>
        <w:rPr>
          <w:rStyle w:val="KeywordTok"/>
        </w:rPr>
        <w:t xml:space="preserve">|</w:t>
      </w:r>
      <w:r>
        <w:rPr>
          <w:rStyle w:val="NormalTok"/>
        </w:rPr>
        <w:t xml:space="preserve"> </w:t>
      </w:r>
      <w:r>
        <w:rPr>
          <w:rStyle w:val="FunctionTok"/>
        </w:rPr>
        <w:t xml:space="preserve">wc</w:t>
      </w:r>
      <w:r>
        <w:rPr>
          <w:rStyle w:val="NormalTok"/>
        </w:rPr>
        <w:t xml:space="preserve"> </w:t>
      </w:r>
      <w:r>
        <w:rPr>
          <w:rStyle w:val="AttributeTok"/>
        </w:rPr>
        <w:t xml:space="preserve">-l</w:t>
      </w:r>
      <w:r>
        <w:rPr>
          <w:rStyle w:val="VariableTok"/>
        </w:rPr>
        <w:t xml:space="preserve">)</w:t>
      </w:r>
      <w:r>
        <w:br/>
      </w:r>
      <w:r>
        <w:br/>
      </w:r>
      <w:r>
        <w:rPr>
          <w:rStyle w:val="NormalTok"/>
        </w:rPr>
        <w:t xml:space="preserve">    </w:t>
      </w:r>
      <w:r>
        <w:rPr>
          <w:rStyle w:val="ControlFlowTok"/>
        </w:rPr>
        <w:t xml:space="preserve">if</w:t>
      </w:r>
      <w:r>
        <w:rPr>
          <w:rStyle w:val="NormalTok"/>
        </w:rPr>
        <w:t xml:space="preserve"> </w:t>
      </w:r>
      <w:r>
        <w:rPr>
          <w:rStyle w:val="KeywordTok"/>
        </w:rPr>
        <w:t xml:space="preserve">((</w:t>
      </w:r>
      <w:r>
        <w:rPr>
          <w:rStyle w:val="NormalTok"/>
        </w:rPr>
        <w:t xml:space="preserve"> </w:t>
      </w:r>
      <w:r>
        <w:rPr>
          <w:rStyle w:val="VariableTok"/>
        </w:rPr>
        <w:t xml:space="preserve">refus</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"ALERTE : </w:t>
      </w:r>
      <w:r>
        <w:rPr>
          <w:rStyle w:val="VariableTok"/>
        </w:rPr>
        <w:t xml:space="preserve">$refus</w:t>
      </w:r>
      <w:r>
        <w:rPr>
          <w:rStyle w:val="StringTok"/>
        </w:rPr>
        <w:t xml:space="preserve"> refus SELinux recents detectes"</w:t>
      </w:r>
      <w:r>
        <w:br/>
      </w:r>
      <w:r>
        <w:rPr>
          <w:rStyle w:val="NormalTok"/>
        </w:rPr>
        <w:t xml:space="preserve">        </w:t>
      </w:r>
      <w:r>
        <w:rPr>
          <w:rStyle w:val="ControlFlowTok"/>
        </w:rPr>
        <w:t xml:space="preserve">return</w:t>
      </w:r>
      <w:r>
        <w:rPr>
          <w:rStyle w:val="NormalTok"/>
        </w:rPr>
        <w:t xml:space="preserve"> </w:t>
      </w:r>
      <w:r>
        <w:rPr>
          <w:rStyle w:val="DecValTok"/>
        </w:rPr>
        <w:t xml:space="preserve">1</w:t>
      </w:r>
      <w:r>
        <w:br/>
      </w:r>
      <w:r>
        <w:rPr>
          <w:rStyle w:val="NormalTok"/>
        </w:rPr>
        <w:t xml:space="preserve">    </w:t>
      </w:r>
      <w:r>
        <w:rPr>
          <w:rStyle w:val="ControlFlowTok"/>
        </w:rPr>
        <w:t xml:space="preserve">fi</w:t>
      </w:r>
      <w:r>
        <w:br/>
      </w:r>
      <w:r>
        <w:rPr>
          <w:rStyle w:val="NormalTok"/>
        </w:rPr>
        <w:t xml:space="preserve">    </w:t>
      </w:r>
      <w:r>
        <w:rPr>
          <w:rStyle w:val="ControlFlowTok"/>
        </w:rPr>
        <w:t xml:space="preserve">return</w:t>
      </w:r>
      <w:r>
        <w:rPr>
          <w:rStyle w:val="NormalTok"/>
        </w:rPr>
        <w:t xml:space="preserve"> </w:t>
      </w:r>
      <w:r>
        <w:rPr>
          <w:rStyle w:val="DecValTok"/>
        </w:rPr>
        <w:t xml:space="preserve">0</w:t>
      </w:r>
      <w:r>
        <w:br/>
      </w:r>
      <w:r>
        <w:rPr>
          <w:rStyle w:val="KeywordTok"/>
        </w:rPr>
        <w:t xml:space="preserve">}</w:t>
      </w:r>
    </w:p>
    <w:bookmarkEnd w:id="491"/>
    <w:bookmarkStart w:id="492" w:name="X0f70d37ae05ff1f4607664775712ee735122811"/>
    <w:p>
      <w:pPr>
        <w:pStyle w:val="Heading2"/>
      </w:pPr>
      <w:r>
        <w:t xml:space="preserve">20.7 Journaliser un script pour garder une trace</w:t>
      </w:r>
    </w:p>
    <w:p>
      <w:pPr>
        <w:pStyle w:val="FirstParagraph"/>
      </w:pPr>
      <w:r>
        <w:t xml:space="preserve">✅ Bonne pratique — toujours journaliser un script automatisé</w:t>
      </w:r>
      <w:r>
        <w:t xml:space="preserve"> </w:t>
      </w:r>
      <w:r>
        <w:t xml:space="preserve">Un script exécuté automatiquement (via cron, section 20.8) qui ne journalise rien devient une boîte noire : impossible de savoir après coup s’il s’est exécuté, quand, et avec quel résultat — exactement le type de lacune de documentation dénoncé au chapitre 3. Chaque exécution doit laisser une trace horodatée, consultable ultérieurement.</w:t>
      </w:r>
    </w:p>
    <w:p>
      <w:pPr>
        <w:pStyle w:val="SourceCode"/>
      </w:pPr>
      <w:r>
        <w:rPr>
          <w:rStyle w:val="VariableTok"/>
        </w:rPr>
        <w:t xml:space="preserve">LOG</w:t>
      </w:r>
      <w:r>
        <w:rPr>
          <w:rStyle w:val="OperatorTok"/>
        </w:rPr>
        <w:t xml:space="preserve">=</w:t>
      </w:r>
      <w:r>
        <w:rPr>
          <w:rStyle w:val="StringTok"/>
        </w:rPr>
        <w:t xml:space="preserve">"/var/log/health-check.log"</w:t>
      </w:r>
      <w:r>
        <w:br/>
      </w:r>
      <w:r>
        <w:br/>
      </w:r>
      <w:r>
        <w:rPr>
          <w:rStyle w:val="FunctionTok"/>
        </w:rPr>
        <w:t xml:space="preserve">log()</w:t>
      </w:r>
      <w:r>
        <w:rPr>
          <w:rStyle w:val="NormalTok"/>
        </w:rPr>
        <w:t xml:space="preserve"> </w:t>
      </w:r>
      <w:r>
        <w:rPr>
          <w:rStyle w:val="KeywordTok"/>
        </w:rPr>
        <w:t xml:space="preserve">{</w:t>
      </w:r>
      <w:r>
        <w:br/>
      </w:r>
      <w:r>
        <w:rPr>
          <w:rStyle w:val="NormalTok"/>
        </w:rPr>
        <w:t xml:space="preserve">    </w:t>
      </w:r>
      <w:r>
        <w:rPr>
          <w:rStyle w:val="BuiltInTok"/>
        </w:rPr>
        <w:t xml:space="preserve">echo</w:t>
      </w:r>
      <w:r>
        <w:rPr>
          <w:rStyle w:val="NormalTok"/>
        </w:rPr>
        <w:t xml:space="preserve"> </w:t>
      </w:r>
      <w:r>
        <w:rPr>
          <w:rStyle w:val="StringTok"/>
        </w:rPr>
        <w:t xml:space="preserve">"</w:t>
      </w:r>
      <w:r>
        <w:rPr>
          <w:rStyle w:val="VariableTok"/>
        </w:rPr>
        <w:t xml:space="preserve">$(</w:t>
      </w:r>
      <w:r>
        <w:rPr>
          <w:rStyle w:val="FunctionTok"/>
        </w:rPr>
        <w:t xml:space="preserve">date</w:t>
      </w:r>
      <w:r>
        <w:rPr>
          <w:rStyle w:val="NormalTok"/>
        </w:rPr>
        <w:t xml:space="preserve"> </w:t>
      </w:r>
      <w:r>
        <w:rPr>
          <w:rStyle w:val="StringTok"/>
        </w:rPr>
        <w:t xml:space="preserve">'+%Y-%m-%d %H:%M:%S'</w:t>
      </w:r>
      <w:r>
        <w:rPr>
          <w:rStyle w:val="VariableTok"/>
        </w:rPr>
        <w:t xml:space="preserve">)</w:t>
      </w:r>
      <w:r>
        <w:rPr>
          <w:rStyle w:val="StringTok"/>
        </w:rPr>
        <w:t xml:space="preserve"> - </w:t>
      </w:r>
      <w:r>
        <w:rPr>
          <w:rStyle w:val="VariableTok"/>
        </w:rPr>
        <w:t xml:space="preserve">$1</w:t>
      </w:r>
      <w:r>
        <w:rPr>
          <w:rStyle w:val="StringTok"/>
        </w:rPr>
        <w:t xml:space="preserve">"</w:t>
      </w:r>
      <w:r>
        <w:rPr>
          <w:rStyle w:val="NormalTok"/>
        </w:rPr>
        <w:t xml:space="preserve"> </w:t>
      </w:r>
      <w:r>
        <w:rPr>
          <w:rStyle w:val="KeywordTok"/>
        </w:rPr>
        <w:t xml:space="preserve">|</w:t>
      </w:r>
      <w:r>
        <w:rPr>
          <w:rStyle w:val="NormalTok"/>
        </w:rPr>
        <w:t xml:space="preserve"> </w:t>
      </w:r>
      <w:r>
        <w:rPr>
          <w:rStyle w:val="FunctionTok"/>
        </w:rPr>
        <w:t xml:space="preserve">tee</w:t>
      </w:r>
      <w:r>
        <w:rPr>
          <w:rStyle w:val="NormalTok"/>
        </w:rPr>
        <w:t xml:space="preserve"> </w:t>
      </w:r>
      <w:r>
        <w:rPr>
          <w:rStyle w:val="AttributeTok"/>
        </w:rPr>
        <w:t xml:space="preserve">-a</w:t>
      </w:r>
      <w:r>
        <w:rPr>
          <w:rStyle w:val="NormalTok"/>
        </w:rPr>
        <w:t xml:space="preserve"> </w:t>
      </w:r>
      <w:r>
        <w:rPr>
          <w:rStyle w:val="StringTok"/>
        </w:rPr>
        <w:t xml:space="preserve">"</w:t>
      </w:r>
      <w:r>
        <w:rPr>
          <w:rStyle w:val="VariableTok"/>
        </w:rPr>
        <w:t xml:space="preserve">$LOG</w:t>
      </w:r>
      <w:r>
        <w:rPr>
          <w:rStyle w:val="StringTok"/>
        </w:rPr>
        <w:t xml:space="preserve">"</w:t>
      </w:r>
      <w:r>
        <w:br/>
      </w:r>
      <w:r>
        <w:rPr>
          <w:rStyle w:val="KeywordTok"/>
        </w:rPr>
        <w:t xml:space="preserve">}</w:t>
      </w:r>
      <w:r>
        <w:br/>
      </w:r>
      <w:r>
        <w:br/>
      </w:r>
      <w:r>
        <w:rPr>
          <w:rStyle w:val="ExtensionTok"/>
        </w:rPr>
        <w:t xml:space="preserve">log</w:t>
      </w:r>
      <w:r>
        <w:rPr>
          <w:rStyle w:val="NormalTok"/>
        </w:rPr>
        <w:t xml:space="preserve"> </w:t>
      </w:r>
      <w:r>
        <w:rPr>
          <w:rStyle w:val="StringTok"/>
        </w:rPr>
        <w:t xml:space="preserve">"Debut de la verification quotidienne"</w:t>
      </w:r>
    </w:p>
    <w:bookmarkEnd w:id="492"/>
    <w:bookmarkStart w:id="493" w:name="planifier-lexécution-avec-cron"/>
    <w:p>
      <w:pPr>
        <w:pStyle w:val="Heading2"/>
      </w:pPr>
      <w:r>
        <w:t xml:space="preserve">20.8 Planifier l’exécution avec cron</w:t>
      </w:r>
    </w:p>
    <w:p>
      <w:pPr>
        <w:pStyle w:val="SourceCode"/>
      </w:pPr>
      <w:r>
        <w:rPr>
          <w:rStyle w:val="VerbatimChar"/>
        </w:rPr>
        <w:t xml:space="preserve"># Editer les taches planifiees de l'utilisateur courant</w:t>
      </w:r>
      <w:r>
        <w:br/>
      </w:r>
      <w:r>
        <w:rPr>
          <w:rStyle w:val="VerbatimChar"/>
        </w:rPr>
        <w:t xml:space="preserve">crontab -e</w:t>
      </w:r>
      <w:r>
        <w:br/>
      </w:r>
      <w:r>
        <w:br/>
      </w:r>
      <w:r>
        <w:rPr>
          <w:rStyle w:val="VerbatimChar"/>
        </w:rPr>
        <w:t xml:space="preserve"># Exemple : executer le script tous les jours a 7h00 du matin</w:t>
      </w:r>
      <w:r>
        <w:br/>
      </w:r>
      <w:r>
        <w:rPr>
          <w:rStyle w:val="VerbatimChar"/>
        </w:rPr>
        <w:t xml:space="preserve">0 7 * * * /opt/scripts/health-check.sh &gt;&gt; /var/log/health-check-cron.log 2&gt;&amp;1</w:t>
      </w:r>
    </w:p>
    <w:p>
      <w:pPr>
        <w:pStyle w:val="FirstParagraph"/>
      </w:pPr>
      <w:r>
        <w:t xml:space="preserve">⚠️ Toujours rediriger la sortie d’une tâche cron vers un fichier journal</w:t>
      </w:r>
      <w:r>
        <w:t xml:space="preserve"> </w:t>
      </w:r>
      <w:r>
        <w:t xml:space="preserve">Une tâche cron s’exécute sans terminal interactif — toute sortie non redirigée est généralement perdue, ou au mieux envoyée par email si le système est configuré pour (rarement le cas par défaut sur un serveur moderne). La redirection</w:t>
      </w:r>
      <w:r>
        <w:t xml:space="preserve"> </w:t>
      </w:r>
      <w:r>
        <w:t xml:space="preserve">&gt;&gt; fichier.log 2&gt;&amp;1</w:t>
      </w:r>
      <w:r>
        <w:t xml:space="preserve"> </w:t>
      </w:r>
      <w:r>
        <w:t xml:space="preserve">capture à la fois la sortie standard et les erreurs, garantissant qu’aucune information n’est silencieusement perdue en cas de problème.</w:t>
      </w:r>
    </w:p>
    <w:bookmarkEnd w:id="493"/>
    <w:bookmarkStart w:id="494" w:name="le-script-complet-du-scénario-douverture"/>
    <w:p>
      <w:pPr>
        <w:pStyle w:val="Heading2"/>
      </w:pPr>
      <w:r>
        <w:t xml:space="preserve">20.9 Le script complet du scénario d’ouverture</w:t>
      </w:r>
    </w:p>
    <w:p>
      <w:pPr>
        <w:pStyle w:val="SourceCode"/>
      </w:pPr>
      <w:r>
        <w:rPr>
          <w:rStyle w:val="CommentTok"/>
        </w:rPr>
        <w:t xml:space="preserve">#!/usr/bin/env bash</w:t>
      </w:r>
      <w:r>
        <w:br/>
      </w:r>
      <w:r>
        <w:rPr>
          <w:rStyle w:val="CommentTok"/>
        </w:rPr>
        <w:t xml:space="preserve"># health-check.sh — Verification quotidienne de sante des serveurs</w:t>
      </w:r>
      <w:r>
        <w:br/>
      </w:r>
      <w:r>
        <w:rPr>
          <w:rStyle w:val="BuiltInTok"/>
        </w:rPr>
        <w:t xml:space="preserve">set</w:t>
      </w:r>
      <w:r>
        <w:rPr>
          <w:rStyle w:val="NormalTok"/>
        </w:rPr>
        <w:t xml:space="preserve"> </w:t>
      </w:r>
      <w:r>
        <w:rPr>
          <w:rStyle w:val="AttributeTok"/>
        </w:rPr>
        <w:t xml:space="preserve">-euo</w:t>
      </w:r>
      <w:r>
        <w:rPr>
          <w:rStyle w:val="NormalTok"/>
        </w:rPr>
        <w:t xml:space="preserve"> pipefail</w:t>
      </w:r>
      <w:r>
        <w:br/>
      </w:r>
      <w:r>
        <w:br/>
      </w:r>
      <w:r>
        <w:rPr>
          <w:rStyle w:val="VariableTok"/>
        </w:rPr>
        <w:t xml:space="preserve">LOG</w:t>
      </w:r>
      <w:r>
        <w:rPr>
          <w:rStyle w:val="OperatorTok"/>
        </w:rPr>
        <w:t xml:space="preserve">=</w:t>
      </w:r>
      <w:r>
        <w:rPr>
          <w:rStyle w:val="StringTok"/>
        </w:rPr>
        <w:t xml:space="preserve">"/var/log/health-check.log"</w:t>
      </w:r>
      <w:r>
        <w:br/>
      </w:r>
      <w:r>
        <w:rPr>
          <w:rStyle w:val="VariableTok"/>
        </w:rPr>
        <w:t xml:space="preserve">services</w:t>
      </w:r>
      <w:r>
        <w:rPr>
          <w:rStyle w:val="OperatorTok"/>
        </w:rPr>
        <w:t xml:space="preserve">=</w:t>
      </w:r>
      <w:r>
        <w:rPr>
          <w:rStyle w:val="VariableTok"/>
        </w:rPr>
        <w:t xml:space="preserve">(</w:t>
      </w:r>
      <w:r>
        <w:rPr>
          <w:rStyle w:val="StringTok"/>
        </w:rPr>
        <w:t xml:space="preserve">"nginx"</w:t>
      </w:r>
      <w:r>
        <w:rPr>
          <w:rStyle w:val="NormalTok"/>
        </w:rPr>
        <w:t xml:space="preserve"> </w:t>
      </w:r>
      <w:r>
        <w:rPr>
          <w:rStyle w:val="StringTok"/>
        </w:rPr>
        <w:t xml:space="preserve">"postgresql"</w:t>
      </w:r>
      <w:r>
        <w:rPr>
          <w:rStyle w:val="NormalTok"/>
        </w:rPr>
        <w:t xml:space="preserve"> </w:t>
      </w:r>
      <w:r>
        <w:rPr>
          <w:rStyle w:val="StringTok"/>
        </w:rPr>
        <w:t xml:space="preserve">"portail-worker"</w:t>
      </w:r>
      <w:r>
        <w:rPr>
          <w:rStyle w:val="VariableTok"/>
        </w:rPr>
        <w:t xml:space="preserve">)</w:t>
      </w:r>
      <w:r>
        <w:br/>
      </w:r>
      <w:r>
        <w:rPr>
          <w:rStyle w:val="VariableTok"/>
        </w:rPr>
        <w:t xml:space="preserve">erreurs</w:t>
      </w:r>
      <w:r>
        <w:rPr>
          <w:rStyle w:val="OperatorTok"/>
        </w:rPr>
        <w:t xml:space="preserve">=</w:t>
      </w:r>
      <w:r>
        <w:rPr>
          <w:rStyle w:val="NormalTok"/>
        </w:rPr>
        <w:t xml:space="preserve">0</w:t>
      </w:r>
      <w:r>
        <w:br/>
      </w:r>
      <w:r>
        <w:br/>
      </w:r>
      <w:r>
        <w:rPr>
          <w:rStyle w:val="FunctionTok"/>
        </w:rPr>
        <w:t xml:space="preserve">log()</w:t>
      </w:r>
      <w:r>
        <w:rPr>
          <w:rStyle w:val="NormalTok"/>
        </w:rPr>
        <w:t xml:space="preserve"> </w:t>
      </w:r>
      <w:r>
        <w:rPr>
          <w:rStyle w:val="KeywordTok"/>
        </w:rPr>
        <w:t xml:space="preserve">{</w:t>
      </w:r>
      <w:r>
        <w:br/>
      </w:r>
      <w:r>
        <w:rPr>
          <w:rStyle w:val="NormalTok"/>
        </w:rPr>
        <w:t xml:space="preserve">    </w:t>
      </w:r>
      <w:r>
        <w:rPr>
          <w:rStyle w:val="BuiltInTok"/>
        </w:rPr>
        <w:t xml:space="preserve">echo</w:t>
      </w:r>
      <w:r>
        <w:rPr>
          <w:rStyle w:val="NormalTok"/>
        </w:rPr>
        <w:t xml:space="preserve"> </w:t>
      </w:r>
      <w:r>
        <w:rPr>
          <w:rStyle w:val="StringTok"/>
        </w:rPr>
        <w:t xml:space="preserve">"</w:t>
      </w:r>
      <w:r>
        <w:rPr>
          <w:rStyle w:val="VariableTok"/>
        </w:rPr>
        <w:t xml:space="preserve">$(</w:t>
      </w:r>
      <w:r>
        <w:rPr>
          <w:rStyle w:val="FunctionTok"/>
        </w:rPr>
        <w:t xml:space="preserve">date</w:t>
      </w:r>
      <w:r>
        <w:rPr>
          <w:rStyle w:val="NormalTok"/>
        </w:rPr>
        <w:t xml:space="preserve"> </w:t>
      </w:r>
      <w:r>
        <w:rPr>
          <w:rStyle w:val="StringTok"/>
        </w:rPr>
        <w:t xml:space="preserve">'+%Y-%m-%d %H:%M:%S'</w:t>
      </w:r>
      <w:r>
        <w:rPr>
          <w:rStyle w:val="VariableTok"/>
        </w:rPr>
        <w:t xml:space="preserve">)</w:t>
      </w:r>
      <w:r>
        <w:rPr>
          <w:rStyle w:val="StringTok"/>
        </w:rPr>
        <w:t xml:space="preserve"> - </w:t>
      </w:r>
      <w:r>
        <w:rPr>
          <w:rStyle w:val="VariableTok"/>
        </w:rPr>
        <w:t xml:space="preserve">$1</w:t>
      </w:r>
      <w:r>
        <w:rPr>
          <w:rStyle w:val="StringTok"/>
        </w:rPr>
        <w:t xml:space="preserve">"</w:t>
      </w:r>
      <w:r>
        <w:rPr>
          <w:rStyle w:val="NormalTok"/>
        </w:rPr>
        <w:t xml:space="preserve"> </w:t>
      </w:r>
      <w:r>
        <w:rPr>
          <w:rStyle w:val="KeywordTok"/>
        </w:rPr>
        <w:t xml:space="preserve">|</w:t>
      </w:r>
      <w:r>
        <w:rPr>
          <w:rStyle w:val="NormalTok"/>
        </w:rPr>
        <w:t xml:space="preserve"> </w:t>
      </w:r>
      <w:r>
        <w:rPr>
          <w:rStyle w:val="FunctionTok"/>
        </w:rPr>
        <w:t xml:space="preserve">tee</w:t>
      </w:r>
      <w:r>
        <w:rPr>
          <w:rStyle w:val="NormalTok"/>
        </w:rPr>
        <w:t xml:space="preserve"> </w:t>
      </w:r>
      <w:r>
        <w:rPr>
          <w:rStyle w:val="AttributeTok"/>
        </w:rPr>
        <w:t xml:space="preserve">-a</w:t>
      </w:r>
      <w:r>
        <w:rPr>
          <w:rStyle w:val="NormalTok"/>
        </w:rPr>
        <w:t xml:space="preserve"> </w:t>
      </w:r>
      <w:r>
        <w:rPr>
          <w:rStyle w:val="StringTok"/>
        </w:rPr>
        <w:t xml:space="preserve">"</w:t>
      </w:r>
      <w:r>
        <w:rPr>
          <w:rStyle w:val="VariableTok"/>
        </w:rPr>
        <w:t xml:space="preserve">$LOG</w:t>
      </w:r>
      <w:r>
        <w:rPr>
          <w:rStyle w:val="StringTok"/>
        </w:rPr>
        <w:t xml:space="preserve">"</w:t>
      </w:r>
      <w:r>
        <w:br/>
      </w:r>
      <w:r>
        <w:rPr>
          <w:rStyle w:val="KeywordTok"/>
        </w:rPr>
        <w:t xml:space="preserve">}</w:t>
      </w:r>
      <w:r>
        <w:br/>
      </w:r>
      <w:r>
        <w:br/>
      </w:r>
      <w:r>
        <w:rPr>
          <w:rStyle w:val="ControlFlowTok"/>
        </w:rPr>
        <w:t xml:space="preserve">for</w:t>
      </w:r>
      <w:r>
        <w:rPr>
          <w:rStyle w:val="NormalTok"/>
        </w:rPr>
        <w:t xml:space="preserve"> service </w:t>
      </w:r>
      <w:r>
        <w:rPr>
          <w:rStyle w:val="KeywordTok"/>
        </w:rPr>
        <w:t xml:space="preserve">in</w:t>
      </w:r>
      <w:r>
        <w:rPr>
          <w:rStyle w:val="NormalTok"/>
        </w:rPr>
        <w:t xml:space="preserve"> </w:t>
      </w:r>
      <w:r>
        <w:rPr>
          <w:rStyle w:val="StringTok"/>
        </w:rPr>
        <w:t xml:space="preserve">"</w:t>
      </w:r>
      <w:r>
        <w:rPr>
          <w:rStyle w:val="VariableTok"/>
        </w:rPr>
        <w:t xml:space="preserve">${services</w:t>
      </w:r>
      <w:r>
        <w:rPr>
          <w:rStyle w:val="OperatorTok"/>
        </w:rPr>
        <w:t xml:space="preserve">[@]</w:t>
      </w:r>
      <w:r>
        <w:rPr>
          <w:rStyle w:val="VariableTok"/>
        </w:rPr>
        <w:t xml:space="preserve">}</w:t>
      </w:r>
      <w:r>
        <w:rPr>
          <w:rStyle w:val="StringTok"/>
        </w:rPr>
        <w:t xml:space="preserve">"</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ControlFlowTok"/>
        </w:rPr>
        <w:t xml:space="preserve">if</w:t>
      </w:r>
      <w:r>
        <w:rPr>
          <w:rStyle w:val="NormalTok"/>
        </w:rPr>
        <w:t xml:space="preserve"> </w:t>
      </w:r>
      <w:r>
        <w:rPr>
          <w:rStyle w:val="ExtensionTok"/>
        </w:rPr>
        <w:t xml:space="preserve">systemctl</w:t>
      </w:r>
      <w:r>
        <w:rPr>
          <w:rStyle w:val="NormalTok"/>
        </w:rPr>
        <w:t xml:space="preserve"> is-active </w:t>
      </w:r>
      <w:r>
        <w:rPr>
          <w:rStyle w:val="AttributeTok"/>
        </w:rPr>
        <w:t xml:space="preserve">--quiet</w:t>
      </w:r>
      <w:r>
        <w:rPr>
          <w:rStyle w:val="NormalTok"/>
        </w:rPr>
        <w:t xml:space="preserve"> </w:t>
      </w:r>
      <w:r>
        <w:rPr>
          <w:rStyle w:val="StringTok"/>
        </w:rPr>
        <w:t xml:space="preserve">"</w:t>
      </w:r>
      <w:r>
        <w:rPr>
          <w:rStyle w:val="VariableTok"/>
        </w:rPr>
        <w:t xml:space="preserve">$service</w:t>
      </w:r>
      <w:r>
        <w:rPr>
          <w:rStyle w:val="String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ExtensionTok"/>
        </w:rPr>
        <w:t xml:space="preserve">log</w:t>
      </w:r>
      <w:r>
        <w:rPr>
          <w:rStyle w:val="NormalTok"/>
        </w:rPr>
        <w:t xml:space="preserve"> </w:t>
      </w:r>
      <w:r>
        <w:rPr>
          <w:rStyle w:val="StringTok"/>
        </w:rPr>
        <w:t xml:space="preserve">"OK : </w:t>
      </w:r>
      <w:r>
        <w:rPr>
          <w:rStyle w:val="VariableTok"/>
        </w:rPr>
        <w:t xml:space="preserve">$service</w:t>
      </w:r>
      <w:r>
        <w:rPr>
          <w:rStyle w:val="StringTok"/>
        </w:rPr>
        <w:t xml:space="preserve"> est actif"</w:t>
      </w:r>
      <w:r>
        <w:br/>
      </w:r>
      <w:r>
        <w:rPr>
          <w:rStyle w:val="NormalTok"/>
        </w:rPr>
        <w:t xml:space="preserve">    </w:t>
      </w:r>
      <w:r>
        <w:rPr>
          <w:rStyle w:val="ControlFlowTok"/>
        </w:rPr>
        <w:t xml:space="preserve">else</w:t>
      </w:r>
      <w:r>
        <w:br/>
      </w:r>
      <w:r>
        <w:rPr>
          <w:rStyle w:val="NormalTok"/>
        </w:rPr>
        <w:t xml:space="preserve">        </w:t>
      </w:r>
      <w:r>
        <w:rPr>
          <w:rStyle w:val="ExtensionTok"/>
        </w:rPr>
        <w:t xml:space="preserve">log</w:t>
      </w:r>
      <w:r>
        <w:rPr>
          <w:rStyle w:val="NormalTok"/>
        </w:rPr>
        <w:t xml:space="preserve"> </w:t>
      </w:r>
      <w:r>
        <w:rPr>
          <w:rStyle w:val="StringTok"/>
        </w:rPr>
        <w:t xml:space="preserve">"ALERTE : </w:t>
      </w:r>
      <w:r>
        <w:rPr>
          <w:rStyle w:val="VariableTok"/>
        </w:rPr>
        <w:t xml:space="preserve">$service</w:t>
      </w:r>
      <w:r>
        <w:rPr>
          <w:rStyle w:val="StringTok"/>
        </w:rPr>
        <w:t xml:space="preserve"> n'est PAS actif"</w:t>
      </w:r>
      <w:r>
        <w:br/>
      </w:r>
      <w:r>
        <w:rPr>
          <w:rStyle w:val="NormalTok"/>
        </w:rPr>
        <w:t xml:space="preserve">        </w:t>
      </w:r>
      <w:r>
        <w:rPr>
          <w:rStyle w:val="VariableTok"/>
        </w:rPr>
        <w:t xml:space="preserve">erreurs</w:t>
      </w:r>
      <w:r>
        <w:rPr>
          <w:rStyle w:val="OperatorTok"/>
        </w:rPr>
        <w:t xml:space="preserve">=</w:t>
      </w:r>
      <w:r>
        <w:rPr>
          <w:rStyle w:val="VariableTok"/>
        </w:rPr>
        <w:t xml:space="preserve">$((erreurs</w:t>
      </w:r>
      <w:r>
        <w:rPr>
          <w:rStyle w:val="NormalTok"/>
        </w:rPr>
        <w:t xml:space="preserve"> </w:t>
      </w:r>
      <w:r>
        <w:rPr>
          <w:rStyle w:val="OperatorTok"/>
        </w:rPr>
        <w:t xml:space="preserve">+</w:t>
      </w:r>
      <w:r>
        <w:rPr>
          <w:rStyle w:val="NormalTok"/>
        </w:rPr>
        <w:t xml:space="preserve"> </w:t>
      </w:r>
      <w:r>
        <w:rPr>
          <w:rStyle w:val="DecValTok"/>
        </w:rPr>
        <w:t xml:space="preserve">1</w:t>
      </w:r>
      <w:r>
        <w:rPr>
          <w:rStyle w:val="VariableTok"/>
        </w:rPr>
        <w:t xml:space="preserve">))</w:t>
      </w:r>
      <w:r>
        <w:br/>
      </w:r>
      <w:r>
        <w:rPr>
          <w:rStyle w:val="NormalTok"/>
        </w:rPr>
        <w:t xml:space="preserve">    </w:t>
      </w:r>
      <w:r>
        <w:rPr>
          <w:rStyle w:val="ControlFlowTok"/>
        </w:rPr>
        <w:t xml:space="preserve">fi</w:t>
      </w:r>
      <w:r>
        <w:br/>
      </w:r>
      <w:r>
        <w:rPr>
          <w:rStyle w:val="ControlFlowTok"/>
        </w:rPr>
        <w:t xml:space="preserve">done</w:t>
      </w:r>
      <w:r>
        <w:br/>
      </w:r>
      <w:r>
        <w:br/>
      </w:r>
      <w:r>
        <w:rPr>
          <w:rStyle w:val="VariableTok"/>
        </w:rPr>
        <w:t xml:space="preserve">usage</w:t>
      </w:r>
      <w:r>
        <w:rPr>
          <w:rStyle w:val="OperatorTok"/>
        </w:rPr>
        <w:t xml:space="preserve">=</w:t>
      </w:r>
      <w:r>
        <w:rPr>
          <w:rStyle w:val="VariableTok"/>
        </w:rPr>
        <w:t xml:space="preserve">$(</w:t>
      </w:r>
      <w:r>
        <w:rPr>
          <w:rStyle w:val="FunctionTok"/>
        </w:rPr>
        <w:t xml:space="preserve">df</w:t>
      </w:r>
      <w:r>
        <w:rPr>
          <w:rStyle w:val="NormalTok"/>
        </w:rPr>
        <w:t xml:space="preserve"> / </w:t>
      </w:r>
      <w:r>
        <w:rPr>
          <w:rStyle w:val="AttributeTok"/>
        </w:rPr>
        <w:t xml:space="preserve">--output</w:t>
      </w:r>
      <w:r>
        <w:rPr>
          <w:rStyle w:val="OperatorTok"/>
        </w:rPr>
        <w:t xml:space="preserve">=</w:t>
      </w:r>
      <w:r>
        <w:rPr>
          <w:rStyle w:val="NormalTok"/>
        </w:rPr>
        <w:t xml:space="preserve">pcent </w:t>
      </w:r>
      <w:r>
        <w:rPr>
          <w:rStyle w:val="KeywordTok"/>
        </w:rPr>
        <w:t xml:space="preserve">|</w:t>
      </w:r>
      <w:r>
        <w:rPr>
          <w:rStyle w:val="NormalTok"/>
        </w:rPr>
        <w:t xml:space="preserve"> </w:t>
      </w:r>
      <w:r>
        <w:rPr>
          <w:rStyle w:val="FunctionTok"/>
        </w:rPr>
        <w:t xml:space="preserve">tail</w:t>
      </w:r>
      <w:r>
        <w:rPr>
          <w:rStyle w:val="NormalTok"/>
        </w:rPr>
        <w:t xml:space="preserve"> </w:t>
      </w:r>
      <w:r>
        <w:rPr>
          <w:rStyle w:val="AttributeTok"/>
        </w:rPr>
        <w:t xml:space="preserve">-1</w:t>
      </w:r>
      <w:r>
        <w:rPr>
          <w:rStyle w:val="NormalTok"/>
        </w:rPr>
        <w:t xml:space="preserve"> </w:t>
      </w:r>
      <w:r>
        <w:rPr>
          <w:rStyle w:val="KeywordTok"/>
        </w:rPr>
        <w:t xml:space="preserve">|</w:t>
      </w:r>
      <w:r>
        <w:rPr>
          <w:rStyle w:val="NormalTok"/>
        </w:rPr>
        <w:t xml:space="preserve"> </w:t>
      </w:r>
      <w:r>
        <w:rPr>
          <w:rStyle w:val="FunctionTok"/>
        </w:rPr>
        <w:t xml:space="preserve">tr</w:t>
      </w:r>
      <w:r>
        <w:rPr>
          <w:rStyle w:val="NormalTok"/>
        </w:rPr>
        <w:t xml:space="preserve"> </w:t>
      </w:r>
      <w:r>
        <w:rPr>
          <w:rStyle w:val="AttributeTok"/>
        </w:rPr>
        <w:t xml:space="preserve">-d</w:t>
      </w:r>
      <w:r>
        <w:rPr>
          <w:rStyle w:val="NormalTok"/>
        </w:rPr>
        <w:t xml:space="preserve"> </w:t>
      </w:r>
      <w:r>
        <w:rPr>
          <w:rStyle w:val="StringTok"/>
        </w:rPr>
        <w:t xml:space="preserve">'% '</w:t>
      </w:r>
      <w:r>
        <w:rPr>
          <w:rStyle w:val="VariableTok"/>
        </w:rPr>
        <w:t xml:space="preserve">)</w:t>
      </w:r>
      <w:r>
        <w:br/>
      </w:r>
      <w:r>
        <w:rPr>
          <w:rStyle w:val="ControlFlowTok"/>
        </w:rPr>
        <w:t xml:space="preserve">if</w:t>
      </w:r>
      <w:r>
        <w:rPr>
          <w:rStyle w:val="NormalTok"/>
        </w:rPr>
        <w:t xml:space="preserve"> </w:t>
      </w:r>
      <w:r>
        <w:rPr>
          <w:rStyle w:val="KeywordTok"/>
        </w:rPr>
        <w:t xml:space="preserve">((</w:t>
      </w:r>
      <w:r>
        <w:rPr>
          <w:rStyle w:val="NormalTok"/>
        </w:rPr>
        <w:t xml:space="preserve"> </w:t>
      </w:r>
      <w:r>
        <w:rPr>
          <w:rStyle w:val="VariableTok"/>
        </w:rPr>
        <w:t xml:space="preserve">usage</w:t>
      </w:r>
      <w:r>
        <w:rPr>
          <w:rStyle w:val="NormalTok"/>
        </w:rPr>
        <w:t xml:space="preserve"> </w:t>
      </w:r>
      <w:r>
        <w:rPr>
          <w:rStyle w:val="OperatorTok"/>
        </w:rPr>
        <w:t xml:space="preserve">&gt;=</w:t>
      </w:r>
      <w:r>
        <w:rPr>
          <w:rStyle w:val="NormalTok"/>
        </w:rPr>
        <w:t xml:space="preserve"> </w:t>
      </w:r>
      <w:r>
        <w:rPr>
          <w:rStyle w:val="DecValTok"/>
        </w:rPr>
        <w:t xml:space="preserve">90</w:t>
      </w:r>
      <w:r>
        <w:rPr>
          <w:rStyle w:val="NormalTok"/>
        </w:rPr>
        <w:t xml:space="preserve"> </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ExtensionTok"/>
        </w:rPr>
        <w:t xml:space="preserve">log</w:t>
      </w:r>
      <w:r>
        <w:rPr>
          <w:rStyle w:val="NormalTok"/>
        </w:rPr>
        <w:t xml:space="preserve"> </w:t>
      </w:r>
      <w:r>
        <w:rPr>
          <w:rStyle w:val="StringTok"/>
        </w:rPr>
        <w:t xml:space="preserve">"ALERTE : espace disque a </w:t>
      </w:r>
      <w:r>
        <w:rPr>
          <w:rStyle w:val="VariableTok"/>
        </w:rPr>
        <w:t xml:space="preserve">${usage}</w:t>
      </w:r>
      <w:r>
        <w:rPr>
          <w:rStyle w:val="StringTok"/>
        </w:rPr>
        <w:t xml:space="preserve">%"</w:t>
      </w:r>
      <w:r>
        <w:br/>
      </w:r>
      <w:r>
        <w:rPr>
          <w:rStyle w:val="NormalTok"/>
        </w:rPr>
        <w:t xml:space="preserve">    </w:t>
      </w:r>
      <w:r>
        <w:rPr>
          <w:rStyle w:val="VariableTok"/>
        </w:rPr>
        <w:t xml:space="preserve">erreurs</w:t>
      </w:r>
      <w:r>
        <w:rPr>
          <w:rStyle w:val="OperatorTok"/>
        </w:rPr>
        <w:t xml:space="preserve">=</w:t>
      </w:r>
      <w:r>
        <w:rPr>
          <w:rStyle w:val="VariableTok"/>
        </w:rPr>
        <w:t xml:space="preserve">$((erreurs</w:t>
      </w:r>
      <w:r>
        <w:rPr>
          <w:rStyle w:val="NormalTok"/>
        </w:rPr>
        <w:t xml:space="preserve"> </w:t>
      </w:r>
      <w:r>
        <w:rPr>
          <w:rStyle w:val="OperatorTok"/>
        </w:rPr>
        <w:t xml:space="preserve">+</w:t>
      </w:r>
      <w:r>
        <w:rPr>
          <w:rStyle w:val="NormalTok"/>
        </w:rPr>
        <w:t xml:space="preserve"> </w:t>
      </w:r>
      <w:r>
        <w:rPr>
          <w:rStyle w:val="DecValTok"/>
        </w:rPr>
        <w:t xml:space="preserve">1</w:t>
      </w:r>
      <w:r>
        <w:rPr>
          <w:rStyle w:val="VariableTok"/>
        </w:rPr>
        <w:t xml:space="preserve">))</w:t>
      </w:r>
      <w:r>
        <w:br/>
      </w:r>
      <w:r>
        <w:rPr>
          <w:rStyle w:val="ControlFlowTok"/>
        </w:rPr>
        <w:t xml:space="preserve">else</w:t>
      </w:r>
      <w:r>
        <w:br/>
      </w:r>
      <w:r>
        <w:rPr>
          <w:rStyle w:val="NormalTok"/>
        </w:rPr>
        <w:t xml:space="preserve">    </w:t>
      </w:r>
      <w:r>
        <w:rPr>
          <w:rStyle w:val="ExtensionTok"/>
        </w:rPr>
        <w:t xml:space="preserve">log</w:t>
      </w:r>
      <w:r>
        <w:rPr>
          <w:rStyle w:val="NormalTok"/>
        </w:rPr>
        <w:t xml:space="preserve"> </w:t>
      </w:r>
      <w:r>
        <w:rPr>
          <w:rStyle w:val="StringTok"/>
        </w:rPr>
        <w:t xml:space="preserve">"OK : espace disque a </w:t>
      </w:r>
      <w:r>
        <w:rPr>
          <w:rStyle w:val="VariableTok"/>
        </w:rPr>
        <w:t xml:space="preserve">${usage}</w:t>
      </w:r>
      <w:r>
        <w:rPr>
          <w:rStyle w:val="StringTok"/>
        </w:rPr>
        <w:t xml:space="preserve">%"</w:t>
      </w:r>
      <w:r>
        <w:br/>
      </w:r>
      <w:r>
        <w:rPr>
          <w:rStyle w:val="ControlFlowTok"/>
        </w:rPr>
        <w:t xml:space="preserve">fi</w:t>
      </w:r>
      <w:r>
        <w:br/>
      </w:r>
      <w:r>
        <w:br/>
      </w:r>
      <w:r>
        <w:rPr>
          <w:rStyle w:val="ControlFlowTok"/>
        </w:rPr>
        <w:t xml:space="preserve">if</w:t>
      </w:r>
      <w:r>
        <w:rPr>
          <w:rStyle w:val="NormalTok"/>
        </w:rPr>
        <w:t xml:space="preserve"> </w:t>
      </w:r>
      <w:r>
        <w:rPr>
          <w:rStyle w:val="KeywordTok"/>
        </w:rPr>
        <w:t xml:space="preserve">((</w:t>
      </w:r>
      <w:r>
        <w:rPr>
          <w:rStyle w:val="NormalTok"/>
        </w:rPr>
        <w:t xml:space="preserve"> </w:t>
      </w:r>
      <w:r>
        <w:rPr>
          <w:rStyle w:val="VariableTok"/>
        </w:rPr>
        <w:t xml:space="preserve">erreurs</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ExtensionTok"/>
        </w:rPr>
        <w:t xml:space="preserve">log</w:t>
      </w:r>
      <w:r>
        <w:rPr>
          <w:rStyle w:val="NormalTok"/>
        </w:rPr>
        <w:t xml:space="preserve"> </w:t>
      </w:r>
      <w:r>
        <w:rPr>
          <w:rStyle w:val="StringTok"/>
        </w:rPr>
        <w:t xml:space="preserve">"Verification terminee avec </w:t>
      </w:r>
      <w:r>
        <w:rPr>
          <w:rStyle w:val="VariableTok"/>
        </w:rPr>
        <w:t xml:space="preserve">$erreurs</w:t>
      </w:r>
      <w:r>
        <w:rPr>
          <w:rStyle w:val="StringTok"/>
        </w:rPr>
        <w:t xml:space="preserve"> alerte(s)"</w:t>
      </w:r>
      <w:r>
        <w:br/>
      </w:r>
      <w:r>
        <w:rPr>
          <w:rStyle w:val="NormalTok"/>
        </w:rPr>
        <w:t xml:space="preserve">    </w:t>
      </w:r>
      <w:r>
        <w:rPr>
          <w:rStyle w:val="BuiltInTok"/>
        </w:rPr>
        <w:t xml:space="preserve">exit</w:t>
      </w:r>
      <w:r>
        <w:rPr>
          <w:rStyle w:val="NormalTok"/>
        </w:rPr>
        <w:t xml:space="preserve"> 1</w:t>
      </w:r>
      <w:r>
        <w:br/>
      </w:r>
      <w:r>
        <w:rPr>
          <w:rStyle w:val="ControlFlowTok"/>
        </w:rPr>
        <w:t xml:space="preserve">else</w:t>
      </w:r>
      <w:r>
        <w:br/>
      </w:r>
      <w:r>
        <w:rPr>
          <w:rStyle w:val="NormalTok"/>
        </w:rPr>
        <w:t xml:space="preserve">    </w:t>
      </w:r>
      <w:r>
        <w:rPr>
          <w:rStyle w:val="ExtensionTok"/>
        </w:rPr>
        <w:t xml:space="preserve">log</w:t>
      </w:r>
      <w:r>
        <w:rPr>
          <w:rStyle w:val="NormalTok"/>
        </w:rPr>
        <w:t xml:space="preserve"> </w:t>
      </w:r>
      <w:r>
        <w:rPr>
          <w:rStyle w:val="StringTok"/>
        </w:rPr>
        <w:t xml:space="preserve">"Verification terminee, tout est normal"</w:t>
      </w:r>
      <w:r>
        <w:br/>
      </w:r>
      <w:r>
        <w:rPr>
          <w:rStyle w:val="NormalTok"/>
        </w:rPr>
        <w:t xml:space="preserve">    </w:t>
      </w:r>
      <w:r>
        <w:rPr>
          <w:rStyle w:val="BuiltInTok"/>
        </w:rPr>
        <w:t xml:space="preserve">exit</w:t>
      </w:r>
      <w:r>
        <w:rPr>
          <w:rStyle w:val="NormalTok"/>
        </w:rPr>
        <w:t xml:space="preserve"> 0</w:t>
      </w:r>
      <w:r>
        <w:br/>
      </w:r>
      <w:r>
        <w:rPr>
          <w:rStyle w:val="ControlFlowTok"/>
        </w:rPr>
        <w:t xml:space="preserve">fi</w:t>
      </w:r>
    </w:p>
    <w:p>
      <w:pPr>
        <w:pStyle w:val="FirstParagraph"/>
      </w:pPr>
      <w:r>
        <w:t xml:space="preserve">🚀 Performance — le code de sortie final permet une intégration future</w:t>
      </w:r>
      <w:r>
        <w:t xml:space="preserve"> </w:t>
      </w:r>
      <w:r>
        <w:t xml:space="preserve">Ce script termine avec</w:t>
      </w:r>
      <w:r>
        <w:t xml:space="preserve"> </w:t>
      </w:r>
      <w:r>
        <w:t xml:space="preserve">exit 1</w:t>
      </w:r>
      <w:r>
        <w:t xml:space="preserve"> </w:t>
      </w:r>
      <w:r>
        <w:t xml:space="preserve">en cas d’alerte et</w:t>
      </w:r>
      <w:r>
        <w:t xml:space="preserve"> </w:t>
      </w:r>
      <w:r>
        <w:t xml:space="preserve">exit 0</w:t>
      </w:r>
      <w:r>
        <w:t xml:space="preserve"> </w:t>
      </w:r>
      <w:r>
        <w:t xml:space="preserve">sinon — un choix qui semble anodin, mais qui permet d’intégrer directement ce script à un outil de supervision externe (Partie 10) capable d’interpréter ce code de sortie pour déclencher une vraie alerte (SMS, email, notification d’équipe), plutôt que de compter sur la lecture manuelle du journal chaque matin.</w:t>
      </w:r>
    </w:p>
    <w:bookmarkEnd w:id="494"/>
    <w:bookmarkStart w:id="495" w:name="atelier-étendre-le-script-de-santé"/>
    <w:p>
      <w:pPr>
        <w:pStyle w:val="Heading2"/>
      </w:pPr>
      <w:r>
        <w:t xml:space="preserve">Atelier — Étendre le script de santé</w:t>
      </w:r>
    </w:p>
    <w:p>
      <w:pPr>
        <w:pStyle w:val="FirstParagraph"/>
      </w:pPr>
      <w:r>
        <w:t xml:space="preserve">🛠️ Atelier 20 — Ajouter la vérification SELinux au script</w:t>
      </w:r>
    </w:p>
    <w:p>
      <w:pPr>
        <w:pStyle w:val="BodyText"/>
      </w:pPr>
      <w:r>
        <w:rPr>
          <w:b/>
          <w:bCs/>
        </w:rPr>
        <w:t xml:space="preserve">Objectif</w:t>
      </w:r>
      <w:r>
        <w:t xml:space="preserve"> </w:t>
      </w:r>
      <w:r>
        <w:t xml:space="preserve">: intégrer la fonction</w:t>
      </w:r>
      <w:r>
        <w:t xml:space="preserve"> </w:t>
      </w:r>
      <w:r>
        <w:rPr>
          <w:rStyle w:val="VerbatimChar"/>
        </w:rPr>
        <w:t xml:space="preserve">verifier_selinux</w:t>
      </w:r>
      <w:r>
        <w:t xml:space="preserve"> </w:t>
      </w:r>
      <w:r>
        <w:t xml:space="preserve">de la section 20.6 au script complet de la section 20.9, en respectant les bonnes pratiques du chapitre.</w:t>
      </w:r>
    </w:p>
    <w:p>
      <w:pPr>
        <w:pStyle w:val="BodyText"/>
      </w:pPr>
      <w:r>
        <w:rPr>
          <w:b/>
          <w:bCs/>
        </w:rPr>
        <w:t xml:space="preserve">Préparation</w:t>
      </w:r>
      <w:r>
        <w:t xml:space="preserve"> </w:t>
      </w:r>
      <w:r>
        <w:t xml:space="preserve">: accès à un terminal Linux (réel ou de test) pour tester le script, ou une lecture attentive suffit pour cet atelier conceptuel.</w:t>
      </w:r>
    </w:p>
    <w:p>
      <w:pPr>
        <w:pStyle w:val="BodyText"/>
      </w:pPr>
      <w:r>
        <w:rPr>
          <w:b/>
          <w:bCs/>
        </w:rPr>
        <w:t xml:space="preserve">Étapes détaillées</w:t>
      </w:r>
      <w:r>
        <w:t xml:space="preserve"> </w:t>
      </w:r>
      <w:r>
        <w:t xml:space="preserve">:</w:t>
      </w:r>
    </w:p>
    <w:p>
      <w:pPr>
        <w:pStyle w:val="Compact"/>
        <w:numPr>
          <w:ilvl w:val="0"/>
          <w:numId w:val="1459"/>
        </w:numPr>
      </w:pPr>
      <w:r>
        <w:t xml:space="preserve">Intègre la fonction</w:t>
      </w:r>
      <w:r>
        <w:t xml:space="preserve"> </w:t>
      </w:r>
      <w:r>
        <w:rPr>
          <w:rStyle w:val="VerbatimChar"/>
        </w:rPr>
        <w:t xml:space="preserve">verifier_selinux</w:t>
      </w:r>
      <w:r>
        <w:t xml:space="preserve"> </w:t>
      </w:r>
      <w:r>
        <w:t xml:space="preserve">au script complet, en veillant à ce qu’un refus SELinux détecté incrémente également le compteur</w:t>
      </w:r>
      <w:r>
        <w:t xml:space="preserve"> </w:t>
      </w:r>
      <w:r>
        <w:rPr>
          <w:rStyle w:val="VerbatimChar"/>
        </w:rPr>
        <w:t xml:space="preserve">erreurs</w:t>
      </w:r>
      <w:r>
        <w:t xml:space="preserve">.</w:t>
      </w:r>
    </w:p>
    <w:p>
      <w:pPr>
        <w:pStyle w:val="Compact"/>
        <w:numPr>
          <w:ilvl w:val="0"/>
          <w:numId w:val="1459"/>
        </w:numPr>
      </w:pPr>
      <w:r>
        <w:t xml:space="preserve">Assure-toi que le script respecte toujours</w:t>
      </w:r>
      <w:r>
        <w:t xml:space="preserve"> </w:t>
      </w:r>
      <w:r>
        <w:rPr>
          <w:rStyle w:val="VerbatimChar"/>
        </w:rPr>
        <w:t xml:space="preserve">set -euo pipefail</w:t>
      </w:r>
      <w:r>
        <w:t xml:space="preserve"> </w:t>
      </w:r>
      <w:r>
        <w:t xml:space="preserve">sans provoquer d’arrêt prématuré inattendu (réfléchis à l’effet de</w:t>
      </w:r>
      <w:r>
        <w:t xml:space="preserve"> </w:t>
      </w:r>
      <w:r>
        <w:rPr>
          <w:rStyle w:val="VerbatimChar"/>
        </w:rPr>
        <w:t xml:space="preserve">set -e</w:t>
      </w:r>
      <w:r>
        <w:t xml:space="preserve"> </w:t>
      </w:r>
      <w:r>
        <w:t xml:space="preserve">sur une fonction qui retourne volontairement</w:t>
      </w:r>
      <w:r>
        <w:t xml:space="preserve"> </w:t>
      </w:r>
      <w:r>
        <w:rPr>
          <w:rStyle w:val="VerbatimChar"/>
        </w:rPr>
        <w:t xml:space="preserve">1</w:t>
      </w:r>
      <w:r>
        <w:t xml:space="preserve"> </w:t>
      </w:r>
      <w:r>
        <w:t xml:space="preserve">en cas de détection d’alerte).</w:t>
      </w:r>
    </w:p>
    <w:p>
      <w:pPr>
        <w:pStyle w:val="Compact"/>
        <w:numPr>
          <w:ilvl w:val="0"/>
          <w:numId w:val="1459"/>
        </w:numPr>
      </w:pPr>
      <w:r>
        <w:t xml:space="preserve">Teste ton script modifié (ou décris comment tu le testerais) sur un serveur où tu sais qu’aucun service n’est en erreur, pour confirmer qu’il se termine bien avec le code 0.</w:t>
      </w:r>
    </w:p>
    <w:p>
      <w:pPr>
        <w:pStyle w:val="Compact"/>
        <w:numPr>
          <w:ilvl w:val="0"/>
          <w:numId w:val="1459"/>
        </w:numPr>
      </w:pPr>
      <w:r>
        <w:t xml:space="preserve">Compare ta démarche à la section</w:t>
      </w:r>
      <w:r>
        <w:t xml:space="preserve"> </w:t>
      </w:r>
      <w:r>
        <w:t xml:space="preserve">“Résultat attendu”</w:t>
      </w:r>
      <w:r>
        <w:t xml:space="preserve">.</w:t>
      </w:r>
    </w:p>
    <w:p>
      <w:pPr>
        <w:pStyle w:val="FirstParagraph"/>
      </w:pPr>
      <w:r>
        <w:rPr>
          <w:b/>
          <w:bCs/>
        </w:rPr>
        <w:t xml:space="preserve">Résultat attendu</w:t>
      </w:r>
      <w:r>
        <w:t xml:space="preserve"> </w:t>
      </w:r>
      <w:r>
        <w:t xml:space="preserve">: l’ajout de</w:t>
      </w:r>
      <w:r>
        <w:t xml:space="preserve"> </w:t>
      </w:r>
      <w:r>
        <w:rPr>
          <w:rStyle w:val="VerbatimChar"/>
        </w:rPr>
        <w:t xml:space="preserve">verifier_selinux</w:t>
      </w:r>
      <w:r>
        <w:t xml:space="preserve"> </w:t>
      </w:r>
      <w:r>
        <w:t xml:space="preserve">suit le même patron que les vérifications existantes — appeler la fonction, capturer son code de retour explicitement (</w:t>
      </w:r>
      <w:r>
        <w:rPr>
          <w:rStyle w:val="VerbatimChar"/>
        </w:rPr>
        <w:t xml:space="preserve">if ! verifier_selinux; then erreurs=$((erreurs + 1)); fi</w:t>
      </w:r>
      <w:r>
        <w:t xml:space="preserve">) plutôt que de laisser</w:t>
      </w:r>
      <w:r>
        <w:t xml:space="preserve"> </w:t>
      </w:r>
      <w:r>
        <w:rPr>
          <w:rStyle w:val="VerbatimChar"/>
        </w:rPr>
        <w:t xml:space="preserve">set -e</w:t>
      </w:r>
      <w:r>
        <w:t xml:space="preserve"> </w:t>
      </w:r>
      <w:r>
        <w:t xml:space="preserve">arrêter tout le script au premier retour non nul d’une fonction, ce qui empêcherait les vérifications suivantes de s’exécuter. C’est une nuance importante :</w:t>
      </w:r>
      <w:r>
        <w:t xml:space="preserve"> </w:t>
      </w:r>
      <w:r>
        <w:rPr>
          <w:rStyle w:val="VerbatimChar"/>
        </w:rPr>
        <w:t xml:space="preserve">set -e</w:t>
      </w:r>
      <w:r>
        <w:t xml:space="preserve"> </w:t>
      </w:r>
      <w:r>
        <w:t xml:space="preserve">arrête un script sur une commande qui échoue directement, mais une fonction appelée dans une condition</w:t>
      </w:r>
      <w:r>
        <w:t xml:space="preserve"> </w:t>
      </w:r>
      <w:r>
        <w:rPr>
          <w:rStyle w:val="VerbatimChar"/>
        </w:rPr>
        <w:t xml:space="preserve">if</w:t>
      </w:r>
      <w:r>
        <w:t xml:space="preserve"> </w:t>
      </w:r>
      <w:r>
        <w:t xml:space="preserve">ne déclenche pas cet arrêt automatique — un point souvent mal compris qui mérite d’être vérifié explicitement en le testant.</w:t>
      </w:r>
    </w:p>
    <w:p>
      <w:pPr>
        <w:pStyle w:val="BodyText"/>
      </w:pPr>
      <w:r>
        <w:rPr>
          <w:b/>
          <w:bCs/>
        </w:rPr>
        <w:t xml:space="preserve">Dépannage</w:t>
      </w:r>
      <w:r>
        <w:t xml:space="preserve"> </w:t>
      </w:r>
      <w:r>
        <w:t xml:space="preserve">: si le script s’arrête prématurément dès la première alerte détectée au lieu de continuer les vérifications suivantes, vérifie que chaque appel de fonction pouvant légitimement retourner un code non nul est bien entouré d’une structure conditionnelle (</w:t>
      </w:r>
      <w:r>
        <w:rPr>
          <w:rStyle w:val="VerbatimChar"/>
        </w:rPr>
        <w:t xml:space="preserve">if</w:t>
      </w:r>
      <w:r>
        <w:t xml:space="preserve">), jamais appelé seul en dehors de toute condition.</w:t>
      </w:r>
    </w:p>
    <w:bookmarkEnd w:id="495"/>
    <w:bookmarkStart w:id="496" w:name="erreurs-fréquentes-19"/>
    <w:p>
      <w:pPr>
        <w:pStyle w:val="Heading2"/>
      </w:pPr>
      <w:r>
        <w:t xml:space="preserve">Erreurs fréquentes</w:t>
      </w:r>
    </w:p>
    <w:p>
      <w:pPr>
        <w:pStyle w:val="FirstParagraph"/>
      </w:pPr>
      <w:r>
        <w:t xml:space="preserve">⚠️ Erreur n°1 — variables non quotées</w:t>
      </w:r>
      <w:r>
        <w:t xml:space="preserve"> </w:t>
      </w:r>
      <w:r>
        <w:t xml:space="preserve">Rappel de la section 20.3 : la source la plus fréquente de bugs subtils et de failles potentielles dans un script Bash, à corriger par un réflexe systématique de quoting, pas une vérification ponctuelle au cas par cas.</w:t>
      </w:r>
    </w:p>
    <w:p>
      <w:pPr>
        <w:pStyle w:val="BodyText"/>
      </w:pPr>
      <w:r>
        <w:t xml:space="preserve">⚠️ Erreur n°2 — omettre</w:t>
      </w:r>
      <w:r>
        <w:t xml:space="preserve"> </w:t>
      </w:r>
      <w:r>
        <w:rPr>
          <w:rStyle w:val="VerbatimChar"/>
        </w:rPr>
        <w:t xml:space="preserve">set -euo pipefail</w:t>
      </w:r>
      <w:r>
        <w:t xml:space="preserve"> </w:t>
      </w:r>
      <w:r>
        <w:t xml:space="preserve">Un script sans cette ligne peut continuer à s’exécuter après une commande échouée, sur un état potentiellement incohérent, sans jamais signaler clairement le problème — une source fréquente de scripts qui</w:t>
      </w:r>
      <w:r>
        <w:t xml:space="preserve"> </w:t>
      </w:r>
      <w:r>
        <w:t xml:space="preserve">“semblent fonctionner”</w:t>
      </w:r>
      <w:r>
        <w:t xml:space="preserve"> </w:t>
      </w:r>
      <w:r>
        <w:t xml:space="preserve">tout en cachant des échecs partiels silencieux.</w:t>
      </w:r>
    </w:p>
    <w:p>
      <w:pPr>
        <w:pStyle w:val="BodyText"/>
      </w:pPr>
      <w:r>
        <w:t xml:space="preserve">⚠️ Erreur n°3 — coder des secrets en clair directement dans un script</w:t>
      </w:r>
      <w:r>
        <w:t xml:space="preserve"> </w:t>
      </w:r>
      <w:r>
        <w:t xml:space="preserve">Un mot de passe ou une clé d’API écrit directement dans un script (surtout si ce script est versionné dans un dépôt Git, chapitre 51) l’expose à quiconque a accès au fichier ou à son historique — une pratique à éviter au profit de variables d’environnement ou d’un gestionnaire de secrets dédié, approfondi en Partie 9.</w:t>
      </w:r>
    </w:p>
    <w:bookmarkEnd w:id="496"/>
    <w:bookmarkStart w:id="497" w:name="Xc6e9a9012477ac29e4441566a75853bf8f30426"/>
    <w:p>
      <w:pPr>
        <w:pStyle w:val="Heading2"/>
      </w:pPr>
      <w:r>
        <w:t xml:space="preserve">Diagnostiquer un script qui échoue de façon inattendue</w:t>
      </w:r>
    </w:p>
    <w:p>
      <w:pPr>
        <w:pStyle w:val="FirstParagraph"/>
      </w:pPr>
      <w:r>
        <w:t xml:space="preserve">🩺 Situation :</w:t>
      </w:r>
      <w:r>
        <w:t xml:space="preserve"> </w:t>
      </w:r>
      <w:r>
        <w:t xml:space="preserve">“Le script fonctionne parfois, mais échoue sans raison apparente d’autres fois”</w:t>
      </w:r>
    </w:p>
    <w:p>
      <w:pPr>
        <w:pStyle w:val="Compact"/>
        <w:numPr>
          <w:ilvl w:val="0"/>
          <w:numId w:val="1460"/>
        </w:numPr>
      </w:pPr>
      <w:r>
        <w:rPr>
          <w:b/>
          <w:bCs/>
        </w:rPr>
        <w:t xml:space="preserve">Diagnostic</w:t>
      </w:r>
      <w:r>
        <w:t xml:space="preserve"> </w:t>
      </w:r>
      <w:r>
        <w:t xml:space="preserve">: ce comportement intermittent trahit souvent une dépendance à un état externe non garanti (un fichier qui n’existe pas toujours, une commande qui se comporte différemment selon le contexte d’exécution — notamment entre une exécution manuelle en terminal interactif et une exécution via cron, dont l’environnement est plus minimal).</w:t>
      </w:r>
    </w:p>
    <w:p>
      <w:pPr>
        <w:pStyle w:val="Compact"/>
        <w:numPr>
          <w:ilvl w:val="0"/>
          <w:numId w:val="1460"/>
        </w:numPr>
      </w:pPr>
      <w:r>
        <w:rPr>
          <w:b/>
          <w:bCs/>
        </w:rPr>
        <w:t xml:space="preserve">Comment vérifier</w:t>
      </w:r>
      <w:r>
        <w:t xml:space="preserve"> </w:t>
      </w:r>
      <w:r>
        <w:t xml:space="preserve">: exécuter le script avec l’option</w:t>
      </w:r>
      <w:r>
        <w:t xml:space="preserve"> </w:t>
      </w:r>
      <w:r>
        <w:rPr>
          <w:rStyle w:val="VerbatimChar"/>
        </w:rPr>
        <w:t xml:space="preserve">bash -x nom-du-script.sh</w:t>
      </w:r>
      <w:r>
        <w:t xml:space="preserve">, qui affiche chaque commande réellement exécutée avec les valeurs de variables substituées — un outil de diagnostic bien plus précis que d’ajouter des</w:t>
      </w:r>
      <w:r>
        <w:t xml:space="preserve"> </w:t>
      </w:r>
      <w:r>
        <w:rPr>
          <w:rStyle w:val="VerbatimChar"/>
        </w:rPr>
        <w:t xml:space="preserve">echo</w:t>
      </w:r>
      <w:r>
        <w:t xml:space="preserve"> </w:t>
      </w:r>
      <w:r>
        <w:t xml:space="preserve">manuellement un peu partout dans le script.</w:t>
      </w:r>
    </w:p>
    <w:p>
      <w:pPr>
        <w:pStyle w:val="Compact"/>
        <w:numPr>
          <w:ilvl w:val="0"/>
          <w:numId w:val="1460"/>
        </w:numPr>
      </w:pPr>
      <w:r>
        <w:rPr>
          <w:b/>
          <w:bCs/>
        </w:rPr>
        <w:t xml:space="preserve">Résolution</w:t>
      </w:r>
      <w:r>
        <w:t xml:space="preserve"> </w:t>
      </w:r>
      <w:r>
        <w:t xml:space="preserve">: une fois la commande exacte qui échoue identifiée, vérifier si elle dépend d’une variable d’environnement absente en contexte cron (comme un</w:t>
      </w:r>
      <w:r>
        <w:t xml:space="preserve"> </w:t>
      </w:r>
      <w:r>
        <w:rPr>
          <w:rStyle w:val="VerbatimChar"/>
        </w:rPr>
        <w:t xml:space="preserve">PATH</w:t>
      </w:r>
      <w:r>
        <w:t xml:space="preserve"> </w:t>
      </w:r>
      <w:r>
        <w:t xml:space="preserve">plus restreint que dans un terminal interactif) — une cause extrêmement fréquente de scripts qui</w:t>
      </w:r>
      <w:r>
        <w:t xml:space="preserve"> </w:t>
      </w:r>
      <w:r>
        <w:t xml:space="preserve">“marchent en test mais pas en cron”</w:t>
      </w:r>
      <w:r>
        <w:t xml:space="preserve">.</w:t>
      </w:r>
    </w:p>
    <w:bookmarkEnd w:id="497"/>
    <w:bookmarkStart w:id="498" w:name="en-entreprise-19"/>
    <w:p>
      <w:pPr>
        <w:pStyle w:val="Heading2"/>
      </w:pPr>
      <w:r>
        <w:t xml:space="preserve">En entreprise</w:t>
      </w:r>
    </w:p>
    <w:p>
      <w:pPr>
        <w:pStyle w:val="Compact"/>
        <w:numPr>
          <w:ilvl w:val="0"/>
          <w:numId w:val="1461"/>
        </w:numPr>
      </w:pPr>
      <w:r>
        <w:rPr>
          <w:b/>
          <w:bCs/>
        </w:rPr>
        <w:t xml:space="preserve">Bonne pratique répandue</w:t>
      </w:r>
      <w:r>
        <w:t xml:space="preserve"> </w:t>
      </w:r>
      <w:r>
        <w:t xml:space="preserve">: centraliser les scripts d’administration dans un dépôt Git versionné (chapitre 51), avec une revue avant tout changement significatif — un script de production mérite la même rigueur que le code applicatif lui-même.</w:t>
      </w:r>
    </w:p>
    <w:p>
      <w:pPr>
        <w:pStyle w:val="Compact"/>
        <w:numPr>
          <w:ilvl w:val="0"/>
          <w:numId w:val="1461"/>
        </w:numPr>
      </w:pPr>
      <w:r>
        <w:rPr>
          <w:b/>
          <w:bCs/>
        </w:rPr>
        <w:t xml:space="preserve">Bonne pratique répandue</w:t>
      </w:r>
      <w:r>
        <w:t xml:space="preserve"> </w:t>
      </w:r>
      <w:r>
        <w:t xml:space="preserve">: faire évoluer un script de vérification simple comme celui de ce chapitre vers un véritable outil de supervision (Zabbix, Prometheus, Partie 10) dès que les besoins dépassent une simple vérification quotidienne planifiée par cron.</w:t>
      </w:r>
    </w:p>
    <w:p>
      <w:pPr>
        <w:pStyle w:val="Compact"/>
        <w:numPr>
          <w:ilvl w:val="0"/>
          <w:numId w:val="1461"/>
        </w:numPr>
      </w:pPr>
      <w:r>
        <w:rPr>
          <w:b/>
          <w:bCs/>
        </w:rPr>
        <w:t xml:space="preserve">Erreur classique observée</w:t>
      </w:r>
      <w:r>
        <w:t xml:space="preserve"> </w:t>
      </w:r>
      <w:r>
        <w:t xml:space="preserve">: des scripts critiques accumulés au fil des années par différentes personnes, sans convention commune ni documentation, dont plus personne ne comprend entièrement le fonctionnement — rejoignant directement le risque du</w:t>
      </w:r>
      <w:r>
        <w:t xml:space="preserve"> </w:t>
      </w:r>
      <w:r>
        <w:t xml:space="preserve">“bus factor”</w:t>
      </w:r>
      <w:r>
        <w:t xml:space="preserve"> </w:t>
      </w:r>
      <w:r>
        <w:t xml:space="preserve">de 1 évoqué au chapitre 1.</w:t>
      </w:r>
    </w:p>
    <w:bookmarkEnd w:id="498"/>
    <w:bookmarkStart w:id="499" w:name="entretien-technique-19"/>
    <w:p>
      <w:pPr>
        <w:pStyle w:val="Heading2"/>
      </w:pPr>
      <w:r>
        <w:t xml:space="preserve">Entretien technique</w:t>
      </w:r>
    </w:p>
    <w:p>
      <w:pPr>
        <w:pStyle w:val="FirstParagraph"/>
      </w:pPr>
      <w:r>
        <w:t xml:space="preserve">💼 Questions fréquemment posées en entretien</w:t>
      </w:r>
    </w:p>
    <w:p>
      <w:pPr>
        <w:pStyle w:val="BodyText"/>
      </w:pPr>
      <w:r>
        <w:rPr>
          <w:b/>
          <w:bCs/>
        </w:rPr>
        <w:t xml:space="preserve">Q1.</w:t>
      </w:r>
      <w:r>
        <w:rPr>
          <w:b/>
          <w:bCs/>
        </w:rPr>
        <w:t xml:space="preserve"> </w:t>
      </w:r>
      <w:r>
        <w:rPr>
          <w:b/>
          <w:bCs/>
        </w:rPr>
        <w:t xml:space="preserve">“Que fait</w:t>
      </w:r>
      <w:r>
        <w:rPr>
          <w:b/>
          <w:bCs/>
        </w:rPr>
        <w:t xml:space="preserve"> </w:t>
      </w:r>
      <w:r>
        <w:rPr>
          <w:rStyle w:val="VerbatimChar"/>
          <w:b/>
          <w:bCs/>
        </w:rPr>
        <w:t xml:space="preserve">set -euo pipefail</w:t>
      </w:r>
      <w:r>
        <w:rPr>
          <w:b/>
          <w:bCs/>
        </w:rPr>
        <w:t xml:space="preserve"> </w:t>
      </w:r>
      <w:r>
        <w:rPr>
          <w:b/>
          <w:bCs/>
        </w:rPr>
        <w:t xml:space="preserve">au début d’un script Bash, et pourquoi est-ce important ?”</w:t>
      </w:r>
      <w:r>
        <w:t xml:space="preserve"> </w:t>
      </w:r>
      <w:r>
        <w:t xml:space="preserve">Réponse attendue :</w:t>
      </w:r>
      <w:r>
        <w:t xml:space="preserve"> </w:t>
      </w:r>
      <w:r>
        <w:rPr>
          <w:rStyle w:val="VerbatimChar"/>
        </w:rPr>
        <w:t xml:space="preserve">-e</w:t>
      </w:r>
      <w:r>
        <w:t xml:space="preserve"> </w:t>
      </w:r>
      <w:r>
        <w:t xml:space="preserve">arrête le script sur une commande échouée,</w:t>
      </w:r>
      <w:r>
        <w:t xml:space="preserve"> </w:t>
      </w:r>
      <w:r>
        <w:rPr>
          <w:rStyle w:val="VerbatimChar"/>
        </w:rPr>
        <w:t xml:space="preserve">-u</w:t>
      </w:r>
      <w:r>
        <w:t xml:space="preserve"> </w:t>
      </w:r>
      <w:r>
        <w:t xml:space="preserve">signale les variables non définies,</w:t>
      </w:r>
      <w:r>
        <w:t xml:space="preserve"> </w:t>
      </w:r>
      <w:r>
        <w:rPr>
          <w:rStyle w:val="VerbatimChar"/>
        </w:rPr>
        <w:t xml:space="preserve">-o pipefail</w:t>
      </w:r>
      <w:r>
        <w:t xml:space="preserve"> </w:t>
      </w:r>
      <w:r>
        <w:t xml:space="preserve">fait échouer un pipeline si n’importe laquelle de ses commandes échoue — ensemble, ces options rendent un script beaucoup plus fiable en évitant qu’il continue silencieusement sur un état incohérent.</w:t>
      </w:r>
    </w:p>
    <w:p>
      <w:pPr>
        <w:pStyle w:val="BodyText"/>
      </w:pPr>
      <w:r>
        <w:rPr>
          <w:b/>
          <w:bCs/>
        </w:rPr>
        <w:t xml:space="preserve">Q2.</w:t>
      </w:r>
      <w:r>
        <w:rPr>
          <w:b/>
          <w:bCs/>
        </w:rPr>
        <w:t xml:space="preserve"> </w:t>
      </w:r>
      <w:r>
        <w:rPr>
          <w:b/>
          <w:bCs/>
        </w:rPr>
        <w:t xml:space="preserve">“Pourquoi faut-il toujours quoter les variables dans un script Bash ?”</w:t>
      </w:r>
      <w:r>
        <w:t xml:space="preserve"> </w:t>
      </w:r>
      <w:r>
        <w:t xml:space="preserve">Réponse attendue : une variable non quotée est sujette au word-splitting, redécoupée selon les espaces qu’elle contient — un comportement qui peut causer des bugs subtils (traitement incorrect de noms de fichiers avec espaces) voire des failles de sécurité si la variable provient d’une source externe non maîtrisée.</w:t>
      </w:r>
    </w:p>
    <w:p>
      <w:pPr>
        <w:pStyle w:val="BodyText"/>
      </w:pPr>
      <w:r>
        <w:rPr>
          <w:b/>
          <w:bCs/>
        </w:rPr>
        <w:t xml:space="preserve">Q3.</w:t>
      </w:r>
      <w:r>
        <w:rPr>
          <w:b/>
          <w:bCs/>
        </w:rPr>
        <w:t xml:space="preserve"> </w:t>
      </w:r>
      <w:r>
        <w:rPr>
          <w:b/>
          <w:bCs/>
        </w:rPr>
        <w:t xml:space="preserve">“Comment déboguerais-tu un script Bash qui échoue de façon imprévisible ?”</w:t>
      </w:r>
      <w:r>
        <w:t xml:space="preserve"> </w:t>
      </w:r>
      <w:r>
        <w:t xml:space="preserve">Réponse attendue : utiliser</w:t>
      </w:r>
      <w:r>
        <w:t xml:space="preserve"> </w:t>
      </w:r>
      <w:r>
        <w:rPr>
          <w:rStyle w:val="VerbatimChar"/>
        </w:rPr>
        <w:t xml:space="preserve">bash -x</w:t>
      </w:r>
      <w:r>
        <w:t xml:space="preserve"> </w:t>
      </w:r>
      <w:r>
        <w:t xml:space="preserve">pour tracer précisément chaque commande exécutée et les valeurs réelles des variables, et vérifier en priorité les différences d’environnement entre une exécution manuelle en terminal et une exécution automatisée (via cron notamment), une cause très fréquente de comportement intermittent.</w:t>
      </w:r>
    </w:p>
    <w:bookmarkEnd w:id="499"/>
    <w:bookmarkStart w:id="500" w:name="Xec223b0c539fc8a9b9e5ffc4c97ae06342483d7"/>
    <w:p>
      <w:pPr>
        <w:pStyle w:val="Heading2"/>
      </w:pPr>
      <w:r>
        <w:t xml:space="preserve">Optimisation, sécurité et maintenabilité — les réflexes dès ce chapitre</w:t>
      </w:r>
    </w:p>
    <w:p>
      <w:pPr>
        <w:pStyle w:val="FirstParagraph"/>
      </w:pPr>
      <w:r>
        <w:t xml:space="preserve">🔒 Sécurité</w:t>
      </w:r>
      <w:r>
        <w:t xml:space="preserve"> </w:t>
      </w:r>
      <w:r>
        <w:t xml:space="preserve">Ne jamais coder un secret (mot de passe, clé d’API) en clair dans un script — utiliser des variables d’environnement, un fichier de configuration exclu du contrôle de version (chapitre 51), ou un gestionnaire de secrets dédié selon le contexte (Partie 9).</w:t>
      </w:r>
    </w:p>
    <w:p>
      <w:pPr>
        <w:pStyle w:val="BodyText"/>
      </w:pPr>
      <w:r>
        <w:t xml:space="preserve">✅ Maintenabilité</w:t>
      </w:r>
      <w:r>
        <w:t xml:space="preserve"> </w:t>
      </w:r>
      <w:r>
        <w:t xml:space="preserve">Commente chaque script au-delà de l’évidence (pourquoi ce seuil précis, pourquoi cette commande plutôt qu’une autre) et documente-le dans la CMDB (chapitre 3) — un script non documenté, découvert des années plus tard par quelqu’un d’autre, pose exactement les mêmes questions qu’une GPO ou un dépôt tiers non documenté.</w:t>
      </w:r>
    </w:p>
    <w:p>
      <w:pPr>
        <w:pStyle w:val="BodyText"/>
      </w:pPr>
      <w:r>
        <w:t xml:space="preserve">🚀 Performance</w:t>
      </w:r>
      <w:r>
        <w:t xml:space="preserve"> </w:t>
      </w:r>
      <w:r>
        <w:t xml:space="preserve">Un script de vérification simple planifié par cron (section 20.8) est un excellent point de départ, mais atteint vite ses limites de flexibilité et de visibilité (pas d’historique graphique, pas d’alerte automatique par SMS/email) par rapport à un véritable outil de supervision — sache reconnaître le moment où faire évoluer une solution artisanale vers un outil dédié (Partie 10), plutôt que d’empiler indéfiniment des scripts de plus en plus complexes.</w:t>
      </w:r>
    </w:p>
    <w:bookmarkEnd w:id="500"/>
    <w:bookmarkStart w:id="501" w:name="résumé-du-chapitre-19"/>
    <w:p>
      <w:pPr>
        <w:pStyle w:val="Heading2"/>
      </w:pPr>
      <w:r>
        <w:t xml:space="preserve">Résumé du chapitre</w:t>
      </w:r>
    </w:p>
    <w:p>
      <w:pPr>
        <w:pStyle w:val="Compact"/>
        <w:numPr>
          <w:ilvl w:val="0"/>
          <w:numId w:val="1462"/>
        </w:numPr>
      </w:pPr>
      <w:r>
        <w:t xml:space="preserve">Automatiser une vérification répétitive via un script réduit le risque d’oubli humain et libère du temps pour des tâches à plus forte valeur ajoutée.</w:t>
      </w:r>
    </w:p>
    <w:p>
      <w:pPr>
        <w:pStyle w:val="Compact"/>
        <w:numPr>
          <w:ilvl w:val="0"/>
          <w:numId w:val="1462"/>
        </w:numPr>
      </w:pPr>
      <w:r>
        <w:rPr>
          <w:rStyle w:val="VerbatimChar"/>
        </w:rPr>
        <w:t xml:space="preserve">set -euo pipefail</w:t>
      </w:r>
      <w:r>
        <w:t xml:space="preserve"> </w:t>
      </w:r>
      <w:r>
        <w:t xml:space="preserve">en début de script est une pratique quasi systématique en administration système sérieuse.</w:t>
      </w:r>
    </w:p>
    <w:p>
      <w:pPr>
        <w:pStyle w:val="Compact"/>
        <w:numPr>
          <w:ilvl w:val="0"/>
          <w:numId w:val="1462"/>
        </w:numPr>
      </w:pPr>
      <w:r>
        <w:t xml:space="preserve">Les variables doivent toujours être quotées pour éviter le piège du word-splitting, une source fréquente de bugs et de risques de sécurité.</w:t>
      </w:r>
    </w:p>
    <w:p>
      <w:pPr>
        <w:pStyle w:val="Compact"/>
        <w:numPr>
          <w:ilvl w:val="0"/>
          <w:numId w:val="1462"/>
        </w:numPr>
      </w:pPr>
      <w:r>
        <w:t xml:space="preserve">Les fonctions avec</w:t>
      </w:r>
      <w:r>
        <w:t xml:space="preserve"> </w:t>
      </w:r>
      <w:r>
        <w:rPr>
          <w:rStyle w:val="VerbatimChar"/>
        </w:rPr>
        <w:t xml:space="preserve">local</w:t>
      </w:r>
      <w:r>
        <w:t xml:space="preserve"> </w:t>
      </w:r>
      <w:r>
        <w:t xml:space="preserve">rendent un script modulaire et évitent les conflits de variables.</w:t>
      </w:r>
    </w:p>
    <w:p>
      <w:pPr>
        <w:pStyle w:val="Compact"/>
        <w:numPr>
          <w:ilvl w:val="0"/>
          <w:numId w:val="1462"/>
        </w:numPr>
      </w:pPr>
      <w:r>
        <w:t xml:space="preserve">Un script automatisé doit toujours journaliser ses actions et son résultat, avec un code de sortie exploitable par un outil externe.</w:t>
      </w:r>
    </w:p>
    <w:p>
      <w:pPr>
        <w:pStyle w:val="Compact"/>
        <w:numPr>
          <w:ilvl w:val="0"/>
          <w:numId w:val="1462"/>
        </w:numPr>
      </w:pPr>
      <w:r>
        <w:rPr>
          <w:rStyle w:val="VerbatimChar"/>
        </w:rPr>
        <w:t xml:space="preserve">cron</w:t>
      </w:r>
      <w:r>
        <w:t xml:space="preserve"> </w:t>
      </w:r>
      <w:r>
        <w:t xml:space="preserve">planifie l’exécution automatique d’un script, avec une redirection systématique de sa sortie vers un journal.</w:t>
      </w:r>
    </w:p>
    <w:bookmarkEnd w:id="501"/>
    <w:bookmarkStart w:id="502" w:name="quiz-19"/>
    <w:p>
      <w:pPr>
        <w:pStyle w:val="Heading2"/>
      </w:pPr>
      <w:r>
        <w:t xml:space="preserve">Quiz</w:t>
      </w:r>
    </w:p>
    <w:p>
      <w:pPr>
        <w:pStyle w:val="FirstParagraph"/>
      </w:pPr>
      <w:r>
        <w:t xml:space="preserve">📝 QCM (une seule bonne réponse par question)</w:t>
      </w:r>
    </w:p>
    <w:p>
      <w:pPr>
        <w:pStyle w:val="Compact"/>
        <w:numPr>
          <w:ilvl w:val="0"/>
          <w:numId w:val="1463"/>
        </w:numPr>
      </w:pPr>
      <w:r>
        <w:rPr>
          <w:rStyle w:val="VerbatimChar"/>
        </w:rPr>
        <w:t xml:space="preserve">set -e</w:t>
      </w:r>
      <w:r>
        <w:t xml:space="preserve"> </w:t>
      </w:r>
      <w:r>
        <w:t xml:space="preserve">dans un script Bash provoque :</w:t>
      </w:r>
    </w:p>
    <w:p>
      <w:pPr>
        <w:pStyle w:val="Compact"/>
        <w:numPr>
          <w:ilvl w:val="1"/>
          <w:numId w:val="1464"/>
        </w:numPr>
      </w:pPr>
    </w:p>
    <w:p>
      <w:pPr>
        <w:pStyle w:val="Compact"/>
        <w:numPr>
          <w:ilvl w:val="2"/>
          <w:numId w:val="1465"/>
        </w:numPr>
      </w:pPr>
      <w:r>
        <w:t xml:space="preserve">L’arrêt du script dès qu’une commande échoue</w:t>
      </w:r>
    </w:p>
    <w:p>
      <w:pPr>
        <w:pStyle w:val="Compact"/>
        <w:numPr>
          <w:ilvl w:val="1"/>
          <w:numId w:val="1464"/>
        </w:numPr>
      </w:pPr>
    </w:p>
    <w:p>
      <w:pPr>
        <w:pStyle w:val="Compact"/>
        <w:numPr>
          <w:ilvl w:val="2"/>
          <w:numId w:val="1466"/>
        </w:numPr>
      </w:pPr>
      <w:r>
        <w:t xml:space="preserve">L’exécution du script en mode silencieux</w:t>
      </w:r>
    </w:p>
    <w:p>
      <w:pPr>
        <w:pStyle w:val="Compact"/>
        <w:numPr>
          <w:ilvl w:val="1"/>
          <w:numId w:val="1464"/>
        </w:numPr>
      </w:pPr>
    </w:p>
    <w:p>
      <w:pPr>
        <w:pStyle w:val="Compact"/>
        <w:numPr>
          <w:ilvl w:val="2"/>
          <w:numId w:val="1467"/>
        </w:numPr>
      </w:pPr>
      <w:r>
        <w:t xml:space="preserve">L’affichage de chaque commande avant son exécution</w:t>
      </w:r>
    </w:p>
    <w:p>
      <w:pPr>
        <w:pStyle w:val="Compact"/>
        <w:numPr>
          <w:ilvl w:val="1"/>
          <w:numId w:val="1464"/>
        </w:numPr>
      </w:pPr>
    </w:p>
    <w:p>
      <w:pPr>
        <w:pStyle w:val="Compact"/>
        <w:numPr>
          <w:ilvl w:val="2"/>
          <w:numId w:val="1468"/>
        </w:numPr>
      </w:pPr>
      <w:r>
        <w:t xml:space="preserve">La désactivation des variables d’environnement</w:t>
      </w:r>
    </w:p>
    <w:p>
      <w:pPr>
        <w:pStyle w:val="Compact"/>
        <w:numPr>
          <w:ilvl w:val="0"/>
          <w:numId w:val="1463"/>
        </w:numPr>
      </w:pPr>
      <w:r>
        <w:t xml:space="preserve">Le piège du</w:t>
      </w:r>
      <w:r>
        <w:t xml:space="preserve"> </w:t>
      </w:r>
      <w:r>
        <w:t xml:space="preserve">“word-splitting”</w:t>
      </w:r>
      <w:r>
        <w:t xml:space="preserve"> </w:t>
      </w:r>
      <w:r>
        <w:t xml:space="preserve">concerne :</w:t>
      </w:r>
    </w:p>
    <w:p>
      <w:pPr>
        <w:pStyle w:val="Compact"/>
        <w:numPr>
          <w:ilvl w:val="1"/>
          <w:numId w:val="1469"/>
        </w:numPr>
      </w:pPr>
    </w:p>
    <w:p>
      <w:pPr>
        <w:pStyle w:val="Compact"/>
        <w:numPr>
          <w:ilvl w:val="2"/>
          <w:numId w:val="1470"/>
        </w:numPr>
      </w:pPr>
      <w:r>
        <w:t xml:space="preserve">Les commentaires mal formatés</w:t>
      </w:r>
    </w:p>
    <w:p>
      <w:pPr>
        <w:pStyle w:val="Compact"/>
        <w:numPr>
          <w:ilvl w:val="1"/>
          <w:numId w:val="1469"/>
        </w:numPr>
      </w:pPr>
    </w:p>
    <w:p>
      <w:pPr>
        <w:pStyle w:val="Compact"/>
        <w:numPr>
          <w:ilvl w:val="2"/>
          <w:numId w:val="1471"/>
        </w:numPr>
      </w:pPr>
      <w:r>
        <w:t xml:space="preserve">Les variables non quotées, redécoupées selon les espaces qu’elles contiennent</w:t>
      </w:r>
    </w:p>
    <w:p>
      <w:pPr>
        <w:pStyle w:val="Compact"/>
        <w:numPr>
          <w:ilvl w:val="1"/>
          <w:numId w:val="1469"/>
        </w:numPr>
      </w:pPr>
    </w:p>
    <w:p>
      <w:pPr>
        <w:pStyle w:val="Compact"/>
        <w:numPr>
          <w:ilvl w:val="2"/>
          <w:numId w:val="1472"/>
        </w:numPr>
      </w:pPr>
      <w:r>
        <w:t xml:space="preserve">Les fonctions sans paramètres</w:t>
      </w:r>
    </w:p>
    <w:p>
      <w:pPr>
        <w:pStyle w:val="Compact"/>
        <w:numPr>
          <w:ilvl w:val="1"/>
          <w:numId w:val="1469"/>
        </w:numPr>
      </w:pPr>
    </w:p>
    <w:p>
      <w:pPr>
        <w:pStyle w:val="Compact"/>
        <w:numPr>
          <w:ilvl w:val="2"/>
          <w:numId w:val="1473"/>
        </w:numPr>
      </w:pPr>
      <w:r>
        <w:t xml:space="preserve">Les fichiers journaux trop volumineux</w:t>
      </w:r>
    </w:p>
    <w:p>
      <w:pPr>
        <w:pStyle w:val="Compact"/>
        <w:numPr>
          <w:ilvl w:val="0"/>
          <w:numId w:val="1463"/>
        </w:numPr>
      </w:pPr>
      <w:r>
        <w:t xml:space="preserve">Pour planifier l’exécution automatique quotidienne d’un script, on utilise :</w:t>
      </w:r>
    </w:p>
    <w:p>
      <w:pPr>
        <w:pStyle w:val="Compact"/>
        <w:numPr>
          <w:ilvl w:val="1"/>
          <w:numId w:val="1474"/>
        </w:numPr>
      </w:pPr>
    </w:p>
    <w:p>
      <w:pPr>
        <w:pStyle w:val="Compact"/>
        <w:numPr>
          <w:ilvl w:val="2"/>
          <w:numId w:val="1475"/>
        </w:numPr>
      </w:pPr>
      <w:r>
        <w:rPr>
          <w:rStyle w:val="VerbatimChar"/>
        </w:rPr>
        <w:t xml:space="preserve">systemctl schedule</w:t>
      </w:r>
    </w:p>
    <w:p>
      <w:pPr>
        <w:pStyle w:val="Compact"/>
        <w:numPr>
          <w:ilvl w:val="1"/>
          <w:numId w:val="1474"/>
        </w:numPr>
      </w:pPr>
    </w:p>
    <w:p>
      <w:pPr>
        <w:pStyle w:val="Compact"/>
        <w:numPr>
          <w:ilvl w:val="2"/>
          <w:numId w:val="1476"/>
        </w:numPr>
      </w:pPr>
      <w:r>
        <w:rPr>
          <w:rStyle w:val="VerbatimChar"/>
        </w:rPr>
        <w:t xml:space="preserve">cron</w:t>
      </w:r>
    </w:p>
    <w:p>
      <w:pPr>
        <w:pStyle w:val="Compact"/>
        <w:numPr>
          <w:ilvl w:val="1"/>
          <w:numId w:val="1474"/>
        </w:numPr>
      </w:pPr>
    </w:p>
    <w:p>
      <w:pPr>
        <w:pStyle w:val="Compact"/>
        <w:numPr>
          <w:ilvl w:val="2"/>
          <w:numId w:val="1477"/>
        </w:numPr>
      </w:pPr>
      <w:r>
        <w:rPr>
          <w:rStyle w:val="VerbatimChar"/>
        </w:rPr>
        <w:t xml:space="preserve">apt schedule</w:t>
      </w:r>
    </w:p>
    <w:p>
      <w:pPr>
        <w:pStyle w:val="Compact"/>
        <w:numPr>
          <w:ilvl w:val="1"/>
          <w:numId w:val="1474"/>
        </w:numPr>
      </w:pPr>
    </w:p>
    <w:p>
      <w:pPr>
        <w:pStyle w:val="Compact"/>
        <w:numPr>
          <w:ilvl w:val="2"/>
          <w:numId w:val="1478"/>
        </w:numPr>
      </w:pPr>
      <w:r>
        <w:rPr>
          <w:rStyle w:val="VerbatimChar"/>
        </w:rPr>
        <w:t xml:space="preserve">bash --daily</w:t>
      </w:r>
    </w:p>
    <w:p>
      <w:pPr>
        <w:pStyle w:val="FirstParagraph"/>
      </w:pPr>
      <w:r>
        <w:rPr>
          <w:b/>
          <w:bCs/>
        </w:rPr>
        <w:t xml:space="preserve">Corrigé</w:t>
      </w:r>
      <w:r>
        <w:t xml:space="preserve"> </w:t>
      </w:r>
      <w:r>
        <w:t xml:space="preserve">: 1-a, 2-b, 3-b.</w:t>
      </w:r>
    </w:p>
    <w:p>
      <w:pPr>
        <w:pStyle w:val="BodyText"/>
      </w:pPr>
      <w:r>
        <w:t xml:space="preserve">📝 Vrai ou Faux</w:t>
      </w:r>
    </w:p>
    <w:p>
      <w:pPr>
        <w:pStyle w:val="Compact"/>
        <w:numPr>
          <w:ilvl w:val="0"/>
          <w:numId w:val="1479"/>
        </w:numPr>
      </w:pPr>
      <w:r>
        <w:t xml:space="preserve">Une variable non quotée dans Bash est toujours traitée exactement comme si elle était quotée. —</w:t>
      </w:r>
      <w:r>
        <w:t xml:space="preserve"> </w:t>
      </w:r>
      <w:r>
        <w:rPr>
          <w:b/>
          <w:bCs/>
        </w:rPr>
        <w:t xml:space="preserve">Faux</w:t>
      </w:r>
      <w:r>
        <w:t xml:space="preserve"> </w:t>
      </w:r>
      <w:r>
        <w:t xml:space="preserve">(elle est sujette au word-splitting, section 20.3).</w:t>
      </w:r>
    </w:p>
    <w:p>
      <w:pPr>
        <w:pStyle w:val="Compact"/>
        <w:numPr>
          <w:ilvl w:val="0"/>
          <w:numId w:val="1479"/>
        </w:numPr>
      </w:pPr>
      <w:r>
        <w:rPr>
          <w:rStyle w:val="VerbatimChar"/>
        </w:rPr>
        <w:t xml:space="preserve">local</w:t>
      </w:r>
      <w:r>
        <w:t xml:space="preserve"> </w:t>
      </w:r>
      <w:r>
        <w:t xml:space="preserve">à l’intérieur d’une fonction évite les conflits avec des variables de même nom ailleurs dans le script. —</w:t>
      </w:r>
      <w:r>
        <w:t xml:space="preserve"> </w:t>
      </w:r>
      <w:r>
        <w:rPr>
          <w:b/>
          <w:bCs/>
        </w:rPr>
        <w:t xml:space="preserve">Vrai</w:t>
      </w:r>
      <w:r>
        <w:t xml:space="preserve">.</w:t>
      </w:r>
    </w:p>
    <w:p>
      <w:pPr>
        <w:pStyle w:val="Compact"/>
        <w:numPr>
          <w:ilvl w:val="0"/>
          <w:numId w:val="1479"/>
        </w:numPr>
      </w:pPr>
      <w:r>
        <w:t xml:space="preserve">Une tâche cron hérite automatiquement du même environnement complet qu’un terminal interactif. —</w:t>
      </w:r>
      <w:r>
        <w:t xml:space="preserve"> </w:t>
      </w:r>
      <w:r>
        <w:rPr>
          <w:b/>
          <w:bCs/>
        </w:rPr>
        <w:t xml:space="preserve">Faux</w:t>
      </w:r>
      <w:r>
        <w:t xml:space="preserve"> </w:t>
      </w:r>
      <w:r>
        <w:t xml:space="preserve">(l’environnement cron est souvent plus restreint, source fréquente de bugs).</w:t>
      </w:r>
    </w:p>
    <w:p>
      <w:pPr>
        <w:pStyle w:val="Compact"/>
        <w:numPr>
          <w:ilvl w:val="0"/>
          <w:numId w:val="1479"/>
        </w:numPr>
      </w:pPr>
      <w:r>
        <w:t xml:space="preserve">Coder un mot de passe en clair dans un script versionné dans Git est une pratique recommandée pour simplifier la maintenance. —</w:t>
      </w:r>
      <w:r>
        <w:t xml:space="preserve"> </w:t>
      </w:r>
      <w:r>
        <w:rPr>
          <w:b/>
          <w:bCs/>
        </w:rPr>
        <w:t xml:space="preserve">Faux</w:t>
      </w:r>
      <w:r>
        <w:t xml:space="preserve"> </w:t>
      </w:r>
      <w:r>
        <w:t xml:space="preserve">(une pratique dangereuse à éviter, section erreurs fréquentes).</w:t>
      </w:r>
    </w:p>
    <w:p>
      <w:pPr>
        <w:pStyle w:val="FirstParagraph"/>
      </w:pPr>
      <w:r>
        <w:t xml:space="preserve">📝 Questions ouvertes</w:t>
      </w:r>
    </w:p>
    <w:p>
      <w:pPr>
        <w:pStyle w:val="Compact"/>
        <w:numPr>
          <w:ilvl w:val="0"/>
          <w:numId w:val="1480"/>
        </w:numPr>
      </w:pPr>
      <w:r>
        <w:t xml:space="preserve">Explique pourquoi un script sans aucune journalisation devient difficile à faire confiance une fois planifié automatiquement via cron.</w:t>
      </w:r>
    </w:p>
    <w:p>
      <w:pPr>
        <w:pStyle w:val="Compact"/>
        <w:numPr>
          <w:ilvl w:val="0"/>
          <w:numId w:val="1480"/>
        </w:numPr>
      </w:pPr>
      <w:r>
        <w:t xml:space="preserve">Reprends le scénario d’ouverture. Explique en 3-4 phrases comment tu répondrais au DSI si le script automatisé, une fois en place, ratait quand même un incident réel (par exemple, un quatrième service critique ajouté plus tard, jamais inclus dans la liste</w:t>
      </w:r>
      <w:r>
        <w:t xml:space="preserve"> </w:t>
      </w:r>
      <w:r>
        <w:rPr>
          <w:rStyle w:val="VerbatimChar"/>
        </w:rPr>
        <w:t xml:space="preserve">services</w:t>
      </w:r>
      <w:r>
        <w:t xml:space="preserve"> </w:t>
      </w:r>
      <w:r>
        <w:t xml:space="preserve">du script).</w:t>
      </w:r>
    </w:p>
    <w:p>
      <w:pPr>
        <w:pStyle w:val="FirstParagraph"/>
      </w:pPr>
      <w:r>
        <w:rPr>
          <w:b/>
          <w:bCs/>
        </w:rPr>
        <w:t xml:space="preserve">Corrigé 1</w:t>
      </w:r>
      <w:r>
        <w:t xml:space="preserve"> </w:t>
      </w:r>
      <w:r>
        <w:t xml:space="preserve">: sans journalisation, il est impossible de savoir après coup si le script s’est réellement exécuté, à quelle heure, et avec quel résultat — un script qui échoue silencieusement (par exemple, une erreur de permission empêchant son exécution complète) peut donner une fausse impression de sécurité pendant des semaines, jusqu’à ce qu’un incident réel révèle que la vérification automatisée n’avait en réalité jamais fonctionné correctement.</w:t>
      </w:r>
    </w:p>
    <w:p>
      <w:pPr>
        <w:pStyle w:val="BodyText"/>
      </w:pPr>
      <w:r>
        <w:rPr>
          <w:b/>
          <w:bCs/>
        </w:rPr>
        <w:t xml:space="preserve">Corrigé 2</w:t>
      </w:r>
      <w:r>
        <w:t xml:space="preserve"> </w:t>
      </w:r>
      <w:r>
        <w:t xml:space="preserve">: je reconnaîtrais que ce script vérifie exactement ce qu’on lui a explicitement demandé de vérifier, mais rien de plus — un service ajouté après sa création reste invisible tant que le script n’est pas mis à jour en conséquence, exactement comme une documentation qui n’est pas tenue à jour après un changement (chapitre 3). Je proposerais d’intégrer la mise à jour de ce script comme étape systématique de toute procédure de déploiement d’un nouveau service critique (rejoignant le processus de changement du chapitre 2), plutôt que de le laisser devenir obsolète silencieusement au fil du temps.</w:t>
      </w:r>
    </w:p>
    <w:bookmarkEnd w:id="502"/>
    <w:bookmarkStart w:id="503" w:name="exercices-19"/>
    <w:p>
      <w:pPr>
        <w:pStyle w:val="Heading2"/>
      </w:pPr>
      <w:r>
        <w:t xml:space="preserve">Exercices</w:t>
      </w:r>
    </w:p>
    <w:p>
      <w:pPr>
        <w:pStyle w:val="FirstParagraph"/>
      </w:pPr>
      <w:r>
        <w:t xml:space="preserve">📝 Exercice 20.1</w:t>
      </w:r>
    </w:p>
    <w:p>
      <w:pPr>
        <w:pStyle w:val="BodyText"/>
      </w:pPr>
      <w:r>
        <w:t xml:space="preserve">Un script contient la ligne</w:t>
      </w:r>
      <w:r>
        <w:t xml:space="preserve"> </w:t>
      </w:r>
      <w:r>
        <w:rPr>
          <w:rStyle w:val="VerbatimChar"/>
        </w:rPr>
        <w:t xml:space="preserve">rm -rf $dossier_temp/*</w:t>
      </w:r>
      <w:r>
        <w:t xml:space="preserve">, où</w:t>
      </w:r>
      <w:r>
        <w:t xml:space="preserve"> </w:t>
      </w:r>
      <w:r>
        <w:rPr>
          <w:rStyle w:val="VerbatimChar"/>
        </w:rPr>
        <w:t xml:space="preserve">$dossier_temp</w:t>
      </w:r>
      <w:r>
        <w:t xml:space="preserve"> </w:t>
      </w:r>
      <w:r>
        <w:t xml:space="preserve">provient d’une entrée utilisateur non validée. Explique le risque exact si</w:t>
      </w:r>
      <w:r>
        <w:t xml:space="preserve"> </w:t>
      </w:r>
      <w:r>
        <w:rPr>
          <w:rStyle w:val="VerbatimChar"/>
        </w:rPr>
        <w:t xml:space="preserve">$dossier_temp</w:t>
      </w:r>
      <w:r>
        <w:t xml:space="preserve"> </w:t>
      </w:r>
      <w:r>
        <w:t xml:space="preserve">est vide ou non défini, et propose une correction en t’appuyant sur les sections 20.2 et 20.3.</w:t>
      </w:r>
    </w:p>
    <w:p>
      <w:pPr>
        <w:pStyle w:val="BodyText"/>
      </w:pPr>
      <w:r>
        <w:rPr>
          <w:b/>
          <w:bCs/>
        </w:rPr>
        <w:t xml:space="preserve">Corrigé :</w:t>
      </w:r>
      <w:r>
        <w:t xml:space="preserve"> </w:t>
      </w:r>
      <w:r>
        <w:t xml:space="preserve">Si</w:t>
      </w:r>
      <w:r>
        <w:t xml:space="preserve"> </w:t>
      </w:r>
      <w:r>
        <w:rPr>
          <w:rStyle w:val="VerbatimChar"/>
        </w:rPr>
        <w:t xml:space="preserve">$dossier_temp</w:t>
      </w:r>
      <w:r>
        <w:t xml:space="preserve"> </w:t>
      </w:r>
      <w:r>
        <w:t xml:space="preserve">est vide (chaîne vide) ou non défini, la commande devient effectivement</w:t>
      </w:r>
      <w:r>
        <w:t xml:space="preserve"> </w:t>
      </w:r>
      <w:r>
        <w:rPr>
          <w:rStyle w:val="VerbatimChar"/>
        </w:rPr>
        <w:t xml:space="preserve">rm -rf /*</w:t>
      </w:r>
      <w:r>
        <w:t xml:space="preserve"> </w:t>
      </w:r>
      <w:r>
        <w:t xml:space="preserve">— une tentative de suppression récursive et forcée de la racine du système de fichiers, potentiellement catastrophique. La correction combine deux réflexes de ce chapitre :</w:t>
      </w:r>
      <w:r>
        <w:t xml:space="preserve"> </w:t>
      </w:r>
      <w:r>
        <w:rPr>
          <w:rStyle w:val="VerbatimChar"/>
        </w:rPr>
        <w:t xml:space="preserve">set -u</w:t>
      </w:r>
      <w:r>
        <w:t xml:space="preserve"> </w:t>
      </w:r>
      <w:r>
        <w:t xml:space="preserve">(section 20.2) ferait échouer le script immédiatement si</w:t>
      </w:r>
      <w:r>
        <w:t xml:space="preserve"> </w:t>
      </w:r>
      <w:r>
        <w:rPr>
          <w:rStyle w:val="VerbatimChar"/>
        </w:rPr>
        <w:t xml:space="preserve">$dossier_temp</w:t>
      </w:r>
      <w:r>
        <w:t xml:space="preserve"> </w:t>
      </w:r>
      <w:r>
        <w:t xml:space="preserve">n’est pas défini, et quoter la variable (</w:t>
      </w:r>
      <w:r>
        <w:rPr>
          <w:rStyle w:val="VerbatimChar"/>
        </w:rPr>
        <w:t xml:space="preserve">rm -rf "${dossier_temp:?Variable dossier_temp non definie}"/*</w:t>
      </w:r>
      <w:r>
        <w:t xml:space="preserve">) ajoute une vérification explicite supplémentaire qui interrompt le script avec un message clair plutôt que d’exécuter une commande destructrice sur une valeur inattendue.</w:t>
      </w:r>
    </w:p>
    <w:p>
      <w:pPr>
        <w:pStyle w:val="BodyText"/>
      </w:pPr>
      <w:r>
        <w:t xml:space="preserve">📝 Exercice 20.2</w:t>
      </w:r>
    </w:p>
    <w:p>
      <w:pPr>
        <w:pStyle w:val="BodyText"/>
      </w:pPr>
      <w:r>
        <w:t xml:space="preserve">Rédige, en 3 à 5 phrases, pourquoi</w:t>
      </w:r>
      <w:r>
        <w:t xml:space="preserve"> </w:t>
      </w:r>
      <w:r>
        <w:rPr>
          <w:rStyle w:val="VerbatimChar"/>
        </w:rPr>
        <w:t xml:space="preserve">bash -x</w:t>
      </w:r>
      <w:r>
        <w:t xml:space="preserve"> </w:t>
      </w:r>
      <w:r>
        <w:t xml:space="preserve">est un outil de diagnostic plus fiable que d’ajouter manuellement des</w:t>
      </w:r>
      <w:r>
        <w:t xml:space="preserve"> </w:t>
      </w:r>
      <w:r>
        <w:rPr>
          <w:rStyle w:val="VerbatimChar"/>
        </w:rPr>
        <w:t xml:space="preserve">echo</w:t>
      </w:r>
      <w:r>
        <w:t xml:space="preserve"> </w:t>
      </w:r>
      <w:r>
        <w:t xml:space="preserve">à différents endroits d’un script pour comprendre où il échoue.</w:t>
      </w:r>
    </w:p>
    <w:p>
      <w:pPr>
        <w:pStyle w:val="BodyText"/>
      </w:pPr>
      <w:r>
        <w:rPr>
          <w:b/>
          <w:bCs/>
        </w:rPr>
        <w:t xml:space="preserve">Corrigé (exemple de réponse) :</w:t>
      </w:r>
      <w:r>
        <w:t xml:space="preserve"> </w:t>
      </w:r>
      <w:r>
        <w:rPr>
          <w:rStyle w:val="VerbatimChar"/>
        </w:rPr>
        <w:t xml:space="preserve">bash -x</w:t>
      </w:r>
      <w:r>
        <w:t xml:space="preserve"> </w:t>
      </w:r>
      <w:r>
        <w:t xml:space="preserve">trace automatiquement et exhaustivement chaque commande réellement exécutée, avec les valeurs effectives des variables substituées, sans nécessiter de modifier le script lui-même ni de deviner à l’avance où ajouter des points de vérification. Ajouter des</w:t>
      </w:r>
      <w:r>
        <w:t xml:space="preserve"> </w:t>
      </w:r>
      <w:r>
        <w:rPr>
          <w:rStyle w:val="VerbatimChar"/>
        </w:rPr>
        <w:t xml:space="preserve">echo</w:t>
      </w:r>
      <w:r>
        <w:t xml:space="preserve"> </w:t>
      </w:r>
      <w:r>
        <w:t xml:space="preserve">manuellement demande de faire des hypothèses préalables sur l’endroit probable du problème — une approche moins systématique qui peut facilement manquer la cause réelle si l’hypothèse initiale est incorrecte.</w:t>
      </w:r>
      <w:r>
        <w:t xml:space="preserve"> </w:t>
      </w:r>
      <w:r>
        <w:rPr>
          <w:rStyle w:val="VerbatimChar"/>
        </w:rPr>
        <w:t xml:space="preserve">bash -x</w:t>
      </w:r>
      <w:r>
        <w:t xml:space="preserve"> </w:t>
      </w:r>
      <w:r>
        <w:t xml:space="preserve">élimine ce biais en montrant objectivement l’exécution complète et réelle du script, ligne par ligne.</w:t>
      </w:r>
    </w:p>
    <w:bookmarkEnd w:id="503"/>
    <w:bookmarkStart w:id="504" w:name="checklist-de-fin-de-chapitre-19"/>
    <w:p>
      <w:pPr>
        <w:pStyle w:val="Heading2"/>
      </w:pPr>
      <w:r>
        <w:t xml:space="preserve">Checklist de fin de chapitre</w:t>
      </w:r>
    </w:p>
    <w:p>
      <w:pPr>
        <w:pStyle w:val="FirstParagraph"/>
      </w:pPr>
      <w:r>
        <w:t xml:space="preserve">☐ Je sais démarrer un script Bash robuste avec</w:t>
      </w:r>
      <w:r>
        <w:t xml:space="preserve"> </w:t>
      </w:r>
      <w:r>
        <w:rPr>
          <w:rStyle w:val="VerbatimChar"/>
        </w:rPr>
        <w:t xml:space="preserve">set -euo pipefail</w:t>
      </w:r>
      <w:r>
        <w:t xml:space="preserve">.</w:t>
      </w:r>
    </w:p>
    <w:p>
      <w:pPr>
        <w:pStyle w:val="BodyText"/>
      </w:pPr>
      <w:r>
        <w:t xml:space="preserve">☐ Je comprends le piège du word-splitting et je quote systématiquement mes variables.</w:t>
      </w:r>
    </w:p>
    <w:p>
      <w:pPr>
        <w:pStyle w:val="BodyText"/>
      </w:pPr>
      <w:r>
        <w:t xml:space="preserve">☐ Je sais écrire des fonctions Bash avec</w:t>
      </w:r>
      <w:r>
        <w:t xml:space="preserve"> </w:t>
      </w:r>
      <w:r>
        <w:rPr>
          <w:rStyle w:val="VerbatimChar"/>
        </w:rPr>
        <w:t xml:space="preserve">local</w:t>
      </w:r>
      <w:r>
        <w:t xml:space="preserve"> </w:t>
      </w:r>
      <w:r>
        <w:t xml:space="preserve">pour la modularité.</w:t>
      </w:r>
    </w:p>
    <w:p>
      <w:pPr>
        <w:pStyle w:val="BodyText"/>
      </w:pPr>
      <w:r>
        <w:t xml:space="preserve">☐ Je sais journaliser un script avec un horodatage exploitable.</w:t>
      </w:r>
    </w:p>
    <w:p>
      <w:pPr>
        <w:pStyle w:val="BodyText"/>
      </w:pPr>
      <w:r>
        <w:t xml:space="preserve">☐ Je sais planifier l’exécution d’un script avec</w:t>
      </w:r>
      <w:r>
        <w:t xml:space="preserve"> </w:t>
      </w:r>
      <w:r>
        <w:rPr>
          <w:rStyle w:val="VerbatimChar"/>
        </w:rPr>
        <w:t xml:space="preserve">cron</w:t>
      </w:r>
      <w:r>
        <w:t xml:space="preserve">, en redirigeant sa sortie.</w:t>
      </w:r>
    </w:p>
    <w:p>
      <w:pPr>
        <w:pStyle w:val="BodyText"/>
      </w:pPr>
      <w:r>
        <w:t xml:space="preserve">☐ Je sais utiliser</w:t>
      </w:r>
      <w:r>
        <w:t xml:space="preserve"> </w:t>
      </w:r>
      <w:r>
        <w:rPr>
          <w:rStyle w:val="VerbatimChar"/>
        </w:rPr>
        <w:t xml:space="preserve">bash -x</w:t>
      </w:r>
      <w:r>
        <w:t xml:space="preserve"> </w:t>
      </w:r>
      <w:r>
        <w:t xml:space="preserve">pour diagnostiquer un script qui échoue de façon inattendue.</w:t>
      </w:r>
    </w:p>
    <w:bookmarkEnd w:id="504"/>
    <w:bookmarkStart w:id="505" w:name="faq-19"/>
    <w:p>
      <w:pPr>
        <w:pStyle w:val="Heading2"/>
      </w:pPr>
      <w:r>
        <w:t xml:space="preserve">FAQ</w:t>
      </w:r>
    </w:p>
    <w:p>
      <w:pPr>
        <w:pStyle w:val="FirstParagraph"/>
      </w:pPr>
      <w:r>
        <w:t xml:space="preserve">Faut-il toujours utiliser</w:t>
      </w:r>
      <w:r>
        <w:t xml:space="preserve"> </w:t>
      </w:r>
      <w:r>
        <w:rPr>
          <w:rStyle w:val="VerbatimChar"/>
        </w:rPr>
        <w:t xml:space="preserve">set -euo pipefail</w:t>
      </w:r>
      <w:r>
        <w:t xml:space="preserve">, sans exception ?</w:t>
      </w:r>
    </w:p>
    <w:p>
      <w:pPr>
        <w:pStyle w:val="BodyText"/>
      </w:pPr>
      <w:r>
        <w:t xml:space="preserve">C’est une pratique par défaut fortement recommandée pour tout script d’administration système sérieux, mais certains cas spécifiques (un script volontairement conçu pour continuer malgré des échecs partiels individuels) peuvent justifier une approche plus nuancée — dans ce cas, la gestion d’erreur doit être explicite et réfléchie, jamais simplement absente par omission.</w:t>
      </w:r>
    </w:p>
    <w:p>
      <w:pPr>
        <w:pStyle w:val="BodyText"/>
      </w:pPr>
      <w:r>
        <w:t xml:space="preserve">Bash est-il adapté à des scripts longs et complexes, ou vaut-il mieux passer à Python à un moment donné ?</w:t>
      </w:r>
    </w:p>
    <w:p>
      <w:pPr>
        <w:pStyle w:val="BodyText"/>
      </w:pPr>
      <w:r>
        <w:t xml:space="preserve">Bash reste excellent pour orchestrer des commandes système et des pipelines simples à moyens (l’objet de ce chapitre) ; au-delà d’une certaine complexité (structures de données riches, logique métier élaborée, gestion d’erreurs fine), Python (chapitre 21) devient souvent plus adapté et plus maintenable — un choix à évaluer selon la complexité réelle du besoin, pas par habitude.</w:t>
      </w:r>
    </w:p>
    <w:p>
      <w:pPr>
        <w:pStyle w:val="BodyText"/>
      </w:pPr>
      <w:r>
        <w:t xml:space="preserve">Comment tester un script avant de le déployer en production ?</w:t>
      </w:r>
    </w:p>
    <w:p>
      <w:pPr>
        <w:pStyle w:val="BodyText"/>
      </w:pPr>
      <w:r>
        <w:t xml:space="preserve">Sur un environnement de test isolé autant que possible (rejoignant le principe du groupe pilote du chapitre 7), en vérifiant explicitement son comportement face à des cas limites (variable vide, fichier absent, permission refusée) plutôt que seulement son cas d’usage normal attendu.</w:t>
      </w:r>
    </w:p>
    <w:p>
      <w:pPr>
        <w:pStyle w:val="BodyText"/>
      </w:pPr>
      <w:r>
        <w:t xml:space="preserve">Cron est-il le seul moyen de planifier l’exécution automatique d’un script sur Linux ?</w:t>
      </w:r>
    </w:p>
    <w:p>
      <w:pPr>
        <w:pStyle w:val="BodyText"/>
      </w:pPr>
      <w:r>
        <w:t xml:space="preserve">Non, systemd propose aussi des</w:t>
      </w:r>
      <w:r>
        <w:t xml:space="preserve"> </w:t>
      </w:r>
      <w:r>
        <w:t xml:space="preserve">“timers”</w:t>
      </w:r>
      <w:r>
        <w:t xml:space="preserve"> </w:t>
      </w:r>
      <w:r>
        <w:t xml:space="preserve">(unités</w:t>
      </w:r>
      <w:r>
        <w:t xml:space="preserve"> </w:t>
      </w:r>
      <w:r>
        <w:rPr>
          <w:rStyle w:val="VerbatimChar"/>
        </w:rPr>
        <w:t xml:space="preserve">.timer</w:t>
      </w:r>
      <w:r>
        <w:t xml:space="preserve">, chapitre 16) comme alternative moderne à cron, avec des capacités de journalisation et de gestion de dépendances plus riches — cron reste néanmoins largement répandu et suffisant pour la majorité des besoins de planification simple.</w:t>
      </w:r>
    </w:p>
    <w:bookmarkEnd w:id="505"/>
    <w:bookmarkStart w:id="509" w:name="références-et-pour-aller-plus-loin-19"/>
    <w:p>
      <w:pPr>
        <w:pStyle w:val="Heading2"/>
      </w:pPr>
      <w:r>
        <w:t xml:space="preserve">Références et pour aller plus loin</w:t>
      </w:r>
    </w:p>
    <w:p>
      <w:pPr>
        <w:pStyle w:val="Compact"/>
        <w:numPr>
          <w:ilvl w:val="0"/>
          <w:numId w:val="1481"/>
        </w:numPr>
      </w:pPr>
      <w:r>
        <w:t xml:space="preserve">Bash Hackers Wiki — Guide de référence complet :</w:t>
      </w:r>
      <w:r>
        <w:t xml:space="preserve"> </w:t>
      </w:r>
      <w:hyperlink r:id="rId506">
        <w:r>
          <w:rPr>
            <w:rStyle w:val="Hyperlink"/>
          </w:rPr>
          <w:t xml:space="preserve">https://wiki.bash-hackers.org/</w:t>
        </w:r>
      </w:hyperlink>
    </w:p>
    <w:p>
      <w:pPr>
        <w:pStyle w:val="Compact"/>
        <w:numPr>
          <w:ilvl w:val="0"/>
          <w:numId w:val="1481"/>
        </w:numPr>
      </w:pPr>
      <w:r>
        <w:t xml:space="preserve">ShellCheck — outil d’analyse statique pour détecter les erreurs courantes dans un script Bash :</w:t>
      </w:r>
      <w:r>
        <w:t xml:space="preserve"> </w:t>
      </w:r>
      <w:hyperlink r:id="rId507">
        <w:r>
          <w:rPr>
            <w:rStyle w:val="Hyperlink"/>
          </w:rPr>
          <w:t xml:space="preserve">https://www.shellcheck.net/</w:t>
        </w:r>
      </w:hyperlink>
    </w:p>
    <w:p>
      <w:pPr>
        <w:pStyle w:val="Compact"/>
        <w:numPr>
          <w:ilvl w:val="0"/>
          <w:numId w:val="1481"/>
        </w:numPr>
      </w:pPr>
      <w:r>
        <w:t xml:space="preserve">Documentation officielle GNU Bash :</w:t>
      </w:r>
      <w:r>
        <w:t xml:space="preserve"> </w:t>
      </w:r>
      <w:hyperlink r:id="rId508">
        <w:r>
          <w:rPr>
            <w:rStyle w:val="Hyperlink"/>
          </w:rPr>
          <w:t xml:space="preserve">https://www.gnu.org/software/bash/manual/bash.html</w:t>
        </w:r>
      </w:hyperlink>
    </w:p>
    <w:p>
      <w:pPr>
        <w:pStyle w:val="FirstParagraph"/>
      </w:pPr>
      <w:r>
        <w:rPr>
          <w:i/>
          <w:iCs/>
        </w:rPr>
        <w:t xml:space="preserve">Chapitre suivant : Python pour l’administration système — pour les besoins qui dépassent ce que Bash peut raisonnablement gérer, avec une syntaxe plus riche et un écosystème de bibliothèques bien plus vaste.</w:t>
      </w:r>
    </w:p>
    <w:p>
      <w:pPr>
        <w:pStyle w:val="BodyText"/>
      </w:pPr>
      <w:r>
        <w:t xml:space="preserve">CHAPITRE 21</w:t>
      </w:r>
    </w:p>
    <w:bookmarkEnd w:id="509"/>
    <w:bookmarkEnd w:id="510"/>
    <w:bookmarkStart w:id="533" w:name="python-pour-ladministration-système"/>
    <w:p>
      <w:pPr>
        <w:pStyle w:val="Heading1"/>
      </w:pPr>
      <w:r>
        <w:t xml:space="preserve">Python pour l’administration système</w:t>
      </w:r>
    </w:p>
    <w:p>
      <w:pPr>
        <w:pStyle w:val="FirstParagraph"/>
      </w:pPr>
      <w:r>
        <w:t xml:space="preserve">🎯 Objectif du chapitre</w:t>
      </w:r>
      <w:r>
        <w:t xml:space="preserve"> </w:t>
      </w:r>
      <w:r>
        <w:t xml:space="preserve">Savoir reconnaître quand un besoin dépasse ce que Bash peut raisonnablement gérer, et utiliser Python pour ces cas précis : traitement de données structurées (JSON), appels réseau, logique conditionnelle complexe. À la fin de ce chapitre, tu sauras écrire un script Python robuste pour l’administration système, gérer ses erreurs proprement, le journaliser correctement, et éviter la faille de sécurité la plus fréquente liée à l’exécution de commandes système depuis Python.</w:t>
      </w:r>
    </w:p>
    <w:p>
      <w:pPr>
        <w:pStyle w:val="BodyText"/>
      </w:pPr>
      <w:r>
        <w:t xml:space="preserve">🎬 Mise en situation</w:t>
      </w:r>
      <w:r>
        <w:t xml:space="preserve"> </w:t>
      </w:r>
      <w:r>
        <w:t xml:space="preserve">Le script Bash de vérification quotidienne du chapitre 20 fonctionne bien, mais l’entreprise souhaite maintenant l’étendre : vérifier aussi l’état de santé du portail client via son API (</w:t>
      </w:r>
      <w:r>
        <w:rPr>
          <w:rStyle w:val="VerbatimChar"/>
        </w:rPr>
        <w:t xml:space="preserve">GET /health</w:t>
      </w:r>
      <w:r>
        <w:t xml:space="preserve">, qui renvoie un document JSON détaillé), agréger les résultats des serveurs de Port-au-Prince ET du Cap-Haïtien, puis envoyer un rapport structuré par email si un problème est détecté. Tu tentes d’écrire cette logique en Bash, mais le traitement du JSON devient rapidement illisible (analyse de texte fragile avec</w:t>
      </w:r>
      <w:r>
        <w:t xml:space="preserve"> </w:t>
      </w:r>
      <w:r>
        <w:rPr>
          <w:rStyle w:val="VerbatimChar"/>
        </w:rPr>
        <w:t xml:space="preserve">grep</w:t>
      </w:r>
      <w:r>
        <w:t xml:space="preserve">/</w:t>
      </w:r>
      <w:r>
        <w:rPr>
          <w:rStyle w:val="VerbatimChar"/>
        </w:rPr>
        <w:t xml:space="preserve">sed</w:t>
      </w:r>
      <w:r>
        <w:t xml:space="preserve">), et la gestion des deux sites avec leurs propres conditions d’erreur alourdit considérablement le script. C’est exactement le signal qui indique qu’il est temps de passer à Python — pas parce que Bash serait</w:t>
      </w:r>
      <w:r>
        <w:t xml:space="preserve"> </w:t>
      </w:r>
      <w:r>
        <w:t xml:space="preserve">“mauvais”</w:t>
      </w:r>
      <w:r>
        <w:t xml:space="preserve">, mais parce que ce besoin précis dépasse son terrain de prédilection.</w:t>
      </w:r>
    </w:p>
    <w:bookmarkStart w:id="511" w:name="X3d0edabac4571adc6267f0d4c83a4ce206d77af"/>
    <w:p>
      <w:pPr>
        <w:pStyle w:val="Heading2"/>
      </w:pPr>
      <w:r>
        <w:t xml:space="preserve">21.1 Bash ou Python : reconnaître le bon moment pour basculer</w:t>
      </w:r>
    </w:p>
    <w:p>
      <w:pPr>
        <w:pStyle w:val="FirstParagraph"/>
      </w:pPr>
      <w:r>
        <w:t xml:space="preserve">📌 À retenir — un critère de décision simple</w:t>
      </w:r>
      <w:r>
        <w:t xml:space="preserve"> </w:t>
      </w:r>
      <w:r>
        <w:t xml:space="preserve">Bash excelle pour orchestrer des commandes système et des pipelines simples (chapitre 20) — sa syntaxe devient rapidement pénible dès qu’il faut manipuler des données structurées (JSON, XML), faire des appels réseau élaborés, ou gérer une logique conditionnelle complexe avec de nombreux cas. Python, avec sa bibliothèque standard riche et son écosystème de paquets, prend le relais naturellement à partir de ce point — exactement le signal rencontré dans le scénario d’ouverture avec le traitement JSON de l’API du portail.</w:t>
      </w:r>
    </w:p>
    <w:bookmarkEnd w:id="511"/>
    <w:bookmarkStart w:id="512" w:name="X96083b6b8c5616f49ad0a3031f5607f8291db4e"/>
    <w:p>
      <w:pPr>
        <w:pStyle w:val="Heading2"/>
      </w:pPr>
      <w:r>
        <w:t xml:space="preserve">21.2 L’environnement Python sur un serveur : toujours utiliser un environnement virtuel</w:t>
      </w:r>
    </w:p>
    <w:p>
      <w:pPr>
        <w:pStyle w:val="FirstParagraph"/>
      </w:pPr>
      <w:r>
        <w:t xml:space="preserve">⚠️ Ne jamais faire</w:t>
      </w:r>
      <w:r>
        <w:t xml:space="preserve"> </w:t>
      </w:r>
      <w:r>
        <w:rPr>
          <w:rStyle w:val="VerbatimChar"/>
        </w:rPr>
        <w:t xml:space="preserve">pip install</w:t>
      </w:r>
      <w:r>
        <w:t xml:space="preserve"> </w:t>
      </w:r>
      <w:r>
        <w:t xml:space="preserve">directement sur l’installation Python du système</w:t>
      </w:r>
      <w:r>
        <w:t xml:space="preserve"> </w:t>
      </w:r>
      <w:r>
        <w:t xml:space="preserve">Installer des paquets Python directement dans l’installation système (avec un simple</w:t>
      </w:r>
      <w:r>
        <w:t xml:space="preserve"> </w:t>
      </w:r>
      <w:r>
        <w:t xml:space="preserve">pip install requests</w:t>
      </w:r>
      <w:r>
        <w:t xml:space="preserve"> </w:t>
      </w:r>
      <w:r>
        <w:t xml:space="preserve">sans précaution) risque d’entrer en conflit avec des paquets système qui dépendent eux-mêmes d’une version précise de Python et de ses bibliothèques (de nombreux outils système modernes sont eux-mêmes écrits en Python) — une pratique désormais bloquée par défaut sur les distributions récentes (Ubuntu 23.04+, Debian 12+), précisément pour cette raison.</w:t>
      </w:r>
    </w:p>
    <w:p>
      <w:pPr>
        <w:pStyle w:val="SourceCode"/>
      </w:pPr>
      <w:r>
        <w:rPr>
          <w:rStyle w:val="VerbatimChar"/>
        </w:rPr>
        <w:t xml:space="preserve"># Creer un environnement virtuel dedie a ce script, isole de</w:t>
      </w:r>
      <w:r>
        <w:br/>
      </w:r>
      <w:r>
        <w:rPr>
          <w:rStyle w:val="VerbatimChar"/>
        </w:rPr>
        <w:t xml:space="preserve"># l'installation Python du systeme</w:t>
      </w:r>
      <w:r>
        <w:br/>
      </w:r>
      <w:r>
        <w:rPr>
          <w:rStyle w:val="VerbatimChar"/>
        </w:rPr>
        <w:t xml:space="preserve">python3 -m venv /opt/scripts/venv-healthcheck</w:t>
      </w:r>
      <w:r>
        <w:br/>
      </w:r>
      <w:r>
        <w:br/>
      </w:r>
      <w:r>
        <w:rPr>
          <w:rStyle w:val="VerbatimChar"/>
        </w:rPr>
        <w:t xml:space="preserve"># Activer cet environnement virtuel (a faire avant toute installation</w:t>
      </w:r>
      <w:r>
        <w:br/>
      </w:r>
      <w:r>
        <w:rPr>
          <w:rStyle w:val="VerbatimChar"/>
        </w:rPr>
        <w:t xml:space="preserve"># de paquet ou execution du script)</w:t>
      </w:r>
      <w:r>
        <w:br/>
      </w:r>
      <w:r>
        <w:rPr>
          <w:rStyle w:val="VerbatimChar"/>
        </w:rPr>
        <w:t xml:space="preserve">source /opt/scripts/venv-healthcheck/bin/activate</w:t>
      </w:r>
      <w:r>
        <w:br/>
      </w:r>
      <w:r>
        <w:br/>
      </w:r>
      <w:r>
        <w:rPr>
          <w:rStyle w:val="VerbatimChar"/>
        </w:rPr>
        <w:t xml:space="preserve"># Installer les paquets necessaires UNIQUEMENT dans cet environnement</w:t>
      </w:r>
      <w:r>
        <w:br/>
      </w:r>
      <w:r>
        <w:rPr>
          <w:rStyle w:val="VerbatimChar"/>
        </w:rPr>
        <w:t xml:space="preserve"># virtuel isole, sans affecter le systeme</w:t>
      </w:r>
      <w:r>
        <w:br/>
      </w:r>
      <w:r>
        <w:rPr>
          <w:rStyle w:val="VerbatimChar"/>
        </w:rPr>
        <w:t xml:space="preserve">pip install requests</w:t>
      </w:r>
      <w:r>
        <w:br/>
      </w:r>
      <w:r>
        <w:br/>
      </w:r>
      <w:r>
        <w:rPr>
          <w:rStyle w:val="VerbatimChar"/>
        </w:rPr>
        <w:t xml:space="preserve"># Quitter l'environnement virtuel une fois termine</w:t>
      </w:r>
      <w:r>
        <w:br/>
      </w:r>
      <w:r>
        <w:rPr>
          <w:rStyle w:val="VerbatimChar"/>
        </w:rPr>
        <w:t xml:space="preserve">deactivate</w:t>
      </w:r>
    </w:p>
    <w:p>
      <w:pPr>
        <w:pStyle w:val="FirstParagraph"/>
      </w:pPr>
      <w:r>
        <w:t xml:space="preserve">✅ Bonne pratique — un environnement virtuel par script ou projet</w:t>
      </w:r>
      <w:r>
        <w:t xml:space="preserve"> </w:t>
      </w:r>
      <w:r>
        <w:t xml:space="preserve">Chaque script ou projet Python d’administration système mérite son propre environnement virtuel dédié, listant ses dépendances précises dans un fichier</w:t>
      </w:r>
      <w:r>
        <w:t xml:space="preserve"> </w:t>
      </w:r>
      <w:r>
        <w:t xml:space="preserve">requirements.txt</w:t>
      </w:r>
      <w:r>
        <w:t xml:space="preserve"> </w:t>
      </w:r>
      <w:r>
        <w:t xml:space="preserve">— une pratique qui rend le script reproductible sur un autre serveur (</w:t>
      </w:r>
      <w:r>
        <w:t xml:space="preserve">pip install -r requirements.txt</w:t>
      </w:r>
      <w:r>
        <w:t xml:space="preserve">) sans ambiguïté sur les versions exactes utilisées.</w:t>
      </w:r>
    </w:p>
    <w:bookmarkEnd w:id="512"/>
    <w:bookmarkStart w:id="513" w:name="Xa74140dec9b95c505a93b496ed6958f03b61799"/>
    <w:p>
      <w:pPr>
        <w:pStyle w:val="Heading2"/>
      </w:pPr>
      <w:r>
        <w:t xml:space="preserve">21.3 Un script Python structuré pour le scénario d’ouverture</w:t>
      </w:r>
    </w:p>
    <w:p>
      <w:pPr>
        <w:pStyle w:val="SourceCode"/>
      </w:pPr>
      <w:r>
        <w:rPr>
          <w:rStyle w:val="CommentTok"/>
        </w:rPr>
        <w:t xml:space="preserve">#!/usr/bin/env python3</w:t>
      </w:r>
      <w:r>
        <w:br/>
      </w:r>
      <w:r>
        <w:rPr>
          <w:rStyle w:val="CommentTok"/>
        </w:rPr>
        <w:t xml:space="preserve">"""health_check.py — Verification de sante multi-sites du portail client."""</w:t>
      </w:r>
      <w:r>
        <w:br/>
      </w:r>
      <w:r>
        <w:br/>
      </w:r>
      <w:r>
        <w:rPr>
          <w:rStyle w:val="ImportTok"/>
        </w:rPr>
        <w:t xml:space="preserve">import</w:t>
      </w:r>
      <w:r>
        <w:rPr>
          <w:rStyle w:val="NormalTok"/>
        </w:rPr>
        <w:t xml:space="preserve"> logging</w:t>
      </w:r>
      <w:r>
        <w:br/>
      </w:r>
      <w:r>
        <w:rPr>
          <w:rStyle w:val="ImportTok"/>
        </w:rPr>
        <w:t xml:space="preserve">import</w:t>
      </w:r>
      <w:r>
        <w:rPr>
          <w:rStyle w:val="NormalTok"/>
        </w:rPr>
        <w:t xml:space="preserve"> subprocess</w:t>
      </w:r>
      <w:r>
        <w:br/>
      </w:r>
      <w:r>
        <w:rPr>
          <w:rStyle w:val="ImportTok"/>
        </w:rPr>
        <w:t xml:space="preserve">import</w:t>
      </w:r>
      <w:r>
        <w:rPr>
          <w:rStyle w:val="NormalTok"/>
        </w:rPr>
        <w:t xml:space="preserve"> sys</w:t>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br/>
      </w:r>
      <w:r>
        <w:rPr>
          <w:rStyle w:val="ImportTok"/>
        </w:rPr>
        <w:t xml:space="preserve">import</w:t>
      </w:r>
      <w:r>
        <w:rPr>
          <w:rStyle w:val="NormalTok"/>
        </w:rPr>
        <w:t xml:space="preserve"> requests</w:t>
      </w:r>
      <w:r>
        <w:br/>
      </w:r>
      <w:r>
        <w:br/>
      </w:r>
      <w:r>
        <w:rPr>
          <w:rStyle w:val="NormalTok"/>
        </w:rPr>
        <w:t xml:space="preserve">logging.basicConfig(</w:t>
      </w:r>
      <w:r>
        <w:br/>
      </w:r>
      <w:r>
        <w:rPr>
          <w:rStyle w:val="NormalTok"/>
        </w:rPr>
        <w:t xml:space="preserve">    filename</w:t>
      </w:r>
      <w:r>
        <w:rPr>
          <w:rStyle w:val="OperatorTok"/>
        </w:rPr>
        <w:t xml:space="preserve">=</w:t>
      </w:r>
      <w:r>
        <w:rPr>
          <w:rStyle w:val="StringTok"/>
        </w:rPr>
        <w:t xml:space="preserve">"/var/log/health-check-python.log"</w:t>
      </w:r>
      <w:r>
        <w:rPr>
          <w:rStyle w:val="NormalTok"/>
        </w:rPr>
        <w:t xml:space="preserve">,</w:t>
      </w:r>
      <w:r>
        <w:br/>
      </w:r>
      <w:r>
        <w:rPr>
          <w:rStyle w:val="NormalTok"/>
        </w:rPr>
        <w:t xml:space="preserve">    level</w:t>
      </w:r>
      <w:r>
        <w:rPr>
          <w:rStyle w:val="OperatorTok"/>
        </w:rPr>
        <w:t xml:space="preserve">=</w:t>
      </w:r>
      <w:r>
        <w:rPr>
          <w:rStyle w:val="NormalTok"/>
        </w:rPr>
        <w:t xml:space="preserve">logging.INFO,</w:t>
      </w:r>
      <w:r>
        <w:br/>
      </w:r>
      <w:r>
        <w:rPr>
          <w:rStyle w:val="NormalTok"/>
        </w:rPr>
        <w:t xml:space="preserve">    </w:t>
      </w:r>
      <w:r>
        <w:rPr>
          <w:rStyle w:val="BuiltInTok"/>
        </w:rPr>
        <w:t xml:space="preserve">format</w:t>
      </w:r>
      <w:r>
        <w:rPr>
          <w:rStyle w:val="OperatorTok"/>
        </w:rPr>
        <w:t xml:space="preserve">=</w:t>
      </w:r>
      <w:r>
        <w:rPr>
          <w:rStyle w:val="StringTok"/>
        </w:rPr>
        <w:t xml:space="preserve">"</w:t>
      </w:r>
      <w:r>
        <w:rPr>
          <w:rStyle w:val="SpecialCharTok"/>
        </w:rPr>
        <w:t xml:space="preserve">%(asctime)s</w:t>
      </w:r>
      <w:r>
        <w:rPr>
          <w:rStyle w:val="StringTok"/>
        </w:rPr>
        <w:t xml:space="preserve"> - </w:t>
      </w:r>
      <w:r>
        <w:rPr>
          <w:rStyle w:val="SpecialCharTok"/>
        </w:rPr>
        <w:t xml:space="preserve">%(levelname)s</w:t>
      </w:r>
      <w:r>
        <w:rPr>
          <w:rStyle w:val="StringTok"/>
        </w:rPr>
        <w:t xml:space="preserve"> - </w:t>
      </w:r>
      <w:r>
        <w:rPr>
          <w:rStyle w:val="SpecialCharTok"/>
        </w:rPr>
        <w:t xml:space="preserve">%(message)s</w:t>
      </w:r>
      <w:r>
        <w:rPr>
          <w:rStyle w:val="StringTok"/>
        </w:rPr>
        <w:t xml:space="preserve">"</w:t>
      </w:r>
      <w:r>
        <w:rPr>
          <w:rStyle w:val="NormalTok"/>
        </w:rPr>
        <w:t xml:space="preserve">,</w:t>
      </w:r>
      <w:r>
        <w:br/>
      </w:r>
      <w:r>
        <w:rPr>
          <w:rStyle w:val="NormalTok"/>
        </w:rPr>
        <w:t xml:space="preserve">)</w:t>
      </w:r>
      <w:r>
        <w:br/>
      </w:r>
      <w:r>
        <w:rPr>
          <w:rStyle w:val="NormalTok"/>
        </w:rPr>
        <w:t xml:space="preserve">logger </w:t>
      </w:r>
      <w:r>
        <w:rPr>
          <w:rStyle w:val="OperatorTok"/>
        </w:rPr>
        <w:t xml:space="preserve">=</w:t>
      </w:r>
      <w:r>
        <w:rPr>
          <w:rStyle w:val="NormalTok"/>
        </w:rPr>
        <w:t xml:space="preserve"> logging.getLogger(</w:t>
      </w:r>
      <w:r>
        <w:rPr>
          <w:rStyle w:val="VariableTok"/>
        </w:rPr>
        <w:t xml:space="preserve">__name__</w:t>
      </w:r>
      <w:r>
        <w:rPr>
          <w:rStyle w:val="NormalTok"/>
        </w:rPr>
        <w:t xml:space="preserve">)</w:t>
      </w:r>
      <w:r>
        <w:br/>
      </w:r>
      <w:r>
        <w:br/>
      </w:r>
      <w:r>
        <w:rPr>
          <w:rStyle w:val="NormalTok"/>
        </w:rPr>
        <w:t xml:space="preserve">SITES </w:t>
      </w:r>
      <w:r>
        <w:rPr>
          <w:rStyle w:val="OperatorTok"/>
        </w:rPr>
        <w:t xml:space="preserve">=</w:t>
      </w:r>
      <w:r>
        <w:rPr>
          <w:rStyle w:val="NormalTok"/>
        </w:rPr>
        <w:t xml:space="preserve"> {</w:t>
      </w:r>
      <w:r>
        <w:br/>
      </w:r>
      <w:r>
        <w:rPr>
          <w:rStyle w:val="NormalTok"/>
        </w:rPr>
        <w:t xml:space="preserve">    </w:t>
      </w:r>
      <w:r>
        <w:rPr>
          <w:rStyle w:val="StringTok"/>
        </w:rPr>
        <w:t xml:space="preserve">"Port-au-Prince"</w:t>
      </w:r>
      <w:r>
        <w:rPr>
          <w:rStyle w:val="NormalTok"/>
        </w:rPr>
        <w:t xml:space="preserve">: </w:t>
      </w:r>
      <w:r>
        <w:rPr>
          <w:rStyle w:val="StringTok"/>
        </w:rPr>
        <w:t xml:space="preserve">"https://portail-pap.assuranceht.local/health"</w:t>
      </w:r>
      <w:r>
        <w:rPr>
          <w:rStyle w:val="NormalTok"/>
        </w:rPr>
        <w:t xml:space="preserve">,</w:t>
      </w:r>
      <w:r>
        <w:br/>
      </w:r>
      <w:r>
        <w:rPr>
          <w:rStyle w:val="NormalTok"/>
        </w:rPr>
        <w:t xml:space="preserve">    </w:t>
      </w:r>
      <w:r>
        <w:rPr>
          <w:rStyle w:val="StringTok"/>
        </w:rPr>
        <w:t xml:space="preserve">"Cap-Haitien"</w:t>
      </w:r>
      <w:r>
        <w:rPr>
          <w:rStyle w:val="NormalTok"/>
        </w:rPr>
        <w:t xml:space="preserve">: </w:t>
      </w:r>
      <w:r>
        <w:rPr>
          <w:rStyle w:val="StringTok"/>
        </w:rPr>
        <w:t xml:space="preserve">"https://portail-cap.assuranceht.local/health"</w:t>
      </w:r>
      <w:r>
        <w:rPr>
          <w:rStyle w:val="NormalTok"/>
        </w:rPr>
        <w:t xml:space="preserve">,</w:t>
      </w:r>
      <w:r>
        <w:br/>
      </w:r>
      <w:r>
        <w:rPr>
          <w:rStyle w:val="NormalTok"/>
        </w:rPr>
        <w:t xml:space="preserve">}</w:t>
      </w:r>
      <w:r>
        <w:br/>
      </w:r>
      <w:r>
        <w:br/>
      </w:r>
      <w:r>
        <w:br/>
      </w:r>
      <w:r>
        <w:rPr>
          <w:rStyle w:val="KeywordTok"/>
        </w:rPr>
        <w:t xml:space="preserve">def</w:t>
      </w:r>
      <w:r>
        <w:rPr>
          <w:rStyle w:val="NormalTok"/>
        </w:rPr>
        <w:t xml:space="preserve"> verifier_site(nom: </w:t>
      </w:r>
      <w:r>
        <w:rPr>
          <w:rStyle w:val="BuiltInTok"/>
        </w:rPr>
        <w:t xml:space="preserve">str</w:t>
      </w:r>
      <w:r>
        <w:rPr>
          <w:rStyle w:val="NormalTok"/>
        </w:rPr>
        <w:t xml:space="preserve">, url: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w:t>
      </w:r>
      <w:r>
        <w:rPr>
          <w:rStyle w:val="CommentTok"/>
        </w:rPr>
        <w:t xml:space="preserve">"""Interroge l'API de sante d'un site et retourne son etat structure."""</w:t>
      </w:r>
      <w:r>
        <w:br/>
      </w:r>
      <w:r>
        <w:rPr>
          <w:rStyle w:val="NormalTok"/>
        </w:rPr>
        <w:t xml:space="preserve">    </w:t>
      </w:r>
      <w:r>
        <w:rPr>
          <w:rStyle w:val="ControlFlowTok"/>
        </w:rPr>
        <w:t xml:space="preserve">try</w:t>
      </w:r>
      <w:r>
        <w:rPr>
          <w:rStyle w:val="NormalTok"/>
        </w:rPr>
        <w:t xml:space="preserve">:</w:t>
      </w:r>
      <w:r>
        <w:br/>
      </w:r>
      <w:r>
        <w:rPr>
          <w:rStyle w:val="NormalTok"/>
        </w:rPr>
        <w:t xml:space="preserve">        reponse </w:t>
      </w:r>
      <w:r>
        <w:rPr>
          <w:rStyle w:val="OperatorTok"/>
        </w:rPr>
        <w:t xml:space="preserve">=</w:t>
      </w:r>
      <w:r>
        <w:rPr>
          <w:rStyle w:val="NormalTok"/>
        </w:rPr>
        <w:t xml:space="preserve"> requests.get(url, timeout</w:t>
      </w:r>
      <w:r>
        <w:rPr>
          <w:rStyle w:val="OperatorTok"/>
        </w:rPr>
        <w:t xml:space="preserve">=</w:t>
      </w:r>
      <w:r>
        <w:rPr>
          <w:rStyle w:val="DecValTok"/>
        </w:rPr>
        <w:t xml:space="preserve">5</w:t>
      </w:r>
      <w:r>
        <w:rPr>
          <w:rStyle w:val="NormalTok"/>
        </w:rPr>
        <w:t xml:space="preserve">)</w:t>
      </w:r>
      <w:r>
        <w:br/>
      </w:r>
      <w:r>
        <w:rPr>
          <w:rStyle w:val="NormalTok"/>
        </w:rPr>
        <w:t xml:space="preserve">        reponse.raise_for_status()</w:t>
      </w:r>
      <w:r>
        <w:br/>
      </w:r>
      <w:r>
        <w:rPr>
          <w:rStyle w:val="NormalTok"/>
        </w:rPr>
        <w:t xml:space="preserve">        </w:t>
      </w:r>
      <w:r>
        <w:rPr>
          <w:rStyle w:val="ControlFlowTok"/>
        </w:rPr>
        <w:t xml:space="preserve">return</w:t>
      </w:r>
      <w:r>
        <w:rPr>
          <w:rStyle w:val="NormalTok"/>
        </w:rPr>
        <w:t xml:space="preserve"> {</w:t>
      </w:r>
      <w:r>
        <w:rPr>
          <w:rStyle w:val="StringTok"/>
        </w:rPr>
        <w:t xml:space="preserve">"site"</w:t>
      </w:r>
      <w:r>
        <w:rPr>
          <w:rStyle w:val="NormalTok"/>
        </w:rPr>
        <w:t xml:space="preserve">: nom, </w:t>
      </w:r>
      <w:r>
        <w:rPr>
          <w:rStyle w:val="StringTok"/>
        </w:rPr>
        <w:t xml:space="preserve">"statut"</w:t>
      </w:r>
      <w:r>
        <w:rPr>
          <w:rStyle w:val="NormalTok"/>
        </w:rPr>
        <w:t xml:space="preserve">: </w:t>
      </w:r>
      <w:r>
        <w:rPr>
          <w:rStyle w:val="StringTok"/>
        </w:rPr>
        <w:t xml:space="preserve">"OK"</w:t>
      </w:r>
      <w:r>
        <w:rPr>
          <w:rStyle w:val="NormalTok"/>
        </w:rPr>
        <w:t xml:space="preserve">, </w:t>
      </w:r>
      <w:r>
        <w:rPr>
          <w:rStyle w:val="StringTok"/>
        </w:rPr>
        <w:t xml:space="preserve">"details"</w:t>
      </w:r>
      <w:r>
        <w:rPr>
          <w:rStyle w:val="NormalTok"/>
        </w:rPr>
        <w:t xml:space="preserve">: reponse.json()}</w:t>
      </w:r>
      <w:r>
        <w:br/>
      </w:r>
      <w:r>
        <w:rPr>
          <w:rStyle w:val="NormalTok"/>
        </w:rPr>
        <w:t xml:space="preserve">    </w:t>
      </w:r>
      <w:r>
        <w:rPr>
          <w:rStyle w:val="ControlFlowTok"/>
        </w:rPr>
        <w:t xml:space="preserve">except</w:t>
      </w:r>
      <w:r>
        <w:rPr>
          <w:rStyle w:val="NormalTok"/>
        </w:rPr>
        <w:t xml:space="preserve"> requests.exceptions.RequestException </w:t>
      </w:r>
      <w:r>
        <w:rPr>
          <w:rStyle w:val="ImportTok"/>
        </w:rPr>
        <w:t xml:space="preserve">as</w:t>
      </w:r>
      <w:r>
        <w:rPr>
          <w:rStyle w:val="NormalTok"/>
        </w:rPr>
        <w:t xml:space="preserve"> erreur:</w:t>
      </w:r>
      <w:r>
        <w:br/>
      </w:r>
      <w:r>
        <w:rPr>
          <w:rStyle w:val="NormalTok"/>
        </w:rPr>
        <w:t xml:space="preserve">        logger.error(</w:t>
      </w:r>
      <w:r>
        <w:rPr>
          <w:rStyle w:val="StringTok"/>
        </w:rPr>
        <w:t xml:space="preserve">"Echec de verification pour </w:t>
      </w:r>
      <w:r>
        <w:rPr>
          <w:rStyle w:val="SpecialCharTok"/>
        </w:rPr>
        <w:t xml:space="preserve">%s</w:t>
      </w:r>
      <w:r>
        <w:rPr>
          <w:rStyle w:val="StringTok"/>
        </w:rPr>
        <w:t xml:space="preserve"> : </w:t>
      </w:r>
      <w:r>
        <w:rPr>
          <w:rStyle w:val="SpecialCharTok"/>
        </w:rPr>
        <w:t xml:space="preserve">%s</w:t>
      </w:r>
      <w:r>
        <w:rPr>
          <w:rStyle w:val="StringTok"/>
        </w:rPr>
        <w:t xml:space="preserve">"</w:t>
      </w:r>
      <w:r>
        <w:rPr>
          <w:rStyle w:val="NormalTok"/>
        </w:rPr>
        <w:t xml:space="preserve">, nom, erreur)</w:t>
      </w:r>
      <w:r>
        <w:br/>
      </w:r>
      <w:r>
        <w:rPr>
          <w:rStyle w:val="NormalTok"/>
        </w:rPr>
        <w:t xml:space="preserve">        </w:t>
      </w:r>
      <w:r>
        <w:rPr>
          <w:rStyle w:val="ControlFlowTok"/>
        </w:rPr>
        <w:t xml:space="preserve">return</w:t>
      </w:r>
      <w:r>
        <w:rPr>
          <w:rStyle w:val="NormalTok"/>
        </w:rPr>
        <w:t xml:space="preserve"> {</w:t>
      </w:r>
      <w:r>
        <w:rPr>
          <w:rStyle w:val="StringTok"/>
        </w:rPr>
        <w:t xml:space="preserve">"site"</w:t>
      </w:r>
      <w:r>
        <w:rPr>
          <w:rStyle w:val="NormalTok"/>
        </w:rPr>
        <w:t xml:space="preserve">: nom, </w:t>
      </w:r>
      <w:r>
        <w:rPr>
          <w:rStyle w:val="StringTok"/>
        </w:rPr>
        <w:t xml:space="preserve">"statut"</w:t>
      </w:r>
      <w:r>
        <w:rPr>
          <w:rStyle w:val="NormalTok"/>
        </w:rPr>
        <w:t xml:space="preserve">: </w:t>
      </w:r>
      <w:r>
        <w:rPr>
          <w:rStyle w:val="StringTok"/>
        </w:rPr>
        <w:t xml:space="preserve">"ERREUR"</w:t>
      </w:r>
      <w:r>
        <w:rPr>
          <w:rStyle w:val="NormalTok"/>
        </w:rPr>
        <w:t xml:space="preserve">, </w:t>
      </w:r>
      <w:r>
        <w:rPr>
          <w:rStyle w:val="StringTok"/>
        </w:rPr>
        <w:t xml:space="preserve">"details"</w:t>
      </w:r>
      <w:r>
        <w:rPr>
          <w:rStyle w:val="NormalTok"/>
        </w:rPr>
        <w:t xml:space="preserve">: </w:t>
      </w:r>
      <w:r>
        <w:rPr>
          <w:rStyle w:val="BuiltInTok"/>
        </w:rPr>
        <w:t xml:space="preserve">str</w:t>
      </w:r>
      <w:r>
        <w:rPr>
          <w:rStyle w:val="NormalTok"/>
        </w:rPr>
        <w:t xml:space="preserve">(erreur)}</w:t>
      </w:r>
      <w:r>
        <w:br/>
      </w:r>
      <w:r>
        <w:br/>
      </w:r>
      <w:r>
        <w:br/>
      </w:r>
      <w:r>
        <w:rPr>
          <w:rStyle w:val="KeywordTok"/>
        </w:rPr>
        <w:t xml:space="preserve">def</w:t>
      </w:r>
      <w:r>
        <w:rPr>
          <w:rStyle w:val="NormalTok"/>
        </w:rPr>
        <w:t xml:space="preserve"> main() </w:t>
      </w:r>
      <w:r>
        <w:rPr>
          <w:rStyle w:val="OperatorTok"/>
        </w:rPr>
        <w:t xml:space="preserve">-&gt;</w:t>
      </w:r>
      <w:r>
        <w:rPr>
          <w:rStyle w:val="NormalTok"/>
        </w:rPr>
        <w:t xml:space="preserve"> </w:t>
      </w:r>
      <w:r>
        <w:rPr>
          <w:rStyle w:val="BuiltInTok"/>
        </w:rPr>
        <w:t xml:space="preserve">int</w:t>
      </w:r>
      <w:r>
        <w:rPr>
          <w:rStyle w:val="NormalTok"/>
        </w:rPr>
        <w:t xml:space="preserve">:</w:t>
      </w:r>
      <w:r>
        <w:br/>
      </w:r>
      <w:r>
        <w:rPr>
          <w:rStyle w:val="NormalTok"/>
        </w:rPr>
        <w:t xml:space="preserve">    resultats </w:t>
      </w:r>
      <w:r>
        <w:rPr>
          <w:rStyle w:val="OperatorTok"/>
        </w:rPr>
        <w:t xml:space="preserve">=</w:t>
      </w:r>
      <w:r>
        <w:rPr>
          <w:rStyle w:val="NormalTok"/>
        </w:rPr>
        <w:t xml:space="preserve"> [verifier_site(nom, url) </w:t>
      </w:r>
      <w:r>
        <w:rPr>
          <w:rStyle w:val="ControlFlowTok"/>
        </w:rPr>
        <w:t xml:space="preserve">for</w:t>
      </w:r>
      <w:r>
        <w:rPr>
          <w:rStyle w:val="NormalTok"/>
        </w:rPr>
        <w:t xml:space="preserve"> nom, url </w:t>
      </w:r>
      <w:r>
        <w:rPr>
          <w:rStyle w:val="KeywordTok"/>
        </w:rPr>
        <w:t xml:space="preserve">in</w:t>
      </w:r>
      <w:r>
        <w:rPr>
          <w:rStyle w:val="NormalTok"/>
        </w:rPr>
        <w:t xml:space="preserve"> SITES.items()]</w:t>
      </w:r>
      <w:r>
        <w:br/>
      </w:r>
      <w:r>
        <w:rPr>
          <w:rStyle w:val="NormalTok"/>
        </w:rPr>
        <w:t xml:space="preserve">    erreurs </w:t>
      </w:r>
      <w:r>
        <w:rPr>
          <w:rStyle w:val="OperatorTok"/>
        </w:rPr>
        <w:t xml:space="preserve">=</w:t>
      </w:r>
      <w:r>
        <w:rPr>
          <w:rStyle w:val="NormalTok"/>
        </w:rPr>
        <w:t xml:space="preserve"> [r </w:t>
      </w:r>
      <w:r>
        <w:rPr>
          <w:rStyle w:val="ControlFlowTok"/>
        </w:rPr>
        <w:t xml:space="preserve">for</w:t>
      </w:r>
      <w:r>
        <w:rPr>
          <w:rStyle w:val="NormalTok"/>
        </w:rPr>
        <w:t xml:space="preserve"> r </w:t>
      </w:r>
      <w:r>
        <w:rPr>
          <w:rStyle w:val="KeywordTok"/>
        </w:rPr>
        <w:t xml:space="preserve">in</w:t>
      </w:r>
      <w:r>
        <w:rPr>
          <w:rStyle w:val="NormalTok"/>
        </w:rPr>
        <w:t xml:space="preserve"> resultats </w:t>
      </w:r>
      <w:r>
        <w:rPr>
          <w:rStyle w:val="ControlFlowTok"/>
        </w:rPr>
        <w:t xml:space="preserve">if</w:t>
      </w:r>
      <w:r>
        <w:rPr>
          <w:rStyle w:val="NormalTok"/>
        </w:rPr>
        <w:t xml:space="preserve"> r[</w:t>
      </w:r>
      <w:r>
        <w:rPr>
          <w:rStyle w:val="StringTok"/>
        </w:rPr>
        <w:t xml:space="preserve">"statut"</w:t>
      </w:r>
      <w:r>
        <w:rPr>
          <w:rStyle w:val="NormalTok"/>
        </w:rPr>
        <w:t xml:space="preserve">] </w:t>
      </w:r>
      <w:r>
        <w:rPr>
          <w:rStyle w:val="OperatorTok"/>
        </w:rPr>
        <w:t xml:space="preserve">==</w:t>
      </w:r>
      <w:r>
        <w:rPr>
          <w:rStyle w:val="NormalTok"/>
        </w:rPr>
        <w:t xml:space="preserve"> </w:t>
      </w:r>
      <w:r>
        <w:rPr>
          <w:rStyle w:val="StringTok"/>
        </w:rPr>
        <w:t xml:space="preserve">"ERREUR"</w:t>
      </w:r>
      <w:r>
        <w:rPr>
          <w:rStyle w:val="NormalTok"/>
        </w:rPr>
        <w:t xml:space="preserve">]</w:t>
      </w:r>
      <w:r>
        <w:br/>
      </w:r>
      <w:r>
        <w:br/>
      </w:r>
      <w:r>
        <w:rPr>
          <w:rStyle w:val="NormalTok"/>
        </w:rPr>
        <w:t xml:space="preserve">    </w:t>
      </w:r>
      <w:r>
        <w:rPr>
          <w:rStyle w:val="ControlFlowTok"/>
        </w:rPr>
        <w:t xml:space="preserve">for</w:t>
      </w:r>
      <w:r>
        <w:rPr>
          <w:rStyle w:val="NormalTok"/>
        </w:rPr>
        <w:t xml:space="preserve"> resultat </w:t>
      </w:r>
      <w:r>
        <w:rPr>
          <w:rStyle w:val="KeywordTok"/>
        </w:rPr>
        <w:t xml:space="preserve">in</w:t>
      </w:r>
      <w:r>
        <w:rPr>
          <w:rStyle w:val="NormalTok"/>
        </w:rPr>
        <w:t xml:space="preserve"> resultats:</w:t>
      </w:r>
      <w:r>
        <w:br/>
      </w:r>
      <w:r>
        <w:rPr>
          <w:rStyle w:val="NormalTok"/>
        </w:rPr>
        <w:t xml:space="preserve">        logger.info(</w:t>
      </w:r>
      <w:r>
        <w:rPr>
          <w:rStyle w:val="StringTok"/>
        </w:rPr>
        <w:t xml:space="preserve">"</w:t>
      </w:r>
      <w:r>
        <w:rPr>
          <w:rStyle w:val="SpecialCharTok"/>
        </w:rPr>
        <w:t xml:space="preserve">%s</w:t>
      </w:r>
      <w:r>
        <w:rPr>
          <w:rStyle w:val="StringTok"/>
        </w:rPr>
        <w:t xml:space="preserve"> : </w:t>
      </w:r>
      <w:r>
        <w:rPr>
          <w:rStyle w:val="SpecialCharTok"/>
        </w:rPr>
        <w:t xml:space="preserve">%s</w:t>
      </w:r>
      <w:r>
        <w:rPr>
          <w:rStyle w:val="StringTok"/>
        </w:rPr>
        <w:t xml:space="preserve">"</w:t>
      </w:r>
      <w:r>
        <w:rPr>
          <w:rStyle w:val="NormalTok"/>
        </w:rPr>
        <w:t xml:space="preserve">, resultat[</w:t>
      </w:r>
      <w:r>
        <w:rPr>
          <w:rStyle w:val="StringTok"/>
        </w:rPr>
        <w:t xml:space="preserve">"site"</w:t>
      </w:r>
      <w:r>
        <w:rPr>
          <w:rStyle w:val="NormalTok"/>
        </w:rPr>
        <w:t xml:space="preserve">], resultat[</w:t>
      </w:r>
      <w:r>
        <w:rPr>
          <w:rStyle w:val="StringTok"/>
        </w:rPr>
        <w:t xml:space="preserve">"statut"</w:t>
      </w:r>
      <w:r>
        <w:rPr>
          <w:rStyle w:val="NormalTok"/>
        </w:rPr>
        <w:t xml:space="preserve">])</w:t>
      </w:r>
      <w:r>
        <w:br/>
      </w:r>
      <w:r>
        <w:br/>
      </w:r>
      <w:r>
        <w:rPr>
          <w:rStyle w:val="NormalTok"/>
        </w:rPr>
        <w:t xml:space="preserve">    </w:t>
      </w:r>
      <w:r>
        <w:rPr>
          <w:rStyle w:val="ControlFlowTok"/>
        </w:rPr>
        <w:t xml:space="preserve">if</w:t>
      </w:r>
      <w:r>
        <w:rPr>
          <w:rStyle w:val="NormalTok"/>
        </w:rPr>
        <w:t xml:space="preserve"> erreurs:</w:t>
      </w:r>
      <w:r>
        <w:br/>
      </w:r>
      <w:r>
        <w:rPr>
          <w:rStyle w:val="NormalTok"/>
        </w:rPr>
        <w:t xml:space="preserve">        logger.warning(</w:t>
      </w:r>
      <w:r>
        <w:rPr>
          <w:rStyle w:val="StringTok"/>
        </w:rPr>
        <w:t xml:space="preserve">"</w:t>
      </w:r>
      <w:r>
        <w:rPr>
          <w:rStyle w:val="SpecialCharTok"/>
        </w:rPr>
        <w:t xml:space="preserve">%d</w:t>
      </w:r>
      <w:r>
        <w:rPr>
          <w:rStyle w:val="StringTok"/>
        </w:rPr>
        <w:t xml:space="preserve"> site(s) en erreur sur </w:t>
      </w:r>
      <w:r>
        <w:rPr>
          <w:rStyle w:val="SpecialCharTok"/>
        </w:rPr>
        <w:t xml:space="preserve">%d</w:t>
      </w:r>
      <w:r>
        <w:rPr>
          <w:rStyle w:val="StringTok"/>
        </w:rPr>
        <w:t xml:space="preserve">"</w:t>
      </w:r>
      <w:r>
        <w:rPr>
          <w:rStyle w:val="NormalTok"/>
        </w:rPr>
        <w:t xml:space="preserve">, </w:t>
      </w:r>
      <w:r>
        <w:rPr>
          <w:rStyle w:val="BuiltInTok"/>
        </w:rPr>
        <w:t xml:space="preserve">len</w:t>
      </w:r>
      <w:r>
        <w:rPr>
          <w:rStyle w:val="NormalTok"/>
        </w:rPr>
        <w:t xml:space="preserve">(erreurs), </w:t>
      </w:r>
      <w:r>
        <w:rPr>
          <w:rStyle w:val="BuiltInTok"/>
        </w:rPr>
        <w:t xml:space="preserve">len</w:t>
      </w:r>
      <w:r>
        <w:rPr>
          <w:rStyle w:val="NormalTok"/>
        </w:rPr>
        <w:t xml:space="preserve">(resultats))</w:t>
      </w:r>
      <w:r>
        <w:br/>
      </w:r>
      <w:r>
        <w:rPr>
          <w:rStyle w:val="NormalTok"/>
        </w:rPr>
        <w:t xml:space="preserve">        </w:t>
      </w:r>
      <w:r>
        <w:rPr>
          <w:rStyle w:val="ControlFlowTok"/>
        </w:rPr>
        <w:t xml:space="preserve">return</w:t>
      </w:r>
      <w:r>
        <w:rPr>
          <w:rStyle w:val="NormalTok"/>
        </w:rPr>
        <w:t xml:space="preserve"> </w:t>
      </w:r>
      <w:r>
        <w:rPr>
          <w:rStyle w:val="DecValTok"/>
        </w:rPr>
        <w:t xml:space="preserve">1</w:t>
      </w:r>
      <w:r>
        <w:br/>
      </w:r>
      <w:r>
        <w:br/>
      </w:r>
      <w:r>
        <w:rPr>
          <w:rStyle w:val="NormalTok"/>
        </w:rPr>
        <w:t xml:space="preserve">    logger.info(</w:t>
      </w:r>
      <w:r>
        <w:rPr>
          <w:rStyle w:val="StringTok"/>
        </w:rPr>
        <w:t xml:space="preserve">"Tous les sites sont operationnels"</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br/>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sys.exit(main())</w:t>
      </w:r>
    </w:p>
    <w:p>
      <w:pPr>
        <w:pStyle w:val="FirstParagraph"/>
      </w:pPr>
      <w:r>
        <w:t xml:space="preserve">💡 Explication des choix de conception</w:t>
      </w:r>
      <w:r>
        <w:t xml:space="preserve"> </w:t>
      </w:r>
      <w:r>
        <w:t xml:space="preserve">Le dictionnaire</w:t>
      </w:r>
      <w:r>
        <w:t xml:space="preserve"> </w:t>
      </w:r>
      <w:r>
        <w:t xml:space="preserve">SITES</w:t>
      </w:r>
      <w:r>
        <w:t xml:space="preserve"> </w:t>
      </w:r>
      <w:r>
        <w:t xml:space="preserve">centralise la configuration des deux sites, rendant l’ajout d’un futur troisième site trivial (une seule ligne à ajouter, contrairement au tableau Bash qu’il aurait fallu étendre avec une logique similaire dupliquée).</w:t>
      </w:r>
      <w:r>
        <w:t xml:space="preserve"> </w:t>
      </w:r>
      <w:r>
        <w:t xml:space="preserve">requests.get(…, timeout=5)</w:t>
      </w:r>
      <w:r>
        <w:t xml:space="preserve"> </w:t>
      </w:r>
      <w:r>
        <w:t xml:space="preserve">évite qu’un site injoignable ne bloque indéfiniment le script — un piège fréquent des appels réseau sans limite de temps explicite, que Bash gère beaucoup plus difficilement sans outils externes. La fonction</w:t>
      </w:r>
      <w:r>
        <w:t xml:space="preserve"> </w:t>
      </w:r>
      <w:r>
        <w:t xml:space="preserve">verifier_site</w:t>
      </w:r>
      <w:r>
        <w:t xml:space="preserve"> </w:t>
      </w:r>
      <w:r>
        <w:t xml:space="preserve">retourne une structure de données cohérente (un dictionnaire), bien plus facile à agréger et à traiter ensuite que du texte brut à reparser.</w:t>
      </w:r>
    </w:p>
    <w:bookmarkEnd w:id="513"/>
    <w:bookmarkStart w:id="514" w:name="Xbdf67f1af7839985d692e518ab717938b0865d8"/>
    <w:p>
      <w:pPr>
        <w:pStyle w:val="Heading2"/>
      </w:pPr>
      <w:r>
        <w:t xml:space="preserve">21.4 Gestion des erreurs :</w:t>
      </w:r>
      <w:r>
        <w:t xml:space="preserve"> </w:t>
      </w:r>
      <w:r>
        <w:rPr>
          <w:rStyle w:val="VerbatimChar"/>
        </w:rPr>
        <w:t xml:space="preserve">try</w:t>
      </w:r>
      <w:r>
        <w:t xml:space="preserve">/</w:t>
      </w:r>
      <w:r>
        <w:rPr>
          <w:rStyle w:val="VerbatimChar"/>
        </w:rPr>
        <w:t xml:space="preserve">except</w:t>
      </w:r>
      <w:r>
        <w:t xml:space="preserve"> </w:t>
      </w:r>
      <w:r>
        <w:t xml:space="preserve">plutôt que</w:t>
      </w:r>
      <w:r>
        <w:t xml:space="preserve"> </w:t>
      </w:r>
      <w:r>
        <w:rPr>
          <w:rStyle w:val="VerbatimChar"/>
        </w:rPr>
        <w:t xml:space="preserve">set -e</w:t>
      </w:r>
    </w:p>
    <w:p>
      <w:pPr>
        <w:pStyle w:val="FirstParagraph"/>
      </w:pPr>
      <w:r>
        <w:t xml:space="preserve">⚠️ Une exception non gérée arrête le script avec une trace complète (traceback)</w:t>
      </w:r>
      <w:r>
        <w:t xml:space="preserve"> </w:t>
      </w:r>
      <w:r>
        <w:t xml:space="preserve">Contrairement à Bash où une commande échouée peut passer inaperçue sans</w:t>
      </w:r>
      <w:r>
        <w:t xml:space="preserve"> </w:t>
      </w:r>
      <w:r>
        <w:rPr>
          <w:rStyle w:val="VerbatimChar"/>
        </w:rPr>
        <w:t xml:space="preserve">set -e</w:t>
      </w:r>
      <w:r>
        <w:t xml:space="preserve"> </w:t>
      </w:r>
      <w:r>
        <w:t xml:space="preserve">(chapitre 20), Python arrête immédiatement l’exécution dès qu’une exception non interceptée survient, en affichant une trace complète (</w:t>
      </w:r>
      <w:r>
        <w:rPr>
          <w:i/>
          <w:iCs/>
        </w:rPr>
        <w:t xml:space="preserve">traceback</w:t>
      </w:r>
      <w:r>
        <w:t xml:space="preserve">) montrant exactement où et pourquoi l’erreur s’est produite — un comportement par défaut déjà plus sûr que celui de Bash, mais qui nécessite quand même une gestion explicite (</w:t>
      </w:r>
      <w:r>
        <w:rPr>
          <w:rStyle w:val="VerbatimChar"/>
        </w:rPr>
        <w:t xml:space="preserve">try</w:t>
      </w:r>
      <w:r>
        <w:t xml:space="preserve">/</w:t>
      </w:r>
      <w:r>
        <w:rPr>
          <w:rStyle w:val="VerbatimChar"/>
        </w:rPr>
        <w:t xml:space="preserve">except</w:t>
      </w:r>
      <w:r>
        <w:t xml:space="preserve">) pour les erreurs</w:t>
      </w:r>
      <w:r>
        <w:t xml:space="preserve"> </w:t>
      </w:r>
      <w:r>
        <w:rPr>
          <w:b/>
          <w:bCs/>
        </w:rPr>
        <w:t xml:space="preserve">attendues</w:t>
      </w:r>
      <w:r>
        <w:t xml:space="preserve"> </w:t>
      </w:r>
      <w:r>
        <w:t xml:space="preserve">(comme un site injoignable dans le scénario d’ouverture), qu’on ne veut pas laisser interrompre brutalement tout le script.</w:t>
      </w:r>
    </w:p>
    <w:p>
      <w:pPr>
        <w:pStyle w:val="BodyText"/>
      </w:pPr>
      <w:r>
        <w:t xml:space="preserve">✅ Bonne pratique — capturer des exceptions précises, jamais un</w:t>
      </w:r>
      <w:r>
        <w:t xml:space="preserve"> </w:t>
      </w:r>
      <w:r>
        <w:rPr>
          <w:rStyle w:val="VerbatimChar"/>
        </w:rPr>
        <w:t xml:space="preserve">except:</w:t>
      </w:r>
      <w:r>
        <w:t xml:space="preserve"> </w:t>
      </w:r>
      <w:r>
        <w:t xml:space="preserve">générique</w:t>
      </w:r>
      <w:r>
        <w:t xml:space="preserve"> </w:t>
      </w:r>
      <w:r>
        <w:t xml:space="preserve">La fonction</w:t>
      </w:r>
      <w:r>
        <w:t xml:space="preserve"> </w:t>
      </w:r>
      <w:r>
        <w:t xml:space="preserve">verifier_site</w:t>
      </w:r>
      <w:r>
        <w:t xml:space="preserve"> </w:t>
      </w:r>
      <w:r>
        <w:t xml:space="preserve">capture spécifiquement</w:t>
      </w:r>
      <w:r>
        <w:t xml:space="preserve"> </w:t>
      </w:r>
      <w:r>
        <w:t xml:space="preserve">requests.exceptions.RequestException</w:t>
      </w:r>
      <w:r>
        <w:t xml:space="preserve"> </w:t>
      </w:r>
      <w:r>
        <w:t xml:space="preserve">— la famille d’erreurs réseau attendues (timeout, connexion refusée, certificat invalide) — plutôt qu’un</w:t>
      </w:r>
      <w:r>
        <w:t xml:space="preserve"> </w:t>
      </w:r>
      <w:r>
        <w:t xml:space="preserve">except:</w:t>
      </w:r>
      <w:r>
        <w:t xml:space="preserve"> </w:t>
      </w:r>
      <w:r>
        <w:t xml:space="preserve">générique qui masquerait aussi des erreurs de programmation totalement différentes (une faute de frappe dans le code, par exemple), rendant le débogage futur beaucoup plus difficile en cachant la vraie nature du problème.</w:t>
      </w:r>
    </w:p>
    <w:bookmarkEnd w:id="514"/>
    <w:bookmarkStart w:id="515" w:name="X7d8d59a1a81bc12f4c0c3185da4556981e49deb"/>
    <w:p>
      <w:pPr>
        <w:pStyle w:val="Heading2"/>
      </w:pPr>
      <w:r>
        <w:t xml:space="preserve">21.5 Journaliser avec le module</w:t>
      </w:r>
      <w:r>
        <w:t xml:space="preserve"> </w:t>
      </w:r>
      <w:r>
        <w:rPr>
          <w:rStyle w:val="VerbatimChar"/>
        </w:rPr>
        <w:t xml:space="preserve">logging</w:t>
      </w:r>
      <w:r>
        <w:t xml:space="preserve">, jamais avec</w:t>
      </w:r>
      <w:r>
        <w:t xml:space="preserve"> </w:t>
      </w:r>
      <w:r>
        <w:rPr>
          <w:rStyle w:val="VerbatimChar"/>
        </w:rPr>
        <w:t xml:space="preserve">print</w:t>
      </w:r>
    </w:p>
    <w:p>
      <w:pPr>
        <w:pStyle w:val="FirstParagraph"/>
      </w:pPr>
      <w:r>
        <w:t xml:space="preserve">🚀 Performance — pourquoi</w:t>
      </w:r>
      <w:r>
        <w:t xml:space="preserve"> </w:t>
      </w:r>
      <w:r>
        <w:rPr>
          <w:rStyle w:val="VerbatimChar"/>
        </w:rPr>
        <w:t xml:space="preserve">logging</w:t>
      </w:r>
      <w:r>
        <w:t xml:space="preserve"> </w:t>
      </w:r>
      <w:r>
        <w:t xml:space="preserve">plutôt que</w:t>
      </w:r>
      <w:r>
        <w:t xml:space="preserve"> </w:t>
      </w:r>
      <w:r>
        <w:rPr>
          <w:rStyle w:val="VerbatimChar"/>
        </w:rPr>
        <w:t xml:space="preserve">print</w:t>
      </w:r>
      <w:r>
        <w:t xml:space="preserve"> </w:t>
      </w:r>
      <w:r>
        <w:t xml:space="preserve">Le module</w:t>
      </w:r>
      <w:r>
        <w:t xml:space="preserve"> </w:t>
      </w:r>
      <w:r>
        <w:t xml:space="preserve">logging</w:t>
      </w:r>
      <w:r>
        <w:t xml:space="preserve"> </w:t>
      </w:r>
      <w:r>
        <w:t xml:space="preserve">de la bibliothèque standard (utilisé dans le script de la section 21.3) offre nativement l’horodatage automatique, des niveaux de gravité (INFO, WARNING, ERROR), et un envoi simultané possible vers plusieurs destinations (fichier, console, système de journalisation centralisé comme celui du chapitre 16) — toutes des fonctionnalités qu’un simple</w:t>
      </w:r>
      <w:r>
        <w:t xml:space="preserve"> </w:t>
      </w:r>
      <w:r>
        <w:t xml:space="preserve">print</w:t>
      </w:r>
      <w:r>
        <w:t xml:space="preserve"> </w:t>
      </w:r>
      <w:r>
        <w:t xml:space="preserve">n’offre pas, et qu’il faudrait réimplémenter manuellement et imparfaitement. Utiliser</w:t>
      </w:r>
      <w:r>
        <w:t xml:space="preserve"> </w:t>
      </w:r>
      <w:r>
        <w:t xml:space="preserve">logging</w:t>
      </w:r>
      <w:r>
        <w:t xml:space="preserve"> </w:t>
      </w:r>
      <w:r>
        <w:t xml:space="preserve">dès le départ, même pour un petit script, évite d’avoir à tout réécrire plus tard quand le besoin de journalisation structurée devient réel.</w:t>
      </w:r>
    </w:p>
    <w:bookmarkEnd w:id="515"/>
    <w:bookmarkStart w:id="516" w:name="Xaf68371b4630279cabb148362cb0f1cb6d957d1"/>
    <w:p>
      <w:pPr>
        <w:pStyle w:val="Heading2"/>
      </w:pPr>
      <w:r>
        <w:t xml:space="preserve">21.6 La faille de sécurité à connaître absolument :</w:t>
      </w:r>
      <w:r>
        <w:t xml:space="preserve"> </w:t>
      </w:r>
      <w:r>
        <w:rPr>
          <w:rStyle w:val="VerbatimChar"/>
        </w:rPr>
        <w:t xml:space="preserve">subprocess</w:t>
      </w:r>
      <w:r>
        <w:t xml:space="preserve"> </w:t>
      </w:r>
      <w:r>
        <w:t xml:space="preserve">avec</w:t>
      </w:r>
      <w:r>
        <w:t xml:space="preserve"> </w:t>
      </w:r>
      <w:r>
        <w:rPr>
          <w:rStyle w:val="VerbatimChar"/>
        </w:rPr>
        <w:t xml:space="preserve">shell=True</w:t>
      </w:r>
    </w:p>
    <w:p>
      <w:pPr>
        <w:pStyle w:val="SourceCode"/>
      </w:pPr>
      <w:r>
        <w:rPr>
          <w:rStyle w:val="CommentTok"/>
        </w:rPr>
        <w:t xml:space="preserve"># DANGEREUX : injection de commande possible si "nom_fichier"</w:t>
      </w:r>
      <w:r>
        <w:br/>
      </w:r>
      <w:r>
        <w:rPr>
          <w:rStyle w:val="CommentTok"/>
        </w:rPr>
        <w:t xml:space="preserve"># provient d'une source externe non maitrisee</w:t>
      </w:r>
      <w:r>
        <w:br/>
      </w:r>
      <w:r>
        <w:rPr>
          <w:rStyle w:val="ImportTok"/>
        </w:rPr>
        <w:t xml:space="preserve">import</w:t>
      </w:r>
      <w:r>
        <w:rPr>
          <w:rStyle w:val="NormalTok"/>
        </w:rPr>
        <w:t xml:space="preserve"> subprocess</w:t>
      </w:r>
      <w:r>
        <w:br/>
      </w:r>
      <w:r>
        <w:rPr>
          <w:rStyle w:val="NormalTok"/>
        </w:rPr>
        <w:t xml:space="preserve">nom_fichier </w:t>
      </w:r>
      <w:r>
        <w:rPr>
          <w:rStyle w:val="OperatorTok"/>
        </w:rPr>
        <w:t xml:space="preserve">=</w:t>
      </w:r>
      <w:r>
        <w:rPr>
          <w:rStyle w:val="NormalTok"/>
        </w:rPr>
        <w:t xml:space="preserve"> obtenir_depuis_une_source_externe()</w:t>
      </w:r>
      <w:r>
        <w:br/>
      </w:r>
      <w:r>
        <w:rPr>
          <w:rStyle w:val="NormalTok"/>
        </w:rPr>
        <w:t xml:space="preserve">subprocess.run(</w:t>
      </w:r>
      <w:r>
        <w:rPr>
          <w:rStyle w:val="SpecialStringTok"/>
        </w:rPr>
        <w:t xml:space="preserve">f"cat </w:t>
      </w:r>
      <w:r>
        <w:rPr>
          <w:rStyle w:val="SpecialCharTok"/>
        </w:rPr>
        <w:t xml:space="preserve">{</w:t>
      </w:r>
      <w:r>
        <w:rPr>
          <w:rStyle w:val="NormalTok"/>
        </w:rPr>
        <w:t xml:space="preserve">nom_fichier</w:t>
      </w:r>
      <w:r>
        <w:rPr>
          <w:rStyle w:val="SpecialCharTok"/>
        </w:rPr>
        <w:t xml:space="preserve">}</w:t>
      </w:r>
      <w:r>
        <w:rPr>
          <w:rStyle w:val="SpecialStringTok"/>
        </w:rPr>
        <w:t xml:space="preserve">"</w:t>
      </w:r>
      <w:r>
        <w:rPr>
          <w:rStyle w:val="NormalTok"/>
        </w:rPr>
        <w:t xml:space="preserve">, shell</w:t>
      </w:r>
      <w:r>
        <w:rPr>
          <w:rStyle w:val="OperatorTok"/>
        </w:rPr>
        <w:t xml:space="preserve">=</w:t>
      </w:r>
      <w:r>
        <w:rPr>
          <w:rStyle w:val="VariableTok"/>
        </w:rPr>
        <w:t xml:space="preserve">True</w:t>
      </w:r>
      <w:r>
        <w:rPr>
          <w:rStyle w:val="NormalTok"/>
        </w:rPr>
        <w:t xml:space="preserve">)   </w:t>
      </w:r>
      <w:r>
        <w:rPr>
          <w:rStyle w:val="CommentTok"/>
        </w:rPr>
        <w:t xml:space="preserve"># NE JAMAIS FAIRE CECI</w:t>
      </w:r>
      <w:r>
        <w:br/>
      </w:r>
      <w:r>
        <w:br/>
      </w:r>
      <w:r>
        <w:rPr>
          <w:rStyle w:val="CommentTok"/>
        </w:rPr>
        <w:t xml:space="preserve"># SUR : la liste d'arguments evite completement l'interpretation</w:t>
      </w:r>
      <w:r>
        <w:br/>
      </w:r>
      <w:r>
        <w:rPr>
          <w:rStyle w:val="CommentTok"/>
        </w:rPr>
        <w:t xml:space="preserve"># par un shell, donc l'injection de commande</w:t>
      </w:r>
      <w:r>
        <w:br/>
      </w:r>
      <w:r>
        <w:rPr>
          <w:rStyle w:val="NormalTok"/>
        </w:rPr>
        <w:t xml:space="preserve">subprocess.run([</w:t>
      </w:r>
      <w:r>
        <w:rPr>
          <w:rStyle w:val="StringTok"/>
        </w:rPr>
        <w:t xml:space="preserve">"cat"</w:t>
      </w:r>
      <w:r>
        <w:rPr>
          <w:rStyle w:val="NormalTok"/>
        </w:rPr>
        <w:t xml:space="preserve">, nom_fichier], shell</w:t>
      </w:r>
      <w:r>
        <w:rPr>
          <w:rStyle w:val="OperatorTok"/>
        </w:rPr>
        <w:t xml:space="preserve">=</w:t>
      </w:r>
      <w:r>
        <w:rPr>
          <w:rStyle w:val="VariableTok"/>
        </w:rPr>
        <w:t xml:space="preserve">False</w:t>
      </w:r>
      <w:r>
        <w:rPr>
          <w:rStyle w:val="NormalTok"/>
        </w:rPr>
        <w:t xml:space="preserve">)</w:t>
      </w:r>
    </w:p>
    <w:p>
      <w:pPr>
        <w:pStyle w:val="FirstParagraph"/>
      </w:pPr>
      <w:r>
        <w:t xml:space="preserve">🔒 Sécurité — pourquoi</w:t>
      </w:r>
      <w:r>
        <w:t xml:space="preserve"> </w:t>
      </w:r>
      <w:r>
        <w:rPr>
          <w:rStyle w:val="VerbatimChar"/>
        </w:rPr>
        <w:t xml:space="preserve">shell=True</w:t>
      </w:r>
      <w:r>
        <w:t xml:space="preserve"> </w:t>
      </w:r>
      <w:r>
        <w:t xml:space="preserve">avec une entrée non maîtrisée est une faille critique</w:t>
      </w:r>
      <w:r>
        <w:t xml:space="preserve"> </w:t>
      </w:r>
      <w:r>
        <w:t xml:space="preserve">Avec</w:t>
      </w:r>
      <w:r>
        <w:t xml:space="preserve"> </w:t>
      </w:r>
      <w:r>
        <w:t xml:space="preserve">shell=True</w:t>
      </w:r>
      <w:r>
        <w:t xml:space="preserve">, la chaîne de commande est interprétée par un shell complet, exactement comme si elle avait été tapée dans un terminal — si</w:t>
      </w:r>
      <w:r>
        <w:t xml:space="preserve"> </w:t>
      </w:r>
      <w:r>
        <w:t xml:space="preserve">nom_fichier</w:t>
      </w:r>
      <w:r>
        <w:t xml:space="preserve"> </w:t>
      </w:r>
      <w:r>
        <w:t xml:space="preserve">contient quelque chose comme</w:t>
      </w:r>
      <w:r>
        <w:t xml:space="preserve"> </w:t>
      </w:r>
      <w:r>
        <w:t xml:space="preserve">“; rm -rf /”</w:t>
      </w:r>
      <w:r>
        <w:t xml:space="preserve">, cette portion malveillante s’exécute également, comme une commande distincte. C’est l’équivalent Python direct des injections SQL (chapitre 25 pour la sécurité applicative plus large) : ne jamais faire confiance à une entrée externe interprétée par un interpréteur de commandes. La forme en liste (</w:t>
      </w:r>
      <w:r>
        <w:t xml:space="preserve">[</w:t>
      </w:r>
      <w:r>
        <w:t xml:space="preserve">“cat”</w:t>
      </w:r>
      <w:r>
        <w:t xml:space="preserve">, nom_fichier]</w:t>
      </w:r>
      <w:r>
        <w:t xml:space="preserve">, sans</w:t>
      </w:r>
      <w:r>
        <w:t xml:space="preserve"> </w:t>
      </w:r>
      <w:r>
        <w:t xml:space="preserve">shell=True</w:t>
      </w:r>
      <w:r>
        <w:t xml:space="preserve">) élimine structurellement ce risque, car chaque élément de la liste est traité comme un argument littéral, jamais réinterprété par un shell.</w:t>
      </w:r>
    </w:p>
    <w:bookmarkEnd w:id="516"/>
    <w:bookmarkStart w:id="517" w:name="Xe3e20e35b16b046f3b4473fe44b1ddef2514d07"/>
    <w:p>
      <w:pPr>
        <w:pStyle w:val="Heading2"/>
      </w:pPr>
      <w:r>
        <w:t xml:space="preserve">Atelier — Étendre le script pour envoyer une alerte email</w:t>
      </w:r>
    </w:p>
    <w:p>
      <w:pPr>
        <w:pStyle w:val="FirstParagraph"/>
      </w:pPr>
      <w:r>
        <w:t xml:space="preserve">🛠️ Atelier 21 — Ajouter l’envoi d’un rapport email en cas d’erreur</w:t>
      </w:r>
    </w:p>
    <w:p>
      <w:pPr>
        <w:pStyle w:val="BodyText"/>
      </w:pPr>
      <w:r>
        <w:rPr>
          <w:b/>
          <w:bCs/>
        </w:rPr>
        <w:t xml:space="preserve">Objectif</w:t>
      </w:r>
      <w:r>
        <w:t xml:space="preserve"> </w:t>
      </w:r>
      <w:r>
        <w:t xml:space="preserve">: compléter le script de la section 21.3 pour répondre entièrement au besoin du scénario d’ouverture (rapport par email en cas de problème détecté).</w:t>
      </w:r>
    </w:p>
    <w:p>
      <w:pPr>
        <w:pStyle w:val="BodyText"/>
      </w:pPr>
      <w:r>
        <w:rPr>
          <w:b/>
          <w:bCs/>
        </w:rPr>
        <w:t xml:space="preserve">Préparation</w:t>
      </w:r>
      <w:r>
        <w:t xml:space="preserve"> </w:t>
      </w:r>
      <w:r>
        <w:t xml:space="preserve">: aucune installation nécessaire pour cet atelier conceptuel — il s’agit de raisonner sur la structure du code, pas de configurer un vrai serveur SMTP.</w:t>
      </w:r>
    </w:p>
    <w:p>
      <w:pPr>
        <w:pStyle w:val="BodyText"/>
      </w:pPr>
      <w:r>
        <w:rPr>
          <w:b/>
          <w:bCs/>
        </w:rPr>
        <w:t xml:space="preserve">Étapes détaillées</w:t>
      </w:r>
      <w:r>
        <w:t xml:space="preserve"> </w:t>
      </w:r>
      <w:r>
        <w:t xml:space="preserve">:</w:t>
      </w:r>
    </w:p>
    <w:p>
      <w:pPr>
        <w:pStyle w:val="Compact"/>
        <w:numPr>
          <w:ilvl w:val="0"/>
          <w:numId w:val="1482"/>
        </w:numPr>
      </w:pPr>
      <w:r>
        <w:t xml:space="preserve">Décris, en pseudo-code ou en Python, où dans le script</w:t>
      </w:r>
      <w:r>
        <w:t xml:space="preserve"> </w:t>
      </w:r>
      <w:r>
        <w:rPr>
          <w:rStyle w:val="VerbatimChar"/>
        </w:rPr>
        <w:t xml:space="preserve">main()</w:t>
      </w:r>
      <w:r>
        <w:t xml:space="preserve"> </w:t>
      </w:r>
      <w:r>
        <w:t xml:space="preserve">de la section 21.3 il faudrait ajouter l’envoi d’un email, et sous quelle condition précise.</w:t>
      </w:r>
    </w:p>
    <w:p>
      <w:pPr>
        <w:pStyle w:val="Compact"/>
        <w:numPr>
          <w:ilvl w:val="0"/>
          <w:numId w:val="1482"/>
        </w:numPr>
      </w:pPr>
      <w:r>
        <w:t xml:space="preserve">Explique pourquoi cet envoi doit lui-même être entouré d’une gestion d’erreur (</w:t>
      </w:r>
      <w:r>
        <w:rPr>
          <w:rStyle w:val="VerbatimChar"/>
        </w:rPr>
        <w:t xml:space="preserve">try</w:t>
      </w:r>
      <w:r>
        <w:t xml:space="preserve">/</w:t>
      </w:r>
      <w:r>
        <w:rPr>
          <w:rStyle w:val="VerbatimChar"/>
        </w:rPr>
        <w:t xml:space="preserve">except</w:t>
      </w:r>
      <w:r>
        <w:t xml:space="preserve">) plutôt que d’être exécuté sans protection.</w:t>
      </w:r>
    </w:p>
    <w:p>
      <w:pPr>
        <w:pStyle w:val="Compact"/>
        <w:numPr>
          <w:ilvl w:val="0"/>
          <w:numId w:val="1482"/>
        </w:numPr>
      </w:pPr>
      <w:r>
        <w:t xml:space="preserve">Propose le contenu minimal que ce rapport email devrait inclure, en t’appuyant sur les informations déjà collectées dans</w:t>
      </w:r>
      <w:r>
        <w:t xml:space="preserve"> </w:t>
      </w:r>
      <w:r>
        <w:rPr>
          <w:rStyle w:val="VerbatimChar"/>
        </w:rPr>
        <w:t xml:space="preserve">resultats</w:t>
      </w:r>
      <w:r>
        <w:t xml:space="preserve">.</w:t>
      </w:r>
    </w:p>
    <w:p>
      <w:pPr>
        <w:pStyle w:val="Compact"/>
        <w:numPr>
          <w:ilvl w:val="0"/>
          <w:numId w:val="1482"/>
        </w:numPr>
      </w:pPr>
      <w:r>
        <w:t xml:space="preserve">Compare ta démarche à la section</w:t>
      </w:r>
      <w:r>
        <w:t xml:space="preserve"> </w:t>
      </w:r>
      <w:r>
        <w:t xml:space="preserve">“Résultat attendu”</w:t>
      </w:r>
      <w:r>
        <w:t xml:space="preserve">.</w:t>
      </w:r>
    </w:p>
    <w:p>
      <w:pPr>
        <w:pStyle w:val="FirstParagraph"/>
      </w:pPr>
      <w:r>
        <w:rPr>
          <w:b/>
          <w:bCs/>
        </w:rPr>
        <w:t xml:space="preserve">Résultat attendu</w:t>
      </w:r>
      <w:r>
        <w:t xml:space="preserve"> </w:t>
      </w:r>
      <w:r>
        <w:t xml:space="preserve">: l’envoi d’email doit se déclencher uniquement si</w:t>
      </w:r>
      <w:r>
        <w:t xml:space="preserve"> </w:t>
      </w:r>
      <w:r>
        <w:rPr>
          <w:rStyle w:val="VerbatimChar"/>
        </w:rPr>
        <w:t xml:space="preserve">erreurs</w:t>
      </w:r>
      <w:r>
        <w:t xml:space="preserve"> </w:t>
      </w:r>
      <w:r>
        <w:t xml:space="preserve">n’est pas vide, juste avant le</w:t>
      </w:r>
      <w:r>
        <w:t xml:space="preserve"> </w:t>
      </w:r>
      <w:r>
        <w:rPr>
          <w:rStyle w:val="VerbatimChar"/>
        </w:rPr>
        <w:t xml:space="preserve">return 1</w:t>
      </w:r>
      <w:r>
        <w:t xml:space="preserve">. Il doit être entouré de son propre</w:t>
      </w:r>
      <w:r>
        <w:t xml:space="preserve"> </w:t>
      </w:r>
      <w:r>
        <w:rPr>
          <w:rStyle w:val="VerbatimChar"/>
        </w:rPr>
        <w:t xml:space="preserve">try</w:t>
      </w:r>
      <w:r>
        <w:t xml:space="preserve">/</w:t>
      </w:r>
      <w:r>
        <w:rPr>
          <w:rStyle w:val="VerbatimChar"/>
        </w:rPr>
        <w:t xml:space="preserve">except</w:t>
      </w:r>
      <w:r>
        <w:t xml:space="preserve">, car un échec de l’envoi d’email lui-même (serveur SMTP injoignable) ne doit jamais empêcher le script de se terminer proprement et de retourner un code d’erreur cohérent — un échec secondaire ne doit jamais masquer l’échec principal déjà détecté. Le contenu minimal du rapport reprend la liste des sites en erreur avec leur détail (</w:t>
      </w:r>
      <w:r>
        <w:rPr>
          <w:rStyle w:val="VerbatimChar"/>
        </w:rPr>
        <w:t xml:space="preserve">resultat["details"]</w:t>
      </w:r>
      <w:r>
        <w:t xml:space="preserve">), suffisant pour qu’un destinataire humain comprenne immédiatement quoi vérifier sans avoir à se reconnecter au serveur pour consulter le journal complet.</w:t>
      </w:r>
    </w:p>
    <w:p>
      <w:pPr>
        <w:pStyle w:val="BodyText"/>
      </w:pPr>
      <w:r>
        <w:rPr>
          <w:b/>
          <w:bCs/>
        </w:rPr>
        <w:t xml:space="preserve">Dépannage</w:t>
      </w:r>
      <w:r>
        <w:t xml:space="preserve"> </w:t>
      </w:r>
      <w:r>
        <w:t xml:space="preserve">: si tu hésites sur la structure exacte de l’envoi d’email en Python, cherche la bibliothèque standard</w:t>
      </w:r>
      <w:r>
        <w:t xml:space="preserve"> </w:t>
      </w:r>
      <w:r>
        <w:rPr>
          <w:rStyle w:val="VerbatimChar"/>
        </w:rPr>
        <w:t xml:space="preserve">smtplib</w:t>
      </w:r>
      <w:r>
        <w:t xml:space="preserve"> </w:t>
      </w:r>
      <w:r>
        <w:t xml:space="preserve">ou une bibliothèque tierce comme celle déjà utilisée dans le module PowerShell/notification d’autres chapitres — le principe reste le même : construire un message structuré, l’envoyer via une connexion protégée, et gérer l’échec de cet envoi séparément de la logique métier principale.</w:t>
      </w:r>
    </w:p>
    <w:bookmarkEnd w:id="517"/>
    <w:bookmarkStart w:id="518" w:name="erreurs-fréquentes-20"/>
    <w:p>
      <w:pPr>
        <w:pStyle w:val="Heading2"/>
      </w:pPr>
      <w:r>
        <w:t xml:space="preserve">Erreurs fréquentes</w:t>
      </w:r>
    </w:p>
    <w:p>
      <w:pPr>
        <w:pStyle w:val="FirstParagraph"/>
      </w:pPr>
      <w:r>
        <w:t xml:space="preserve">⚠️ Erreur n°1 —</w:t>
      </w:r>
      <w:r>
        <w:t xml:space="preserve"> </w:t>
      </w:r>
      <w:r>
        <w:rPr>
          <w:rStyle w:val="VerbatimChar"/>
        </w:rPr>
        <w:t xml:space="preserve">pip install</w:t>
      </w:r>
      <w:r>
        <w:t xml:space="preserve"> </w:t>
      </w:r>
      <w:r>
        <w:t xml:space="preserve">directement sur le Python système</w:t>
      </w:r>
      <w:r>
        <w:t xml:space="preserve"> </w:t>
      </w:r>
      <w:r>
        <w:t xml:space="preserve">Rappel de la section 21.2 : une pratique risquant des conflits avec les paquets système, à éviter systématiquement au profit d’un environnement virtuel dédié.</w:t>
      </w:r>
    </w:p>
    <w:p>
      <w:pPr>
        <w:pStyle w:val="BodyText"/>
      </w:pPr>
      <w:r>
        <w:t xml:space="preserve">⚠️ Erreur n°2 —</w:t>
      </w:r>
      <w:r>
        <w:t xml:space="preserve"> </w:t>
      </w:r>
      <w:r>
        <w:rPr>
          <w:rStyle w:val="VerbatimChar"/>
        </w:rPr>
        <w:t xml:space="preserve">subprocess</w:t>
      </w:r>
      <w:r>
        <w:t xml:space="preserve"> </w:t>
      </w:r>
      <w:r>
        <w:t xml:space="preserve">avec</w:t>
      </w:r>
      <w:r>
        <w:t xml:space="preserve"> </w:t>
      </w:r>
      <w:r>
        <w:rPr>
          <w:rStyle w:val="VerbatimChar"/>
        </w:rPr>
        <w:t xml:space="preserve">shell=True</w:t>
      </w:r>
      <w:r>
        <w:t xml:space="preserve"> </w:t>
      </w:r>
      <w:r>
        <w:t xml:space="preserve">sur une entrée non maîtrisée</w:t>
      </w:r>
      <w:r>
        <w:t xml:space="preserve"> </w:t>
      </w:r>
      <w:r>
        <w:t xml:space="preserve">La faille de sécurité critique de la section 21.6 — une pratique qui semble fonctionner parfaitement en test, mais qui expose le système à une injection de commande dès qu’une entrée malveillante ou simplement inattendue est fournie.</w:t>
      </w:r>
    </w:p>
    <w:p>
      <w:pPr>
        <w:pStyle w:val="BodyText"/>
      </w:pPr>
      <w:r>
        <w:t xml:space="preserve">⚠️ Erreur n°3 —</w:t>
      </w:r>
      <w:r>
        <w:t xml:space="preserve"> </w:t>
      </w:r>
      <w:r>
        <w:rPr>
          <w:rStyle w:val="VerbatimChar"/>
        </w:rPr>
        <w:t xml:space="preserve">except:</w:t>
      </w:r>
      <w:r>
        <w:t xml:space="preserve"> </w:t>
      </w:r>
      <w:r>
        <w:t xml:space="preserve">générique qui masque toutes les erreurs indistinctement</w:t>
      </w:r>
      <w:r>
        <w:t xml:space="preserve"> </w:t>
      </w:r>
      <w:r>
        <w:t xml:space="preserve">Rappel de la section 21.4 : capturer toutes les exceptions sans distinction cache aussi bien les erreurs attendues (réseau) que les erreurs de programmation réelles, rendant le débogage futur beaucoup plus difficile.</w:t>
      </w:r>
    </w:p>
    <w:bookmarkEnd w:id="518"/>
    <w:bookmarkStart w:id="519" w:name="Xe151a47ddc652e49ee55f9d4474d32aa325bf05"/>
    <w:p>
      <w:pPr>
        <w:pStyle w:val="Heading2"/>
      </w:pPr>
      <w:r>
        <w:t xml:space="preserve">Diagnostiquer un script Python qui échoue</w:t>
      </w:r>
    </w:p>
    <w:p>
      <w:pPr>
        <w:pStyle w:val="FirstParagraph"/>
      </w:pPr>
      <w:r>
        <w:t xml:space="preserve">🩺 Situation :</w:t>
      </w:r>
      <w:r>
        <w:t xml:space="preserve"> </w:t>
      </w:r>
      <w:r>
        <w:t xml:space="preserve">“Le script Python se termine avec une trace d’erreur (traceback) incompréhensible”</w:t>
      </w:r>
    </w:p>
    <w:p>
      <w:pPr>
        <w:pStyle w:val="Compact"/>
        <w:numPr>
          <w:ilvl w:val="0"/>
          <w:numId w:val="1483"/>
        </w:numPr>
      </w:pPr>
      <w:r>
        <w:rPr>
          <w:b/>
          <w:bCs/>
        </w:rPr>
        <w:t xml:space="preserve">Diagnostic</w:t>
      </w:r>
      <w:r>
        <w:t xml:space="preserve"> </w:t>
      </w:r>
      <w:r>
        <w:t xml:space="preserve">: contrairement à un script Bash qui peut échouer silencieusement (chapitre 20), Python affiche par défaut une trace complète — la dernière ligne de cette trace indique généralement le type d’erreur précis (</w:t>
      </w:r>
      <w:r>
        <w:rPr>
          <w:rStyle w:val="VerbatimChar"/>
        </w:rPr>
        <w:t xml:space="preserve">KeyError</w:t>
      </w:r>
      <w:r>
        <w:t xml:space="preserve">,</w:t>
      </w:r>
      <w:r>
        <w:t xml:space="preserve"> </w:t>
      </w:r>
      <w:r>
        <w:rPr>
          <w:rStyle w:val="VerbatimChar"/>
        </w:rPr>
        <w:t xml:space="preserve">TypeError</w:t>
      </w:r>
      <w:r>
        <w:t xml:space="preserve">,</w:t>
      </w:r>
      <w:r>
        <w:t xml:space="preserve"> </w:t>
      </w:r>
      <w:r>
        <w:rPr>
          <w:rStyle w:val="VerbatimChar"/>
        </w:rPr>
        <w:t xml:space="preserve">ConnectionError</w:t>
      </w:r>
      <w:r>
        <w:t xml:space="preserve">…) et sa cause immédiate.</w:t>
      </w:r>
    </w:p>
    <w:p>
      <w:pPr>
        <w:pStyle w:val="Compact"/>
        <w:numPr>
          <w:ilvl w:val="0"/>
          <w:numId w:val="1483"/>
        </w:numPr>
      </w:pPr>
      <w:r>
        <w:rPr>
          <w:b/>
          <w:bCs/>
        </w:rPr>
        <w:t xml:space="preserve">Comment vérifier</w:t>
      </w:r>
      <w:r>
        <w:t xml:space="preserve"> </w:t>
      </w:r>
      <w:r>
        <w:t xml:space="preserve">: lire la trace de bas en haut : la dernière ligne donne le type et le message d’erreur ; les lignes précédentes montrent la chaîne d’appels de fonctions qui a mené à cette erreur, permettant de remonter jusqu’à la ligne de code exacte en cause.</w:t>
      </w:r>
    </w:p>
    <w:p>
      <w:pPr>
        <w:pStyle w:val="Compact"/>
        <w:numPr>
          <w:ilvl w:val="0"/>
          <w:numId w:val="1483"/>
        </w:numPr>
      </w:pPr>
      <w:r>
        <w:rPr>
          <w:b/>
          <w:bCs/>
        </w:rPr>
        <w:t xml:space="preserve">Résolution</w:t>
      </w:r>
      <w:r>
        <w:t xml:space="preserve"> </w:t>
      </w:r>
      <w:r>
        <w:t xml:space="preserve">: une fois la ligne et le type d’erreur identifiés, ajouter une gestion d’exception ciblée si l’erreur est attendue dans certains cas (section 21.4), ou corriger directement le code si l’erreur révèle un vrai bug de logique (comme une faute de frappe ou une hypothèse incorrecte sur la structure des données).</w:t>
      </w:r>
    </w:p>
    <w:bookmarkEnd w:id="519"/>
    <w:bookmarkStart w:id="520" w:name="en-entreprise-20"/>
    <w:p>
      <w:pPr>
        <w:pStyle w:val="Heading2"/>
      </w:pPr>
      <w:r>
        <w:t xml:space="preserve">En entreprise</w:t>
      </w:r>
    </w:p>
    <w:p>
      <w:pPr>
        <w:pStyle w:val="Compact"/>
        <w:numPr>
          <w:ilvl w:val="0"/>
          <w:numId w:val="1484"/>
        </w:numPr>
      </w:pPr>
      <w:r>
        <w:rPr>
          <w:b/>
          <w:bCs/>
        </w:rPr>
        <w:t xml:space="preserve">Bonne pratique répandue</w:t>
      </w:r>
      <w:r>
        <w:t xml:space="preserve"> </w:t>
      </w:r>
      <w:r>
        <w:t xml:space="preserve">: maintenir un fichier</w:t>
      </w:r>
      <w:r>
        <w:t xml:space="preserve"> </w:t>
      </w:r>
      <w:r>
        <w:rPr>
          <w:rStyle w:val="VerbatimChar"/>
        </w:rPr>
        <w:t xml:space="preserve">requirements.txt</w:t>
      </w:r>
      <w:r>
        <w:t xml:space="preserve"> </w:t>
      </w:r>
      <w:r>
        <w:t xml:space="preserve">versionné (chapitre 51) pour chaque script Python de production, garantissant que l’environnement peut être reconstruit à l’identique sur un autre serveur en cas de besoin.</w:t>
      </w:r>
    </w:p>
    <w:p>
      <w:pPr>
        <w:pStyle w:val="Compact"/>
        <w:numPr>
          <w:ilvl w:val="0"/>
          <w:numId w:val="1484"/>
        </w:numPr>
      </w:pPr>
      <w:r>
        <w:rPr>
          <w:b/>
          <w:bCs/>
        </w:rPr>
        <w:t xml:space="preserve">Bonne pratique répandue</w:t>
      </w:r>
      <w:r>
        <w:t xml:space="preserve"> </w:t>
      </w:r>
      <w:r>
        <w:t xml:space="preserve">: faire relire (revue de code) tout script Python touchant à des données sensibles ou exécutant des commandes système, avec une attention particulière portée à l’usage de</w:t>
      </w:r>
      <w:r>
        <w:t xml:space="preserve"> </w:t>
      </w:r>
      <w:r>
        <w:rPr>
          <w:rStyle w:val="VerbatimChar"/>
        </w:rPr>
        <w:t xml:space="preserve">subprocess</w:t>
      </w:r>
      <w:r>
        <w:t xml:space="preserve"> </w:t>
      </w:r>
      <w:r>
        <w:t xml:space="preserve">— exactement le type de vigilance qui aurait détecté un</w:t>
      </w:r>
      <w:r>
        <w:t xml:space="preserve"> </w:t>
      </w:r>
      <w:r>
        <w:rPr>
          <w:rStyle w:val="VerbatimChar"/>
        </w:rPr>
        <w:t xml:space="preserve">shell=True</w:t>
      </w:r>
      <w:r>
        <w:t xml:space="preserve"> </w:t>
      </w:r>
      <w:r>
        <w:t xml:space="preserve">risqué avant sa mise en production.</w:t>
      </w:r>
    </w:p>
    <w:p>
      <w:pPr>
        <w:pStyle w:val="Compact"/>
        <w:numPr>
          <w:ilvl w:val="0"/>
          <w:numId w:val="1484"/>
        </w:numPr>
      </w:pPr>
      <w:r>
        <w:rPr>
          <w:b/>
          <w:bCs/>
        </w:rPr>
        <w:t xml:space="preserve">Erreur classique observée</w:t>
      </w:r>
      <w:r>
        <w:t xml:space="preserve"> </w:t>
      </w:r>
      <w:r>
        <w:t xml:space="preserve">: des scripts Python</w:t>
      </w:r>
      <w:r>
        <w:t xml:space="preserve"> </w:t>
      </w:r>
      <w:r>
        <w:t xml:space="preserve">“de test”</w:t>
      </w:r>
      <w:r>
        <w:t xml:space="preserve"> </w:t>
      </w:r>
      <w:r>
        <w:t xml:space="preserve">écrits rapidement sans gestion d’erreur ni journalisation, jamais retravaillés avant leur passage en production, où leurs lacunes deviennent alors critiques.</w:t>
      </w:r>
    </w:p>
    <w:bookmarkEnd w:id="520"/>
    <w:bookmarkStart w:id="521" w:name="entretien-technique-20"/>
    <w:p>
      <w:pPr>
        <w:pStyle w:val="Heading2"/>
      </w:pPr>
      <w:r>
        <w:t xml:space="preserve">Entretien technique</w:t>
      </w:r>
    </w:p>
    <w:p>
      <w:pPr>
        <w:pStyle w:val="FirstParagraph"/>
      </w:pPr>
      <w:r>
        <w:t xml:space="preserve">💼 Questions fréquemment posées en entretien</w:t>
      </w:r>
    </w:p>
    <w:p>
      <w:pPr>
        <w:pStyle w:val="BodyText"/>
      </w:pPr>
      <w:r>
        <w:rPr>
          <w:b/>
          <w:bCs/>
        </w:rPr>
        <w:t xml:space="preserve">Q1.</w:t>
      </w:r>
      <w:r>
        <w:rPr>
          <w:b/>
          <w:bCs/>
        </w:rPr>
        <w:t xml:space="preserve"> </w:t>
      </w:r>
      <w:r>
        <w:rPr>
          <w:b/>
          <w:bCs/>
        </w:rPr>
        <w:t xml:space="preserve">“Dans quel cas choisirais-tu Python plutôt que Bash pour un script d’administration système ?”</w:t>
      </w:r>
      <w:r>
        <w:t xml:space="preserve"> </w:t>
      </w:r>
      <w:r>
        <w:t xml:space="preserve">Réponse attendue : dès que le besoin implique du traitement de données structurées (JSON, XML), des appels réseau élaborés avec gestion d’erreurs fine, ou une logique conditionnelle complexe — Bash reste préférable pour orchestrer des commandes système simples, mais devient rapidement pénible au-delà.</w:t>
      </w:r>
    </w:p>
    <w:p>
      <w:pPr>
        <w:pStyle w:val="BodyText"/>
      </w:pPr>
      <w:r>
        <w:rPr>
          <w:b/>
          <w:bCs/>
        </w:rPr>
        <w:t xml:space="preserve">Q2.</w:t>
      </w:r>
      <w:r>
        <w:rPr>
          <w:b/>
          <w:bCs/>
        </w:rPr>
        <w:t xml:space="preserve"> </w:t>
      </w:r>
      <w:r>
        <w:rPr>
          <w:b/>
          <w:bCs/>
        </w:rPr>
        <w:t xml:space="preserve">“Pourquoi</w:t>
      </w:r>
      <w:r>
        <w:rPr>
          <w:b/>
          <w:bCs/>
        </w:rPr>
        <w:t xml:space="preserve"> </w:t>
      </w:r>
      <w:r>
        <w:rPr>
          <w:rStyle w:val="VerbatimChar"/>
          <w:b/>
          <w:bCs/>
        </w:rPr>
        <w:t xml:space="preserve">subprocess.run(commande, shell=True)</w:t>
      </w:r>
      <w:r>
        <w:rPr>
          <w:b/>
          <w:bCs/>
        </w:rPr>
        <w:t xml:space="preserve"> </w:t>
      </w:r>
      <w:r>
        <w:rPr>
          <w:b/>
          <w:bCs/>
        </w:rPr>
        <w:t xml:space="preserve">est-il dangereux avec une entrée utilisateur non validée ?”</w:t>
      </w:r>
      <w:r>
        <w:t xml:space="preserve"> </w:t>
      </w:r>
      <w:r>
        <w:t xml:space="preserve">Réponse attendue :</w:t>
      </w:r>
      <w:r>
        <w:t xml:space="preserve"> </w:t>
      </w:r>
      <w:r>
        <w:rPr>
          <w:rStyle w:val="VerbatimChar"/>
        </w:rPr>
        <w:t xml:space="preserve">shell=True</w:t>
      </w:r>
      <w:r>
        <w:t xml:space="preserve"> </w:t>
      </w:r>
      <w:r>
        <w:t xml:space="preserve">fait interpréter la chaîne de commande par un shell complet, permettant à un attaquant d’injecter des commandes supplémentaires via l’entrée fournie — la forme en liste d’arguments, sans</w:t>
      </w:r>
      <w:r>
        <w:t xml:space="preserve"> </w:t>
      </w:r>
      <w:r>
        <w:rPr>
          <w:rStyle w:val="VerbatimChar"/>
        </w:rPr>
        <w:t xml:space="preserve">shell=True</w:t>
      </w:r>
      <w:r>
        <w:t xml:space="preserve">, élimine structurellement ce risque en traitant chaque élément comme un argument littéral.</w:t>
      </w:r>
    </w:p>
    <w:p>
      <w:pPr>
        <w:pStyle w:val="BodyText"/>
      </w:pPr>
      <w:r>
        <w:rPr>
          <w:b/>
          <w:bCs/>
        </w:rPr>
        <w:t xml:space="preserve">Q3.</w:t>
      </w:r>
      <w:r>
        <w:rPr>
          <w:b/>
          <w:bCs/>
        </w:rPr>
        <w:t xml:space="preserve"> </w:t>
      </w:r>
      <w:r>
        <w:rPr>
          <w:b/>
          <w:bCs/>
        </w:rPr>
        <w:t xml:space="preserve">“Pourquoi préférer le module</w:t>
      </w:r>
      <w:r>
        <w:rPr>
          <w:b/>
          <w:bCs/>
        </w:rPr>
        <w:t xml:space="preserve"> </w:t>
      </w:r>
      <w:r>
        <w:rPr>
          <w:rStyle w:val="VerbatimChar"/>
          <w:b/>
          <w:bCs/>
        </w:rPr>
        <w:t xml:space="preserve">logging</w:t>
      </w:r>
      <w:r>
        <w:rPr>
          <w:b/>
          <w:bCs/>
        </w:rPr>
        <w:t xml:space="preserve"> </w:t>
      </w:r>
      <w:r>
        <w:rPr>
          <w:b/>
          <w:bCs/>
        </w:rPr>
        <w:t xml:space="preserve">à de simples</w:t>
      </w:r>
      <w:r>
        <w:rPr>
          <w:b/>
          <w:bCs/>
        </w:rPr>
        <w:t xml:space="preserve"> </w:t>
      </w:r>
      <w:r>
        <w:rPr>
          <w:rStyle w:val="VerbatimChar"/>
          <w:b/>
          <w:bCs/>
        </w:rPr>
        <w:t xml:space="preserve">print</w:t>
      </w:r>
      <w:r>
        <w:rPr>
          <w:b/>
          <w:bCs/>
        </w:rPr>
        <w:t xml:space="preserve"> </w:t>
      </w:r>
      <w:r>
        <w:rPr>
          <w:b/>
          <w:bCs/>
        </w:rPr>
        <w:t xml:space="preserve">dans un script de production ?”</w:t>
      </w:r>
      <w:r>
        <w:t xml:space="preserve"> </w:t>
      </w:r>
      <w:r>
        <w:t xml:space="preserve">Réponse attendue :</w:t>
      </w:r>
      <w:r>
        <w:t xml:space="preserve"> </w:t>
      </w:r>
      <w:r>
        <w:rPr>
          <w:rStyle w:val="VerbatimChar"/>
        </w:rPr>
        <w:t xml:space="preserve">logging</w:t>
      </w:r>
      <w:r>
        <w:t xml:space="preserve"> </w:t>
      </w:r>
      <w:r>
        <w:t xml:space="preserve">offre nativement l’horodatage, des niveaux de gravité distincts, et la possibilité d’envoyer les journaux vers plusieurs destinations simultanément — des fonctionnalités indispensables pour un script exécuté automatiquement et sans surveillance humaine directe.</w:t>
      </w:r>
    </w:p>
    <w:bookmarkEnd w:id="521"/>
    <w:bookmarkStart w:id="522" w:name="X582055fa1f5d46788ee3efc5639423c4b60f8f3"/>
    <w:p>
      <w:pPr>
        <w:pStyle w:val="Heading2"/>
      </w:pPr>
      <w:r>
        <w:t xml:space="preserve">Optimisation, sécurité et maintenabilité — les réflexes dès ce chapitre</w:t>
      </w:r>
    </w:p>
    <w:p>
      <w:pPr>
        <w:pStyle w:val="FirstParagraph"/>
      </w:pPr>
      <w:r>
        <w:t xml:space="preserve">🔒 Sécurité</w:t>
      </w:r>
      <w:r>
        <w:t xml:space="preserve"> </w:t>
      </w:r>
      <w:r>
        <w:t xml:space="preserve">N’utilise jamais</w:t>
      </w:r>
      <w:r>
        <w:t xml:space="preserve"> </w:t>
      </w:r>
      <w:r>
        <w:rPr>
          <w:rStyle w:val="VerbatimChar"/>
        </w:rPr>
        <w:t xml:space="preserve">shell=True</w:t>
      </w:r>
      <w:r>
        <w:t xml:space="preserve"> </w:t>
      </w:r>
      <w:r>
        <w:t xml:space="preserve">avec une chaîne construite à partir d’une entrée externe non validée — la forme en liste d’arguments doit être le réflexe par défaut,</w:t>
      </w:r>
      <w:r>
        <w:t xml:space="preserve"> </w:t>
      </w:r>
      <w:r>
        <w:rPr>
          <w:rStyle w:val="VerbatimChar"/>
        </w:rPr>
        <w:t xml:space="preserve">shell=True</w:t>
      </w:r>
      <w:r>
        <w:t xml:space="preserve"> </w:t>
      </w:r>
      <w:r>
        <w:t xml:space="preserve">l’exception rare et consciente.</w:t>
      </w:r>
    </w:p>
    <w:p>
      <w:pPr>
        <w:pStyle w:val="BodyText"/>
      </w:pPr>
      <w:r>
        <w:t xml:space="preserve">✅ Maintenabilité</w:t>
      </w:r>
      <w:r>
        <w:t xml:space="preserve"> </w:t>
      </w:r>
      <w:r>
        <w:t xml:space="preserve">Structure chaque script Python de production avec des fonctions nommées clairement (comme</w:t>
      </w:r>
      <w:r>
        <w:t xml:space="preserve"> </w:t>
      </w:r>
      <w:r>
        <w:rPr>
          <w:rStyle w:val="VerbatimChar"/>
        </w:rPr>
        <w:t xml:space="preserve">verifier_site</w:t>
      </w:r>
      <w:r>
        <w:t xml:space="preserve"> </w:t>
      </w:r>
      <w:r>
        <w:t xml:space="preserve">dans l’exemple de ce chapitre), un</w:t>
      </w:r>
      <w:r>
        <w:t xml:space="preserve"> </w:t>
      </w:r>
      <w:r>
        <w:rPr>
          <w:rStyle w:val="VerbatimChar"/>
        </w:rPr>
        <w:t xml:space="preserve">requirements.txt</w:t>
      </w:r>
      <w:r>
        <w:t xml:space="preserve"> </w:t>
      </w:r>
      <w:r>
        <w:t xml:space="preserve">versionné, et une documentation de son objectif dans la CMDB (chapitre 3) — les mêmes réflexes de maintenabilité déjà appliqués aux scripts Bash du chapitre 20.</w:t>
      </w:r>
    </w:p>
    <w:p>
      <w:pPr>
        <w:pStyle w:val="BodyText"/>
      </w:pPr>
      <w:r>
        <w:t xml:space="preserve">🚀 Performance</w:t>
      </w:r>
      <w:r>
        <w:t xml:space="preserve"> </w:t>
      </w:r>
      <w:r>
        <w:t xml:space="preserve">Un</w:t>
      </w:r>
      <w:r>
        <w:t xml:space="preserve"> </w:t>
      </w:r>
      <w:r>
        <w:rPr>
          <w:rStyle w:val="VerbatimChar"/>
        </w:rPr>
        <w:t xml:space="preserve">timeout</w:t>
      </w:r>
      <w:r>
        <w:t xml:space="preserve"> </w:t>
      </w:r>
      <w:r>
        <w:t xml:space="preserve">explicite sur tout appel réseau (comme dans</w:t>
      </w:r>
      <w:r>
        <w:t xml:space="preserve"> </w:t>
      </w:r>
      <w:r>
        <w:rPr>
          <w:rStyle w:val="VerbatimChar"/>
        </w:rPr>
        <w:t xml:space="preserve">requests.get(..., timeout=5)</w:t>
      </w:r>
      <w:r>
        <w:t xml:space="preserve">) évite qu’un site distant injoignable ne bloque indéfiniment l’exécution du script — un réflexe indispensable dès qu’un script interagit avec des ressources externes potentiellement peu fiables, exactement le cas du scénario d’ouverture avec deux sites géographiquement distants.</w:t>
      </w:r>
    </w:p>
    <w:bookmarkEnd w:id="522"/>
    <w:bookmarkStart w:id="523" w:name="résumé-du-chapitre-20"/>
    <w:p>
      <w:pPr>
        <w:pStyle w:val="Heading2"/>
      </w:pPr>
      <w:r>
        <w:t xml:space="preserve">Résumé du chapitre</w:t>
      </w:r>
    </w:p>
    <w:p>
      <w:pPr>
        <w:pStyle w:val="Compact"/>
        <w:numPr>
          <w:ilvl w:val="0"/>
          <w:numId w:val="1485"/>
        </w:numPr>
      </w:pPr>
      <w:r>
        <w:t xml:space="preserve">Python prend le relais de Bash dès qu’un besoin implique du traitement de données structurées, des appels réseau élaborés, ou une logique conditionnelle complexe.</w:t>
      </w:r>
    </w:p>
    <w:p>
      <w:pPr>
        <w:pStyle w:val="Compact"/>
        <w:numPr>
          <w:ilvl w:val="0"/>
          <w:numId w:val="1485"/>
        </w:numPr>
      </w:pPr>
      <w:r>
        <w:t xml:space="preserve">Un environnement virtuel dédié (</w:t>
      </w:r>
      <w:r>
        <w:rPr>
          <w:rStyle w:val="VerbatimChar"/>
        </w:rPr>
        <w:t xml:space="preserve">venv</w:t>
      </w:r>
      <w:r>
        <w:t xml:space="preserve">) isole les dépendances d’un script Python, évitant tout conflit avec l’installation Python du système.</w:t>
      </w:r>
    </w:p>
    <w:p>
      <w:pPr>
        <w:pStyle w:val="Compact"/>
        <w:numPr>
          <w:ilvl w:val="0"/>
          <w:numId w:val="1485"/>
        </w:numPr>
      </w:pPr>
      <w:r>
        <w:rPr>
          <w:rStyle w:val="VerbatimChar"/>
        </w:rPr>
        <w:t xml:space="preserve">try</w:t>
      </w:r>
      <w:r>
        <w:t xml:space="preserve">/</w:t>
      </w:r>
      <w:r>
        <w:rPr>
          <w:rStyle w:val="VerbatimChar"/>
        </w:rPr>
        <w:t xml:space="preserve">except</w:t>
      </w:r>
      <w:r>
        <w:t xml:space="preserve"> </w:t>
      </w:r>
      <w:r>
        <w:t xml:space="preserve">doit capturer des exceptions précises, jamais un</w:t>
      </w:r>
      <w:r>
        <w:t xml:space="preserve"> </w:t>
      </w:r>
      <w:r>
        <w:rPr>
          <w:rStyle w:val="VerbatimChar"/>
        </w:rPr>
        <w:t xml:space="preserve">except:</w:t>
      </w:r>
      <w:r>
        <w:t xml:space="preserve"> </w:t>
      </w:r>
      <w:r>
        <w:t xml:space="preserve">générique qui masquerait aussi de vraies erreurs de programmation.</w:t>
      </w:r>
    </w:p>
    <w:p>
      <w:pPr>
        <w:pStyle w:val="Compact"/>
        <w:numPr>
          <w:ilvl w:val="0"/>
          <w:numId w:val="1485"/>
        </w:numPr>
      </w:pPr>
      <w:r>
        <w:t xml:space="preserve">Le module</w:t>
      </w:r>
      <w:r>
        <w:t xml:space="preserve"> </w:t>
      </w:r>
      <w:r>
        <w:rPr>
          <w:rStyle w:val="VerbatimChar"/>
        </w:rPr>
        <w:t xml:space="preserve">logging</w:t>
      </w:r>
      <w:r>
        <w:t xml:space="preserve"> </w:t>
      </w:r>
      <w:r>
        <w:t xml:space="preserve">(jamais</w:t>
      </w:r>
      <w:r>
        <w:t xml:space="preserve"> </w:t>
      </w:r>
      <w:r>
        <w:rPr>
          <w:rStyle w:val="VerbatimChar"/>
        </w:rPr>
        <w:t xml:space="preserve">print</w:t>
      </w:r>
      <w:r>
        <w:t xml:space="preserve">) doit être utilisé pour tout script de production, avec horodatage et niveaux de gravité.</w:t>
      </w:r>
    </w:p>
    <w:p>
      <w:pPr>
        <w:pStyle w:val="Compact"/>
        <w:numPr>
          <w:ilvl w:val="0"/>
          <w:numId w:val="1485"/>
        </w:numPr>
      </w:pPr>
      <w:r>
        <w:rPr>
          <w:rStyle w:val="VerbatimChar"/>
        </w:rPr>
        <w:t xml:space="preserve">subprocess.run(..., shell=True)</w:t>
      </w:r>
      <w:r>
        <w:t xml:space="preserve"> </w:t>
      </w:r>
      <w:r>
        <w:t xml:space="preserve">avec une entrée non maîtrisée est une faille d’injection de commande critique — la forme en liste d’arguments doit être préférée par défaut.</w:t>
      </w:r>
    </w:p>
    <w:bookmarkEnd w:id="523"/>
    <w:bookmarkStart w:id="524" w:name="quiz-20"/>
    <w:p>
      <w:pPr>
        <w:pStyle w:val="Heading2"/>
      </w:pPr>
      <w:r>
        <w:t xml:space="preserve">Quiz</w:t>
      </w:r>
    </w:p>
    <w:p>
      <w:pPr>
        <w:pStyle w:val="FirstParagraph"/>
      </w:pPr>
      <w:r>
        <w:t xml:space="preserve">📝 QCM (une seule bonne réponse par question)</w:t>
      </w:r>
    </w:p>
    <w:p>
      <w:pPr>
        <w:pStyle w:val="Compact"/>
        <w:numPr>
          <w:ilvl w:val="0"/>
          <w:numId w:val="1486"/>
        </w:numPr>
      </w:pPr>
      <w:r>
        <w:t xml:space="preserve">Python devient généralement préférable à Bash pour un script d’administration système quand :</w:t>
      </w:r>
    </w:p>
    <w:p>
      <w:pPr>
        <w:pStyle w:val="Compact"/>
        <w:numPr>
          <w:ilvl w:val="1"/>
          <w:numId w:val="1487"/>
        </w:numPr>
      </w:pPr>
    </w:p>
    <w:p>
      <w:pPr>
        <w:pStyle w:val="Compact"/>
        <w:numPr>
          <w:ilvl w:val="2"/>
          <w:numId w:val="1488"/>
        </w:numPr>
      </w:pPr>
      <w:r>
        <w:t xml:space="preserve">Le script doit uniquement redémarrer un service</w:t>
      </w:r>
    </w:p>
    <w:p>
      <w:pPr>
        <w:pStyle w:val="Compact"/>
        <w:numPr>
          <w:ilvl w:val="1"/>
          <w:numId w:val="1487"/>
        </w:numPr>
      </w:pPr>
    </w:p>
    <w:p>
      <w:pPr>
        <w:pStyle w:val="Compact"/>
        <w:numPr>
          <w:ilvl w:val="2"/>
          <w:numId w:val="1489"/>
        </w:numPr>
      </w:pPr>
      <w:r>
        <w:t xml:space="preserve">Le besoin implique du traitement de données structurées ou des appels réseau élaborés</w:t>
      </w:r>
    </w:p>
    <w:p>
      <w:pPr>
        <w:pStyle w:val="Compact"/>
        <w:numPr>
          <w:ilvl w:val="1"/>
          <w:numId w:val="1487"/>
        </w:numPr>
      </w:pPr>
    </w:p>
    <w:p>
      <w:pPr>
        <w:pStyle w:val="Compact"/>
        <w:numPr>
          <w:ilvl w:val="2"/>
          <w:numId w:val="1490"/>
        </w:numPr>
      </w:pPr>
      <w:r>
        <w:t xml:space="preserve">Le script doit être le plus court possible</w:t>
      </w:r>
    </w:p>
    <w:p>
      <w:pPr>
        <w:pStyle w:val="Compact"/>
        <w:numPr>
          <w:ilvl w:val="1"/>
          <w:numId w:val="1487"/>
        </w:numPr>
      </w:pPr>
    </w:p>
    <w:p>
      <w:pPr>
        <w:pStyle w:val="Compact"/>
        <w:numPr>
          <w:ilvl w:val="2"/>
          <w:numId w:val="1491"/>
        </w:numPr>
      </w:pPr>
      <w:r>
        <w:t xml:space="preserve">Le serveur tourne sous Windows</w:t>
      </w:r>
    </w:p>
    <w:p>
      <w:pPr>
        <w:pStyle w:val="Compact"/>
        <w:numPr>
          <w:ilvl w:val="0"/>
          <w:numId w:val="1486"/>
        </w:numPr>
      </w:pPr>
      <w:r>
        <w:t xml:space="preserve">La forme sûre d’appeler une commande système depuis Python, avec une entrée externe, est :</w:t>
      </w:r>
    </w:p>
    <w:p>
      <w:pPr>
        <w:pStyle w:val="Compact"/>
        <w:numPr>
          <w:ilvl w:val="1"/>
          <w:numId w:val="1492"/>
        </w:numPr>
      </w:pPr>
    </w:p>
    <w:p>
      <w:pPr>
        <w:pStyle w:val="Compact"/>
        <w:numPr>
          <w:ilvl w:val="2"/>
          <w:numId w:val="1493"/>
        </w:numPr>
      </w:pPr>
      <w:r>
        <w:rPr>
          <w:rStyle w:val="VerbatimChar"/>
        </w:rPr>
        <w:t xml:space="preserve">subprocess.run(commande, shell=True)</w:t>
      </w:r>
    </w:p>
    <w:p>
      <w:pPr>
        <w:pStyle w:val="Compact"/>
        <w:numPr>
          <w:ilvl w:val="1"/>
          <w:numId w:val="1492"/>
        </w:numPr>
      </w:pPr>
    </w:p>
    <w:p>
      <w:pPr>
        <w:pStyle w:val="Compact"/>
        <w:numPr>
          <w:ilvl w:val="2"/>
          <w:numId w:val="1494"/>
        </w:numPr>
      </w:pPr>
      <w:r>
        <w:rPr>
          <w:rStyle w:val="VerbatimChar"/>
        </w:rPr>
        <w:t xml:space="preserve">subprocess.run(["commande", argument], shell=False)</w:t>
      </w:r>
    </w:p>
    <w:p>
      <w:pPr>
        <w:pStyle w:val="Compact"/>
        <w:numPr>
          <w:ilvl w:val="1"/>
          <w:numId w:val="1492"/>
        </w:numPr>
      </w:pPr>
    </w:p>
    <w:p>
      <w:pPr>
        <w:pStyle w:val="Compact"/>
        <w:numPr>
          <w:ilvl w:val="2"/>
          <w:numId w:val="1495"/>
        </w:numPr>
      </w:pPr>
      <w:r>
        <w:rPr>
          <w:rStyle w:val="VerbatimChar"/>
        </w:rPr>
        <w:t xml:space="preserve">os.system(commande)</w:t>
      </w:r>
    </w:p>
    <w:p>
      <w:pPr>
        <w:pStyle w:val="Compact"/>
        <w:numPr>
          <w:ilvl w:val="1"/>
          <w:numId w:val="1492"/>
        </w:numPr>
      </w:pPr>
    </w:p>
    <w:p>
      <w:pPr>
        <w:pStyle w:val="Compact"/>
        <w:numPr>
          <w:ilvl w:val="2"/>
          <w:numId w:val="1496"/>
        </w:numPr>
      </w:pPr>
      <w:r>
        <w:rPr>
          <w:rStyle w:val="VerbatimChar"/>
        </w:rPr>
        <w:t xml:space="preserve">eval(commande)</w:t>
      </w:r>
    </w:p>
    <w:p>
      <w:pPr>
        <w:pStyle w:val="Compact"/>
        <w:numPr>
          <w:ilvl w:val="0"/>
          <w:numId w:val="1486"/>
        </w:numPr>
      </w:pPr>
      <w:r>
        <w:t xml:space="preserve">Le module recommandé pour journaliser un script Python de production est :</w:t>
      </w:r>
    </w:p>
    <w:p>
      <w:pPr>
        <w:pStyle w:val="Compact"/>
        <w:numPr>
          <w:ilvl w:val="1"/>
          <w:numId w:val="1497"/>
        </w:numPr>
      </w:pPr>
    </w:p>
    <w:p>
      <w:pPr>
        <w:pStyle w:val="Compact"/>
        <w:numPr>
          <w:ilvl w:val="2"/>
          <w:numId w:val="1498"/>
        </w:numPr>
      </w:pPr>
      <w:r>
        <w:rPr>
          <w:rStyle w:val="VerbatimChar"/>
        </w:rPr>
        <w:t xml:space="preserve">print</w:t>
      </w:r>
    </w:p>
    <w:p>
      <w:pPr>
        <w:pStyle w:val="Compact"/>
        <w:numPr>
          <w:ilvl w:val="1"/>
          <w:numId w:val="1497"/>
        </w:numPr>
      </w:pPr>
    </w:p>
    <w:p>
      <w:pPr>
        <w:pStyle w:val="Compact"/>
        <w:numPr>
          <w:ilvl w:val="2"/>
          <w:numId w:val="1499"/>
        </w:numPr>
      </w:pPr>
      <w:r>
        <w:rPr>
          <w:rStyle w:val="VerbatimChar"/>
        </w:rPr>
        <w:t xml:space="preserve">logging</w:t>
      </w:r>
    </w:p>
    <w:p>
      <w:pPr>
        <w:pStyle w:val="Compact"/>
        <w:numPr>
          <w:ilvl w:val="1"/>
          <w:numId w:val="1497"/>
        </w:numPr>
      </w:pPr>
    </w:p>
    <w:p>
      <w:pPr>
        <w:pStyle w:val="Compact"/>
        <w:numPr>
          <w:ilvl w:val="2"/>
          <w:numId w:val="1500"/>
        </w:numPr>
      </w:pPr>
      <w:r>
        <w:rPr>
          <w:rStyle w:val="VerbatimChar"/>
        </w:rPr>
        <w:t xml:space="preserve">sys.stdout</w:t>
      </w:r>
      <w:r>
        <w:t xml:space="preserve"> </w:t>
      </w:r>
      <w:r>
        <w:t xml:space="preserve">directement</w:t>
      </w:r>
    </w:p>
    <w:p>
      <w:pPr>
        <w:pStyle w:val="Compact"/>
        <w:numPr>
          <w:ilvl w:val="1"/>
          <w:numId w:val="1497"/>
        </w:numPr>
      </w:pPr>
    </w:p>
    <w:p>
      <w:pPr>
        <w:pStyle w:val="Compact"/>
        <w:numPr>
          <w:ilvl w:val="2"/>
          <w:numId w:val="1501"/>
        </w:numPr>
      </w:pPr>
      <w:r>
        <w:rPr>
          <w:rStyle w:val="VerbatimChar"/>
        </w:rPr>
        <w:t xml:space="preserve">input</w:t>
      </w:r>
    </w:p>
    <w:p>
      <w:pPr>
        <w:pStyle w:val="FirstParagraph"/>
      </w:pPr>
      <w:r>
        <w:rPr>
          <w:b/>
          <w:bCs/>
        </w:rPr>
        <w:t xml:space="preserve">Corrigé</w:t>
      </w:r>
      <w:r>
        <w:t xml:space="preserve"> </w:t>
      </w:r>
      <w:r>
        <w:t xml:space="preserve">: 1-b, 2-b, 3-b.</w:t>
      </w:r>
    </w:p>
    <w:p>
      <w:pPr>
        <w:pStyle w:val="BodyText"/>
      </w:pPr>
      <w:r>
        <w:t xml:space="preserve">📝 Vrai ou Faux</w:t>
      </w:r>
    </w:p>
    <w:p>
      <w:pPr>
        <w:pStyle w:val="Compact"/>
        <w:numPr>
          <w:ilvl w:val="0"/>
          <w:numId w:val="1502"/>
        </w:numPr>
      </w:pPr>
      <w:r>
        <w:t xml:space="preserve">Il est recommandé d’installer des paquets Python directement sur l’installation système avec</w:t>
      </w:r>
      <w:r>
        <w:t xml:space="preserve"> </w:t>
      </w:r>
      <w:r>
        <w:rPr>
          <w:rStyle w:val="VerbatimChar"/>
        </w:rPr>
        <w:t xml:space="preserve">pip install</w:t>
      </w:r>
      <w:r>
        <w:t xml:space="preserve">. —</w:t>
      </w:r>
      <w:r>
        <w:t xml:space="preserve"> </w:t>
      </w:r>
      <w:r>
        <w:rPr>
          <w:b/>
          <w:bCs/>
        </w:rPr>
        <w:t xml:space="preserve">Faux</w:t>
      </w:r>
      <w:r>
        <w:t xml:space="preserve"> </w:t>
      </w:r>
      <w:r>
        <w:t xml:space="preserve">(un environnement virtuel dédié est recommandé, section 21.2).</w:t>
      </w:r>
    </w:p>
    <w:p>
      <w:pPr>
        <w:pStyle w:val="Compact"/>
        <w:numPr>
          <w:ilvl w:val="0"/>
          <w:numId w:val="1502"/>
        </w:numPr>
      </w:pPr>
      <w:r>
        <w:rPr>
          <w:rStyle w:val="VerbatimChar"/>
        </w:rPr>
        <w:t xml:space="preserve">except:</w:t>
      </w:r>
      <w:r>
        <w:t xml:space="preserve"> </w:t>
      </w:r>
      <w:r>
        <w:t xml:space="preserve">générique capture toutes les erreurs, y compris de vraies erreurs de programmation non liées au problème attendu. —</w:t>
      </w:r>
      <w:r>
        <w:t xml:space="preserve"> </w:t>
      </w:r>
      <w:r>
        <w:rPr>
          <w:b/>
          <w:bCs/>
        </w:rPr>
        <w:t xml:space="preserve">Vrai</w:t>
      </w:r>
      <w:r>
        <w:t xml:space="preserve">.</w:t>
      </w:r>
    </w:p>
    <w:p>
      <w:pPr>
        <w:pStyle w:val="Compact"/>
        <w:numPr>
          <w:ilvl w:val="0"/>
          <w:numId w:val="1502"/>
        </w:numPr>
      </w:pPr>
      <w:r>
        <w:rPr>
          <w:rStyle w:val="VerbatimChar"/>
        </w:rPr>
        <w:t xml:space="preserve">shell=True</w:t>
      </w:r>
      <w:r>
        <w:t xml:space="preserve"> </w:t>
      </w:r>
      <w:r>
        <w:t xml:space="preserve">dans</w:t>
      </w:r>
      <w:r>
        <w:t xml:space="preserve"> </w:t>
      </w:r>
      <w:r>
        <w:rPr>
          <w:rStyle w:val="VerbatimChar"/>
        </w:rPr>
        <w:t xml:space="preserve">subprocess.run</w:t>
      </w:r>
      <w:r>
        <w:t xml:space="preserve"> </w:t>
      </w:r>
      <w:r>
        <w:t xml:space="preserve">est toujours sans risque, quelle que soit la source de la commande. —</w:t>
      </w:r>
      <w:r>
        <w:t xml:space="preserve"> </w:t>
      </w:r>
      <w:r>
        <w:rPr>
          <w:b/>
          <w:bCs/>
        </w:rPr>
        <w:t xml:space="preserve">Faux</w:t>
      </w:r>
      <w:r>
        <w:t xml:space="preserve"> </w:t>
      </w:r>
      <w:r>
        <w:t xml:space="preserve">(un risque critique d’injection de commande avec une entrée non maîtrisée).</w:t>
      </w:r>
    </w:p>
    <w:p>
      <w:pPr>
        <w:pStyle w:val="Compact"/>
        <w:numPr>
          <w:ilvl w:val="0"/>
          <w:numId w:val="1502"/>
        </w:numPr>
      </w:pPr>
      <w:r>
        <w:t xml:space="preserve">Un</w:t>
      </w:r>
      <w:r>
        <w:t xml:space="preserve"> </w:t>
      </w:r>
      <w:r>
        <w:rPr>
          <w:rStyle w:val="VerbatimChar"/>
        </w:rPr>
        <w:t xml:space="preserve">timeout</w:t>
      </w:r>
      <w:r>
        <w:t xml:space="preserve"> </w:t>
      </w:r>
      <w:r>
        <w:t xml:space="preserve">explicite sur un appel réseau évite qu’un script ne reste bloqué indéfiniment face à un service injoignable. —</w:t>
      </w:r>
      <w:r>
        <w:t xml:space="preserve"> </w:t>
      </w:r>
      <w:r>
        <w:rPr>
          <w:b/>
          <w:bCs/>
        </w:rPr>
        <w:t xml:space="preserve">Vrai</w:t>
      </w:r>
      <w:r>
        <w:t xml:space="preserve">.</w:t>
      </w:r>
    </w:p>
    <w:p>
      <w:pPr>
        <w:pStyle w:val="FirstParagraph"/>
      </w:pPr>
      <w:r>
        <w:t xml:space="preserve">📝 Questions ouvertes</w:t>
      </w:r>
    </w:p>
    <w:p>
      <w:pPr>
        <w:pStyle w:val="Compact"/>
        <w:numPr>
          <w:ilvl w:val="0"/>
          <w:numId w:val="1503"/>
        </w:numPr>
      </w:pPr>
      <w:r>
        <w:t xml:space="preserve">Explique pourquoi capturer précisément</w:t>
      </w:r>
      <w:r>
        <w:t xml:space="preserve"> </w:t>
      </w:r>
      <w:r>
        <w:rPr>
          <w:rStyle w:val="VerbatimChar"/>
        </w:rPr>
        <w:t xml:space="preserve">requests.exceptions.RequestException</w:t>
      </w:r>
      <w:r>
        <w:t xml:space="preserve"> </w:t>
      </w:r>
      <w:r>
        <w:t xml:space="preserve">est préférable à un</w:t>
      </w:r>
      <w:r>
        <w:t xml:space="preserve"> </w:t>
      </w:r>
      <w:r>
        <w:rPr>
          <w:rStyle w:val="VerbatimChar"/>
        </w:rPr>
        <w:t xml:space="preserve">except:</w:t>
      </w:r>
      <w:r>
        <w:t xml:space="preserve"> </w:t>
      </w:r>
      <w:r>
        <w:t xml:space="preserve">générique dans le script de la section 21.3.</w:t>
      </w:r>
    </w:p>
    <w:p>
      <w:pPr>
        <w:pStyle w:val="Compact"/>
        <w:numPr>
          <w:ilvl w:val="0"/>
          <w:numId w:val="1503"/>
        </w:numPr>
      </w:pPr>
      <w:r>
        <w:t xml:space="preserve">Reprends le scénario d’ouverture. Explique en 3-4 phrases pourquoi le passage de Bash à Python pour ce besoin précis n’est pas un jugement de valeur sur Bash, mais un choix pragmatique selon la nature du besoin.</w:t>
      </w:r>
    </w:p>
    <w:p>
      <w:pPr>
        <w:pStyle w:val="FirstParagraph"/>
      </w:pPr>
      <w:r>
        <w:rPr>
          <w:b/>
          <w:bCs/>
        </w:rPr>
        <w:t xml:space="preserve">Corrigé 1</w:t>
      </w:r>
      <w:r>
        <w:t xml:space="preserve"> </w:t>
      </w:r>
      <w:r>
        <w:t xml:space="preserve">: capturer précisément</w:t>
      </w:r>
      <w:r>
        <w:t xml:space="preserve"> </w:t>
      </w:r>
      <w:r>
        <w:rPr>
          <w:rStyle w:val="VerbatimChar"/>
        </w:rPr>
        <w:t xml:space="preserve">requests.exceptions.RequestException</w:t>
      </w:r>
      <w:r>
        <w:t xml:space="preserve"> </w:t>
      </w:r>
      <w:r>
        <w:t xml:space="preserve">cible exactement les erreurs réseau attendues (timeout, connexion refusée, certificat invalide) sans masquer d’éventuelles erreurs de programmation totalement différentes dans le reste de la fonction — un</w:t>
      </w:r>
      <w:r>
        <w:t xml:space="preserve"> </w:t>
      </w:r>
      <w:r>
        <w:rPr>
          <w:rStyle w:val="VerbatimChar"/>
        </w:rPr>
        <w:t xml:space="preserve">except:</w:t>
      </w:r>
      <w:r>
        <w:t xml:space="preserve"> </w:t>
      </w:r>
      <w:r>
        <w:t xml:space="preserve">générique capturerait aussi une faute de frappe ou une erreur de logique interne, donnant l’impression trompeuse que le site est simplement injoignable alors que le vrai problème serait ailleurs dans le code.</w:t>
      </w:r>
    </w:p>
    <w:p>
      <w:pPr>
        <w:pStyle w:val="BodyText"/>
      </w:pPr>
      <w:r>
        <w:rPr>
          <w:b/>
          <w:bCs/>
        </w:rPr>
        <w:t xml:space="preserve">Corrigé 2</w:t>
      </w:r>
      <w:r>
        <w:t xml:space="preserve"> </w:t>
      </w:r>
      <w:r>
        <w:t xml:space="preserve">: Bash reste parfaitement adapté et largement utilisé pour l’orchestration de commandes système simples, comme le script de vérification de services du chapitre 20 — rien dans ce chapitre ne remet en cause son utilité. Le passage à Python répond spécifiquement au besoin de traiter des données JSON structurées et de gérer plusieurs appels réseau avec des conditions d’erreur distinctes par site, un terrain où la syntaxe de Bash devient rapidement fragile et difficile à maintenir. Le bon réflexe est de choisir l’outil adapté à la nature précise du besoin, pas de considérer l’un supérieur à l’autre dans l’absolu.</w:t>
      </w:r>
    </w:p>
    <w:bookmarkEnd w:id="524"/>
    <w:bookmarkStart w:id="525" w:name="exercices-20"/>
    <w:p>
      <w:pPr>
        <w:pStyle w:val="Heading2"/>
      </w:pPr>
      <w:r>
        <w:t xml:space="preserve">Exercices</w:t>
      </w:r>
    </w:p>
    <w:p>
      <w:pPr>
        <w:pStyle w:val="FirstParagraph"/>
      </w:pPr>
      <w:r>
        <w:t xml:space="preserve">📝 Exercice 21.1</w:t>
      </w:r>
    </w:p>
    <w:p>
      <w:pPr>
        <w:pStyle w:val="BodyText"/>
      </w:pPr>
      <w:r>
        <w:t xml:space="preserve">Un développeur propose d’écrire</w:t>
      </w:r>
      <w:r>
        <w:t xml:space="preserve"> </w:t>
      </w:r>
      <w:r>
        <w:rPr>
          <w:rStyle w:val="VerbatimChar"/>
        </w:rPr>
        <w:t xml:space="preserve">subprocess.run(f"ping -c 1 {adresse_ip}", shell=True)</w:t>
      </w:r>
      <w:r>
        <w:t xml:space="preserve"> </w:t>
      </w:r>
      <w:r>
        <w:t xml:space="preserve">où</w:t>
      </w:r>
      <w:r>
        <w:t xml:space="preserve"> </w:t>
      </w:r>
      <w:r>
        <w:rPr>
          <w:rStyle w:val="VerbatimChar"/>
        </w:rPr>
        <w:t xml:space="preserve">adresse_ip</w:t>
      </w:r>
      <w:r>
        <w:t xml:space="preserve"> </w:t>
      </w:r>
      <w:r>
        <w:t xml:space="preserve">provient d’un formulaire web rempli par un utilisateur externe. Explique le risque exact et propose une version corrigée.</w:t>
      </w:r>
    </w:p>
    <w:p>
      <w:pPr>
        <w:pStyle w:val="BodyText"/>
      </w:pPr>
      <w:r>
        <w:rPr>
          <w:b/>
          <w:bCs/>
        </w:rPr>
        <w:t xml:space="preserve">Corrigé :</w:t>
      </w:r>
      <w:r>
        <w:t xml:space="preserve"> </w:t>
      </w:r>
      <w:r>
        <w:t xml:space="preserve">Si</w:t>
      </w:r>
      <w:r>
        <w:t xml:space="preserve"> </w:t>
      </w:r>
      <w:r>
        <w:rPr>
          <w:rStyle w:val="VerbatimChar"/>
        </w:rPr>
        <w:t xml:space="preserve">adresse_ip</w:t>
      </w:r>
      <w:r>
        <w:t xml:space="preserve"> </w:t>
      </w:r>
      <w:r>
        <w:t xml:space="preserve">contient une valeur malveillante comme</w:t>
      </w:r>
      <w:r>
        <w:t xml:space="preserve"> </w:t>
      </w:r>
      <w:r>
        <w:rPr>
          <w:rStyle w:val="VerbatimChar"/>
        </w:rPr>
        <w:t xml:space="preserve">"8.8.8.8; rm -rf /"</w:t>
      </w:r>
      <w:r>
        <w:t xml:space="preserve">, le shell interprété par</w:t>
      </w:r>
      <w:r>
        <w:t xml:space="preserve"> </w:t>
      </w:r>
      <w:r>
        <w:rPr>
          <w:rStyle w:val="VerbatimChar"/>
        </w:rPr>
        <w:t xml:space="preserve">shell=True</w:t>
      </w:r>
      <w:r>
        <w:t xml:space="preserve"> </w:t>
      </w:r>
      <w:r>
        <w:t xml:space="preserve">exécuterait la commande</w:t>
      </w:r>
      <w:r>
        <w:t xml:space="preserve"> </w:t>
      </w:r>
      <w:r>
        <w:rPr>
          <w:rStyle w:val="VerbatimChar"/>
        </w:rPr>
        <w:t xml:space="preserve">ping</w:t>
      </w:r>
      <w:r>
        <w:t xml:space="preserve"> </w:t>
      </w:r>
      <w:r>
        <w:t xml:space="preserve">ET la commande destructrice supplémentaire, puisque le point-virgule sépare deux commandes distinctes pour un shell — exactement la faille de la section 21.6. La version corrigée utilise la forme en liste :</w:t>
      </w:r>
      <w:r>
        <w:t xml:space="preserve"> </w:t>
      </w:r>
      <w:r>
        <w:rPr>
          <w:rStyle w:val="VerbatimChar"/>
        </w:rPr>
        <w:t xml:space="preserve">subprocess.run(["ping", "-c", "1", adresse_ip], shell=False)</w:t>
      </w:r>
      <w:r>
        <w:t xml:space="preserve">, qui traite</w:t>
      </w:r>
      <w:r>
        <w:t xml:space="preserve"> </w:t>
      </w:r>
      <w:r>
        <w:rPr>
          <w:rStyle w:val="VerbatimChar"/>
        </w:rPr>
        <w:t xml:space="preserve">adresse_ip</w:t>
      </w:r>
      <w:r>
        <w:t xml:space="preserve"> </w:t>
      </w:r>
      <w:r>
        <w:t xml:space="preserve">comme un argument unique et littéral, sans jamais l’interpréter comme une commande shell supplémentaire, éliminant structurellement ce risque d’injection.</w:t>
      </w:r>
    </w:p>
    <w:p>
      <w:pPr>
        <w:pStyle w:val="BodyText"/>
      </w:pPr>
      <w:r>
        <w:t xml:space="preserve">📝 Exercice 21.2</w:t>
      </w:r>
    </w:p>
    <w:p>
      <w:pPr>
        <w:pStyle w:val="BodyText"/>
      </w:pPr>
      <w:r>
        <w:t xml:space="preserve">Rédige, en 3 à 5 phrases, pourquoi un</w:t>
      </w:r>
      <w:r>
        <w:t xml:space="preserve"> </w:t>
      </w:r>
      <w:r>
        <w:rPr>
          <w:rStyle w:val="VerbatimChar"/>
        </w:rPr>
        <w:t xml:space="preserve">requirements.txt</w:t>
      </w:r>
      <w:r>
        <w:t xml:space="preserve"> </w:t>
      </w:r>
      <w:r>
        <w:t xml:space="preserve">versionné est important pour la maintenabilité à long terme d’un script Python de production, en t’appuyant sur le chapitre 3.</w:t>
      </w:r>
    </w:p>
    <w:p>
      <w:pPr>
        <w:pStyle w:val="BodyText"/>
      </w:pPr>
      <w:r>
        <w:rPr>
          <w:b/>
          <w:bCs/>
        </w:rPr>
        <w:t xml:space="preserve">Corrigé (exemple de réponse) :</w:t>
      </w:r>
      <w:r>
        <w:t xml:space="preserve"> </w:t>
      </w:r>
      <w:r>
        <w:t xml:space="preserve">Un</w:t>
      </w:r>
      <w:r>
        <w:t xml:space="preserve"> </w:t>
      </w:r>
      <w:r>
        <w:rPr>
          <w:rStyle w:val="VerbatimChar"/>
        </w:rPr>
        <w:t xml:space="preserve">requirements.txt</w:t>
      </w:r>
      <w:r>
        <w:t xml:space="preserve"> </w:t>
      </w:r>
      <w:r>
        <w:t xml:space="preserve">documente précisément quelles bibliothèques, et dans quelles versions, un script nécessite pour fonctionner correctement — sans lui, reconstruire l’environnement sur un nouveau serveur (ou après une panne nécessitant une réinstallation) devient une devinette risquée, avec le danger qu’une version différente d’une bibliothèque change subtilement le comportement du script. Ce fichier constitue exactement le type de documentation vivante évoquée au chapitre 3 : versionné avec le code lui-même (chapitre 51), il reste toujours synchronisé avec l’état réel du script, contrairement à une documentation externe qu’on pourrait oublier de mettre à jour.</w:t>
      </w:r>
    </w:p>
    <w:bookmarkEnd w:id="525"/>
    <w:bookmarkStart w:id="526" w:name="checklist-de-fin-de-chapitre-20"/>
    <w:p>
      <w:pPr>
        <w:pStyle w:val="Heading2"/>
      </w:pPr>
      <w:r>
        <w:t xml:space="preserve">Checklist de fin de chapitre</w:t>
      </w:r>
    </w:p>
    <w:p>
      <w:pPr>
        <w:pStyle w:val="FirstParagraph"/>
      </w:pPr>
      <w:r>
        <w:t xml:space="preserve">☐ Je sais reconnaître quand un besoin justifie de passer de Bash à Python.</w:t>
      </w:r>
    </w:p>
    <w:p>
      <w:pPr>
        <w:pStyle w:val="BodyText"/>
      </w:pPr>
      <w:r>
        <w:t xml:space="preserve">☐ Je sais créer et utiliser un environnement virtuel Python (</w:t>
      </w:r>
      <w:r>
        <w:rPr>
          <w:rStyle w:val="VerbatimChar"/>
        </w:rPr>
        <w:t xml:space="preserve">venv</w:t>
      </w:r>
      <w:r>
        <w:t xml:space="preserve">) pour isoler les dépendances d’un script.</w:t>
      </w:r>
    </w:p>
    <w:p>
      <w:pPr>
        <w:pStyle w:val="BodyText"/>
      </w:pPr>
      <w:r>
        <w:t xml:space="preserve">☐ Je sais capturer des exceptions précises plutôt qu’un</w:t>
      </w:r>
      <w:r>
        <w:t xml:space="preserve"> </w:t>
      </w:r>
      <w:r>
        <w:rPr>
          <w:rStyle w:val="VerbatimChar"/>
        </w:rPr>
        <w:t xml:space="preserve">except:</w:t>
      </w:r>
      <w:r>
        <w:t xml:space="preserve"> </w:t>
      </w:r>
      <w:r>
        <w:t xml:space="preserve">générique.</w:t>
      </w:r>
    </w:p>
    <w:p>
      <w:pPr>
        <w:pStyle w:val="BodyText"/>
      </w:pPr>
      <w:r>
        <w:t xml:space="preserve">☐ Je sais utiliser le module</w:t>
      </w:r>
      <w:r>
        <w:t xml:space="preserve"> </w:t>
      </w:r>
      <w:r>
        <w:rPr>
          <w:rStyle w:val="VerbatimChar"/>
        </w:rPr>
        <w:t xml:space="preserve">logging</w:t>
      </w:r>
      <w:r>
        <w:t xml:space="preserve"> </w:t>
      </w:r>
      <w:r>
        <w:t xml:space="preserve">plutôt que</w:t>
      </w:r>
      <w:r>
        <w:t xml:space="preserve"> </w:t>
      </w:r>
      <w:r>
        <w:rPr>
          <w:rStyle w:val="VerbatimChar"/>
        </w:rPr>
        <w:t xml:space="preserve">print</w:t>
      </w:r>
      <w:r>
        <w:t xml:space="preserve"> </w:t>
      </w:r>
      <w:r>
        <w:t xml:space="preserve">pour un script de production.</w:t>
      </w:r>
    </w:p>
    <w:p>
      <w:pPr>
        <w:pStyle w:val="BodyText"/>
      </w:pPr>
      <w:r>
        <w:t xml:space="preserve">☐ Je comprends pourquoi</w:t>
      </w:r>
      <w:r>
        <w:t xml:space="preserve"> </w:t>
      </w:r>
      <w:r>
        <w:rPr>
          <w:rStyle w:val="VerbatimChar"/>
        </w:rPr>
        <w:t xml:space="preserve">subprocess</w:t>
      </w:r>
      <w:r>
        <w:t xml:space="preserve"> </w:t>
      </w:r>
      <w:r>
        <w:t xml:space="preserve">avec</w:t>
      </w:r>
      <w:r>
        <w:t xml:space="preserve"> </w:t>
      </w:r>
      <w:r>
        <w:rPr>
          <w:rStyle w:val="VerbatimChar"/>
        </w:rPr>
        <w:t xml:space="preserve">shell=True</w:t>
      </w:r>
      <w:r>
        <w:t xml:space="preserve"> </w:t>
      </w:r>
      <w:r>
        <w:t xml:space="preserve">sur une entrée non maîtrisée est une faille critique, et je sais l’éviter.</w:t>
      </w:r>
    </w:p>
    <w:p>
      <w:pPr>
        <w:pStyle w:val="BodyText"/>
      </w:pPr>
      <w:r>
        <w:t xml:space="preserve">☐ Je sais lire une trace d’erreur Python (traceback) pour localiser la cause d’un échec.</w:t>
      </w:r>
    </w:p>
    <w:bookmarkEnd w:id="526"/>
    <w:bookmarkStart w:id="527" w:name="faq-20"/>
    <w:p>
      <w:pPr>
        <w:pStyle w:val="Heading2"/>
      </w:pPr>
      <w:r>
        <w:t xml:space="preserve">FAQ</w:t>
      </w:r>
    </w:p>
    <w:p>
      <w:pPr>
        <w:pStyle w:val="FirstParagraph"/>
      </w:pPr>
      <w:r>
        <w:t xml:space="preserve">Faut-il connaître un framework web (Django, Flask) pour utiliser Python en administration système ?</w:t>
      </w:r>
    </w:p>
    <w:p>
      <w:pPr>
        <w:pStyle w:val="BodyText"/>
      </w:pPr>
      <w:r>
        <w:t xml:space="preserve">Non, ce chapitre couvre du Python</w:t>
      </w:r>
      <w:r>
        <w:t xml:space="preserve"> </w:t>
      </w:r>
      <w:r>
        <w:t xml:space="preserve">“utilitaire”</w:t>
      </w:r>
      <w:r>
        <w:t xml:space="preserve"> </w:t>
      </w:r>
      <w:r>
        <w:t xml:space="preserve">pur, sans aucun besoin de framework web — les scripts d’administration système utilisent principalement la bibliothèque standard et quelques bibliothèques ciblées comme</w:t>
      </w:r>
      <w:r>
        <w:t xml:space="preserve"> </w:t>
      </w:r>
      <w:r>
        <w:rPr>
          <w:rStyle w:val="VerbatimChar"/>
        </w:rPr>
        <w:t xml:space="preserve">requests</w:t>
      </w:r>
      <w:r>
        <w:t xml:space="preserve">, un usage très différent du développement d’applications web.</w:t>
      </w:r>
    </w:p>
    <w:p>
      <w:pPr>
        <w:pStyle w:val="BodyText"/>
      </w:pPr>
      <w:r>
        <w:t xml:space="preserve">Quelle version de Python privilégier pour un script d’administration système en 2026 ?</w:t>
      </w:r>
    </w:p>
    <w:p>
      <w:pPr>
        <w:pStyle w:val="BodyText"/>
      </w:pPr>
      <w:r>
        <w:t xml:space="preserve">La version fournie par défaut avec la distribution du serveur (généralement Python 3.10+ sur les distributions récentes) convient largement pour la plupart des besoins — éviter Python 2, définitivement obsolète et non maintenu depuis 2020, si jamais rencontré sur un système hérité.</w:t>
      </w:r>
    </w:p>
    <w:p>
      <w:pPr>
        <w:pStyle w:val="BodyText"/>
      </w:pPr>
      <w:r>
        <w:t xml:space="preserve">Un script Python peut-il aussi être planifié avec cron, comme un script Bash ?</w:t>
      </w:r>
    </w:p>
    <w:p>
      <w:pPr>
        <w:pStyle w:val="BodyText"/>
      </w:pPr>
      <w:r>
        <w:t xml:space="preserve">Oui, exactement de la même façon que dans le chapitre 20 — la seule différence est d’appeler l’interpréteur Python de l’environnement virtuel concerné (le chemin complet vers le</w:t>
      </w:r>
      <w:r>
        <w:t xml:space="preserve"> </w:t>
      </w:r>
      <w:r>
        <w:rPr>
          <w:rStyle w:val="VerbatimChar"/>
        </w:rPr>
        <w:t xml:space="preserve">python3</w:t>
      </w:r>
      <w:r>
        <w:t xml:space="preserve"> </w:t>
      </w:r>
      <w:r>
        <w:t xml:space="preserve">du</w:t>
      </w:r>
      <w:r>
        <w:t xml:space="preserve"> </w:t>
      </w:r>
      <w:r>
        <w:rPr>
          <w:rStyle w:val="VerbatimChar"/>
        </w:rPr>
        <w:t xml:space="preserve">venv</w:t>
      </w:r>
      <w:r>
        <w:t xml:space="preserve">, pas le Python système) dans la ligne cron, pour garantir que les bonnes dépendances installées dans cet environnement virtuel soient bien utilisées.</w:t>
      </w:r>
    </w:p>
    <w:p>
      <w:pPr>
        <w:pStyle w:val="BodyText"/>
      </w:pPr>
      <w:r>
        <w:t xml:space="preserve">Comment savoir si un script devrait être réécrit en Python plutôt que maintenu en Bash ?</w:t>
      </w:r>
    </w:p>
    <w:p>
      <w:pPr>
        <w:pStyle w:val="BodyText"/>
      </w:pPr>
      <w:r>
        <w:t xml:space="preserve">Un signal fiable est la difficulté croissante à lire ou modifier un script Bash existant à cause de sa complexité (traitement de texte fragile pour des données structurées, nombreuses conditions imbriquées) — exactement le signal rencontré dans le scénario d’ouverture de ce chapitre, plutôt qu’une règle rigide basée uniquement sur la taille du script.</w:t>
      </w:r>
    </w:p>
    <w:bookmarkEnd w:id="527"/>
    <w:bookmarkStart w:id="532" w:name="références-et-pour-aller-plus-loin-20"/>
    <w:p>
      <w:pPr>
        <w:pStyle w:val="Heading2"/>
      </w:pPr>
      <w:r>
        <w:t xml:space="preserve">Références et pour aller plus loin</w:t>
      </w:r>
    </w:p>
    <w:p>
      <w:pPr>
        <w:pStyle w:val="Compact"/>
        <w:numPr>
          <w:ilvl w:val="0"/>
          <w:numId w:val="1504"/>
        </w:numPr>
      </w:pPr>
      <w:r>
        <w:t xml:space="preserve">Documentation officielle Python :</w:t>
      </w:r>
      <w:r>
        <w:t xml:space="preserve"> </w:t>
      </w:r>
      <w:hyperlink r:id="rId528">
        <w:r>
          <w:rPr>
            <w:rStyle w:val="Hyperlink"/>
          </w:rPr>
          <w:t xml:space="preserve">https://docs.python.org/fr/3/</w:t>
        </w:r>
      </w:hyperlink>
    </w:p>
    <w:p>
      <w:pPr>
        <w:pStyle w:val="Compact"/>
        <w:numPr>
          <w:ilvl w:val="0"/>
          <w:numId w:val="1504"/>
        </w:numPr>
      </w:pPr>
      <w:r>
        <w:t xml:space="preserve">Documentation officielle du module</w:t>
      </w:r>
      <w:r>
        <w:t xml:space="preserve"> </w:t>
      </w:r>
      <w:r>
        <w:rPr>
          <w:rStyle w:val="VerbatimChar"/>
        </w:rPr>
        <w:t xml:space="preserve">logging</w:t>
      </w:r>
      <w:r>
        <w:t xml:space="preserve"> </w:t>
      </w:r>
      <w:r>
        <w:t xml:space="preserve">:</w:t>
      </w:r>
      <w:r>
        <w:t xml:space="preserve"> </w:t>
      </w:r>
      <w:hyperlink r:id="rId529">
        <w:r>
          <w:rPr>
            <w:rStyle w:val="Hyperlink"/>
          </w:rPr>
          <w:t xml:space="preserve">https://docs.python.org/fr/3/library/logging.html</w:t>
        </w:r>
      </w:hyperlink>
    </w:p>
    <w:p>
      <w:pPr>
        <w:pStyle w:val="Compact"/>
        <w:numPr>
          <w:ilvl w:val="0"/>
          <w:numId w:val="1504"/>
        </w:numPr>
      </w:pPr>
      <w:r>
        <w:t xml:space="preserve">Documentation officielle de la bibliothèque</w:t>
      </w:r>
      <w:r>
        <w:t xml:space="preserve"> </w:t>
      </w:r>
      <w:r>
        <w:rPr>
          <w:rStyle w:val="VerbatimChar"/>
        </w:rPr>
        <w:t xml:space="preserve">requests</w:t>
      </w:r>
      <w:r>
        <w:t xml:space="preserve"> </w:t>
      </w:r>
      <w:r>
        <w:t xml:space="preserve">:</w:t>
      </w:r>
      <w:r>
        <w:t xml:space="preserve"> </w:t>
      </w:r>
      <w:hyperlink r:id="rId530">
        <w:r>
          <w:rPr>
            <w:rStyle w:val="Hyperlink"/>
          </w:rPr>
          <w:t xml:space="preserve">https://requests.readthedocs.io/</w:t>
        </w:r>
      </w:hyperlink>
    </w:p>
    <w:p>
      <w:pPr>
        <w:pStyle w:val="Compact"/>
        <w:numPr>
          <w:ilvl w:val="0"/>
          <w:numId w:val="1504"/>
        </w:numPr>
      </w:pPr>
      <w:r>
        <w:t xml:space="preserve">OWASP — Command Injection (pour approfondir le risque de la section 21.6) :</w:t>
      </w:r>
      <w:r>
        <w:t xml:space="preserve"> </w:t>
      </w:r>
      <w:hyperlink r:id="rId531">
        <w:r>
          <w:rPr>
            <w:rStyle w:val="Hyperlink"/>
          </w:rPr>
          <w:t xml:space="preserve">https://owasp.org/www-community/attacks/Command_Injection</w:t>
        </w:r>
      </w:hyperlink>
    </w:p>
    <w:p>
      <w:pPr>
        <w:pStyle w:val="FirstParagraph"/>
      </w:pPr>
      <w:r>
        <w:rPr>
          <w:i/>
          <w:iCs/>
        </w:rPr>
        <w:t xml:space="preserve">Fin de la Partie 3. La Partie 4 aborde maintenant l’identité, l’authentification et les annuaires — LDAP en profondeur, Kerberos, PKI/certificats/TLS et MFA, des fondations qui traversent aussi bien les environnements Windows que Linux déjà couverts.</w:t>
      </w:r>
    </w:p>
    <w:p>
      <w:pPr>
        <w:pStyle w:val="BodyText"/>
      </w:pPr>
      <w:r>
        <w:t xml:space="preserve">CHAPITRE 22</w:t>
      </w:r>
    </w:p>
    <w:bookmarkEnd w:id="532"/>
    <w:bookmarkEnd w:id="533"/>
    <w:bookmarkStart w:id="559" w:name="ldap-en-profondeur-schéma-et-openldap"/>
    <w:p>
      <w:pPr>
        <w:pStyle w:val="Heading1"/>
      </w:pPr>
      <w:r>
        <w:t xml:space="preserve">LDAP en profondeur : schéma et OpenLDAP</w:t>
      </w:r>
    </w:p>
    <w:p>
      <w:pPr>
        <w:pStyle w:val="FirstParagraph"/>
      </w:pPr>
      <w:r>
        <w:t xml:space="preserve">🎯 Objectif du chapitre</w:t>
      </w:r>
      <w:r>
        <w:t xml:space="preserve"> </w:t>
      </w:r>
      <w:r>
        <w:t xml:space="preserve">Comprendre LDAP comme le protocole d’annuaire sous-jacent qu’Active Directory utilise déjà (Partie 2), et savoir l’interroger et le structurer indépendamment de Windows. À la fin de ce chapitre, tu sauras lire et écrire un DN (</w:t>
      </w:r>
      <w:r>
        <w:rPr>
          <w:i/>
          <w:iCs/>
        </w:rPr>
        <w:t xml:space="preserve">Distinguished Name</w:t>
      </w:r>
      <w:r>
        <w:t xml:space="preserve">), interroger un annuaire avec</w:t>
      </w:r>
      <w:r>
        <w:t xml:space="preserve"> </w:t>
      </w:r>
      <w:r>
        <w:rPr>
          <w:rStyle w:val="VerbatimChar"/>
        </w:rPr>
        <w:t xml:space="preserve">ldapsearch</w:t>
      </w:r>
      <w:r>
        <w:t xml:space="preserve">, comprendre le rôle d’un schéma LDAP, et décider quand un annuaire OpenLDAP autonome a du sens plutôt que de dépendre systématiquement d’Active Directory.</w:t>
      </w:r>
    </w:p>
    <w:p>
      <w:pPr>
        <w:pStyle w:val="BodyText"/>
      </w:pPr>
      <w:r>
        <w:t xml:space="preserve">🎬 Mise en situation</w:t>
      </w:r>
      <w:r>
        <w:t xml:space="preserve"> </w:t>
      </w:r>
      <w:r>
        <w:t xml:space="preserve">Le nouveau serveur Rocky Linux hébergeant le système de gestion documentaire (chapitre 19) a besoin d’authentifier ses utilisateurs. Plutôt que de créer des comptes locaux distincts sur chaque serveur Linux — une solution qui romprait avec toute la discipline d’identité centralisée déjà construite autour d’Active Directory depuis le chapitre 5 — le DSI demande :</w:t>
      </w:r>
      <w:r>
        <w:t xml:space="preserve"> </w:t>
      </w:r>
      <w:r>
        <w:t xml:space="preserve">“Peut-on simplement faire en sorte que les serveurs Linux utilisent les mêmes comptes que Windows ?”</w:t>
      </w:r>
      <w:r>
        <w:t xml:space="preserve"> </w:t>
      </w:r>
      <w:r>
        <w:t xml:space="preserve">La réponse tient en un mot que tu as déjà croisé sans jamais l’expliquer en détail : LDAP, le protocole sur lequel Active Directory lui-même repose. Ce chapitre lève le voile sur ce protocole, indépendamment de Windows.</w:t>
      </w:r>
    </w:p>
    <w:bookmarkStart w:id="534" w:name="Xfeca664d83f45de0cda1199df747c28a88267e1"/>
    <w:p>
      <w:pPr>
        <w:pStyle w:val="Heading2"/>
      </w:pPr>
      <w:r>
        <w:t xml:space="preserve">22.1 LDAP : le protocole qu’Active Directory utilise déjà</w:t>
      </w:r>
    </w:p>
    <w:p>
      <w:pPr>
        <w:pStyle w:val="FirstParagraph"/>
      </w:pPr>
      <w:r>
        <w:t xml:space="preserve">📌 À retenir — une révélation qui éclaire tout ce qui précède</w:t>
      </w:r>
      <w:r>
        <w:t xml:space="preserve"> </w:t>
      </w:r>
      <w:r>
        <w:rPr>
          <w:b/>
          <w:bCs/>
        </w:rPr>
        <w:t xml:space="preserve">Active Directory EST, entre autres choses, un serveur LDAP.</w:t>
      </w:r>
      <w:r>
        <w:t xml:space="preserve"> </w:t>
      </w:r>
      <w:r>
        <w:t xml:space="preserve">Depuis le chapitre 5, chaque forêt, domaine, UO et objet utilisateur qu’Active Directory gère est en réalité structuré et interrogeable via LDAP (</w:t>
      </w:r>
      <w:r>
        <w:rPr>
          <w:i/>
          <w:iCs/>
        </w:rPr>
        <w:t xml:space="preserve">Lightweight Directory Access Protocol</w:t>
      </w:r>
      <w:r>
        <w:t xml:space="preserve">) — Microsoft a construit Active Directory par-dessus LDAP (et Kerberos, chapitre 23), pas à côté. Comprendre LDAP directement, indépendamment de Windows, explique donc rétrospectivement une bonne partie de ce qui a semblé spécifique à Active Directory dans les chapitres précédents.</w:t>
      </w:r>
    </w:p>
    <w:p>
      <w:pPr>
        <w:pStyle w:val="BodyText"/>
      </w:pPr>
      <w:r>
        <w:t xml:space="preserve">💡 Analogie — LDAP comme langage, Active Directory comme un des dialectes</w:t>
      </w:r>
      <w:r>
        <w:t xml:space="preserve"> </w:t>
      </w:r>
      <w:r>
        <w:t xml:space="preserve">Si LDAP était une langue commune, Active Directory en serait un dialecte très répandu, avec son propre vocabulaire additionnel (les GPO, les rôles FSMO du chapitre 5) — mais la grammaire de base, celle qui permet de nommer et de retrouver un objet dans l’annuaire, reste du LDAP pur. OpenLDAP, que ce chapitre présente aussi, parle exactement la même langue de base, sans le dialecte propriétaire de Microsoft ajouté par-dessus.</w:t>
      </w:r>
    </w:p>
    <w:bookmarkEnd w:id="534"/>
    <w:bookmarkStart w:id="535" w:name="Xff15d28cc152ef305e2041ce0bc8f184d6d80b4"/>
    <w:p>
      <w:pPr>
        <w:pStyle w:val="Heading2"/>
      </w:pPr>
      <w:r>
        <w:t xml:space="preserve">22.2 La structure d’un annuaire LDAP : DN, attributs, schéma</w:t>
      </w:r>
    </w:p>
    <w:p>
      <w:pPr>
        <w:pStyle w:val="FirstParagraph"/>
      </w:pPr>
      <w:r>
        <w:t xml:space="preserve">Un annuaire LDAP organise ses données en une arborescence hiérarchique d’</w:t>
      </w:r>
      <w:r>
        <w:rPr>
          <w:b/>
          <w:bCs/>
        </w:rPr>
        <w:t xml:space="preserve">entrées</w:t>
      </w:r>
      <w:r>
        <w:t xml:space="preserve">, chacune identifiée de façon unique par son</w:t>
      </w:r>
      <w:r>
        <w:t xml:space="preserve"> </w:t>
      </w:r>
      <w:r>
        <w:rPr>
          <w:b/>
          <w:bCs/>
        </w:rPr>
        <w:t xml:space="preserve">DN</w:t>
      </w:r>
      <w:r>
        <w:t xml:space="preserve"> </w:t>
      </w:r>
      <w:r>
        <w:t xml:space="preserve">(</w:t>
      </w:r>
      <w:r>
        <w:rPr>
          <w:i/>
          <w:iCs/>
        </w:rPr>
        <w:t xml:space="preserve">Distinguished Name</w:t>
      </w:r>
      <w:r>
        <w:t xml:space="preserve">) — exactement le même concept que le chemin complet d’une UO qu’Active Directory manipule déjà depuis le chapitre 5, simplement rendu explicite ici.</w:t>
      </w:r>
    </w:p>
    <w:p>
      <w:pPr>
        <w:pStyle w:val="SourceCode"/>
      </w:pPr>
      <w:r>
        <w:rPr>
          <w:rStyle w:val="VerbatimChar"/>
        </w:rPr>
        <w:t xml:space="preserve"># Le DN d'un utilisateur dans l'annuaire Active Directory de l'entreprise</w:t>
      </w:r>
      <w:r>
        <w:br/>
      </w:r>
      <w:r>
        <w:rPr>
          <w:rStyle w:val="VerbatimChar"/>
        </w:rPr>
        <w:t xml:space="preserve"># (rappel : c'est litteralement du LDAP, deja utilise sans le nommer ainsi)</w:t>
      </w:r>
      <w:r>
        <w:br/>
      </w:r>
      <w:r>
        <w:rPr>
          <w:rStyle w:val="VerbatimChar"/>
        </w:rPr>
        <w:t xml:space="preserve">cn=Jean Baptiste,ou=Comptabilite,dc=assuranceht,dc=local</w:t>
      </w:r>
    </w:p>
    <w:p>
      <w:pPr>
        <w:pStyle w:val="FirstParagraph"/>
      </w:pPr>
      <w:r>
        <w:t xml:space="preserve">💡 Décomposer ce DN, de la fin vers le début</w:t>
      </w:r>
      <w:r>
        <w:t xml:space="preserve"> </w:t>
      </w:r>
      <w:r>
        <w:t xml:space="preserve">dc=assuranceht,dc=local</w:t>
      </w:r>
      <w:r>
        <w:t xml:space="preserve"> </w:t>
      </w:r>
      <w:r>
        <w:t xml:space="preserve">(</w:t>
      </w:r>
      <w:r>
        <w:rPr>
          <w:i/>
          <w:iCs/>
        </w:rPr>
        <w:t xml:space="preserve">Domain Component</w:t>
      </w:r>
      <w:r>
        <w:t xml:space="preserve">) correspond exactement au domaine</w:t>
      </w:r>
      <w:r>
        <w:t xml:space="preserve"> </w:t>
      </w:r>
      <w:r>
        <w:t xml:space="preserve">assuranceht.local</w:t>
      </w:r>
      <w:r>
        <w:t xml:space="preserve"> </w:t>
      </w:r>
      <w:r>
        <w:t xml:space="preserve">du chapitre 5.</w:t>
      </w:r>
      <w:r>
        <w:t xml:space="preserve"> </w:t>
      </w:r>
      <w:r>
        <w:t xml:space="preserve">ou=Comptabilite</w:t>
      </w:r>
      <w:r>
        <w:t xml:space="preserve"> </w:t>
      </w:r>
      <w:r>
        <w:t xml:space="preserve">correspond à l’unité d’organisation</w:t>
      </w:r>
      <w:r>
        <w:t xml:space="preserve"> </w:t>
      </w:r>
      <w:r>
        <w:t xml:space="preserve">“Comptabilité”</w:t>
      </w:r>
      <w:r>
        <w:t xml:space="preserve">, tout aussi familière depuis le chapitre 5.</w:t>
      </w:r>
      <w:r>
        <w:t xml:space="preserve"> </w:t>
      </w:r>
      <w:r>
        <w:t xml:space="preserve">cn=Jean Baptiste</w:t>
      </w:r>
      <w:r>
        <w:t xml:space="preserve"> </w:t>
      </w:r>
      <w:r>
        <w:t xml:space="preserve">(</w:t>
      </w:r>
      <w:r>
        <w:rPr>
          <w:i/>
          <w:iCs/>
        </w:rPr>
        <w:t xml:space="preserve">Common Name</w:t>
      </w:r>
      <w:r>
        <w:t xml:space="preserve">) identifie l’objet précis à l’intérieur de cette UO. Le DN complet se lit comme une adresse postale, du plus spécifique (la personne) au plus général (le domaine) — dans l’ordre inverse d’une adresse postale française, mais avec la même logique de hiérarchie.</w:t>
      </w:r>
    </w:p>
    <w:p>
      <w:pPr>
        <w:pStyle w:val="BodyText"/>
      </w:pPr>
      <w:r>
        <w:t xml:space="preserve">Chaque entrée LDAP possède un ou plusieurs</w:t>
      </w:r>
      <w:r>
        <w:t xml:space="preserve"> </w:t>
      </w:r>
      <w:r>
        <w:rPr>
          <w:b/>
          <w:bCs/>
        </w:rPr>
        <w:t xml:space="preserve">objectClass</w:t>
      </w:r>
      <w:r>
        <w:t xml:space="preserve">, qui déterminent quels</w:t>
      </w:r>
      <w:r>
        <w:t xml:space="preserve"> </w:t>
      </w:r>
      <w:r>
        <w:rPr>
          <w:b/>
          <w:bCs/>
        </w:rPr>
        <w:t xml:space="preserve">attributs</w:t>
      </w:r>
      <w:r>
        <w:t xml:space="preserve"> </w:t>
      </w:r>
      <w:r>
        <w:t xml:space="preserve">elle peut ou doit porter — c’est le</w:t>
      </w:r>
      <w:r>
        <w:t xml:space="preserve"> </w:t>
      </w:r>
      <w:r>
        <w:rPr>
          <w:b/>
          <w:bCs/>
        </w:rPr>
        <w:t xml:space="preserve">schéma</w:t>
      </w:r>
      <w:r>
        <w:t xml:space="preserve"> </w:t>
      </w:r>
      <w:r>
        <w:t xml:space="preserve">de l’annuaire, sa définition structurelle.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Concept LDAP</w:t>
            </w:r>
          </w:p>
        </w:tc>
        <w:tc>
          <w:tcPr/>
          <w:p>
            <w:pPr>
              <w:pStyle w:val="Compact"/>
            </w:pPr>
            <w:r>
              <w:t xml:space="preserve">Rôle</w:t>
            </w:r>
          </w:p>
        </w:tc>
        <w:tc>
          <w:tcPr/>
          <w:p>
            <w:pPr>
              <w:pStyle w:val="Compact"/>
            </w:pPr>
            <w:r>
              <w:t xml:space="preserve">Exemple</w:t>
            </w:r>
          </w:p>
        </w:tc>
      </w:tr>
      <w:tr>
        <w:tc>
          <w:tcPr/>
          <w:p>
            <w:pPr>
              <w:pStyle w:val="Compact"/>
            </w:pPr>
            <w:r>
              <w:rPr>
                <w:b/>
                <w:bCs/>
              </w:rPr>
              <w:t xml:space="preserve">DN</w:t>
            </w:r>
          </w:p>
        </w:tc>
        <w:tc>
          <w:tcPr/>
          <w:p>
            <w:pPr>
              <w:pStyle w:val="Compact"/>
            </w:pPr>
            <w:r>
              <w:t xml:space="preserve">Identifiant unique complet d’une entrée</w:t>
            </w:r>
          </w:p>
        </w:tc>
        <w:tc>
          <w:tcPr/>
          <w:p>
            <w:pPr>
              <w:pStyle w:val="Compact"/>
            </w:pPr>
            <w:r>
              <w:rPr>
                <w:rStyle w:val="VerbatimChar"/>
              </w:rPr>
              <w:t xml:space="preserve">cn=Jean Baptiste,ou=Comptabilite,dc=assuranceht,dc=local</w:t>
            </w:r>
          </w:p>
        </w:tc>
      </w:tr>
      <w:tr>
        <w:tc>
          <w:tcPr/>
          <w:p>
            <w:pPr>
              <w:pStyle w:val="Compact"/>
            </w:pPr>
            <w:r>
              <w:rPr>
                <w:b/>
                <w:bCs/>
              </w:rPr>
              <w:t xml:space="preserve">objectClass</w:t>
            </w:r>
          </w:p>
        </w:tc>
        <w:tc>
          <w:tcPr/>
          <w:p>
            <w:pPr>
              <w:pStyle w:val="Compact"/>
            </w:pPr>
            <w:r>
              <w:t xml:space="preserve">Détermine le type d’une entrée et ses attributs possibles</w:t>
            </w:r>
          </w:p>
        </w:tc>
        <w:tc>
          <w:tcPr/>
          <w:p>
            <w:pPr>
              <w:pStyle w:val="Compact"/>
            </w:pPr>
            <w:r>
              <w:rPr>
                <w:rStyle w:val="VerbatimChar"/>
              </w:rPr>
              <w:t xml:space="preserve">person</w:t>
            </w:r>
            <w:r>
              <w:t xml:space="preserve">,</w:t>
            </w:r>
            <w:r>
              <w:t xml:space="preserve"> </w:t>
            </w:r>
            <w:r>
              <w:rPr>
                <w:rStyle w:val="VerbatimChar"/>
              </w:rPr>
              <w:t xml:space="preserve">organizationalUnit</w:t>
            </w:r>
            <w:r>
              <w:t xml:space="preserve">,</w:t>
            </w:r>
            <w:r>
              <w:t xml:space="preserve"> </w:t>
            </w:r>
            <w:r>
              <w:rPr>
                <w:rStyle w:val="VerbatimChar"/>
              </w:rPr>
              <w:t xml:space="preserve">groupOfNames</w:t>
            </w:r>
          </w:p>
        </w:tc>
      </w:tr>
      <w:tr>
        <w:tc>
          <w:tcPr/>
          <w:p>
            <w:pPr>
              <w:pStyle w:val="Compact"/>
            </w:pPr>
            <w:r>
              <w:rPr>
                <w:b/>
                <w:bCs/>
              </w:rPr>
              <w:t xml:space="preserve">Attribut</w:t>
            </w:r>
          </w:p>
        </w:tc>
        <w:tc>
          <w:tcPr/>
          <w:p>
            <w:pPr>
              <w:pStyle w:val="Compact"/>
            </w:pPr>
            <w:r>
              <w:t xml:space="preserve">Une propriété précise d’une entrée</w:t>
            </w:r>
          </w:p>
        </w:tc>
        <w:tc>
          <w:tcPr/>
          <w:p>
            <w:pPr>
              <w:pStyle w:val="Compact"/>
            </w:pPr>
            <w:r>
              <w:rPr>
                <w:rStyle w:val="VerbatimChar"/>
              </w:rPr>
              <w:t xml:space="preserve">mail</w:t>
            </w:r>
            <w:r>
              <w:t xml:space="preserve">,</w:t>
            </w:r>
            <w:r>
              <w:t xml:space="preserve"> </w:t>
            </w:r>
            <w:r>
              <w:rPr>
                <w:rStyle w:val="VerbatimChar"/>
              </w:rPr>
              <w:t xml:space="preserve">telephoneNumber</w:t>
            </w:r>
            <w:r>
              <w:t xml:space="preserve">,</w:t>
            </w:r>
            <w:r>
              <w:t xml:space="preserve"> </w:t>
            </w:r>
            <w:r>
              <w:rPr>
                <w:rStyle w:val="VerbatimChar"/>
              </w:rPr>
              <w:t xml:space="preserve">memberOf</w:t>
            </w:r>
          </w:p>
        </w:tc>
      </w:tr>
      <w:tr>
        <w:tc>
          <w:tcPr/>
          <w:p>
            <w:pPr>
              <w:pStyle w:val="Compact"/>
            </w:pPr>
            <w:r>
              <w:rPr>
                <w:b/>
                <w:bCs/>
              </w:rPr>
              <w:t xml:space="preserve">Base DN</w:t>
            </w:r>
          </w:p>
        </w:tc>
        <w:tc>
          <w:tcPr/>
          <w:p>
            <w:pPr>
              <w:pStyle w:val="Compact"/>
            </w:pPr>
            <w:r>
              <w:t xml:space="preserve">Le point de départ de l’arborescence de l’annuaire</w:t>
            </w:r>
          </w:p>
        </w:tc>
        <w:tc>
          <w:tcPr/>
          <w:p>
            <w:pPr>
              <w:pStyle w:val="Compact"/>
            </w:pPr>
            <w:r>
              <w:rPr>
                <w:rStyle w:val="VerbatimChar"/>
              </w:rPr>
              <w:t xml:space="preserve">dc=assuranceht,dc=local</w:t>
            </w:r>
          </w:p>
        </w:tc>
      </w:tr>
    </w:tbl>
    <w:bookmarkEnd w:id="535"/>
    <w:bookmarkStart w:id="536" w:name="Xb65cbdb07724b74751db01579794f8c53e0cad8"/>
    <w:p>
      <w:pPr>
        <w:pStyle w:val="Heading2"/>
      </w:pPr>
      <w:r>
        <w:t xml:space="preserve">22.3 Interroger un annuaire LDAP avec</w:t>
      </w:r>
      <w:r>
        <w:t xml:space="preserve"> </w:t>
      </w:r>
      <w:r>
        <w:rPr>
          <w:rStyle w:val="VerbatimChar"/>
        </w:rPr>
        <w:t xml:space="preserve">ldapsearch</w:t>
      </w:r>
    </w:p>
    <w:p>
      <w:pPr>
        <w:pStyle w:val="SourceCode"/>
      </w:pPr>
      <w:r>
        <w:rPr>
          <w:rStyle w:val="VerbatimChar"/>
        </w:rPr>
        <w:t xml:space="preserve"># Rechercher tous les utilisateurs de l'UO Comptabilite dans</w:t>
      </w:r>
      <w:r>
        <w:br/>
      </w:r>
      <w:r>
        <w:rPr>
          <w:rStyle w:val="VerbatimChar"/>
        </w:rPr>
        <w:t xml:space="preserve"># l'Active Directory de l'entreprise (rappel : c'est un serveur LDAP)</w:t>
      </w:r>
      <w:r>
        <w:br/>
      </w:r>
      <w:r>
        <w:rPr>
          <w:rStyle w:val="VerbatimChar"/>
        </w:rPr>
        <w:t xml:space="preserve">ldapsearch -x -H ldap://dc-pap-01.assuranceht.local \</w:t>
      </w:r>
      <w:r>
        <w:br/>
      </w:r>
      <w:r>
        <w:rPr>
          <w:rStyle w:val="VerbatimChar"/>
        </w:rPr>
        <w:t xml:space="preserve">  -D "cn=compte_lecture,ou=ServiceAccounts,dc=assuranceht,dc=local" \</w:t>
      </w:r>
      <w:r>
        <w:br/>
      </w:r>
      <w:r>
        <w:rPr>
          <w:rStyle w:val="VerbatimChar"/>
        </w:rPr>
        <w:t xml:space="preserve">  -W \</w:t>
      </w:r>
      <w:r>
        <w:br/>
      </w:r>
      <w:r>
        <w:rPr>
          <w:rStyle w:val="VerbatimChar"/>
        </w:rPr>
        <w:t xml:space="preserve">  -b "ou=Comptabilite,dc=assuranceht,dc=local" \</w:t>
      </w:r>
      <w:r>
        <w:br/>
      </w:r>
      <w:r>
        <w:rPr>
          <w:rStyle w:val="VerbatimChar"/>
        </w:rPr>
        <w:t xml:space="preserve">  "(objectClass=person)"</w:t>
      </w:r>
    </w:p>
    <w:p>
      <w:pPr>
        <w:pStyle w:val="FirstParagraph"/>
      </w:pPr>
      <w:r>
        <w:t xml:space="preserve">💡 Explication des options clés</w:t>
      </w:r>
      <w:r>
        <w:t xml:space="preserve"> </w:t>
      </w:r>
      <w:r>
        <w:t xml:space="preserve">-H</w:t>
      </w:r>
      <w:r>
        <w:t xml:space="preserve"> </w:t>
      </w:r>
      <w:r>
        <w:t xml:space="preserve">précise le serveur LDAP à interroger.</w:t>
      </w:r>
      <w:r>
        <w:t xml:space="preserve"> </w:t>
      </w:r>
      <w:r>
        <w:t xml:space="preserve">-D</w:t>
      </w:r>
      <w:r>
        <w:t xml:space="preserve"> </w:t>
      </w:r>
      <w:r>
        <w:t xml:space="preserve">indique le DN du compte utilisé pour se connecter (le</w:t>
      </w:r>
      <w:r>
        <w:t xml:space="preserve"> </w:t>
      </w:r>
      <w:r>
        <w:t xml:space="preserve">“bind DN”</w:t>
      </w:r>
      <w:r>
        <w:t xml:space="preserve">) — jamais un compte administrateur pour une simple lecture, principe du moindre privilège du chapitre 1.</w:t>
      </w:r>
      <w:r>
        <w:t xml:space="preserve"> </w:t>
      </w:r>
      <w:r>
        <w:t xml:space="preserve">-W</w:t>
      </w:r>
      <w:r>
        <w:t xml:space="preserve"> </w:t>
      </w:r>
      <w:r>
        <w:t xml:space="preserve">demande le mot de passe de façon interactive plutôt que de le passer en clair sur la ligne de commande (visible dans l’historique shell sinon, un risque de sécurité réel).</w:t>
      </w:r>
      <w:r>
        <w:t xml:space="preserve"> </w:t>
      </w:r>
      <w:r>
        <w:t xml:space="preserve">-b</w:t>
      </w:r>
      <w:r>
        <w:t xml:space="preserve"> </w:t>
      </w:r>
      <w:r>
        <w:t xml:space="preserve">définit la base de recherche (ici, l’UO Comptabilité) — inutile de chercher dans tout l’annuaire quand seule une UO précise nous intéresse. Le filtre entre parenthèses (</w:t>
      </w:r>
      <w:r>
        <w:t xml:space="preserve">(objectClass=person)</w:t>
      </w:r>
      <w:r>
        <w:t xml:space="preserve">) restreint les résultats aux entrées de type utilisateur.</w:t>
      </w:r>
    </w:p>
    <w:bookmarkEnd w:id="536"/>
    <w:bookmarkStart w:id="537" w:name="X81d4668412719aaef053df3146b3c4f6d4659e5"/>
    <w:p>
      <w:pPr>
        <w:pStyle w:val="Heading2"/>
      </w:pPr>
      <w:r>
        <w:t xml:space="preserve">22.4 OpenLDAP : quand un annuaire autonome a du sens</w:t>
      </w:r>
    </w:p>
    <w:p>
      <w:pPr>
        <w:pStyle w:val="FirstParagraph"/>
      </w:pPr>
      <w:r>
        <w:rPr>
          <w:b/>
          <w:bCs/>
        </w:rPr>
        <w:t xml:space="preserve">OpenLDAP</w:t>
      </w:r>
      <w:r>
        <w:t xml:space="preserve"> </w:t>
      </w:r>
      <w:r>
        <w:t xml:space="preserve">est une implémentation open source d’un serveur LDAP, indépendante d’Active Directory. Elle a du sens dans des scénarios précis, différents de celui du scénario d’ouverture :</w:t>
      </w:r>
    </w:p>
    <w:p>
      <w:pPr>
        <w:pStyle w:val="BodyText"/>
      </w:pPr>
      <w:r>
        <w:t xml:space="preserve">💡 Quand choisir OpenLDAP plutôt que de dépendre d’Active Directory</w:t>
      </w:r>
      <w:r>
        <w:t xml:space="preserve"> </w:t>
      </w:r>
      <w:r>
        <w:t xml:space="preserve">- Une organisation</w:t>
      </w:r>
      <w:r>
        <w:t xml:space="preserve"> </w:t>
      </w:r>
      <w:r>
        <w:rPr>
          <w:b/>
          <w:bCs/>
        </w:rPr>
        <w:t xml:space="preserve">entièrement Linux</w:t>
      </w:r>
      <w:r>
        <w:t xml:space="preserve">, sans aucune infrastructure Windows Server existante, pour laquelle déployer Active Directory uniquement pour l’identité serait disproportionné.</w:t>
      </w:r>
      <w:r>
        <w:t xml:space="preserve"> </w:t>
      </w:r>
      <w:r>
        <w:t xml:space="preserve">- Un besoin d’annuaire</w:t>
      </w:r>
      <w:r>
        <w:t xml:space="preserve"> </w:t>
      </w:r>
      <w:r>
        <w:rPr>
          <w:b/>
          <w:bCs/>
        </w:rPr>
        <w:t xml:space="preserve">applicatif dédié</w:t>
      </w:r>
      <w:r>
        <w:t xml:space="preserve">, séparé de l’identité des employés (par exemple, un annuaire de comptes de service pour des applications, isolé de l’annuaire du personnel).</w:t>
      </w:r>
      <w:r>
        <w:t xml:space="preserve"> </w:t>
      </w:r>
      <w:r>
        <w:t xml:space="preserve">- Un environnement</w:t>
      </w:r>
      <w:r>
        <w:t xml:space="preserve"> </w:t>
      </w:r>
      <w:r>
        <w:rPr>
          <w:b/>
          <w:bCs/>
        </w:rPr>
        <w:t xml:space="preserve">multi-plateforme</w:t>
      </w:r>
      <w:r>
        <w:t xml:space="preserve"> </w:t>
      </w:r>
      <w:r>
        <w:t xml:space="preserve">où l’écosystème Microsoft n’est délibérément pas souhaité, pour des raisons de coût ou de stratégie technique.</w:t>
      </w:r>
    </w:p>
    <w:p>
      <w:pPr>
        <w:pStyle w:val="BodyText"/>
      </w:pPr>
      <w:r>
        <w:t xml:space="preserve">⚠️ Pour le scénario d’ouverture, OpenLDAP n’est PAS la bonne réponse</w:t>
      </w:r>
      <w:r>
        <w:t xml:space="preserve"> </w:t>
      </w:r>
      <w:r>
        <w:t xml:space="preserve">Créer un second annuaire OpenLDAP autonome pour les serveurs Linux, séparé de l’Active Directory déjà en place, romprait précisément la centralisation d’identité déjà construite depuis le chapitre 5 — deux annuaires distincts à synchroniser manuellement, deux sources de vérité pour les mêmes personnes, un risque direct de dérive similaire à celui déjà évoqué pour les conflits de réplication (chapitre 6). La bonne réponse, développée en section 22.5, consiste à faire authentifier les serveurs Linux directement contre l’Active Directory existant.</w:t>
      </w:r>
    </w:p>
    <w:bookmarkEnd w:id="537"/>
    <w:bookmarkStart w:id="541" w:name="X3e5358655621303850412f82379875389bf3a67"/>
    <w:p>
      <w:pPr>
        <w:pStyle w:val="Heading2"/>
      </w:pPr>
      <w:r>
        <w:t xml:space="preserve">22.5 Authentifier Linux contre Active Directory via LDAP : SSSD</w:t>
      </w:r>
    </w:p>
    <w:p>
      <w:pPr>
        <w:pStyle w:val="FirstParagraph"/>
      </w:pPr>
      <w:r>
        <w:rPr>
          <w:b/>
          <w:bCs/>
        </w:rPr>
        <w:t xml:space="preserve">SSSD</w:t>
      </w:r>
      <w:r>
        <w:t xml:space="preserve"> </w:t>
      </w:r>
      <w:r>
        <w:t xml:space="preserve">(</w:t>
      </w:r>
      <w:r>
        <w:rPr>
          <w:i/>
          <w:iCs/>
        </w:rPr>
        <w:t xml:space="preserve">System Security Services Daemon</w:t>
      </w:r>
      <w:r>
        <w:t xml:space="preserve">) est le service standard sur les distributions Linux modernes qui permet à un serveur Linux de s’authentifier contre un annuaire LDAP externe — y compris Active Directory — sans dupliquer les comptes localement.</w:t>
      </w:r>
    </w:p>
    <w:p>
      <w:pPr>
        <w:pStyle w:val="CaptionedFigure"/>
      </w:pPr>
      <w:r>
        <w:drawing>
          <wp:inline>
            <wp:extent cx="5334000" cy="996108"/>
            <wp:effectExtent b="0" l="0" r="0" t="0"/>
            <wp:docPr descr="Diagramme" title="" id="539" name="Picture"/>
            <a:graphic>
              <a:graphicData uri="http://schemas.openxmlformats.org/drawingml/2006/picture">
                <pic:pic>
                  <pic:nvPicPr>
                    <pic:cNvPr descr="C:/Users/ingja/Desktop/jarvis-starter-kit/livrables/formations/manuel-administration-systeme/assets/diagrams/d-22-ldap-en-profondeur-diagramme-1.png" id="540" name="Picture"/>
                    <pic:cNvPicPr>
                      <a:picLocks noChangeArrowheads="1" noChangeAspect="1"/>
                    </pic:cNvPicPr>
                  </pic:nvPicPr>
                  <pic:blipFill>
                    <a:blip r:embed="rId538"/>
                    <a:stretch>
                      <a:fillRect/>
                    </a:stretch>
                  </pic:blipFill>
                  <pic:spPr bwMode="auto">
                    <a:xfrm>
                      <a:off x="0" y="0"/>
                      <a:ext cx="5334000" cy="996108"/>
                    </a:xfrm>
                    <a:prstGeom prst="rect">
                      <a:avLst/>
                    </a:prstGeom>
                    <a:noFill/>
                    <a:ln w="9525">
                      <a:noFill/>
                      <a:headEnd/>
                      <a:tailEnd/>
                    </a:ln>
                  </pic:spPr>
                </pic:pic>
              </a:graphicData>
            </a:graphic>
          </wp:inline>
        </w:drawing>
      </w:r>
    </w:p>
    <w:p>
      <w:pPr>
        <w:pStyle w:val="ImageCaption"/>
      </w:pPr>
      <w:r>
        <w:t xml:space="preserve">Diagramme</w:t>
      </w:r>
    </w:p>
    <w:p>
      <w:pPr>
        <w:pStyle w:val="BodyText"/>
      </w:pPr>
      <w:r>
        <w:t xml:space="preserve">✅ Bonne pratique — un seul annuaire d’identité pour toute l’entreprise</w:t>
      </w:r>
      <w:r>
        <w:t xml:space="preserve"> </w:t>
      </w:r>
      <w:r>
        <w:t xml:space="preserve">Avec SSSD configuré, un employé désactivé dans Active Directory (départ, suspension) perd immédiatement l’accès à TOUS les systèmes de l’entreprise — Windows ET Linux — sans qu’un administrateur n’ait besoin de penser séparément à désactiver un compte local sur chaque serveur Linux. C’est exactement la réponse à la question du DSI dans le scénario d’ouverture, et une application directe du principe de documentation et de gestion des actifs du chapitre 3 : une seule source de vérité, jamais deux annuaires à synchroniser manuellement.</w:t>
      </w:r>
    </w:p>
    <w:p>
      <w:pPr>
        <w:pStyle w:val="SourceCode"/>
      </w:pPr>
      <w:r>
        <w:rPr>
          <w:rStyle w:val="VerbatimChar"/>
        </w:rPr>
        <w:t xml:space="preserve"># Installation et configuration simplifiee (les details precis varient</w:t>
      </w:r>
      <w:r>
        <w:br/>
      </w:r>
      <w:r>
        <w:rPr>
          <w:rStyle w:val="VerbatimChar"/>
        </w:rPr>
        <w:t xml:space="preserve"># selon la distribution et la version d'Active Directory) :</w:t>
      </w:r>
      <w:r>
        <w:br/>
      </w:r>
      <w:r>
        <w:rPr>
          <w:rStyle w:val="VerbatimChar"/>
        </w:rPr>
        <w:t xml:space="preserve">sudo dnf install sssd sssd-ad realmd oddjob-mkhomedir</w:t>
      </w:r>
      <w:r>
        <w:br/>
      </w:r>
      <w:r>
        <w:br/>
      </w:r>
      <w:r>
        <w:rPr>
          <w:rStyle w:val="VerbatimChar"/>
        </w:rPr>
        <w:t xml:space="preserve"># Rejoindre le domaine Active Directory, de facon similaire dans l'esprit</w:t>
      </w:r>
      <w:r>
        <w:br/>
      </w:r>
      <w:r>
        <w:rPr>
          <w:rStyle w:val="VerbatimChar"/>
        </w:rPr>
        <w:t xml:space="preserve"># a l'ajout d'un poste de travail Windows a un domaine</w:t>
      </w:r>
      <w:r>
        <w:br/>
      </w:r>
      <w:r>
        <w:rPr>
          <w:rStyle w:val="VerbatimChar"/>
        </w:rPr>
        <w:t xml:space="preserve">sudo realm join assuranceht.local -U administrateur_domaine</w:t>
      </w:r>
    </w:p>
    <w:bookmarkEnd w:id="541"/>
    <w:bookmarkStart w:id="542" w:name="X37f70748cb19a6258a99f73145bbdc03ab3a86d"/>
    <w:p>
      <w:pPr>
        <w:pStyle w:val="Heading2"/>
      </w:pPr>
      <w:r>
        <w:t xml:space="preserve">22.6 Sécuriser LDAP : ne jamais transmettre en clair</w:t>
      </w:r>
    </w:p>
    <w:p>
      <w:pPr>
        <w:pStyle w:val="FirstParagraph"/>
      </w:pPr>
      <w:r>
        <w:t xml:space="preserve">🔒 Sécurité — LDAP en clair (port 389) expose les identifiants sur le réseau</w:t>
      </w:r>
      <w:r>
        <w:t xml:space="preserve"> </w:t>
      </w:r>
      <w:r>
        <w:t xml:space="preserve">Le port LDAP standard (389) transmet les requêtes, y compris les tentatives d’authentification,</w:t>
      </w:r>
      <w:r>
        <w:t xml:space="preserve"> </w:t>
      </w:r>
      <w:r>
        <w:rPr>
          <w:b/>
          <w:bCs/>
        </w:rPr>
        <w:t xml:space="preserve">sans chiffrement</w:t>
      </w:r>
      <w:r>
        <w:t xml:space="preserve"> </w:t>
      </w:r>
      <w:r>
        <w:t xml:space="preserve">par défaut — un identifiant et un mot de passe transitant en clair peuvent être interceptés par quiconque a accès au trafic réseau, un risque de sécurité sérieux, en particulier sur un réseau partagé ou mal segmenté (Partie 11). Deux solutions existent :</w:t>
      </w:r>
      <w:r>
        <w:t xml:space="preserve"> </w:t>
      </w:r>
      <w:r>
        <w:rPr>
          <w:b/>
          <w:bCs/>
        </w:rPr>
        <w:t xml:space="preserve">LDAPS</w:t>
      </w:r>
      <w:r>
        <w:t xml:space="preserve"> </w:t>
      </w:r>
      <w:r>
        <w:t xml:space="preserve">(LDAP directement chiffré via TLS, port 636) ou</w:t>
      </w:r>
      <w:r>
        <w:t xml:space="preserve"> </w:t>
      </w:r>
      <w:r>
        <w:rPr>
          <w:b/>
          <w:bCs/>
        </w:rPr>
        <w:t xml:space="preserve">StartTLS</w:t>
      </w:r>
      <w:r>
        <w:t xml:space="preserve"> </w:t>
      </w:r>
      <w:r>
        <w:t xml:space="preserve">(une connexion initiée en clair sur le port 389, puis élevée vers une session chiffrée avant tout échange de données sensibles).</w:t>
      </w:r>
    </w:p>
    <w:p>
      <w:pPr>
        <w:pStyle w:val="BodyText"/>
      </w:pPr>
      <w:r>
        <w:t xml:space="preserve">✅ Bonne pratique — désactiver le bind anonyme</w:t>
      </w:r>
      <w:r>
        <w:t xml:space="preserve"> </w:t>
      </w:r>
      <w:r>
        <w:t xml:space="preserve">Un annuaire LDAP mal configuré peut permettre un</w:t>
      </w:r>
      <w:r>
        <w:t xml:space="preserve"> </w:t>
      </w:r>
      <w:r>
        <w:t xml:space="preserve">“bind anonyme”</w:t>
      </w:r>
      <w:r>
        <w:t xml:space="preserve"> </w:t>
      </w:r>
      <w:r>
        <w:t xml:space="preserve">— une connexion sans aucun identifiant, autorisant potentiellement la lecture de tout ou partie de l’annuaire par n’importe qui sur le réseau. Vérifier et désactiver cette possibilité, sauf besoin explicitement justifié et restreint, est un réflexe de durcissement de base, dans le même esprit que la revue des accès distants du chapitre 4.</w:t>
      </w:r>
    </w:p>
    <w:bookmarkEnd w:id="542"/>
    <w:bookmarkStart w:id="543" w:name="Xfee2af7000efe50f5be0373d0e6dff447dc25ea"/>
    <w:p>
      <w:pPr>
        <w:pStyle w:val="Heading2"/>
      </w:pPr>
      <w:r>
        <w:t xml:space="preserve">22.7 Diagnostiquer un problème de connexion LDAP</w:t>
      </w:r>
    </w:p>
    <w:p>
      <w:pPr>
        <w:pStyle w:val="FirstParagraph"/>
      </w:pPr>
      <w:r>
        <w:t xml:space="preserve">🩺 Symptôme :</w:t>
      </w:r>
      <w:r>
        <w:t xml:space="preserve"> </w:t>
      </w:r>
      <w:r>
        <w:t xml:space="preserve">“Invalid credentials”</w:t>
      </w:r>
      <w:r>
        <w:t xml:space="preserve"> </w:t>
      </w:r>
      <w:r>
        <w:t xml:space="preserve">lors d’un</w:t>
      </w:r>
      <w:r>
        <w:t xml:space="preserve"> </w:t>
      </w:r>
      <w:r>
        <w:rPr>
          <w:rStyle w:val="VerbatimChar"/>
        </w:rPr>
        <w:t xml:space="preserve">ldapsearch</w:t>
      </w:r>
      <w:r>
        <w:t xml:space="preserve"> </w:t>
      </w:r>
      <w:r>
        <w:t xml:space="preserve">ou d’une tentative de connexion SSSD</w:t>
      </w:r>
    </w:p>
    <w:p>
      <w:pPr>
        <w:pStyle w:val="Compact"/>
        <w:numPr>
          <w:ilvl w:val="0"/>
          <w:numId w:val="1505"/>
        </w:numPr>
      </w:pPr>
      <w:r>
        <w:rPr>
          <w:b/>
          <w:bCs/>
        </w:rPr>
        <w:t xml:space="preserve">Diagnostic</w:t>
      </w:r>
      <w:r>
        <w:t xml:space="preserve"> </w:t>
      </w:r>
      <w:r>
        <w:t xml:space="preserve">: ce message précis indique que le DN utilisé pour se connecter existe, mais que le mot de passe fourni est incorrect — une cause différente de</w:t>
      </w:r>
      <w:r>
        <w:t xml:space="preserve"> </w:t>
      </w:r>
      <w:r>
        <w:t xml:space="preserve">“No such object”</w:t>
      </w:r>
      <w:r>
        <w:t xml:space="preserve">, qui indiquerait que le DN lui-même n’existe pas dans l’annuaire.</w:t>
      </w:r>
    </w:p>
    <w:p>
      <w:pPr>
        <w:pStyle w:val="Compact"/>
        <w:numPr>
          <w:ilvl w:val="0"/>
          <w:numId w:val="1505"/>
        </w:numPr>
      </w:pPr>
      <w:r>
        <w:rPr>
          <w:b/>
          <w:bCs/>
        </w:rPr>
        <w:t xml:space="preserve">Comment vérifier</w:t>
      </w:r>
      <w:r>
        <w:t xml:space="preserve"> </w:t>
      </w:r>
      <w:r>
        <w:t xml:space="preserve">: reconfirmer le DN exact du compte de service utilisé (une erreur de casse ou de virgule mal placée dans le DN produit souvent</w:t>
      </w:r>
      <w:r>
        <w:t xml:space="preserve"> </w:t>
      </w:r>
      <w:r>
        <w:t xml:space="preserve">“No such object”</w:t>
      </w:r>
      <w:r>
        <w:t xml:space="preserve"> </w:t>
      </w:r>
      <w:r>
        <w:t xml:space="preserve">plutôt que ce message précis) avant de suspecter le mot de passe lui-même.</w:t>
      </w:r>
    </w:p>
    <w:p>
      <w:pPr>
        <w:pStyle w:val="Compact"/>
        <w:numPr>
          <w:ilvl w:val="0"/>
          <w:numId w:val="1505"/>
        </w:numPr>
      </w:pPr>
      <w:r>
        <w:rPr>
          <w:b/>
          <w:bCs/>
        </w:rPr>
        <w:t xml:space="preserve">Résolution</w:t>
      </w:r>
      <w:r>
        <w:t xml:space="preserve"> </w:t>
      </w:r>
      <w:r>
        <w:t xml:space="preserve">: si le DN est confirmé exact et que le mot de passe semble correct, vérifier que le compte n’est pas verrouillé ou expiré côté Active Directory — un blocage de compte (après plusieurs tentatives échouées, chapitre 4) produit souvent ce même message générique, sans distinction explicite pour ne pas révéler d’information exploitable à un attaquant potentiel.</w:t>
      </w:r>
    </w:p>
    <w:bookmarkEnd w:id="543"/>
    <w:bookmarkStart w:id="544" w:name="X2be0859cf35fb6601967a9d46e5e6041cbee1ea"/>
    <w:p>
      <w:pPr>
        <w:pStyle w:val="Heading2"/>
      </w:pPr>
      <w:r>
        <w:t xml:space="preserve">Atelier — Concevoir la solution d’authentification du scénario d’ouverture</w:t>
      </w:r>
    </w:p>
    <w:p>
      <w:pPr>
        <w:pStyle w:val="FirstParagraph"/>
      </w:pPr>
      <w:r>
        <w:t xml:space="preserve">🛠️ Atelier 22 — Justifier SSSD plutôt qu’OpenLDAP autonome</w:t>
      </w:r>
    </w:p>
    <w:p>
      <w:pPr>
        <w:pStyle w:val="BodyText"/>
      </w:pPr>
      <w:r>
        <w:rPr>
          <w:b/>
          <w:bCs/>
        </w:rPr>
        <w:t xml:space="preserve">Objectif</w:t>
      </w:r>
      <w:r>
        <w:t xml:space="preserve"> </w:t>
      </w:r>
      <w:r>
        <w:t xml:space="preserve">: synthétiser les concepts de ce chapitre pour répondre formellement à la demande du DSI dans le scénario d’ouverture.</w:t>
      </w:r>
    </w:p>
    <w:p>
      <w:pPr>
        <w:pStyle w:val="BodyText"/>
      </w:pPr>
      <w:r>
        <w:rPr>
          <w:b/>
          <w:bCs/>
        </w:rPr>
        <w:t xml:space="preserve">Préparation</w:t>
      </w:r>
      <w:r>
        <w:t xml:space="preserve"> </w:t>
      </w:r>
      <w:r>
        <w:t xml:space="preserve">: aucune installation nécessaire.</w:t>
      </w:r>
    </w:p>
    <w:p>
      <w:pPr>
        <w:pStyle w:val="BodyText"/>
      </w:pPr>
      <w:r>
        <w:rPr>
          <w:b/>
          <w:bCs/>
        </w:rPr>
        <w:t xml:space="preserve">Étapes détaillées</w:t>
      </w:r>
      <w:r>
        <w:t xml:space="preserve"> </w:t>
      </w:r>
      <w:r>
        <w:t xml:space="preserve">:</w:t>
      </w:r>
    </w:p>
    <w:p>
      <w:pPr>
        <w:pStyle w:val="Compact"/>
        <w:numPr>
          <w:ilvl w:val="0"/>
          <w:numId w:val="1506"/>
        </w:numPr>
      </w:pPr>
      <w:r>
        <w:t xml:space="preserve">Rédige une note de 5 à 8 lignes recommandant SSSD plutôt qu’un OpenLDAP autonome pour authentifier le serveur Rocky Linux, en t’appuyant sur les sections 22.4 et 22.5.</w:t>
      </w:r>
    </w:p>
    <w:p>
      <w:pPr>
        <w:pStyle w:val="Compact"/>
        <w:numPr>
          <w:ilvl w:val="0"/>
          <w:numId w:val="1506"/>
        </w:numPr>
      </w:pPr>
      <w:r>
        <w:t xml:space="preserve">Explique un bénéfice concret en termes de sécurité (rejoignant le chapitre 3 sur la gestion des comptes) qu’apporte cette solution par rapport à des comptes locaux créés manuellement sur chaque serveur Linux.</w:t>
      </w:r>
    </w:p>
    <w:p>
      <w:pPr>
        <w:pStyle w:val="Compact"/>
        <w:numPr>
          <w:ilvl w:val="0"/>
          <w:numId w:val="1506"/>
        </w:numPr>
      </w:pPr>
      <w:r>
        <w:t xml:space="preserve">Compare ta note à la section</w:t>
      </w:r>
      <w:r>
        <w:t xml:space="preserve"> </w:t>
      </w:r>
      <w:r>
        <w:t xml:space="preserve">“Résultat attendu”</w:t>
      </w:r>
      <w:r>
        <w:t xml:space="preserve">.</w:t>
      </w:r>
    </w:p>
    <w:p>
      <w:pPr>
        <w:pStyle w:val="FirstParagraph"/>
      </w:pPr>
      <w:r>
        <w:rPr>
          <w:b/>
          <w:bCs/>
        </w:rPr>
        <w:t xml:space="preserve">Résultat attendu</w:t>
      </w:r>
      <w:r>
        <w:t xml:space="preserve"> </w:t>
      </w:r>
      <w:r>
        <w:t xml:space="preserve">: la note recommande SSSD en s’appuyant sur l’existence déjà établie d’Active Directory (Partie 2) comme source unique d’identité de l’entreprise — créer un second annuaire OpenLDAP dupliquerait cette source et introduirait un risque de désynchronisation (section 22.4). Le bénéfice de sécurité central est qu’un compte désactivé dans Active Directory (départ d’un employé) perd immédiatement l’accès à tous les systèmes, Windows et Linux confondus, sans dépendre de la mémoire d’un administrateur pour désactiver manuellement un compte local oublié sur un serveur Linux périphérique — exactement le risque de</w:t>
      </w:r>
      <w:r>
        <w:t xml:space="preserve"> </w:t>
      </w:r>
      <w:r>
        <w:t xml:space="preserve">“compte fantôme”</w:t>
      </w:r>
      <w:r>
        <w:t xml:space="preserve"> </w:t>
      </w:r>
      <w:r>
        <w:t xml:space="preserve">évoqué au chapitre 3.</w:t>
      </w:r>
    </w:p>
    <w:p>
      <w:pPr>
        <w:pStyle w:val="BodyText"/>
      </w:pPr>
      <w:r>
        <w:rPr>
          <w:b/>
          <w:bCs/>
        </w:rPr>
        <w:t xml:space="preserve">Dépannage</w:t>
      </w:r>
      <w:r>
        <w:t xml:space="preserve"> </w:t>
      </w:r>
      <w:r>
        <w:t xml:space="preserve">: si tu hésites entre les deux solutions pour un contexte différent (par exemple une organisation entièrement Linux, sans aucun Active Directory), reviens à la section 22.4 et vérifie si l’un des critères qui justifient OpenLDAP s’applique réellement à ce contexte précis.</w:t>
      </w:r>
    </w:p>
    <w:bookmarkEnd w:id="544"/>
    <w:bookmarkStart w:id="545" w:name="erreurs-fréquentes-21"/>
    <w:p>
      <w:pPr>
        <w:pStyle w:val="Heading2"/>
      </w:pPr>
      <w:r>
        <w:t xml:space="preserve">Erreurs fréquentes</w:t>
      </w:r>
    </w:p>
    <w:p>
      <w:pPr>
        <w:pStyle w:val="FirstParagraph"/>
      </w:pPr>
      <w:r>
        <w:t xml:space="preserve">⚠️ Erreur n°1 — créer un second annuaire d’identité par facilité</w:t>
      </w:r>
      <w:r>
        <w:t xml:space="preserve"> </w:t>
      </w:r>
      <w:r>
        <w:t xml:space="preserve">Exactement le piège du scénario d’ouverture, section 22.4 — dupliquer une source de vérité déjà existante crée un risque de désynchronisation, plutôt que de connecter directement les nouveaux systèmes à l’annuaire déjà en place.</w:t>
      </w:r>
    </w:p>
    <w:p>
      <w:pPr>
        <w:pStyle w:val="BodyText"/>
      </w:pPr>
      <w:r>
        <w:t xml:space="preserve">⚠️ Erreur n°2 — utiliser LDAP en clair (port 389) pour transmettre des identifiants</w:t>
      </w:r>
      <w:r>
        <w:t xml:space="preserve"> </w:t>
      </w:r>
      <w:r>
        <w:t xml:space="preserve">Rappel de la section 22.6 : une pratique qui expose les identifiants à une interception réseau, à corriger systématiquement par LDAPS ou StartTLS.</w:t>
      </w:r>
    </w:p>
    <w:p>
      <w:pPr>
        <w:pStyle w:val="BodyText"/>
      </w:pPr>
      <w:r>
        <w:t xml:space="preserve">⚠️ Erreur n°3 — laisser le bind anonyme actif sans raison justifiée</w:t>
      </w:r>
      <w:r>
        <w:t xml:space="preserve"> </w:t>
      </w:r>
      <w:r>
        <w:t xml:space="preserve">Rappel de la section 22.6 : une configuration par défaut sur certains serveurs LDAP, à vérifier et désactiver systématiquement lors d’un audit de sécurité.</w:t>
      </w:r>
    </w:p>
    <w:bookmarkEnd w:id="545"/>
    <w:bookmarkStart w:id="546" w:name="en-entreprise-21"/>
    <w:p>
      <w:pPr>
        <w:pStyle w:val="Heading2"/>
      </w:pPr>
      <w:r>
        <w:t xml:space="preserve">En entreprise</w:t>
      </w:r>
    </w:p>
    <w:p>
      <w:pPr>
        <w:pStyle w:val="Compact"/>
        <w:numPr>
          <w:ilvl w:val="0"/>
          <w:numId w:val="1507"/>
        </w:numPr>
      </w:pPr>
      <w:r>
        <w:rPr>
          <w:b/>
          <w:bCs/>
        </w:rPr>
        <w:t xml:space="preserve">Bonne pratique répandue</w:t>
      </w:r>
      <w:r>
        <w:t xml:space="preserve"> </w:t>
      </w:r>
      <w:r>
        <w:t xml:space="preserve">: utiliser des comptes de service dédiés, à privilèges strictement limités à la lecture (jamais un compte administrateur), pour toute application ou script interrogeant l’annuaire LDAP — exactement le compte</w:t>
      </w:r>
      <w:r>
        <w:t xml:space="preserve"> </w:t>
      </w:r>
      <w:r>
        <w:rPr>
          <w:rStyle w:val="VerbatimChar"/>
        </w:rPr>
        <w:t xml:space="preserve">compte_lecture</w:t>
      </w:r>
      <w:r>
        <w:t xml:space="preserve"> </w:t>
      </w:r>
      <w:r>
        <w:t xml:space="preserve">de l’exemple</w:t>
      </w:r>
      <w:r>
        <w:t xml:space="preserve"> </w:t>
      </w:r>
      <w:r>
        <w:rPr>
          <w:rStyle w:val="VerbatimChar"/>
        </w:rPr>
        <w:t xml:space="preserve">ldapsearch</w:t>
      </w:r>
      <w:r>
        <w:t xml:space="preserve"> </w:t>
      </w:r>
      <w:r>
        <w:t xml:space="preserve">de la section 22.3.</w:t>
      </w:r>
    </w:p>
    <w:p>
      <w:pPr>
        <w:pStyle w:val="Compact"/>
        <w:numPr>
          <w:ilvl w:val="0"/>
          <w:numId w:val="1507"/>
        </w:numPr>
      </w:pPr>
      <w:r>
        <w:rPr>
          <w:b/>
          <w:bCs/>
        </w:rPr>
        <w:t xml:space="preserve">Bonne pratique répandue</w:t>
      </w:r>
      <w:r>
        <w:t xml:space="preserve"> </w:t>
      </w:r>
      <w:r>
        <w:t xml:space="preserve">: documenter (chapitre 3) la structure de l’annuaire (DN de base, convention de nommage des UO) pour que tout script ou intégration future puisse s’y référer sans deviner.</w:t>
      </w:r>
    </w:p>
    <w:p>
      <w:pPr>
        <w:pStyle w:val="Compact"/>
        <w:numPr>
          <w:ilvl w:val="0"/>
          <w:numId w:val="1507"/>
        </w:numPr>
      </w:pPr>
      <w:r>
        <w:rPr>
          <w:b/>
          <w:bCs/>
        </w:rPr>
        <w:t xml:space="preserve">Erreur classique observée</w:t>
      </w:r>
      <w:r>
        <w:t xml:space="preserve"> </w:t>
      </w:r>
      <w:r>
        <w:t xml:space="preserve">: une intégration LDAP ancienne configurée en clair (port 389) des années auparavant, jamais migrée vers LDAPS/StartTLS, découverte lors d’un audit de sécurité alors qu’elle transmet des identifiants en clair depuis longtemps sans que personne ne s’en soit rendu compte.</w:t>
      </w:r>
    </w:p>
    <w:bookmarkEnd w:id="546"/>
    <w:bookmarkStart w:id="547" w:name="entretien-technique-21"/>
    <w:p>
      <w:pPr>
        <w:pStyle w:val="Heading2"/>
      </w:pPr>
      <w:r>
        <w:t xml:space="preserve">Entretien technique</w:t>
      </w:r>
    </w:p>
    <w:p>
      <w:pPr>
        <w:pStyle w:val="FirstParagraph"/>
      </w:pPr>
      <w:r>
        <w:t xml:space="preserve">💼 Questions fréquemment posées en entretien</w:t>
      </w:r>
    </w:p>
    <w:p>
      <w:pPr>
        <w:pStyle w:val="BodyText"/>
      </w:pPr>
      <w:r>
        <w:rPr>
          <w:b/>
          <w:bCs/>
        </w:rPr>
        <w:t xml:space="preserve">Q1.</w:t>
      </w:r>
      <w:r>
        <w:rPr>
          <w:b/>
          <w:bCs/>
        </w:rPr>
        <w:t xml:space="preserve"> </w:t>
      </w:r>
      <w:r>
        <w:rPr>
          <w:b/>
          <w:bCs/>
        </w:rPr>
        <w:t xml:space="preserve">“Quelle est la relation entre Active Directory et LDAP ?”</w:t>
      </w:r>
      <w:r>
        <w:t xml:space="preserve"> </w:t>
      </w:r>
      <w:r>
        <w:t xml:space="preserve">Réponse attendue : Active Directory est construit par-dessus LDAP (et Kerberos) — c’est littéralement un serveur LDAP, avec des fonctionnalités additionnelles propriétaires de Microsoft (GPO, rôles FSMO). Toute la structure d’objets et d’UO d’Active Directory est interrogeable directement via des outils LDAP standards comme</w:t>
      </w:r>
      <w:r>
        <w:t xml:space="preserve"> </w:t>
      </w:r>
      <w:r>
        <w:rPr>
          <w:rStyle w:val="VerbatimChar"/>
        </w:rPr>
        <w:t xml:space="preserve">ldapsearch</w:t>
      </w:r>
      <w:r>
        <w:t xml:space="preserve">.</w:t>
      </w:r>
    </w:p>
    <w:p>
      <w:pPr>
        <w:pStyle w:val="BodyText"/>
      </w:pPr>
      <w:r>
        <w:rPr>
          <w:b/>
          <w:bCs/>
        </w:rPr>
        <w:t xml:space="preserve">Q2.</w:t>
      </w:r>
      <w:r>
        <w:rPr>
          <w:b/>
          <w:bCs/>
        </w:rPr>
        <w:t xml:space="preserve"> </w:t>
      </w:r>
      <w:r>
        <w:rPr>
          <w:b/>
          <w:bCs/>
        </w:rPr>
        <w:t xml:space="preserve">“Qu’est-ce qu’un DN (Distinguished Name) en LDAP ?”</w:t>
      </w:r>
      <w:r>
        <w:t xml:space="preserve"> </w:t>
      </w:r>
      <w:r>
        <w:t xml:space="preserve">Réponse attendue : l’identifiant unique complet d’une entrée dans l’annuaire, construit hiérarchiquement du plus spécifique (souvent un CN) au plus général (les composants de domaine, DC), séparés par des virgules — l’équivalent d’une adresse complète permettant de localiser précisément une entrée dans l’arborescence de l’annuaire.</w:t>
      </w:r>
    </w:p>
    <w:p>
      <w:pPr>
        <w:pStyle w:val="BodyText"/>
      </w:pPr>
      <w:r>
        <w:rPr>
          <w:b/>
          <w:bCs/>
        </w:rPr>
        <w:t xml:space="preserve">Q3.</w:t>
      </w:r>
      <w:r>
        <w:rPr>
          <w:b/>
          <w:bCs/>
        </w:rPr>
        <w:t xml:space="preserve"> </w:t>
      </w:r>
      <w:r>
        <w:rPr>
          <w:b/>
          <w:bCs/>
        </w:rPr>
        <w:t xml:space="preserve">“Comment ferais-tu authentifier un serveur Linux contre un Active Directory existant, sans créer de comptes locaux ?”</w:t>
      </w:r>
      <w:r>
        <w:t xml:space="preserve"> </w:t>
      </w:r>
      <w:r>
        <w:t xml:space="preserve">Réponse attendue : via SSSD (et</w:t>
      </w:r>
      <w:r>
        <w:t xml:space="preserve"> </w:t>
      </w:r>
      <w:r>
        <w:rPr>
          <w:rStyle w:val="VerbatimChar"/>
        </w:rPr>
        <w:t xml:space="preserve">realmd</w:t>
      </w:r>
      <w:r>
        <w:t xml:space="preserve"> </w:t>
      </w:r>
      <w:r>
        <w:t xml:space="preserve">pour rejoindre le domaine), qui permet à un serveur Linux de s’authentifier directement contre Active Directory par LDAP/Kerberos — évitant la duplication de comptes et garantissant qu’un compte désactivé côté Active Directory perd immédiatement l’accès partout, Linux compris.</w:t>
      </w:r>
    </w:p>
    <w:bookmarkEnd w:id="547"/>
    <w:bookmarkStart w:id="548" w:name="X301465e3090f239a1ddc23d89c07dd21a0a111a"/>
    <w:p>
      <w:pPr>
        <w:pStyle w:val="Heading2"/>
      </w:pPr>
      <w:r>
        <w:t xml:space="preserve">Optimisation, sécurité et maintenabilité — les réflexes dès ce chapitre</w:t>
      </w:r>
    </w:p>
    <w:p>
      <w:pPr>
        <w:pStyle w:val="FirstParagraph"/>
      </w:pPr>
      <w:r>
        <w:t xml:space="preserve">🔒 Sécurité</w:t>
      </w:r>
      <w:r>
        <w:t xml:space="preserve"> </w:t>
      </w:r>
      <w:r>
        <w:t xml:space="preserve">N’utilise jamais LDAP en clair (port 389 sans StartTLS) pour transmettre des identifiants — LDAPS ou StartTLS doivent être la norme systématique, jamais une amélioration reportée à plus tard.</w:t>
      </w:r>
    </w:p>
    <w:p>
      <w:pPr>
        <w:pStyle w:val="BodyText"/>
      </w:pPr>
      <w:r>
        <w:t xml:space="preserve">✅ Maintenabilité</w:t>
      </w:r>
      <w:r>
        <w:t xml:space="preserve"> </w:t>
      </w:r>
      <w:r>
        <w:t xml:space="preserve">Privilégie toujours une source d’identité unique et centralisée (section 22.5) plutôt que de multiplier les annuaires — chaque nouvel annuaire créé est une nouvelle source à synchroniser, à sécuriser et à auditer séparément, un coût de maintenance qui s’accumule silencieusement.</w:t>
      </w:r>
    </w:p>
    <w:p>
      <w:pPr>
        <w:pStyle w:val="BodyText"/>
      </w:pPr>
      <w:r>
        <w:t xml:space="preserve">🚀 Performance</w:t>
      </w:r>
      <w:r>
        <w:t xml:space="preserve"> </w:t>
      </w:r>
      <w:r>
        <w:t xml:space="preserve">Restreins la base de recherche (</w:t>
      </w:r>
      <w:r>
        <w:rPr>
          <w:rStyle w:val="VerbatimChar"/>
        </w:rPr>
        <w:t xml:space="preserve">-b</w:t>
      </w:r>
      <w:r>
        <w:t xml:space="preserve">) de toute requête LDAP au périmètre réellement nécessaire (comme l’UO Comptabilité de l’exemple de la section 22.3), plutôt que d’interroger systématiquement l’annuaire entier — une pratique qui réduit la charge sur les contrôleurs de domaine, particulièrement sensible sur le lien inter-sites plus lent du chapitre 6.</w:t>
      </w:r>
    </w:p>
    <w:bookmarkEnd w:id="548"/>
    <w:bookmarkStart w:id="549" w:name="résumé-du-chapitre-21"/>
    <w:p>
      <w:pPr>
        <w:pStyle w:val="Heading2"/>
      </w:pPr>
      <w:r>
        <w:t xml:space="preserve">Résumé du chapitre</w:t>
      </w:r>
    </w:p>
    <w:p>
      <w:pPr>
        <w:pStyle w:val="Compact"/>
        <w:numPr>
          <w:ilvl w:val="0"/>
          <w:numId w:val="1508"/>
        </w:numPr>
      </w:pPr>
      <w:r>
        <w:t xml:space="preserve">Active Directory est construit par-dessus LDAP — comprendre LDAP directement éclaire rétrospectivement une bonne partie du fonctionnement d’Active Directory déjà vu en Partie 2.</w:t>
      </w:r>
    </w:p>
    <w:p>
      <w:pPr>
        <w:pStyle w:val="Compact"/>
        <w:numPr>
          <w:ilvl w:val="0"/>
          <w:numId w:val="1508"/>
        </w:numPr>
      </w:pPr>
      <w:r>
        <w:t xml:space="preserve">Un DN identifie de façon unique une entrée dans l’arborescence LDAP ; le schéma (objectClass, attributs) définit sa structure possible.</w:t>
      </w:r>
    </w:p>
    <w:p>
      <w:pPr>
        <w:pStyle w:val="Compact"/>
        <w:numPr>
          <w:ilvl w:val="0"/>
          <w:numId w:val="1508"/>
        </w:numPr>
      </w:pPr>
      <w:r>
        <w:rPr>
          <w:rStyle w:val="VerbatimChar"/>
        </w:rPr>
        <w:t xml:space="preserve">ldapsearch</w:t>
      </w:r>
      <w:r>
        <w:t xml:space="preserve"> </w:t>
      </w:r>
      <w:r>
        <w:t xml:space="preserve">permet d’interroger n’importe quel annuaire LDAP, y compris Active Directory, indépendamment des outils Windows habituels.</w:t>
      </w:r>
    </w:p>
    <w:p>
      <w:pPr>
        <w:pStyle w:val="Compact"/>
        <w:numPr>
          <w:ilvl w:val="0"/>
          <w:numId w:val="1508"/>
        </w:numPr>
      </w:pPr>
      <w:r>
        <w:t xml:space="preserve">OpenLDAP a du sens pour une organisation sans Active Directory existant ou un besoin d’annuaire applicatif isolé — pas pour dupliquer un annuaire d’entreprise déjà en place.</w:t>
      </w:r>
    </w:p>
    <w:p>
      <w:pPr>
        <w:pStyle w:val="Compact"/>
        <w:numPr>
          <w:ilvl w:val="0"/>
          <w:numId w:val="1508"/>
        </w:numPr>
      </w:pPr>
      <w:r>
        <w:t xml:space="preserve">SSSD permet à un serveur Linux de s’authentifier directement contre Active Directory, évitant la duplication de comptes et centralisant la désactivation d’accès.</w:t>
      </w:r>
    </w:p>
    <w:p>
      <w:pPr>
        <w:pStyle w:val="Compact"/>
        <w:numPr>
          <w:ilvl w:val="0"/>
          <w:numId w:val="1508"/>
        </w:numPr>
      </w:pPr>
      <w:r>
        <w:t xml:space="preserve">LDAP doit toujours être chiffré (LDAPS ou StartTLS) ; le bind anonyme doit être désactivé sauf besoin justifié.</w:t>
      </w:r>
    </w:p>
    <w:bookmarkEnd w:id="549"/>
    <w:bookmarkStart w:id="550" w:name="quiz-21"/>
    <w:p>
      <w:pPr>
        <w:pStyle w:val="Heading2"/>
      </w:pPr>
      <w:r>
        <w:t xml:space="preserve">Quiz</w:t>
      </w:r>
    </w:p>
    <w:p>
      <w:pPr>
        <w:pStyle w:val="FirstParagraph"/>
      </w:pPr>
      <w:r>
        <w:t xml:space="preserve">📝 QCM (une seule bonne réponse par question)</w:t>
      </w:r>
    </w:p>
    <w:p>
      <w:pPr>
        <w:pStyle w:val="Compact"/>
        <w:numPr>
          <w:ilvl w:val="0"/>
          <w:numId w:val="1509"/>
        </w:numPr>
      </w:pPr>
      <w:r>
        <w:t xml:space="preserve">Active Directory est :</w:t>
      </w:r>
    </w:p>
    <w:p>
      <w:pPr>
        <w:pStyle w:val="Compact"/>
        <w:numPr>
          <w:ilvl w:val="1"/>
          <w:numId w:val="1510"/>
        </w:numPr>
      </w:pPr>
    </w:p>
    <w:p>
      <w:pPr>
        <w:pStyle w:val="Compact"/>
        <w:numPr>
          <w:ilvl w:val="2"/>
          <w:numId w:val="1511"/>
        </w:numPr>
      </w:pPr>
      <w:r>
        <w:t xml:space="preserve">Totalement indépendant de LDAP</w:t>
      </w:r>
    </w:p>
    <w:p>
      <w:pPr>
        <w:pStyle w:val="Compact"/>
        <w:numPr>
          <w:ilvl w:val="1"/>
          <w:numId w:val="1510"/>
        </w:numPr>
      </w:pPr>
    </w:p>
    <w:p>
      <w:pPr>
        <w:pStyle w:val="Compact"/>
        <w:numPr>
          <w:ilvl w:val="2"/>
          <w:numId w:val="1512"/>
        </w:numPr>
      </w:pPr>
      <w:r>
        <w:t xml:space="preserve">Construit par-dessus LDAP et Kerberos</w:t>
      </w:r>
    </w:p>
    <w:p>
      <w:pPr>
        <w:pStyle w:val="Compact"/>
        <w:numPr>
          <w:ilvl w:val="1"/>
          <w:numId w:val="1510"/>
        </w:numPr>
      </w:pPr>
    </w:p>
    <w:p>
      <w:pPr>
        <w:pStyle w:val="Compact"/>
        <w:numPr>
          <w:ilvl w:val="2"/>
          <w:numId w:val="1513"/>
        </w:numPr>
      </w:pPr>
      <w:r>
        <w:t xml:space="preserve">Une alternative concurrente à LDAP</w:t>
      </w:r>
    </w:p>
    <w:p>
      <w:pPr>
        <w:pStyle w:val="Compact"/>
        <w:numPr>
          <w:ilvl w:val="1"/>
          <w:numId w:val="1510"/>
        </w:numPr>
      </w:pPr>
    </w:p>
    <w:p>
      <w:pPr>
        <w:pStyle w:val="Compact"/>
        <w:numPr>
          <w:ilvl w:val="2"/>
          <w:numId w:val="1514"/>
        </w:numPr>
      </w:pPr>
      <w:r>
        <w:t xml:space="preserve">Une version obsolète de LDAP</w:t>
      </w:r>
    </w:p>
    <w:p>
      <w:pPr>
        <w:pStyle w:val="Compact"/>
        <w:numPr>
          <w:ilvl w:val="0"/>
          <w:numId w:val="1509"/>
        </w:numPr>
      </w:pPr>
      <w:r>
        <w:t xml:space="preserve">Le DN</w:t>
      </w:r>
      <w:r>
        <w:t xml:space="preserve"> </w:t>
      </w:r>
      <w:r>
        <w:rPr>
          <w:rStyle w:val="VerbatimChar"/>
        </w:rPr>
        <w:t xml:space="preserve">cn=Marie,ou=RH,dc=exemple,dc=local</w:t>
      </w:r>
      <w:r>
        <w:t xml:space="preserve"> </w:t>
      </w:r>
      <w:r>
        <w:t xml:space="preserve">se lit :</w:t>
      </w:r>
    </w:p>
    <w:p>
      <w:pPr>
        <w:pStyle w:val="Compact"/>
        <w:numPr>
          <w:ilvl w:val="1"/>
          <w:numId w:val="1515"/>
        </w:numPr>
      </w:pPr>
    </w:p>
    <w:p>
      <w:pPr>
        <w:pStyle w:val="Compact"/>
        <w:numPr>
          <w:ilvl w:val="2"/>
          <w:numId w:val="1516"/>
        </w:numPr>
      </w:pPr>
      <w:r>
        <w:t xml:space="preserve">Du plus général au plus spécifique</w:t>
      </w:r>
    </w:p>
    <w:p>
      <w:pPr>
        <w:pStyle w:val="Compact"/>
        <w:numPr>
          <w:ilvl w:val="1"/>
          <w:numId w:val="1515"/>
        </w:numPr>
      </w:pPr>
    </w:p>
    <w:p>
      <w:pPr>
        <w:pStyle w:val="Compact"/>
        <w:numPr>
          <w:ilvl w:val="2"/>
          <w:numId w:val="1517"/>
        </w:numPr>
      </w:pPr>
      <w:r>
        <w:t xml:space="preserve">Du plus spécifique (Marie) au plus général (le domaine)</w:t>
      </w:r>
    </w:p>
    <w:p>
      <w:pPr>
        <w:pStyle w:val="Compact"/>
        <w:numPr>
          <w:ilvl w:val="1"/>
          <w:numId w:val="1515"/>
        </w:numPr>
      </w:pPr>
    </w:p>
    <w:p>
      <w:pPr>
        <w:pStyle w:val="Compact"/>
        <w:numPr>
          <w:ilvl w:val="2"/>
          <w:numId w:val="1518"/>
        </w:numPr>
      </w:pPr>
      <w:r>
        <w:t xml:space="preserve">Dans un ordre aléatoire sans hiérarchie</w:t>
      </w:r>
    </w:p>
    <w:p>
      <w:pPr>
        <w:pStyle w:val="Compact"/>
        <w:numPr>
          <w:ilvl w:val="1"/>
          <w:numId w:val="1515"/>
        </w:numPr>
      </w:pPr>
    </w:p>
    <w:p>
      <w:pPr>
        <w:pStyle w:val="Compact"/>
        <w:numPr>
          <w:ilvl w:val="2"/>
          <w:numId w:val="1519"/>
        </w:numPr>
      </w:pPr>
      <w:r>
        <w:t xml:space="preserve">Uniquement de gauche à droite sans signification</w:t>
      </w:r>
    </w:p>
    <w:p>
      <w:pPr>
        <w:pStyle w:val="Compact"/>
        <w:numPr>
          <w:ilvl w:val="0"/>
          <w:numId w:val="1509"/>
        </w:numPr>
      </w:pPr>
      <w:r>
        <w:t xml:space="preserve">SSSD permet principalement de :</w:t>
      </w:r>
    </w:p>
    <w:p>
      <w:pPr>
        <w:pStyle w:val="Compact"/>
        <w:numPr>
          <w:ilvl w:val="1"/>
          <w:numId w:val="1520"/>
        </w:numPr>
      </w:pPr>
    </w:p>
    <w:p>
      <w:pPr>
        <w:pStyle w:val="Compact"/>
        <w:numPr>
          <w:ilvl w:val="2"/>
          <w:numId w:val="1521"/>
        </w:numPr>
      </w:pPr>
      <w:r>
        <w:t xml:space="preserve">Créer des comptes locaux automatiquement sur chaque serveur</w:t>
      </w:r>
    </w:p>
    <w:p>
      <w:pPr>
        <w:pStyle w:val="Compact"/>
        <w:numPr>
          <w:ilvl w:val="1"/>
          <w:numId w:val="1520"/>
        </w:numPr>
      </w:pPr>
    </w:p>
    <w:p>
      <w:pPr>
        <w:pStyle w:val="Compact"/>
        <w:numPr>
          <w:ilvl w:val="2"/>
          <w:numId w:val="1522"/>
        </w:numPr>
      </w:pPr>
      <w:r>
        <w:t xml:space="preserve">Authentifier un serveur Linux directement contre un annuaire externe comme Active Directory</w:t>
      </w:r>
    </w:p>
    <w:p>
      <w:pPr>
        <w:pStyle w:val="Compact"/>
        <w:numPr>
          <w:ilvl w:val="1"/>
          <w:numId w:val="1520"/>
        </w:numPr>
      </w:pPr>
    </w:p>
    <w:p>
      <w:pPr>
        <w:pStyle w:val="Compact"/>
        <w:numPr>
          <w:ilvl w:val="2"/>
          <w:numId w:val="1523"/>
        </w:numPr>
      </w:pPr>
      <w:r>
        <w:t xml:space="preserve">Remplacer entièrement Active Directory</w:t>
      </w:r>
    </w:p>
    <w:p>
      <w:pPr>
        <w:pStyle w:val="Compact"/>
        <w:numPr>
          <w:ilvl w:val="1"/>
          <w:numId w:val="1520"/>
        </w:numPr>
      </w:pPr>
    </w:p>
    <w:p>
      <w:pPr>
        <w:pStyle w:val="Compact"/>
        <w:numPr>
          <w:ilvl w:val="2"/>
          <w:numId w:val="1524"/>
        </w:numPr>
      </w:pPr>
      <w:r>
        <w:t xml:space="preserve">Chiffrer uniquement les mots de passe locaux</w:t>
      </w:r>
    </w:p>
    <w:p>
      <w:pPr>
        <w:pStyle w:val="FirstParagraph"/>
      </w:pPr>
      <w:r>
        <w:rPr>
          <w:b/>
          <w:bCs/>
        </w:rPr>
        <w:t xml:space="preserve">Corrigé</w:t>
      </w:r>
      <w:r>
        <w:t xml:space="preserve"> </w:t>
      </w:r>
      <w:r>
        <w:t xml:space="preserve">: 1-b, 2-b, 3-b.</w:t>
      </w:r>
    </w:p>
    <w:p>
      <w:pPr>
        <w:pStyle w:val="BodyText"/>
      </w:pPr>
      <w:r>
        <w:t xml:space="preserve">📝 Vrai ou Faux</w:t>
      </w:r>
    </w:p>
    <w:p>
      <w:pPr>
        <w:pStyle w:val="Compact"/>
        <w:numPr>
          <w:ilvl w:val="0"/>
          <w:numId w:val="1525"/>
        </w:numPr>
      </w:pPr>
      <w:r>
        <w:t xml:space="preserve">LDAP sur le port 389 standard transmet les données, y compris les identifiants, en clair par défaut. —</w:t>
      </w:r>
      <w:r>
        <w:t xml:space="preserve"> </w:t>
      </w:r>
      <w:r>
        <w:rPr>
          <w:b/>
          <w:bCs/>
        </w:rPr>
        <w:t xml:space="preserve">Vrai</w:t>
      </w:r>
      <w:r>
        <w:t xml:space="preserve">.</w:t>
      </w:r>
    </w:p>
    <w:p>
      <w:pPr>
        <w:pStyle w:val="Compact"/>
        <w:numPr>
          <w:ilvl w:val="0"/>
          <w:numId w:val="1525"/>
        </w:numPr>
      </w:pPr>
      <w:r>
        <w:t xml:space="preserve">Créer un annuaire OpenLDAP séparé est toujours préférable à connecter des serveurs Linux à un Active Directory déjà existant. —</w:t>
      </w:r>
      <w:r>
        <w:t xml:space="preserve"> </w:t>
      </w:r>
      <w:r>
        <w:rPr>
          <w:b/>
          <w:bCs/>
        </w:rPr>
        <w:t xml:space="preserve">Faux</w:t>
      </w:r>
      <w:r>
        <w:t xml:space="preserve"> </w:t>
      </w:r>
      <w:r>
        <w:t xml:space="preserve">(dupliquer une source de vérité existante crée un risque de désynchronisation, section 22.4).</w:t>
      </w:r>
    </w:p>
    <w:p>
      <w:pPr>
        <w:pStyle w:val="Compact"/>
        <w:numPr>
          <w:ilvl w:val="0"/>
          <w:numId w:val="1525"/>
        </w:numPr>
      </w:pPr>
      <w:r>
        <w:rPr>
          <w:rStyle w:val="VerbatimChar"/>
        </w:rPr>
        <w:t xml:space="preserve">ldapsearch</w:t>
      </w:r>
      <w:r>
        <w:t xml:space="preserve"> </w:t>
      </w:r>
      <w:r>
        <w:t xml:space="preserve">peut être utilisé pour interroger un Active Directory, pas seulement un serveur OpenLDAP. —</w:t>
      </w:r>
      <w:r>
        <w:t xml:space="preserve"> </w:t>
      </w:r>
      <w:r>
        <w:rPr>
          <w:b/>
          <w:bCs/>
        </w:rPr>
        <w:t xml:space="preserve">Vrai</w:t>
      </w:r>
      <w:r>
        <w:t xml:space="preserve">.</w:t>
      </w:r>
    </w:p>
    <w:p>
      <w:pPr>
        <w:pStyle w:val="Compact"/>
        <w:numPr>
          <w:ilvl w:val="0"/>
          <w:numId w:val="1525"/>
        </w:numPr>
      </w:pPr>
      <w:r>
        <w:t xml:space="preserve">Le bind anonyme LDAP devrait rester activé par défaut sur tout annuaire de production. —</w:t>
      </w:r>
      <w:r>
        <w:t xml:space="preserve"> </w:t>
      </w:r>
      <w:r>
        <w:rPr>
          <w:b/>
          <w:bCs/>
        </w:rPr>
        <w:t xml:space="preserve">Faux</w:t>
      </w:r>
      <w:r>
        <w:t xml:space="preserve"> </w:t>
      </w:r>
      <w:r>
        <w:t xml:space="preserve">(à désactiver sauf besoin justifié, section 22.6).</w:t>
      </w:r>
    </w:p>
    <w:p>
      <w:pPr>
        <w:pStyle w:val="FirstParagraph"/>
      </w:pPr>
      <w:r>
        <w:t xml:space="preserve">📝 Questions ouvertes</w:t>
      </w:r>
    </w:p>
    <w:p>
      <w:pPr>
        <w:pStyle w:val="Compact"/>
        <w:numPr>
          <w:ilvl w:val="0"/>
          <w:numId w:val="1526"/>
        </w:numPr>
      </w:pPr>
      <w:r>
        <w:t xml:space="preserve">Explique pourquoi comprendre LDAP directement aide à mieux comprendre Active Directory, plutôt que de le traiter comme deux sujets totalement séparés.</w:t>
      </w:r>
    </w:p>
    <w:p>
      <w:pPr>
        <w:pStyle w:val="Compact"/>
        <w:numPr>
          <w:ilvl w:val="0"/>
          <w:numId w:val="1526"/>
        </w:numPr>
      </w:pPr>
      <w:r>
        <w:t xml:space="preserve">Reprends le scénario d’ouverture. Explique pourquoi la solution SSSD répond mieux à l’esprit de la discipline de gestion des comptes du chapitre 3 qu’une création manuelle de comptes locaux sur chaque serveur Linux.</w:t>
      </w:r>
    </w:p>
    <w:p>
      <w:pPr>
        <w:pStyle w:val="FirstParagraph"/>
      </w:pPr>
      <w:r>
        <w:rPr>
          <w:b/>
          <w:bCs/>
        </w:rPr>
        <w:t xml:space="preserve">Corrigé 1</w:t>
      </w:r>
      <w:r>
        <w:t xml:space="preserve"> </w:t>
      </w:r>
      <w:r>
        <w:t xml:space="preserve">: Active Directory étant littéralement construit par-dessus LDAP, une bonne partie de sa structure (DN, UO, attributs) et de son comportement (comment un objet est localisé et interrogé) s’explique directement par les mécanismes LDAP sous-jacents, plutôt que par des règles propriétaires arbitraires de Microsoft. Comprendre LDAP en profondeur permet donc de raisonner sur Active Directory avec une compréhension plus fondamentale, transférable aussi à d’autres systèmes utilisant LDAP indépendamment de Windows.</w:t>
      </w:r>
    </w:p>
    <w:p>
      <w:pPr>
        <w:pStyle w:val="BodyText"/>
      </w:pPr>
      <w:r>
        <w:rPr>
          <w:b/>
          <w:bCs/>
        </w:rPr>
        <w:t xml:space="preserve">Corrigé 2</w:t>
      </w:r>
      <w:r>
        <w:t xml:space="preserve"> </w:t>
      </w:r>
      <w:r>
        <w:t xml:space="preserve">: la discipline du chapitre 3 insiste sur une source de vérité unique et fiable pour l’inventaire et les comptes — des comptes locaux créés manuellement sur chaque serveur Linux créeraient autant de sources distinctes à maintenir et à désactiver individuellement lors d’un départ d’employé, un risque direct de</w:t>
      </w:r>
      <w:r>
        <w:t xml:space="preserve"> </w:t>
      </w:r>
      <w:r>
        <w:t xml:space="preserve">“compte fantôme”</w:t>
      </w:r>
      <w:r>
        <w:t xml:space="preserve"> </w:t>
      </w:r>
      <w:r>
        <w:t xml:space="preserve">oublié. SSSD, en connectant directement les serveurs Linux à Active Directory, préserve cette source de vérité unique : désactiver un compte dans Active Directory suffit à révoquer l’accès partout, sans dépendre de la mémoire d’un administrateur pour répéter cette action sur chaque serveur Linux individuellement.</w:t>
      </w:r>
    </w:p>
    <w:bookmarkEnd w:id="550"/>
    <w:bookmarkStart w:id="551" w:name="exercices-21"/>
    <w:p>
      <w:pPr>
        <w:pStyle w:val="Heading2"/>
      </w:pPr>
      <w:r>
        <w:t xml:space="preserve">Exercices</w:t>
      </w:r>
    </w:p>
    <w:p>
      <w:pPr>
        <w:pStyle w:val="FirstParagraph"/>
      </w:pPr>
      <w:r>
        <w:t xml:space="preserve">📝 Exercice 22.1</w:t>
      </w:r>
    </w:p>
    <w:p>
      <w:pPr>
        <w:pStyle w:val="BodyText"/>
      </w:pPr>
      <w:r>
        <w:t xml:space="preserve">Décompose le DN suivant en identifiant chacun de ses composants et ce qu’ils représentent :</w:t>
      </w:r>
      <w:r>
        <w:t xml:space="preserve"> </w:t>
      </w:r>
      <w:r>
        <w:rPr>
          <w:rStyle w:val="VerbatimChar"/>
        </w:rPr>
        <w:t xml:space="preserve">cn=Sophie Pierre,ou=Sinistres,ou=Cap-Haitien,dc=assuranceht,dc=local</w:t>
      </w:r>
      <w:r>
        <w:t xml:space="preserve">.</w:t>
      </w:r>
    </w:p>
    <w:p>
      <w:pPr>
        <w:pStyle w:val="BodyText"/>
      </w:pPr>
      <w:r>
        <w:rPr>
          <w:b/>
          <w:bCs/>
        </w:rPr>
        <w:t xml:space="preserve">Corrigé :</w:t>
      </w:r>
      <w:r>
        <w:t xml:space="preserve"> </w:t>
      </w:r>
      <w:r>
        <w:rPr>
          <w:rStyle w:val="VerbatimChar"/>
        </w:rPr>
        <w:t xml:space="preserve">dc=assuranceht,dc=local</w:t>
      </w:r>
      <w:r>
        <w:t xml:space="preserve"> </w:t>
      </w:r>
      <w:r>
        <w:t xml:space="preserve">représente le domaine</w:t>
      </w:r>
      <w:r>
        <w:t xml:space="preserve"> </w:t>
      </w:r>
      <w:r>
        <w:rPr>
          <w:rStyle w:val="VerbatimChar"/>
        </w:rPr>
        <w:t xml:space="preserve">assuranceht.local</w:t>
      </w:r>
      <w:r>
        <w:t xml:space="preserve"> </w:t>
      </w:r>
      <w:r>
        <w:t xml:space="preserve">(chapitre 5).</w:t>
      </w:r>
      <w:r>
        <w:t xml:space="preserve"> </w:t>
      </w:r>
      <w:r>
        <w:rPr>
          <w:rStyle w:val="VerbatimChar"/>
        </w:rPr>
        <w:t xml:space="preserve">ou=Cap-Haitien</w:t>
      </w:r>
      <w:r>
        <w:t xml:space="preserve"> </w:t>
      </w:r>
      <w:r>
        <w:t xml:space="preserve">représente une unité d’organisation de premier niveau, probablement liée au site du Cap-Haïtien (rappel du chapitre 5 sur l’architecture à deux sites).</w:t>
      </w:r>
      <w:r>
        <w:t xml:space="preserve"> </w:t>
      </w:r>
      <w:r>
        <w:rPr>
          <w:rStyle w:val="VerbatimChar"/>
        </w:rPr>
        <w:t xml:space="preserve">ou=Sinistres</w:t>
      </w:r>
      <w:r>
        <w:t xml:space="preserve"> </w:t>
      </w:r>
      <w:r>
        <w:t xml:space="preserve">représente une unité d’organisation imbriquée à l’intérieur de celle-ci, probablement le service concerné.</w:t>
      </w:r>
      <w:r>
        <w:t xml:space="preserve"> </w:t>
      </w:r>
      <w:r>
        <w:rPr>
          <w:rStyle w:val="VerbatimChar"/>
        </w:rPr>
        <w:t xml:space="preserve">cn=Sophie Pierre</w:t>
      </w:r>
      <w:r>
        <w:t xml:space="preserve"> </w:t>
      </w:r>
      <w:r>
        <w:t xml:space="preserve">identifie l’entrée précise (l’utilisatrice Sophie Pierre) à l’intérieur de cette structure hiérarchique complète.</w:t>
      </w:r>
    </w:p>
    <w:p>
      <w:pPr>
        <w:pStyle w:val="BodyText"/>
      </w:pPr>
      <w:r>
        <w:t xml:space="preserve">📝 Exercice 22.2</w:t>
      </w:r>
    </w:p>
    <w:p>
      <w:pPr>
        <w:pStyle w:val="BodyText"/>
      </w:pPr>
      <w:r>
        <w:t xml:space="preserve">Rédige, en 3 à 5 phrases, pourquoi un compte de service utilisé pour des requêtes</w:t>
      </w:r>
      <w:r>
        <w:t xml:space="preserve"> </w:t>
      </w:r>
      <w:r>
        <w:rPr>
          <w:rStyle w:val="VerbatimChar"/>
        </w:rPr>
        <w:t xml:space="preserve">ldapsearch</w:t>
      </w:r>
      <w:r>
        <w:t xml:space="preserve"> </w:t>
      </w:r>
      <w:r>
        <w:t xml:space="preserve">automatisées (comme dans un script de supervision) ne devrait jamais être un compte administrateur du domaine.</w:t>
      </w:r>
    </w:p>
    <w:p>
      <w:pPr>
        <w:pStyle w:val="BodyText"/>
      </w:pPr>
      <w:r>
        <w:rPr>
          <w:b/>
          <w:bCs/>
        </w:rPr>
        <w:t xml:space="preserve">Corrigé (exemple de réponse) :</w:t>
      </w:r>
      <w:r>
        <w:t xml:space="preserve"> </w:t>
      </w:r>
      <w:r>
        <w:t xml:space="preserve">Un compte de service utilisé uniquement pour lire l’annuaire (rechercher des utilisateurs, vérifier des attributs) n’a besoin que de droits de lecture, jamais de droits d’écriture ni d’administration — lui accorder des privilèges administrateur du domaine violerait directement le principe du moindre privilège du chapitre 1. Si ce compte de service est compromis (par exemple, ses identifiants exposés dans un script mal sécurisé, chapitre 20), un attaquant obtiendrait un accès disproportionné par rapport au besoin réel du script, transformant un incident mineur potentiel en compromission majeure de tout le domaine Active Directory.</w:t>
      </w:r>
    </w:p>
    <w:bookmarkEnd w:id="551"/>
    <w:bookmarkStart w:id="552" w:name="checklist-de-fin-de-chapitre-21"/>
    <w:p>
      <w:pPr>
        <w:pStyle w:val="Heading2"/>
      </w:pPr>
      <w:r>
        <w:t xml:space="preserve">Checklist de fin de chapitre</w:t>
      </w:r>
    </w:p>
    <w:p>
      <w:pPr>
        <w:pStyle w:val="FirstParagraph"/>
      </w:pPr>
      <w:r>
        <w:t xml:space="preserve">☐ Je comprends qu’Active Directory est construit par-dessus LDAP, pas un système totalement séparé.</w:t>
      </w:r>
    </w:p>
    <w:p>
      <w:pPr>
        <w:pStyle w:val="BodyText"/>
      </w:pPr>
      <w:r>
        <w:t xml:space="preserve">☐ Je sais lire et décomposer un DN LDAP.</w:t>
      </w:r>
    </w:p>
    <w:p>
      <w:pPr>
        <w:pStyle w:val="BodyText"/>
      </w:pPr>
      <w:r>
        <w:t xml:space="preserve">☐ Je sais utiliser</w:t>
      </w:r>
      <w:r>
        <w:t xml:space="preserve"> </w:t>
      </w:r>
      <w:r>
        <w:rPr>
          <w:rStyle w:val="VerbatimChar"/>
        </w:rPr>
        <w:t xml:space="preserve">ldapsearch</w:t>
      </w:r>
      <w:r>
        <w:t xml:space="preserve"> </w:t>
      </w:r>
      <w:r>
        <w:t xml:space="preserve">pour interroger un annuaire LDAP, y compris Active Directory.</w:t>
      </w:r>
    </w:p>
    <w:p>
      <w:pPr>
        <w:pStyle w:val="BodyText"/>
      </w:pPr>
      <w:r>
        <w:t xml:space="preserve">☐ Je sais quand un annuaire OpenLDAP autonome a du sens, et quand il ne l’a pas.</w:t>
      </w:r>
    </w:p>
    <w:p>
      <w:pPr>
        <w:pStyle w:val="BodyText"/>
      </w:pPr>
      <w:r>
        <w:t xml:space="preserve">☐ Je comprends le rôle de SSSD pour authentifier un serveur Linux contre Active Directory.</w:t>
      </w:r>
    </w:p>
    <w:p>
      <w:pPr>
        <w:pStyle w:val="BodyText"/>
      </w:pPr>
      <w:r>
        <w:t xml:space="preserve">☐ Je sais pourquoi LDAP doit toujours être chiffré (LDAPS/StartTLS) et le bind anonyme désactivé.</w:t>
      </w:r>
    </w:p>
    <w:bookmarkEnd w:id="552"/>
    <w:bookmarkStart w:id="553" w:name="faq-21"/>
    <w:p>
      <w:pPr>
        <w:pStyle w:val="Heading2"/>
      </w:pPr>
      <w:r>
        <w:t xml:space="preserve">FAQ</w:t>
      </w:r>
    </w:p>
    <w:p>
      <w:pPr>
        <w:pStyle w:val="FirstParagraph"/>
      </w:pPr>
      <w:r>
        <w:t xml:space="preserve">Faut-il connaître LDAP pour administrer Active Directory au quotidien ?</w:t>
      </w:r>
    </w:p>
    <w:p>
      <w:pPr>
        <w:pStyle w:val="BodyText"/>
      </w:pPr>
      <w:r>
        <w:t xml:space="preserve">Pas nécessairement pour les tâches courantes (les consoles graphiques du chapitre 4 suffisent largement), mais cette compréhension devient précieuse dès qu’un besoin dépasse les outils Windows standards — intégration Linux (ce chapitre), scripts d’automatisation avancés, ou diagnostic de problèmes plus profonds.</w:t>
      </w:r>
    </w:p>
    <w:p>
      <w:pPr>
        <w:pStyle w:val="BodyText"/>
      </w:pPr>
      <w:r>
        <w:t xml:space="preserve">SSSD fonctionne-t-il aussi avec un serveur OpenLDAP, pas seulement Active Directory ?</w:t>
      </w:r>
    </w:p>
    <w:p>
      <w:pPr>
        <w:pStyle w:val="BodyText"/>
      </w:pPr>
      <w:r>
        <w:t xml:space="preserve">Oui, SSSD est conçu pour fonctionner avec différents types de fournisseurs d’identité, y compris OpenLDAP directement — utile dans un contexte où OpenLDAP autonome (section 22.4) a effectivement été choisi comme source d’identité principale de l’organisation.</w:t>
      </w:r>
    </w:p>
    <w:p>
      <w:pPr>
        <w:pStyle w:val="BodyText"/>
      </w:pPr>
      <w:r>
        <w:t xml:space="preserve">Les mots de passe sont-ils visibles dans l’annuaire LDAP lui-même ?</w:t>
      </w:r>
    </w:p>
    <w:p>
      <w:pPr>
        <w:pStyle w:val="BodyText"/>
      </w:pPr>
      <w:r>
        <w:t xml:space="preserve">Non, jamais en clair sur un annuaire correctement configuré — les mots de passe sont stockés sous forme hachée (un concept approfondi au chapitre 25 avec le hachage bcrypt côté applicatif, transposable au principe général), et l’attribut correspondant est généralement protégé contre toute lecture, même par des comptes disposant par ailleurs d’un accès en lecture large à l’annuaire.</w:t>
      </w:r>
    </w:p>
    <w:p>
      <w:pPr>
        <w:pStyle w:val="BodyText"/>
      </w:pPr>
      <w:r>
        <w:t xml:space="preserve">Peut-on migrer d’OpenLDAP vers Active Directory, ou l’inverse, sans tout reconstruire ?</w:t>
      </w:r>
    </w:p>
    <w:p>
      <w:pPr>
        <w:pStyle w:val="BodyText"/>
      </w:pPr>
      <w:r>
        <w:t xml:space="preserve">Des outils de migration existent pour exporter et réimporter les entrées d’un annuaire à l’autre, mais la conversion n’est jamais totalement automatique en raison des différences de schéma et de fonctionnalités propriétaires (comme les GPO d’Active Directory, sans équivalent direct dans OpenLDAP) — un projet de migration mérite la même rigueur de planification qu’un changement majeur du chapitre 2.</w:t>
      </w:r>
    </w:p>
    <w:bookmarkEnd w:id="553"/>
    <w:bookmarkStart w:id="558" w:name="références-et-pour-aller-plus-loin-21"/>
    <w:p>
      <w:pPr>
        <w:pStyle w:val="Heading2"/>
      </w:pPr>
      <w:r>
        <w:t xml:space="preserve">Références et pour aller plus loin</w:t>
      </w:r>
    </w:p>
    <w:p>
      <w:pPr>
        <w:pStyle w:val="Compact"/>
        <w:numPr>
          <w:ilvl w:val="0"/>
          <w:numId w:val="1527"/>
        </w:numPr>
      </w:pPr>
      <w:r>
        <w:t xml:space="preserve">Documentation officielle OpenLDAP :</w:t>
      </w:r>
      <w:r>
        <w:t xml:space="preserve"> </w:t>
      </w:r>
      <w:hyperlink r:id="rId554">
        <w:r>
          <w:rPr>
            <w:rStyle w:val="Hyperlink"/>
          </w:rPr>
          <w:t xml:space="preserve">https://www.openldap.org/doc/</w:t>
        </w:r>
      </w:hyperlink>
    </w:p>
    <w:p>
      <w:pPr>
        <w:pStyle w:val="Compact"/>
        <w:numPr>
          <w:ilvl w:val="0"/>
          <w:numId w:val="1527"/>
        </w:numPr>
      </w:pPr>
      <w:r>
        <w:t xml:space="preserve">Microsoft Learn — Active Directory et LDAP :</w:t>
      </w:r>
      <w:r>
        <w:t xml:space="preserve"> </w:t>
      </w:r>
      <w:hyperlink r:id="rId555">
        <w:r>
          <w:rPr>
            <w:rStyle w:val="Hyperlink"/>
          </w:rPr>
          <w:t xml:space="preserve">https://learn.microsoft.com/fr-fr/windows/win32/ad/active-directory-and-lightweight-directory-access-protocol</w:t>
        </w:r>
      </w:hyperlink>
    </w:p>
    <w:p>
      <w:pPr>
        <w:pStyle w:val="Compact"/>
        <w:numPr>
          <w:ilvl w:val="0"/>
          <w:numId w:val="1527"/>
        </w:numPr>
      </w:pPr>
      <w:r>
        <w:t xml:space="preserve">Documentation officielle SSSD :</w:t>
      </w:r>
      <w:r>
        <w:t xml:space="preserve"> </w:t>
      </w:r>
      <w:hyperlink r:id="rId556">
        <w:r>
          <w:rPr>
            <w:rStyle w:val="Hyperlink"/>
          </w:rPr>
          <w:t xml:space="preserve">https://sssd.io/docs/</w:t>
        </w:r>
      </w:hyperlink>
    </w:p>
    <w:p>
      <w:pPr>
        <w:pStyle w:val="Compact"/>
        <w:numPr>
          <w:ilvl w:val="0"/>
          <w:numId w:val="1527"/>
        </w:numPr>
      </w:pPr>
      <w:r>
        <w:t xml:space="preserve">RFC 4511 — spécification officielle du protocole LDAPv3 :</w:t>
      </w:r>
      <w:r>
        <w:t xml:space="preserve"> </w:t>
      </w:r>
      <w:hyperlink r:id="rId557">
        <w:r>
          <w:rPr>
            <w:rStyle w:val="Hyperlink"/>
          </w:rPr>
          <w:t xml:space="preserve">https://www.rfc-editor.org/rfc/rfc4511</w:t>
        </w:r>
      </w:hyperlink>
    </w:p>
    <w:p>
      <w:pPr>
        <w:pStyle w:val="FirstParagraph"/>
      </w:pPr>
      <w:r>
        <w:rPr>
          <w:i/>
          <w:iCs/>
        </w:rPr>
        <w:t xml:space="preserve">Chapitre suivant : Kerberos — le protocole d’authentification qu’Active Directory (et SSSD, ce chapitre) utilisent en coulisses, pour comprendre précisément comment un mot de passe se transforme en accès effectif au réseau, sans jamais transiter en clair.</w:t>
      </w:r>
    </w:p>
    <w:p>
      <w:pPr>
        <w:pStyle w:val="BodyText"/>
      </w:pPr>
      <w:r>
        <w:t xml:space="preserve">CHAPITRE 23</w:t>
      </w:r>
    </w:p>
    <w:bookmarkEnd w:id="558"/>
    <w:bookmarkEnd w:id="559"/>
    <w:bookmarkStart w:id="584" w:name="kerberos-fonctionnement-et-dépannage"/>
    <w:p>
      <w:pPr>
        <w:pStyle w:val="Heading1"/>
      </w:pPr>
      <w:r>
        <w:t xml:space="preserve">Kerberos : fonctionnement et dépannage</w:t>
      </w:r>
    </w:p>
    <w:p>
      <w:pPr>
        <w:pStyle w:val="FirstParagraph"/>
      </w:pPr>
      <w:r>
        <w:t xml:space="preserve">🎯 Objectif du chapitre</w:t>
      </w:r>
      <w:r>
        <w:t xml:space="preserve"> </w:t>
      </w:r>
      <w:r>
        <w:t xml:space="preserve">Comprendre Kerberos, le protocole d’authentification qui fonctionne en coulisses derrière Active Directory (Partie 2) et SSSD (chapitre 22) depuis le début de ce manuel, sans jamais avoir été expliqué directement. À la fin de ce chapitre, tu sauras décrire le flux d’authentification Kerberos en trois temps, expliquer pourquoi la synchronisation de l’horloge est absolument critique pour son fonctionnement, et diagnostiquer l’erreur Kerberos la plus fréquente et la plus déroutante pour un débutant.</w:t>
      </w:r>
    </w:p>
    <w:p>
      <w:pPr>
        <w:pStyle w:val="BodyText"/>
      </w:pPr>
      <w:r>
        <w:t xml:space="preserve">🎬 Mise en situation</w:t>
      </w:r>
      <w:r>
        <w:t xml:space="preserve"> </w:t>
      </w:r>
      <w:r>
        <w:t xml:space="preserve">Une coupure de courant prolongée au Cap-Haïtien (rappel du chapitre 6) a fait redémarrer le serveur Rocky Linux du service de gestion documentaire sans onduleur suffisant pour maintenir l’horloge système à jour pendant l’arrêt. Le lendemain matin, les employés du Cap-Haïtien ne peuvent plus se connecter à ce serveur via SSSD (chapitre 22), alors que leur mot de passe est pourtant correct — ils l’ont vérifié en se connectant sans problème à leur poste Windows. Le message d’erreur exact, incompréhensible pour eux, est :</w:t>
      </w:r>
      <w:r>
        <w:t xml:space="preserve"> </w:t>
      </w:r>
      <w:r>
        <w:t xml:space="preserve">“Clock skew too great”</w:t>
      </w:r>
      <w:r>
        <w:t xml:space="preserve">. Ce message n’a rien à voir avec le mot de passe — il révèle un fonctionnement fondamental de Kerberos que ce chapitre explique en détail.</w:t>
      </w:r>
    </w:p>
    <w:bookmarkStart w:id="560" w:name="X40e21dfebfe87658a3bd6317d04f7d3e19a33d0"/>
    <w:p>
      <w:pPr>
        <w:pStyle w:val="Heading2"/>
      </w:pPr>
      <w:r>
        <w:t xml:space="preserve">23.1 Kerberos, le protocole invisible derrière Active Directory</w:t>
      </w:r>
    </w:p>
    <w:p>
      <w:pPr>
        <w:pStyle w:val="FirstParagraph"/>
      </w:pPr>
      <w:r>
        <w:t xml:space="preserve">📌 À retenir</w:t>
      </w:r>
      <w:r>
        <w:t xml:space="preserve"> </w:t>
      </w:r>
      <w:r>
        <w:t xml:space="preserve">Rappel direct du chapitre 22 : Active Directory repose sur LDAP</w:t>
      </w:r>
      <w:r>
        <w:t xml:space="preserve"> </w:t>
      </w:r>
      <w:r>
        <w:rPr>
          <w:b/>
          <w:bCs/>
        </w:rPr>
        <w:t xml:space="preserve">et</w:t>
      </w:r>
      <w:r>
        <w:t xml:space="preserve"> </w:t>
      </w:r>
      <w:r>
        <w:t xml:space="preserve">Kerberos. Chaque fois qu’un utilisateur ouvre une session Windows depuis le chapitre 5, ou qu’un serveur Linux authentifie un utilisateur via SSSD depuis le chapitre 22, Kerberos travaille en coulisses — sans jamais avoir été nommé explicitement jusqu’ici. Ce chapitre lève enfin le voile sur ce mécanisme central.</w:t>
      </w:r>
    </w:p>
    <w:p>
      <w:pPr>
        <w:pStyle w:val="BodyText"/>
      </w:pPr>
      <w:r>
        <w:rPr>
          <w:b/>
          <w:bCs/>
        </w:rPr>
        <w:t xml:space="preserve">Kerberos</w:t>
      </w:r>
      <w:r>
        <w:t xml:space="preserve"> </w:t>
      </w:r>
      <w:r>
        <w:t xml:space="preserve">est un protocole d’authentification réseau qui permet à un utilisateur de prouver son identité</w:t>
      </w:r>
      <w:r>
        <w:t xml:space="preserve"> </w:t>
      </w:r>
      <w:r>
        <w:rPr>
          <w:b/>
          <w:bCs/>
        </w:rPr>
        <w:t xml:space="preserve">sans jamais transmettre son mot de passe sur le réseau</w:t>
      </w:r>
      <w:r>
        <w:t xml:space="preserve">, même sous forme chiffrée — une propriété de sécurité fondamentale qui distingue Kerberos de méthodes plus simples.</w:t>
      </w:r>
    </w:p>
    <w:bookmarkEnd w:id="560"/>
    <w:bookmarkStart w:id="561" w:name="les-trois-acteurs-de-kerberos"/>
    <w:p>
      <w:pPr>
        <w:pStyle w:val="Heading2"/>
      </w:pPr>
      <w:r>
        <w:t xml:space="preserve">23.2 Les trois acteurs de Kerberos</w:t>
      </w:r>
    </w:p>
    <w:p>
      <w:pPr>
        <w:pStyle w:val="FirstParagraph"/>
      </w:pPr>
      <w:r>
        <w:t xml:space="preserve">💡 Analogie — le parc d’attractions à bracelets</w:t>
      </w:r>
      <w:r>
        <w:t xml:space="preserve"> </w:t>
      </w:r>
      <w:r>
        <w:t xml:space="preserve">Imagine un grand parc d’attractions. À l’entrée, tu montres ton billet une seule fois à la billetterie centrale (le KDC), qui te donne un bracelet (le TGT,</w:t>
      </w:r>
      <w:r>
        <w:t xml:space="preserve"> </w:t>
      </w:r>
      <w:r>
        <w:rPr>
          <w:i/>
          <w:iCs/>
        </w:rPr>
        <w:t xml:space="preserve">Ticket Granting Ticket</w:t>
      </w:r>
      <w:r>
        <w:t xml:space="preserve">) prouvant que tu es entré légitimement — tu n’as plus besoin de remontrer ton billet original à chaque attraction. Pour chaque attraction précise (un service, comme un serveur de fichiers), tu présentes ton bracelet à un guichet dédié qui te donne un jeton spécifique à cette attraction (le ticket de service) — sans jamais revoir la billetterie centrale ni redonner ton billet original. C’est exactement le principe de Kerberos : une seule authentification initiale, puis des tickets réutilisables pour accéder à différents services, sans jamais retransmettre le mot de passe original.</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Acteur</w:t>
            </w:r>
          </w:p>
        </w:tc>
        <w:tc>
          <w:tcPr/>
          <w:p>
            <w:pPr>
              <w:pStyle w:val="Compact"/>
            </w:pPr>
            <w:r>
              <w:t xml:space="preserve">Rôle</w:t>
            </w:r>
          </w:p>
        </w:tc>
        <w:tc>
          <w:tcPr/>
          <w:p>
            <w:pPr>
              <w:pStyle w:val="Compact"/>
            </w:pPr>
            <w:r>
              <w:t xml:space="preserve">Équivalent dans l’analogie</w:t>
            </w:r>
          </w:p>
        </w:tc>
      </w:tr>
      <w:tr>
        <w:tc>
          <w:tcPr/>
          <w:p>
            <w:pPr>
              <w:pStyle w:val="Compact"/>
            </w:pPr>
            <w:r>
              <w:rPr>
                <w:b/>
                <w:bCs/>
              </w:rPr>
              <w:t xml:space="preserve">Client</w:t>
            </w:r>
          </w:p>
        </w:tc>
        <w:tc>
          <w:tcPr/>
          <w:p>
            <w:pPr>
              <w:pStyle w:val="Compact"/>
            </w:pPr>
            <w:r>
              <w:t xml:space="preserve">L’utilisateur ou la machine qui demande l’accès</w:t>
            </w:r>
          </w:p>
        </w:tc>
        <w:tc>
          <w:tcPr/>
          <w:p>
            <w:pPr>
              <w:pStyle w:val="Compact"/>
            </w:pPr>
            <w:r>
              <w:t xml:space="preserve">Le visiteur du parc</w:t>
            </w:r>
          </w:p>
        </w:tc>
      </w:tr>
      <w:tr>
        <w:tc>
          <w:tcPr/>
          <w:p>
            <w:pPr>
              <w:pStyle w:val="Compact"/>
            </w:pPr>
            <w:r>
              <w:rPr>
                <w:b/>
                <w:bCs/>
              </w:rPr>
              <w:t xml:space="preserve">KDC</w:t>
            </w:r>
            <w:r>
              <w:t xml:space="preserve"> </w:t>
            </w:r>
            <w:r>
              <w:t xml:space="preserve">(</w:t>
            </w:r>
            <w:r>
              <w:rPr>
                <w:i/>
                <w:iCs/>
              </w:rPr>
              <w:t xml:space="preserve">Key Distribution Center</w:t>
            </w:r>
            <w:r>
              <w:t xml:space="preserve">)</w:t>
            </w:r>
          </w:p>
        </w:tc>
        <w:tc>
          <w:tcPr/>
          <w:p>
            <w:pPr>
              <w:pStyle w:val="Compact"/>
            </w:pPr>
            <w:r>
              <w:t xml:space="preserve">Le serveur central de confiance (sur un contrôleur de domaine, chapitre 5)</w:t>
            </w:r>
          </w:p>
        </w:tc>
        <w:tc>
          <w:tcPr/>
          <w:p>
            <w:pPr>
              <w:pStyle w:val="Compact"/>
            </w:pPr>
            <w:r>
              <w:t xml:space="preserve">La billetterie centrale</w:t>
            </w:r>
          </w:p>
        </w:tc>
      </w:tr>
      <w:tr>
        <w:tc>
          <w:tcPr/>
          <w:p>
            <w:pPr>
              <w:pStyle w:val="Compact"/>
            </w:pPr>
            <w:r>
              <w:rPr>
                <w:b/>
                <w:bCs/>
              </w:rPr>
              <w:t xml:space="preserve">Service</w:t>
            </w:r>
          </w:p>
        </w:tc>
        <w:tc>
          <w:tcPr/>
          <w:p>
            <w:pPr>
              <w:pStyle w:val="Compact"/>
            </w:pPr>
            <w:r>
              <w:t xml:space="preserve">La ressource finale demandée (serveur de fichiers, application)</w:t>
            </w:r>
          </w:p>
        </w:tc>
        <w:tc>
          <w:tcPr/>
          <w:p>
            <w:pPr>
              <w:pStyle w:val="Compact"/>
            </w:pPr>
            <w:r>
              <w:t xml:space="preserve">Une attraction précise</w:t>
            </w:r>
          </w:p>
        </w:tc>
      </w:tr>
    </w:tbl>
    <w:bookmarkEnd w:id="561"/>
    <w:bookmarkStart w:id="565" w:name="X45c8e8e36b6c2eab5b9705024d5b3b9d7b53ba3"/>
    <w:p>
      <w:pPr>
        <w:pStyle w:val="Heading2"/>
      </w:pPr>
      <w:r>
        <w:t xml:space="preserve">23.3 Le flux d’authentification Kerberos en trois temps</w:t>
      </w:r>
    </w:p>
    <w:p>
      <w:pPr>
        <w:pStyle w:val="CaptionedFigure"/>
      </w:pPr>
      <w:r>
        <w:drawing>
          <wp:inline>
            <wp:extent cx="5334000" cy="2458138"/>
            <wp:effectExtent b="0" l="0" r="0" t="0"/>
            <wp:docPr descr="Diagramme" title="" id="563" name="Picture"/>
            <a:graphic>
              <a:graphicData uri="http://schemas.openxmlformats.org/drawingml/2006/picture">
                <pic:pic>
                  <pic:nvPicPr>
                    <pic:cNvPr descr="C:/Users/ingja/Desktop/jarvis-starter-kit/livrables/formations/manuel-administration-systeme/assets/diagrams/d-23-kerberos-fonctionnement-depannage-diagramme-1.png" id="564" name="Picture"/>
                    <pic:cNvPicPr>
                      <a:picLocks noChangeArrowheads="1" noChangeAspect="1"/>
                    </pic:cNvPicPr>
                  </pic:nvPicPr>
                  <pic:blipFill>
                    <a:blip r:embed="rId562"/>
                    <a:stretch>
                      <a:fillRect/>
                    </a:stretch>
                  </pic:blipFill>
                  <pic:spPr bwMode="auto">
                    <a:xfrm>
                      <a:off x="0" y="0"/>
                      <a:ext cx="5334000" cy="2458138"/>
                    </a:xfrm>
                    <a:prstGeom prst="rect">
                      <a:avLst/>
                    </a:prstGeom>
                    <a:noFill/>
                    <a:ln w="9525">
                      <a:noFill/>
                      <a:headEnd/>
                      <a:tailEnd/>
                    </a:ln>
                  </pic:spPr>
                </pic:pic>
              </a:graphicData>
            </a:graphic>
          </wp:inline>
        </w:drawing>
      </w:r>
    </w:p>
    <w:p>
      <w:pPr>
        <w:pStyle w:val="ImageCaption"/>
      </w:pPr>
      <w:r>
        <w:t xml:space="preserve">Diagramme</w:t>
      </w:r>
    </w:p>
    <w:p>
      <w:pPr>
        <w:pStyle w:val="BodyText"/>
      </w:pPr>
      <w:r>
        <w:t xml:space="preserve">💡 Explication du schéma</w:t>
      </w:r>
      <w:r>
        <w:t xml:space="preserve"> </w:t>
      </w:r>
      <w:r>
        <w:t xml:space="preserve">À l’étape 1, le client prouve son identité en chiffrant un horodatage avec une clé dérivée de son mot de passe (jamais le mot de passe lui-même) — le KDC vérifie que ce chiffrement est correct sans que le mot de passe n’ait jamais circulé. En échange, il reçoit un TGT, valable plusieurs heures, qui évite d’avoir à ressaisir son mot de passe pour chaque nouvelle ressource demandée pendant cette période. À l’étape 2, ce TGT est échangé contre un ticket spécifique au service demandé. À l’étape 3, ce ticket de service, présenté directement au service concerné, prouve l’identité du client sans que le service lui-même n’ait besoin de contacter le KDC pour vérifier.</w:t>
      </w:r>
    </w:p>
    <w:bookmarkEnd w:id="565"/>
    <w:bookmarkStart w:id="566" w:name="X8e8969fe6d3cacff28d7b15437a12fdad440856"/>
    <w:p>
      <w:pPr>
        <w:pStyle w:val="Heading2"/>
      </w:pPr>
      <w:r>
        <w:t xml:space="preserve">23.4 Pourquoi l’horloge compte autant : la tolérance d’horloge</w:t>
      </w:r>
    </w:p>
    <w:p>
      <w:pPr>
        <w:pStyle w:val="FirstParagraph"/>
      </w:pPr>
      <w:r>
        <w:t xml:space="preserve">Reprenons directement le scénario d’ouverture. L’étape 1 du flux Kerberos repose sur un</w:t>
      </w:r>
      <w:r>
        <w:t xml:space="preserve"> </w:t>
      </w:r>
      <w:r>
        <w:rPr>
          <w:b/>
          <w:bCs/>
        </w:rPr>
        <w:t xml:space="preserve">horodatage chiffré</w:t>
      </w:r>
      <w:r>
        <w:t xml:space="preserve"> </w:t>
      </w:r>
      <w:r>
        <w:t xml:space="preserve">pour prouver l’identité du client — un mécanisme qui suppose implicitement que l’horloge du client et celle du KDC sont raisonnablement synchronisées.</w:t>
      </w:r>
    </w:p>
    <w:p>
      <w:pPr>
        <w:pStyle w:val="BodyText"/>
      </w:pPr>
      <w:r>
        <w:t xml:space="preserve">⚠️ La cause exacte du message</w:t>
      </w:r>
      <w:r>
        <w:t xml:space="preserve"> </w:t>
      </w:r>
      <w:r>
        <w:t xml:space="preserve">“Clock skew too great”</w:t>
      </w:r>
      <w:r>
        <w:t xml:space="preserve"> </w:t>
      </w:r>
      <w:r>
        <w:t xml:space="preserve">Par défaut, Kerberos tolère un écart maximal de</w:t>
      </w:r>
      <w:r>
        <w:t xml:space="preserve"> </w:t>
      </w:r>
      <w:r>
        <w:rPr>
          <w:b/>
          <w:bCs/>
        </w:rPr>
        <w:t xml:space="preserve">5 minutes</w:t>
      </w:r>
      <w:r>
        <w:t xml:space="preserve"> </w:t>
      </w:r>
      <w:r>
        <w:t xml:space="preserve">entre l’horloge du client et celle du KDC. Au-delà de cet écart, le KDC rejette la demande d’authentification, précisément pour se protéger contre une attaque par rejeu (</w:t>
      </w:r>
      <w:r>
        <w:rPr>
          <w:i/>
          <w:iCs/>
        </w:rPr>
        <w:t xml:space="preserve">replay attack</w:t>
      </w:r>
      <w:r>
        <w:t xml:space="preserve">) : un horodatage chiffré intercepté et réutilisé plus tard par un attaquant serait rejeté, exactement de la même façon qu’un horodatage simplement décalé par une horloge dérivée. Le serveur Rocky Linux du scénario d’ouverture, ayant perdu la synchronisation de son horloge pendant la coupure de courant prolongée, dépasse ce seuil de 5 minutes — et Kerberos rejette systématiquement toute authentification, quelle que soit la validité réelle du mot de passe fourni.</w:t>
      </w:r>
    </w:p>
    <w:p>
      <w:pPr>
        <w:pStyle w:val="BodyText"/>
      </w:pPr>
      <w:r>
        <w:t xml:space="preserve">🧠 À mémoriser — la leçon la plus importante de ce chapitre</w:t>
      </w:r>
      <w:r>
        <w:t xml:space="preserve"> </w:t>
      </w:r>
      <w:r>
        <w:t xml:space="preserve">“Clock skew too great”</w:t>
      </w:r>
      <w:r>
        <w:t xml:space="preserve"> </w:t>
      </w:r>
      <w:r>
        <w:t xml:space="preserve">n’est</w:t>
      </w:r>
      <w:r>
        <w:t xml:space="preserve"> </w:t>
      </w:r>
      <w:r>
        <w:rPr>
          <w:b/>
          <w:bCs/>
        </w:rPr>
        <w:t xml:space="preserve">jamais</w:t>
      </w:r>
      <w:r>
        <w:t xml:space="preserve"> </w:t>
      </w:r>
      <w:r>
        <w:t xml:space="preserve">un problème de mot de passe, de compte, ou de permission — c’est</w:t>
      </w:r>
      <w:r>
        <w:t xml:space="preserve"> </w:t>
      </w:r>
      <w:r>
        <w:rPr>
          <w:b/>
          <w:bCs/>
        </w:rPr>
        <w:t xml:space="preserve">toujours</w:t>
      </w:r>
      <w:r>
        <w:t xml:space="preserve"> </w:t>
      </w:r>
      <w:r>
        <w:t xml:space="preserve">un problème de synchronisation d’horloge entre le client et le KDC. Reconnaître immédiatement ce message et savoir qu’il pointe systématiquement vers l’horloge évite des heures de diagnostic inutile sur de fausses pistes (vérification du mot de passe, de l’appartenance aux groupes, des permissions), exactement le réflexe de diagnostic ciblé enseigné au chapitre 1.</w:t>
      </w:r>
    </w:p>
    <w:bookmarkEnd w:id="566"/>
    <w:bookmarkStart w:id="567" w:name="Xfb5fbec1d227af17561574739d224e42888d50b"/>
    <w:p>
      <w:pPr>
        <w:pStyle w:val="Heading2"/>
      </w:pPr>
      <w:r>
        <w:t xml:space="preserve">23.5 Diagnostiquer et résoudre le scénario d’ouverture</w:t>
      </w:r>
    </w:p>
    <w:p>
      <w:pPr>
        <w:pStyle w:val="SourceCode"/>
      </w:pPr>
      <w:r>
        <w:rPr>
          <w:rStyle w:val="VerbatimChar"/>
        </w:rPr>
        <w:t xml:space="preserve"># Verifier l'heure actuelle du serveur affecte</w:t>
      </w:r>
      <w:r>
        <w:br/>
      </w:r>
      <w:r>
        <w:rPr>
          <w:rStyle w:val="VerbatimChar"/>
        </w:rPr>
        <w:t xml:space="preserve">timedatectl</w:t>
      </w:r>
      <w:r>
        <w:br/>
      </w:r>
      <w:r>
        <w:br/>
      </w:r>
      <w:r>
        <w:rPr>
          <w:rStyle w:val="VerbatimChar"/>
        </w:rPr>
        <w:t xml:space="preserve"># Verifier si la synchronisation NTP (Network Time Protocol) est active</w:t>
      </w:r>
      <w:r>
        <w:br/>
      </w:r>
      <w:r>
        <w:rPr>
          <w:rStyle w:val="VerbatimChar"/>
        </w:rPr>
        <w:t xml:space="preserve"># -- NTP est le protocole standard qui maintient l'horloge d'un serveur</w:t>
      </w:r>
      <w:r>
        <w:br/>
      </w:r>
      <w:r>
        <w:rPr>
          <w:rStyle w:val="VerbatimChar"/>
        </w:rPr>
        <w:t xml:space="preserve"># alignee sur une source de temps fiable, en continu</w:t>
      </w:r>
      <w:r>
        <w:br/>
      </w:r>
      <w:r>
        <w:rPr>
          <w:rStyle w:val="VerbatimChar"/>
        </w:rPr>
        <w:t xml:space="preserve">timedatectl show -p NTP -p NTPSynchronized</w:t>
      </w:r>
      <w:r>
        <w:br/>
      </w:r>
      <w:r>
        <w:br/>
      </w:r>
      <w:r>
        <w:rPr>
          <w:rStyle w:val="VerbatimChar"/>
        </w:rPr>
        <w:t xml:space="preserve"># Forcer une resynchronisation immediate si NTP est configure mais</w:t>
      </w:r>
      <w:r>
        <w:br/>
      </w:r>
      <w:r>
        <w:rPr>
          <w:rStyle w:val="VerbatimChar"/>
        </w:rPr>
        <w:t xml:space="preserve"># desynchronise (une commande specifique existe selon le service NTP</w:t>
      </w:r>
      <w:r>
        <w:br/>
      </w:r>
      <w:r>
        <w:rPr>
          <w:rStyle w:val="VerbatimChar"/>
        </w:rPr>
        <w:t xml:space="preserve"># utilise, chronyd etant courant sur les distributions recentes)</w:t>
      </w:r>
      <w:r>
        <w:br/>
      </w:r>
      <w:r>
        <w:rPr>
          <w:rStyle w:val="VerbatimChar"/>
        </w:rPr>
        <w:t xml:space="preserve">sudo chronyc makestep</w:t>
      </w:r>
      <w:r>
        <w:br/>
      </w:r>
      <w:r>
        <w:br/>
      </w:r>
      <w:r>
        <w:rPr>
          <w:rStyle w:val="VerbatimChar"/>
        </w:rPr>
        <w:t xml:space="preserve"># Une fois l'horloge corrigee, verifier qu'un ticket Kerberos peut</w:t>
      </w:r>
      <w:r>
        <w:br/>
      </w:r>
      <w:r>
        <w:rPr>
          <w:rStyle w:val="VerbatimChar"/>
        </w:rPr>
        <w:t xml:space="preserve"># maintenant etre obtenu normalement</w:t>
      </w:r>
      <w:r>
        <w:br/>
      </w:r>
      <w:r>
        <w:rPr>
          <w:rStyle w:val="VerbatimChar"/>
        </w:rPr>
        <w:t xml:space="preserve">kinit jean.baptiste</w:t>
      </w:r>
      <w:r>
        <w:br/>
      </w:r>
      <w:r>
        <w:rPr>
          <w:rStyle w:val="VerbatimChar"/>
        </w:rPr>
        <w:t xml:space="preserve">klist</w:t>
      </w:r>
    </w:p>
    <w:p>
      <w:pPr>
        <w:pStyle w:val="FirstParagraph"/>
      </w:pPr>
      <w:r>
        <w:t xml:space="preserve">✅ Bonne pratique — NTP actif et surveillé sur tout serveur Kerberos-dépendant</w:t>
      </w:r>
      <w:r>
        <w:t xml:space="preserve"> </w:t>
      </w:r>
      <w:r>
        <w:t xml:space="preserve">La véritable correction durable de ce chapitre n’est pas de resynchroniser manuellement l’horloge une seule fois après l’incident, mais de s’assurer qu’un service de synchronisation temporelle (NTP, via</w:t>
      </w:r>
      <w:r>
        <w:t xml:space="preserve"> </w:t>
      </w:r>
      <w:r>
        <w:rPr>
          <w:rStyle w:val="VerbatimChar"/>
        </w:rPr>
        <w:t xml:space="preserve">chronyd</w:t>
      </w:r>
      <w:r>
        <w:t xml:space="preserve"> </w:t>
      </w:r>
      <w:r>
        <w:t xml:space="preserve">ou</w:t>
      </w:r>
      <w:r>
        <w:t xml:space="preserve"> </w:t>
      </w:r>
      <w:r>
        <w:rPr>
          <w:rStyle w:val="VerbatimChar"/>
        </w:rPr>
        <w:t xml:space="preserve">systemd-timesyncd</w:t>
      </w:r>
      <w:r>
        <w:t xml:space="preserve">) tourne en continu et est</w:t>
      </w:r>
      <w:r>
        <w:t xml:space="preserve"> </w:t>
      </w:r>
      <w:r>
        <w:rPr>
          <w:b/>
          <w:bCs/>
        </w:rPr>
        <w:t xml:space="preserve">surveillé</w:t>
      </w:r>
      <w:r>
        <w:t xml:space="preserve"> </w:t>
      </w:r>
      <w:r>
        <w:t xml:space="preserve">(Partie 10) — exactement le réflexe proactif du chapitre 1 plutôt qu’une correction réactive après que le problème a déjà causé une interruption de service.</w:t>
      </w:r>
    </w:p>
    <w:p>
      <w:pPr>
        <w:pStyle w:val="BodyText"/>
      </w:pPr>
      <w:r>
        <w:t xml:space="preserve">🔒 Sécurité — pourquoi la tolérance de 5 minutes ne doit jamais être élargie</w:t>
      </w:r>
      <w:r>
        <w:t xml:space="preserve"> </w:t>
      </w:r>
      <w:r>
        <w:t xml:space="preserve">“pour simplifier”</w:t>
      </w:r>
      <w:r>
        <w:t xml:space="preserve"> </w:t>
      </w:r>
      <w:r>
        <w:t xml:space="preserve">Une réaction tentante mais dangereuse face à ce type d’incident consiste à élargir la tolérance d’horloge Kerberos pour éviter que le problème ne se reproduise — une mauvaise idée, car cela affaiblirait directement la protection contre les attaques par rejeu qui justifie cette tolérance stricte en premier lieu (section 23.4). La bonne réponse est toujours de corriger la cause réelle (la synchronisation NTP), jamais d’affaiblir la protection pour contourner un symptôme.</w:t>
      </w:r>
    </w:p>
    <w:bookmarkEnd w:id="567"/>
    <w:bookmarkStart w:id="568" w:name="autres-erreurs-kerberos-courantes"/>
    <w:p>
      <w:pPr>
        <w:pStyle w:val="Heading2"/>
      </w:pPr>
      <w:r>
        <w:t xml:space="preserve">23.6 Autres erreurs Kerberos courantes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Message d’erreur</w:t>
            </w:r>
          </w:p>
        </w:tc>
        <w:tc>
          <w:tcPr/>
          <w:p>
            <w:pPr>
              <w:pStyle w:val="Compact"/>
            </w:pPr>
            <w:r>
              <w:t xml:space="preserve">Cause probable</w:t>
            </w:r>
          </w:p>
        </w:tc>
        <w:tc>
          <w:tcPr/>
          <w:p>
            <w:pPr>
              <w:pStyle w:val="Compact"/>
            </w:pPr>
            <w:r>
              <w:t xml:space="preserve">Piste de résolution</w:t>
            </w:r>
          </w:p>
        </w:tc>
      </w:tr>
      <w:tr>
        <w:tc>
          <w:tcPr/>
          <w:p>
            <w:pPr>
              <w:pStyle w:val="Compact"/>
            </w:pPr>
            <w:r>
              <w:rPr>
                <w:rStyle w:val="VerbatimChar"/>
              </w:rPr>
              <w:t xml:space="preserve">Clock skew too great</w:t>
            </w:r>
          </w:p>
        </w:tc>
        <w:tc>
          <w:tcPr/>
          <w:p>
            <w:pPr>
              <w:pStyle w:val="Compact"/>
            </w:pPr>
            <w:r>
              <w:t xml:space="preserve">Désynchronisation d’horloge (section 23.4)</w:t>
            </w:r>
          </w:p>
        </w:tc>
        <w:tc>
          <w:tcPr/>
          <w:p>
            <w:pPr>
              <w:pStyle w:val="Compact"/>
            </w:pPr>
            <w:r>
              <w:t xml:space="preserve">Vérifier et corriger NTP, jamais élargir la tolérance</w:t>
            </w:r>
          </w:p>
        </w:tc>
      </w:tr>
      <w:tr>
        <w:tc>
          <w:tcPr/>
          <w:p>
            <w:pPr>
              <w:pStyle w:val="Compact"/>
            </w:pPr>
            <w:r>
              <w:rPr>
                <w:rStyle w:val="VerbatimChar"/>
              </w:rPr>
              <w:t xml:space="preserve">Ticket expired</w:t>
            </w:r>
          </w:p>
        </w:tc>
        <w:tc>
          <w:tcPr/>
          <w:p>
            <w:pPr>
              <w:pStyle w:val="Compact"/>
            </w:pPr>
            <w:r>
              <w:t xml:space="preserve">Le TGT ou le ticket de service a dépassé sa durée de validité</w:t>
            </w:r>
          </w:p>
        </w:tc>
        <w:tc>
          <w:tcPr/>
          <w:p>
            <w:pPr>
              <w:pStyle w:val="Compact"/>
            </w:pPr>
            <w:r>
              <w:t xml:space="preserve">Ré-authentifier avec</w:t>
            </w:r>
            <w:r>
              <w:t xml:space="preserve"> </w:t>
            </w:r>
            <w:r>
              <w:rPr>
                <w:rStyle w:val="VerbatimChar"/>
              </w:rPr>
              <w:t xml:space="preserve">kinit</w:t>
            </w:r>
            <w:r>
              <w:t xml:space="preserve"> </w:t>
            </w:r>
            <w:r>
              <w:t xml:space="preserve">; normal après une longue session inactive</w:t>
            </w:r>
          </w:p>
        </w:tc>
      </w:tr>
      <w:tr>
        <w:tc>
          <w:tcPr/>
          <w:p>
            <w:pPr>
              <w:pStyle w:val="Compact"/>
            </w:pPr>
            <w:r>
              <w:rPr>
                <w:rStyle w:val="VerbatimChar"/>
              </w:rPr>
              <w:t xml:space="preserve">KDC has no support for encryption type</w:t>
            </w:r>
          </w:p>
        </w:tc>
        <w:tc>
          <w:tcPr/>
          <w:p>
            <w:pPr>
              <w:pStyle w:val="Compact"/>
            </w:pPr>
            <w:r>
              <w:t xml:space="preserve">Incompatibilité entre les types de chiffrement supportés par le client et le KDC</w:t>
            </w:r>
          </w:p>
        </w:tc>
        <w:tc>
          <w:tcPr/>
          <w:p>
            <w:pPr>
              <w:pStyle w:val="Compact"/>
            </w:pPr>
            <w:r>
              <w:t xml:space="preserve">Vérifier la configuration de chiffrement, souvent liée à un système très ancien ou mal mis à jour</w:t>
            </w:r>
          </w:p>
        </w:tc>
      </w:tr>
      <w:tr>
        <w:tc>
          <w:tcPr/>
          <w:p>
            <w:pPr>
              <w:pStyle w:val="Compact"/>
            </w:pPr>
            <w:r>
              <w:rPr>
                <w:rStyle w:val="VerbatimChar"/>
              </w:rPr>
              <w:t xml:space="preserve">Server not found in Kerberos database</w:t>
            </w:r>
          </w:p>
        </w:tc>
        <w:tc>
          <w:tcPr/>
          <w:p>
            <w:pPr>
              <w:pStyle w:val="Compact"/>
            </w:pPr>
            <w:r>
              <w:t xml:space="preserve">Le SPN (</w:t>
            </w:r>
            <w:r>
              <w:rPr>
                <w:i/>
                <w:iCs/>
              </w:rPr>
              <w:t xml:space="preserve">Service Principal Name</w:t>
            </w:r>
            <w:r>
              <w:t xml:space="preserve">) attendu n’existe pas ou est mal enregistré</w:t>
            </w:r>
          </w:p>
        </w:tc>
        <w:tc>
          <w:tcPr/>
          <w:p>
            <w:pPr>
              <w:pStyle w:val="Compact"/>
            </w:pPr>
            <w:r>
              <w:t xml:space="preserve">Vérifier l’enregistrement du SPN correspondant au service concerné</w:t>
            </w:r>
          </w:p>
        </w:tc>
      </w:tr>
    </w:tbl>
    <w:bookmarkEnd w:id="568"/>
    <w:bookmarkStart w:id="569" w:name="X5753ff79c3650203a1255374c5cc52a72819f38"/>
    <w:p>
      <w:pPr>
        <w:pStyle w:val="Heading2"/>
      </w:pPr>
      <w:r>
        <w:t xml:space="preserve">Atelier — Diagnostiquer le scénario d’ouverture de bout en bout</w:t>
      </w:r>
    </w:p>
    <w:p>
      <w:pPr>
        <w:pStyle w:val="FirstParagraph"/>
      </w:pPr>
      <w:r>
        <w:t xml:space="preserve">🛠️ Atelier 23 — De l’incident à la résolution durable</w:t>
      </w:r>
    </w:p>
    <w:p>
      <w:pPr>
        <w:pStyle w:val="BodyText"/>
      </w:pPr>
      <w:r>
        <w:rPr>
          <w:b/>
          <w:bCs/>
        </w:rPr>
        <w:t xml:space="preserve">Objectif</w:t>
      </w:r>
      <w:r>
        <w:t xml:space="preserve"> </w:t>
      </w:r>
      <w:r>
        <w:t xml:space="preserve">: reconstituer la démarche complète de diagnostic et de correction du scénario d’ouverture, y compris la mesure préventive durable.</w:t>
      </w:r>
    </w:p>
    <w:p>
      <w:pPr>
        <w:pStyle w:val="BodyText"/>
      </w:pPr>
      <w:r>
        <w:rPr>
          <w:b/>
          <w:bCs/>
        </w:rPr>
        <w:t xml:space="preserve">Préparation</w:t>
      </w:r>
      <w:r>
        <w:t xml:space="preserve"> </w:t>
      </w:r>
      <w:r>
        <w:t xml:space="preserve">: aucune installation nécessaire pour cet atelier conceptuel, ou un accès à un serveur Linux de test pour le pratiquer réellement.</w:t>
      </w:r>
    </w:p>
    <w:p>
      <w:pPr>
        <w:pStyle w:val="BodyText"/>
      </w:pPr>
      <w:r>
        <w:rPr>
          <w:b/>
          <w:bCs/>
        </w:rPr>
        <w:t xml:space="preserve">Étapes détaillées</w:t>
      </w:r>
      <w:r>
        <w:t xml:space="preserve"> </w:t>
      </w:r>
      <w:r>
        <w:t xml:space="preserve">:</w:t>
      </w:r>
    </w:p>
    <w:p>
      <w:pPr>
        <w:pStyle w:val="Compact"/>
        <w:numPr>
          <w:ilvl w:val="0"/>
          <w:numId w:val="1528"/>
        </w:numPr>
      </w:pPr>
      <w:r>
        <w:t xml:space="preserve">Rédige la commande pour confirmer que l’horloge du serveur Rocky Linux est effectivement désynchronisée.</w:t>
      </w:r>
    </w:p>
    <w:p>
      <w:pPr>
        <w:pStyle w:val="Compact"/>
        <w:numPr>
          <w:ilvl w:val="0"/>
          <w:numId w:val="1528"/>
        </w:numPr>
      </w:pPr>
      <w:r>
        <w:t xml:space="preserve">Rédige les commandes pour corriger cette désynchronisation et confirmer qu’un ticket Kerberos peut de nouveau être obtenu.</w:t>
      </w:r>
    </w:p>
    <w:p>
      <w:pPr>
        <w:pStyle w:val="Compact"/>
        <w:numPr>
          <w:ilvl w:val="0"/>
          <w:numId w:val="1528"/>
        </w:numPr>
      </w:pPr>
      <w:r>
        <w:t xml:space="preserve">Propose une mesure préventive durable, en t’appuyant sur la section 23.5 et sur la discipline de supervision proactive du chapitre 1.</w:t>
      </w:r>
    </w:p>
    <w:p>
      <w:pPr>
        <w:pStyle w:val="Compact"/>
        <w:numPr>
          <w:ilvl w:val="0"/>
          <w:numId w:val="1528"/>
        </w:numPr>
      </w:pPr>
      <w:r>
        <w:t xml:space="preserve">Compare ta démarche à la section</w:t>
      </w:r>
      <w:r>
        <w:t xml:space="preserve"> </w:t>
      </w:r>
      <w:r>
        <w:t xml:space="preserve">“Résultat attendu”</w:t>
      </w:r>
      <w:r>
        <w:t xml:space="preserve">.</w:t>
      </w:r>
    </w:p>
    <w:p>
      <w:pPr>
        <w:pStyle w:val="FirstParagraph"/>
      </w:pPr>
      <w:r>
        <w:rPr>
          <w:b/>
          <w:bCs/>
        </w:rPr>
        <w:t xml:space="preserve">Résultat attendu</w:t>
      </w:r>
      <w:r>
        <w:t xml:space="preserve"> </w:t>
      </w:r>
      <w:r>
        <w:t xml:space="preserve">:</w:t>
      </w:r>
      <w:r>
        <w:t xml:space="preserve"> </w:t>
      </w:r>
      <w:r>
        <w:rPr>
          <w:rStyle w:val="VerbatimChar"/>
        </w:rPr>
        <w:t xml:space="preserve">timedatectl</w:t>
      </w:r>
      <w:r>
        <w:t xml:space="preserve"> </w:t>
      </w:r>
      <w:r>
        <w:t xml:space="preserve">révèle l’écart d’horloge.</w:t>
      </w:r>
      <w:r>
        <w:t xml:space="preserve"> </w:t>
      </w:r>
      <w:r>
        <w:rPr>
          <w:rStyle w:val="VerbatimChar"/>
        </w:rPr>
        <w:t xml:space="preserve">sudo chronyc makestep</w:t>
      </w:r>
      <w:r>
        <w:t xml:space="preserve"> </w:t>
      </w:r>
      <w:r>
        <w:t xml:space="preserve">corrige l’écart immédiatement, suivi d’un</w:t>
      </w:r>
      <w:r>
        <w:t xml:space="preserve"> </w:t>
      </w:r>
      <w:r>
        <w:rPr>
          <w:rStyle w:val="VerbatimChar"/>
        </w:rPr>
        <w:t xml:space="preserve">kinit</w:t>
      </w:r>
      <w:r>
        <w:t xml:space="preserve"> </w:t>
      </w:r>
      <w:r>
        <w:t xml:space="preserve">réussi confirmé par</w:t>
      </w:r>
      <w:r>
        <w:t xml:space="preserve"> </w:t>
      </w:r>
      <w:r>
        <w:rPr>
          <w:rStyle w:val="VerbatimChar"/>
        </w:rPr>
        <w:t xml:space="preserve">klist</w:t>
      </w:r>
      <w:r>
        <w:t xml:space="preserve">. La mesure préventive durable consiste à vérifier que</w:t>
      </w:r>
      <w:r>
        <w:t xml:space="preserve"> </w:t>
      </w:r>
      <w:r>
        <w:rPr>
          <w:rStyle w:val="VerbatimChar"/>
        </w:rPr>
        <w:t xml:space="preserve">chronyd</w:t>
      </w:r>
      <w:r>
        <w:t xml:space="preserve"> </w:t>
      </w:r>
      <w:r>
        <w:t xml:space="preserve">(ou l’équivalent) est activé et actif en permanence (</w:t>
      </w:r>
      <w:r>
        <w:rPr>
          <w:rStyle w:val="VerbatimChar"/>
        </w:rPr>
        <w:t xml:space="preserve">systemctl is-enabled chronyd</w:t>
      </w:r>
      <w:r>
        <w:t xml:space="preserve">, rappel direct du chapitre 16), et à ajouter une vérification de la synchronisation NTP au script de santé quotidien du chapitre 20 ou 21, pour détecter une future désynchronisation avant qu’elle ne bloque réellement les utilisateurs.</w:t>
      </w:r>
    </w:p>
    <w:p>
      <w:pPr>
        <w:pStyle w:val="BodyText"/>
      </w:pPr>
      <w:r>
        <w:rPr>
          <w:b/>
          <w:bCs/>
        </w:rPr>
        <w:t xml:space="preserve">Dépannage</w:t>
      </w:r>
      <w:r>
        <w:t xml:space="preserve"> </w:t>
      </w:r>
      <w:r>
        <w:t xml:space="preserve">: si</w:t>
      </w:r>
      <w:r>
        <w:t xml:space="preserve"> </w:t>
      </w:r>
      <w:r>
        <w:rPr>
          <w:rStyle w:val="VerbatimChar"/>
        </w:rPr>
        <w:t xml:space="preserve">chronyc makestep</w:t>
      </w:r>
      <w:r>
        <w:t xml:space="preserve"> </w:t>
      </w:r>
      <w:r>
        <w:t xml:space="preserve">ne suffit pas à résoudre le problème, vérifie que le service</w:t>
      </w:r>
      <w:r>
        <w:t xml:space="preserve"> </w:t>
      </w:r>
      <w:r>
        <w:rPr>
          <w:rStyle w:val="VerbatimChar"/>
        </w:rPr>
        <w:t xml:space="preserve">chronyd</w:t>
      </w:r>
      <w:r>
        <w:t xml:space="preserve"> </w:t>
      </w:r>
      <w:r>
        <w:t xml:space="preserve">est bien actif (</w:t>
      </w:r>
      <w:r>
        <w:rPr>
          <w:rStyle w:val="VerbatimChar"/>
        </w:rPr>
        <w:t xml:space="preserve">systemctl status chronyd</w:t>
      </w:r>
      <w:r>
        <w:t xml:space="preserve">, chapitre 16) — un service de synchronisation temporelle arrêté ne peut évidemment maintenir aucune synchronisation, peu importe les commandes ponctuelles exécutées.</w:t>
      </w:r>
    </w:p>
    <w:bookmarkEnd w:id="569"/>
    <w:bookmarkStart w:id="570" w:name="erreurs-fréquentes-22"/>
    <w:p>
      <w:pPr>
        <w:pStyle w:val="Heading2"/>
      </w:pPr>
      <w:r>
        <w:t xml:space="preserve">Erreurs fréquentes</w:t>
      </w:r>
    </w:p>
    <w:p>
      <w:pPr>
        <w:pStyle w:val="FirstParagraph"/>
      </w:pPr>
      <w:r>
        <w:t xml:space="preserve">⚠️ Erreur n°1 — chercher un problème de mot de passe face à</w:t>
      </w:r>
      <w:r>
        <w:t xml:space="preserve"> </w:t>
      </w:r>
      <w:r>
        <w:t xml:space="preserve">“Clock skew too great”</w:t>
      </w:r>
      <w:r>
        <w:t xml:space="preserve"> </w:t>
      </w:r>
      <w:r>
        <w:t xml:space="preserve">Exactement le piège du scénario d’ouverture — ce message ne concerne jamais l’identité ou le mot de passe, uniquement la synchronisation d’horloge, comme détaillé en section 23.4.</w:t>
      </w:r>
    </w:p>
    <w:p>
      <w:pPr>
        <w:pStyle w:val="BodyText"/>
      </w:pPr>
      <w:r>
        <w:t xml:space="preserve">⚠️ Erreur n°2 — élargir la tolérance d’horloge Kerberos pour</w:t>
      </w:r>
      <w:r>
        <w:t xml:space="preserve"> </w:t>
      </w:r>
      <w:r>
        <w:t xml:space="preserve">“éviter le problème”</w:t>
      </w:r>
      <w:r>
        <w:t xml:space="preserve"> </w:t>
      </w:r>
      <w:r>
        <w:t xml:space="preserve">Rappel de la section 23.5 : cette approche affaiblit directement la protection contre les attaques par rejeu, sans jamais corriger la cause réelle du problème.</w:t>
      </w:r>
    </w:p>
    <w:p>
      <w:pPr>
        <w:pStyle w:val="BodyText"/>
      </w:pPr>
      <w:r>
        <w:t xml:space="preserve">⚠️ Erreur n°3 — ne pas surveiller activement la synchronisation NTP</w:t>
      </w:r>
      <w:r>
        <w:t xml:space="preserve"> </w:t>
      </w:r>
      <w:r>
        <w:t xml:space="preserve">Un service NTP qui s’arrête silencieusement (après une mise à jour, un redémarrage, ou comme dans le scénario d’ouverture, une coupure de courant prolongée) peut passer inaperçu jusqu’à ce qu’il cause un incident réel — la supervision proactive de ce service (Partie 10) évite cette découverte tardive.</w:t>
      </w:r>
    </w:p>
    <w:bookmarkEnd w:id="570"/>
    <w:bookmarkStart w:id="571" w:name="X656985601e5448f3b0b6fe93c2a1dcb4cb8a8a5"/>
    <w:p>
      <w:pPr>
        <w:pStyle w:val="Heading2"/>
      </w:pPr>
      <w:r>
        <w:t xml:space="preserve">Diagnostiquer d’autres symptômes liés à Kerberos</w:t>
      </w:r>
    </w:p>
    <w:p>
      <w:pPr>
        <w:pStyle w:val="FirstParagraph"/>
      </w:pPr>
      <w:r>
        <w:t xml:space="preserve">🩺 Symptôme : authentification qui fonctionne le matin mais échoue en fin de journée</w:t>
      </w:r>
    </w:p>
    <w:p>
      <w:pPr>
        <w:pStyle w:val="Compact"/>
        <w:numPr>
          <w:ilvl w:val="0"/>
          <w:numId w:val="1529"/>
        </w:numPr>
      </w:pPr>
      <w:r>
        <w:rPr>
          <w:b/>
          <w:bCs/>
        </w:rPr>
        <w:t xml:space="preserve">Diagnostic</w:t>
      </w:r>
      <w:r>
        <w:t xml:space="preserve"> </w:t>
      </w:r>
      <w:r>
        <w:t xml:space="preserve">: un TGT a une durée de validité limitée (généralement 10 heures par défaut sur Active Directory) — une session ouverte depuis longtemps peut voir son ticket expirer en cours de journée.</w:t>
      </w:r>
    </w:p>
    <w:p>
      <w:pPr>
        <w:pStyle w:val="Compact"/>
        <w:numPr>
          <w:ilvl w:val="0"/>
          <w:numId w:val="1529"/>
        </w:numPr>
      </w:pPr>
      <w:r>
        <w:rPr>
          <w:b/>
          <w:bCs/>
        </w:rPr>
        <w:t xml:space="preserve">Comment vérifier</w:t>
      </w:r>
      <w:r>
        <w:t xml:space="preserve"> </w:t>
      </w:r>
      <w:r>
        <w:t xml:space="preserve">:</w:t>
      </w:r>
      <w:r>
        <w:t xml:space="preserve"> </w:t>
      </w:r>
      <w:r>
        <w:rPr>
          <w:rStyle w:val="VerbatimChar"/>
        </w:rPr>
        <w:t xml:space="preserve">klist</w:t>
      </w:r>
      <w:r>
        <w:t xml:space="preserve"> </w:t>
      </w:r>
      <w:r>
        <w:t xml:space="preserve">affiche la date d’expiration du ticket actuellement détenu.</w:t>
      </w:r>
    </w:p>
    <w:p>
      <w:pPr>
        <w:pStyle w:val="Compact"/>
        <w:numPr>
          <w:ilvl w:val="0"/>
          <w:numId w:val="1529"/>
        </w:numPr>
      </w:pPr>
      <w:r>
        <w:rPr>
          <w:b/>
          <w:bCs/>
        </w:rPr>
        <w:t xml:space="preserve">Résolution</w:t>
      </w:r>
      <w:r>
        <w:t xml:space="preserve"> </w:t>
      </w:r>
      <w:r>
        <w:t xml:space="preserve">: normalement, le système renouvelle automatiquement le ticket avant son expiration si la session reste active (</w:t>
      </w:r>
      <w:r>
        <w:rPr>
          <w:i/>
          <w:iCs/>
        </w:rPr>
        <w:t xml:space="preserve">ticket renewal</w:t>
      </w:r>
      <w:r>
        <w:t xml:space="preserve">) — un échec de ce renouvellement automatique mérite une investigation plus poussée du service SSSD ou de la configuration Kerberos locale, plutôt qu’une simple reconnexion répétée sans en comprendre la cause.</w:t>
      </w:r>
    </w:p>
    <w:bookmarkEnd w:id="571"/>
    <w:bookmarkStart w:id="572" w:name="en-entreprise-22"/>
    <w:p>
      <w:pPr>
        <w:pStyle w:val="Heading2"/>
      </w:pPr>
      <w:r>
        <w:t xml:space="preserve">En entreprise</w:t>
      </w:r>
    </w:p>
    <w:p>
      <w:pPr>
        <w:pStyle w:val="Compact"/>
        <w:numPr>
          <w:ilvl w:val="0"/>
          <w:numId w:val="1530"/>
        </w:numPr>
      </w:pPr>
      <w:r>
        <w:rPr>
          <w:b/>
          <w:bCs/>
        </w:rPr>
        <w:t xml:space="preserve">Bonne pratique répandue</w:t>
      </w:r>
      <w:r>
        <w:t xml:space="preserve"> </w:t>
      </w:r>
      <w:r>
        <w:t xml:space="preserve">: synchroniser l’horloge de tous les serveurs et postes de travail sur une source NTP fiable et unique, souvent le contrôleur de domaine lui-même agissant comme source de référence pour le reste de l’infrastructure — une architecture cohérente plutôt qu’une multitude de sources NTP non coordonnées.</w:t>
      </w:r>
    </w:p>
    <w:p>
      <w:pPr>
        <w:pStyle w:val="Compact"/>
        <w:numPr>
          <w:ilvl w:val="0"/>
          <w:numId w:val="1530"/>
        </w:numPr>
      </w:pPr>
      <w:r>
        <w:rPr>
          <w:b/>
          <w:bCs/>
        </w:rPr>
        <w:t xml:space="preserve">Bonne pratique répandue</w:t>
      </w:r>
      <w:r>
        <w:t xml:space="preserve"> </w:t>
      </w:r>
      <w:r>
        <w:t xml:space="preserve">: inclure la vérification de la synchronisation d’horloge dans toute checklist de mise en service d’un nouveau serveur (chapitre 3) — un réflexe simple qui évite exactement le type d’incident du scénario d’ouverture.</w:t>
      </w:r>
    </w:p>
    <w:p>
      <w:pPr>
        <w:pStyle w:val="Compact"/>
        <w:numPr>
          <w:ilvl w:val="0"/>
          <w:numId w:val="1530"/>
        </w:numPr>
      </w:pPr>
      <w:r>
        <w:rPr>
          <w:b/>
          <w:bCs/>
        </w:rPr>
        <w:t xml:space="preserve">Erreur classique observée</w:t>
      </w:r>
      <w:r>
        <w:t xml:space="preserve"> </w:t>
      </w:r>
      <w:r>
        <w:t xml:space="preserve">: un environnement de test ou une machine virtuelle clonée depuis une image ancienne, dont l’horloge reste figée à la date de création de l’image — une source fréquente et déroutante d’erreurs Kerberos dans des environnements de développement, souvent mal comprise par des équipes moins familières avec ce mécanisme.</w:t>
      </w:r>
    </w:p>
    <w:bookmarkEnd w:id="572"/>
    <w:bookmarkStart w:id="573" w:name="entretien-technique-22"/>
    <w:p>
      <w:pPr>
        <w:pStyle w:val="Heading2"/>
      </w:pPr>
      <w:r>
        <w:t xml:space="preserve">Entretien technique</w:t>
      </w:r>
    </w:p>
    <w:p>
      <w:pPr>
        <w:pStyle w:val="FirstParagraph"/>
      </w:pPr>
      <w:r>
        <w:t xml:space="preserve">💼 Questions fréquemment posées en entretien</w:t>
      </w:r>
    </w:p>
    <w:p>
      <w:pPr>
        <w:pStyle w:val="BodyText"/>
      </w:pPr>
      <w:r>
        <w:rPr>
          <w:b/>
          <w:bCs/>
        </w:rPr>
        <w:t xml:space="preserve">Q1.</w:t>
      </w:r>
      <w:r>
        <w:rPr>
          <w:b/>
          <w:bCs/>
        </w:rPr>
        <w:t xml:space="preserve"> </w:t>
      </w:r>
      <w:r>
        <w:rPr>
          <w:b/>
          <w:bCs/>
        </w:rPr>
        <w:t xml:space="preserve">“Explique le flux d’authentification Kerberos en quelques phrases.”</w:t>
      </w:r>
      <w:r>
        <w:t xml:space="preserve"> </w:t>
      </w:r>
      <w:r>
        <w:t xml:space="preserve">Réponse attendue : le client prouve son identité au KDC sans jamais transmettre son mot de passe, reçoit un TGT réutilisable ; ce TGT est ensuite échangé contre un ticket spécifique à chaque service demandé ; ce ticket de service est présenté directement au service concerné, qui accorde l’accès sans recontacter le KDC.</w:t>
      </w:r>
    </w:p>
    <w:p>
      <w:pPr>
        <w:pStyle w:val="BodyText"/>
      </w:pPr>
      <w:r>
        <w:rPr>
          <w:b/>
          <w:bCs/>
        </w:rPr>
        <w:t xml:space="preserve">Q2.</w:t>
      </w:r>
      <w:r>
        <w:rPr>
          <w:b/>
          <w:bCs/>
        </w:rPr>
        <w:t xml:space="preserve"> </w:t>
      </w:r>
      <w:r>
        <w:rPr>
          <w:b/>
          <w:bCs/>
        </w:rPr>
        <w:t xml:space="preserve">“Qu’est-ce que le message</w:t>
      </w:r>
      <w:r>
        <w:rPr>
          <w:b/>
          <w:bCs/>
        </w:rPr>
        <w:t xml:space="preserve"> </w:t>
      </w:r>
      <w:r>
        <w:rPr>
          <w:b/>
          <w:bCs/>
        </w:rPr>
        <w:t xml:space="preserve">‘Clock skew too great’</w:t>
      </w:r>
      <w:r>
        <w:rPr>
          <w:b/>
          <w:bCs/>
        </w:rPr>
        <w:t xml:space="preserve"> </w:t>
      </w:r>
      <w:r>
        <w:rPr>
          <w:b/>
          <w:bCs/>
        </w:rPr>
        <w:t xml:space="preserve">signifie, et comment le résous-tu ?”</w:t>
      </w:r>
      <w:r>
        <w:t xml:space="preserve"> </w:t>
      </w:r>
      <w:r>
        <w:t xml:space="preserve">Réponse attendue : il indique un écart d’horloge trop important (généralement plus de 5 minutes) entre le client et le KDC, rejeté par Kerberos comme mesure de protection contre les attaques par rejeu — jamais un problème de mot de passe. La résolution consiste à corriger la synchronisation NTP du serveur concerné, jamais à élargir la tolérance d’horloge elle-même.</w:t>
      </w:r>
    </w:p>
    <w:p>
      <w:pPr>
        <w:pStyle w:val="BodyText"/>
      </w:pPr>
      <w:r>
        <w:rPr>
          <w:b/>
          <w:bCs/>
        </w:rPr>
        <w:t xml:space="preserve">Q3.</w:t>
      </w:r>
      <w:r>
        <w:rPr>
          <w:b/>
          <w:bCs/>
        </w:rPr>
        <w:t xml:space="preserve"> </w:t>
      </w:r>
      <w:r>
        <w:rPr>
          <w:b/>
          <w:bCs/>
        </w:rPr>
        <w:t xml:space="preserve">“Pourquoi Kerberos est-il considéré comme plus sûr qu’une authentification par simple mot de passe transmis au serveur ?”</w:t>
      </w:r>
      <w:r>
        <w:t xml:space="preserve"> </w:t>
      </w:r>
      <w:r>
        <w:t xml:space="preserve">Réponse attendue : le mot de passe original ne transite jamais sur le réseau, même sous forme chiffrée directement — seule une preuve dérivée (l’horodatage chiffré) circule, rendant une interception réseau beaucoup moins exploitable qu’avec un protocole transmettant directement un mot de passe ou son hachage.</w:t>
      </w:r>
    </w:p>
    <w:bookmarkEnd w:id="573"/>
    <w:bookmarkStart w:id="574" w:name="X38699625672d0e37eee8b3e8e4c23cc8e2057a7"/>
    <w:p>
      <w:pPr>
        <w:pStyle w:val="Heading2"/>
      </w:pPr>
      <w:r>
        <w:t xml:space="preserve">Optimisation, sécurité et maintenabilité — les réflexes dès ce chapitre</w:t>
      </w:r>
    </w:p>
    <w:p>
      <w:pPr>
        <w:pStyle w:val="FirstParagraph"/>
      </w:pPr>
      <w:r>
        <w:t xml:space="preserve">🔒 Sécurité</w:t>
      </w:r>
      <w:r>
        <w:t xml:space="preserve"> </w:t>
      </w:r>
      <w:r>
        <w:t xml:space="preserve">Ne considère jamais un écart d’horloge Kerberos comme un problème purement technique isolé — dans de rares cas, un décalage d’horloge délibérément provoqué peut faire partie d’une tentative d’attaque par rejeu ; un écart soudain et inexpliqué, hors contexte connu comme une coupure de courant, mérite une vérification de sécurité, pas seulement une correction technique automatique.</w:t>
      </w:r>
    </w:p>
    <w:p>
      <w:pPr>
        <w:pStyle w:val="BodyText"/>
      </w:pPr>
      <w:r>
        <w:t xml:space="preserve">✅ Maintenabilité</w:t>
      </w:r>
      <w:r>
        <w:t xml:space="preserve"> </w:t>
      </w:r>
      <w:r>
        <w:t xml:space="preserve">Documente (chapitre 3) la source NTP de référence de l’infrastructure et la hiérarchie de synchronisation entre les serveurs — une information simple, mais qui accélère considérablement le diagnostic futur d’un incident similaire à celui du scénario d’ouverture.</w:t>
      </w:r>
    </w:p>
    <w:p>
      <w:pPr>
        <w:pStyle w:val="BodyText"/>
      </w:pPr>
      <w:r>
        <w:t xml:space="preserve">🚀 Performance</w:t>
      </w:r>
      <w:r>
        <w:t xml:space="preserve"> </w:t>
      </w:r>
      <w:r>
        <w:t xml:space="preserve">Intègre une vérification de synchronisation d’horloge dans le script de supervision quotidien des chapitres 20-21 — un contrôle rapide et peu coûteux qui peut détecter une désynchronisation avant qu’elle ne bloque réellement des utilisateurs, exactement la discipline proactive du chapitre 1.</w:t>
      </w:r>
    </w:p>
    <w:bookmarkEnd w:id="574"/>
    <w:bookmarkStart w:id="575" w:name="résumé-du-chapitre-22"/>
    <w:p>
      <w:pPr>
        <w:pStyle w:val="Heading2"/>
      </w:pPr>
      <w:r>
        <w:t xml:space="preserve">Résumé du chapitre</w:t>
      </w:r>
    </w:p>
    <w:p>
      <w:pPr>
        <w:pStyle w:val="Compact"/>
        <w:numPr>
          <w:ilvl w:val="0"/>
          <w:numId w:val="1531"/>
        </w:numPr>
      </w:pPr>
      <w:r>
        <w:t xml:space="preserve">Kerberos est le protocole d’authentification qui fonctionne en coulisses derrière Active Directory et SSSD, permettant de prouver une identité sans jamais transmettre le mot de passe sur le réseau.</w:t>
      </w:r>
    </w:p>
    <w:p>
      <w:pPr>
        <w:pStyle w:val="Compact"/>
        <w:numPr>
          <w:ilvl w:val="0"/>
          <w:numId w:val="1531"/>
        </w:numPr>
      </w:pPr>
      <w:r>
        <w:t xml:space="preserve">Le flux Kerberos se déroule en trois temps : obtention d’un TGT auprès du KDC, échange de ce TGT contre un ticket de service, présentation de ce ticket au service demandé.</w:t>
      </w:r>
    </w:p>
    <w:p>
      <w:pPr>
        <w:pStyle w:val="Compact"/>
        <w:numPr>
          <w:ilvl w:val="0"/>
          <w:numId w:val="1531"/>
        </w:numPr>
      </w:pPr>
      <w:r>
        <w:t xml:space="preserve">Kerberos tolère un écart maximal de 5 minutes entre l’horloge du client et celle du KDC, une protection contre les attaques par rejeu.</w:t>
      </w:r>
    </w:p>
    <w:p>
      <w:pPr>
        <w:pStyle w:val="Compact"/>
        <w:numPr>
          <w:ilvl w:val="0"/>
          <w:numId w:val="1531"/>
        </w:numPr>
      </w:pPr>
      <w:r>
        <w:t xml:space="preserve">Le message</w:t>
      </w:r>
      <w:r>
        <w:t xml:space="preserve"> </w:t>
      </w:r>
      <w:r>
        <w:t xml:space="preserve">“Clock skew too great”</w:t>
      </w:r>
      <w:r>
        <w:t xml:space="preserve"> </w:t>
      </w:r>
      <w:r>
        <w:t xml:space="preserve">indique toujours un problème de synchronisation d’horloge, jamais un problème de mot de passe ou de permission.</w:t>
      </w:r>
    </w:p>
    <w:p>
      <w:pPr>
        <w:pStyle w:val="Compact"/>
        <w:numPr>
          <w:ilvl w:val="0"/>
          <w:numId w:val="1531"/>
        </w:numPr>
      </w:pPr>
      <w:r>
        <w:t xml:space="preserve">La correction durable passe par la synchronisation NTP active et surveillée, jamais par un élargissement de la tolérance d’horloge Kerberos elle-même.</w:t>
      </w:r>
    </w:p>
    <w:bookmarkEnd w:id="575"/>
    <w:bookmarkStart w:id="576" w:name="quiz-22"/>
    <w:p>
      <w:pPr>
        <w:pStyle w:val="Heading2"/>
      </w:pPr>
      <w:r>
        <w:t xml:space="preserve">Quiz</w:t>
      </w:r>
    </w:p>
    <w:p>
      <w:pPr>
        <w:pStyle w:val="FirstParagraph"/>
      </w:pPr>
      <w:r>
        <w:t xml:space="preserve">📝 QCM (une seule bonne réponse par question)</w:t>
      </w:r>
    </w:p>
    <w:p>
      <w:pPr>
        <w:pStyle w:val="Compact"/>
        <w:numPr>
          <w:ilvl w:val="0"/>
          <w:numId w:val="1532"/>
        </w:numPr>
      </w:pPr>
      <w:r>
        <w:t xml:space="preserve">Kerberos permet à un client de prouver son identité :</w:t>
      </w:r>
    </w:p>
    <w:p>
      <w:pPr>
        <w:pStyle w:val="Compact"/>
        <w:numPr>
          <w:ilvl w:val="1"/>
          <w:numId w:val="1533"/>
        </w:numPr>
      </w:pPr>
    </w:p>
    <w:p>
      <w:pPr>
        <w:pStyle w:val="Compact"/>
        <w:numPr>
          <w:ilvl w:val="2"/>
          <w:numId w:val="1534"/>
        </w:numPr>
      </w:pPr>
      <w:r>
        <w:t xml:space="preserve">En transmettant son mot de passe chiffré sur le réseau</w:t>
      </w:r>
    </w:p>
    <w:p>
      <w:pPr>
        <w:pStyle w:val="Compact"/>
        <w:numPr>
          <w:ilvl w:val="1"/>
          <w:numId w:val="1533"/>
        </w:numPr>
      </w:pPr>
    </w:p>
    <w:p>
      <w:pPr>
        <w:pStyle w:val="Compact"/>
        <w:numPr>
          <w:ilvl w:val="2"/>
          <w:numId w:val="1535"/>
        </w:numPr>
      </w:pPr>
      <w:r>
        <w:t xml:space="preserve">En transmettant son mot de passe en clair</w:t>
      </w:r>
    </w:p>
    <w:p>
      <w:pPr>
        <w:pStyle w:val="Compact"/>
        <w:numPr>
          <w:ilvl w:val="1"/>
          <w:numId w:val="1533"/>
        </w:numPr>
      </w:pPr>
    </w:p>
    <w:p>
      <w:pPr>
        <w:pStyle w:val="Compact"/>
        <w:numPr>
          <w:ilvl w:val="2"/>
          <w:numId w:val="1536"/>
        </w:numPr>
      </w:pPr>
      <w:r>
        <w:t xml:space="preserve">Sans jamais transmettre son mot de passe original sur le réseau</w:t>
      </w:r>
    </w:p>
    <w:p>
      <w:pPr>
        <w:pStyle w:val="Compact"/>
        <w:numPr>
          <w:ilvl w:val="1"/>
          <w:numId w:val="1533"/>
        </w:numPr>
      </w:pPr>
    </w:p>
    <w:p>
      <w:pPr>
        <w:pStyle w:val="Compact"/>
        <w:numPr>
          <w:ilvl w:val="2"/>
          <w:numId w:val="1537"/>
        </w:numPr>
      </w:pPr>
      <w:r>
        <w:t xml:space="preserve">Uniquement via une adresse IP fixe</w:t>
      </w:r>
    </w:p>
    <w:p>
      <w:pPr>
        <w:pStyle w:val="Compact"/>
        <w:numPr>
          <w:ilvl w:val="0"/>
          <w:numId w:val="1532"/>
        </w:numPr>
      </w:pPr>
      <w:r>
        <w:t xml:space="preserve">Le message</w:t>
      </w:r>
      <w:r>
        <w:t xml:space="preserve"> </w:t>
      </w:r>
      <w:r>
        <w:t xml:space="preserve">“Clock skew too great”</w:t>
      </w:r>
      <w:r>
        <w:t xml:space="preserve"> </w:t>
      </w:r>
      <w:r>
        <w:t xml:space="preserve">indique :</w:t>
      </w:r>
    </w:p>
    <w:p>
      <w:pPr>
        <w:pStyle w:val="Compact"/>
        <w:numPr>
          <w:ilvl w:val="1"/>
          <w:numId w:val="1538"/>
        </w:numPr>
      </w:pPr>
    </w:p>
    <w:p>
      <w:pPr>
        <w:pStyle w:val="Compact"/>
        <w:numPr>
          <w:ilvl w:val="2"/>
          <w:numId w:val="1539"/>
        </w:numPr>
      </w:pPr>
      <w:r>
        <w:t xml:space="preserve">Un mot de passe incorrect</w:t>
      </w:r>
    </w:p>
    <w:p>
      <w:pPr>
        <w:pStyle w:val="Compact"/>
        <w:numPr>
          <w:ilvl w:val="1"/>
          <w:numId w:val="1538"/>
        </w:numPr>
      </w:pPr>
    </w:p>
    <w:p>
      <w:pPr>
        <w:pStyle w:val="Compact"/>
        <w:numPr>
          <w:ilvl w:val="2"/>
          <w:numId w:val="1540"/>
        </w:numPr>
      </w:pPr>
      <w:r>
        <w:t xml:space="preserve">Un compte désactivé</w:t>
      </w:r>
    </w:p>
    <w:p>
      <w:pPr>
        <w:pStyle w:val="Compact"/>
        <w:numPr>
          <w:ilvl w:val="1"/>
          <w:numId w:val="1538"/>
        </w:numPr>
      </w:pPr>
    </w:p>
    <w:p>
      <w:pPr>
        <w:pStyle w:val="Compact"/>
        <w:numPr>
          <w:ilvl w:val="2"/>
          <w:numId w:val="1541"/>
        </w:numPr>
      </w:pPr>
      <w:r>
        <w:t xml:space="preserve">Un écart d’horloge trop important entre le client et le KDC</w:t>
      </w:r>
    </w:p>
    <w:p>
      <w:pPr>
        <w:pStyle w:val="Compact"/>
        <w:numPr>
          <w:ilvl w:val="1"/>
          <w:numId w:val="1538"/>
        </w:numPr>
      </w:pPr>
    </w:p>
    <w:p>
      <w:pPr>
        <w:pStyle w:val="Compact"/>
        <w:numPr>
          <w:ilvl w:val="2"/>
          <w:numId w:val="1542"/>
        </w:numPr>
      </w:pPr>
      <w:r>
        <w:t xml:space="preserve">Une permission insuffisante</w:t>
      </w:r>
    </w:p>
    <w:p>
      <w:pPr>
        <w:pStyle w:val="Compact"/>
        <w:numPr>
          <w:ilvl w:val="0"/>
          <w:numId w:val="1532"/>
        </w:numPr>
      </w:pPr>
      <w:r>
        <w:t xml:space="preserve">La tolérance d’horloge par défaut de Kerberos est généralement de :</w:t>
      </w:r>
    </w:p>
    <w:p>
      <w:pPr>
        <w:pStyle w:val="Compact"/>
        <w:numPr>
          <w:ilvl w:val="1"/>
          <w:numId w:val="1543"/>
        </w:numPr>
      </w:pPr>
    </w:p>
    <w:p>
      <w:pPr>
        <w:pStyle w:val="Compact"/>
        <w:numPr>
          <w:ilvl w:val="2"/>
          <w:numId w:val="1544"/>
        </w:numPr>
      </w:pPr>
      <w:r>
        <w:t xml:space="preserve">5 minutes</w:t>
      </w:r>
    </w:p>
    <w:p>
      <w:pPr>
        <w:pStyle w:val="Compact"/>
        <w:numPr>
          <w:ilvl w:val="1"/>
          <w:numId w:val="1543"/>
        </w:numPr>
      </w:pPr>
    </w:p>
    <w:p>
      <w:pPr>
        <w:pStyle w:val="Compact"/>
        <w:numPr>
          <w:ilvl w:val="2"/>
          <w:numId w:val="1545"/>
        </w:numPr>
      </w:pPr>
      <w:r>
        <w:t xml:space="preserve">1 heure</w:t>
      </w:r>
    </w:p>
    <w:p>
      <w:pPr>
        <w:pStyle w:val="Compact"/>
        <w:numPr>
          <w:ilvl w:val="1"/>
          <w:numId w:val="1543"/>
        </w:numPr>
      </w:pPr>
    </w:p>
    <w:p>
      <w:pPr>
        <w:pStyle w:val="Compact"/>
        <w:numPr>
          <w:ilvl w:val="2"/>
          <w:numId w:val="1546"/>
        </w:numPr>
      </w:pPr>
      <w:r>
        <w:t xml:space="preserve">24 heures</w:t>
      </w:r>
    </w:p>
    <w:p>
      <w:pPr>
        <w:pStyle w:val="Compact"/>
        <w:numPr>
          <w:ilvl w:val="1"/>
          <w:numId w:val="1543"/>
        </w:numPr>
      </w:pPr>
    </w:p>
    <w:p>
      <w:pPr>
        <w:pStyle w:val="Compact"/>
        <w:numPr>
          <w:ilvl w:val="2"/>
          <w:numId w:val="1547"/>
        </w:numPr>
      </w:pPr>
      <w:r>
        <w:t xml:space="preserve">Aucune tolérance, l’horloge doit être parfaitement identique</w:t>
      </w:r>
    </w:p>
    <w:p>
      <w:pPr>
        <w:pStyle w:val="FirstParagraph"/>
      </w:pPr>
      <w:r>
        <w:rPr>
          <w:b/>
          <w:bCs/>
        </w:rPr>
        <w:t xml:space="preserve">Corrigé</w:t>
      </w:r>
      <w:r>
        <w:t xml:space="preserve"> </w:t>
      </w:r>
      <w:r>
        <w:t xml:space="preserve">: 1-c, 2-c, 3-a.</w:t>
      </w:r>
    </w:p>
    <w:p>
      <w:pPr>
        <w:pStyle w:val="BodyText"/>
      </w:pPr>
      <w:r>
        <w:t xml:space="preserve">📝 Vrai ou Faux</w:t>
      </w:r>
    </w:p>
    <w:p>
      <w:pPr>
        <w:pStyle w:val="Compact"/>
        <w:numPr>
          <w:ilvl w:val="0"/>
          <w:numId w:val="1548"/>
        </w:numPr>
      </w:pPr>
      <w:r>
        <w:t xml:space="preserve">Un TGT (Ticket Granting Ticket) doit être redemandé pour chaque nouveau service accédé pendant une session. —</w:t>
      </w:r>
      <w:r>
        <w:t xml:space="preserve"> </w:t>
      </w:r>
      <w:r>
        <w:rPr>
          <w:b/>
          <w:bCs/>
        </w:rPr>
        <w:t xml:space="preserve">Faux</w:t>
      </w:r>
      <w:r>
        <w:t xml:space="preserve"> </w:t>
      </w:r>
      <w:r>
        <w:t xml:space="preserve">(le TGT est réutilisé pour obtenir des tickets de service successifs, section 23.3).</w:t>
      </w:r>
    </w:p>
    <w:p>
      <w:pPr>
        <w:pStyle w:val="Compact"/>
        <w:numPr>
          <w:ilvl w:val="0"/>
          <w:numId w:val="1548"/>
        </w:numPr>
      </w:pPr>
      <w:r>
        <w:t xml:space="preserve">Élargir la tolérance d’horloge Kerberos est une bonne pratique pour éviter les incidents de type</w:t>
      </w:r>
      <w:r>
        <w:t xml:space="preserve"> </w:t>
      </w:r>
      <w:r>
        <w:t xml:space="preserve">“Clock skew too great”</w:t>
      </w:r>
      <w:r>
        <w:t xml:space="preserve">. —</w:t>
      </w:r>
      <w:r>
        <w:t xml:space="preserve"> </w:t>
      </w:r>
      <w:r>
        <w:rPr>
          <w:b/>
          <w:bCs/>
        </w:rPr>
        <w:t xml:space="preserve">Faux</w:t>
      </w:r>
      <w:r>
        <w:t xml:space="preserve"> </w:t>
      </w:r>
      <w:r>
        <w:t xml:space="preserve">(cela affaiblit la protection contre les attaques par rejeu, section 23.5).</w:t>
      </w:r>
    </w:p>
    <w:p>
      <w:pPr>
        <w:pStyle w:val="Compact"/>
        <w:numPr>
          <w:ilvl w:val="0"/>
          <w:numId w:val="1548"/>
        </w:numPr>
      </w:pPr>
      <w:r>
        <w:t xml:space="preserve">La synchronisation NTP doit être surveillée en continu, pas seulement corrigée après un incident. —</w:t>
      </w:r>
      <w:r>
        <w:t xml:space="preserve"> </w:t>
      </w:r>
      <w:r>
        <w:rPr>
          <w:b/>
          <w:bCs/>
        </w:rPr>
        <w:t xml:space="preserve">Vrai</w:t>
      </w:r>
      <w:r>
        <w:t xml:space="preserve">.</w:t>
      </w:r>
    </w:p>
    <w:p>
      <w:pPr>
        <w:pStyle w:val="Compact"/>
        <w:numPr>
          <w:ilvl w:val="0"/>
          <w:numId w:val="1548"/>
        </w:numPr>
      </w:pPr>
      <w:r>
        <w:t xml:space="preserve">Kerberos transmet le mot de passe de l’utilisateur, mais chiffré, à chaque authentification. —</w:t>
      </w:r>
      <w:r>
        <w:t xml:space="preserve"> </w:t>
      </w:r>
      <w:r>
        <w:rPr>
          <w:b/>
          <w:bCs/>
        </w:rPr>
        <w:t xml:space="preserve">Faux</w:t>
      </w:r>
      <w:r>
        <w:t xml:space="preserve"> </w:t>
      </w:r>
      <w:r>
        <w:t xml:space="preserve">(le mot de passe original ne transite jamais, même chiffré, section 23.1).</w:t>
      </w:r>
    </w:p>
    <w:p>
      <w:pPr>
        <w:pStyle w:val="FirstParagraph"/>
      </w:pPr>
      <w:r>
        <w:t xml:space="preserve">📝 Questions ouvertes</w:t>
      </w:r>
    </w:p>
    <w:p>
      <w:pPr>
        <w:pStyle w:val="Compact"/>
        <w:numPr>
          <w:ilvl w:val="0"/>
          <w:numId w:val="1549"/>
        </w:numPr>
      </w:pPr>
      <w:r>
        <w:t xml:space="preserve">Explique pourquoi la protection contre les attaques par rejeu justifie une tolérance d’horloge stricte plutôt que généreuse.</w:t>
      </w:r>
    </w:p>
    <w:p>
      <w:pPr>
        <w:pStyle w:val="Compact"/>
        <w:numPr>
          <w:ilvl w:val="0"/>
          <w:numId w:val="1549"/>
        </w:numPr>
      </w:pPr>
      <w:r>
        <w:t xml:space="preserve">Reprends le scénario d’ouverture. Explique pourquoi ce type d’incident est particulièrement pertinent à anticiper dans le contexte spécifique d’Haïti évoqué depuis le début de ce manuel.</w:t>
      </w:r>
    </w:p>
    <w:p>
      <w:pPr>
        <w:pStyle w:val="FirstParagraph"/>
      </w:pPr>
      <w:r>
        <w:rPr>
          <w:b/>
          <w:bCs/>
        </w:rPr>
        <w:t xml:space="preserve">Corrigé 1</w:t>
      </w:r>
      <w:r>
        <w:t xml:space="preserve"> </w:t>
      </w:r>
      <w:r>
        <w:t xml:space="preserve">: une attaque par rejeu consiste à intercepter un message d’authentification légitime et à le renvoyer plus tard pour usurper l’identité de l’expéditeur original. L’horodatage chiffré de Kerberos rend ce type d’attaque détectable, à condition que la fenêtre de tolérance reste courte — un horodatage rejoué plusieurs heures après son émission originale serait immédiatement identifiable comme invalide avec une tolérance stricte de 5 minutes, alors qu’une tolérance élargie (par exemple plusieurs heures) donnerait à un attaquant une fenêtre bien plus large pour exploiter un message intercepté.</w:t>
      </w:r>
    </w:p>
    <w:p>
      <w:pPr>
        <w:pStyle w:val="BodyText"/>
      </w:pPr>
      <w:r>
        <w:rPr>
          <w:b/>
          <w:bCs/>
        </w:rPr>
        <w:t xml:space="preserve">Corrigé 2</w:t>
      </w:r>
      <w:r>
        <w:t xml:space="preserve"> </w:t>
      </w:r>
      <w:r>
        <w:t xml:space="preserve">: les coupures de courant fréquentes évoquées dès le chapitre 1 (plan du manuel) et le chapitre 6 (coupure réseau du Cap-Haïtien) rendent ce type d’incident de désynchronisation d’horloge particulièrement probable dans ce contexte précis — un serveur sans onduleur suffisant ou avec une horloge matérielle imprécise peut dériver significativement après chaque coupure prolongée. Anticiper ce risque par une synchronisation NTP robuste et surveillée (section 23.5) est donc une mesure directement pertinente pour ce contexte opérationnel réel, pas une précaution théorique abstraite.</w:t>
      </w:r>
    </w:p>
    <w:bookmarkEnd w:id="576"/>
    <w:bookmarkStart w:id="577" w:name="exercices-22"/>
    <w:p>
      <w:pPr>
        <w:pStyle w:val="Heading2"/>
      </w:pPr>
      <w:r>
        <w:t xml:space="preserve">Exercices</w:t>
      </w:r>
    </w:p>
    <w:p>
      <w:pPr>
        <w:pStyle w:val="FirstParagraph"/>
      </w:pPr>
      <w:r>
        <w:t xml:space="preserve">📝 Exercice 23.1</w:t>
      </w:r>
    </w:p>
    <w:p>
      <w:pPr>
        <w:pStyle w:val="BodyText"/>
      </w:pPr>
      <w:r>
        <w:t xml:space="preserve">Un utilisateur signale qu’il pouvait accéder normalement à une application ce matin, mais reçoit maintenant une erreur d’authentification en fin d’après-midi, sans avoir changé de mot de passe ni redémarré son poste. Propose une hypothèse de cause probable, différente de celle du scénario d’ouverture, en t’appuyant sur la section 23.6.</w:t>
      </w:r>
    </w:p>
    <w:p>
      <w:pPr>
        <w:pStyle w:val="BodyText"/>
      </w:pPr>
      <w:r>
        <w:rPr>
          <w:b/>
          <w:bCs/>
        </w:rPr>
        <w:t xml:space="preserve">Corrigé :</w:t>
      </w:r>
      <w:r>
        <w:t xml:space="preserve"> </w:t>
      </w:r>
      <w:r>
        <w:t xml:space="preserve">L’hypothèse la plus probable, différente d’un problème d’horloge, est l’expiration du ticket Kerberos (TGT) après une session prolongée sans renouvellement automatique réussi (section</w:t>
      </w:r>
      <w:r>
        <w:t xml:space="preserve"> </w:t>
      </w:r>
      <w:r>
        <w:t xml:space="preserve">“Diagnostiquer d’autres symptômes liés à Kerberos”</w:t>
      </w:r>
      <w:r>
        <w:t xml:space="preserve">) — une durée de validité de ticket généralement fixée à plusieurs heures peut expirer en cours de journée si le renouvellement automatique échoue pour une raison quelconque.</w:t>
      </w:r>
      <w:r>
        <w:t xml:space="preserve"> </w:t>
      </w:r>
      <w:r>
        <w:rPr>
          <w:rStyle w:val="VerbatimChar"/>
        </w:rPr>
        <w:t xml:space="preserve">klist</w:t>
      </w:r>
      <w:r>
        <w:t xml:space="preserve"> </w:t>
      </w:r>
      <w:r>
        <w:t xml:space="preserve">permettrait de vérifier la date d’expiration du ticket actuellement détenu par l’utilisateur pour confirmer cette hypothèse avant d’explorer d’autres pistes.</w:t>
      </w:r>
    </w:p>
    <w:p>
      <w:pPr>
        <w:pStyle w:val="BodyText"/>
      </w:pPr>
      <w:r>
        <w:t xml:space="preserve">📝 Exercice 23.2</w:t>
      </w:r>
    </w:p>
    <w:p>
      <w:pPr>
        <w:pStyle w:val="BodyText"/>
      </w:pPr>
      <w:r>
        <w:t xml:space="preserve">Rédige, en 3 à 5 phrases, une entrée de checklist de mise en service d’un nouveau serveur (chapitre 3) destinée à prévenir l’incident du scénario d’ouverture avant qu’il ne se produise sur un futur serveur.</w:t>
      </w:r>
    </w:p>
    <w:p>
      <w:pPr>
        <w:pStyle w:val="BodyText"/>
      </w:pPr>
      <w:r>
        <w:rPr>
          <w:b/>
          <w:bCs/>
        </w:rPr>
        <w:t xml:space="preserve">Corrigé (exemple de réponse) :</w:t>
      </w:r>
      <w:r>
        <w:t xml:space="preserve"> </w:t>
      </w:r>
      <w:r>
        <w:t xml:space="preserve">“Avant la mise en production, vérifier que le service de synchronisation temporelle (chronyd ou équivalent) est activé et actif (</w:t>
      </w:r>
      <w:r>
        <w:rPr>
          <w:rStyle w:val="VerbatimChar"/>
        </w:rPr>
        <w:t xml:space="preserve">systemctl is-enabled</w:t>
      </w:r>
      <w:r>
        <w:t xml:space="preserve"> </w:t>
      </w:r>
      <w:r>
        <w:t xml:space="preserve">et</w:t>
      </w:r>
      <w:r>
        <w:t xml:space="preserve"> </w:t>
      </w:r>
      <w:r>
        <w:rPr>
          <w:rStyle w:val="VerbatimChar"/>
        </w:rPr>
        <w:t xml:space="preserve">systemctl status</w:t>
      </w:r>
      <w:r>
        <w:t xml:space="preserve">, chapitre 16), et confirmer avec</w:t>
      </w:r>
      <w:r>
        <w:t xml:space="preserve"> </w:t>
      </w:r>
      <w:r>
        <w:rPr>
          <w:rStyle w:val="VerbatimChar"/>
        </w:rPr>
        <w:t xml:space="preserve">timedatectl</w:t>
      </w:r>
      <w:r>
        <w:t xml:space="preserve"> </w:t>
      </w:r>
      <w:r>
        <w:t xml:space="preserve">que l’horloge du serveur est correctement synchronisée avec la source NTP de référence de l’infrastructure. Ajouter également ce serveur à la liste des vérifications du script de supervision quotidien (chapitres 20-21), pour détecter proactivement toute dérive future plutôt que de découvrir le problème via une plainte d’utilisateur.”</w:t>
      </w:r>
    </w:p>
    <w:bookmarkEnd w:id="577"/>
    <w:bookmarkStart w:id="578" w:name="checklist-de-fin-de-chapitre-22"/>
    <w:p>
      <w:pPr>
        <w:pStyle w:val="Heading2"/>
      </w:pPr>
      <w:r>
        <w:t xml:space="preserve">Checklist de fin de chapitre</w:t>
      </w:r>
    </w:p>
    <w:p>
      <w:pPr>
        <w:pStyle w:val="FirstParagraph"/>
      </w:pPr>
      <w:r>
        <w:t xml:space="preserve">☐ Je comprends que Kerberos permet une authentification sans jamais transmettre le mot de passe original sur le réseau.</w:t>
      </w:r>
    </w:p>
    <w:p>
      <w:pPr>
        <w:pStyle w:val="BodyText"/>
      </w:pPr>
      <w:r>
        <w:t xml:space="preserve">☐ Je sais décrire le flux d’authentification Kerberos en trois temps (AS, TGS, service).</w:t>
      </w:r>
    </w:p>
    <w:p>
      <w:pPr>
        <w:pStyle w:val="BodyText"/>
      </w:pPr>
      <w:r>
        <w:t xml:space="preserve">☐ Je sais expliquer pourquoi la synchronisation d’horloge est critique pour Kerberos.</w:t>
      </w:r>
    </w:p>
    <w:p>
      <w:pPr>
        <w:pStyle w:val="BodyText"/>
      </w:pPr>
      <w:r>
        <w:t xml:space="preserve">☐ Je reconnais immédiatement</w:t>
      </w:r>
      <w:r>
        <w:t xml:space="preserve"> </w:t>
      </w:r>
      <w:r>
        <w:t xml:space="preserve">“Clock skew too great”</w:t>
      </w:r>
      <w:r>
        <w:t xml:space="preserve"> </w:t>
      </w:r>
      <w:r>
        <w:t xml:space="preserve">comme un problème d’horloge, jamais de mot de passe.</w:t>
      </w:r>
    </w:p>
    <w:p>
      <w:pPr>
        <w:pStyle w:val="BodyText"/>
      </w:pPr>
      <w:r>
        <w:t xml:space="preserve">☐ Je sais diagnostiquer et corriger une désynchronisation d’horloge avec</w:t>
      </w:r>
      <w:r>
        <w:t xml:space="preserve"> </w:t>
      </w:r>
      <w:r>
        <w:rPr>
          <w:rStyle w:val="VerbatimChar"/>
        </w:rPr>
        <w:t xml:space="preserve">timedatectl</w:t>
      </w:r>
      <w:r>
        <w:t xml:space="preserve"> </w:t>
      </w:r>
      <w:r>
        <w:t xml:space="preserve">et</w:t>
      </w:r>
      <w:r>
        <w:t xml:space="preserve"> </w:t>
      </w:r>
      <w:r>
        <w:rPr>
          <w:rStyle w:val="VerbatimChar"/>
        </w:rPr>
        <w:t xml:space="preserve">chronyc</w:t>
      </w:r>
      <w:r>
        <w:t xml:space="preserve">.</w:t>
      </w:r>
    </w:p>
    <w:p>
      <w:pPr>
        <w:pStyle w:val="BodyText"/>
      </w:pPr>
      <w:r>
        <w:t xml:space="preserve">☐ Je sais pourquoi élargir la tolérance d’horloge Kerberos est une mauvaise pratique de sécurité.</w:t>
      </w:r>
    </w:p>
    <w:bookmarkEnd w:id="578"/>
    <w:bookmarkStart w:id="579" w:name="faq-22"/>
    <w:p>
      <w:pPr>
        <w:pStyle w:val="Heading2"/>
      </w:pPr>
      <w:r>
        <w:t xml:space="preserve">FAQ</w:t>
      </w:r>
    </w:p>
    <w:p>
      <w:pPr>
        <w:pStyle w:val="FirstParagraph"/>
      </w:pPr>
      <w:r>
        <w:t xml:space="preserve">Kerberos est-il spécifique à Windows et Active Directory ?</w:t>
      </w:r>
    </w:p>
    <w:p>
      <w:pPr>
        <w:pStyle w:val="BodyText"/>
      </w:pPr>
      <w:r>
        <w:t xml:space="preserve">Non, Kerberos est un protocole ouvert et standardisé, utilisé aussi bien par Active Directory que par des systèmes purement Linux (via SSSD contre un KDC MIT Kerberos ou Active Directory lui-même, chapitre 22) — sa portée dépasse largement l’écosystème Microsoft, même si Active Directory reste son déploiement le plus répandu en entreprise.</w:t>
      </w:r>
    </w:p>
    <w:p>
      <w:pPr>
        <w:pStyle w:val="BodyText"/>
      </w:pPr>
      <w:r>
        <w:t xml:space="preserve">Que se passe-t-il si le KDC (le contrôleur de domaine) lui-même est indisponible ?</w:t>
      </w:r>
    </w:p>
    <w:p>
      <w:pPr>
        <w:pStyle w:val="BodyText"/>
      </w:pPr>
      <w:r>
        <w:t xml:space="preserve">Un client avec un TGT déjà valide peut continuer à obtenir des tickets de service tant que ce TGT n’a pas expiré, mais toute nouvelle authentification initiale (un nouvel utilisateur qui se connecte) échouera tant qu’aucun KDC n’est disponible — un argument supplémentaire en faveur de plusieurs contrôleurs de domaine par site, comme recommandé au chapitre 6.</w:t>
      </w:r>
    </w:p>
    <w:p>
      <w:pPr>
        <w:pStyle w:val="BodyText"/>
      </w:pPr>
      <w:r>
        <w:t xml:space="preserve">La tolérance de 5 minutes est-elle universelle ou configurable ?</w:t>
      </w:r>
    </w:p>
    <w:p>
      <w:pPr>
        <w:pStyle w:val="BodyText"/>
      </w:pPr>
      <w:r>
        <w:t xml:space="preserve">Elle est configurable techniquement, mais 5 minutes est la valeur par défaut largement répandue et recommandée — la modifier nécessite une justification de sécurité solide, jamais une simple commodité pour éviter des incidents de synchronisation (rappel de la section 23.5).</w:t>
      </w:r>
    </w:p>
    <w:p>
      <w:pPr>
        <w:pStyle w:val="BodyText"/>
      </w:pPr>
      <w:r>
        <w:t xml:space="preserve">Un ticket Kerberos volé (intercepté) présente-t-il un risque ?</w:t>
      </w:r>
    </w:p>
    <w:p>
      <w:pPr>
        <w:pStyle w:val="BodyText"/>
      </w:pPr>
      <w:r>
        <w:t xml:space="preserve">Oui, un ticket volé pendant sa période de validité peut être réutilisé par un attaquant (un scénario connu sous le nom de</w:t>
      </w:r>
      <w:r>
        <w:t xml:space="preserve"> </w:t>
      </w:r>
      <w:r>
        <w:t xml:space="preserve">“pass-the-ticket”</w:t>
      </w:r>
      <w:r>
        <w:t xml:space="preserve">) — une raison supplémentaire de limiter la durée de vie des tickets et de surveiller les comportements d’authentification suspects, un sujet approfondi en Partie 12 (cybersécurité).</w:t>
      </w:r>
    </w:p>
    <w:bookmarkEnd w:id="579"/>
    <w:bookmarkStart w:id="583" w:name="références-et-pour-aller-plus-loin-22"/>
    <w:p>
      <w:pPr>
        <w:pStyle w:val="Heading2"/>
      </w:pPr>
      <w:r>
        <w:t xml:space="preserve">Références et pour aller plus loin</w:t>
      </w:r>
    </w:p>
    <w:p>
      <w:pPr>
        <w:pStyle w:val="Compact"/>
        <w:numPr>
          <w:ilvl w:val="0"/>
          <w:numId w:val="1550"/>
        </w:numPr>
      </w:pPr>
      <w:r>
        <w:t xml:space="preserve">MIT Kerberos — documentation de référence du protocole :</w:t>
      </w:r>
      <w:r>
        <w:t xml:space="preserve"> </w:t>
      </w:r>
      <w:hyperlink r:id="rId580">
        <w:r>
          <w:rPr>
            <w:rStyle w:val="Hyperlink"/>
          </w:rPr>
          <w:t xml:space="preserve">https://web.mit.edu/kerberos/</w:t>
        </w:r>
      </w:hyperlink>
    </w:p>
    <w:p>
      <w:pPr>
        <w:pStyle w:val="Compact"/>
        <w:numPr>
          <w:ilvl w:val="0"/>
          <w:numId w:val="1550"/>
        </w:numPr>
      </w:pPr>
      <w:r>
        <w:t xml:space="preserve">Microsoft Learn — Fonctionnement de l’authentification Kerberos dans Windows :</w:t>
      </w:r>
      <w:r>
        <w:t xml:space="preserve"> </w:t>
      </w:r>
      <w:hyperlink r:id="rId581">
        <w:r>
          <w:rPr>
            <w:rStyle w:val="Hyperlink"/>
          </w:rPr>
          <w:t xml:space="preserve">https://learn.microsoft.com/fr-fr/windows-server/security/kerberos/kerberos-authentication-overview</w:t>
        </w:r>
      </w:hyperlink>
    </w:p>
    <w:p>
      <w:pPr>
        <w:pStyle w:val="Compact"/>
        <w:numPr>
          <w:ilvl w:val="0"/>
          <w:numId w:val="1550"/>
        </w:numPr>
      </w:pPr>
      <w:r>
        <w:t xml:space="preserve">RFC 4120 — spécification officielle du protocole Kerberos V5 :</w:t>
      </w:r>
      <w:r>
        <w:t xml:space="preserve"> </w:t>
      </w:r>
      <w:hyperlink r:id="rId582">
        <w:r>
          <w:rPr>
            <w:rStyle w:val="Hyperlink"/>
          </w:rPr>
          <w:t xml:space="preserve">https://www.rfc-editor.org/rfc/rfc4120</w:t>
        </w:r>
      </w:hyperlink>
    </w:p>
    <w:p>
      <w:pPr>
        <w:pStyle w:val="FirstParagraph"/>
      </w:pPr>
      <w:r>
        <w:rPr>
          <w:i/>
          <w:iCs/>
        </w:rPr>
        <w:t xml:space="preserve">Chapitre suivant : PKI, certificats et TLS — un autre mécanisme cryptographique fondamental, cette fois pour chiffrer les communications et authentifier des serveurs, indépendamment de Kerberos.</w:t>
      </w:r>
    </w:p>
    <w:p>
      <w:pPr>
        <w:pStyle w:val="BodyText"/>
      </w:pPr>
      <w:r>
        <w:t xml:space="preserve">CHAPITRE 24</w:t>
      </w:r>
    </w:p>
    <w:bookmarkEnd w:id="583"/>
    <w:bookmarkEnd w:id="584"/>
    <w:bookmarkStart w:id="610" w:name="pki-certificats-et-tls"/>
    <w:p>
      <w:pPr>
        <w:pStyle w:val="Heading1"/>
      </w:pPr>
      <w:r>
        <w:t xml:space="preserve">PKI, certificats et TLS</w:t>
      </w:r>
    </w:p>
    <w:p>
      <w:pPr>
        <w:pStyle w:val="FirstParagraph"/>
      </w:pPr>
      <w:r>
        <w:t xml:space="preserve">🎯 Objectif du chapitre</w:t>
      </w:r>
      <w:r>
        <w:t xml:space="preserve"> </w:t>
      </w:r>
      <w:r>
        <w:t xml:space="preserve">Comprendre l’infrastructure à clés publiques (PKI), les certificats numériques et le protocole TLS qui chiffre et authentifie la quasi-totalité des communications web modernes — y compris le portail client de ce manuel. À la fin de ce chapitre, tu sauras diagnostiquer un certificat expiré ou mal configuré, comprendre la chaîne de confiance qui permet à un navigateur de faire confiance à un site, et automatiser le renouvellement des certificats pour ne plus jamais revivre l’incident de ce chapitre.</w:t>
      </w:r>
    </w:p>
    <w:p>
      <w:pPr>
        <w:pStyle w:val="BodyText"/>
      </w:pPr>
      <w:r>
        <w:t xml:space="preserve">🎬 Mise en situation</w:t>
      </w:r>
      <w:r>
        <w:t xml:space="preserve"> </w:t>
      </w:r>
      <w:r>
        <w:t xml:space="preserve">Un lundi matin, plusieurs clients signalent qu’ils ne peuvent plus accéder au portail en ligne : leur navigateur affiche un avertissement de sécurité effrayant (</w:t>
      </w:r>
      <w:r>
        <w:t xml:space="preserve">“Votre connexion n’est pas privée”</w:t>
      </w:r>
      <w:r>
        <w:t xml:space="preserve">) au lieu du site habituel. Le développeur, paniqué, se demande si le site a été piraté. En quelques secondes de vérification, tu identifies la cause réelle, bien plus banale mais tout aussi bloquante : le certificat TLS du site a expiré la veille à minuit, personne ne l’ayant renouvelé à temps. Ce chapitre explique ce qu’est réellement ce certificat, pourquoi son expiration bloque tout accès, et surtout comment ne plus jamais dépendre d’un renouvellement manuel oubliable.</w:t>
      </w:r>
    </w:p>
    <w:bookmarkStart w:id="585" w:name="X2e1624382af1a3b6df8dfa34d899f5076226ac3"/>
    <w:p>
      <w:pPr>
        <w:pStyle w:val="Heading2"/>
      </w:pPr>
      <w:r>
        <w:t xml:space="preserve">24.1 Pourquoi HTTPS est indispensable, pas optionnel</w:t>
      </w:r>
    </w:p>
    <w:p>
      <w:pPr>
        <w:pStyle w:val="FirstParagraph"/>
      </w:pPr>
      <w:r>
        <w:rPr>
          <w:b/>
          <w:bCs/>
        </w:rPr>
        <w:t xml:space="preserve">TLS</w:t>
      </w:r>
      <w:r>
        <w:t xml:space="preserve"> </w:t>
      </w:r>
      <w:r>
        <w:t xml:space="preserve">(</w:t>
      </w:r>
      <w:r>
        <w:rPr>
          <w:i/>
          <w:iCs/>
        </w:rPr>
        <w:t xml:space="preserve">Transport Layer Security</w:t>
      </w:r>
      <w:r>
        <w:t xml:space="preserve">, le successeur de SSL) chiffre les communications entre un client (navigateur) et un serveur, et authentifie l’identité du serveur — la brique qui transforme HTTP en HTTPS. Pour un portail client manipulant potentiellement des données sensibles (informations d’assurance, documents personnels), TLS n’est jamais une option facultative.</w:t>
      </w:r>
    </w:p>
    <w:p>
      <w:pPr>
        <w:pStyle w:val="BodyText"/>
      </w:pPr>
      <w:r>
        <w:t xml:space="preserve">🔒 Sécurité — ce que TLS protège concrètement</w:t>
      </w:r>
      <w:r>
        <w:t xml:space="preserve"> </w:t>
      </w:r>
      <w:r>
        <w:t xml:space="preserve">Sans TLS, toute donnée échangée entre un client et le portail (identifiants de connexion, numéros de police d’assurance, documents téléversés) circule en clair sur le réseau — interceptable par quiconque a accès au trafic, exactement le même risque déjà évoqué pour LDAP en clair au chapitre 22. TLS résout ce problème par deux garanties distinctes : la</w:t>
      </w:r>
      <w:r>
        <w:t xml:space="preserve"> </w:t>
      </w:r>
      <w:r>
        <w:t xml:space="preserve">confidentialité</w:t>
      </w:r>
      <w:r>
        <w:t xml:space="preserve"> </w:t>
      </w:r>
      <w:r>
        <w:t xml:space="preserve">(le contenu est chiffré, illisible en cas d’interception) et l’</w:t>
      </w:r>
      <w:r>
        <w:t xml:space="preserve">authentification</w:t>
      </w:r>
      <w:r>
        <w:t xml:space="preserve"> </w:t>
      </w:r>
      <w:r>
        <w:t xml:space="preserve">(le client peut vérifier qu’il communique bien avec le serveur légitime, pas un imposteur).</w:t>
      </w:r>
    </w:p>
    <w:bookmarkEnd w:id="585"/>
    <w:bookmarkStart w:id="586" w:name="les-briques-de-la-pki"/>
    <w:p>
      <w:pPr>
        <w:pStyle w:val="Heading2"/>
      </w:pPr>
      <w:r>
        <w:t xml:space="preserve">24.2 Les briques de la PKI</w:t>
      </w:r>
    </w:p>
    <w:p>
      <w:pPr>
        <w:pStyle w:val="FirstParagraph"/>
      </w:pPr>
      <w:r>
        <w:t xml:space="preserve">💡 Analogie — le passeport et l’autorité qui le délivre</w:t>
      </w:r>
      <w:r>
        <w:t xml:space="preserve"> </w:t>
      </w:r>
      <w:r>
        <w:t xml:space="preserve">Un</w:t>
      </w:r>
      <w:r>
        <w:t xml:space="preserve"> </w:t>
      </w:r>
      <w:r>
        <w:rPr>
          <w:b/>
          <w:bCs/>
        </w:rPr>
        <w:t xml:space="preserve">certificat</w:t>
      </w:r>
      <w:r>
        <w:t xml:space="preserve"> </w:t>
      </w:r>
      <w:r>
        <w:t xml:space="preserve">numérique fonctionne comme un passeport : il affirme une identité (le nom de domaine du site), et sa crédibilité repose entièrement sur l’autorité qui l’a délivré. Une</w:t>
      </w:r>
      <w:r>
        <w:t xml:space="preserve"> </w:t>
      </w:r>
      <w:r>
        <w:rPr>
          <w:b/>
          <w:bCs/>
        </w:rPr>
        <w:t xml:space="preserve">autorité de certification</w:t>
      </w:r>
      <w:r>
        <w:t xml:space="preserve"> </w:t>
      </w:r>
      <w:r>
        <w:t xml:space="preserve">(CA,</w:t>
      </w:r>
      <w:r>
        <w:t xml:space="preserve"> </w:t>
      </w:r>
      <w:r>
        <w:rPr>
          <w:i/>
          <w:iCs/>
        </w:rPr>
        <w:t xml:space="preserve">Certificate Authority</w:t>
      </w:r>
      <w:r>
        <w:t xml:space="preserve">) joue le rôle du gouvernement qui délivre le passeport — un navigateur fait confiance à un certificat parce qu’il fait confiance, au préalable, à l’autorité qui l’a signé, exactement comme un douanier fait confiance à un passeport parce qu’il reconnaît et fait confiance au pays émetteur.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Élément</w:t>
            </w:r>
          </w:p>
        </w:tc>
        <w:tc>
          <w:tcPr/>
          <w:p>
            <w:pPr>
              <w:pStyle w:val="Compact"/>
            </w:pPr>
            <w:r>
              <w:t xml:space="preserve">Rôle</w:t>
            </w:r>
          </w:p>
        </w:tc>
      </w:tr>
      <w:tr>
        <w:tc>
          <w:tcPr/>
          <w:p>
            <w:pPr>
              <w:pStyle w:val="Compact"/>
            </w:pPr>
            <w:r>
              <w:rPr>
                <w:b/>
                <w:bCs/>
              </w:rPr>
              <w:t xml:space="preserve">Clé privée</w:t>
            </w:r>
          </w:p>
        </w:tc>
        <w:tc>
          <w:tcPr/>
          <w:p>
            <w:pPr>
              <w:pStyle w:val="Compact"/>
            </w:pPr>
            <w:r>
              <w:t xml:space="preserve">Reste secrète sur le serveur, jamais partagée — sert à prouver l’identité et à déchiffrer</w:t>
            </w:r>
          </w:p>
        </w:tc>
      </w:tr>
      <w:tr>
        <w:tc>
          <w:tcPr/>
          <w:p>
            <w:pPr>
              <w:pStyle w:val="Compact"/>
            </w:pPr>
            <w:r>
              <w:rPr>
                <w:b/>
                <w:bCs/>
              </w:rPr>
              <w:t xml:space="preserve">Clé publique</w:t>
            </w:r>
          </w:p>
        </w:tc>
        <w:tc>
          <w:tcPr/>
          <w:p>
            <w:pPr>
              <w:pStyle w:val="Compact"/>
            </w:pPr>
            <w:r>
              <w:t xml:space="preserve">Intégrée au certificat, partagée librement — sert à chiffrer et à vérifier une signature</w:t>
            </w:r>
          </w:p>
        </w:tc>
      </w:tr>
      <w:tr>
        <w:tc>
          <w:tcPr/>
          <w:p>
            <w:pPr>
              <w:pStyle w:val="Compact"/>
            </w:pPr>
            <w:r>
              <w:rPr>
                <w:b/>
                <w:bCs/>
              </w:rPr>
              <w:t xml:space="preserve">Certificat</w:t>
            </w:r>
          </w:p>
        </w:tc>
        <w:tc>
          <w:tcPr/>
          <w:p>
            <w:pPr>
              <w:pStyle w:val="Compact"/>
            </w:pPr>
            <w:r>
              <w:t xml:space="preserve">Associe une clé publique à une identité (un nom de domaine), signé par une CA</w:t>
            </w:r>
          </w:p>
        </w:tc>
      </w:tr>
      <w:tr>
        <w:tc>
          <w:tcPr/>
          <w:p>
            <w:pPr>
              <w:pStyle w:val="Compact"/>
            </w:pPr>
            <w:r>
              <w:rPr>
                <w:b/>
                <w:bCs/>
              </w:rPr>
              <w:t xml:space="preserve">Autorité de certification (CA)</w:t>
            </w:r>
          </w:p>
        </w:tc>
        <w:tc>
          <w:tcPr/>
          <w:p>
            <w:pPr>
              <w:pStyle w:val="Compact"/>
            </w:pPr>
            <w:r>
              <w:t xml:space="preserve">Signe les certificats, garantissant leur authenticité aux yeux des navigateurs qui lui font confiance</w:t>
            </w:r>
          </w:p>
        </w:tc>
      </w:tr>
    </w:tbl>
    <w:bookmarkEnd w:id="586"/>
    <w:bookmarkStart w:id="590" w:name="la-chaîne-de-confiance"/>
    <w:p>
      <w:pPr>
        <w:pStyle w:val="Heading2"/>
      </w:pPr>
      <w:r>
        <w:t xml:space="preserve">24.3 La chaîne de confiance</w:t>
      </w:r>
    </w:p>
    <w:p>
      <w:pPr>
        <w:pStyle w:val="CaptionedFigure"/>
      </w:pPr>
      <w:r>
        <w:drawing>
          <wp:inline>
            <wp:extent cx="5334000" cy="9646227"/>
            <wp:effectExtent b="0" l="0" r="0" t="0"/>
            <wp:docPr descr="Diagramme" title="" id="588" name="Picture"/>
            <a:graphic>
              <a:graphicData uri="http://schemas.openxmlformats.org/drawingml/2006/picture">
                <pic:pic>
                  <pic:nvPicPr>
                    <pic:cNvPr descr="C:/Users/ingja/Desktop/jarvis-starter-kit/livrables/formations/manuel-administration-systeme/assets/diagrams/d-24-pki-certificats-tls-diagramme-1.png" id="589" name="Picture"/>
                    <pic:cNvPicPr>
                      <a:picLocks noChangeArrowheads="1" noChangeAspect="1"/>
                    </pic:cNvPicPr>
                  </pic:nvPicPr>
                  <pic:blipFill>
                    <a:blip r:embed="rId587"/>
                    <a:stretch>
                      <a:fillRect/>
                    </a:stretch>
                  </pic:blipFill>
                  <pic:spPr bwMode="auto">
                    <a:xfrm>
                      <a:off x="0" y="0"/>
                      <a:ext cx="5334000" cy="9646227"/>
                    </a:xfrm>
                    <a:prstGeom prst="rect">
                      <a:avLst/>
                    </a:prstGeom>
                    <a:noFill/>
                    <a:ln w="9525">
                      <a:noFill/>
                      <a:headEnd/>
                      <a:tailEnd/>
                    </a:ln>
                  </pic:spPr>
                </pic:pic>
              </a:graphicData>
            </a:graphic>
          </wp:inline>
        </w:drawing>
      </w:r>
    </w:p>
    <w:p>
      <w:pPr>
        <w:pStyle w:val="ImageCaption"/>
      </w:pPr>
      <w:r>
        <w:t xml:space="preserve">Diagramme</w:t>
      </w:r>
    </w:p>
    <w:p>
      <w:pPr>
        <w:pStyle w:val="BodyText"/>
      </w:pPr>
      <w:r>
        <w:t xml:space="preserve">💡 Explication du schéma — pourquoi un intermédiaire plutôt qu’une signature directe</w:t>
      </w:r>
      <w:r>
        <w:t xml:space="preserve"> </w:t>
      </w:r>
      <w:r>
        <w:t xml:space="preserve">Le certificat racine est délibérément gardé hors ligne et protégé avec la plus grande rigueur possible, car sa compromission remettrait en cause la confiance de millions de certificats dans le monde. Un certificat intermédiaire, délégué par la racine, signe les certificats individuels au quotidien — s’il est un jour compromis, seul cet intermédiaire (et les certificats qu’il a signés) doit être révoqué, sans affecter la racine elle-même. Un navigateur vérifie toute la chaîne, du certificat du site jusqu’à une racine en laquelle il a déjà confiance, avant d’accepter la connexion comme sécurisée.</w:t>
      </w:r>
    </w:p>
    <w:p>
      <w:pPr>
        <w:pStyle w:val="BodyText"/>
      </w:pPr>
      <w:r>
        <w:t xml:space="preserve">⚠️ Une erreur fréquente de configuration : la chaîne incomplète</w:t>
      </w:r>
      <w:r>
        <w:t xml:space="preserve"> </w:t>
      </w:r>
      <w:r>
        <w:t xml:space="preserve">Un serveur mal configuré peut présenter uniquement son certificat de site (la feuille), sans le certificat intermédiaire qui le relie à une racine reconnue. La plupart des navigateurs modernes affichent alors une erreur de confiance, même si le certificat du site lui-même est parfaitement valide — une cause fréquente et souvent mal diagnostiquée de</w:t>
      </w:r>
      <w:r>
        <w:t xml:space="preserve"> </w:t>
      </w:r>
      <w:r>
        <w:t xml:space="preserve">“certificat qui ne marche pas”</w:t>
      </w:r>
      <w:r>
        <w:t xml:space="preserve">, distincte d’une véritable expiration.</w:t>
      </w:r>
    </w:p>
    <w:bookmarkEnd w:id="590"/>
    <w:bookmarkStart w:id="591" w:name="diagnostiquer-le-scénario-douverture-1"/>
    <w:p>
      <w:pPr>
        <w:pStyle w:val="Heading2"/>
      </w:pPr>
      <w:r>
        <w:t xml:space="preserve">24.4 Diagnostiquer le scénario d’ouverture</w:t>
      </w:r>
    </w:p>
    <w:p>
      <w:pPr>
        <w:pStyle w:val="SourceCode"/>
      </w:pPr>
      <w:r>
        <w:rPr>
          <w:rStyle w:val="VerbatimChar"/>
        </w:rPr>
        <w:t xml:space="preserve"># Verifier les dates de validite d'un certificat directement en ligne</w:t>
      </w:r>
      <w:r>
        <w:br/>
      </w:r>
      <w:r>
        <w:rPr>
          <w:rStyle w:val="VerbatimChar"/>
        </w:rPr>
        <w:t xml:space="preserve"># de commande, sans dependre du navigateur</w:t>
      </w:r>
      <w:r>
        <w:br/>
      </w:r>
      <w:r>
        <w:rPr>
          <w:rStyle w:val="VerbatimChar"/>
        </w:rPr>
        <w:t xml:space="preserve">echo | openssl s_client -connect portail.assuranceht.ht:443 2&gt;/dev/null | openssl x509 -noout -dates</w:t>
      </w:r>
      <w:r>
        <w:br/>
      </w:r>
      <w:r>
        <w:br/>
      </w:r>
      <w:r>
        <w:rPr>
          <w:rStyle w:val="VerbatimChar"/>
        </w:rPr>
        <w:t xml:space="preserve"># Verifier la chaine complete presentee par le serveur (utile pour</w:t>
      </w:r>
      <w:r>
        <w:br/>
      </w:r>
      <w:r>
        <w:rPr>
          <w:rStyle w:val="VerbatimChar"/>
        </w:rPr>
        <w:t xml:space="preserve"># diagnostiquer une chaine incomplete, section 24.3)</w:t>
      </w:r>
      <w:r>
        <w:br/>
      </w:r>
      <w:r>
        <w:rPr>
          <w:rStyle w:val="VerbatimChar"/>
        </w:rPr>
        <w:t xml:space="preserve">openssl s_client -connect portail.assuranceht.ht:443 -showcerts</w:t>
      </w:r>
    </w:p>
    <w:p>
      <w:pPr>
        <w:pStyle w:val="FirstParagraph"/>
      </w:pPr>
      <w:r>
        <w:t xml:space="preserve">🩺 Symptôme :</w:t>
      </w:r>
      <w:r>
        <w:t xml:space="preserve"> </w:t>
      </w:r>
      <w:r>
        <w:t xml:space="preserve">“Votre connexion n’est pas privée”</w:t>
      </w:r>
      <w:r>
        <w:t xml:space="preserve"> </w:t>
      </w:r>
      <w:r>
        <w:t xml:space="preserve">ou avertissement de sécurité dans le navigateur</w:t>
      </w:r>
    </w:p>
    <w:p>
      <w:pPr>
        <w:pStyle w:val="Compact"/>
        <w:numPr>
          <w:ilvl w:val="0"/>
          <w:numId w:val="1551"/>
        </w:numPr>
      </w:pPr>
      <w:r>
        <w:rPr>
          <w:b/>
          <w:bCs/>
        </w:rPr>
        <w:t xml:space="preserve">Diagnostic</w:t>
      </w:r>
      <w:r>
        <w:t xml:space="preserve"> </w:t>
      </w:r>
      <w:r>
        <w:t xml:space="preserve">: ce message générique recouvre plusieurs causes distinctes — certificat expiré (le cas du scénario d’ouverture), certificat auto-signé non reconnu, chaîne incomplète (section 24.3), ou nom de domaine ne correspondant pas au certificat présenté.</w:t>
      </w:r>
    </w:p>
    <w:p>
      <w:pPr>
        <w:pStyle w:val="Compact"/>
        <w:numPr>
          <w:ilvl w:val="0"/>
          <w:numId w:val="1551"/>
        </w:numPr>
      </w:pPr>
      <w:r>
        <w:rPr>
          <w:b/>
          <w:bCs/>
        </w:rPr>
        <w:t xml:space="preserve">Comment vérifier</w:t>
      </w:r>
      <w:r>
        <w:t xml:space="preserve"> </w:t>
      </w:r>
      <w:r>
        <w:t xml:space="preserve">:</w:t>
      </w:r>
      <w:r>
        <w:t xml:space="preserve"> </w:t>
      </w:r>
      <w:r>
        <w:rPr>
          <w:rStyle w:val="VerbatimChar"/>
        </w:rPr>
        <w:t xml:space="preserve">openssl x509 -noout -dates</w:t>
      </w:r>
      <w:r>
        <w:t xml:space="preserve"> </w:t>
      </w:r>
      <w:r>
        <w:t xml:space="preserve">(ci-dessus) affiche précisément la date d’expiration — si elle est dépassée, la cause est confirmée immédiatement, sans ambiguïté ni besoin d’explorer d’autres hypothèses.</w:t>
      </w:r>
    </w:p>
    <w:p>
      <w:pPr>
        <w:pStyle w:val="Compact"/>
        <w:numPr>
          <w:ilvl w:val="0"/>
          <w:numId w:val="1551"/>
        </w:numPr>
      </w:pPr>
      <w:r>
        <w:rPr>
          <w:b/>
          <w:bCs/>
        </w:rPr>
        <w:t xml:space="preserve">Résolution</w:t>
      </w:r>
      <w:r>
        <w:t xml:space="preserve"> </w:t>
      </w:r>
      <w:r>
        <w:t xml:space="preserve">: pour une expiration confirmée, renouveler le certificat immédiatement (section 24.6) ; pour une chaîne incomplète, reconfigurer le serveur pour inclure le certificat intermédiaire ; pour un nom ne correspondant pas, vérifier que le certificat couvre bien le domaine exact utilisé par les clients.</w:t>
      </w:r>
    </w:p>
    <w:bookmarkEnd w:id="591"/>
    <w:bookmarkStart w:id="592" w:name="X23e53c717787d1c9720c9f112e699b5dcb5a4cb"/>
    <w:p>
      <w:pPr>
        <w:pStyle w:val="Heading2"/>
      </w:pPr>
      <w:r>
        <w:t xml:space="preserve">24.5 Automatiser le renouvellement : ne plus jamais revivre cet incident</w:t>
      </w:r>
    </w:p>
    <w:p>
      <w:pPr>
        <w:pStyle w:val="FirstParagraph"/>
      </w:pPr>
      <w:r>
        <w:t xml:space="preserve">❌ Mauvaise pratique — un renouvellement manuel, planifié</w:t>
      </w:r>
      <w:r>
        <w:t xml:space="preserve"> </w:t>
      </w:r>
      <w:r>
        <w:t xml:space="preserve">“dans la tête”</w:t>
      </w:r>
      <w:r>
        <w:t xml:space="preserve"> </w:t>
      </w:r>
      <w:r>
        <w:t xml:space="preserve">de quelqu’un</w:t>
      </w:r>
      <w:r>
        <w:t xml:space="preserve"> </w:t>
      </w:r>
      <w:r>
        <w:t xml:space="preserve">Compter sur la mémoire d’une personne pour renouveler un certificat une fois par an (ou selon sa durée de validité) est exactement le type de fragilité dénoncée depuis le chapitre 1 : une seule personne, un seul rappel manuel, aucune garantie systémique. C’est précisément ce qui a causé l’incident du scénario d’ouverture.</w:t>
      </w:r>
    </w:p>
    <w:p>
      <w:pPr>
        <w:pStyle w:val="BodyText"/>
      </w:pPr>
      <w:r>
        <w:rPr>
          <w:b/>
          <w:bCs/>
        </w:rPr>
        <w:t xml:space="preserve">Let’s Encrypt</w:t>
      </w:r>
      <w:r>
        <w:t xml:space="preserve">, une autorité de certification gratuite, a rendu l’automatisation complète du cycle de vie des certificats accessible à toute organisation, via des outils comme</w:t>
      </w:r>
      <w:r>
        <w:t xml:space="preserve"> </w:t>
      </w:r>
      <w:r>
        <w:rPr>
          <w:b/>
          <w:bCs/>
        </w:rPr>
        <w:t xml:space="preserve">certbot</w:t>
      </w:r>
      <w:r>
        <w:t xml:space="preserve"> </w:t>
      </w:r>
      <w:r>
        <w:t xml:space="preserve">:</w:t>
      </w:r>
    </w:p>
    <w:p>
      <w:pPr>
        <w:pStyle w:val="SourceCode"/>
      </w:pPr>
      <w:r>
        <w:rPr>
          <w:rStyle w:val="VerbatimChar"/>
        </w:rPr>
        <w:t xml:space="preserve"># Installation de certbot (exemple sur Ubuntu, chapitre 15)</w:t>
      </w:r>
      <w:r>
        <w:br/>
      </w:r>
      <w:r>
        <w:rPr>
          <w:rStyle w:val="VerbatimChar"/>
        </w:rPr>
        <w:t xml:space="preserve">sudo apt install certbot python3-certbot-nginx</w:t>
      </w:r>
      <w:r>
        <w:br/>
      </w:r>
      <w:r>
        <w:br/>
      </w:r>
      <w:r>
        <w:rPr>
          <w:rStyle w:val="VerbatimChar"/>
        </w:rPr>
        <w:t xml:space="preserve"># Obtenir et installer automatiquement un certificat pour le portail,</w:t>
      </w:r>
      <w:r>
        <w:br/>
      </w:r>
      <w:r>
        <w:rPr>
          <w:rStyle w:val="VerbatimChar"/>
        </w:rPr>
        <w:t xml:space="preserve"># configurant directement Nginx pour l'utiliser</w:t>
      </w:r>
      <w:r>
        <w:br/>
      </w:r>
      <w:r>
        <w:rPr>
          <w:rStyle w:val="VerbatimChar"/>
        </w:rPr>
        <w:t xml:space="preserve">sudo certbot --nginx -d portail.assuranceht.ht</w:t>
      </w:r>
      <w:r>
        <w:br/>
      </w:r>
      <w:r>
        <w:br/>
      </w:r>
      <w:r>
        <w:rPr>
          <w:rStyle w:val="VerbatimChar"/>
        </w:rPr>
        <w:t xml:space="preserve"># Certbot installe automatiquement une tache planifiee (rappel du</w:t>
      </w:r>
      <w:r>
        <w:br/>
      </w:r>
      <w:r>
        <w:rPr>
          <w:rStyle w:val="VerbatimChar"/>
        </w:rPr>
        <w:t xml:space="preserve"># chapitre 20 sur cron, ou un timer systemd, chapitre 16) qui tente</w:t>
      </w:r>
      <w:r>
        <w:br/>
      </w:r>
      <w:r>
        <w:rPr>
          <w:rStyle w:val="VerbatimChar"/>
        </w:rPr>
        <w:t xml:space="preserve"># le renouvellement automatique bien avant l'expiration reelle</w:t>
      </w:r>
      <w:r>
        <w:br/>
      </w:r>
      <w:r>
        <w:rPr>
          <w:rStyle w:val="VerbatimChar"/>
        </w:rPr>
        <w:t xml:space="preserve">sudo certbot renew --dry-run</w:t>
      </w:r>
    </w:p>
    <w:p>
      <w:pPr>
        <w:pStyle w:val="FirstParagraph"/>
      </w:pPr>
      <w:r>
        <w:t xml:space="preserve">✅ Bonne pratique — automatiser, puis surveiller l’automatisation elle-même</w:t>
      </w:r>
      <w:r>
        <w:t xml:space="preserve"> </w:t>
      </w:r>
      <w:r>
        <w:t xml:space="preserve">L’automatisation seule ne suffit pas totalement : ajouter une vérification de la date d’expiration du certificat au script de supervision quotidien des chapitres 20-21 (exactement comme la vérification NTP ajoutée au chapitre 23) offre une seconde ligne de défense si, pour une raison quelconque, le renouvellement automatique échouait silencieusement — une alerte des semaines avant l’expiration réelle laisse largement le temps d’intervenir manuellement si besoin.</w:t>
      </w:r>
    </w:p>
    <w:bookmarkEnd w:id="592"/>
    <w:bookmarkStart w:id="593" w:name="protéger-la-clé-privée-la-règle-absolue"/>
    <w:p>
      <w:pPr>
        <w:pStyle w:val="Heading2"/>
      </w:pPr>
      <w:r>
        <w:t xml:space="preserve">24.6 Protéger la clé privée : la règle absolue</w:t>
      </w:r>
    </w:p>
    <w:p>
      <w:pPr>
        <w:pStyle w:val="FirstParagraph"/>
      </w:pPr>
      <w:r>
        <w:t xml:space="preserve">🔒 Sécurité — une clé privée compromise invalide toute la confiance du certificat</w:t>
      </w:r>
      <w:r>
        <w:t xml:space="preserve"> </w:t>
      </w:r>
      <w:r>
        <w:t xml:space="preserve">Si la clé privée associée à un certificat est un jour exposée (permissions de fichier trop larges, committée par erreur dans un dépôt Git comme évoqué au chapitre 20, ou volée lors d’une intrusion), un attaquant peut techniquement usurper l’identité du site — créer un site malveillant se faisant passer pour le portail légitime, indétectable par les clients sans moyen de vérification supplémentaire. La clé privée doit être protégée par des permissions Unix strictes (chapitre 18 : lecture réservée au seul compte du service concerné), jamais partagée par email ou stockée dans un dépôt de code, et</w:t>
      </w:r>
      <w:r>
        <w:t xml:space="preserve"> </w:t>
      </w:r>
      <w:r>
        <w:rPr>
          <w:b/>
          <w:bCs/>
        </w:rPr>
        <w:t xml:space="preserve">révoquée immédiatement</w:t>
      </w:r>
      <w:r>
        <w:t xml:space="preserve"> </w:t>
      </w:r>
      <w:r>
        <w:t xml:space="preserve">si sa compromission est ne serait-ce que suspectée.</w:t>
      </w:r>
    </w:p>
    <w:bookmarkEnd w:id="593"/>
    <w:bookmarkStart w:id="594" w:name="Xa80e247011624ba504de1b8ffc0d9274fc7c08f"/>
    <w:p>
      <w:pPr>
        <w:pStyle w:val="Heading2"/>
      </w:pPr>
      <w:r>
        <w:t xml:space="preserve">24.7 Certificats internes : quand une CA d’entreprise a du sens</w:t>
      </w:r>
    </w:p>
    <w:p>
      <w:pPr>
        <w:pStyle w:val="FirstParagraph"/>
      </w:pPr>
      <w:r>
        <w:t xml:space="preserve">Pour des services purement internes (comme LDAPS mentionné au chapitre 22, ou une console d’administration interne), une</w:t>
      </w:r>
      <w:r>
        <w:t xml:space="preserve"> </w:t>
      </w:r>
      <w:r>
        <w:rPr>
          <w:b/>
          <w:bCs/>
        </w:rPr>
        <w:t xml:space="preserve">autorité de certification interne</w:t>
      </w:r>
      <w:r>
        <w:t xml:space="preserve"> </w:t>
      </w:r>
      <w:r>
        <w:t xml:space="preserve">à l’entreprise peut être préférable à un certificat public : elle ne nécessite pas d’exposition sur Internet et permet de contrôler entièrement le cycle de vie des certificats internes, à condition de déployer le certificat racine interne sur tous les postes de l’entreprise qui doivent lui faire confiance.</w:t>
      </w:r>
    </w:p>
    <w:p>
      <w:pPr>
        <w:pStyle w:val="BodyText"/>
      </w:pPr>
      <w:r>
        <w:t xml:space="preserve">💡 Certificat public vs certificat interne — un choix selon l’audience</w:t>
      </w:r>
      <w:r>
        <w:t xml:space="preserve"> </w:t>
      </w:r>
      <w:r>
        <w:t xml:space="preserve">Un certificat public (Let’s Encrypt ou une CA commerciale) est indispensable dès qu’un service est accessible par des personnes extérieures à l’organisation (comme le portail client de ce manuel), car leurs navigateurs doivent faire confiance au certificat sans configuration préalable. Un certificat interne convient à des services strictement internes, où l’entreprise contrôle déjà tous les postes clients et peut y déployer son certificat racine interne — exactement le même principe de périmètre de confiance que le bastion du chapitre 4.</w:t>
      </w:r>
    </w:p>
    <w:bookmarkEnd w:id="594"/>
    <w:bookmarkStart w:id="595" w:name="X29d5dfa0e1c22f569b41ebec43083b33b8b0c59"/>
    <w:p>
      <w:pPr>
        <w:pStyle w:val="Heading2"/>
      </w:pPr>
      <w:r>
        <w:t xml:space="preserve">Atelier — Diagnostiquer et corriger le scénario d’ouverture</w:t>
      </w:r>
    </w:p>
    <w:p>
      <w:pPr>
        <w:pStyle w:val="FirstParagraph"/>
      </w:pPr>
      <w:r>
        <w:t xml:space="preserve">🛠️ Atelier 24 — De l’incident à la prévention durable</w:t>
      </w:r>
    </w:p>
    <w:p>
      <w:pPr>
        <w:pStyle w:val="BodyText"/>
      </w:pPr>
      <w:r>
        <w:rPr>
          <w:b/>
          <w:bCs/>
        </w:rPr>
        <w:t xml:space="preserve">Objectif</w:t>
      </w:r>
      <w:r>
        <w:t xml:space="preserve"> </w:t>
      </w:r>
      <w:r>
        <w:t xml:space="preserve">: appliquer la démarche complète de ce chapitre, du diagnostic initial à la prévention durable de récurrence.</w:t>
      </w:r>
    </w:p>
    <w:p>
      <w:pPr>
        <w:pStyle w:val="BodyText"/>
      </w:pPr>
      <w:r>
        <w:rPr>
          <w:b/>
          <w:bCs/>
        </w:rPr>
        <w:t xml:space="preserve">Préparation</w:t>
      </w:r>
      <w:r>
        <w:t xml:space="preserve"> </w:t>
      </w:r>
      <w:r>
        <w:t xml:space="preserve">: aucune installation nécessaire pour cet atelier conceptuel, ou un accès à un serveur de test avec Nginx pour le pratiquer réellement.</w:t>
      </w:r>
    </w:p>
    <w:p>
      <w:pPr>
        <w:pStyle w:val="BodyText"/>
      </w:pPr>
      <w:r>
        <w:rPr>
          <w:b/>
          <w:bCs/>
        </w:rPr>
        <w:t xml:space="preserve">Étapes détaillées</w:t>
      </w:r>
      <w:r>
        <w:t xml:space="preserve"> </w:t>
      </w:r>
      <w:r>
        <w:t xml:space="preserve">:</w:t>
      </w:r>
    </w:p>
    <w:p>
      <w:pPr>
        <w:pStyle w:val="Compact"/>
        <w:numPr>
          <w:ilvl w:val="0"/>
          <w:numId w:val="1552"/>
        </w:numPr>
      </w:pPr>
      <w:r>
        <w:t xml:space="preserve">Rédige la commande pour confirmer, sans dépendre du navigateur, que le certificat du portail a effectivement expiré.</w:t>
      </w:r>
    </w:p>
    <w:p>
      <w:pPr>
        <w:pStyle w:val="Compact"/>
        <w:numPr>
          <w:ilvl w:val="0"/>
          <w:numId w:val="1552"/>
        </w:numPr>
      </w:pPr>
      <w:r>
        <w:t xml:space="preserve">Rédige les commandes pour installer certbot et obtenir un nouveau certificat automatiquement renouvelable.</w:t>
      </w:r>
    </w:p>
    <w:p>
      <w:pPr>
        <w:pStyle w:val="Compact"/>
        <w:numPr>
          <w:ilvl w:val="0"/>
          <w:numId w:val="1552"/>
        </w:numPr>
      </w:pPr>
      <w:r>
        <w:t xml:space="preserve">Propose une mesure de supervision complémentaire pour détecter une future expiration bien avant qu’elle ne bloque les clients.</w:t>
      </w:r>
    </w:p>
    <w:p>
      <w:pPr>
        <w:pStyle w:val="Compact"/>
        <w:numPr>
          <w:ilvl w:val="0"/>
          <w:numId w:val="1552"/>
        </w:numPr>
      </w:pPr>
      <w:r>
        <w:t xml:space="preserve">Compare ta démarche à la section</w:t>
      </w:r>
      <w:r>
        <w:t xml:space="preserve"> </w:t>
      </w:r>
      <w:r>
        <w:t xml:space="preserve">“Résultat attendu”</w:t>
      </w:r>
      <w:r>
        <w:t xml:space="preserve">.</w:t>
      </w:r>
    </w:p>
    <w:p>
      <w:pPr>
        <w:pStyle w:val="FirstParagraph"/>
      </w:pPr>
      <w:r>
        <w:rPr>
          <w:b/>
          <w:bCs/>
        </w:rPr>
        <w:t xml:space="preserve">Résultat attendu</w:t>
      </w:r>
      <w:r>
        <w:t xml:space="preserve"> </w:t>
      </w:r>
      <w:r>
        <w:t xml:space="preserve">:</w:t>
      </w:r>
      <w:r>
        <w:t xml:space="preserve"> </w:t>
      </w:r>
      <w:r>
        <w:rPr>
          <w:rStyle w:val="VerbatimChar"/>
        </w:rPr>
        <w:t xml:space="preserve">openssl s_client ... | openssl x509 -noout -dates</w:t>
      </w:r>
      <w:r>
        <w:t xml:space="preserve"> </w:t>
      </w:r>
      <w:r>
        <w:t xml:space="preserve">confirme la date d’expiration dépassée.</w:t>
      </w:r>
      <w:r>
        <w:t xml:space="preserve"> </w:t>
      </w:r>
      <w:r>
        <w:rPr>
          <w:rStyle w:val="VerbatimChar"/>
        </w:rPr>
        <w:t xml:space="preserve">sudo certbot --nginx -d portail.assuranceht.ht</w:t>
      </w:r>
      <w:r>
        <w:t xml:space="preserve"> </w:t>
      </w:r>
      <w:r>
        <w:t xml:space="preserve">obtient un nouveau certificat et configure automatiquement son renouvellement. La mesure de supervision complémentaire ajoute une vérification de date d’expiration (avec une alerte si moins de 30 jours restants, par exemple) au script de santé des chapitres 20-21 — une double protection qui ne dépend plus uniquement de l’automatisation de certbot fonctionnant silencieusement sans jamais être vérifiée.</w:t>
      </w:r>
    </w:p>
    <w:p>
      <w:pPr>
        <w:pStyle w:val="BodyText"/>
      </w:pPr>
      <w:r>
        <w:rPr>
          <w:b/>
          <w:bCs/>
        </w:rPr>
        <w:t xml:space="preserve">Dépannage</w:t>
      </w:r>
      <w:r>
        <w:t xml:space="preserve"> </w:t>
      </w:r>
      <w:r>
        <w:t xml:space="preserve">: si</w:t>
      </w:r>
      <w:r>
        <w:t xml:space="preserve"> </w:t>
      </w:r>
      <w:r>
        <w:rPr>
          <w:rStyle w:val="VerbatimChar"/>
        </w:rPr>
        <w:t xml:space="preserve">certbot --nginx</w:t>
      </w:r>
      <w:r>
        <w:t xml:space="preserve"> </w:t>
      </w:r>
      <w:r>
        <w:t xml:space="preserve">échoue avec une erreur de validation de domaine, vérifie que le DNS du domaine concerné (chapitre 9) pointe bien vers ce serveur — Let’s Encrypt doit pouvoir joindre le serveur via ce nom de domaine précis pour valider que la demande de certificat est légitime, avant de l’émettre.</w:t>
      </w:r>
    </w:p>
    <w:bookmarkEnd w:id="595"/>
    <w:bookmarkStart w:id="596" w:name="erreurs-fréquentes-23"/>
    <w:p>
      <w:pPr>
        <w:pStyle w:val="Heading2"/>
      </w:pPr>
      <w:r>
        <w:t xml:space="preserve">Erreurs fréquentes</w:t>
      </w:r>
    </w:p>
    <w:p>
      <w:pPr>
        <w:pStyle w:val="FirstParagraph"/>
      </w:pPr>
      <w:r>
        <w:t xml:space="preserve">⚠️ Erreur n°1 — compter sur un renouvellement manuel</w:t>
      </w:r>
      <w:r>
        <w:t xml:space="preserve"> </w:t>
      </w:r>
      <w:r>
        <w:t xml:space="preserve">Exactement la cause du scénario d’ouverture, détaillée en section 24.5 — l’automatisation via certbot élimine ce risque presque entièrement.</w:t>
      </w:r>
    </w:p>
    <w:p>
      <w:pPr>
        <w:pStyle w:val="BodyText"/>
      </w:pPr>
      <w:r>
        <w:t xml:space="preserve">⚠️ Erreur n°2 — négliger la protection de la clé privée</w:t>
      </w:r>
      <w:r>
        <w:t xml:space="preserve"> </w:t>
      </w:r>
      <w:r>
        <w:t xml:space="preserve">Rappel de la section 24.6 : une clé privée exposée invalide toute la confiance du certificat, un risque bien plus grave qu’une simple expiration.</w:t>
      </w:r>
    </w:p>
    <w:p>
      <w:pPr>
        <w:pStyle w:val="BodyText"/>
      </w:pPr>
      <w:r>
        <w:t xml:space="preserve">⚠️ Erreur n°3 — accepter un certificat auto-signé en production sans en comprendre les implications</w:t>
      </w:r>
      <w:r>
        <w:t xml:space="preserve"> </w:t>
      </w:r>
      <w:r>
        <w:t xml:space="preserve">Un certificat auto-signé (non signé par une CA reconnue) déclenche systématiquement un avertissement navigateur — acceptable pour un environnement de test isolé, mais jamais pour un service accessible par de vrais clients externes, qui apprendraient alors à ignorer les avertissements de sécurité par habitude, un risque de sécurité comportemental plus large que le certificat lui-même.</w:t>
      </w:r>
    </w:p>
    <w:bookmarkEnd w:id="596"/>
    <w:bookmarkStart w:id="597" w:name="en-entreprise-23"/>
    <w:p>
      <w:pPr>
        <w:pStyle w:val="Heading2"/>
      </w:pPr>
      <w:r>
        <w:t xml:space="preserve">En entreprise</w:t>
      </w:r>
    </w:p>
    <w:p>
      <w:pPr>
        <w:pStyle w:val="Compact"/>
        <w:numPr>
          <w:ilvl w:val="0"/>
          <w:numId w:val="1553"/>
        </w:numPr>
      </w:pPr>
      <w:r>
        <w:rPr>
          <w:b/>
          <w:bCs/>
        </w:rPr>
        <w:t xml:space="preserve">Bonne pratique répandue</w:t>
      </w:r>
      <w:r>
        <w:t xml:space="preserve"> </w:t>
      </w:r>
      <w:r>
        <w:t xml:space="preserve">: automatiser systématiquement le renouvellement de tout certificat de production via des outils comme certbot, avec une supervision de secours indépendante (section 24.5) — jamais un renouvellement manuel comme seul filet de sécurité.</w:t>
      </w:r>
    </w:p>
    <w:p>
      <w:pPr>
        <w:pStyle w:val="Compact"/>
        <w:numPr>
          <w:ilvl w:val="0"/>
          <w:numId w:val="1553"/>
        </w:numPr>
      </w:pPr>
      <w:r>
        <w:rPr>
          <w:b/>
          <w:bCs/>
        </w:rPr>
        <w:t xml:space="preserve">Bonne pratique répandue</w:t>
      </w:r>
      <w:r>
        <w:t xml:space="preserve"> </w:t>
      </w:r>
      <w:r>
        <w:t xml:space="preserve">: maintenir un inventaire (chapitre 3) de tous les certificats en usage dans l’organisation, avec leurs dates d’expiration, y compris les certificats internes moins visibles qu’un site public.</w:t>
      </w:r>
    </w:p>
    <w:p>
      <w:pPr>
        <w:pStyle w:val="Compact"/>
        <w:numPr>
          <w:ilvl w:val="0"/>
          <w:numId w:val="1553"/>
        </w:numPr>
      </w:pPr>
      <w:r>
        <w:rPr>
          <w:b/>
          <w:bCs/>
        </w:rPr>
        <w:t xml:space="preserve">Erreur classique observée</w:t>
      </w:r>
      <w:r>
        <w:t xml:space="preserve"> </w:t>
      </w:r>
      <w:r>
        <w:t xml:space="preserve">: un certificat interne (section 24.7) oublié parce qu’invisible depuis l’extérieur, expirant silencieusement et bloquant un service interne critique, découvert seulement quand des employés commencent à signaler des erreurs.</w:t>
      </w:r>
    </w:p>
    <w:bookmarkEnd w:id="597"/>
    <w:bookmarkStart w:id="598" w:name="entretien-technique-23"/>
    <w:p>
      <w:pPr>
        <w:pStyle w:val="Heading2"/>
      </w:pPr>
      <w:r>
        <w:t xml:space="preserve">Entretien technique</w:t>
      </w:r>
    </w:p>
    <w:p>
      <w:pPr>
        <w:pStyle w:val="FirstParagraph"/>
      </w:pPr>
      <w:r>
        <w:t xml:space="preserve">💼 Questions fréquemment posées en entretien</w:t>
      </w:r>
    </w:p>
    <w:p>
      <w:pPr>
        <w:pStyle w:val="BodyText"/>
      </w:pPr>
      <w:r>
        <w:rPr>
          <w:b/>
          <w:bCs/>
        </w:rPr>
        <w:t xml:space="preserve">Q1.</w:t>
      </w:r>
      <w:r>
        <w:rPr>
          <w:b/>
          <w:bCs/>
        </w:rPr>
        <w:t xml:space="preserve"> </w:t>
      </w:r>
      <w:r>
        <w:rPr>
          <w:b/>
          <w:bCs/>
        </w:rPr>
        <w:t xml:space="preserve">“Qu’est-ce qu’une chaîne de confiance en PKI ?”</w:t>
      </w:r>
      <w:r>
        <w:t xml:space="preserve"> </w:t>
      </w:r>
      <w:r>
        <w:t xml:space="preserve">Réponse attendue : la séquence de certificats (feuille, intermédiaire, racine) qu’un navigateur remonte pour vérifier qu’un certificat de site est signé, directement ou indirectement, par une autorité de certification en laquelle il a déjà confiance — chaque maillon signant le suivant, jusqu’à une racine reconnue nativement.</w:t>
      </w:r>
    </w:p>
    <w:p>
      <w:pPr>
        <w:pStyle w:val="BodyText"/>
      </w:pPr>
      <w:r>
        <w:rPr>
          <w:b/>
          <w:bCs/>
        </w:rPr>
        <w:t xml:space="preserve">Q2.</w:t>
      </w:r>
      <w:r>
        <w:rPr>
          <w:b/>
          <w:bCs/>
        </w:rPr>
        <w:t xml:space="preserve"> </w:t>
      </w:r>
      <w:r>
        <w:rPr>
          <w:b/>
          <w:bCs/>
        </w:rPr>
        <w:t xml:space="preserve">“Un client te signale un avertissement</w:t>
      </w:r>
      <w:r>
        <w:rPr>
          <w:b/>
          <w:bCs/>
        </w:rPr>
        <w:t xml:space="preserve"> </w:t>
      </w:r>
      <w:r>
        <w:rPr>
          <w:b/>
          <w:bCs/>
        </w:rPr>
        <w:t xml:space="preserve">‘certificat expiré’</w:t>
      </w:r>
      <w:r>
        <w:rPr>
          <w:b/>
          <w:bCs/>
        </w:rPr>
        <w:t xml:space="preserve">. Comment le confirmes-tu rapidement, sans ouvrir un navigateur ?”</w:t>
      </w:r>
      <w:r>
        <w:t xml:space="preserve"> </w:t>
      </w:r>
      <w:r>
        <w:t xml:space="preserve">Réponse attendue :</w:t>
      </w:r>
      <w:r>
        <w:t xml:space="preserve"> </w:t>
      </w:r>
      <w:r>
        <w:rPr>
          <w:rStyle w:val="VerbatimChar"/>
        </w:rPr>
        <w:t xml:space="preserve">openssl s_client -connect domaine:443 | openssl x509 -noout -dates</w:t>
      </w:r>
      <w:r>
        <w:t xml:space="preserve">, qui affiche précisément les dates de validité du certificat présenté par le serveur, confirmant ou infirmant l’hypothèse immédiatement.</w:t>
      </w:r>
    </w:p>
    <w:p>
      <w:pPr>
        <w:pStyle w:val="BodyText"/>
      </w:pPr>
      <w:r>
        <w:rPr>
          <w:b/>
          <w:bCs/>
        </w:rPr>
        <w:t xml:space="preserve">Q3.</w:t>
      </w:r>
      <w:r>
        <w:rPr>
          <w:b/>
          <w:bCs/>
        </w:rPr>
        <w:t xml:space="preserve"> </w:t>
      </w:r>
      <w:r>
        <w:rPr>
          <w:b/>
          <w:bCs/>
        </w:rPr>
        <w:t xml:space="preserve">“Pourquoi l’automatisation du renouvellement de certificat est-elle considérée comme une bonne pratique essentielle, pas seulement un confort ?”</w:t>
      </w:r>
      <w:r>
        <w:t xml:space="preserve"> </w:t>
      </w:r>
      <w:r>
        <w:t xml:space="preserve">Réponse attendue : un renouvellement manuel dépend de la mémoire humaine, un point de défaillance unique similaire au</w:t>
      </w:r>
      <w:r>
        <w:t xml:space="preserve"> </w:t>
      </w:r>
      <w:r>
        <w:t xml:space="preserve">“bus factor”</w:t>
      </w:r>
      <w:r>
        <w:t xml:space="preserve"> </w:t>
      </w:r>
      <w:r>
        <w:t xml:space="preserve">du chapitre 1 — l’automatisation (certbot) élimine ce risque systémique, tandis qu’une supervision complémentaire de la date d’expiration ajoute une seconde ligne de défense en cas d’échec silencieux de l’automatisation elle-même.</w:t>
      </w:r>
    </w:p>
    <w:bookmarkEnd w:id="598"/>
    <w:bookmarkStart w:id="599" w:name="Xbda36efdbfe2c1fbe64927666102b6068e069ca"/>
    <w:p>
      <w:pPr>
        <w:pStyle w:val="Heading2"/>
      </w:pPr>
      <w:r>
        <w:t xml:space="preserve">Optimisation, sécurité et maintenabilité — les réflexes dès ce chapitre</w:t>
      </w:r>
    </w:p>
    <w:p>
      <w:pPr>
        <w:pStyle w:val="FirstParagraph"/>
      </w:pPr>
      <w:r>
        <w:t xml:space="preserve">🔒 Sécurité</w:t>
      </w:r>
      <w:r>
        <w:t xml:space="preserve"> </w:t>
      </w:r>
      <w:r>
        <w:t xml:space="preserve">Protège systématiquement toute clé privée avec des permissions Unix strictes (chapitre 18) et ne la committe jamais dans un dépôt Git (chapitre 20) — une clé privée compromise doit être immédiatement révoquée et remplacée, jamais simplement</w:t>
      </w:r>
      <w:r>
        <w:t xml:space="preserve"> </w:t>
      </w:r>
      <w:r>
        <w:t xml:space="preserve">“espérée non découverte”</w:t>
      </w:r>
      <w:r>
        <w:t xml:space="preserve">.</w:t>
      </w:r>
    </w:p>
    <w:p>
      <w:pPr>
        <w:pStyle w:val="BodyText"/>
      </w:pPr>
      <w:r>
        <w:t xml:space="preserve">✅ Maintenabilité</w:t>
      </w:r>
      <w:r>
        <w:t xml:space="preserve"> </w:t>
      </w:r>
      <w:r>
        <w:t xml:space="preserve">Maintiens un inventaire à jour de tous les certificats de l’organisation avec leurs dates d’expiration (chapitre 3), y compris les certificats internes moins visibles — un audit périodique simple qui aurait détecté le scénario d’ouverture bien avant l’expiration réelle.</w:t>
      </w:r>
    </w:p>
    <w:p>
      <w:pPr>
        <w:pStyle w:val="BodyText"/>
      </w:pPr>
      <w:r>
        <w:t xml:space="preserve">🚀 Performance</w:t>
      </w:r>
      <w:r>
        <w:t xml:space="preserve"> </w:t>
      </w:r>
      <w:r>
        <w:t xml:space="preserve">L’automatisation via certbot ne coûte quasiment rien en performance ou en complexité opérationnelle une fois configurée, contrairement au coût potentiellement élevé (perte de confiance client, interruption de service) d’un certificat expiré non détecté à temps — un rapport bénéfice/coût très favorable qui justifie sa mise en place systématique.</w:t>
      </w:r>
    </w:p>
    <w:bookmarkEnd w:id="599"/>
    <w:bookmarkStart w:id="600" w:name="résumé-du-chapitre-23"/>
    <w:p>
      <w:pPr>
        <w:pStyle w:val="Heading2"/>
      </w:pPr>
      <w:r>
        <w:t xml:space="preserve">Résumé du chapitre</w:t>
      </w:r>
    </w:p>
    <w:p>
      <w:pPr>
        <w:pStyle w:val="Compact"/>
        <w:numPr>
          <w:ilvl w:val="0"/>
          <w:numId w:val="1554"/>
        </w:numPr>
      </w:pPr>
      <w:r>
        <w:t xml:space="preserve">TLS chiffre les communications et authentifie l’identité d’un serveur, une exigence non négociable pour tout service manipulant des données sensibles.</w:t>
      </w:r>
    </w:p>
    <w:p>
      <w:pPr>
        <w:pStyle w:val="Compact"/>
        <w:numPr>
          <w:ilvl w:val="0"/>
          <w:numId w:val="1554"/>
        </w:numPr>
      </w:pPr>
      <w:r>
        <w:t xml:space="preserve">Un certificat associe une clé publique à une identité, signé par une autorité de certification (CA) ; la clé privée correspondante ne doit jamais être partagée.</w:t>
      </w:r>
    </w:p>
    <w:p>
      <w:pPr>
        <w:pStyle w:val="Compact"/>
        <w:numPr>
          <w:ilvl w:val="0"/>
          <w:numId w:val="1554"/>
        </w:numPr>
      </w:pPr>
      <w:r>
        <w:t xml:space="preserve">La chaîne de confiance (racine, intermédiaire, feuille) permet à un navigateur de vérifier l’authenticité d’un certificat sans connaître directement chaque site.</w:t>
      </w:r>
    </w:p>
    <w:p>
      <w:pPr>
        <w:pStyle w:val="Compact"/>
        <w:numPr>
          <w:ilvl w:val="0"/>
          <w:numId w:val="1554"/>
        </w:numPr>
      </w:pPr>
      <w:r>
        <w:t xml:space="preserve">Un certificat expiré, une chaîne incomplète, ou un certificat auto-signé non reconnu sont les causes les plus fréquentes d’avertissements de sécurité navigateur.</w:t>
      </w:r>
    </w:p>
    <w:p>
      <w:pPr>
        <w:pStyle w:val="Compact"/>
        <w:numPr>
          <w:ilvl w:val="0"/>
          <w:numId w:val="1554"/>
        </w:numPr>
      </w:pPr>
      <w:r>
        <w:t xml:space="preserve">L’automatisation du renouvellement (Let’s Encrypt/certbot) élimine le risque de dépendre d’une mémoire humaine, complétée par une supervision indépendante de la date d’expiration.</w:t>
      </w:r>
    </w:p>
    <w:bookmarkEnd w:id="600"/>
    <w:bookmarkStart w:id="601" w:name="quiz-23"/>
    <w:p>
      <w:pPr>
        <w:pStyle w:val="Heading2"/>
      </w:pPr>
      <w:r>
        <w:t xml:space="preserve">Quiz</w:t>
      </w:r>
    </w:p>
    <w:p>
      <w:pPr>
        <w:pStyle w:val="FirstParagraph"/>
      </w:pPr>
      <w:r>
        <w:t xml:space="preserve">📝 QCM (une seule bonne réponse par question)</w:t>
      </w:r>
    </w:p>
    <w:p>
      <w:pPr>
        <w:pStyle w:val="Compact"/>
        <w:numPr>
          <w:ilvl w:val="0"/>
          <w:numId w:val="1555"/>
        </w:numPr>
      </w:pPr>
      <w:r>
        <w:t xml:space="preserve">TLS garantit principalement :</w:t>
      </w:r>
    </w:p>
    <w:p>
      <w:pPr>
        <w:pStyle w:val="Compact"/>
        <w:numPr>
          <w:ilvl w:val="1"/>
          <w:numId w:val="1556"/>
        </w:numPr>
      </w:pPr>
    </w:p>
    <w:p>
      <w:pPr>
        <w:pStyle w:val="Compact"/>
        <w:numPr>
          <w:ilvl w:val="2"/>
          <w:numId w:val="1557"/>
        </w:numPr>
      </w:pPr>
      <w:r>
        <w:t xml:space="preserve">La vitesse de connexion</w:t>
      </w:r>
    </w:p>
    <w:p>
      <w:pPr>
        <w:pStyle w:val="Compact"/>
        <w:numPr>
          <w:ilvl w:val="1"/>
          <w:numId w:val="1556"/>
        </w:numPr>
      </w:pPr>
    </w:p>
    <w:p>
      <w:pPr>
        <w:pStyle w:val="Compact"/>
        <w:numPr>
          <w:ilvl w:val="2"/>
          <w:numId w:val="1558"/>
        </w:numPr>
      </w:pPr>
      <w:r>
        <w:t xml:space="preserve">La confidentialité et l’authentification d’une communication</w:t>
      </w:r>
    </w:p>
    <w:p>
      <w:pPr>
        <w:pStyle w:val="Compact"/>
        <w:numPr>
          <w:ilvl w:val="1"/>
          <w:numId w:val="1556"/>
        </w:numPr>
      </w:pPr>
    </w:p>
    <w:p>
      <w:pPr>
        <w:pStyle w:val="Compact"/>
        <w:numPr>
          <w:ilvl w:val="2"/>
          <w:numId w:val="1559"/>
        </w:numPr>
      </w:pPr>
      <w:r>
        <w:t xml:space="preserve">L’indexation par les moteurs de recherche</w:t>
      </w:r>
    </w:p>
    <w:p>
      <w:pPr>
        <w:pStyle w:val="Compact"/>
        <w:numPr>
          <w:ilvl w:val="1"/>
          <w:numId w:val="1556"/>
        </w:numPr>
      </w:pPr>
    </w:p>
    <w:p>
      <w:pPr>
        <w:pStyle w:val="Compact"/>
        <w:numPr>
          <w:ilvl w:val="2"/>
          <w:numId w:val="1560"/>
        </w:numPr>
      </w:pPr>
      <w:r>
        <w:t xml:space="preserve">La sauvegarde automatique des données</w:t>
      </w:r>
    </w:p>
    <w:p>
      <w:pPr>
        <w:pStyle w:val="Compact"/>
        <w:numPr>
          <w:ilvl w:val="0"/>
          <w:numId w:val="1555"/>
        </w:numPr>
      </w:pPr>
      <w:r>
        <w:t xml:space="preserve">Une chaîne de confiance en PKI part généralement :</w:t>
      </w:r>
    </w:p>
    <w:p>
      <w:pPr>
        <w:pStyle w:val="Compact"/>
        <w:numPr>
          <w:ilvl w:val="1"/>
          <w:numId w:val="1561"/>
        </w:numPr>
      </w:pPr>
    </w:p>
    <w:p>
      <w:pPr>
        <w:pStyle w:val="Compact"/>
        <w:numPr>
          <w:ilvl w:val="2"/>
          <w:numId w:val="1562"/>
        </w:numPr>
      </w:pPr>
      <w:r>
        <w:t xml:space="preserve">De la racine vers la feuille uniquement</w:t>
      </w:r>
    </w:p>
    <w:p>
      <w:pPr>
        <w:pStyle w:val="Compact"/>
        <w:numPr>
          <w:ilvl w:val="1"/>
          <w:numId w:val="1561"/>
        </w:numPr>
      </w:pPr>
    </w:p>
    <w:p>
      <w:pPr>
        <w:pStyle w:val="Compact"/>
        <w:numPr>
          <w:ilvl w:val="2"/>
          <w:numId w:val="1563"/>
        </w:numPr>
      </w:pPr>
      <w:r>
        <w:t xml:space="preserve">Du certificat du site (feuille), en remontant vers un intermédiaire, jusqu’à une racine reconnue</w:t>
      </w:r>
    </w:p>
    <w:p>
      <w:pPr>
        <w:pStyle w:val="Compact"/>
        <w:numPr>
          <w:ilvl w:val="1"/>
          <w:numId w:val="1561"/>
        </w:numPr>
      </w:pPr>
    </w:p>
    <w:p>
      <w:pPr>
        <w:pStyle w:val="Compact"/>
        <w:numPr>
          <w:ilvl w:val="2"/>
          <w:numId w:val="1564"/>
        </w:numPr>
      </w:pPr>
      <w:r>
        <w:t xml:space="preserve">Uniquement d’un certificat auto-signé</w:t>
      </w:r>
    </w:p>
    <w:p>
      <w:pPr>
        <w:pStyle w:val="Compact"/>
        <w:numPr>
          <w:ilvl w:val="1"/>
          <w:numId w:val="1561"/>
        </w:numPr>
      </w:pPr>
    </w:p>
    <w:p>
      <w:pPr>
        <w:pStyle w:val="Compact"/>
        <w:numPr>
          <w:ilvl w:val="2"/>
          <w:numId w:val="1565"/>
        </w:numPr>
      </w:pPr>
      <w:r>
        <w:t xml:space="preserve">Ne concerne que les certificats internes</w:t>
      </w:r>
    </w:p>
    <w:p>
      <w:pPr>
        <w:pStyle w:val="Compact"/>
        <w:numPr>
          <w:ilvl w:val="0"/>
          <w:numId w:val="1555"/>
        </w:numPr>
      </w:pPr>
      <w:r>
        <w:t xml:space="preserve">La bonne pratique face au renouvellement de certificat est de :</w:t>
      </w:r>
    </w:p>
    <w:p>
      <w:pPr>
        <w:pStyle w:val="Compact"/>
        <w:numPr>
          <w:ilvl w:val="1"/>
          <w:numId w:val="1566"/>
        </w:numPr>
      </w:pPr>
    </w:p>
    <w:p>
      <w:pPr>
        <w:pStyle w:val="Compact"/>
        <w:numPr>
          <w:ilvl w:val="2"/>
          <w:numId w:val="1567"/>
        </w:numPr>
      </w:pPr>
      <w:r>
        <w:t xml:space="preserve">Le planifier manuellement dans un calendrier personnel</w:t>
      </w:r>
    </w:p>
    <w:p>
      <w:pPr>
        <w:pStyle w:val="Compact"/>
        <w:numPr>
          <w:ilvl w:val="1"/>
          <w:numId w:val="1566"/>
        </w:numPr>
      </w:pPr>
    </w:p>
    <w:p>
      <w:pPr>
        <w:pStyle w:val="Compact"/>
        <w:numPr>
          <w:ilvl w:val="2"/>
          <w:numId w:val="1568"/>
        </w:numPr>
      </w:pPr>
      <w:r>
        <w:t xml:space="preserve">L’automatiser (par exemple avec certbot) et le superviser indépendamment</w:t>
      </w:r>
    </w:p>
    <w:p>
      <w:pPr>
        <w:pStyle w:val="Compact"/>
        <w:numPr>
          <w:ilvl w:val="1"/>
          <w:numId w:val="1566"/>
        </w:numPr>
      </w:pPr>
    </w:p>
    <w:p>
      <w:pPr>
        <w:pStyle w:val="Compact"/>
        <w:numPr>
          <w:ilvl w:val="2"/>
          <w:numId w:val="1569"/>
        </w:numPr>
      </w:pPr>
      <w:r>
        <w:t xml:space="preserve">Utiliser uniquement des certificats sans date d’expiration</w:t>
      </w:r>
    </w:p>
    <w:p>
      <w:pPr>
        <w:pStyle w:val="Compact"/>
        <w:numPr>
          <w:ilvl w:val="1"/>
          <w:numId w:val="1566"/>
        </w:numPr>
      </w:pPr>
    </w:p>
    <w:p>
      <w:pPr>
        <w:pStyle w:val="Compact"/>
        <w:numPr>
          <w:ilvl w:val="2"/>
          <w:numId w:val="1570"/>
        </w:numPr>
      </w:pPr>
      <w:r>
        <w:t xml:space="preserve">Ignorer les avertissements d’expiration tant que le site fonctionne encore</w:t>
      </w:r>
    </w:p>
    <w:p>
      <w:pPr>
        <w:pStyle w:val="FirstParagraph"/>
      </w:pPr>
      <w:r>
        <w:rPr>
          <w:b/>
          <w:bCs/>
        </w:rPr>
        <w:t xml:space="preserve">Corrigé</w:t>
      </w:r>
      <w:r>
        <w:t xml:space="preserve"> </w:t>
      </w:r>
      <w:r>
        <w:t xml:space="preserve">: 1-b, 2-b, 3-b.</w:t>
      </w:r>
    </w:p>
    <w:p>
      <w:pPr>
        <w:pStyle w:val="BodyText"/>
      </w:pPr>
      <w:r>
        <w:t xml:space="preserve">📝 Vrai ou Faux</w:t>
      </w:r>
    </w:p>
    <w:p>
      <w:pPr>
        <w:pStyle w:val="Compact"/>
        <w:numPr>
          <w:ilvl w:val="0"/>
          <w:numId w:val="1571"/>
        </w:numPr>
      </w:pPr>
      <w:r>
        <w:t xml:space="preserve">La clé privée d’un certificat peut être partagée sans risque tant que le certificat public reste secret. —</w:t>
      </w:r>
      <w:r>
        <w:t xml:space="preserve"> </w:t>
      </w:r>
      <w:r>
        <w:rPr>
          <w:b/>
          <w:bCs/>
        </w:rPr>
        <w:t xml:space="preserve">Faux</w:t>
      </w:r>
      <w:r>
        <w:t xml:space="preserve"> </w:t>
      </w:r>
      <w:r>
        <w:t xml:space="preserve">(c’est l’inverse : la clé privée doit rester secrète, le certificat public est destiné à être partagé).</w:t>
      </w:r>
    </w:p>
    <w:p>
      <w:pPr>
        <w:pStyle w:val="Compact"/>
        <w:numPr>
          <w:ilvl w:val="0"/>
          <w:numId w:val="1571"/>
        </w:numPr>
      </w:pPr>
      <w:r>
        <w:t xml:space="preserve">Une chaîne de certificats incomplète peut provoquer un avertissement navigateur même si le certificat du site lui-même est valide. —</w:t>
      </w:r>
      <w:r>
        <w:t xml:space="preserve"> </w:t>
      </w:r>
      <w:r>
        <w:rPr>
          <w:b/>
          <w:bCs/>
        </w:rPr>
        <w:t xml:space="preserve">Vrai</w:t>
      </w:r>
      <w:r>
        <w:t xml:space="preserve">.</w:t>
      </w:r>
    </w:p>
    <w:p>
      <w:pPr>
        <w:pStyle w:val="Compact"/>
        <w:numPr>
          <w:ilvl w:val="0"/>
          <w:numId w:val="1571"/>
        </w:numPr>
      </w:pPr>
      <w:r>
        <w:t xml:space="preserve">Let’s Encrypt est une autorité de certification payante réservée aux grandes entreprises. —</w:t>
      </w:r>
      <w:r>
        <w:t xml:space="preserve"> </w:t>
      </w:r>
      <w:r>
        <w:rPr>
          <w:b/>
          <w:bCs/>
        </w:rPr>
        <w:t xml:space="preserve">Faux</w:t>
      </w:r>
      <w:r>
        <w:t xml:space="preserve"> </w:t>
      </w:r>
      <w:r>
        <w:t xml:space="preserve">(elle est gratuite et largement accessible).</w:t>
      </w:r>
    </w:p>
    <w:p>
      <w:pPr>
        <w:pStyle w:val="Compact"/>
        <w:numPr>
          <w:ilvl w:val="0"/>
          <w:numId w:val="1571"/>
        </w:numPr>
      </w:pPr>
      <w:r>
        <w:t xml:space="preserve">Un certificat auto-signé convient à un environnement de test isolé, mais pas à un service public de production. —</w:t>
      </w:r>
      <w:r>
        <w:t xml:space="preserve"> </w:t>
      </w:r>
      <w:r>
        <w:rPr>
          <w:b/>
          <w:bCs/>
        </w:rPr>
        <w:t xml:space="preserve">Vrai</w:t>
      </w:r>
      <w:r>
        <w:t xml:space="preserve">.</w:t>
      </w:r>
    </w:p>
    <w:p>
      <w:pPr>
        <w:pStyle w:val="FirstParagraph"/>
      </w:pPr>
      <w:r>
        <w:t xml:space="preserve">📝 Questions ouvertes</w:t>
      </w:r>
    </w:p>
    <w:p>
      <w:pPr>
        <w:pStyle w:val="Compact"/>
        <w:numPr>
          <w:ilvl w:val="0"/>
          <w:numId w:val="1572"/>
        </w:numPr>
      </w:pPr>
      <w:r>
        <w:t xml:space="preserve">Explique pourquoi une supervision indépendante de la date d’expiration reste utile même après avoir automatisé le renouvellement avec certbot.</w:t>
      </w:r>
    </w:p>
    <w:p>
      <w:pPr>
        <w:pStyle w:val="Compact"/>
        <w:numPr>
          <w:ilvl w:val="0"/>
          <w:numId w:val="1572"/>
        </w:numPr>
      </w:pPr>
      <w:r>
        <w:t xml:space="preserve">Reprends le scénario d’ouverture. Explique ce que tu répondrais au développeur qui pense initialement que le site a été piraté.</w:t>
      </w:r>
    </w:p>
    <w:p>
      <w:pPr>
        <w:pStyle w:val="FirstParagraph"/>
      </w:pPr>
      <w:r>
        <w:rPr>
          <w:b/>
          <w:bCs/>
        </w:rPr>
        <w:t xml:space="preserve">Corrigé 1</w:t>
      </w:r>
      <w:r>
        <w:t xml:space="preserve"> </w:t>
      </w:r>
      <w:r>
        <w:t xml:space="preserve">: l’automatisation peut échouer silencieusement pour des raisons variées (changement de configuration réseau bloquant la validation Let’s Encrypt, erreur de permissions, service certbot lui-même désactivé sans que personne ne le remarque) — sans une vérification indépendante de la date d’expiration réelle du certificat en production, un tel échec silencieux ne serait découvert qu’au moment de l’expiration effective, exactement comme dans le scénario d’ouverture. La supervision complémentaire agit comme un filet de sécurité qui ne dépend pas du bon fonctionnement de l’automatisation elle-même.</w:t>
      </w:r>
    </w:p>
    <w:p>
      <w:pPr>
        <w:pStyle w:val="BodyText"/>
      </w:pPr>
      <w:r>
        <w:rPr>
          <w:b/>
          <w:bCs/>
        </w:rPr>
        <w:t xml:space="preserve">Corrigé 2</w:t>
      </w:r>
      <w:r>
        <w:t xml:space="preserve"> </w:t>
      </w:r>
      <w:r>
        <w:t xml:space="preserve">: je lui expliquerais qu’un certificat expiré et un piratage sont deux situations très différentes, immédiatement distinguables avec</w:t>
      </w:r>
      <w:r>
        <w:t xml:space="preserve"> </w:t>
      </w:r>
      <w:r>
        <w:rPr>
          <w:rStyle w:val="VerbatimChar"/>
        </w:rPr>
        <w:t xml:space="preserve">openssl x509 -noout -dates</w:t>
      </w:r>
      <w:r>
        <w:t xml:space="preserve"> </w:t>
      </w:r>
      <w:r>
        <w:t xml:space="preserve">— un certificat expiré affiche une date de fin de validité clairement dépassée, sans aucun signe de compromission du serveur ou du code applicatif lui-même. Ce type d’incident, bien que bloquant et impressionnant pour l’utilisateur final à cause du message d’avertissement du navigateur, est une simple question de cycle de vie de certificat non renouvelé à temps, résolue en quelques minutes une fois diagnostiquée, sans rapport avec une intrusion ou une faille de sécurité réelle.</w:t>
      </w:r>
    </w:p>
    <w:bookmarkEnd w:id="601"/>
    <w:bookmarkStart w:id="602" w:name="exercices-23"/>
    <w:p>
      <w:pPr>
        <w:pStyle w:val="Heading2"/>
      </w:pPr>
      <w:r>
        <w:t xml:space="preserve">Exercices</w:t>
      </w:r>
    </w:p>
    <w:p>
      <w:pPr>
        <w:pStyle w:val="FirstParagraph"/>
      </w:pPr>
      <w:r>
        <w:t xml:space="preserve">📝 Exercice 24.1</w:t>
      </w:r>
    </w:p>
    <w:p>
      <w:pPr>
        <w:pStyle w:val="BodyText"/>
      </w:pPr>
      <w:r>
        <w:t xml:space="preserve">Un client signale un avertissement</w:t>
      </w:r>
      <w:r>
        <w:t xml:space="preserve"> </w:t>
      </w:r>
      <w:r>
        <w:t xml:space="preserve">“NET::ERR_CERT_AUTHORITY_INVALID”</w:t>
      </w:r>
      <w:r>
        <w:t xml:space="preserve"> </w:t>
      </w:r>
      <w:r>
        <w:t xml:space="preserve">en tentant d’accéder à un service interne de l’entreprise. Explique quelle configuration de la section 24.7 pourrait expliquer ce message, et pourquoi ce ne serait pas nécessairement une erreur de configuration côté serveur.</w:t>
      </w:r>
    </w:p>
    <w:p>
      <w:pPr>
        <w:pStyle w:val="BodyText"/>
      </w:pPr>
      <w:r>
        <w:rPr>
          <w:b/>
          <w:bCs/>
        </w:rPr>
        <w:t xml:space="preserve">Corrigé :</w:t>
      </w:r>
      <w:r>
        <w:t xml:space="preserve"> </w:t>
      </w:r>
      <w:r>
        <w:t xml:space="preserve">Ce message indique généralement que le certificat présenté a été signé par une autorité de certification que le navigateur du client ne reconnaît pas — exactement ce qui se produit avec un certificat signé par une CA interne d’entreprise (section 24.7) si le certificat racine de cette CA interne n’a pas été déployé sur le poste du client concerné. Ce n’est pas nécessairement une erreur du serveur lui-même (qui présente un certificat parfaitement valide selon sa propre CA interne), mais un problème de configuration côté client, résolu en déployant le certificat racine interne sur tous les postes qui doivent accéder à ce service, souvent via une GPO (chapitre 7) pour un déploiement centralisé.</w:t>
      </w:r>
    </w:p>
    <w:p>
      <w:pPr>
        <w:pStyle w:val="BodyText"/>
      </w:pPr>
      <w:r>
        <w:t xml:space="preserve">📝 Exercice 24.2</w:t>
      </w:r>
    </w:p>
    <w:p>
      <w:pPr>
        <w:pStyle w:val="BodyText"/>
      </w:pPr>
      <w:r>
        <w:t xml:space="preserve">Rédige, en 3 à 5 phrases, une entrée pour l’inventaire des actifs (chapitre 3) concernant le certificat du portail client, incluant les informations qui auraient permis de prévenir l’incident du scénario d’ouverture.</w:t>
      </w:r>
    </w:p>
    <w:p>
      <w:pPr>
        <w:pStyle w:val="BodyText"/>
      </w:pPr>
      <w:r>
        <w:rPr>
          <w:b/>
          <w:bCs/>
        </w:rPr>
        <w:t xml:space="preserve">Corrigé (exemple de réponse) :</w:t>
      </w:r>
      <w:r>
        <w:t xml:space="preserve"> </w:t>
      </w:r>
      <w:r>
        <w:t xml:space="preserve">“Certificat TLS — portail.assuranceht.ht : émis par Let’s Encrypt, renouvellement automatique via certbot configuré le [date], vérification de la date d’expiration incluse dans le script de supervision quotidien depuis le [date], seuil d’alerte fixé à 30 jours avant expiration, dernier renouvellement réussi le [date la plus récente].”</w:t>
      </w:r>
      <w:r>
        <w:t xml:space="preserve"> </w:t>
      </w:r>
      <w:r>
        <w:t xml:space="preserve">Cette entrée, consultée périodiquement ou déclenchée automatiquement par une alerte de supervision, aurait révélé l’approche de l’expiration bien avant le lundi matin du scénario d’ouverture, laissant le temps de diagnostiquer et corriger un éventuel échec de l’automatisation avant tout impact client.</w:t>
      </w:r>
    </w:p>
    <w:bookmarkEnd w:id="602"/>
    <w:bookmarkStart w:id="603" w:name="checklist-de-fin-de-chapitre-23"/>
    <w:p>
      <w:pPr>
        <w:pStyle w:val="Heading2"/>
      </w:pPr>
      <w:r>
        <w:t xml:space="preserve">Checklist de fin de chapitre</w:t>
      </w:r>
    </w:p>
    <w:p>
      <w:pPr>
        <w:pStyle w:val="FirstParagraph"/>
      </w:pPr>
      <w:r>
        <w:t xml:space="preserve">☐ Je comprends ce que TLS protège concrètement (confidentialité et authentification).</w:t>
      </w:r>
    </w:p>
    <w:p>
      <w:pPr>
        <w:pStyle w:val="BodyText"/>
      </w:pPr>
      <w:r>
        <w:t xml:space="preserve">☐ Je sais expliquer les rôles de la clé privée, de la clé publique, du certificat et de la CA.</w:t>
      </w:r>
    </w:p>
    <w:p>
      <w:pPr>
        <w:pStyle w:val="BodyText"/>
      </w:pPr>
      <w:r>
        <w:t xml:space="preserve">☐ Je comprends la chaîne de confiance (racine, intermédiaire, feuille).</w:t>
      </w:r>
    </w:p>
    <w:p>
      <w:pPr>
        <w:pStyle w:val="BodyText"/>
      </w:pPr>
      <w:r>
        <w:t xml:space="preserve">☐ Je sais diagnostiquer un certificat expiré avec</w:t>
      </w:r>
      <w:r>
        <w:t xml:space="preserve"> </w:t>
      </w:r>
      <w:r>
        <w:rPr>
          <w:rStyle w:val="VerbatimChar"/>
        </w:rPr>
        <w:t xml:space="preserve">openssl x509 -noout -dates</w:t>
      </w:r>
      <w:r>
        <w:t xml:space="preserve">.</w:t>
      </w:r>
    </w:p>
    <w:p>
      <w:pPr>
        <w:pStyle w:val="BodyText"/>
      </w:pPr>
      <w:r>
        <w:t xml:space="preserve">☐ Je sais automatiser le renouvellement d’un certificat avec certbot.</w:t>
      </w:r>
    </w:p>
    <w:p>
      <w:pPr>
        <w:pStyle w:val="BodyText"/>
      </w:pPr>
      <w:r>
        <w:t xml:space="preserve">☐ Je comprends pourquoi la protection de la clé privée est absolument critique.</w:t>
      </w:r>
    </w:p>
    <w:bookmarkEnd w:id="603"/>
    <w:bookmarkStart w:id="604" w:name="faq-23"/>
    <w:p>
      <w:pPr>
        <w:pStyle w:val="Heading2"/>
      </w:pPr>
      <w:r>
        <w:t xml:space="preserve">FAQ</w:t>
      </w:r>
    </w:p>
    <w:p>
      <w:pPr>
        <w:pStyle w:val="FirstParagraph"/>
      </w:pPr>
      <w:r>
        <w:t xml:space="preserve">Combien de temps un certificat Let’s Encrypt reste-t-il valide ?</w:t>
      </w:r>
    </w:p>
    <w:p>
      <w:pPr>
        <w:pStyle w:val="BodyText"/>
      </w:pPr>
      <w:r>
        <w:t xml:space="preserve">90 jours, une durée volontairement courte qui encourage fortement l’automatisation du renouvellement (section 24.5) plutôt qu’une gestion manuelle — certbot renouvelle généralement automatiquement bien avant cette échéance, dès qu’il reste environ 30 jours de validité.</w:t>
      </w:r>
    </w:p>
    <w:p>
      <w:pPr>
        <w:pStyle w:val="BodyText"/>
      </w:pPr>
      <w:r>
        <w:t xml:space="preserve">Un certificat plus cher (payant, d’une CA commerciale) offre-t-il un meilleur chiffrement qu’un certificat Let’s Encrypt gratuit ?</w:t>
      </w:r>
    </w:p>
    <w:p>
      <w:pPr>
        <w:pStyle w:val="BodyText"/>
      </w:pPr>
      <w:r>
        <w:t xml:space="preserve">Non, le niveau de chiffrement technique est équivalent — la différence entre certificats payants et gratuits porte généralement sur des garanties contractuelles, une assurance en cas de faille, ou des fonctionnalités de validation étendue (affichage du nom de l’entreprise), pas sur la robustesse cryptographique elle-même.</w:t>
      </w:r>
    </w:p>
    <w:p>
      <w:pPr>
        <w:pStyle w:val="BodyText"/>
      </w:pPr>
      <w:r>
        <w:t xml:space="preserve">Que faire si une clé privée est suspectée d’avoir été compromise ?</w:t>
      </w:r>
    </w:p>
    <w:p>
      <w:pPr>
        <w:pStyle w:val="BodyText"/>
      </w:pPr>
      <w:r>
        <w:t xml:space="preserve">Révoquer immédiatement le certificat associé auprès de la CA qui l’a émis, générer une nouvelle paire de clés, et obtenir un nouveau certificat — ne jamais continuer à utiliser un certificat dont la clé privée est potentiellement entre de mauvaises mains, même temporairement le temps d’organiser le remplacement.</w:t>
      </w:r>
    </w:p>
    <w:p>
      <w:pPr>
        <w:pStyle w:val="BodyText"/>
      </w:pPr>
      <w:r>
        <w:t xml:space="preserve">TLS protège-t-il contre toutes les formes d’attaques web ?</w:t>
      </w:r>
    </w:p>
    <w:p>
      <w:pPr>
        <w:pStyle w:val="BodyText"/>
      </w:pPr>
      <w:r>
        <w:t xml:space="preserve">Non, TLS protège spécifiquement la communication en transit (confidentialité, authentification du serveur) — il ne protège pas contre des vulnérabilités applicatives comme les injections ou les failles de logique métier, des sujets abordés séparément dans la Partie 12 (cybersécurité) de ce manuel.</w:t>
      </w:r>
    </w:p>
    <w:bookmarkEnd w:id="604"/>
    <w:bookmarkStart w:id="609" w:name="références-et-pour-aller-plus-loin-23"/>
    <w:p>
      <w:pPr>
        <w:pStyle w:val="Heading2"/>
      </w:pPr>
      <w:r>
        <w:t xml:space="preserve">Références et pour aller plus loin</w:t>
      </w:r>
    </w:p>
    <w:p>
      <w:pPr>
        <w:pStyle w:val="Compact"/>
        <w:numPr>
          <w:ilvl w:val="0"/>
          <w:numId w:val="1573"/>
        </w:numPr>
      </w:pPr>
      <w:r>
        <w:t xml:space="preserve">Let’s Encrypt — documentation officielle :</w:t>
      </w:r>
      <w:r>
        <w:t xml:space="preserve"> </w:t>
      </w:r>
      <w:hyperlink r:id="rId605">
        <w:r>
          <w:rPr>
            <w:rStyle w:val="Hyperlink"/>
          </w:rPr>
          <w:t xml:space="preserve">https://letsencrypt.org/fr/docs/</w:t>
        </w:r>
      </w:hyperlink>
    </w:p>
    <w:p>
      <w:pPr>
        <w:pStyle w:val="Compact"/>
        <w:numPr>
          <w:ilvl w:val="0"/>
          <w:numId w:val="1573"/>
        </w:numPr>
      </w:pPr>
      <w:r>
        <w:t xml:space="preserve">Documentation officielle certbot :</w:t>
      </w:r>
      <w:r>
        <w:t xml:space="preserve"> </w:t>
      </w:r>
      <w:hyperlink r:id="rId606">
        <w:r>
          <w:rPr>
            <w:rStyle w:val="Hyperlink"/>
          </w:rPr>
          <w:t xml:space="preserve">https://certbot.eff.org/</w:t>
        </w:r>
      </w:hyperlink>
    </w:p>
    <w:p>
      <w:pPr>
        <w:pStyle w:val="Compact"/>
        <w:numPr>
          <w:ilvl w:val="0"/>
          <w:numId w:val="1573"/>
        </w:numPr>
      </w:pPr>
      <w:r>
        <w:t xml:space="preserve">Documentation officielle OpenSSL :</w:t>
      </w:r>
      <w:r>
        <w:t xml:space="preserve"> </w:t>
      </w:r>
      <w:hyperlink r:id="rId607">
        <w:r>
          <w:rPr>
            <w:rStyle w:val="Hyperlink"/>
          </w:rPr>
          <w:t xml:space="preserve">https://www.openssl.org/docs/</w:t>
        </w:r>
      </w:hyperlink>
    </w:p>
    <w:p>
      <w:pPr>
        <w:pStyle w:val="Compact"/>
        <w:numPr>
          <w:ilvl w:val="0"/>
          <w:numId w:val="1573"/>
        </w:numPr>
      </w:pPr>
      <w:r>
        <w:t xml:space="preserve">Mozilla — Configuration TLS recommandée pour les serveurs web :</w:t>
      </w:r>
      <w:r>
        <w:t xml:space="preserve"> </w:t>
      </w:r>
      <w:hyperlink r:id="rId608">
        <w:r>
          <w:rPr>
            <w:rStyle w:val="Hyperlink"/>
          </w:rPr>
          <w:t xml:space="preserve">https://ssl-config.mozilla.org/</w:t>
        </w:r>
      </w:hyperlink>
    </w:p>
    <w:p>
      <w:pPr>
        <w:pStyle w:val="FirstParagraph"/>
      </w:pPr>
      <w:r>
        <w:rPr>
          <w:i/>
          <w:iCs/>
        </w:rPr>
        <w:t xml:space="preserve">Chapitre suivant : MFA et authentification forte — comment ajouter une couche de protection supplémentaire au-delà du simple mot de passe, pour l’ensemble des accès de l’entreprise.</w:t>
      </w:r>
    </w:p>
    <w:p>
      <w:pPr>
        <w:pStyle w:val="BodyText"/>
      </w:pPr>
      <w:r>
        <w:t xml:space="preserve">CHAPITRE 25</w:t>
      </w:r>
    </w:p>
    <w:bookmarkEnd w:id="609"/>
    <w:bookmarkEnd w:id="610"/>
    <w:bookmarkStart w:id="634" w:name="mfa-et-authentification-forte"/>
    <w:p>
      <w:pPr>
        <w:pStyle w:val="Heading1"/>
      </w:pPr>
      <w:r>
        <w:t xml:space="preserve">MFA et authentification forte</w:t>
      </w:r>
    </w:p>
    <w:p>
      <w:pPr>
        <w:pStyle w:val="FirstParagraph"/>
      </w:pPr>
      <w:r>
        <w:t xml:space="preserve">🎯 Objectif du chapitre</w:t>
      </w:r>
      <w:r>
        <w:t xml:space="preserve"> </w:t>
      </w:r>
      <w:r>
        <w:t xml:space="preserve">Comprendre pourquoi le mot de passe seul, aussi complexe soit-il, ne suffit plus à protéger un compte en 2026, et comment l’authentification multifacteur (MFA) comble cette lacune. À la fin de ce chapitre, tu sauras expliquer les trois facteurs d’authentification, choisir la méthode MFA adaptée à un contexte donné (TOTP, clé de sécurité, notification push), et déployer le MFA aussi bien côté Windows/Entra ID que côté Linux.</w:t>
      </w:r>
    </w:p>
    <w:p>
      <w:pPr>
        <w:pStyle w:val="BodyText"/>
      </w:pPr>
      <w:r>
        <w:t xml:space="preserve">🎬 Mise en situation</w:t>
      </w:r>
      <w:r>
        <w:t xml:space="preserve"> </w:t>
      </w:r>
      <w:r>
        <w:t xml:space="preserve">Un service externe de notification de fuites de données alerte l’entreprise : l’adresse email professionnelle d’un employé de la comptabilité, avec son mot de passe, apparaît dans une fuite de données provenant d’un site totalement extérieur à l’entreprise, où cet employé avait malheureusement réutilisé le même mot de passe. Tu t’attends au pire — un compte compromis, un accès potentiel aux systèmes financiers de l’entreprise. Mais en vérifiant les journaux d’authentification, tu ne trouves aucune connexion suspecte : le MFA activé sur ce compte, exactement comme recommandé au chapitre 4 pour tout accès distant, a bloqué la tentative de connexion d’un attaquant qui possédait pourtant le mot de passe exact et valide. Ce chapitre explique pourquoi ce second facteur a suffi à transformer un incident potentiellement grave en non-événement.</w:t>
      </w:r>
    </w:p>
    <w:bookmarkStart w:id="611" w:name="Xc9974c1548f06ef96ffb82cb54c91693d543dc6"/>
    <w:p>
      <w:pPr>
        <w:pStyle w:val="Heading2"/>
      </w:pPr>
      <w:r>
        <w:t xml:space="preserve">25.1 Pourquoi le mot de passe seul ne suffit plus</w:t>
      </w:r>
    </w:p>
    <w:p>
      <w:pPr>
        <w:pStyle w:val="FirstParagraph"/>
      </w:pPr>
      <w:r>
        <w:t xml:space="preserve">Un mot de passe, même complexe, reste vulnérable à plusieurs risques structurels : la</w:t>
      </w:r>
      <w:r>
        <w:t xml:space="preserve"> </w:t>
      </w:r>
      <w:r>
        <w:rPr>
          <w:b/>
          <w:bCs/>
        </w:rPr>
        <w:t xml:space="preserve">réutilisation</w:t>
      </w:r>
      <w:r>
        <w:t xml:space="preserve"> </w:t>
      </w:r>
      <w:r>
        <w:t xml:space="preserve">entre plusieurs sites (exactement la cause du scénario d’ouverture — un mot de passe compromis ailleurs devient exploitable ici), le</w:t>
      </w:r>
      <w:r>
        <w:t xml:space="preserve"> </w:t>
      </w:r>
      <w:r>
        <w:rPr>
          <w:b/>
          <w:bCs/>
        </w:rPr>
        <w:t xml:space="preserve">phishing</w:t>
      </w:r>
      <w:r>
        <w:t xml:space="preserve"> </w:t>
      </w:r>
      <w:r>
        <w:t xml:space="preserve">(l’utilisateur saisit lui-même son mot de passe sur un faux site), et les</w:t>
      </w:r>
      <w:r>
        <w:t xml:space="preserve"> </w:t>
      </w:r>
      <w:r>
        <w:rPr>
          <w:b/>
          <w:bCs/>
        </w:rPr>
        <w:t xml:space="preserve">fuites de données</w:t>
      </w:r>
      <w:r>
        <w:t xml:space="preserve"> </w:t>
      </w:r>
      <w:r>
        <w:t xml:space="preserve">massives, malheureusement fréquentes, touchant des services totalement extérieurs à l’entreprise.</w:t>
      </w:r>
    </w:p>
    <w:p>
      <w:pPr>
        <w:pStyle w:val="BodyText"/>
      </w:pPr>
      <w:r>
        <w:t xml:space="preserve">📌 À retenir</w:t>
      </w:r>
      <w:r>
        <w:t xml:space="preserve"> </w:t>
      </w:r>
      <w:r>
        <w:t xml:space="preserve">Le MFA ne part pas du principe qu’un mot de passe ne sera jamais compromis — il part du principe</w:t>
      </w:r>
      <w:r>
        <w:t xml:space="preserve"> </w:t>
      </w:r>
      <w:r>
        <w:rPr>
          <w:b/>
          <w:bCs/>
        </w:rPr>
        <w:t xml:space="preserve">inverse</w:t>
      </w:r>
      <w:r>
        <w:t xml:space="preserve">, réaliste : un mot de passe finira, tôt ou tard, par être exposé d’une façon ou d’une autre (réutilisation, phishing, fuite), et prévoit une seconde barrière indépendante pour que cette exposition seule ne suffise pas à un attaquant.</w:t>
      </w:r>
    </w:p>
    <w:bookmarkEnd w:id="611"/>
    <w:bookmarkStart w:id="612" w:name="les-trois-facteurs-dauthentification"/>
    <w:p>
      <w:pPr>
        <w:pStyle w:val="Heading2"/>
      </w:pPr>
      <w:r>
        <w:t xml:space="preserve">25.2 Les trois facteurs d’authentification</w:t>
      </w:r>
    </w:p>
    <w:p>
      <w:pPr>
        <w:pStyle w:val="FirstParagraph"/>
      </w:pPr>
      <w:r>
        <w:t xml:space="preserve">💡 Analogie — le coffre-fort à double serrure</w:t>
      </w:r>
      <w:r>
        <w:t xml:space="preserve"> </w:t>
      </w:r>
      <w:r>
        <w:t xml:space="preserve">Un coffre-fort à double serrure, nécessitant deux clés détenues par deux personnes différentes, ne peut être ouvert que si les deux clés sont réunies — voler une seule clé ne suffit pas. Le MFA applique exactement ce principe à l’authentification : posséder le mot de passe seul (une</w:t>
      </w:r>
      <w:r>
        <w:t xml:space="preserve"> </w:t>
      </w:r>
      <w:r>
        <w:t xml:space="preserve">“clé”</w:t>
      </w:r>
      <w:r>
        <w:t xml:space="preserve">) ne suffit plus si un second facteur, d’une nature totalement différente, est également exigé.</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Facteur</w:t>
            </w:r>
          </w:p>
        </w:tc>
        <w:tc>
          <w:tcPr/>
          <w:p>
            <w:pPr>
              <w:pStyle w:val="Compact"/>
            </w:pPr>
            <w:r>
              <w:t xml:space="preserve">Principe</w:t>
            </w:r>
          </w:p>
        </w:tc>
        <w:tc>
          <w:tcPr/>
          <w:p>
            <w:pPr>
              <w:pStyle w:val="Compact"/>
            </w:pPr>
            <w:r>
              <w:t xml:space="preserve">Exemple</w:t>
            </w:r>
          </w:p>
        </w:tc>
      </w:tr>
      <w:tr>
        <w:tc>
          <w:tcPr/>
          <w:p>
            <w:pPr>
              <w:pStyle w:val="Compact"/>
            </w:pPr>
            <w:r>
              <w:rPr>
                <w:b/>
                <w:bCs/>
              </w:rPr>
              <w:t xml:space="preserve">Quelque chose que tu sais</w:t>
            </w:r>
          </w:p>
        </w:tc>
        <w:tc>
          <w:tcPr/>
          <w:p>
            <w:pPr>
              <w:pStyle w:val="Compact"/>
            </w:pPr>
            <w:r>
              <w:t xml:space="preserve">Une information mémorisée</w:t>
            </w:r>
          </w:p>
        </w:tc>
        <w:tc>
          <w:tcPr/>
          <w:p>
            <w:pPr>
              <w:pStyle w:val="Compact"/>
            </w:pPr>
            <w:r>
              <w:t xml:space="preserve">Mot de passe, code PIN</w:t>
            </w:r>
          </w:p>
        </w:tc>
      </w:tr>
      <w:tr>
        <w:tc>
          <w:tcPr/>
          <w:p>
            <w:pPr>
              <w:pStyle w:val="Compact"/>
            </w:pPr>
            <w:r>
              <w:rPr>
                <w:b/>
                <w:bCs/>
              </w:rPr>
              <w:t xml:space="preserve">Quelque chose que tu as</w:t>
            </w:r>
          </w:p>
        </w:tc>
        <w:tc>
          <w:tcPr/>
          <w:p>
            <w:pPr>
              <w:pStyle w:val="Compact"/>
            </w:pPr>
            <w:r>
              <w:t xml:space="preserve">Un objet physique en ta possession</w:t>
            </w:r>
          </w:p>
        </w:tc>
        <w:tc>
          <w:tcPr/>
          <w:p>
            <w:pPr>
              <w:pStyle w:val="Compact"/>
            </w:pPr>
            <w:r>
              <w:t xml:space="preserve">Téléphone (application d’authentification), clé de sécurité physique</w:t>
            </w:r>
          </w:p>
        </w:tc>
      </w:tr>
      <w:tr>
        <w:tc>
          <w:tcPr/>
          <w:p>
            <w:pPr>
              <w:pStyle w:val="Compact"/>
            </w:pPr>
            <w:r>
              <w:rPr>
                <w:b/>
                <w:bCs/>
              </w:rPr>
              <w:t xml:space="preserve">Quelque chose que tu es</w:t>
            </w:r>
          </w:p>
        </w:tc>
        <w:tc>
          <w:tcPr/>
          <w:p>
            <w:pPr>
              <w:pStyle w:val="Compact"/>
            </w:pPr>
            <w:r>
              <w:t xml:space="preserve">Une caractéristique biométrique</w:t>
            </w:r>
          </w:p>
        </w:tc>
        <w:tc>
          <w:tcPr/>
          <w:p>
            <w:pPr>
              <w:pStyle w:val="Compact"/>
            </w:pPr>
            <w:r>
              <w:t xml:space="preserve">Empreinte digitale, reconnaissance faciale</w:t>
            </w:r>
          </w:p>
        </w:tc>
      </w:tr>
    </w:tbl>
    <w:p>
      <w:pPr>
        <w:pStyle w:val="BodyText"/>
      </w:pPr>
      <w:r>
        <w:t xml:space="preserve">🧠 À mémoriser — le MFA combine des facteurs de nature DIFFÉRENTE</w:t>
      </w:r>
      <w:r>
        <w:t xml:space="preserve"> </w:t>
      </w:r>
      <w:r>
        <w:t xml:space="preserve">Deux mots de passe différents ne constituent pas du MFA — ce sont deux instances du même facteur (</w:t>
      </w:r>
      <w:r>
        <w:t xml:space="preserve">“quelque chose que tu sais”</w:t>
      </w:r>
      <w:r>
        <w:t xml:space="preserve">), compromises par les mêmes risques structurels (phishing, réutilisation). Le MFA exige la combinaison de facteurs de</w:t>
      </w:r>
      <w:r>
        <w:t xml:space="preserve"> </w:t>
      </w:r>
      <w:r>
        <w:t xml:space="preserve">nature différente</w:t>
      </w:r>
      <w:r>
        <w:t xml:space="preserve">, précisément parce qu’un attaquant qui compromet un facteur (le mot de passe via une fuite, comme dans le scénario d’ouverture) n’a statistiquement aucune raison d’avoir compromis simultanément un facteur de nature totalement différente (le téléphone physique de la victime).</w:t>
      </w:r>
    </w:p>
    <w:bookmarkEnd w:id="612"/>
    <w:bookmarkStart w:id="613" w:name="Xd2f6b9722bcf6e58f9584aa5ec4d4c5c2dae920"/>
    <w:p>
      <w:pPr>
        <w:pStyle w:val="Heading2"/>
      </w:pPr>
      <w:r>
        <w:t xml:space="preserve">25.3 Les méthodes MFA courantes, du moins au plus recommandé</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Méthode</w:t>
            </w:r>
          </w:p>
        </w:tc>
        <w:tc>
          <w:tcPr/>
          <w:p>
            <w:pPr>
              <w:pStyle w:val="Compact"/>
            </w:pPr>
            <w:r>
              <w:t xml:space="preserve">Fonctionnement</w:t>
            </w:r>
          </w:p>
        </w:tc>
        <w:tc>
          <w:tcPr/>
          <w:p>
            <w:pPr>
              <w:pStyle w:val="Compact"/>
            </w:pPr>
            <w:r>
              <w:t xml:space="preserve">Niveau de sécurité</w:t>
            </w:r>
          </w:p>
        </w:tc>
      </w:tr>
      <w:tr>
        <w:tc>
          <w:tcPr/>
          <w:p>
            <w:pPr>
              <w:pStyle w:val="Compact"/>
            </w:pPr>
            <w:r>
              <w:rPr>
                <w:b/>
                <w:bCs/>
              </w:rPr>
              <w:t xml:space="preserve">SMS</w:t>
            </w:r>
          </w:p>
        </w:tc>
        <w:tc>
          <w:tcPr/>
          <w:p>
            <w:pPr>
              <w:pStyle w:val="Compact"/>
            </w:pPr>
            <w:r>
              <w:t xml:space="preserve">Code à usage unique envoyé par SMS</w:t>
            </w:r>
          </w:p>
        </w:tc>
        <w:tc>
          <w:tcPr/>
          <w:p>
            <w:pPr>
              <w:pStyle w:val="Compact"/>
            </w:pPr>
            <w:r>
              <w:t xml:space="preserve">Le moins recommandé — vulnérable au détournement de numéro (</w:t>
            </w:r>
            <w:r>
              <w:rPr>
                <w:i/>
                <w:iCs/>
              </w:rPr>
              <w:t xml:space="preserve">SIM swapping</w:t>
            </w:r>
            <w:r>
              <w:t xml:space="preserve">)</w:t>
            </w:r>
          </w:p>
        </w:tc>
      </w:tr>
      <w:tr>
        <w:tc>
          <w:tcPr/>
          <w:p>
            <w:pPr>
              <w:pStyle w:val="Compact"/>
            </w:pPr>
            <w:r>
              <w:rPr>
                <w:b/>
                <w:bCs/>
              </w:rPr>
              <w:t xml:space="preserve">TOTP</w:t>
            </w:r>
            <w:r>
              <w:t xml:space="preserve"> </w:t>
            </w:r>
            <w:r>
              <w:t xml:space="preserve">(</w:t>
            </w:r>
            <w:r>
              <w:rPr>
                <w:i/>
                <w:iCs/>
              </w:rPr>
              <w:t xml:space="preserve">Time-based One-Time Password</w:t>
            </w:r>
            <w:r>
              <w:t xml:space="preserve">)</w:t>
            </w:r>
          </w:p>
        </w:tc>
        <w:tc>
          <w:tcPr/>
          <w:p>
            <w:pPr>
              <w:pStyle w:val="Compact"/>
            </w:pPr>
            <w:r>
              <w:t xml:space="preserve">Code à 6 chiffres généré par une application (Google Authenticator, Microsoft Authenticator), change toutes les 30 secondes</w:t>
            </w:r>
          </w:p>
        </w:tc>
        <w:tc>
          <w:tcPr/>
          <w:p>
            <w:pPr>
              <w:pStyle w:val="Compact"/>
            </w:pPr>
            <w:r>
              <w:t xml:space="preserve">Bon niveau, largement répandu</w:t>
            </w:r>
          </w:p>
        </w:tc>
      </w:tr>
      <w:tr>
        <w:tc>
          <w:tcPr/>
          <w:p>
            <w:pPr>
              <w:pStyle w:val="Compact"/>
            </w:pPr>
            <w:r>
              <w:rPr>
                <w:b/>
                <w:bCs/>
              </w:rPr>
              <w:t xml:space="preserve">Notification push</w:t>
            </w:r>
          </w:p>
        </w:tc>
        <w:tc>
          <w:tcPr/>
          <w:p>
            <w:pPr>
              <w:pStyle w:val="Compact"/>
            </w:pPr>
            <w:r>
              <w:t xml:space="preserve">Une notification envoyée à une application mobile, approuvée d’un geste</w:t>
            </w:r>
          </w:p>
        </w:tc>
        <w:tc>
          <w:tcPr/>
          <w:p>
            <w:pPr>
              <w:pStyle w:val="Compact"/>
            </w:pPr>
            <w:r>
              <w:t xml:space="preserve">Bon niveau, plus confortable que TOTP, mais vulnérable à la</w:t>
            </w:r>
            <w:r>
              <w:t xml:space="preserve"> </w:t>
            </w:r>
            <w:r>
              <w:t xml:space="preserve">“fatigue MFA”</w:t>
            </w:r>
            <w:r>
              <w:t xml:space="preserve"> </w:t>
            </w:r>
            <w:r>
              <w:t xml:space="preserve">(section 25.7)</w:t>
            </w:r>
          </w:p>
        </w:tc>
      </w:tr>
      <w:tr>
        <w:tc>
          <w:tcPr/>
          <w:p>
            <w:pPr>
              <w:pStyle w:val="Compact"/>
            </w:pPr>
            <w:r>
              <w:rPr>
                <w:b/>
                <w:bCs/>
              </w:rPr>
              <w:t xml:space="preserve">Clé de sécurité physique</w:t>
            </w:r>
            <w:r>
              <w:t xml:space="preserve"> </w:t>
            </w:r>
            <w:r>
              <w:t xml:space="preserve">(FIDO2/WebAuthn)</w:t>
            </w:r>
          </w:p>
        </w:tc>
        <w:tc>
          <w:tcPr/>
          <w:p>
            <w:pPr>
              <w:pStyle w:val="Compact"/>
            </w:pPr>
            <w:r>
              <w:t xml:space="preserve">Un dispositif physique (type YubiKey) branché ou approché du poste</w:t>
            </w:r>
          </w:p>
        </w:tc>
        <w:tc>
          <w:tcPr/>
          <w:p>
            <w:pPr>
              <w:pStyle w:val="Compact"/>
            </w:pPr>
            <w:r>
              <w:t xml:space="preserve">Le plus robuste, résistant au phishing par conception</w:t>
            </w:r>
          </w:p>
        </w:tc>
      </w:tr>
    </w:tbl>
    <w:p>
      <w:pPr>
        <w:pStyle w:val="BodyText"/>
      </w:pPr>
      <w:r>
        <w:t xml:space="preserve">⚠️ Pourquoi le SMS reste le moins recommandé</w:t>
      </w:r>
      <w:r>
        <w:t xml:space="preserve"> </w:t>
      </w:r>
      <w:r>
        <w:t xml:space="preserve">Le SMS dépend du réseau téléphonique de l’opérateur mobile, vulnérable au</w:t>
      </w:r>
      <w:r>
        <w:t xml:space="preserve"> </w:t>
      </w:r>
      <w:r>
        <w:t xml:space="preserve">SIM swapping</w:t>
      </w:r>
      <w:r>
        <w:t xml:space="preserve"> </w:t>
      </w:r>
      <w:r>
        <w:t xml:space="preserve">: un attaquant convainc (par ingénierie sociale) l’opérateur téléphonique de transférer le numéro de la victime vers une carte SIM qu’il contrôle, recevant alors directement les codes SMS destinés à la victime. Ce n’est pas une vulnérabilité du MFA en tant que principe — c’est une faiblesse spécifique du canal SMS, que les autres méthodes de ce tableau n’ont pas.</w:t>
      </w:r>
    </w:p>
    <w:bookmarkEnd w:id="613"/>
    <w:bookmarkStart w:id="614" w:name="comment-fonctionne-réellement-totp"/>
    <w:p>
      <w:pPr>
        <w:pStyle w:val="Heading2"/>
      </w:pPr>
      <w:r>
        <w:t xml:space="preserve">25.4 Comment fonctionne réellement TOTP</w:t>
      </w:r>
    </w:p>
    <w:p>
      <w:pPr>
        <w:pStyle w:val="FirstParagraph"/>
      </w:pPr>
      <w:r>
        <w:t xml:space="preserve">💡 Explication technique — un secret partagé et l’heure actuelle</w:t>
      </w:r>
      <w:r>
        <w:t xml:space="preserve"> </w:t>
      </w:r>
      <w:r>
        <w:t xml:space="preserve">Lors de l’activation du MFA par TOTP, un secret cryptographique unique est généré et partagé une seule fois entre le serveur et l’application d’authentification (souvent via un QR code scanné). Ensuite, à intervalles de 30 secondes,</w:t>
      </w:r>
      <w:r>
        <w:t xml:space="preserve"> </w:t>
      </w:r>
      <w:r>
        <w:rPr>
          <w:b/>
          <w:bCs/>
        </w:rPr>
        <w:t xml:space="preserve">les deux parties</w:t>
      </w:r>
      <w:r>
        <w:t xml:space="preserve"> </w:t>
      </w:r>
      <w:r>
        <w:t xml:space="preserve">(serveur et application) calculent indépendamment le même code à partir de ce secret partagé</w:t>
      </w:r>
      <w:r>
        <w:t xml:space="preserve"> </w:t>
      </w:r>
      <w:r>
        <w:rPr>
          <w:b/>
          <w:bCs/>
        </w:rPr>
        <w:t xml:space="preserve">et de l’heure actuelle</w:t>
      </w:r>
      <w:r>
        <w:t xml:space="preserve"> </w:t>
      </w:r>
      <w:r>
        <w:t xml:space="preserve">— sans jamais échanger d’information supplémentaire. C’est exactement pour cette raison que la synchronisation d’horloge, déjà critique pour Kerberos (chapitre 23), l’est également pour TOTP : un décalage d’horloge trop important entre le serveur et l’appareil de l’utilisateur invaliderait les codes générés, un écho direct du problème</w:t>
      </w:r>
      <w:r>
        <w:t xml:space="preserve"> </w:t>
      </w:r>
      <w:r>
        <w:t xml:space="preserve">“Clock skew too great”</w:t>
      </w:r>
      <w:r>
        <w:t xml:space="preserve"> </w:t>
      </w:r>
      <w:r>
        <w:t xml:space="preserve">déjà rencontré.</w:t>
      </w:r>
    </w:p>
    <w:bookmarkEnd w:id="614"/>
    <w:bookmarkStart w:id="615" w:name="déployer-le-mfa-en-entreprise"/>
    <w:p>
      <w:pPr>
        <w:pStyle w:val="Heading2"/>
      </w:pPr>
      <w:r>
        <w:t xml:space="preserve">25.5 Déployer le MFA en entreprise</w:t>
      </w:r>
    </w:p>
    <w:p>
      <w:pPr>
        <w:pStyle w:val="FirstParagraph"/>
      </w:pPr>
      <w:r>
        <w:rPr>
          <w:b/>
          <w:bCs/>
        </w:rPr>
        <w:t xml:space="preserve">Côté Windows/Entra ID</w:t>
      </w:r>
      <w:r>
        <w:t xml:space="preserve">, rappel direct du chapitre 8 : Entra ID permet d’étendre le MFA à l’ensemble des utilisateurs, avec des politiques d’accès conditionnel (exiger le MFA uniquement dans certains contextes, comme une connexion depuis un lieu inhabituel).</w:t>
      </w:r>
    </w:p>
    <w:p>
      <w:pPr>
        <w:pStyle w:val="BodyText"/>
      </w:pPr>
      <w:r>
        <w:rPr>
          <w:b/>
          <w:bCs/>
        </w:rPr>
        <w:t xml:space="preserve">Côté Linux</w:t>
      </w:r>
      <w:r>
        <w:t xml:space="preserve">, le MFA peut être ajouté à l’authentification SSH via le module PAM (</w:t>
      </w:r>
      <w:r>
        <w:rPr>
          <w:i/>
          <w:iCs/>
        </w:rPr>
        <w:t xml:space="preserve">Pluggable Authentication Modules</w:t>
      </w:r>
      <w:r>
        <w:t xml:space="preserve">) et une application TOTP :</w:t>
      </w:r>
    </w:p>
    <w:p>
      <w:pPr>
        <w:pStyle w:val="SourceCode"/>
      </w:pPr>
      <w:r>
        <w:rPr>
          <w:rStyle w:val="VerbatimChar"/>
        </w:rPr>
        <w:t xml:space="preserve"># Installer le module PAM Google Authenticator (compatible avec</w:t>
      </w:r>
      <w:r>
        <w:br/>
      </w:r>
      <w:r>
        <w:rPr>
          <w:rStyle w:val="VerbatimChar"/>
        </w:rPr>
        <w:t xml:space="preserve"># toute application TOTP standard, pas seulement Google)</w:t>
      </w:r>
      <w:r>
        <w:br/>
      </w:r>
      <w:r>
        <w:rPr>
          <w:rStyle w:val="VerbatimChar"/>
        </w:rPr>
        <w:t xml:space="preserve">sudo apt install libpam-google-authenticator</w:t>
      </w:r>
      <w:r>
        <w:br/>
      </w:r>
      <w:r>
        <w:br/>
      </w:r>
      <w:r>
        <w:rPr>
          <w:rStyle w:val="VerbatimChar"/>
        </w:rPr>
        <w:t xml:space="preserve"># Generer un secret TOTP pour l'utilisateur courant (affiche un QR</w:t>
      </w:r>
      <w:r>
        <w:br/>
      </w:r>
      <w:r>
        <w:rPr>
          <w:rStyle w:val="VerbatimChar"/>
        </w:rPr>
        <w:t xml:space="preserve"># code a scanner avec une application d'authentification)</w:t>
      </w:r>
      <w:r>
        <w:br/>
      </w:r>
      <w:r>
        <w:rPr>
          <w:rStyle w:val="VerbatimChar"/>
        </w:rPr>
        <w:t xml:space="preserve">google-authenticator</w:t>
      </w:r>
      <w:r>
        <w:br/>
      </w:r>
      <w:r>
        <w:br/>
      </w:r>
      <w:r>
        <w:rPr>
          <w:rStyle w:val="VerbatimChar"/>
        </w:rPr>
        <w:t xml:space="preserve"># Ajouter la ligne suivante a /etc/pam.d/sshd pour exiger le TOTP</w:t>
      </w:r>
      <w:r>
        <w:br/>
      </w:r>
      <w:r>
        <w:rPr>
          <w:rStyle w:val="VerbatimChar"/>
        </w:rPr>
        <w:t xml:space="preserve"># en plus de la cle SSH deja recommandee au chapitre 4</w:t>
      </w:r>
      <w:r>
        <w:br/>
      </w:r>
      <w:r>
        <w:rPr>
          <w:rStyle w:val="VerbatimChar"/>
        </w:rPr>
        <w:t xml:space="preserve">auth required pam_google_authenticator.so</w:t>
      </w:r>
    </w:p>
    <w:p>
      <w:pPr>
        <w:pStyle w:val="FirstParagraph"/>
      </w:pPr>
      <w:r>
        <w:t xml:space="preserve">🔒 Sécurité — MFA en complément de la clé SSH, pas à sa place</w:t>
      </w:r>
      <w:r>
        <w:t xml:space="preserve"> </w:t>
      </w:r>
      <w:r>
        <w:t xml:space="preserve">Rappel direct du chapitre 4 : l’authentification par clé SSH reste la méthode recommandée par défaut. Ajouter le MFA par-dessus (authentification par clé ET code TOTP) plutôt qu’à la place renforce encore la protection du bastion (chapitre 4) sans en réduire la robustesse — une clé privée SSH volée ne suffirait alors plus, à elle seule, à accéder au serveur.</w:t>
      </w:r>
    </w:p>
    <w:bookmarkEnd w:id="615"/>
    <w:bookmarkStart w:id="616" w:name="retour-sur-le-scénario-douverture"/>
    <w:p>
      <w:pPr>
        <w:pStyle w:val="Heading2"/>
      </w:pPr>
      <w:r>
        <w:t xml:space="preserve">25.6 Retour sur le scénario d’ouverture</w:t>
      </w:r>
    </w:p>
    <w:p>
      <w:pPr>
        <w:pStyle w:val="FirstParagraph"/>
      </w:pPr>
      <w:r>
        <w:t xml:space="preserve">✅ Ce qui a réellement protégé le compte de l’employé</w:t>
      </w:r>
      <w:r>
        <w:t xml:space="preserve"> </w:t>
      </w:r>
      <w:r>
        <w:t xml:space="preserve">Le mot de passe compromis (facteur</w:t>
      </w:r>
      <w:r>
        <w:t xml:space="preserve"> </w:t>
      </w:r>
      <w:r>
        <w:t xml:space="preserve">“quelque chose que tu sais”</w:t>
      </w:r>
      <w:r>
        <w:t xml:space="preserve">) était bien exposé et valide — un attaquant l’a probablement testé. Mais sans le second facteur (le téléphone physique de l’employé, générant les codes TOTP ou recevant la notification push), la tentative de connexion a été rejetée, générant même une entrée dans les journaux d’authentification consultables (rejoignant directement la journalisation systématique recommandée au chapitre 4). Ce scénario illustre exactement pourquoi le MFA est devenu une exigence non négociable plutôt qu’une simple recommandation optionnelle : le mot de passe seul a échoué, le second facteur a tenu.</w:t>
      </w:r>
    </w:p>
    <w:bookmarkEnd w:id="616"/>
    <w:bookmarkStart w:id="617" w:name="les-pièges-du-mfa-la-fatigue-mfa"/>
    <w:p>
      <w:pPr>
        <w:pStyle w:val="Heading2"/>
      </w:pPr>
      <w:r>
        <w:t xml:space="preserve">25.7 Les pièges du MFA : la fatigue MFA</w:t>
      </w:r>
    </w:p>
    <w:p>
      <w:pPr>
        <w:pStyle w:val="FirstParagraph"/>
      </w:pPr>
      <w:r>
        <w:t xml:space="preserve">⚠️ La</w:t>
      </w:r>
      <w:r>
        <w:t xml:space="preserve"> </w:t>
      </w:r>
      <w:r>
        <w:t xml:space="preserve">“fatigue MFA”</w:t>
      </w:r>
      <w:r>
        <w:t xml:space="preserve"> </w:t>
      </w:r>
      <w:r>
        <w:t xml:space="preserve">(MFA fatigue / MFA bombing)</w:t>
      </w:r>
      <w:r>
        <w:t xml:space="preserve"> </w:t>
      </w:r>
      <w:r>
        <w:t xml:space="preserve">Une technique d’attaque de plus en plus documentée consiste, pour un attaquant qui possède déjà un mot de passe valide, à déclencher de multiples notifications push MFA en succession rapide, espérant que la victime, agacée ou pensant à une erreur technique, finisse par approuver l’une d’elles par lassitude ou confusion — sans jamais avoir tenté de se connecter elle-même. Cette technique a été documentée dans plusieurs intrusions majeures récentes et réelles.</w:t>
      </w:r>
    </w:p>
    <w:p>
      <w:pPr>
        <w:pStyle w:val="BodyText"/>
      </w:pPr>
      <w:r>
        <w:t xml:space="preserve">✅ Contre-mesures à la fatigue MFA</w:t>
      </w:r>
      <w:r>
        <w:t xml:space="preserve"> </w:t>
      </w:r>
      <w:r>
        <w:t xml:space="preserve">- Configurer une</w:t>
      </w:r>
      <w:r>
        <w:t xml:space="preserve"> </w:t>
      </w:r>
      <w:r>
        <w:rPr>
          <w:b/>
          <w:bCs/>
        </w:rPr>
        <w:t xml:space="preserve">correspondance de numéro</w:t>
      </w:r>
      <w:r>
        <w:t xml:space="preserve"> </w:t>
      </w:r>
      <w:r>
        <w:t xml:space="preserve">(</w:t>
      </w:r>
      <w:r>
        <w:rPr>
          <w:i/>
          <w:iCs/>
        </w:rPr>
        <w:t xml:space="preserve">number matching</w:t>
      </w:r>
      <w:r>
        <w:t xml:space="preserve">) : l’utilisateur doit saisir un code précis affiché sur son écran de connexion dans l’application MFA, rendant impossible une approbation</w:t>
      </w:r>
      <w:r>
        <w:t xml:space="preserve"> </w:t>
      </w:r>
      <w:r>
        <w:t xml:space="preserve">“en aveugle”</w:t>
      </w:r>
      <w:r>
        <w:t xml:space="preserve"> </w:t>
      </w:r>
      <w:r>
        <w:t xml:space="preserve">par simple réflexe.</w:t>
      </w:r>
      <w:r>
        <w:t xml:space="preserve"> </w:t>
      </w:r>
      <w:r>
        <w:t xml:space="preserve">-</w:t>
      </w:r>
      <w:r>
        <w:t xml:space="preserve"> </w:t>
      </w:r>
      <w:r>
        <w:rPr>
          <w:b/>
          <w:bCs/>
        </w:rPr>
        <w:t xml:space="preserve">Former</w:t>
      </w:r>
      <w:r>
        <w:t xml:space="preserve"> </w:t>
      </w:r>
      <w:r>
        <w:t xml:space="preserve">les utilisateurs (chapitre 1, compétences humaines) à ne jamais approuver une notification MFA qu’ils n’ont pas eux-mêmes déclenchée, et à signaler immédiatement toute notification inattendue et répétée — un signal d’alerte de sécurité à part entière, pas une simple nuisance technique à ignorer.</w:t>
      </w:r>
    </w:p>
    <w:bookmarkEnd w:id="617"/>
    <w:bookmarkStart w:id="618" w:name="codes-de-récupération-le-plan-de-secours"/>
    <w:p>
      <w:pPr>
        <w:pStyle w:val="Heading2"/>
      </w:pPr>
      <w:r>
        <w:t xml:space="preserve">25.8 Codes de récupération : le plan de secours</w:t>
      </w:r>
    </w:p>
    <w:p>
      <w:pPr>
        <w:pStyle w:val="FirstParagraph"/>
      </w:pPr>
      <w:r>
        <w:t xml:space="preserve">⚠️ Que se passe-t-il si l’utilisateur perd son téléphone ?</w:t>
      </w:r>
      <w:r>
        <w:t xml:space="preserve"> </w:t>
      </w:r>
      <w:r>
        <w:t xml:space="preserve">Sans plan de secours, la perte de l’appareil détenant le second facteur bloquerait totalement l’accès légitime au compte — un risque opérationnel réel à anticiper. Les</w:t>
      </w:r>
      <w:r>
        <w:t xml:space="preserve"> </w:t>
      </w:r>
      <w:r>
        <w:rPr>
          <w:b/>
          <w:bCs/>
        </w:rPr>
        <w:t xml:space="preserve">codes de récupération</w:t>
      </w:r>
      <w:r>
        <w:t xml:space="preserve"> </w:t>
      </w:r>
      <w:r>
        <w:t xml:space="preserve">(une série de codes à usage unique générés au moment de l’activation du MFA, à stocker en lieu sûr, jamais dans le même appareil que celui utilisé pour le MFA lui-même) offrent une voie de secours planifiée, plutôt qu’une procédure d’urgence improvisée découverte seulement au moment de la crise.</w:t>
      </w:r>
    </w:p>
    <w:bookmarkEnd w:id="618"/>
    <w:bookmarkStart w:id="619" w:name="X6dd9017d6881e671cfb63256bac2a6bddb24b07"/>
    <w:p>
      <w:pPr>
        <w:pStyle w:val="Heading2"/>
      </w:pPr>
      <w:r>
        <w:t xml:space="preserve">Atelier — Choisir une méthode MFA selon le contexte</w:t>
      </w:r>
    </w:p>
    <w:p>
      <w:pPr>
        <w:pStyle w:val="FirstParagraph"/>
      </w:pPr>
      <w:r>
        <w:t xml:space="preserve">🛠️ Atelier 25 — Recommander une méthode MFA pour trois profils</w:t>
      </w:r>
    </w:p>
    <w:p>
      <w:pPr>
        <w:pStyle w:val="BodyText"/>
      </w:pPr>
      <w:r>
        <w:rPr>
          <w:b/>
          <w:bCs/>
        </w:rPr>
        <w:t xml:space="preserve">Objectif</w:t>
      </w:r>
      <w:r>
        <w:t xml:space="preserve"> </w:t>
      </w:r>
      <w:r>
        <w:t xml:space="preserve">: appliquer les principes de ce chapitre pour choisir une méthode MFA adaptée à trois contextes distincts.</w:t>
      </w:r>
    </w:p>
    <w:p>
      <w:pPr>
        <w:pStyle w:val="BodyText"/>
      </w:pPr>
      <w:r>
        <w:rPr>
          <w:b/>
          <w:bCs/>
        </w:rPr>
        <w:t xml:space="preserve">Préparation</w:t>
      </w:r>
      <w:r>
        <w:t xml:space="preserve"> </w:t>
      </w:r>
      <w:r>
        <w:t xml:space="preserve">: aucune installation nécessaire.</w:t>
      </w:r>
    </w:p>
    <w:p>
      <w:pPr>
        <w:pStyle w:val="BodyText"/>
      </w:pPr>
      <w:r>
        <w:rPr>
          <w:b/>
          <w:bCs/>
        </w:rPr>
        <w:t xml:space="preserve">Étapes détaillées</w:t>
      </w:r>
      <w:r>
        <w:t xml:space="preserve"> </w:t>
      </w:r>
      <w:r>
        <w:t xml:space="preserve">:</w:t>
      </w:r>
    </w:p>
    <w:p>
      <w:pPr>
        <w:pStyle w:val="Compact"/>
        <w:numPr>
          <w:ilvl w:val="0"/>
          <w:numId w:val="1574"/>
        </w:numPr>
      </w:pPr>
      <w:r>
        <w:t xml:space="preserve">Pour chacun des trois profils suivants, recommande une méthode MFA et justifie ton choix : (a) un administrateur système accédant au bastion (chapitre 4) ; (b) un employé standard accédant à sa messagerie professionnelle ; (c) un compte de service utilisé par un script automatisé (chapitre 20-21).</w:t>
      </w:r>
    </w:p>
    <w:p>
      <w:pPr>
        <w:pStyle w:val="Compact"/>
        <w:numPr>
          <w:ilvl w:val="0"/>
          <w:numId w:val="1574"/>
        </w:numPr>
      </w:pPr>
      <w:r>
        <w:t xml:space="preserve">Compare tes réponses à la section</w:t>
      </w:r>
      <w:r>
        <w:t xml:space="preserve"> </w:t>
      </w:r>
      <w:r>
        <w:t xml:space="preserve">“Résultat attendu”</w:t>
      </w:r>
      <w:r>
        <w:t xml:space="preserve">.</w:t>
      </w:r>
    </w:p>
    <w:p>
      <w:pPr>
        <w:pStyle w:val="FirstParagraph"/>
      </w:pPr>
      <w:r>
        <w:rPr>
          <w:b/>
          <w:bCs/>
        </w:rPr>
        <w:t xml:space="preserve">Résultat attendu</w:t>
      </w:r>
      <w:r>
        <w:t xml:space="preserve"> </w:t>
      </w:r>
      <w:r>
        <w:t xml:space="preserve">: (a) une clé de sécurité physique FIDO2 pour l’administrateur système, le niveau de protection le plus élevé étant justifié par l’accès privilégié au bastion, point d’entrée unique vers toute l’infrastructure (chapitre 4). (b) TOTP ou notification push avec correspondance de numéro pour l’employé standard, un bon compromis sécurité/confort pour un usage quotidien. (c) un compte de service automatisé ne peut techniquement pas</w:t>
      </w:r>
      <w:r>
        <w:t xml:space="preserve"> </w:t>
      </w:r>
      <w:r>
        <w:t xml:space="preserve">“approuver”</w:t>
      </w:r>
      <w:r>
        <w:t xml:space="preserve"> </w:t>
      </w:r>
      <w:r>
        <w:t xml:space="preserve">une notification MFA interactive — la bonne pratique n’est pas d’y appliquer un MFA classique, mais de le protéger par d’autres moyens adaptés à l’automatisation (rotation de clés, restriction d’IP source, principe du moindre privilège du chapitre 1), un sujet approfondi en Partie 9.</w:t>
      </w:r>
    </w:p>
    <w:p>
      <w:pPr>
        <w:pStyle w:val="BodyText"/>
      </w:pPr>
      <w:r>
        <w:rPr>
          <w:b/>
          <w:bCs/>
        </w:rPr>
        <w:t xml:space="preserve">Dépannage</w:t>
      </w:r>
      <w:r>
        <w:t xml:space="preserve"> </w:t>
      </w:r>
      <w:r>
        <w:t xml:space="preserve">: si tu hésites sur le compte de service, rappelle-toi qu’aucun humain n’est présent pour approuver une notification en temps réel — le MFA interactif classique de ce chapitre ne s’applique tout simplement pas à ce cas de figure, qui nécessite une approche de sécurité différente.</w:t>
      </w:r>
    </w:p>
    <w:bookmarkEnd w:id="619"/>
    <w:bookmarkStart w:id="620" w:name="erreurs-fréquentes-24"/>
    <w:p>
      <w:pPr>
        <w:pStyle w:val="Heading2"/>
      </w:pPr>
      <w:r>
        <w:t xml:space="preserve">Erreurs fréquentes</w:t>
      </w:r>
    </w:p>
    <w:p>
      <w:pPr>
        <w:pStyle w:val="FirstParagraph"/>
      </w:pPr>
      <w:r>
        <w:t xml:space="preserve">⚠️ Erreur n°1 — considérer deux mots de passe comme du MFA</w:t>
      </w:r>
      <w:r>
        <w:t xml:space="preserve"> </w:t>
      </w:r>
      <w:r>
        <w:t xml:space="preserve">Rappel de la section 25.2 : le MFA exige des facteurs de nature différente, jamais deux instances du même facteur.</w:t>
      </w:r>
    </w:p>
    <w:p>
      <w:pPr>
        <w:pStyle w:val="BodyText"/>
      </w:pPr>
      <w:r>
        <w:t xml:space="preserve">⚠️ Erreur n°2 — approuver une notification push sans vérification</w:t>
      </w:r>
      <w:r>
        <w:t xml:space="preserve"> </w:t>
      </w:r>
      <w:r>
        <w:t xml:space="preserve">Exactement le risque de la fatigue MFA (section 25.7) — une habitude d’approbation réflexe, sans vérifier qu’on est bien à l’origine de la tentative de connexion, annule une bonne partie du bénéfice de sécurité du MFA.</w:t>
      </w:r>
    </w:p>
    <w:p>
      <w:pPr>
        <w:pStyle w:val="BodyText"/>
      </w:pPr>
      <w:r>
        <w:t xml:space="preserve">⚠️ Erreur n°3 — n’avoir aucun plan de codes de récupération</w:t>
      </w:r>
      <w:r>
        <w:t xml:space="preserve"> </w:t>
      </w:r>
      <w:r>
        <w:t xml:space="preserve">Rappel de la section 25.8 : sans plan de secours documenté, la perte d’un appareil MFA devient une crise improvisée plutôt qu’une procédure déjà anticipée.</w:t>
      </w:r>
    </w:p>
    <w:bookmarkEnd w:id="620"/>
    <w:bookmarkStart w:id="621" w:name="Xa5f017961afbdcd1ae6d5099616d14532c37728"/>
    <w:p>
      <w:pPr>
        <w:pStyle w:val="Heading2"/>
      </w:pPr>
      <w:r>
        <w:t xml:space="preserve">Diagnostiquer une situation de blocage MFA</w:t>
      </w:r>
    </w:p>
    <w:p>
      <w:pPr>
        <w:pStyle w:val="FirstParagraph"/>
      </w:pPr>
      <w:r>
        <w:t xml:space="preserve">🩺 Situation :</w:t>
      </w:r>
      <w:r>
        <w:t xml:space="preserve"> </w:t>
      </w:r>
      <w:r>
        <w:t xml:space="preserve">“Un utilisateur a perdu son téléphone et ne peut plus se connecter”</w:t>
      </w:r>
    </w:p>
    <w:p>
      <w:pPr>
        <w:pStyle w:val="Compact"/>
        <w:numPr>
          <w:ilvl w:val="0"/>
          <w:numId w:val="1575"/>
        </w:numPr>
      </w:pPr>
      <w:r>
        <w:rPr>
          <w:b/>
          <w:bCs/>
        </w:rPr>
        <w:t xml:space="preserve">Diagnostic</w:t>
      </w:r>
      <w:r>
        <w:t xml:space="preserve"> </w:t>
      </w:r>
      <w:r>
        <w:t xml:space="preserve">: vérifier immédiatement si l’utilisateur dispose de ses codes de récupération (section 25.8) — s’il les a bien conservés en lieu sûr, la résolution est immédiate et ne nécessite aucune intervention administrative.</w:t>
      </w:r>
    </w:p>
    <w:p>
      <w:pPr>
        <w:pStyle w:val="Compact"/>
        <w:numPr>
          <w:ilvl w:val="0"/>
          <w:numId w:val="1575"/>
        </w:numPr>
      </w:pPr>
      <w:r>
        <w:rPr>
          <w:b/>
          <w:bCs/>
        </w:rPr>
        <w:t xml:space="preserve">Comment vérifier</w:t>
      </w:r>
      <w:r>
        <w:t xml:space="preserve"> </w:t>
      </w:r>
      <w:r>
        <w:t xml:space="preserve">: demander à l’utilisateur ses codes de récupération ; s’il ne les a pas ou plus, une procédure de réinitialisation MFA administrative devient nécessaire.</w:t>
      </w:r>
    </w:p>
    <w:p>
      <w:pPr>
        <w:pStyle w:val="Compact"/>
        <w:numPr>
          <w:ilvl w:val="0"/>
          <w:numId w:val="1575"/>
        </w:numPr>
      </w:pPr>
      <w:r>
        <w:rPr>
          <w:b/>
          <w:bCs/>
        </w:rPr>
        <w:t xml:space="preserve">Résolution</w:t>
      </w:r>
      <w:r>
        <w:t xml:space="preserve"> </w:t>
      </w:r>
      <w:r>
        <w:t xml:space="preserve">: toute réinitialisation MFA administrative doit suivre une procédure de vérification d’identité rigoureuse (jamais une simple demande par email, potentiellement usurpée) — exactement le type de procédure à documenter à l’avance dans un runbook (chapitre 3), pour éviter qu’un attaquant ne puisse se faire passer pour un utilisateur légitime en prétendant avoir perdu son téléphone.</w:t>
      </w:r>
    </w:p>
    <w:bookmarkEnd w:id="621"/>
    <w:bookmarkStart w:id="622" w:name="en-entreprise-24"/>
    <w:p>
      <w:pPr>
        <w:pStyle w:val="Heading2"/>
      </w:pPr>
      <w:r>
        <w:t xml:space="preserve">En entreprise</w:t>
      </w:r>
    </w:p>
    <w:p>
      <w:pPr>
        <w:pStyle w:val="Compact"/>
        <w:numPr>
          <w:ilvl w:val="0"/>
          <w:numId w:val="1576"/>
        </w:numPr>
      </w:pPr>
      <w:r>
        <w:rPr>
          <w:b/>
          <w:bCs/>
        </w:rPr>
        <w:t xml:space="preserve">Bonne pratique répandue</w:t>
      </w:r>
      <w:r>
        <w:t xml:space="preserve"> </w:t>
      </w:r>
      <w:r>
        <w:t xml:space="preserve">: exiger le MFA sans exception sur tout compte à privilège élevé (administrateurs, bastion) et l’étendre progressivement à l’ensemble des utilisateurs, en commençant par les comptes les plus exposés ou les plus sensibles.</w:t>
      </w:r>
    </w:p>
    <w:p>
      <w:pPr>
        <w:pStyle w:val="Compact"/>
        <w:numPr>
          <w:ilvl w:val="0"/>
          <w:numId w:val="1576"/>
        </w:numPr>
      </w:pPr>
      <w:r>
        <w:rPr>
          <w:b/>
          <w:bCs/>
        </w:rPr>
        <w:t xml:space="preserve">Bonne pratique répandue</w:t>
      </w:r>
      <w:r>
        <w:t xml:space="preserve"> </w:t>
      </w:r>
      <w:r>
        <w:t xml:space="preserve">: documenter une procédure claire de vérification d’identité pour toute réinitialisation MFA administrative — un point d’entrée fréquemment ciblé par l’ingénierie sociale, où un attaquant tente de se faire passer pour un employé légitime ayant</w:t>
      </w:r>
      <w:r>
        <w:t xml:space="preserve"> </w:t>
      </w:r>
      <w:r>
        <w:t xml:space="preserve">“perdu son téléphone”</w:t>
      </w:r>
      <w:r>
        <w:t xml:space="preserve">.</w:t>
      </w:r>
    </w:p>
    <w:p>
      <w:pPr>
        <w:pStyle w:val="Compact"/>
        <w:numPr>
          <w:ilvl w:val="0"/>
          <w:numId w:val="1576"/>
        </w:numPr>
      </w:pPr>
      <w:r>
        <w:rPr>
          <w:b/>
          <w:bCs/>
        </w:rPr>
        <w:t xml:space="preserve">Erreur classique observée</w:t>
      </w:r>
      <w:r>
        <w:t xml:space="preserve"> </w:t>
      </w:r>
      <w:r>
        <w:t xml:space="preserve">: un déploiement MFA généralisé sans formation des utilisateurs sur la fatigue MFA (section 25.7), rendant l’organisation vulnérable à cette technique d’attaque malgré la présence technique du MFA lui-même.</w:t>
      </w:r>
    </w:p>
    <w:bookmarkEnd w:id="622"/>
    <w:bookmarkStart w:id="623" w:name="entretien-technique-24"/>
    <w:p>
      <w:pPr>
        <w:pStyle w:val="Heading2"/>
      </w:pPr>
      <w:r>
        <w:t xml:space="preserve">Entretien technique</w:t>
      </w:r>
    </w:p>
    <w:p>
      <w:pPr>
        <w:pStyle w:val="FirstParagraph"/>
      </w:pPr>
      <w:r>
        <w:t xml:space="preserve">💼 Questions fréquemment posées en entretien</w:t>
      </w:r>
    </w:p>
    <w:p>
      <w:pPr>
        <w:pStyle w:val="BodyText"/>
      </w:pPr>
      <w:r>
        <w:rPr>
          <w:b/>
          <w:bCs/>
        </w:rPr>
        <w:t xml:space="preserve">Q1.</w:t>
      </w:r>
      <w:r>
        <w:rPr>
          <w:b/>
          <w:bCs/>
        </w:rPr>
        <w:t xml:space="preserve"> </w:t>
      </w:r>
      <w:r>
        <w:rPr>
          <w:b/>
          <w:bCs/>
        </w:rPr>
        <w:t xml:space="preserve">“Pourquoi deux mots de passe différents ne constituent-ils pas du MFA ?”</w:t>
      </w:r>
      <w:r>
        <w:t xml:space="preserve"> </w:t>
      </w:r>
      <w:r>
        <w:t xml:space="preserve">Réponse attendue : le MFA exige la combinaison de facteurs de nature différente (quelque chose que tu sais, as, es) — deux mots de passe restent deux instances du même facteur, vulnérables aux mêmes risques structurels (phishing, réutilisation, fuite de données).</w:t>
      </w:r>
    </w:p>
    <w:p>
      <w:pPr>
        <w:pStyle w:val="BodyText"/>
      </w:pPr>
      <w:r>
        <w:rPr>
          <w:b/>
          <w:bCs/>
        </w:rPr>
        <w:t xml:space="preserve">Q2.</w:t>
      </w:r>
      <w:r>
        <w:rPr>
          <w:b/>
          <w:bCs/>
        </w:rPr>
        <w:t xml:space="preserve"> </w:t>
      </w:r>
      <w:r>
        <w:rPr>
          <w:b/>
          <w:bCs/>
        </w:rPr>
        <w:t xml:space="preserve">“Qu’est-ce que la</w:t>
      </w:r>
      <w:r>
        <w:rPr>
          <w:b/>
          <w:bCs/>
        </w:rPr>
        <w:t xml:space="preserve"> </w:t>
      </w:r>
      <w:r>
        <w:rPr>
          <w:b/>
          <w:bCs/>
        </w:rPr>
        <w:t xml:space="preserve">‘fatigue MFA’</w:t>
      </w:r>
      <w:r>
        <w:rPr>
          <w:b/>
          <w:bCs/>
        </w:rPr>
        <w:t xml:space="preserve">, et comment s’en protéger ?”</w:t>
      </w:r>
      <w:r>
        <w:t xml:space="preserve"> </w:t>
      </w:r>
      <w:r>
        <w:t xml:space="preserve">Réponse attendue : une technique d’attaque où un attaquant, possédant déjà un mot de passe valide, déclenche de multiples notifications push pour qu’une victime finisse par en approuver une par lassitude ou confusion. Les contre-mesures incluent la correspondance de numéro (exigeant une action précise plutôt qu’une simple approbation) et la formation des utilisateurs à ne jamais approuver une notification non déclenchée par eux-mêmes.</w:t>
      </w:r>
    </w:p>
    <w:p>
      <w:pPr>
        <w:pStyle w:val="BodyText"/>
      </w:pPr>
      <w:r>
        <w:rPr>
          <w:b/>
          <w:bCs/>
        </w:rPr>
        <w:t xml:space="preserve">Q3.</w:t>
      </w:r>
      <w:r>
        <w:rPr>
          <w:b/>
          <w:bCs/>
        </w:rPr>
        <w:t xml:space="preserve"> </w:t>
      </w:r>
      <w:r>
        <w:rPr>
          <w:b/>
          <w:bCs/>
        </w:rPr>
        <w:t xml:space="preserve">“Pourquoi le SMS est-il considéré comme la méthode MFA la moins recommandée ?”</w:t>
      </w:r>
      <w:r>
        <w:t xml:space="preserve"> </w:t>
      </w:r>
      <w:r>
        <w:t xml:space="preserve">Réponse attendue : il dépend du réseau de l’opérateur téléphonique, vulnérable au SIM swapping, où un attaquant transfère le numéro de la victime vers une carte SIM qu’il contrôle par ingénierie sociale auprès de l’opérateur — une faiblesse spécifique au canal SMS, absente des autres méthodes MFA comme TOTP ou les clés de sécurité physiques.</w:t>
      </w:r>
    </w:p>
    <w:bookmarkEnd w:id="623"/>
    <w:bookmarkStart w:id="624" w:name="Xfc9df62578afe6a97a7d84948e4bbe8289c2eb6"/>
    <w:p>
      <w:pPr>
        <w:pStyle w:val="Heading2"/>
      </w:pPr>
      <w:r>
        <w:t xml:space="preserve">Optimisation, sécurité et maintenabilité — les réflexes dès ce chapitre</w:t>
      </w:r>
    </w:p>
    <w:p>
      <w:pPr>
        <w:pStyle w:val="FirstParagraph"/>
      </w:pPr>
      <w:r>
        <w:t xml:space="preserve">🔒 Sécurité</w:t>
      </w:r>
      <w:r>
        <w:t xml:space="preserve"> </w:t>
      </w:r>
      <w:r>
        <w:t xml:space="preserve">Exige le MFA sans exception sur tout compte à privilège élevé, avec une méthode robuste (clé de sécurité physique ou TOTP, jamais SMS seul) — rappel direct et concret du principe déjà posé au chapitre 4 sur l’accès distant administratif.</w:t>
      </w:r>
    </w:p>
    <w:p>
      <w:pPr>
        <w:pStyle w:val="BodyText"/>
      </w:pPr>
      <w:r>
        <w:t xml:space="preserve">✅ Maintenabilité</w:t>
      </w:r>
      <w:r>
        <w:t xml:space="preserve"> </w:t>
      </w:r>
      <w:r>
        <w:t xml:space="preserve">Documente (chapitre 3) la procédure de réinitialisation MFA administrative, avec ses exigences de vérification d’identité précises — une procédure improvisée en pleine urgence est bien plus vulnérable à l’ingénierie sociale qu’une procédure déjà réfléchie et écrite à l’avance.</w:t>
      </w:r>
    </w:p>
    <w:p>
      <w:pPr>
        <w:pStyle w:val="BodyText"/>
      </w:pPr>
      <w:r>
        <w:t xml:space="preserve">🚀 Performance</w:t>
      </w:r>
      <w:r>
        <w:t xml:space="preserve"> </w:t>
      </w:r>
      <w:r>
        <w:t xml:space="preserve">Les politiques d’accès conditionnel (chapitre 8) permettent d’exiger le MFA de façon ciblée selon le contexte réel du risque (connexion depuis un lieu inhabituel, par exemple), plutôt que de l’imposer uniformément de façon rigide — un équilibre entre sécurité et confort d’usage qui évite la lassitude et donc, indirectement, la vulnérabilité à la fatigue MFA.</w:t>
      </w:r>
    </w:p>
    <w:bookmarkEnd w:id="624"/>
    <w:bookmarkStart w:id="625" w:name="résumé-du-chapitre-24"/>
    <w:p>
      <w:pPr>
        <w:pStyle w:val="Heading2"/>
      </w:pPr>
      <w:r>
        <w:t xml:space="preserve">Résumé du chapitre</w:t>
      </w:r>
    </w:p>
    <w:p>
      <w:pPr>
        <w:pStyle w:val="Compact"/>
        <w:numPr>
          <w:ilvl w:val="0"/>
          <w:numId w:val="1577"/>
        </w:numPr>
      </w:pPr>
      <w:r>
        <w:t xml:space="preserve">Le mot de passe seul ne suffit plus face aux risques de réutilisation, de phishing et de fuites de données massives.</w:t>
      </w:r>
    </w:p>
    <w:p>
      <w:pPr>
        <w:pStyle w:val="Compact"/>
        <w:numPr>
          <w:ilvl w:val="0"/>
          <w:numId w:val="1577"/>
        </w:numPr>
      </w:pPr>
      <w:r>
        <w:t xml:space="preserve">Le MFA combine des facteurs d’authentification de nature différente (savoir, avoir, être), jamais deux instances du même facteur.</w:t>
      </w:r>
    </w:p>
    <w:p>
      <w:pPr>
        <w:pStyle w:val="Compact"/>
        <w:numPr>
          <w:ilvl w:val="0"/>
          <w:numId w:val="1577"/>
        </w:numPr>
      </w:pPr>
      <w:r>
        <w:t xml:space="preserve">TOTP, les notifications push et les clés de sécurité physiques offrent un meilleur niveau de sécurité que le SMS, vulnérable au SIM swapping.</w:t>
      </w:r>
    </w:p>
    <w:p>
      <w:pPr>
        <w:pStyle w:val="Compact"/>
        <w:numPr>
          <w:ilvl w:val="0"/>
          <w:numId w:val="1577"/>
        </w:numPr>
      </w:pPr>
      <w:r>
        <w:t xml:space="preserve">TOTP repose sur un secret partagé et l’heure actuelle — la synchronisation d’horloge, déjà critique pour Kerberos, l’est aussi pour TOTP.</w:t>
      </w:r>
    </w:p>
    <w:p>
      <w:pPr>
        <w:pStyle w:val="Compact"/>
        <w:numPr>
          <w:ilvl w:val="0"/>
          <w:numId w:val="1577"/>
        </w:numPr>
      </w:pPr>
      <w:r>
        <w:t xml:space="preserve">La fatigue MFA est une technique d’attaque réelle, contrée par la correspondance de numéro et la formation des utilisateurs.</w:t>
      </w:r>
    </w:p>
    <w:p>
      <w:pPr>
        <w:pStyle w:val="Compact"/>
        <w:numPr>
          <w:ilvl w:val="0"/>
          <w:numId w:val="1577"/>
        </w:numPr>
      </w:pPr>
      <w:r>
        <w:t xml:space="preserve">Des codes de récupération et une procédure administrative rigoureuse de réinitialisation doivent être planifiés à l’avance, jamais improvisés en urgence.</w:t>
      </w:r>
    </w:p>
    <w:bookmarkEnd w:id="625"/>
    <w:bookmarkStart w:id="626" w:name="quiz-24"/>
    <w:p>
      <w:pPr>
        <w:pStyle w:val="Heading2"/>
      </w:pPr>
      <w:r>
        <w:t xml:space="preserve">Quiz</w:t>
      </w:r>
    </w:p>
    <w:p>
      <w:pPr>
        <w:pStyle w:val="FirstParagraph"/>
      </w:pPr>
      <w:r>
        <w:t xml:space="preserve">📝 QCM (une seule bonne réponse par question)</w:t>
      </w:r>
    </w:p>
    <w:p>
      <w:pPr>
        <w:pStyle w:val="Compact"/>
        <w:numPr>
          <w:ilvl w:val="0"/>
          <w:numId w:val="1578"/>
        </w:numPr>
      </w:pPr>
      <w:r>
        <w:t xml:space="preserve">Le MFA exige la combinaison de :</w:t>
      </w:r>
    </w:p>
    <w:p>
      <w:pPr>
        <w:pStyle w:val="Compact"/>
        <w:numPr>
          <w:ilvl w:val="1"/>
          <w:numId w:val="1579"/>
        </w:numPr>
      </w:pPr>
    </w:p>
    <w:p>
      <w:pPr>
        <w:pStyle w:val="Compact"/>
        <w:numPr>
          <w:ilvl w:val="2"/>
          <w:numId w:val="1580"/>
        </w:numPr>
      </w:pPr>
      <w:r>
        <w:t xml:space="preserve">Deux mots de passe différents</w:t>
      </w:r>
    </w:p>
    <w:p>
      <w:pPr>
        <w:pStyle w:val="Compact"/>
        <w:numPr>
          <w:ilvl w:val="1"/>
          <w:numId w:val="1579"/>
        </w:numPr>
      </w:pPr>
    </w:p>
    <w:p>
      <w:pPr>
        <w:pStyle w:val="Compact"/>
        <w:numPr>
          <w:ilvl w:val="2"/>
          <w:numId w:val="1581"/>
        </w:numPr>
      </w:pPr>
      <w:r>
        <w:t xml:space="preserve">Facteurs d’authentification de nature différente</w:t>
      </w:r>
    </w:p>
    <w:p>
      <w:pPr>
        <w:pStyle w:val="Compact"/>
        <w:numPr>
          <w:ilvl w:val="1"/>
          <w:numId w:val="1579"/>
        </w:numPr>
      </w:pPr>
    </w:p>
    <w:p>
      <w:pPr>
        <w:pStyle w:val="Compact"/>
        <w:numPr>
          <w:ilvl w:val="2"/>
          <w:numId w:val="1582"/>
        </w:numPr>
      </w:pPr>
      <w:r>
        <w:t xml:space="preserve">Uniquement des méthodes biométriques</w:t>
      </w:r>
    </w:p>
    <w:p>
      <w:pPr>
        <w:pStyle w:val="Compact"/>
        <w:numPr>
          <w:ilvl w:val="1"/>
          <w:numId w:val="1579"/>
        </w:numPr>
      </w:pPr>
    </w:p>
    <w:p>
      <w:pPr>
        <w:pStyle w:val="Compact"/>
        <w:numPr>
          <w:ilvl w:val="2"/>
          <w:numId w:val="1583"/>
        </w:numPr>
      </w:pPr>
      <w:r>
        <w:t xml:space="preserve">Un seul facteur renforcé</w:t>
      </w:r>
    </w:p>
    <w:p>
      <w:pPr>
        <w:pStyle w:val="Compact"/>
        <w:numPr>
          <w:ilvl w:val="0"/>
          <w:numId w:val="1578"/>
        </w:numPr>
      </w:pPr>
      <w:r>
        <w:t xml:space="preserve">La méthode MFA la moins recommandée, en raison du risque de SIM swapping, est :</w:t>
      </w:r>
    </w:p>
    <w:p>
      <w:pPr>
        <w:pStyle w:val="Compact"/>
        <w:numPr>
          <w:ilvl w:val="1"/>
          <w:numId w:val="1584"/>
        </w:numPr>
      </w:pPr>
    </w:p>
    <w:p>
      <w:pPr>
        <w:pStyle w:val="Compact"/>
        <w:numPr>
          <w:ilvl w:val="2"/>
          <w:numId w:val="1585"/>
        </w:numPr>
      </w:pPr>
      <w:r>
        <w:t xml:space="preserve">TOTP</w:t>
      </w:r>
    </w:p>
    <w:p>
      <w:pPr>
        <w:pStyle w:val="Compact"/>
        <w:numPr>
          <w:ilvl w:val="1"/>
          <w:numId w:val="1584"/>
        </w:numPr>
      </w:pPr>
    </w:p>
    <w:p>
      <w:pPr>
        <w:pStyle w:val="Compact"/>
        <w:numPr>
          <w:ilvl w:val="2"/>
          <w:numId w:val="1586"/>
        </w:numPr>
      </w:pPr>
      <w:r>
        <w:t xml:space="preserve">Les clés de sécurité physiques</w:t>
      </w:r>
    </w:p>
    <w:p>
      <w:pPr>
        <w:pStyle w:val="Compact"/>
        <w:numPr>
          <w:ilvl w:val="1"/>
          <w:numId w:val="1584"/>
        </w:numPr>
      </w:pPr>
    </w:p>
    <w:p>
      <w:pPr>
        <w:pStyle w:val="Compact"/>
        <w:numPr>
          <w:ilvl w:val="2"/>
          <w:numId w:val="1587"/>
        </w:numPr>
      </w:pPr>
      <w:r>
        <w:t xml:space="preserve">Le SMS</w:t>
      </w:r>
    </w:p>
    <w:p>
      <w:pPr>
        <w:pStyle w:val="Compact"/>
        <w:numPr>
          <w:ilvl w:val="1"/>
          <w:numId w:val="1584"/>
        </w:numPr>
      </w:pPr>
    </w:p>
    <w:p>
      <w:pPr>
        <w:pStyle w:val="Compact"/>
        <w:numPr>
          <w:ilvl w:val="2"/>
          <w:numId w:val="1588"/>
        </w:numPr>
      </w:pPr>
      <w:r>
        <w:t xml:space="preserve">La notification push</w:t>
      </w:r>
    </w:p>
    <w:p>
      <w:pPr>
        <w:pStyle w:val="Compact"/>
        <w:numPr>
          <w:ilvl w:val="0"/>
          <w:numId w:val="1578"/>
        </w:numPr>
      </w:pPr>
      <w:r>
        <w:t xml:space="preserve">La</w:t>
      </w:r>
      <w:r>
        <w:t xml:space="preserve"> </w:t>
      </w:r>
      <w:r>
        <w:t xml:space="preserve">“fatigue MFA”</w:t>
      </w:r>
      <w:r>
        <w:t xml:space="preserve"> </w:t>
      </w:r>
      <w:r>
        <w:t xml:space="preserve">désigne :</w:t>
      </w:r>
    </w:p>
    <w:p>
      <w:pPr>
        <w:pStyle w:val="Compact"/>
        <w:numPr>
          <w:ilvl w:val="1"/>
          <w:numId w:val="1589"/>
        </w:numPr>
      </w:pPr>
    </w:p>
    <w:p>
      <w:pPr>
        <w:pStyle w:val="Compact"/>
        <w:numPr>
          <w:ilvl w:val="2"/>
          <w:numId w:val="1590"/>
        </w:numPr>
      </w:pPr>
      <w:r>
        <w:t xml:space="preserve">Une panne technique du serveur MFA</w:t>
      </w:r>
    </w:p>
    <w:p>
      <w:pPr>
        <w:pStyle w:val="Compact"/>
        <w:numPr>
          <w:ilvl w:val="1"/>
          <w:numId w:val="1589"/>
        </w:numPr>
      </w:pPr>
    </w:p>
    <w:p>
      <w:pPr>
        <w:pStyle w:val="Compact"/>
        <w:numPr>
          <w:ilvl w:val="2"/>
          <w:numId w:val="1591"/>
        </w:numPr>
      </w:pPr>
      <w:r>
        <w:t xml:space="preserve">Une technique d’attaque par notifications push répétées, espérant une approbation par lassitude</w:t>
      </w:r>
    </w:p>
    <w:p>
      <w:pPr>
        <w:pStyle w:val="Compact"/>
        <w:numPr>
          <w:ilvl w:val="1"/>
          <w:numId w:val="1589"/>
        </w:numPr>
      </w:pPr>
    </w:p>
    <w:p>
      <w:pPr>
        <w:pStyle w:val="Compact"/>
        <w:numPr>
          <w:ilvl w:val="2"/>
          <w:numId w:val="1592"/>
        </w:numPr>
      </w:pPr>
      <w:r>
        <w:t xml:space="preserve">Un problème de batterie sur le téléphone de l’utilisateur</w:t>
      </w:r>
    </w:p>
    <w:p>
      <w:pPr>
        <w:pStyle w:val="Compact"/>
        <w:numPr>
          <w:ilvl w:val="1"/>
          <w:numId w:val="1589"/>
        </w:numPr>
      </w:pPr>
    </w:p>
    <w:p>
      <w:pPr>
        <w:pStyle w:val="Compact"/>
        <w:numPr>
          <w:ilvl w:val="2"/>
          <w:numId w:val="1593"/>
        </w:numPr>
      </w:pPr>
      <w:r>
        <w:t xml:space="preserve">Un délai d’expiration trop court des codes TOTP</w:t>
      </w:r>
    </w:p>
    <w:p>
      <w:pPr>
        <w:pStyle w:val="FirstParagraph"/>
      </w:pPr>
      <w:r>
        <w:rPr>
          <w:b/>
          <w:bCs/>
        </w:rPr>
        <w:t xml:space="preserve">Corrigé</w:t>
      </w:r>
      <w:r>
        <w:t xml:space="preserve"> </w:t>
      </w:r>
      <w:r>
        <w:t xml:space="preserve">: 1-b, 2-c, 3-b.</w:t>
      </w:r>
    </w:p>
    <w:p>
      <w:pPr>
        <w:pStyle w:val="BodyText"/>
      </w:pPr>
      <w:r>
        <w:t xml:space="preserve">📝 Vrai ou Faux</w:t>
      </w:r>
    </w:p>
    <w:p>
      <w:pPr>
        <w:pStyle w:val="Compact"/>
        <w:numPr>
          <w:ilvl w:val="0"/>
          <w:numId w:val="1594"/>
        </w:numPr>
      </w:pPr>
      <w:r>
        <w:t xml:space="preserve">Deux mots de passe distincts constituent une forme valide de MFA. —</w:t>
      </w:r>
      <w:r>
        <w:t xml:space="preserve"> </w:t>
      </w:r>
      <w:r>
        <w:rPr>
          <w:b/>
          <w:bCs/>
        </w:rPr>
        <w:t xml:space="preserve">Faux</w:t>
      </w:r>
      <w:r>
        <w:t xml:space="preserve"> </w:t>
      </w:r>
      <w:r>
        <w:t xml:space="preserve">(ce sont deux instances du même facteur, section 25.2).</w:t>
      </w:r>
    </w:p>
    <w:p>
      <w:pPr>
        <w:pStyle w:val="Compact"/>
        <w:numPr>
          <w:ilvl w:val="0"/>
          <w:numId w:val="1594"/>
        </w:numPr>
      </w:pPr>
      <w:r>
        <w:t xml:space="preserve">TOTP repose sur un secret partagé et l’heure actuelle, sans échange supplémentaire à chaque code généré. —</w:t>
      </w:r>
      <w:r>
        <w:t xml:space="preserve"> </w:t>
      </w:r>
      <w:r>
        <w:rPr>
          <w:b/>
          <w:bCs/>
        </w:rPr>
        <w:t xml:space="preserve">Vrai</w:t>
      </w:r>
      <w:r>
        <w:t xml:space="preserve">.</w:t>
      </w:r>
    </w:p>
    <w:p>
      <w:pPr>
        <w:pStyle w:val="Compact"/>
        <w:numPr>
          <w:ilvl w:val="0"/>
          <w:numId w:val="1594"/>
        </w:numPr>
      </w:pPr>
      <w:r>
        <w:t xml:space="preserve">La correspondance de numéro (number matching) est une contre-mesure efficace contre la fatigue MFA. —</w:t>
      </w:r>
      <w:r>
        <w:t xml:space="preserve"> </w:t>
      </w:r>
      <w:r>
        <w:rPr>
          <w:b/>
          <w:bCs/>
        </w:rPr>
        <w:t xml:space="preserve">Vrai</w:t>
      </w:r>
      <w:r>
        <w:t xml:space="preserve">.</w:t>
      </w:r>
    </w:p>
    <w:p>
      <w:pPr>
        <w:pStyle w:val="Compact"/>
        <w:numPr>
          <w:ilvl w:val="0"/>
          <w:numId w:val="1594"/>
        </w:numPr>
      </w:pPr>
      <w:r>
        <w:t xml:space="preserve">Un compte de service automatisé devrait toujours utiliser une notification push MFA classique, comme un compte utilisateur humain. —</w:t>
      </w:r>
      <w:r>
        <w:t xml:space="preserve"> </w:t>
      </w:r>
      <w:r>
        <w:rPr>
          <w:b/>
          <w:bCs/>
        </w:rPr>
        <w:t xml:space="preserve">Faux</w:t>
      </w:r>
      <w:r>
        <w:t xml:space="preserve"> </w:t>
      </w:r>
      <w:r>
        <w:t xml:space="preserve">(aucun humain n’est présent pour l’approuver, une autre approche de sécurité est nécessaire).</w:t>
      </w:r>
    </w:p>
    <w:p>
      <w:pPr>
        <w:pStyle w:val="FirstParagraph"/>
      </w:pPr>
      <w:r>
        <w:t xml:space="preserve">📝 Questions ouvertes</w:t>
      </w:r>
    </w:p>
    <w:p>
      <w:pPr>
        <w:pStyle w:val="Compact"/>
        <w:numPr>
          <w:ilvl w:val="0"/>
          <w:numId w:val="1595"/>
        </w:numPr>
      </w:pPr>
      <w:r>
        <w:t xml:space="preserve">Explique pourquoi la synchronisation d’horloge, déjà critique pour Kerberos (chapitre 23), l’est également pour TOTP.</w:t>
      </w:r>
    </w:p>
    <w:p>
      <w:pPr>
        <w:pStyle w:val="Compact"/>
        <w:numPr>
          <w:ilvl w:val="0"/>
          <w:numId w:val="1595"/>
        </w:numPr>
      </w:pPr>
      <w:r>
        <w:t xml:space="preserve">Reprends le scénario d’ouverture. Explique en 3-4 phrases pourquoi ce type d’incident illustre bien la philosophie centrale du MFA : ne pas supposer qu’un mot de passe restera toujours secret.</w:t>
      </w:r>
    </w:p>
    <w:p>
      <w:pPr>
        <w:pStyle w:val="FirstParagraph"/>
      </w:pPr>
      <w:r>
        <w:rPr>
          <w:b/>
          <w:bCs/>
        </w:rPr>
        <w:t xml:space="preserve">Corrigé 1</w:t>
      </w:r>
      <w:r>
        <w:t xml:space="preserve"> </w:t>
      </w:r>
      <w:r>
        <w:t xml:space="preserve">: TOTP calcule un code à partir d’un secret partagé ET de l’heure actuelle, indépendamment côté serveur et côté application d’authentification — si les horloges des deux parties divergent significativement, les codes calculés de chaque côté ne correspondront plus, provoquant un rejet des codes pourtant générés par l’application légitime de l’utilisateur, un mécanisme structurellement similaire à la tolérance d’horloge de Kerberos (chapitre 23), même si les deux protocoles sont par ailleurs indépendants.</w:t>
      </w:r>
    </w:p>
    <w:p>
      <w:pPr>
        <w:pStyle w:val="BodyText"/>
      </w:pPr>
      <w:r>
        <w:rPr>
          <w:b/>
          <w:bCs/>
        </w:rPr>
        <w:t xml:space="preserve">Corrigé 2</w:t>
      </w:r>
      <w:r>
        <w:t xml:space="preserve"> </w:t>
      </w:r>
      <w:r>
        <w:t xml:space="preserve">: le scénario d’ouverture montre concrètement qu’un mot de passe fort et jamais deviné par force brute peut quand même être compromis par un canal totalement extérieur à l’entreprise (une fuite de données sur un site tiers où l’employé avait réutilisé ce mot de passe) — un risque hors du contrôle direct de l’équipe IT. Le MFA ne cherche pas à empêcher cette fuite (impossible à contrôler depuis l’entreprise), mais à s’assurer qu’elle seule, sans le second facteur physique, reste insuffisante pour accéder au compte — exactement la philosophie</w:t>
      </w:r>
      <w:r>
        <w:t xml:space="preserve"> </w:t>
      </w:r>
      <w:r>
        <w:t xml:space="preserve">“supposer que le mot de passe sera un jour compromis”</w:t>
      </w:r>
      <w:r>
        <w:t xml:space="preserve"> </w:t>
      </w:r>
      <w:r>
        <w:t xml:space="preserve">de la section 25.1, validée en conditions réelles dans ce scénario précis.</w:t>
      </w:r>
    </w:p>
    <w:bookmarkEnd w:id="626"/>
    <w:bookmarkStart w:id="627" w:name="exercices-24"/>
    <w:p>
      <w:pPr>
        <w:pStyle w:val="Heading2"/>
      </w:pPr>
      <w:r>
        <w:t xml:space="preserve">Exercices</w:t>
      </w:r>
    </w:p>
    <w:p>
      <w:pPr>
        <w:pStyle w:val="FirstParagraph"/>
      </w:pPr>
      <w:r>
        <w:t xml:space="preserve">📝 Exercice 25.1</w:t>
      </w:r>
    </w:p>
    <w:p>
      <w:pPr>
        <w:pStyle w:val="BodyText"/>
      </w:pPr>
      <w:r>
        <w:t xml:space="preserve">Un employé reçoit cinq notifications push MFA en l’espace de deux minutes, sans avoir lui-même tenté de se connecter. Explique ce que cela signifie probablement, et ce qu’il devrait faire, en t’appuyant sur la section 25.7.</w:t>
      </w:r>
    </w:p>
    <w:p>
      <w:pPr>
        <w:pStyle w:val="BodyText"/>
      </w:pPr>
      <w:r>
        <w:rPr>
          <w:b/>
          <w:bCs/>
        </w:rPr>
        <w:t xml:space="preserve">Corrigé :</w:t>
      </w:r>
      <w:r>
        <w:t xml:space="preserve"> </w:t>
      </w:r>
      <w:r>
        <w:t xml:space="preserve">Ce comportement correspond exactement à une tentative de fatigue MFA (section 25.7) — un attaquant possédant déjà le mot de passe de cet employé tente de le pousser à approuver une notification par lassitude ou confusion. L’employé ne doit approuver aucune de ces notifications, doit immédiatement signaler l’incident à l’équipe de sécurité (rejoignant la chaîne d’escalade du chapitre 1), et devrait envisager de changer son mot de passe par précaution, puisque la présence de ces notifications confirme que quelqu’un d’autre possède effectivement ses identifiants valides.</w:t>
      </w:r>
    </w:p>
    <w:p>
      <w:pPr>
        <w:pStyle w:val="BodyText"/>
      </w:pPr>
      <w:r>
        <w:t xml:space="preserve">📝 Exercice 25.2</w:t>
      </w:r>
    </w:p>
    <w:p>
      <w:pPr>
        <w:pStyle w:val="BodyText"/>
      </w:pPr>
      <w:r>
        <w:t xml:space="preserve">Rédige, en 3 à 5 phrases, pourquoi une procédure de réinitialisation MFA administrative mal conçue (par exemple, une simple demande par email suffisante) pourrait totalement annuler le bénéfice de sécurité du MFA lui-même.</w:t>
      </w:r>
    </w:p>
    <w:p>
      <w:pPr>
        <w:pStyle w:val="BodyText"/>
      </w:pPr>
      <w:r>
        <w:rPr>
          <w:b/>
          <w:bCs/>
        </w:rPr>
        <w:t xml:space="preserve">Corrigé (exemple de réponse) :</w:t>
      </w:r>
      <w:r>
        <w:t xml:space="preserve"> </w:t>
      </w:r>
      <w:r>
        <w:t xml:space="preserve">Si un attaquant peut obtenir une réinitialisation du MFA d’un compte simplement en envoyant un email prétendant avoir perdu son téléphone, il contourne entièrement la protection du second facteur sans jamais avoir eu à le posséder réellement — l’email lui-même devenant le véritable</w:t>
      </w:r>
      <w:r>
        <w:t xml:space="preserve"> </w:t>
      </w:r>
      <w:r>
        <w:t xml:space="preserve">“facteur”</w:t>
      </w:r>
      <w:r>
        <w:t xml:space="preserve"> </w:t>
      </w:r>
      <w:r>
        <w:t xml:space="preserve">exploité, souvent plus facile à usurper qu’un appareil physique. Une procédure de réinitialisation robuste doit exiger une vérification d’identité forte et documentée (rejoignant le chapitre 3 sur les runbooks), par exemple une vérification vidéo ou en personne pour un compte à privilège élevé, pour que la sécurité du MFA repose sur l’ensemble de son cycle de vie, pas seulement sur son fonctionnement au quotidien.</w:t>
      </w:r>
    </w:p>
    <w:bookmarkEnd w:id="627"/>
    <w:bookmarkStart w:id="628" w:name="checklist-de-fin-de-chapitre-24"/>
    <w:p>
      <w:pPr>
        <w:pStyle w:val="Heading2"/>
      </w:pPr>
      <w:r>
        <w:t xml:space="preserve">Checklist de fin de chapitre</w:t>
      </w:r>
    </w:p>
    <w:p>
      <w:pPr>
        <w:pStyle w:val="FirstParagraph"/>
      </w:pPr>
      <w:r>
        <w:t xml:space="preserve">☐ Je comprends pourquoi le mot de passe seul ne suffit plus en 2026.</w:t>
      </w:r>
    </w:p>
    <w:p>
      <w:pPr>
        <w:pStyle w:val="BodyText"/>
      </w:pPr>
      <w:r>
        <w:t xml:space="preserve">☐ Je connais les trois facteurs d’authentification et pourquoi le MFA en combine au moins deux de nature différente.</w:t>
      </w:r>
    </w:p>
    <w:p>
      <w:pPr>
        <w:pStyle w:val="BodyText"/>
      </w:pPr>
      <w:r>
        <w:t xml:space="preserve">☐ Je sais comparer les méthodes MFA courantes (SMS, TOTP, push, clé physique) et leurs niveaux de sécurité respectifs.</w:t>
      </w:r>
    </w:p>
    <w:p>
      <w:pPr>
        <w:pStyle w:val="BodyText"/>
      </w:pPr>
      <w:r>
        <w:t xml:space="preserve">☐ Je comprends comment TOTP fonctionne techniquement, et son lien avec la synchronisation d’horloge.</w:t>
      </w:r>
    </w:p>
    <w:p>
      <w:pPr>
        <w:pStyle w:val="BodyText"/>
      </w:pPr>
      <w:r>
        <w:t xml:space="preserve">☐ Je sais reconnaître et me protéger contre la fatigue MFA.</w:t>
      </w:r>
    </w:p>
    <w:p>
      <w:pPr>
        <w:pStyle w:val="BodyText"/>
      </w:pPr>
      <w:r>
        <w:t xml:space="preserve">☐ Je comprends l’importance des codes de récupération et d’une procédure de réinitialisation MFA rigoureuse.</w:t>
      </w:r>
    </w:p>
    <w:bookmarkEnd w:id="628"/>
    <w:bookmarkStart w:id="629" w:name="faq-24"/>
    <w:p>
      <w:pPr>
        <w:pStyle w:val="Heading2"/>
      </w:pPr>
      <w:r>
        <w:t xml:space="preserve">FAQ</w:t>
      </w:r>
    </w:p>
    <w:p>
      <w:pPr>
        <w:pStyle w:val="FirstParagraph"/>
      </w:pPr>
      <w:r>
        <w:t xml:space="preserve">Le MFA rend-il un compte totalement inviolable ?</w:t>
      </w:r>
    </w:p>
    <w:p>
      <w:pPr>
        <w:pStyle w:val="BodyText"/>
      </w:pPr>
      <w:r>
        <w:t xml:space="preserve">Non, aucune mesure de sécurité n’est absolue — le MFA réduit drastiquement le risque lié à un mot de passe seul compromis, mais reste vulnérable à des techniques plus sophistiquées comme la fatigue MFA (section 25.7) ou certaines attaques de phishing avancées contournant même le MFA (hors du périmètre de ce chapitre introductif). Le MFA est une couche de défense majeure, pas une garantie absolue à elle seule.</w:t>
      </w:r>
    </w:p>
    <w:p>
      <w:pPr>
        <w:pStyle w:val="BodyText"/>
      </w:pPr>
      <w:r>
        <w:t xml:space="preserve">Faut-il imposer le MFA à absolument tous les comptes, y compris les plus anodins ?</w:t>
      </w:r>
    </w:p>
    <w:p>
      <w:pPr>
        <w:pStyle w:val="BodyText"/>
      </w:pPr>
      <w:r>
        <w:t xml:space="preserve">La priorité doit aller aux comptes à privilège élevé et aux accès exposés (rappel du chapitre 4), avec une extension progressive à l’ensemble des utilisateurs — un déploiement trop brutal sans accompagnement peut générer de la résistance ou des contournements de la part des utilisateurs, un risque à gérer avec la même prudence que tout changement du chapitre 2.</w:t>
      </w:r>
    </w:p>
    <w:p>
      <w:pPr>
        <w:pStyle w:val="BodyText"/>
      </w:pPr>
      <w:r>
        <w:t xml:space="preserve">Les clés de sécurité physiques (FIDO2) sont-elles adaptées à toute une entreprise ?</w:t>
      </w:r>
    </w:p>
    <w:p>
      <w:pPr>
        <w:pStyle w:val="BodyText"/>
      </w:pPr>
      <w:r>
        <w:t xml:space="preserve">Elles offrent le meilleur niveau de sécurité mais représentent un coût matériel et logistique (distribution, remplacement en cas de perte) qui les rend généralement réservées aux comptes les plus sensibles (administrateurs, dirigeants) plutôt qu’à l’ensemble du personnel, où TOTP ou la notification push restent un compromis pratique plus courant.</w:t>
      </w:r>
    </w:p>
    <w:p>
      <w:pPr>
        <w:pStyle w:val="BodyText"/>
      </w:pPr>
      <w:r>
        <w:t xml:space="preserve">Comment un compte de service automatisé peut-il être sécurisé sans MFA interactif ?</w:t>
      </w:r>
    </w:p>
    <w:p>
      <w:pPr>
        <w:pStyle w:val="BodyText"/>
      </w:pPr>
      <w:r>
        <w:t xml:space="preserve">Par d’autres mécanismes adaptés à l’absence d’intervention humaine : rotation régulière des clés d’authentification, restriction stricte par adresse IP source, principe du moindre privilège limitant strictement ce que ce compte peut faire — des sujets approfondis dans la Partie 9 sur l’automatisation et l’Infrastructure as Code.</w:t>
      </w:r>
    </w:p>
    <w:bookmarkEnd w:id="629"/>
    <w:bookmarkStart w:id="633" w:name="références-et-pour-aller-plus-loin-24"/>
    <w:p>
      <w:pPr>
        <w:pStyle w:val="Heading2"/>
      </w:pPr>
      <w:r>
        <w:t xml:space="preserve">Références et pour aller plus loin</w:t>
      </w:r>
    </w:p>
    <w:p>
      <w:pPr>
        <w:pStyle w:val="Compact"/>
        <w:numPr>
          <w:ilvl w:val="0"/>
          <w:numId w:val="1596"/>
        </w:numPr>
      </w:pPr>
      <w:r>
        <w:t xml:space="preserve">Microsoft Learn — Authentification multifacteur Entra ID :</w:t>
      </w:r>
      <w:r>
        <w:t xml:space="preserve"> </w:t>
      </w:r>
      <w:hyperlink r:id="rId630">
        <w:r>
          <w:rPr>
            <w:rStyle w:val="Hyperlink"/>
          </w:rPr>
          <w:t xml:space="preserve">https://learn.microsoft.com/fr-fr/entra/identity/authentication/concept-mfa-howitworks</w:t>
        </w:r>
      </w:hyperlink>
    </w:p>
    <w:p>
      <w:pPr>
        <w:pStyle w:val="Compact"/>
        <w:numPr>
          <w:ilvl w:val="0"/>
          <w:numId w:val="1596"/>
        </w:numPr>
      </w:pPr>
      <w:r>
        <w:t xml:space="preserve">NIST Special Publication 800-63B — lignes directrices sur l’authentification numérique :</w:t>
      </w:r>
      <w:r>
        <w:t xml:space="preserve"> </w:t>
      </w:r>
      <w:hyperlink r:id="rId631">
        <w:r>
          <w:rPr>
            <w:rStyle w:val="Hyperlink"/>
          </w:rPr>
          <w:t xml:space="preserve">https://pages.nist.gov/800-63-3/sp800-63b.html</w:t>
        </w:r>
      </w:hyperlink>
    </w:p>
    <w:p>
      <w:pPr>
        <w:pStyle w:val="Compact"/>
        <w:numPr>
          <w:ilvl w:val="0"/>
          <w:numId w:val="1596"/>
        </w:numPr>
      </w:pPr>
      <w:r>
        <w:t xml:space="preserve">FIDO Alliance — documentation sur les standards FIDO2/WebAuthn :</w:t>
      </w:r>
      <w:r>
        <w:t xml:space="preserve"> </w:t>
      </w:r>
      <w:hyperlink r:id="rId632">
        <w:r>
          <w:rPr>
            <w:rStyle w:val="Hyperlink"/>
          </w:rPr>
          <w:t xml:space="preserve">https://fidoalliance.org/fido2/</w:t>
        </w:r>
      </w:hyperlink>
    </w:p>
    <w:p>
      <w:pPr>
        <w:pStyle w:val="Compact"/>
        <w:numPr>
          <w:ilvl w:val="0"/>
          <w:numId w:val="1596"/>
        </w:numPr>
      </w:pPr>
      <w:r>
        <w:t xml:space="preserve">CISA — recommandations sur la protection contre la fatigue MFA :</w:t>
      </w:r>
      <w:r>
        <w:t xml:space="preserve"> </w:t>
      </w:r>
      <w:hyperlink r:id="rId121">
        <w:r>
          <w:rPr>
            <w:rStyle w:val="Hyperlink"/>
          </w:rPr>
          <w:t xml:space="preserve">https://www.cisa.gov</w:t>
        </w:r>
      </w:hyperlink>
    </w:p>
    <w:p>
      <w:pPr>
        <w:pStyle w:val="FirstParagraph"/>
      </w:pPr>
      <w:r>
        <w:rPr>
          <w:i/>
          <w:iCs/>
        </w:rPr>
        <w:t xml:space="preserve">Chapitre suivant : Zero Trust — comment généraliser la philosophie de ce chapitre (</w:t>
      </w:r>
      <w:r>
        <w:rPr>
          <w:i/>
          <w:iCs/>
        </w:rPr>
        <w:t xml:space="preserve">“ne jamais supposer qu’une protection suffit à elle seule”</w:t>
      </w:r>
      <w:r>
        <w:rPr>
          <w:i/>
          <w:iCs/>
        </w:rPr>
        <w:t xml:space="preserve">) à l’ensemble de l’architecture de sécurité d’une organisation.</w:t>
      </w:r>
    </w:p>
    <w:p>
      <w:pPr>
        <w:pStyle w:val="BodyText"/>
      </w:pPr>
      <w:r>
        <w:t xml:space="preserve">CHAPITRE 26</w:t>
      </w:r>
    </w:p>
    <w:bookmarkEnd w:id="633"/>
    <w:bookmarkEnd w:id="634"/>
    <w:bookmarkStart w:id="663" w:name="zero-trust-principes-et-mise-en-œuvre"/>
    <w:p>
      <w:pPr>
        <w:pStyle w:val="Heading1"/>
      </w:pPr>
      <w:r>
        <w:t xml:space="preserve">Zero Trust : principes et mise en œuvre</w:t>
      </w:r>
    </w:p>
    <w:p>
      <w:pPr>
        <w:pStyle w:val="FirstParagraph"/>
      </w:pPr>
      <w:r>
        <w:t xml:space="preserve">🎯 Objectif du chapitre</w:t>
      </w:r>
      <w:r>
        <w:t xml:space="preserve"> </w:t>
      </w:r>
      <w:r>
        <w:t xml:space="preserve">Comprendre le Zero Trust non pas comme un produit à acheter, mais comme une philosophie de sécurité qui généralise tout ce que ce manuel a déjà construit depuis le chapitre 1 : ne jamais faire confiance par défaut, toujours vérifier explicitement. À la fin de ce chapitre, tu sauras expliquer pourquoi le modèle de sécurité périmétrique traditionnel ne suffit plus, identifier les piliers concrets du Zero Trust, et élaborer une feuille de route réaliste pour une organisation, plutôt qu’un projet</w:t>
      </w:r>
      <w:r>
        <w:t xml:space="preserve"> </w:t>
      </w:r>
      <w:r>
        <w:t xml:space="preserve">“tout ou rien”</w:t>
      </w:r>
      <w:r>
        <w:t xml:space="preserve"> </w:t>
      </w:r>
      <w:r>
        <w:t xml:space="preserve">voué à l’échec.</w:t>
      </w:r>
    </w:p>
    <w:p>
      <w:pPr>
        <w:pStyle w:val="BodyText"/>
      </w:pPr>
      <w:r>
        <w:t xml:space="preserve">🎬 Mise en situation</w:t>
      </w:r>
      <w:r>
        <w:t xml:space="preserve"> </w:t>
      </w:r>
      <w:r>
        <w:t xml:space="preserve">Suite à l’incident du chapitre 25 (le compte protégé malgré le mot de passe compromis), le DSI est impressionné et te pose une question plus large :</w:t>
      </w:r>
      <w:r>
        <w:t xml:space="preserve"> </w:t>
      </w:r>
      <w:r>
        <w:t xml:space="preserve">“On a eu de la chance avec le MFA sur ce compte précis. Mais est-ce qu’on a la même protection partout ? Si quelqu’un se connecte au VPN avec des identifiants volés, qu’est-ce qui l’empêche ensuite de se promener librement sur tout notre réseau interne ?”</w:t>
      </w:r>
      <w:r>
        <w:t xml:space="preserve"> </w:t>
      </w:r>
      <w:r>
        <w:t xml:space="preserve">C’est une excellente question, qui révèle une faille conceptuelle du modèle de sécurité traditionnel : une fois</w:t>
      </w:r>
      <w:r>
        <w:t xml:space="preserve"> </w:t>
      </w:r>
      <w:r>
        <w:t xml:space="preserve">“dans”</w:t>
      </w:r>
      <w:r>
        <w:t xml:space="preserve"> </w:t>
      </w:r>
      <w:r>
        <w:t xml:space="preserve">le réseau, la confiance devient souvent implicite et large. Ce chapitre présente le Zero Trust, le cadre de pensée qui répond précisément à cette question — en assemblant des briques que ce manuel a déjà posées une à une depuis le premier chapitre.</w:t>
      </w:r>
    </w:p>
    <w:bookmarkStart w:id="635" w:name="X7db873e93c69e309c3fc47b13cef62480f119f0"/>
    <w:p>
      <w:pPr>
        <w:pStyle w:val="Heading2"/>
      </w:pPr>
      <w:r>
        <w:t xml:space="preserve">26.1 Le modèle périmétrique traditionnel et sa limite fondamentale</w:t>
      </w:r>
    </w:p>
    <w:p>
      <w:pPr>
        <w:pStyle w:val="FirstParagraph"/>
      </w:pPr>
      <w:r>
        <w:t xml:space="preserve">💡 Analogie — le château fort et les douves</w:t>
      </w:r>
      <w:r>
        <w:t xml:space="preserve"> </w:t>
      </w:r>
      <w:r>
        <w:t xml:space="preserve">Le modèle de sécurité traditionnel ressemble à un château fort entouré de douves : une fois le pont-levis franchi (authentification au périmètre, comme une connexion VPN ou un badge d’entrée), un visiteur peut circuler relativement librement à l’intérieur des murs, avec une confiance largement implicite. Ce modèle fonctionnait raisonnablement bien tant que</w:t>
      </w:r>
      <w:r>
        <w:t xml:space="preserve"> </w:t>
      </w:r>
      <w:r>
        <w:t xml:space="preserve">“l’intérieur”</w:t>
      </w:r>
      <w:r>
        <w:t xml:space="preserve"> </w:t>
      </w:r>
      <w:r>
        <w:t xml:space="preserve">et</w:t>
      </w:r>
      <w:r>
        <w:t xml:space="preserve"> </w:t>
      </w:r>
      <w:r>
        <w:t xml:space="preserve">“l’extérieur”</w:t>
      </w:r>
      <w:r>
        <w:t xml:space="preserve"> </w:t>
      </w:r>
      <w:r>
        <w:t xml:space="preserve">étaient clairement délimités — mais le travail à distance, le cloud hybride (chapitre 8) et les partenaires externes ont rendu cette frontière de plus en plus floue et poreuse.</w:t>
      </w:r>
    </w:p>
    <w:p>
      <w:pPr>
        <w:pStyle w:val="BodyText"/>
      </w:pPr>
      <w:r>
        <w:t xml:space="preserve">⚠️ La question du DSI révèle exactement cette limite</w:t>
      </w:r>
      <w:r>
        <w:t xml:space="preserve"> </w:t>
      </w:r>
      <w:r>
        <w:t xml:space="preserve">Dans un modèle périmétrique pur, un attaquant qui franchit une seule fois le périmètre (VPN compromis, identifiants volés) peut ensuite se déplacer relativement librement à l’intérieur du réseau — un mouvement latéral difficile à détecter si la confiance interne n’est jamais revérifiée. C’est précisément le scénario que redoute le DSI : le MFA a protégé le point d’entrée dans le chapitre 25, mais rien ne garantit qu’une compromission ailleurs ne donnerait pas un accès large une fois</w:t>
      </w:r>
      <w:r>
        <w:t xml:space="preserve"> </w:t>
      </w:r>
      <w:r>
        <w:t xml:space="preserve">“dans”</w:t>
      </w:r>
      <w:r>
        <w:t xml:space="preserve"> </w:t>
      </w:r>
      <w:r>
        <w:t xml:space="preserve">le réseau.</w:t>
      </w:r>
    </w:p>
    <w:bookmarkEnd w:id="635"/>
    <w:bookmarkStart w:id="636" w:name="X16a4ac84feb845085846a29ae5c98b91c5eaed0"/>
    <w:p>
      <w:pPr>
        <w:pStyle w:val="Heading2"/>
      </w:pPr>
      <w:r>
        <w:t xml:space="preserve">26.2 Le principe fondamental :</w:t>
      </w:r>
      <w:r>
        <w:t xml:space="preserve"> </w:t>
      </w:r>
      <w:r>
        <w:t xml:space="preserve">“Never trust, always verify”</w:t>
      </w:r>
    </w:p>
    <w:p>
      <w:pPr>
        <w:pStyle w:val="FirstParagraph"/>
      </w:pPr>
      <w:r>
        <w:t xml:space="preserve">📌 À retenir — la définition du Zero Trust en une phrase</w:t>
      </w:r>
      <w:r>
        <w:t xml:space="preserve"> </w:t>
      </w:r>
      <w:r>
        <w:t xml:space="preserve">Le Zero Trust part du principe qu’aucune confiance ne doit être accordée implicitement, ni à l’intérieur ni à l’extérieur d’un réseau — chaque accès à chaque ressource doit être</w:t>
      </w:r>
      <w:r>
        <w:t xml:space="preserve"> </w:t>
      </w:r>
      <w:r>
        <w:rPr>
          <w:b/>
          <w:bCs/>
        </w:rPr>
        <w:t xml:space="preserve">explicitement vérifié</w:t>
      </w:r>
      <w:r>
        <w:t xml:space="preserve">, à chaque fois, indépendamment de l’origine de la connexion. Ce n’est pas un produit unique à installer, mais une philosophie qui se traduit par un ensemble cohérent de pratiques — dont beaucoup ont déjà été posées, chapitre après chapitre, sans être nommées</w:t>
      </w:r>
      <w:r>
        <w:t xml:space="preserve"> </w:t>
      </w:r>
      <w:r>
        <w:t xml:space="preserve">“Zero Trust”</w:t>
      </w:r>
      <w:r>
        <w:t xml:space="preserve"> </w:t>
      </w:r>
      <w:r>
        <w:t xml:space="preserve">jusqu’ici.</w:t>
      </w:r>
    </w:p>
    <w:bookmarkEnd w:id="636"/>
    <w:bookmarkStart w:id="637" w:name="X121aa64422d5811d3ea28420a1519d6e7e8b55e"/>
    <w:p>
      <w:pPr>
        <w:pStyle w:val="Heading2"/>
      </w:pPr>
      <w:r>
        <w:t xml:space="preserve">26.3 Les piliers du Zero Trust, déjà construits au fil de ce manuel</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Pilier Zero Trust</w:t>
            </w:r>
          </w:p>
        </w:tc>
        <w:tc>
          <w:tcPr/>
          <w:p>
            <w:pPr>
              <w:pStyle w:val="Compact"/>
            </w:pPr>
            <w:r>
              <w:t xml:space="preserve">Déjà couvert dans ce manuel</w:t>
            </w:r>
          </w:p>
        </w:tc>
      </w:tr>
      <w:tr>
        <w:tc>
          <w:tcPr/>
          <w:p>
            <w:pPr>
              <w:pStyle w:val="Compact"/>
            </w:pPr>
            <w:r>
              <w:rPr>
                <w:b/>
                <w:bCs/>
              </w:rPr>
              <w:t xml:space="preserve">Identité forte, vérifiée systématiquement</w:t>
            </w:r>
          </w:p>
        </w:tc>
        <w:tc>
          <w:tcPr/>
          <w:p>
            <w:pPr>
              <w:pStyle w:val="Compact"/>
            </w:pPr>
            <w:r>
              <w:t xml:space="preserve">MFA (chapitre 25), Kerberos (chapitre 23), comptes nominatifs (chapitre 4)</w:t>
            </w:r>
          </w:p>
        </w:tc>
      </w:tr>
      <w:tr>
        <w:tc>
          <w:tcPr/>
          <w:p>
            <w:pPr>
              <w:pStyle w:val="Compact"/>
            </w:pPr>
            <w:r>
              <w:rPr>
                <w:b/>
                <w:bCs/>
              </w:rPr>
              <w:t xml:space="preserve">Appareils vérifiés</w:t>
            </w:r>
          </w:p>
        </w:tc>
        <w:tc>
          <w:tcPr/>
          <w:p>
            <w:pPr>
              <w:pStyle w:val="Compact"/>
            </w:pPr>
            <w:r>
              <w:t xml:space="preserve">Accès conditionnel selon l’état de l’appareil (chapitre 8)</w:t>
            </w:r>
          </w:p>
        </w:tc>
      </w:tr>
      <w:tr>
        <w:tc>
          <w:tcPr/>
          <w:p>
            <w:pPr>
              <w:pStyle w:val="Compact"/>
            </w:pPr>
            <w:r>
              <w:rPr>
                <w:b/>
                <w:bCs/>
              </w:rPr>
              <w:t xml:space="preserve">Moindre privilège strict</w:t>
            </w:r>
          </w:p>
        </w:tc>
        <w:tc>
          <w:tcPr/>
          <w:p>
            <w:pPr>
              <w:pStyle w:val="Compact"/>
            </w:pPr>
            <w:r>
              <w:t xml:space="preserve">Principe posé dès le chapitre 1, appliqué aux GPO (chapitre 7), à sudo/ACL (chapitre 18)</w:t>
            </w:r>
          </w:p>
        </w:tc>
      </w:tr>
      <w:tr>
        <w:tc>
          <w:tcPr/>
          <w:p>
            <w:pPr>
              <w:pStyle w:val="Compact"/>
            </w:pPr>
            <w:r>
              <w:rPr>
                <w:b/>
                <w:bCs/>
              </w:rPr>
              <w:t xml:space="preserve">Micro-segmentation</w:t>
            </w:r>
          </w:p>
        </w:tc>
        <w:tc>
          <w:tcPr/>
          <w:p>
            <w:pPr>
              <w:pStyle w:val="Compact"/>
            </w:pPr>
            <w:r>
              <w:t xml:space="preserve">Le bastion (chapitre 4) comme première étape, approfondi en Partie 11</w:t>
            </w:r>
          </w:p>
        </w:tc>
      </w:tr>
      <w:tr>
        <w:tc>
          <w:tcPr/>
          <w:p>
            <w:pPr>
              <w:pStyle w:val="Compact"/>
            </w:pPr>
            <w:r>
              <w:rPr>
                <w:b/>
                <w:bCs/>
              </w:rPr>
              <w:t xml:space="preserve">Chiffrement systématique</w:t>
            </w:r>
          </w:p>
        </w:tc>
        <w:tc>
          <w:tcPr/>
          <w:p>
            <w:pPr>
              <w:pStyle w:val="Compact"/>
            </w:pPr>
            <w:r>
              <w:t xml:space="preserve">TLS (chapitre 24), LDAPS (chapitre 22), jamais de service en clair</w:t>
            </w:r>
          </w:p>
        </w:tc>
      </w:tr>
      <w:tr>
        <w:tc>
          <w:tcPr/>
          <w:p>
            <w:pPr>
              <w:pStyle w:val="Compact"/>
            </w:pPr>
            <w:r>
              <w:rPr>
                <w:b/>
                <w:bCs/>
              </w:rPr>
              <w:t xml:space="preserve">Journalisation et surveillance continues</w:t>
            </w:r>
          </w:p>
        </w:tc>
        <w:tc>
          <w:tcPr/>
          <w:p>
            <w:pPr>
              <w:pStyle w:val="Compact"/>
            </w:pPr>
            <w:r>
              <w:t xml:space="preserve">Journalisation des accès distants (chapitre 4), des changements (chapitre 2)</w:t>
            </w:r>
          </w:p>
        </w:tc>
      </w:tr>
    </w:tbl>
    <w:p>
      <w:pPr>
        <w:pStyle w:val="BodyText"/>
      </w:pPr>
      <w:r>
        <w:t xml:space="preserve">🧠 À mémoriser — le Zero Trust n’est pas une nouveauté radicale pour toi</w:t>
      </w:r>
      <w:r>
        <w:t xml:space="preserve"> </w:t>
      </w:r>
      <w:r>
        <w:t xml:space="preserve">Si tu as suivi ce manuel depuis le chapitre 1, tu as déjà appliqué la plupart des principes fondamentaux du Zero Trust sans les nommer ainsi. Ce chapitre ne t’enseigne pas des techniques entièrement nouvelles — il te donne le</w:t>
      </w:r>
      <w:r>
        <w:t xml:space="preserve"> </w:t>
      </w:r>
      <w:r>
        <w:rPr>
          <w:b/>
          <w:bCs/>
        </w:rPr>
        <w:t xml:space="preserve">vocabulaire et le cadre conceptuel</w:t>
      </w:r>
      <w:r>
        <w:t xml:space="preserve"> </w:t>
      </w:r>
      <w:r>
        <w:t xml:space="preserve">pour organiser et communiquer une stratégie cohérente à partir de pratiques déjà en place, exactement la question que pose le DSI dans le scénario d’ouverture.</w:t>
      </w:r>
    </w:p>
    <w:bookmarkEnd w:id="637"/>
    <w:bookmarkStart w:id="641" w:name="X6cd7adda546699469491f011fc678e8ee345d80"/>
    <w:p>
      <w:pPr>
        <w:pStyle w:val="Heading2"/>
      </w:pPr>
      <w:r>
        <w:t xml:space="preserve">26.4 L’accès conditionnel : la mise en œuvre concrète du</w:t>
      </w:r>
      <w:r>
        <w:t xml:space="preserve"> </w:t>
      </w:r>
      <w:r>
        <w:t xml:space="preserve">“toujours vérifier”</w:t>
      </w:r>
    </w:p>
    <w:p>
      <w:pPr>
        <w:pStyle w:val="FirstParagraph"/>
      </w:pPr>
      <w:r>
        <w:t xml:space="preserve">Rappel direct du chapitre 8 : les politiques d’accès conditionnel d’Entra ID permettent d’exiger des conditions supplémentaires (MFA, appareil conforme, localisation)</w:t>
      </w:r>
      <w:r>
        <w:t xml:space="preserve"> </w:t>
      </w:r>
      <w:r>
        <w:rPr>
          <w:b/>
          <w:bCs/>
        </w:rPr>
        <w:t xml:space="preserve">selon le contexte réel</w:t>
      </w:r>
      <w:r>
        <w:t xml:space="preserve"> </w:t>
      </w:r>
      <w:r>
        <w:t xml:space="preserve">de chaque tentative d’accès, plutôt qu’une confiance uniforme une fois authentifié.</w:t>
      </w:r>
    </w:p>
    <w:p>
      <w:pPr>
        <w:pStyle w:val="CaptionedFigure"/>
      </w:pPr>
      <w:r>
        <w:drawing>
          <wp:inline>
            <wp:extent cx="5334000" cy="7020957"/>
            <wp:effectExtent b="0" l="0" r="0" t="0"/>
            <wp:docPr descr="Diagramme" title="" id="639" name="Picture"/>
            <a:graphic>
              <a:graphicData uri="http://schemas.openxmlformats.org/drawingml/2006/picture">
                <pic:pic>
                  <pic:nvPicPr>
                    <pic:cNvPr descr="C:/Users/ingja/Desktop/jarvis-starter-kit/livrables/formations/manuel-administration-systeme/assets/diagrams/d-26-zero-trust-principes-mise-en-oeuvre-diagramme-1.png" id="640" name="Picture"/>
                    <pic:cNvPicPr>
                      <a:picLocks noChangeArrowheads="1" noChangeAspect="1"/>
                    </pic:cNvPicPr>
                  </pic:nvPicPr>
                  <pic:blipFill>
                    <a:blip r:embed="rId638"/>
                    <a:stretch>
                      <a:fillRect/>
                    </a:stretch>
                  </pic:blipFill>
                  <pic:spPr bwMode="auto">
                    <a:xfrm>
                      <a:off x="0" y="0"/>
                      <a:ext cx="5334000" cy="7020957"/>
                    </a:xfrm>
                    <a:prstGeom prst="rect">
                      <a:avLst/>
                    </a:prstGeom>
                    <a:noFill/>
                    <a:ln w="9525">
                      <a:noFill/>
                      <a:headEnd/>
                      <a:tailEnd/>
                    </a:ln>
                  </pic:spPr>
                </pic:pic>
              </a:graphicData>
            </a:graphic>
          </wp:inline>
        </w:drawing>
      </w:r>
    </w:p>
    <w:p>
      <w:pPr>
        <w:pStyle w:val="ImageCaption"/>
      </w:pPr>
      <w:r>
        <w:t xml:space="preserve">Diagramme</w:t>
      </w:r>
    </w:p>
    <w:p>
      <w:pPr>
        <w:pStyle w:val="BodyText"/>
      </w:pPr>
      <w:r>
        <w:t xml:space="preserve">💡 Explication du schéma — vérifier à chaque étape, jamais une seule fois pour toute la session</w:t>
      </w:r>
      <w:r>
        <w:t xml:space="preserve"> </w:t>
      </w:r>
      <w:r>
        <w:t xml:space="preserve">Contrairement au modèle périmétrique où une authentification unique au périmètre suffit ensuite pour toute la session, le Zero Trust réévalue le contexte à chaque tentative d’accès à une ressource distincte — une connexion habituelle depuis le bureau de Port-au-Prince ne déclenche pas la même vigilance qu’une tentative soudaine depuis un pays inhabituel, même avec un mot de passe et un MFA techniquement valides.</w:t>
      </w:r>
    </w:p>
    <w:bookmarkEnd w:id="641"/>
    <w:bookmarkStart w:id="642" w:name="X11e6bc16ce474016b04747205462e721bedf69d"/>
    <w:p>
      <w:pPr>
        <w:pStyle w:val="Heading2"/>
      </w:pPr>
      <w:r>
        <w:t xml:space="preserve">26.5 Revisiter le bastion du chapitre 4 sous l’angle Zero Trust</w:t>
      </w:r>
    </w:p>
    <w:p>
      <w:pPr>
        <w:pStyle w:val="FirstParagraph"/>
      </w:pPr>
      <w:r>
        <w:t xml:space="preserve">⚠️ Le bastion seul n’est qu’une première étape, pas une solution Zero Trust complète</w:t>
      </w:r>
      <w:r>
        <w:t xml:space="preserve"> </w:t>
      </w:r>
      <w:r>
        <w:t xml:space="preserve">Le bastion du chapitre 4 réduit la surface d’attaque exposée à Internet à un seul point — une excellente pratique, mais qui, seule, reproduit encore une forme de modèle périmétrique à plus petite échelle : une fois le bastion franchi légitimement, quelle vérification supplémentaire s’applique à chaque serveur interne atteint ensuite ? Une architecture Zero Trust mature étend la vérification</w:t>
      </w:r>
      <w:r>
        <w:t xml:space="preserve"> </w:t>
      </w:r>
      <w:r>
        <w:rPr>
          <w:b/>
          <w:bCs/>
        </w:rPr>
        <w:t xml:space="preserve">au-delà</w:t>
      </w:r>
      <w:r>
        <w:t xml:space="preserve"> </w:t>
      </w:r>
      <w:r>
        <w:t xml:space="preserve">du bastion, jusqu’à chaque ressource individuelle — exactement la préoccupation soulevée par le DSI dans le scénario d’ouverture.</w:t>
      </w:r>
    </w:p>
    <w:p>
      <w:pPr>
        <w:pStyle w:val="BodyText"/>
      </w:pPr>
      <w:r>
        <w:t xml:space="preserve">✅ Bonne pratique — combiner bastion ET vérification continue au-delà</w:t>
      </w:r>
      <w:r>
        <w:t xml:space="preserve"> </w:t>
      </w:r>
      <w:r>
        <w:t xml:space="preserve">Le bastion reste une brique utile et recommandée (il reste plus simple de sécuriser un seul point d’entrée qu’une multitude), mais il doit être complété par une segmentation réseau plus fine (Partie 11) et par des contrôles d’accès qui ne présument jamais qu’un utilisateur</w:t>
      </w:r>
      <w:r>
        <w:t xml:space="preserve"> </w:t>
      </w:r>
      <w:r>
        <w:t xml:space="preserve">“déjà entré”</w:t>
      </w:r>
      <w:r>
        <w:t xml:space="preserve"> </w:t>
      </w:r>
      <w:r>
        <w:t xml:space="preserve">a automatiquement le droit d’accéder à tout ce qui se trouve derrière — le principe du moindre privilège, appliqué non seulement aux comptes (chapitre 1) mais à l’architecture réseau elle-même.</w:t>
      </w:r>
    </w:p>
    <w:bookmarkEnd w:id="642"/>
    <w:bookmarkStart w:id="646" w:name="X20d7803608da80aa79bb6c5cf206acfd4aaa95c"/>
    <w:p>
      <w:pPr>
        <w:pStyle w:val="Heading2"/>
      </w:pPr>
      <w:r>
        <w:t xml:space="preserve">26.6 Une feuille de route réaliste, pas un projet</w:t>
      </w:r>
      <w:r>
        <w:t xml:space="preserve"> </w:t>
      </w:r>
      <w:r>
        <w:t xml:space="preserve">“big bang”</w:t>
      </w:r>
    </w:p>
    <w:p>
      <w:pPr>
        <w:pStyle w:val="FirstParagraph"/>
      </w:pPr>
      <w:r>
        <w:t xml:space="preserve">❌ Mauvaise pratique — annoncer</w:t>
      </w:r>
      <w:r>
        <w:t xml:space="preserve"> </w:t>
      </w:r>
      <w:r>
        <w:t xml:space="preserve">“on passe au Zero Trust”</w:t>
      </w:r>
      <w:r>
        <w:t xml:space="preserve"> </w:t>
      </w:r>
      <w:r>
        <w:t xml:space="preserve">comme un projet unique</w:t>
      </w:r>
      <w:r>
        <w:t xml:space="preserve"> </w:t>
      </w:r>
      <w:r>
        <w:t xml:space="preserve">Le Zero Trust n’est pas un interrupteur binaire qu’on active un jour donné — c’est un ensemble de pratiques qui se déploient progressivement, exactement comme la plupart des chantiers de sécurité de ce manuel (le durcissement RDP du chapitre 4, l’extension du MFA du chapitre 25). Annoncer un</w:t>
      </w:r>
      <w:r>
        <w:t xml:space="preserve"> </w:t>
      </w:r>
      <w:r>
        <w:t xml:space="preserve">“projet Zero Trust”</w:t>
      </w:r>
      <w:r>
        <w:t xml:space="preserve"> </w:t>
      </w:r>
      <w:r>
        <w:t xml:space="preserve">monolithique risque de créer des attentes irréalistes et un chantier qui s’enlise, plutôt que des progrès mesurables.</w:t>
      </w:r>
    </w:p>
    <w:p>
      <w:pPr>
        <w:pStyle w:val="CaptionedFigure"/>
      </w:pPr>
      <w:r>
        <w:drawing>
          <wp:inline>
            <wp:extent cx="5334000" cy="1172837"/>
            <wp:effectExtent b="0" l="0" r="0" t="0"/>
            <wp:docPr descr="Diagramme" title="" id="644" name="Picture"/>
            <a:graphic>
              <a:graphicData uri="http://schemas.openxmlformats.org/drawingml/2006/picture">
                <pic:pic>
                  <pic:nvPicPr>
                    <pic:cNvPr descr="C:/Users/ingja/Desktop/jarvis-starter-kit/livrables/formations/manuel-administration-systeme/assets/diagrams/d-26-zero-trust-principes-mise-en-oeuvre-diagramme-2.png" id="645" name="Picture"/>
                    <pic:cNvPicPr>
                      <a:picLocks noChangeArrowheads="1" noChangeAspect="1"/>
                    </pic:cNvPicPr>
                  </pic:nvPicPr>
                  <pic:blipFill>
                    <a:blip r:embed="rId643"/>
                    <a:stretch>
                      <a:fillRect/>
                    </a:stretch>
                  </pic:blipFill>
                  <pic:spPr bwMode="auto">
                    <a:xfrm>
                      <a:off x="0" y="0"/>
                      <a:ext cx="5334000" cy="1172837"/>
                    </a:xfrm>
                    <a:prstGeom prst="rect">
                      <a:avLst/>
                    </a:prstGeom>
                    <a:noFill/>
                    <a:ln w="9525">
                      <a:noFill/>
                      <a:headEnd/>
                      <a:tailEnd/>
                    </a:ln>
                  </pic:spPr>
                </pic:pic>
              </a:graphicData>
            </a:graphic>
          </wp:inline>
        </w:drawing>
      </w:r>
    </w:p>
    <w:p>
      <w:pPr>
        <w:pStyle w:val="ImageCaption"/>
      </w:pPr>
      <w:r>
        <w:t xml:space="preserve">Diagramme</w:t>
      </w:r>
    </w:p>
    <w:p>
      <w:pPr>
        <w:pStyle w:val="BodyText"/>
      </w:pPr>
      <w:r>
        <w:t xml:space="preserve">✅ Bonne pratique — répondre au DSI avec une feuille de route, pas une promesse</w:t>
      </w:r>
      <w:r>
        <w:t xml:space="preserve"> </w:t>
      </w:r>
      <w:r>
        <w:t xml:space="preserve">Face à la question du scénario d’ouverture, la bonne réponse n’est pas</w:t>
      </w:r>
      <w:r>
        <w:t xml:space="preserve"> </w:t>
      </w:r>
      <w:r>
        <w:t xml:space="preserve">“on va installer du Zero Trust”</w:t>
      </w:r>
      <w:r>
        <w:t xml:space="preserve">, mais une feuille de route concrète : ce qui est déjà en place (MFA sur les comptes privilégiés, bastion), ce qui vient ensuite (accès conditionnel étendu à tous les utilisateurs), et ce qui reste à construire (segmentation réseau plus fine, approfondie en Partie 11, et surveillance continue, approfondie en Partie 12) — exactement le principe directeur ITIL</w:t>
      </w:r>
      <w:r>
        <w:t xml:space="preserve"> </w:t>
      </w:r>
      <w:r>
        <w:t xml:space="preserve">“progresser de manière itérative avec un retour d’information”</w:t>
      </w:r>
      <w:r>
        <w:t xml:space="preserve"> </w:t>
      </w:r>
      <w:r>
        <w:t xml:space="preserve">du chapitre 2, appliqué ici à la stratégie de sécurité globale.</w:t>
      </w:r>
    </w:p>
    <w:bookmarkEnd w:id="646"/>
    <w:bookmarkStart w:id="647" w:name="X2f8b86b5ebf1fa52ed5ea2c9039d0f6aa2b9991"/>
    <w:p>
      <w:pPr>
        <w:pStyle w:val="Heading2"/>
      </w:pPr>
      <w:r>
        <w:t xml:space="preserve">26.7 Le piège du Zero Trust comme argument marketing vide</w:t>
      </w:r>
    </w:p>
    <w:p>
      <w:pPr>
        <w:pStyle w:val="FirstParagraph"/>
      </w:pPr>
      <w:r>
        <w:t xml:space="preserve">⚠️ Se méfier des produits vendus comme</w:t>
      </w:r>
      <w:r>
        <w:t xml:space="preserve"> </w:t>
      </w:r>
      <w:r>
        <w:t xml:space="preserve">“solution Zero Trust clé en main”</w:t>
      </w:r>
      <w:r>
        <w:t xml:space="preserve"> </w:t>
      </w:r>
      <w:r>
        <w:t xml:space="preserve">De nombreux fournisseurs commercialisent des produits sous l’étiquette</w:t>
      </w:r>
      <w:r>
        <w:t xml:space="preserve"> </w:t>
      </w:r>
      <w:r>
        <w:t xml:space="preserve">“Zero Trust”</w:t>
      </w:r>
      <w:r>
        <w:t xml:space="preserve"> </w:t>
      </w:r>
      <w:r>
        <w:t xml:space="preserve">— un vocabulaire qui s’est largement répandu dans le marketing de la cybersécurité. Aucun produit unique n’implémente à lui seul une véritable posture Zero Trust : c’est la combinaison cohérente de plusieurs pratiques (section 26.3), pas un achat ponctuel, qui construit réellement cette philosophie. Évaluer un outil selon ce qu’il apporte concrètement à l’un des piliers de la section 26.3, plutôt que selon son étiquette marketing, reste le réflexe critique à conserver.</w:t>
      </w:r>
    </w:p>
    <w:bookmarkEnd w:id="647"/>
    <w:bookmarkStart w:id="648" w:name="X17329d868c3533e7ded12c32c7c53b7b3c0e827"/>
    <w:p>
      <w:pPr>
        <w:pStyle w:val="Heading2"/>
      </w:pPr>
      <w:r>
        <w:t xml:space="preserve">Atelier — Construire la feuille de route Zero Trust de l’entreprise</w:t>
      </w:r>
    </w:p>
    <w:p>
      <w:pPr>
        <w:pStyle w:val="FirstParagraph"/>
      </w:pPr>
      <w:r>
        <w:t xml:space="preserve">🛠️ Atelier 26 — Répondre au DSI avec une feuille de route concrète</w:t>
      </w:r>
    </w:p>
    <w:p>
      <w:pPr>
        <w:pStyle w:val="BodyText"/>
      </w:pPr>
      <w:r>
        <w:rPr>
          <w:b/>
          <w:bCs/>
        </w:rPr>
        <w:t xml:space="preserve">Objectif</w:t>
      </w:r>
      <w:r>
        <w:t xml:space="preserve"> </w:t>
      </w:r>
      <w:r>
        <w:t xml:space="preserve">: synthétiser l’ensemble des chapitres précédents en une feuille de route Zero Trust réaliste, répondant directement à la question du scénario d’ouverture.</w:t>
      </w:r>
    </w:p>
    <w:p>
      <w:pPr>
        <w:pStyle w:val="BodyText"/>
      </w:pPr>
      <w:r>
        <w:rPr>
          <w:b/>
          <w:bCs/>
        </w:rPr>
        <w:t xml:space="preserve">Préparation</w:t>
      </w:r>
      <w:r>
        <w:t xml:space="preserve"> </w:t>
      </w:r>
      <w:r>
        <w:t xml:space="preserve">: aucune installation nécessaire — cet atelier est un exercice de synthèse.</w:t>
      </w:r>
    </w:p>
    <w:p>
      <w:pPr>
        <w:pStyle w:val="BodyText"/>
      </w:pPr>
      <w:r>
        <w:rPr>
          <w:b/>
          <w:bCs/>
        </w:rPr>
        <w:t xml:space="preserve">Étapes détaillées</w:t>
      </w:r>
      <w:r>
        <w:t xml:space="preserve"> </w:t>
      </w:r>
      <w:r>
        <w:t xml:space="preserve">:</w:t>
      </w:r>
    </w:p>
    <w:p>
      <w:pPr>
        <w:pStyle w:val="Compact"/>
        <w:numPr>
          <w:ilvl w:val="0"/>
          <w:numId w:val="1597"/>
        </w:numPr>
      </w:pPr>
      <w:r>
        <w:t xml:space="preserve">Liste, pour chaque pilier du tableau de la section 26.3, ce qui est déjà en place dans l’entreprise d’après les chapitres précédents de ce manuel.</w:t>
      </w:r>
    </w:p>
    <w:p>
      <w:pPr>
        <w:pStyle w:val="Compact"/>
        <w:numPr>
          <w:ilvl w:val="0"/>
          <w:numId w:val="1597"/>
        </w:numPr>
      </w:pPr>
      <w:r>
        <w:t xml:space="preserve">Identifie, pour chaque pilier, une prochaine étape concrète et réaliste, en t’inspirant de la feuille de route de la section 26.6.</w:t>
      </w:r>
    </w:p>
    <w:p>
      <w:pPr>
        <w:pStyle w:val="Compact"/>
        <w:numPr>
          <w:ilvl w:val="0"/>
          <w:numId w:val="1597"/>
        </w:numPr>
      </w:pPr>
      <w:r>
        <w:t xml:space="preserve">Rédige une réponse de 5 à 6 phrases au DSI, qui reconnaît la validité de sa préoccupation tout en présentant une feuille de route plutôt qu’une promesse de solution instantanée.</w:t>
      </w:r>
    </w:p>
    <w:p>
      <w:pPr>
        <w:pStyle w:val="Compact"/>
        <w:numPr>
          <w:ilvl w:val="0"/>
          <w:numId w:val="1597"/>
        </w:numPr>
      </w:pPr>
      <w:r>
        <w:t xml:space="preserve">Compare ta démarche à la section</w:t>
      </w:r>
      <w:r>
        <w:t xml:space="preserve"> </w:t>
      </w:r>
      <w:r>
        <w:t xml:space="preserve">“Résultat attendu”</w:t>
      </w:r>
      <w:r>
        <w:t xml:space="preserve">.</w:t>
      </w:r>
    </w:p>
    <w:p>
      <w:pPr>
        <w:pStyle w:val="FirstParagraph"/>
      </w:pPr>
      <w:r>
        <w:rPr>
          <w:b/>
          <w:bCs/>
        </w:rPr>
        <w:t xml:space="preserve">Résultat attendu</w:t>
      </w:r>
      <w:r>
        <w:t xml:space="preserve"> </w:t>
      </w:r>
      <w:r>
        <w:t xml:space="preserve">: le tableau de la section 26.3 sert de base directe. La réponse au DSI reconnaît que le mouvement latéral après une compromission du périmètre est un risque réel non encore entièrement couvert, présente les progrès déjà réalisés (MFA, bastion, chiffrement systématique) comme les fondations déjà posées, et propose une feuille de route progressive (accès conditionnel généralisé, puis segmentation réseau plus fine en Partie 11, puis surveillance continue en Partie 12) plutôt qu’un projet flou et non planifié.</w:t>
      </w:r>
    </w:p>
    <w:p>
      <w:pPr>
        <w:pStyle w:val="BodyText"/>
      </w:pPr>
      <w:r>
        <w:rPr>
          <w:b/>
          <w:bCs/>
        </w:rPr>
        <w:t xml:space="preserve">Dépannage</w:t>
      </w:r>
      <w:r>
        <w:t xml:space="preserve"> </w:t>
      </w:r>
      <w:r>
        <w:t xml:space="preserve">: si ta réponse au DSI ressemble à une promesse vague (</w:t>
      </w:r>
      <w:r>
        <w:t xml:space="preserve">“on va sécuriser tout ça”</w:t>
      </w:r>
      <w:r>
        <w:t xml:space="preserve">), reviens à la section 26.6 et transforme chaque affirmation en une étape concrète, avec une brique technique précise déjà couverte ou à venir dans ce manuel.</w:t>
      </w:r>
    </w:p>
    <w:bookmarkEnd w:id="648"/>
    <w:bookmarkStart w:id="649" w:name="erreurs-fréquentes-25"/>
    <w:p>
      <w:pPr>
        <w:pStyle w:val="Heading2"/>
      </w:pPr>
      <w:r>
        <w:t xml:space="preserve">Erreurs fréquentes</w:t>
      </w:r>
    </w:p>
    <w:p>
      <w:pPr>
        <w:pStyle w:val="FirstParagraph"/>
      </w:pPr>
      <w:r>
        <w:t xml:space="preserve">⚠️ Erreur n°1 — traiter le Zero Trust comme un produit à acheter</w:t>
      </w:r>
      <w:r>
        <w:t xml:space="preserve"> </w:t>
      </w:r>
      <w:r>
        <w:t xml:space="preserve">Rappel de la section 26.7 : aucun produit unique n’implémente à lui seul une posture Zero Trust complète — c’est la cohérence de plusieurs pratiques combinées qui compte.</w:t>
      </w:r>
    </w:p>
    <w:p>
      <w:pPr>
        <w:pStyle w:val="BodyText"/>
      </w:pPr>
      <w:r>
        <w:t xml:space="preserve">⚠️ Erreur n°2 — annoncer un projet Zero Trust</w:t>
      </w:r>
      <w:r>
        <w:t xml:space="preserve"> </w:t>
      </w:r>
      <w:r>
        <w:t xml:space="preserve">“big bang”</w:t>
      </w:r>
      <w:r>
        <w:t xml:space="preserve"> </w:t>
      </w:r>
      <w:r>
        <w:t xml:space="preserve">Rappel de la section 26.6 : un déploiement progressif, mesurable étape par étape, réussit bien mieux qu’une transformation annoncée comme instantanée et globale.</w:t>
      </w:r>
    </w:p>
    <w:p>
      <w:pPr>
        <w:pStyle w:val="BodyText"/>
      </w:pPr>
      <w:r>
        <w:t xml:space="preserve">⚠️ Erreur n°3 — négliger les comptes de service dans une stratégie Zero Trust</w:t>
      </w:r>
      <w:r>
        <w:t xml:space="preserve"> </w:t>
      </w:r>
      <w:r>
        <w:t xml:space="preserve">Rappel indirect du chapitre 25 (section sur les comptes de service) : le Zero Trust doit s’appliquer autant aux comptes humains qu’aux comptes de service automatisés, souvent négligés parce qu’ils échappent au MFA interactif classique — une lacune fréquente d’une stratégie qui se concentre uniquement sur les utilisateurs humains.</w:t>
      </w:r>
    </w:p>
    <w:bookmarkEnd w:id="649"/>
    <w:bookmarkStart w:id="650" w:name="X485977a22855e36c631ac8ef67f09e71ca3ce75"/>
    <w:p>
      <w:pPr>
        <w:pStyle w:val="Heading2"/>
      </w:pPr>
      <w:r>
        <w:t xml:space="preserve">Diagnostiquer les hypothèses de confiance implicite existantes</w:t>
      </w:r>
    </w:p>
    <w:p>
      <w:pPr>
        <w:pStyle w:val="FirstParagraph"/>
      </w:pPr>
      <w:r>
        <w:t xml:space="preserve">🩺 Situation :</w:t>
      </w:r>
      <w:r>
        <w:t xml:space="preserve"> </w:t>
      </w:r>
      <w:r>
        <w:t xml:space="preserve">“Comment savoir si notre organisation a encore des angles morts de confiance implicite ?”</w:t>
      </w:r>
    </w:p>
    <w:p>
      <w:pPr>
        <w:pStyle w:val="Compact"/>
        <w:numPr>
          <w:ilvl w:val="0"/>
          <w:numId w:val="1598"/>
        </w:numPr>
      </w:pPr>
      <w:r>
        <w:rPr>
          <w:b/>
          <w:bCs/>
        </w:rPr>
        <w:t xml:space="preserve">Diagnostic</w:t>
      </w:r>
      <w:r>
        <w:t xml:space="preserve"> </w:t>
      </w:r>
      <w:r>
        <w:t xml:space="preserve">: identifier chaque endroit où un accès est accordé</w:t>
      </w:r>
      <w:r>
        <w:t xml:space="preserve"> </w:t>
      </w:r>
      <w:r>
        <w:t xml:space="preserve">“parce qu’on est déjà à l’intérieur”</w:t>
      </w:r>
      <w:r>
        <w:t xml:space="preserve"> </w:t>
      </w:r>
      <w:r>
        <w:t xml:space="preserve">du réseau, sans vérification supplémentaire — un audit de la CMDB (chapitre 3) et des règles de pare-feu internes (Partie 11) révèle souvent ces angles morts.</w:t>
      </w:r>
    </w:p>
    <w:p>
      <w:pPr>
        <w:pStyle w:val="Compact"/>
        <w:numPr>
          <w:ilvl w:val="0"/>
          <w:numId w:val="1598"/>
        </w:numPr>
      </w:pPr>
      <w:r>
        <w:rPr>
          <w:b/>
          <w:bCs/>
        </w:rPr>
        <w:t xml:space="preserve">Comment vérifier</w:t>
      </w:r>
      <w:r>
        <w:t xml:space="preserve"> </w:t>
      </w:r>
      <w:r>
        <w:t xml:space="preserve">: se poser systématiquement la question</w:t>
      </w:r>
      <w:r>
        <w:t xml:space="preserve"> </w:t>
      </w:r>
      <w:r>
        <w:t xml:space="preserve">“si un attaquant obtenait ce niveau d’accès précis, jusqu’où pourrait-il aller sans rencontrer de vérification supplémentaire ?”</w:t>
      </w:r>
      <w:r>
        <w:t xml:space="preserve"> </w:t>
      </w:r>
      <w:r>
        <w:t xml:space="preserve">pour chaque segment du réseau et chaque type de compte.</w:t>
      </w:r>
    </w:p>
    <w:p>
      <w:pPr>
        <w:pStyle w:val="Compact"/>
        <w:numPr>
          <w:ilvl w:val="0"/>
          <w:numId w:val="1598"/>
        </w:numPr>
      </w:pPr>
      <w:r>
        <w:rPr>
          <w:b/>
          <w:bCs/>
        </w:rPr>
        <w:t xml:space="preserve">Résolution</w:t>
      </w:r>
      <w:r>
        <w:t xml:space="preserve"> </w:t>
      </w:r>
      <w:r>
        <w:t xml:space="preserve">: prioriser la correction des angles morts les plus critiques en premier (comptes à privilège élevé, accès aux données les plus sensibles), suivant la même logique de priorisation impact/urgence déjà vue au chapitre 2, plutôt que de tenter de tout corriger simultanément.</w:t>
      </w:r>
    </w:p>
    <w:bookmarkEnd w:id="650"/>
    <w:bookmarkStart w:id="651" w:name="en-entreprise-25"/>
    <w:p>
      <w:pPr>
        <w:pStyle w:val="Heading2"/>
      </w:pPr>
      <w:r>
        <w:t xml:space="preserve">En entreprise</w:t>
      </w:r>
    </w:p>
    <w:p>
      <w:pPr>
        <w:pStyle w:val="Compact"/>
        <w:numPr>
          <w:ilvl w:val="0"/>
          <w:numId w:val="1599"/>
        </w:numPr>
      </w:pPr>
      <w:r>
        <w:rPr>
          <w:b/>
          <w:bCs/>
        </w:rPr>
        <w:t xml:space="preserve">Bonne pratique répandue</w:t>
      </w:r>
      <w:r>
        <w:t xml:space="preserve"> </w:t>
      </w:r>
      <w:r>
        <w:t xml:space="preserve">: présenter le Zero Trust à la direction comme une feuille de route progressive avec des jalons mesurables, plutôt qu’un projet flou risquant de perdre en crédibilité s’il ne produit pas de résultat visible rapidement.</w:t>
      </w:r>
    </w:p>
    <w:p>
      <w:pPr>
        <w:pStyle w:val="Compact"/>
        <w:numPr>
          <w:ilvl w:val="0"/>
          <w:numId w:val="1599"/>
        </w:numPr>
      </w:pPr>
      <w:r>
        <w:rPr>
          <w:b/>
          <w:bCs/>
        </w:rPr>
        <w:t xml:space="preserve">Bonne pratique répandue</w:t>
      </w:r>
      <w:r>
        <w:t xml:space="preserve"> </w:t>
      </w:r>
      <w:r>
        <w:t xml:space="preserve">: auditer régulièrement les comptes de service et les accès automatisés, souvent les grands oubliés d’une stratégie Zero Trust centrée uniquement sur les utilisateurs humains.</w:t>
      </w:r>
    </w:p>
    <w:p>
      <w:pPr>
        <w:pStyle w:val="Compact"/>
        <w:numPr>
          <w:ilvl w:val="0"/>
          <w:numId w:val="1599"/>
        </w:numPr>
      </w:pPr>
      <w:r>
        <w:rPr>
          <w:b/>
          <w:bCs/>
        </w:rPr>
        <w:t xml:space="preserve">Erreur classique observée</w:t>
      </w:r>
      <w:r>
        <w:t xml:space="preserve"> </w:t>
      </w:r>
      <w:r>
        <w:t xml:space="preserve">: l’achat d’un produit marketé</w:t>
      </w:r>
      <w:r>
        <w:t xml:space="preserve"> </w:t>
      </w:r>
      <w:r>
        <w:t xml:space="preserve">“Zero Trust”</w:t>
      </w:r>
      <w:r>
        <w:t xml:space="preserve"> </w:t>
      </w:r>
      <w:r>
        <w:t xml:space="preserve">sans changement réel des pratiques internes (toujours des comptes partagés, toujours une confiance implicite une fois le VPN connecté) — un habillage cosmétique plutôt qu’une transformation réelle de la posture de sécurité.</w:t>
      </w:r>
    </w:p>
    <w:bookmarkEnd w:id="651"/>
    <w:bookmarkStart w:id="652" w:name="entretien-technique-25"/>
    <w:p>
      <w:pPr>
        <w:pStyle w:val="Heading2"/>
      </w:pPr>
      <w:r>
        <w:t xml:space="preserve">Entretien technique</w:t>
      </w:r>
    </w:p>
    <w:p>
      <w:pPr>
        <w:pStyle w:val="FirstParagraph"/>
      </w:pPr>
      <w:r>
        <w:t xml:space="preserve">💼 Questions fréquemment posées en entretien</w:t>
      </w:r>
    </w:p>
    <w:p>
      <w:pPr>
        <w:pStyle w:val="BodyText"/>
      </w:pPr>
      <w:r>
        <w:rPr>
          <w:b/>
          <w:bCs/>
        </w:rPr>
        <w:t xml:space="preserve">Q1.</w:t>
      </w:r>
      <w:r>
        <w:rPr>
          <w:b/>
          <w:bCs/>
        </w:rPr>
        <w:t xml:space="preserve"> </w:t>
      </w:r>
      <w:r>
        <w:rPr>
          <w:b/>
          <w:bCs/>
        </w:rPr>
        <w:t xml:space="preserve">“Explique le principe du Zero Trust en une phrase, et donne un exemple concret de sa mise en œuvre.”</w:t>
      </w:r>
      <w:r>
        <w:t xml:space="preserve"> </w:t>
      </w:r>
      <w:r>
        <w:t xml:space="preserve">Réponse attendue :</w:t>
      </w:r>
      <w:r>
        <w:t xml:space="preserve"> </w:t>
      </w:r>
      <w:r>
        <w:t xml:space="preserve">“Never trust, always verify”</w:t>
      </w:r>
      <w:r>
        <w:t xml:space="preserve"> </w:t>
      </w:r>
      <w:r>
        <w:t xml:space="preserve">— ne jamais accorder de confiance implicite, vérifier explicitement chaque accès. Exemple concret : l’accès conditionnel Entra ID (chapitre 8), qui réévalue le contexte de chaque tentative de connexion plutôt que de faire confiance indéfiniment après une authentification unique.</w:t>
      </w:r>
    </w:p>
    <w:p>
      <w:pPr>
        <w:pStyle w:val="BodyText"/>
      </w:pPr>
      <w:r>
        <w:rPr>
          <w:b/>
          <w:bCs/>
        </w:rPr>
        <w:t xml:space="preserve">Q2.</w:t>
      </w:r>
      <w:r>
        <w:rPr>
          <w:b/>
          <w:bCs/>
        </w:rPr>
        <w:t xml:space="preserve"> </w:t>
      </w:r>
      <w:r>
        <w:rPr>
          <w:b/>
          <w:bCs/>
        </w:rPr>
        <w:t xml:space="preserve">“Pourquoi le modèle de sécurité périmétrique traditionnel (</w:t>
      </w:r>
      <w:r>
        <w:rPr>
          <w:b/>
          <w:bCs/>
        </w:rPr>
        <w:t xml:space="preserve">‘château fort et douves’</w:t>
      </w:r>
      <w:r>
        <w:rPr>
          <w:b/>
          <w:bCs/>
        </w:rPr>
        <w:t xml:space="preserve">) ne suffit-il plus ?”</w:t>
      </w:r>
      <w:r>
        <w:t xml:space="preserve"> </w:t>
      </w:r>
      <w:r>
        <w:t xml:space="preserve">Réponse attendue : le travail à distance, le cloud hybride et les partenaires externes ont rendu la frontière entre</w:t>
      </w:r>
      <w:r>
        <w:t xml:space="preserve"> </w:t>
      </w:r>
      <w:r>
        <w:t xml:space="preserve">“intérieur”</w:t>
      </w:r>
      <w:r>
        <w:t xml:space="preserve"> </w:t>
      </w:r>
      <w:r>
        <w:t xml:space="preserve">et</w:t>
      </w:r>
      <w:r>
        <w:t xml:space="preserve"> </w:t>
      </w:r>
      <w:r>
        <w:t xml:space="preserve">“extérieur”</w:t>
      </w:r>
      <w:r>
        <w:t xml:space="preserve"> </w:t>
      </w:r>
      <w:r>
        <w:t xml:space="preserve">du réseau de plus en plus floue ; de plus, un attaquant qui franchit une seule fois le périmètre peut ensuite se déplacer relativement librement si la confiance interne n’est jamais revérifiée (mouvement latéral).</w:t>
      </w:r>
    </w:p>
    <w:p>
      <w:pPr>
        <w:pStyle w:val="BodyText"/>
      </w:pPr>
      <w:r>
        <w:rPr>
          <w:b/>
          <w:bCs/>
        </w:rPr>
        <w:t xml:space="preserve">Q3.</w:t>
      </w:r>
      <w:r>
        <w:rPr>
          <w:b/>
          <w:bCs/>
        </w:rPr>
        <w:t xml:space="preserve"> </w:t>
      </w:r>
      <w:r>
        <w:rPr>
          <w:b/>
          <w:bCs/>
        </w:rPr>
        <w:t xml:space="preserve">“Le Zero Trust est-il un produit qu’on peut acheter et installer ?”</w:t>
      </w:r>
      <w:r>
        <w:t xml:space="preserve"> </w:t>
      </w:r>
      <w:r>
        <w:t xml:space="preserve">Réponse attendue : non, c’est une philosophie de sécurité qui se traduit par la combinaison cohérente de plusieurs pratiques (identité forte, appareils vérifiés, moindre privilège, segmentation, chiffrement, surveillance) — aucun produit unique ne peut, à lui seul, constituer une posture Zero Trust complète.</w:t>
      </w:r>
    </w:p>
    <w:bookmarkEnd w:id="652"/>
    <w:bookmarkStart w:id="653" w:name="X52e19bf5f7df873c6ee3d7c6796ca3174bee7cf"/>
    <w:p>
      <w:pPr>
        <w:pStyle w:val="Heading2"/>
      </w:pPr>
      <w:r>
        <w:t xml:space="preserve">Optimisation, sécurité et maintenabilité — les réflexes dès ce chapitre</w:t>
      </w:r>
    </w:p>
    <w:p>
      <w:pPr>
        <w:pStyle w:val="FirstParagraph"/>
      </w:pPr>
      <w:r>
        <w:t xml:space="preserve">🔒 Sécurité</w:t>
      </w:r>
      <w:r>
        <w:t xml:space="preserve"> </w:t>
      </w:r>
      <w:r>
        <w:t xml:space="preserve">Traite chaque nouvelle ressource, chaque nouveau service, avec la question systématique</w:t>
      </w:r>
      <w:r>
        <w:t xml:space="preserve"> </w:t>
      </w:r>
      <w:r>
        <w:t xml:space="preserve">“qui devrait vraiment y avoir accès, et comment cet accès sera-t-il vérifié à chaque fois ?”</w:t>
      </w:r>
      <w:r>
        <w:t xml:space="preserve"> </w:t>
      </w:r>
      <w:r>
        <w:t xml:space="preserve">plutôt que de présumer qu’une appartenance générale au réseau de l’entreprise suffit — le réflexe central de ce chapitre, applicable à toute décision d’architecture future.</w:t>
      </w:r>
    </w:p>
    <w:p>
      <w:pPr>
        <w:pStyle w:val="BodyText"/>
      </w:pPr>
      <w:r>
        <w:t xml:space="preserve">✅ Maintenabilité</w:t>
      </w:r>
      <w:r>
        <w:t xml:space="preserve"> </w:t>
      </w:r>
      <w:r>
        <w:t xml:space="preserve">Documente (chapitre 3) la feuille de route Zero Trust de l’organisation comme un document vivant, mis à jour à chaque étape franchie — exactement le type de document stratégique qui justifie et oriente les décisions d’architecture futures, plutôt qu’une intention jamais formalisée.</w:t>
      </w:r>
    </w:p>
    <w:p>
      <w:pPr>
        <w:pStyle w:val="BodyText"/>
      </w:pPr>
      <w:r>
        <w:t xml:space="preserve">🚀 Performance</w:t>
      </w:r>
      <w:r>
        <w:t xml:space="preserve"> </w:t>
      </w:r>
      <w:r>
        <w:t xml:space="preserve">Une vérification excessive et mal calibrée (redemander le MFA à chaque clic, par exemple) dégraderait l’expérience utilisateur au point de pousser à des contournements risqués — l’accès conditionnel (section 26.4) permet justement de calibrer la vérification selon le risque réel du contexte, plutôt que d’appliquer une friction uniforme et excessive partout.</w:t>
      </w:r>
    </w:p>
    <w:bookmarkEnd w:id="653"/>
    <w:bookmarkStart w:id="654" w:name="résumé-du-chapitre-25"/>
    <w:p>
      <w:pPr>
        <w:pStyle w:val="Heading2"/>
      </w:pPr>
      <w:r>
        <w:t xml:space="preserve">Résumé du chapitre</w:t>
      </w:r>
    </w:p>
    <w:p>
      <w:pPr>
        <w:pStyle w:val="Compact"/>
        <w:numPr>
          <w:ilvl w:val="0"/>
          <w:numId w:val="1600"/>
        </w:numPr>
      </w:pPr>
      <w:r>
        <w:t xml:space="preserve">Le Zero Trust part du principe qu’aucune confiance implicite ne doit être accordée, ni à l’intérieur ni à l’extérieur du réseau — chaque accès doit être explicitement vérifié.</w:t>
      </w:r>
    </w:p>
    <w:p>
      <w:pPr>
        <w:pStyle w:val="Compact"/>
        <w:numPr>
          <w:ilvl w:val="0"/>
          <w:numId w:val="1600"/>
        </w:numPr>
      </w:pPr>
      <w:r>
        <w:t xml:space="preserve">Le modèle périmétrique traditionnel (</w:t>
      </w:r>
      <w:r>
        <w:t xml:space="preserve">“château fort et douves”</w:t>
      </w:r>
      <w:r>
        <w:t xml:space="preserve">) ne suffit plus face au travail à distance, au cloud hybride et au risque de mouvement latéral après une compromission du périmètre.</w:t>
      </w:r>
    </w:p>
    <w:p>
      <w:pPr>
        <w:pStyle w:val="Compact"/>
        <w:numPr>
          <w:ilvl w:val="0"/>
          <w:numId w:val="1600"/>
        </w:numPr>
      </w:pPr>
      <w:r>
        <w:t xml:space="preserve">Les piliers du Zero Trust (identité forte, appareils vérifiés, moindre privilège, segmentation, chiffrement, surveillance) ont déjà été construits progressivement tout au long de ce manuel.</w:t>
      </w:r>
    </w:p>
    <w:p>
      <w:pPr>
        <w:pStyle w:val="Compact"/>
        <w:numPr>
          <w:ilvl w:val="0"/>
          <w:numId w:val="1600"/>
        </w:numPr>
      </w:pPr>
      <w:r>
        <w:t xml:space="preserve">L’accès conditionnel réévalue le contexte à chaque tentative d’accès, plutôt qu’une confiance uniforme après une authentification unique.</w:t>
      </w:r>
    </w:p>
    <w:p>
      <w:pPr>
        <w:pStyle w:val="Compact"/>
        <w:numPr>
          <w:ilvl w:val="0"/>
          <w:numId w:val="1600"/>
        </w:numPr>
      </w:pPr>
      <w:r>
        <w:t xml:space="preserve">Le Zero Trust se déploie progressivement via une feuille de route mesurable, jamais comme un projet</w:t>
      </w:r>
      <w:r>
        <w:t xml:space="preserve"> </w:t>
      </w:r>
      <w:r>
        <w:t xml:space="preserve">“big bang”</w:t>
      </w:r>
      <w:r>
        <w:t xml:space="preserve"> </w:t>
      </w:r>
      <w:r>
        <w:t xml:space="preserve">ni un produit unique à acheter.</w:t>
      </w:r>
    </w:p>
    <w:bookmarkEnd w:id="654"/>
    <w:bookmarkStart w:id="655" w:name="quiz-25"/>
    <w:p>
      <w:pPr>
        <w:pStyle w:val="Heading2"/>
      </w:pPr>
      <w:r>
        <w:t xml:space="preserve">Quiz</w:t>
      </w:r>
    </w:p>
    <w:p>
      <w:pPr>
        <w:pStyle w:val="FirstParagraph"/>
      </w:pPr>
      <w:r>
        <w:t xml:space="preserve">📝 QCM (une seule bonne réponse par question)</w:t>
      </w:r>
    </w:p>
    <w:p>
      <w:pPr>
        <w:pStyle w:val="Compact"/>
        <w:numPr>
          <w:ilvl w:val="0"/>
          <w:numId w:val="1601"/>
        </w:numPr>
      </w:pPr>
      <w:r>
        <w:t xml:space="preserve">Le principe fondamental du Zero Trust est résumé par :</w:t>
      </w:r>
    </w:p>
    <w:p>
      <w:pPr>
        <w:pStyle w:val="Compact"/>
        <w:numPr>
          <w:ilvl w:val="1"/>
          <w:numId w:val="1602"/>
        </w:numPr>
      </w:pPr>
    </w:p>
    <w:p>
      <w:pPr>
        <w:pStyle w:val="Compact"/>
        <w:numPr>
          <w:ilvl w:val="2"/>
          <w:numId w:val="1603"/>
        </w:numPr>
      </w:pPr>
      <w:r>
        <w:t xml:space="preserve">“Faire confiance mais vérifier occasionnellement”</w:t>
      </w:r>
    </w:p>
    <w:p>
      <w:pPr>
        <w:pStyle w:val="Compact"/>
        <w:numPr>
          <w:ilvl w:val="1"/>
          <w:numId w:val="1602"/>
        </w:numPr>
      </w:pPr>
    </w:p>
    <w:p>
      <w:pPr>
        <w:pStyle w:val="Compact"/>
        <w:numPr>
          <w:ilvl w:val="2"/>
          <w:numId w:val="1604"/>
        </w:numPr>
      </w:pPr>
      <w:r>
        <w:t xml:space="preserve">“Never trust, always verify”</w:t>
      </w:r>
    </w:p>
    <w:p>
      <w:pPr>
        <w:pStyle w:val="Compact"/>
        <w:numPr>
          <w:ilvl w:val="1"/>
          <w:numId w:val="1602"/>
        </w:numPr>
      </w:pPr>
    </w:p>
    <w:p>
      <w:pPr>
        <w:pStyle w:val="Compact"/>
        <w:numPr>
          <w:ilvl w:val="2"/>
          <w:numId w:val="1605"/>
        </w:numPr>
      </w:pPr>
      <w:r>
        <w:t xml:space="preserve">“Sécuriser uniquement le périmètre externe”</w:t>
      </w:r>
    </w:p>
    <w:p>
      <w:pPr>
        <w:pStyle w:val="Compact"/>
        <w:numPr>
          <w:ilvl w:val="1"/>
          <w:numId w:val="1602"/>
        </w:numPr>
      </w:pPr>
    </w:p>
    <w:p>
      <w:pPr>
        <w:pStyle w:val="Compact"/>
        <w:numPr>
          <w:ilvl w:val="2"/>
          <w:numId w:val="1606"/>
        </w:numPr>
      </w:pPr>
      <w:r>
        <w:t xml:space="preserve">“Un seul produit suffit pour tout sécuriser”</w:t>
      </w:r>
    </w:p>
    <w:p>
      <w:pPr>
        <w:pStyle w:val="Compact"/>
        <w:numPr>
          <w:ilvl w:val="0"/>
          <w:numId w:val="1601"/>
        </w:numPr>
      </w:pPr>
      <w:r>
        <w:t xml:space="preserve">Le modèle périmétrique traditionnel est limité principalement parce que :</w:t>
      </w:r>
    </w:p>
    <w:p>
      <w:pPr>
        <w:pStyle w:val="Compact"/>
        <w:numPr>
          <w:ilvl w:val="1"/>
          <w:numId w:val="1607"/>
        </w:numPr>
      </w:pPr>
    </w:p>
    <w:p>
      <w:pPr>
        <w:pStyle w:val="Compact"/>
        <w:numPr>
          <w:ilvl w:val="2"/>
          <w:numId w:val="1608"/>
        </w:numPr>
      </w:pPr>
      <w:r>
        <w:t xml:space="preserve">Il est trop coûteux à mettre en place</w:t>
      </w:r>
    </w:p>
    <w:p>
      <w:pPr>
        <w:pStyle w:val="Compact"/>
        <w:numPr>
          <w:ilvl w:val="1"/>
          <w:numId w:val="1607"/>
        </w:numPr>
      </w:pPr>
    </w:p>
    <w:p>
      <w:pPr>
        <w:pStyle w:val="Compact"/>
        <w:numPr>
          <w:ilvl w:val="2"/>
          <w:numId w:val="1609"/>
        </w:numPr>
      </w:pPr>
      <w:r>
        <w:t xml:space="preserve">Une fois le périmètre franchi, la confiance interne devient souvent implicite et large</w:t>
      </w:r>
    </w:p>
    <w:p>
      <w:pPr>
        <w:pStyle w:val="Compact"/>
        <w:numPr>
          <w:ilvl w:val="1"/>
          <w:numId w:val="1607"/>
        </w:numPr>
      </w:pPr>
    </w:p>
    <w:p>
      <w:pPr>
        <w:pStyle w:val="Compact"/>
        <w:numPr>
          <w:ilvl w:val="2"/>
          <w:numId w:val="1610"/>
        </w:numPr>
      </w:pPr>
      <w:r>
        <w:t xml:space="preserve">Il ne fonctionne qu’avec Windows</w:t>
      </w:r>
    </w:p>
    <w:p>
      <w:pPr>
        <w:pStyle w:val="Compact"/>
        <w:numPr>
          <w:ilvl w:val="1"/>
          <w:numId w:val="1607"/>
        </w:numPr>
      </w:pPr>
    </w:p>
    <w:p>
      <w:pPr>
        <w:pStyle w:val="Compact"/>
        <w:numPr>
          <w:ilvl w:val="2"/>
          <w:numId w:val="1611"/>
        </w:numPr>
      </w:pPr>
      <w:r>
        <w:t xml:space="preserve">Il empêche tout accès distant</w:t>
      </w:r>
    </w:p>
    <w:p>
      <w:pPr>
        <w:pStyle w:val="Compact"/>
        <w:numPr>
          <w:ilvl w:val="0"/>
          <w:numId w:val="1601"/>
        </w:numPr>
      </w:pPr>
      <w:r>
        <w:t xml:space="preserve">La bonne approche pour déployer le Zero Trust dans une organisation est :</w:t>
      </w:r>
    </w:p>
    <w:p>
      <w:pPr>
        <w:pStyle w:val="Compact"/>
        <w:numPr>
          <w:ilvl w:val="1"/>
          <w:numId w:val="1612"/>
        </w:numPr>
      </w:pPr>
    </w:p>
    <w:p>
      <w:pPr>
        <w:pStyle w:val="Compact"/>
        <w:numPr>
          <w:ilvl w:val="2"/>
          <w:numId w:val="1613"/>
        </w:numPr>
      </w:pPr>
      <w:r>
        <w:t xml:space="preserve">Un projet unique et instantané</w:t>
      </w:r>
    </w:p>
    <w:p>
      <w:pPr>
        <w:pStyle w:val="Compact"/>
        <w:numPr>
          <w:ilvl w:val="1"/>
          <w:numId w:val="1612"/>
        </w:numPr>
      </w:pPr>
    </w:p>
    <w:p>
      <w:pPr>
        <w:pStyle w:val="Compact"/>
        <w:numPr>
          <w:ilvl w:val="2"/>
          <w:numId w:val="1614"/>
        </w:numPr>
      </w:pPr>
      <w:r>
        <w:t xml:space="preserve">L’achat d’un seul produit labellisé</w:t>
      </w:r>
      <w:r>
        <w:t xml:space="preserve"> </w:t>
      </w:r>
      <w:r>
        <w:t xml:space="preserve">“Zero Trust”</w:t>
      </w:r>
    </w:p>
    <w:p>
      <w:pPr>
        <w:pStyle w:val="Compact"/>
        <w:numPr>
          <w:ilvl w:val="1"/>
          <w:numId w:val="1612"/>
        </w:numPr>
      </w:pPr>
    </w:p>
    <w:p>
      <w:pPr>
        <w:pStyle w:val="Compact"/>
        <w:numPr>
          <w:ilvl w:val="2"/>
          <w:numId w:val="1615"/>
        </w:numPr>
      </w:pPr>
      <w:r>
        <w:t xml:space="preserve">Une feuille de route progressive, étape par étape</w:t>
      </w:r>
    </w:p>
    <w:p>
      <w:pPr>
        <w:pStyle w:val="Compact"/>
        <w:numPr>
          <w:ilvl w:val="1"/>
          <w:numId w:val="1612"/>
        </w:numPr>
      </w:pPr>
    </w:p>
    <w:p>
      <w:pPr>
        <w:pStyle w:val="Compact"/>
        <w:numPr>
          <w:ilvl w:val="2"/>
          <w:numId w:val="1616"/>
        </w:numPr>
      </w:pPr>
      <w:r>
        <w:t xml:space="preserve">Ignorer les comptes de service, qui ne sont jamais concernés</w:t>
      </w:r>
    </w:p>
    <w:p>
      <w:pPr>
        <w:pStyle w:val="FirstParagraph"/>
      </w:pPr>
      <w:r>
        <w:rPr>
          <w:b/>
          <w:bCs/>
        </w:rPr>
        <w:t xml:space="preserve">Corrigé</w:t>
      </w:r>
      <w:r>
        <w:t xml:space="preserve"> </w:t>
      </w:r>
      <w:r>
        <w:t xml:space="preserve">: 1-b, 2-b, 3-c.</w:t>
      </w:r>
    </w:p>
    <w:p>
      <w:pPr>
        <w:pStyle w:val="BodyText"/>
      </w:pPr>
      <w:r>
        <w:t xml:space="preserve">📝 Vrai ou Faux</w:t>
      </w:r>
    </w:p>
    <w:p>
      <w:pPr>
        <w:pStyle w:val="Compact"/>
        <w:numPr>
          <w:ilvl w:val="0"/>
          <w:numId w:val="1617"/>
        </w:numPr>
      </w:pPr>
      <w:r>
        <w:t xml:space="preserve">Le Zero Trust peut être entièrement implémenté par l’achat d’un seul produit de sécurité. —</w:t>
      </w:r>
      <w:r>
        <w:t xml:space="preserve"> </w:t>
      </w:r>
      <w:r>
        <w:rPr>
          <w:b/>
          <w:bCs/>
        </w:rPr>
        <w:t xml:space="preserve">Faux</w:t>
      </w:r>
      <w:r>
        <w:t xml:space="preserve"> </w:t>
      </w:r>
      <w:r>
        <w:t xml:space="preserve">(c’est une combinaison de pratiques, pas un produit unique, section 26.7).</w:t>
      </w:r>
    </w:p>
    <w:p>
      <w:pPr>
        <w:pStyle w:val="Compact"/>
        <w:numPr>
          <w:ilvl w:val="0"/>
          <w:numId w:val="1617"/>
        </w:numPr>
      </w:pPr>
      <w:r>
        <w:t xml:space="preserve">L’accès conditionnel réévalue le contexte à chaque tentative d’accès, plutôt qu’une seule fois par session. —</w:t>
      </w:r>
      <w:r>
        <w:t xml:space="preserve"> </w:t>
      </w:r>
      <w:r>
        <w:rPr>
          <w:b/>
          <w:bCs/>
        </w:rPr>
        <w:t xml:space="preserve">Vrai</w:t>
      </w:r>
      <w:r>
        <w:t xml:space="preserve">.</w:t>
      </w:r>
    </w:p>
    <w:p>
      <w:pPr>
        <w:pStyle w:val="Compact"/>
        <w:numPr>
          <w:ilvl w:val="0"/>
          <w:numId w:val="1617"/>
        </w:numPr>
      </w:pPr>
      <w:r>
        <w:t xml:space="preserve">Un bastion (chapitre 4) constitue à lui seul une architecture Zero Trust complète. —</w:t>
      </w:r>
      <w:r>
        <w:t xml:space="preserve"> </w:t>
      </w:r>
      <w:r>
        <w:rPr>
          <w:b/>
          <w:bCs/>
        </w:rPr>
        <w:t xml:space="preserve">Faux</w:t>
      </w:r>
      <w:r>
        <w:t xml:space="preserve"> </w:t>
      </w:r>
      <w:r>
        <w:t xml:space="preserve">(c’est une première étape utile, mais insuffisante seule, section 26.5).</w:t>
      </w:r>
    </w:p>
    <w:p>
      <w:pPr>
        <w:pStyle w:val="Compact"/>
        <w:numPr>
          <w:ilvl w:val="0"/>
          <w:numId w:val="1617"/>
        </w:numPr>
      </w:pPr>
      <w:r>
        <w:t xml:space="preserve">Les comptes de service automatisés doivent être exclus de toute réflexion Zero Trust, puisqu’ils ne peuvent pas utiliser le MFA interactif. —</w:t>
      </w:r>
      <w:r>
        <w:t xml:space="preserve"> </w:t>
      </w:r>
      <w:r>
        <w:rPr>
          <w:b/>
          <w:bCs/>
        </w:rPr>
        <w:t xml:space="preserve">Faux</w:t>
      </w:r>
      <w:r>
        <w:t xml:space="preserve"> </w:t>
      </w:r>
      <w:r>
        <w:t xml:space="preserve">(ils doivent être sécurisés par d’autres mécanismes adaptés, pas ignorés).</w:t>
      </w:r>
    </w:p>
    <w:p>
      <w:pPr>
        <w:pStyle w:val="FirstParagraph"/>
      </w:pPr>
      <w:r>
        <w:t xml:space="preserve">📝 Questions ouvertes</w:t>
      </w:r>
    </w:p>
    <w:p>
      <w:pPr>
        <w:pStyle w:val="Compact"/>
        <w:numPr>
          <w:ilvl w:val="0"/>
          <w:numId w:val="1618"/>
        </w:numPr>
      </w:pPr>
      <w:r>
        <w:t xml:space="preserve">Explique pourquoi le MFA (chapitre 25) et l’accès conditionnel (chapitre 8), déjà couverts avant ce chapitre, constituent en réalité déjà des briques du Zero Trust.</w:t>
      </w:r>
    </w:p>
    <w:p>
      <w:pPr>
        <w:pStyle w:val="Compact"/>
        <w:numPr>
          <w:ilvl w:val="0"/>
          <w:numId w:val="1618"/>
        </w:numPr>
      </w:pPr>
      <w:r>
        <w:t xml:space="preserve">Reprends le scénario d’ouverture. Explique pourquoi la préoccupation du DSI sur le mouvement latéral après compromission du VPN reste légitime, malgré les protections déjà en place.</w:t>
      </w:r>
    </w:p>
    <w:p>
      <w:pPr>
        <w:pStyle w:val="FirstParagraph"/>
      </w:pPr>
      <w:r>
        <w:rPr>
          <w:b/>
          <w:bCs/>
        </w:rPr>
        <w:t xml:space="preserve">Corrigé 1</w:t>
      </w:r>
      <w:r>
        <w:t xml:space="preserve"> </w:t>
      </w:r>
      <w:r>
        <w:t xml:space="preserve">: le MFA garantit qu’une identité est vérifiée explicitement au-delà du simple mot de passe (le pilier</w:t>
      </w:r>
      <w:r>
        <w:t xml:space="preserve"> </w:t>
      </w:r>
      <w:r>
        <w:t xml:space="preserve">“identité forte”</w:t>
      </w:r>
      <w:r>
        <w:t xml:space="preserve"> </w:t>
      </w:r>
      <w:r>
        <w:t xml:space="preserve">de la section 26.3), tandis que l’accès conditionnel réévalue le contexte de chaque tentative de connexion plutôt que de faire confiance uniformément après une authentification unique — exactement le principe</w:t>
      </w:r>
      <w:r>
        <w:t xml:space="preserve"> </w:t>
      </w:r>
      <w:r>
        <w:t xml:space="preserve">“toujours vérifier”</w:t>
      </w:r>
      <w:r>
        <w:t xml:space="preserve"> </w:t>
      </w:r>
      <w:r>
        <w:t xml:space="preserve">du Zero Trust, déjà mis en pratique concrètement dans ces deux chapitres sans que le terme</w:t>
      </w:r>
      <w:r>
        <w:t xml:space="preserve"> </w:t>
      </w:r>
      <w:r>
        <w:t xml:space="preserve">“Zero Trust”</w:t>
      </w:r>
      <w:r>
        <w:t xml:space="preserve"> </w:t>
      </w:r>
      <w:r>
        <w:t xml:space="preserve">n’ait encore été utilisé.</w:t>
      </w:r>
    </w:p>
    <w:p>
      <w:pPr>
        <w:pStyle w:val="BodyText"/>
      </w:pPr>
      <w:r>
        <w:rPr>
          <w:b/>
          <w:bCs/>
        </w:rPr>
        <w:t xml:space="preserve">Corrigé 2</w:t>
      </w:r>
      <w:r>
        <w:t xml:space="preserve"> </w:t>
      </w:r>
      <w:r>
        <w:t xml:space="preserve">: le MFA du chapitre 25 protège spécifiquement le point d’entrée (empêcher une connexion initiale non autorisée), mais ne dit rien de ce qui se passe une fois qu’une connexion légitime (ou compromise malgré tout, par exemple via une fatigue MFA réussie) est établie — si la confiance interne reste large une fois</w:t>
      </w:r>
      <w:r>
        <w:t xml:space="preserve"> </w:t>
      </w:r>
      <w:r>
        <w:t xml:space="preserve">“dans”</w:t>
      </w:r>
      <w:r>
        <w:t xml:space="preserve"> </w:t>
      </w:r>
      <w:r>
        <w:t xml:space="preserve">le réseau, un mouvement latéral reste possible. La préoccupation du DSI est donc légitime précisément parce qu’elle pointe vers un pilier du Zero Trust (la segmentation et la vérification continue au-delà du point d’entrée) qui n’a pas encore été entièrement construit dans l’infrastructure de l’entreprise à ce stade du manuel.</w:t>
      </w:r>
    </w:p>
    <w:bookmarkEnd w:id="655"/>
    <w:bookmarkStart w:id="656" w:name="exercices-25"/>
    <w:p>
      <w:pPr>
        <w:pStyle w:val="Heading2"/>
      </w:pPr>
      <w:r>
        <w:t xml:space="preserve">Exercices</w:t>
      </w:r>
    </w:p>
    <w:p>
      <w:pPr>
        <w:pStyle w:val="FirstParagraph"/>
      </w:pPr>
      <w:r>
        <w:t xml:space="preserve">📝 Exercice 26.1</w:t>
      </w:r>
    </w:p>
    <w:p>
      <w:pPr>
        <w:pStyle w:val="BodyText"/>
      </w:pPr>
      <w:r>
        <w:t xml:space="preserve">Un collègue propose d’acheter un produit commercial</w:t>
      </w:r>
      <w:r>
        <w:t xml:space="preserve"> </w:t>
      </w:r>
      <w:r>
        <w:t xml:space="preserve">“tout-en-un labellisé Zero Trust”</w:t>
      </w:r>
      <w:r>
        <w:t xml:space="preserve"> </w:t>
      </w:r>
      <w:r>
        <w:t xml:space="preserve">pour résoudre d’un coup la préoccupation du DSI. Explique, en t’appuyant sur la section 26.7, pourquoi cette approche seule ne suffirait probablement pas.</w:t>
      </w:r>
    </w:p>
    <w:p>
      <w:pPr>
        <w:pStyle w:val="BodyText"/>
      </w:pPr>
      <w:r>
        <w:rPr>
          <w:b/>
          <w:bCs/>
        </w:rPr>
        <w:t xml:space="preserve">Corrigé :</w:t>
      </w:r>
      <w:r>
        <w:t xml:space="preserve"> </w:t>
      </w:r>
      <w:r>
        <w:t xml:space="preserve">Un produit unique, quelle que soit son étiquette marketing, ne peut à lui seul couvrir l’ensemble des piliers du Zero Trust (identité, appareils, moindre privilège, segmentation, chiffrement, surveillance, section 26.3) — la vraie posture Zero Trust résulte de la cohérence de plusieurs pratiques combinées, pas d’un seul achat. Sans changement des pratiques internes existantes (comptes partagés éventuels, confiance implicite non encore corrigée après le point d’entrée), même le meilleur produit du marché n’éliminerait pas les angles morts identifiés par le DSI — la réponse doit rester une feuille de route de pratiques, éventuellement outillée par un produit, mais jamais réductible au produit seul.</w:t>
      </w:r>
    </w:p>
    <w:p>
      <w:pPr>
        <w:pStyle w:val="BodyText"/>
      </w:pPr>
      <w:r>
        <w:t xml:space="preserve">📝 Exercice 26.2</w:t>
      </w:r>
    </w:p>
    <w:p>
      <w:pPr>
        <w:pStyle w:val="BodyText"/>
      </w:pPr>
      <w:r>
        <w:t xml:space="preserve">Rédige, en 3 à 5 phrases, les trois prochaines étapes concrètes que tu proposerais à l’entreprise pour avancer sur sa feuille de route Zero Trust, en te basant sur ce qui reste à couvrir dans les parties suivantes de ce manuel.</w:t>
      </w:r>
    </w:p>
    <w:p>
      <w:pPr>
        <w:pStyle w:val="BodyText"/>
      </w:pPr>
      <w:r>
        <w:rPr>
          <w:b/>
          <w:bCs/>
        </w:rPr>
        <w:t xml:space="preserve">Corrigé (exemple de réponse) :</w:t>
      </w:r>
      <w:r>
        <w:t xml:space="preserve"> </w:t>
      </w:r>
      <w:r>
        <w:t xml:space="preserve">Premièrement, étendre l’accès conditionnel Entra ID (chapitre 8) à l’ensemble des employés, pas seulement aux comptes déjà protégés par MFA. Deuxièmement, entreprendre une segmentation réseau plus fine (Partie 11) pour qu’un accès compromis sur un segment ne donne pas automatiquement accès à l’ensemble du réseau interne, complétant ainsi le bastion du chapitre 4. Troisièmement, mettre en place une surveillance continue des comportements d’authentification (Partie 12, notamment via un SIEM) pour détecter un mouvement latéral suspect même si un attaquant parvenait malgré tout à franchir les premières couches de vérification.</w:t>
      </w:r>
    </w:p>
    <w:bookmarkEnd w:id="656"/>
    <w:bookmarkStart w:id="657" w:name="checklist-de-fin-de-chapitre-25"/>
    <w:p>
      <w:pPr>
        <w:pStyle w:val="Heading2"/>
      </w:pPr>
      <w:r>
        <w:t xml:space="preserve">Checklist de fin de chapitre</w:t>
      </w:r>
    </w:p>
    <w:p>
      <w:pPr>
        <w:pStyle w:val="FirstParagraph"/>
      </w:pPr>
      <w:r>
        <w:t xml:space="preserve">☐ Je sais expliquer le principe</w:t>
      </w:r>
      <w:r>
        <w:t xml:space="preserve"> </w:t>
      </w:r>
      <w:r>
        <w:t xml:space="preserve">“Never trust, always verify”</w:t>
      </w:r>
      <w:r>
        <w:t xml:space="preserve"> </w:t>
      </w:r>
      <w:r>
        <w:t xml:space="preserve">du Zero Trust.</w:t>
      </w:r>
    </w:p>
    <w:p>
      <w:pPr>
        <w:pStyle w:val="BodyText"/>
      </w:pPr>
      <w:r>
        <w:t xml:space="preserve">☐ Je comprends pourquoi le modèle périmétrique traditionnel ne suffit plus.</w:t>
      </w:r>
    </w:p>
    <w:p>
      <w:pPr>
        <w:pStyle w:val="BodyText"/>
      </w:pPr>
      <w:r>
        <w:t xml:space="preserve">☐ Je sais identifier les piliers du Zero Trust et les relier aux chapitres déjà couverts dans ce manuel.</w:t>
      </w:r>
    </w:p>
    <w:p>
      <w:pPr>
        <w:pStyle w:val="BodyText"/>
      </w:pPr>
      <w:r>
        <w:t xml:space="preserve">☐ Je comprends le rôle de l’accès conditionnel dans la mise en œuvre concrète du Zero Trust.</w:t>
      </w:r>
    </w:p>
    <w:p>
      <w:pPr>
        <w:pStyle w:val="BodyText"/>
      </w:pPr>
      <w:r>
        <w:t xml:space="preserve">☐ Je sais pourquoi le bastion seul ne constitue pas une architecture Zero Trust complète.</w:t>
      </w:r>
    </w:p>
    <w:p>
      <w:pPr>
        <w:pStyle w:val="BodyText"/>
      </w:pPr>
      <w:r>
        <w:t xml:space="preserve">☐ Je sais élaborer une feuille de route Zero Trust progressive plutôt qu’un projet</w:t>
      </w:r>
      <w:r>
        <w:t xml:space="preserve"> </w:t>
      </w:r>
      <w:r>
        <w:t xml:space="preserve">“big bang”</w:t>
      </w:r>
      <w:r>
        <w:t xml:space="preserve">.</w:t>
      </w:r>
    </w:p>
    <w:bookmarkEnd w:id="657"/>
    <w:bookmarkStart w:id="658" w:name="faq-25"/>
    <w:p>
      <w:pPr>
        <w:pStyle w:val="Heading2"/>
      </w:pPr>
      <w:r>
        <w:t xml:space="preserve">FAQ</w:t>
      </w:r>
    </w:p>
    <w:p>
      <w:pPr>
        <w:pStyle w:val="FirstParagraph"/>
      </w:pPr>
      <w:r>
        <w:t xml:space="preserve">Le Zero Trust est-il uniquement pertinent pour les grandes entreprises ?</w:t>
      </w:r>
    </w:p>
    <w:p>
      <w:pPr>
        <w:pStyle w:val="BodyText"/>
      </w:pPr>
      <w:r>
        <w:t xml:space="preserve">Non, les principes s’appliquent à toute taille d’organisation, même si leur mise en œuvre se fait à une échelle et avec des outils adaptés (rappel du chapitre 1 sur l’adaptation à la taille de la structure) — une PME peut appliquer le moindre privilège, le MFA et une segmentation basique sans nécessiter les mêmes outils qu’une multinationale.</w:t>
      </w:r>
    </w:p>
    <w:p>
      <w:pPr>
        <w:pStyle w:val="BodyText"/>
      </w:pPr>
      <w:r>
        <w:t xml:space="preserve">Combien de temps prend un déploiement Zero Trust complet ?</w:t>
      </w:r>
    </w:p>
    <w:p>
      <w:pPr>
        <w:pStyle w:val="BodyText"/>
      </w:pPr>
      <w:r>
        <w:t xml:space="preserve">Il n’y a pas de</w:t>
      </w:r>
      <w:r>
        <w:t xml:space="preserve"> </w:t>
      </w:r>
      <w:r>
        <w:t xml:space="preserve">“complet”</w:t>
      </w:r>
      <w:r>
        <w:t xml:space="preserve"> </w:t>
      </w:r>
      <w:r>
        <w:t xml:space="preserve">figé dans le temps — c’est un processus continu d’amélioration progressive (section 26.6), pas un projet avec une date de fin définitive, à l’image de la sécurité en général, qui reste un effort permanent plutôt qu’un état atteint une fois pour toutes.</w:t>
      </w:r>
    </w:p>
    <w:p>
      <w:pPr>
        <w:pStyle w:val="BodyText"/>
      </w:pPr>
      <w:r>
        <w:t xml:space="preserve">Le Zero Trust remplace-t-il le besoin d’un pare-feu périmétrique ?</w:t>
      </w:r>
    </w:p>
    <w:p>
      <w:pPr>
        <w:pStyle w:val="BodyText"/>
      </w:pPr>
      <w:r>
        <w:t xml:space="preserve">Non, un pare-feu périmétrique reste utile en défense en profondeur (plusieurs couches de protection qui se complètent), mais il ne doit plus être la seule ligne de défense sur laquelle repose toute la confiance de l’organisation, exactement le message central de ce chapitre.</w:t>
      </w:r>
    </w:p>
    <w:p>
      <w:pPr>
        <w:pStyle w:val="BodyText"/>
      </w:pPr>
      <w:r>
        <w:t xml:space="preserve">Comment mesurer les progrès d’une stratégie Zero Trust ?</w:t>
      </w:r>
    </w:p>
    <w:p>
      <w:pPr>
        <w:pStyle w:val="BodyText"/>
      </w:pPr>
      <w:r>
        <w:t xml:space="preserve">Via des indicateurs concrets liés à chaque pilier de la section 26.3 : pourcentage de comptes protégés par MFA, couverture de l’accès conditionnel, granularité de la segmentation réseau, délai de détection d’un comportement suspect — des métriques mesurables plutôt qu’une affirmation qualitative vague d’être</w:t>
      </w:r>
      <w:r>
        <w:t xml:space="preserve"> </w:t>
      </w:r>
      <w:r>
        <w:t xml:space="preserve">“Zero Trust”</w:t>
      </w:r>
      <w:r>
        <w:t xml:space="preserve"> </w:t>
      </w:r>
      <w:r>
        <w:t xml:space="preserve">ou non.</w:t>
      </w:r>
    </w:p>
    <w:bookmarkEnd w:id="658"/>
    <w:bookmarkStart w:id="662" w:name="références-et-pour-aller-plus-loin-25"/>
    <w:p>
      <w:pPr>
        <w:pStyle w:val="Heading2"/>
      </w:pPr>
      <w:r>
        <w:t xml:space="preserve">Références et pour aller plus loin</w:t>
      </w:r>
    </w:p>
    <w:p>
      <w:pPr>
        <w:pStyle w:val="Compact"/>
        <w:numPr>
          <w:ilvl w:val="0"/>
          <w:numId w:val="1619"/>
        </w:numPr>
      </w:pPr>
      <w:r>
        <w:t xml:space="preserve">NIST Special Publication 800-207 — Zero Trust Architecture :</w:t>
      </w:r>
      <w:r>
        <w:t xml:space="preserve"> </w:t>
      </w:r>
      <w:hyperlink r:id="rId659">
        <w:r>
          <w:rPr>
            <w:rStyle w:val="Hyperlink"/>
          </w:rPr>
          <w:t xml:space="preserve">https://csrc.nist.gov/pubs/sp/800/207/final</w:t>
        </w:r>
      </w:hyperlink>
    </w:p>
    <w:p>
      <w:pPr>
        <w:pStyle w:val="Compact"/>
        <w:numPr>
          <w:ilvl w:val="0"/>
          <w:numId w:val="1619"/>
        </w:numPr>
      </w:pPr>
      <w:r>
        <w:t xml:space="preserve">Microsoft Learn — Adoption du Zero Trust :</w:t>
      </w:r>
      <w:r>
        <w:t xml:space="preserve"> </w:t>
      </w:r>
      <w:hyperlink r:id="rId660">
        <w:r>
          <w:rPr>
            <w:rStyle w:val="Hyperlink"/>
          </w:rPr>
          <w:t xml:space="preserve">https://learn.microsoft.com/fr-fr/security/zero-trust/</w:t>
        </w:r>
      </w:hyperlink>
    </w:p>
    <w:p>
      <w:pPr>
        <w:pStyle w:val="Compact"/>
        <w:numPr>
          <w:ilvl w:val="0"/>
          <w:numId w:val="1619"/>
        </w:numPr>
      </w:pPr>
      <w:r>
        <w:t xml:space="preserve">CISA — Zero Trust Maturity Model :</w:t>
      </w:r>
      <w:r>
        <w:t xml:space="preserve"> </w:t>
      </w:r>
      <w:hyperlink r:id="rId661">
        <w:r>
          <w:rPr>
            <w:rStyle w:val="Hyperlink"/>
          </w:rPr>
          <w:t xml:space="preserve">https://www.cisa.gov/zero-trust-maturity-model</w:t>
        </w:r>
      </w:hyperlink>
    </w:p>
    <w:p>
      <w:pPr>
        <w:pStyle w:val="FirstParagraph"/>
      </w:pPr>
      <w:r>
        <w:rPr>
          <w:i/>
          <w:iCs/>
        </w:rPr>
        <w:t xml:space="preserve">Fin de la Partie 4. La Partie 5 aborde maintenant le stockage et la continuité d’activité à l’échelle de l’infrastructure entière — RAID matériel, NAS, SAN, stratégies de sauvegarde, PRA et PCA — pour garantir que tout ce qui a été sécurisé jusqu’ici reste aussi disponible et récupérable face à un incident majeur.</w:t>
      </w:r>
    </w:p>
    <w:p>
      <w:pPr>
        <w:pStyle w:val="BodyText"/>
      </w:pPr>
      <w:r>
        <w:t xml:space="preserve">CHAPITRE 27</w:t>
      </w:r>
    </w:p>
    <w:bookmarkEnd w:id="662"/>
    <w:bookmarkEnd w:id="663"/>
    <w:bookmarkStart w:id="687" w:name="raid-matériel-et-logiciel"/>
    <w:p>
      <w:pPr>
        <w:pStyle w:val="Heading1"/>
      </w:pPr>
      <w:r>
        <w:t xml:space="preserve">RAID matériel et logiciel</w:t>
      </w:r>
    </w:p>
    <w:p>
      <w:pPr>
        <w:pStyle w:val="FirstParagraph"/>
      </w:pPr>
      <w:r>
        <w:t xml:space="preserve">🎯 Objectif du chapitre</w:t>
      </w:r>
      <w:r>
        <w:t xml:space="preserve"> </w:t>
      </w:r>
      <w:r>
        <w:t xml:space="preserve">Approfondir le RAID au-delà de ce qui a été vu côté Linux (chapitre 17) : comprendre le RAID matériel, son contrôleur dédié et son cache protégé par batterie, le piège classique de la double panne de disque silencieuse, et l’équivalent Windows du RAID logiciel (Storage Spaces). À la fin de ce chapitre, tu sauras choisir entre RAID matériel et logiciel selon un contexte donné, et surtout mettre en place une surveillance qui évite le scénario le plus redouté de tout administrateur ayant déjà géré du RAID en production.</w:t>
      </w:r>
    </w:p>
    <w:p>
      <w:pPr>
        <w:pStyle w:val="BodyText"/>
      </w:pPr>
      <w:r>
        <w:t xml:space="preserve">🎬 Mise en situation</w:t>
      </w:r>
      <w:r>
        <w:t xml:space="preserve"> </w:t>
      </w:r>
      <w:r>
        <w:t xml:space="preserve">L’entreprise achète un nouveau serveur physique pour héberger la base de données financière la plus critique, équipé d’un contrôleur RAID matériel dédié avec six disques en RAID 6. Le fournisseur du serveur mentionne, presque en passant, une</w:t>
      </w:r>
      <w:r>
        <w:t xml:space="preserve"> </w:t>
      </w:r>
      <w:r>
        <w:t xml:space="preserve">“batterie de cache”</w:t>
      </w:r>
      <w:r>
        <w:t xml:space="preserve"> </w:t>
      </w:r>
      <w:r>
        <w:t xml:space="preserve">(BBU) et un</w:t>
      </w:r>
      <w:r>
        <w:t xml:space="preserve"> </w:t>
      </w:r>
      <w:r>
        <w:t xml:space="preserve">“disque de secours à chaud”</w:t>
      </w:r>
      <w:r>
        <w:t xml:space="preserve"> </w:t>
      </w:r>
      <w:r>
        <w:t xml:space="preserve">(hot spare) — deux termes que personne dans l’équipe ne maîtrise vraiment. Trois mois plus tard, tu découvres par hasard, en consultant les journaux du contrôleur pour une tout autre raison, qu’un des six disques est en panne depuis</w:t>
      </w:r>
      <w:r>
        <w:t xml:space="preserve"> </w:t>
      </w:r>
      <w:r>
        <w:rPr>
          <w:b/>
          <w:bCs/>
        </w:rPr>
        <w:t xml:space="preserve">six semaines</w:t>
      </w:r>
      <w:r>
        <w:t xml:space="preserve">, sans que personne ne s’en soit rendu compte — le serveur continuait de fonctionner normalement, RAID 6 tolérant la perte de deux disques simultanément. Tu réalises immédiatement le risque réel : un second disque tombant en panne pendant ces six semaines aurait causé une perte de données totale, sans qu’aucune alerte n’ait jamais été configurée. Ce chapitre explique comment ce risque, très réel et très fréquent, se prévient.</w:t>
      </w:r>
    </w:p>
    <w:bookmarkStart w:id="664" w:name="X854f3fc762670e0305ddcd46d7000775c2a0c93"/>
    <w:p>
      <w:pPr>
        <w:pStyle w:val="Heading2"/>
      </w:pPr>
      <w:r>
        <w:t xml:space="preserve">27.1 RAID matériel vs RAID logiciel : les vrais compromis</w:t>
      </w:r>
    </w:p>
    <w:p>
      <w:pPr>
        <w:pStyle w:val="FirstParagraph"/>
      </w:pPr>
      <w:r>
        <w:t xml:space="preserve">Rappel du chapitre 17 : le RAID logiciel (comme</w:t>
      </w:r>
      <w:r>
        <w:t xml:space="preserve"> </w:t>
      </w:r>
      <w:r>
        <w:rPr>
          <w:rStyle w:val="VerbatimChar"/>
        </w:rPr>
        <w:t xml:space="preserve">mdadm</w:t>
      </w:r>
      <w:r>
        <w:t xml:space="preserve"> </w:t>
      </w:r>
      <w:r>
        <w:t xml:space="preserve">sur Linux) est géré directement par le système d’exploitation, sans matériel dédié. Le</w:t>
      </w:r>
      <w:r>
        <w:t xml:space="preserve"> </w:t>
      </w:r>
      <w:r>
        <w:rPr>
          <w:b/>
          <w:bCs/>
        </w:rPr>
        <w:t xml:space="preserve">RAID matériel</w:t>
      </w:r>
      <w:r>
        <w:t xml:space="preserve"> </w:t>
      </w:r>
      <w:r>
        <w:t xml:space="preserve">utilise un</w:t>
      </w:r>
      <w:r>
        <w:t xml:space="preserve"> </w:t>
      </w:r>
      <w:r>
        <w:rPr>
          <w:b/>
          <w:bCs/>
        </w:rPr>
        <w:t xml:space="preserve">contrôleur dédié</w:t>
      </w:r>
      <w:r>
        <w:t xml:space="preserve">, une carte physique distincte qui gère elle-même les calculs RAID, indépendamment du système d’exploitation.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Critère</w:t>
            </w:r>
          </w:p>
        </w:tc>
        <w:tc>
          <w:tcPr/>
          <w:p>
            <w:pPr>
              <w:pStyle w:val="Compact"/>
            </w:pPr>
            <w:r>
              <w:t xml:space="preserve">RAID logiciel (chapitre 17)</w:t>
            </w:r>
          </w:p>
        </w:tc>
        <w:tc>
          <w:tcPr/>
          <w:p>
            <w:pPr>
              <w:pStyle w:val="Compact"/>
            </w:pPr>
            <w:r>
              <w:t xml:space="preserve">RAID matériel</w:t>
            </w:r>
          </w:p>
        </w:tc>
      </w:tr>
      <w:tr>
        <w:tc>
          <w:tcPr/>
          <w:p>
            <w:pPr>
              <w:pStyle w:val="Compact"/>
            </w:pPr>
            <w:r>
              <w:t xml:space="preserve">Coût matériel</w:t>
            </w:r>
          </w:p>
        </w:tc>
        <w:tc>
          <w:tcPr/>
          <w:p>
            <w:pPr>
              <w:pStyle w:val="Compact"/>
            </w:pPr>
            <w:r>
              <w:t xml:space="preserve">Aucun composant supplémentaire</w:t>
            </w:r>
          </w:p>
        </w:tc>
        <w:tc>
          <w:tcPr/>
          <w:p>
            <w:pPr>
              <w:pStyle w:val="Compact"/>
            </w:pPr>
            <w:r>
              <w:t xml:space="preserve">Contrôleur dédié, coût additionnel réel</w:t>
            </w:r>
          </w:p>
        </w:tc>
      </w:tr>
      <w:tr>
        <w:tc>
          <w:tcPr/>
          <w:p>
            <w:pPr>
              <w:pStyle w:val="Compact"/>
            </w:pPr>
            <w:r>
              <w:t xml:space="preserve">Charge sur le CPU système</w:t>
            </w:r>
          </w:p>
        </w:tc>
        <w:tc>
          <w:tcPr/>
          <w:p>
            <w:pPr>
              <w:pStyle w:val="Compact"/>
            </w:pPr>
            <w:r>
              <w:t xml:space="preserve">Oui, un peu (négligeable sur du matériel moderne)</w:t>
            </w:r>
          </w:p>
        </w:tc>
        <w:tc>
          <w:tcPr/>
          <w:p>
            <w:pPr>
              <w:pStyle w:val="Compact"/>
            </w:pPr>
            <w:r>
              <w:t xml:space="preserve">Non, déchargée sur le contrôleur</w:t>
            </w:r>
          </w:p>
        </w:tc>
      </w:tr>
      <w:tr>
        <w:tc>
          <w:tcPr/>
          <w:p>
            <w:pPr>
              <w:pStyle w:val="Compact"/>
            </w:pPr>
            <w:r>
              <w:t xml:space="preserve">Portabilité entre serveurs</w:t>
            </w:r>
          </w:p>
        </w:tc>
        <w:tc>
          <w:tcPr/>
          <w:p>
            <w:pPr>
              <w:pStyle w:val="Compact"/>
            </w:pPr>
            <w:r>
              <w:t xml:space="preserve">Élevée (le tableau RAID peut être reconstruit sur un autre système compatible)</w:t>
            </w:r>
          </w:p>
        </w:tc>
        <w:tc>
          <w:tcPr/>
          <w:p>
            <w:pPr>
              <w:pStyle w:val="Compact"/>
            </w:pPr>
            <w:r>
              <w:t xml:space="preserve">Limitée au même modèle ou une famille compatible de contrôleur</w:t>
            </w:r>
          </w:p>
        </w:tc>
      </w:tr>
      <w:tr>
        <w:tc>
          <w:tcPr/>
          <w:p>
            <w:pPr>
              <w:pStyle w:val="Compact"/>
            </w:pPr>
            <w:r>
              <w:t xml:space="preserve">Protection en cas de coupure électrique</w:t>
            </w:r>
          </w:p>
        </w:tc>
        <w:tc>
          <w:tcPr/>
          <w:p>
            <w:pPr>
              <w:pStyle w:val="Compact"/>
            </w:pPr>
            <w:r>
              <w:t xml:space="preserve">Dépend entièrement du système de fichiers et de l’UPS</w:t>
            </w:r>
          </w:p>
        </w:tc>
        <w:tc>
          <w:tcPr/>
          <w:p>
            <w:pPr>
              <w:pStyle w:val="Compact"/>
            </w:pPr>
            <w:r>
              <w:t xml:space="preserve">Cache protégé par batterie (BBU, section 27.2) possible</w:t>
            </w:r>
          </w:p>
        </w:tc>
      </w:tr>
      <w:tr>
        <w:tc>
          <w:tcPr/>
          <w:p>
            <w:pPr>
              <w:pStyle w:val="Compact"/>
            </w:pPr>
            <w:r>
              <w:t xml:space="preserve">Outils de gestion</w:t>
            </w:r>
          </w:p>
        </w:tc>
        <w:tc>
          <w:tcPr/>
          <w:p>
            <w:pPr>
              <w:pStyle w:val="Compact"/>
            </w:pPr>
            <w:r>
              <w:t xml:space="preserve">Standards Linux (</w:t>
            </w:r>
            <w:r>
              <w:rPr>
                <w:rStyle w:val="VerbatimChar"/>
              </w:rPr>
              <w:t xml:space="preserve">mdadm</w:t>
            </w:r>
            <w:r>
              <w:t xml:space="preserve">), bien documentés</w:t>
            </w:r>
          </w:p>
        </w:tc>
        <w:tc>
          <w:tcPr/>
          <w:p>
            <w:pPr>
              <w:pStyle w:val="Compact"/>
            </w:pPr>
            <w:r>
              <w:t xml:space="preserve">Propriétaires au fournisseur (Dell PERC, HP Smart Array, etc.)</w:t>
            </w:r>
          </w:p>
        </w:tc>
      </w:tr>
    </w:tbl>
    <w:p>
      <w:pPr>
        <w:pStyle w:val="BodyText"/>
      </w:pPr>
      <w:r>
        <w:t xml:space="preserve">📌 À retenir</w:t>
      </w:r>
      <w:r>
        <w:t xml:space="preserve"> </w:t>
      </w:r>
      <w:r>
        <w:t xml:space="preserve">Il n’existe pas de réponse universelle</w:t>
      </w:r>
      <w:r>
        <w:t xml:space="preserve"> </w:t>
      </w:r>
      <w:r>
        <w:t xml:space="preserve">“matériel toujours meilleur que logiciel”</w:t>
      </w:r>
      <w:r>
        <w:t xml:space="preserve"> </w:t>
      </w:r>
      <w:r>
        <w:t xml:space="preserve">ou l’inverse — exactement le même principe de décision contextuelle déjà appliqué au choix de distribution Linux (chapitre 14). Un serveur de base de données critique à fort volume d’écriture bénéficie souvent d’un contrôleur matériel avec cache protégé ; un serveur applicatif standard peut très bien se contenter d’un RAID logiciel, plus simple et plus portable.</w:t>
      </w:r>
    </w:p>
    <w:bookmarkEnd w:id="664"/>
    <w:bookmarkStart w:id="665" w:name="Xbace8e814ca3bfe087a9fea632e5822eda19148"/>
    <w:p>
      <w:pPr>
        <w:pStyle w:val="Heading2"/>
      </w:pPr>
      <w:r>
        <w:t xml:space="preserve">27.2 Le cache protégé par batterie (BBU) : pourquoi il compte tant</w:t>
      </w:r>
    </w:p>
    <w:p>
      <w:pPr>
        <w:pStyle w:val="FirstParagraph"/>
      </w:pPr>
      <w:r>
        <w:t xml:space="preserve">Un contrôleur RAID matériel performant utilise un</w:t>
      </w:r>
      <w:r>
        <w:t xml:space="preserve"> </w:t>
      </w:r>
      <w:r>
        <w:rPr>
          <w:b/>
          <w:bCs/>
        </w:rPr>
        <w:t xml:space="preserve">cache en écriture</w:t>
      </w:r>
      <w:r>
        <w:t xml:space="preserve"> </w:t>
      </w:r>
      <w:r>
        <w:t xml:space="preserve">(</w:t>
      </w:r>
      <w:r>
        <w:rPr>
          <w:i/>
          <w:iCs/>
        </w:rPr>
        <w:t xml:space="preserve">write-back cache</w:t>
      </w:r>
      <w:r>
        <w:t xml:space="preserve">) : les données sont confirmées comme écrites dès qu’elles atteignent la mémoire rapide du contrôleur, avant même d’être physiquement écrites sur les disques — un gain de performance significatif. Le risque : si une coupure de courant survient avant que ce cache ne soit réellement transféré sur les disques, ces données sont</w:t>
      </w:r>
      <w:r>
        <w:t xml:space="preserve"> </w:t>
      </w:r>
      <w:r>
        <w:rPr>
          <w:b/>
          <w:bCs/>
        </w:rPr>
        <w:t xml:space="preserve">perdues</w:t>
      </w:r>
      <w:r>
        <w:t xml:space="preserve">, malgré la confirmation d’écriture déjà envoyée au système.</w:t>
      </w:r>
    </w:p>
    <w:p>
      <w:pPr>
        <w:pStyle w:val="BodyText"/>
      </w:pPr>
      <w:r>
        <w:t xml:space="preserve">🔒 Sécurité — le BBU (Battery Backup Unit) protège ce cache</w:t>
      </w:r>
      <w:r>
        <w:t xml:space="preserve"> </w:t>
      </w:r>
      <w:r>
        <w:t xml:space="preserve">Une</w:t>
      </w:r>
      <w:r>
        <w:t xml:space="preserve"> </w:t>
      </w:r>
      <w:r>
        <w:t xml:space="preserve">BBU</w:t>
      </w:r>
      <w:r>
        <w:t xml:space="preserve"> </w:t>
      </w:r>
      <w:r>
        <w:t xml:space="preserve">(ou son équivalent moderne à supercondensateur, plus fiable dans la durée) maintient le cache du contrôleur alimenté pendant une coupure de courant, le temps que l’alimentation soit rétablie ou que les données soient transférées sur les disques via une capacité de secours — évitant la perte de données en cache. Dans le contexte des coupures de courant fréquentes déjà évoquées pour Haïti (chapitres 6 et 23), un contrôleur RAID matériel</w:t>
      </w:r>
      <w:r>
        <w:t xml:space="preserve"> </w:t>
      </w:r>
      <w:r>
        <w:t xml:space="preserve">sans</w:t>
      </w:r>
      <w:r>
        <w:t xml:space="preserve"> </w:t>
      </w:r>
      <w:r>
        <w:t xml:space="preserve">BBU fonctionnelle représente un risque réel et spécifique à ce contexte opérationnel, bien au-delà d’une simple case à cocher technique.</w:t>
      </w:r>
    </w:p>
    <w:p>
      <w:pPr>
        <w:pStyle w:val="BodyText"/>
      </w:pPr>
      <w:r>
        <w:t xml:space="preserve">⚠️ Une BBU défaillante peut désactiver silencieusement le cache en écriture</w:t>
      </w:r>
      <w:r>
        <w:t xml:space="preserve"> </w:t>
      </w:r>
      <w:r>
        <w:t xml:space="preserve">La plupart des contrôleurs RAID matériels détectent automatiquement une BBU défaillante ou déchargée et</w:t>
      </w:r>
      <w:r>
        <w:t xml:space="preserve"> </w:t>
      </w:r>
      <w:r>
        <w:rPr>
          <w:b/>
          <w:bCs/>
        </w:rPr>
        <w:t xml:space="preserve">désactivent le cache en écriture par mesure de précaution</w:t>
      </w:r>
      <w:r>
        <w:t xml:space="preserve">, basculant en mode</w:t>
      </w:r>
      <w:r>
        <w:t xml:space="preserve"> </w:t>
      </w:r>
      <w:r>
        <w:t xml:space="preserve">“write-through”</w:t>
      </w:r>
      <w:r>
        <w:t xml:space="preserve"> </w:t>
      </w:r>
      <w:r>
        <w:t xml:space="preserve">(écriture directe sur disque, plus lente mais plus sûre) — un comportement de sécurité approprié, mais qui peut provoquer une chute de performance soudaine et déroutante si personne ne surveille l’état de la BBU elle-même, laissant croire à tort à un problème applicatif ou réseau.</w:t>
      </w:r>
    </w:p>
    <w:bookmarkEnd w:id="665"/>
    <w:bookmarkStart w:id="669" w:name="Xd895515e9172b06b39d3287946ff68787a47067"/>
    <w:p>
      <w:pPr>
        <w:pStyle w:val="Heading2"/>
      </w:pPr>
      <w:r>
        <w:t xml:space="preserve">27.3 Le piège du scénario d’ouverture : la double panne silencieuse</w:t>
      </w:r>
    </w:p>
    <w:p>
      <w:pPr>
        <w:pStyle w:val="CaptionedFigure"/>
      </w:pPr>
      <w:r>
        <w:drawing>
          <wp:inline>
            <wp:extent cx="5334000" cy="11358849"/>
            <wp:effectExtent b="0" l="0" r="0" t="0"/>
            <wp:docPr descr="Diagramme" title="" id="667" name="Picture"/>
            <a:graphic>
              <a:graphicData uri="http://schemas.openxmlformats.org/drawingml/2006/picture">
                <pic:pic>
                  <pic:nvPicPr>
                    <pic:cNvPr descr="C:/Users/ingja/Desktop/jarvis-starter-kit/livrables/formations/manuel-administration-systeme/assets/diagrams/d-27-raid-materiel-logiciel-diagramme-1.png" id="668" name="Picture"/>
                    <pic:cNvPicPr>
                      <a:picLocks noChangeArrowheads="1" noChangeAspect="1"/>
                    </pic:cNvPicPr>
                  </pic:nvPicPr>
                  <pic:blipFill>
                    <a:blip r:embed="rId666"/>
                    <a:stretch>
                      <a:fillRect/>
                    </a:stretch>
                  </pic:blipFill>
                  <pic:spPr bwMode="auto">
                    <a:xfrm>
                      <a:off x="0" y="0"/>
                      <a:ext cx="5334000" cy="11358849"/>
                    </a:xfrm>
                    <a:prstGeom prst="rect">
                      <a:avLst/>
                    </a:prstGeom>
                    <a:noFill/>
                    <a:ln w="9525">
                      <a:noFill/>
                      <a:headEnd/>
                      <a:tailEnd/>
                    </a:ln>
                  </pic:spPr>
                </pic:pic>
              </a:graphicData>
            </a:graphic>
          </wp:inline>
        </w:drawing>
      </w:r>
    </w:p>
    <w:p>
      <w:pPr>
        <w:pStyle w:val="ImageCaption"/>
      </w:pPr>
      <w:r>
        <w:t xml:space="preserve">Diagramme</w:t>
      </w:r>
    </w:p>
    <w:p>
      <w:pPr>
        <w:pStyle w:val="BodyText"/>
      </w:pPr>
      <w:r>
        <w:t xml:space="preserve">⚠️ Pourquoi la tolérance de panne RAID peut créer un faux sentiment de sécurité</w:t>
      </w:r>
      <w:r>
        <w:t xml:space="preserve"> </w:t>
      </w:r>
      <w:r>
        <w:t xml:space="preserve">C’est exactement le piège du scénario d’ouverture : la force du RAID (continuer à fonctionner normalement malgré une panne de disque) devient une faiblesse si elle n’est jamais surveillée activement — un système</w:t>
      </w:r>
      <w:r>
        <w:t xml:space="preserve"> </w:t>
      </w:r>
      <w:r>
        <w:t xml:space="preserve">“qui marche encore”</w:t>
      </w:r>
      <w:r>
        <w:t xml:space="preserve"> </w:t>
      </w:r>
      <w:r>
        <w:t xml:space="preserve">masque parfaitement une dégradation réelle et croissante du risque. Rappel direct du chapitre 17 (section sécurité) : le RAID protège contre une panne matérielle, mais seulement s’il est activement surveillé ; sans surveillance, la protection devient un délai avant l’incident plutôt qu’une vraie garantie.</w:t>
      </w:r>
    </w:p>
    <w:bookmarkEnd w:id="669"/>
    <w:bookmarkStart w:id="670" w:name="X9584a5d31edeb933379ad26e529354df4d45d40"/>
    <w:p>
      <w:pPr>
        <w:pStyle w:val="Heading2"/>
      </w:pPr>
      <w:r>
        <w:t xml:space="preserve">27.4 Surveiller activement la santé d’un RAID matériel</w:t>
      </w:r>
    </w:p>
    <w:p>
      <w:pPr>
        <w:pStyle w:val="SourceCode"/>
      </w:pPr>
      <w:r>
        <w:rPr>
          <w:rStyle w:val="VerbatimChar"/>
        </w:rPr>
        <w:t xml:space="preserve"># Exemple avec storcli (outil courant pour les controleurs LSI/Broadcom,</w:t>
      </w:r>
      <w:r>
        <w:br/>
      </w:r>
      <w:r>
        <w:rPr>
          <w:rStyle w:val="VerbatimChar"/>
        </w:rPr>
        <w:t xml:space="preserve"># largement repandus) -- la commande exacte varie selon le fabricant</w:t>
      </w:r>
      <w:r>
        <w:br/>
      </w:r>
      <w:r>
        <w:rPr>
          <w:rStyle w:val="VerbatimChar"/>
        </w:rPr>
        <w:t xml:space="preserve"># du controleur (MegaCli, perccli pour Dell, hpssacli pour HP...)</w:t>
      </w:r>
      <w:r>
        <w:br/>
      </w:r>
      <w:r>
        <w:rPr>
          <w:rStyle w:val="VerbatimChar"/>
        </w:rPr>
        <w:t xml:space="preserve">storcli /c0 show</w:t>
      </w:r>
      <w:r>
        <w:br/>
      </w:r>
      <w:r>
        <w:br/>
      </w:r>
      <w:r>
        <w:rPr>
          <w:rStyle w:val="VerbatimChar"/>
        </w:rPr>
        <w:t xml:space="preserve"># Verifier specifiquement l'etat de chaque disque physique</w:t>
      </w:r>
      <w:r>
        <w:br/>
      </w:r>
      <w:r>
        <w:rPr>
          <w:rStyle w:val="VerbatimChar"/>
        </w:rPr>
        <w:t xml:space="preserve">storcli /c0/eall/sall show</w:t>
      </w:r>
      <w:r>
        <w:br/>
      </w:r>
      <w:r>
        <w:br/>
      </w:r>
      <w:r>
        <w:rPr>
          <w:rStyle w:val="VerbatimChar"/>
        </w:rPr>
        <w:t xml:space="preserve"># Verifier l'etat de la batterie du cache (BBU)</w:t>
      </w:r>
      <w:r>
        <w:br/>
      </w:r>
      <w:r>
        <w:rPr>
          <w:rStyle w:val="VerbatimChar"/>
        </w:rPr>
        <w:t xml:space="preserve">storcli /c0/bbu show</w:t>
      </w:r>
    </w:p>
    <w:p>
      <w:pPr>
        <w:pStyle w:val="FirstParagraph"/>
      </w:pPr>
      <w:r>
        <w:t xml:space="preserve">✅ Bonne pratique — intégrer la surveillance RAID au script de supervision existant</w:t>
      </w:r>
      <w:r>
        <w:t xml:space="preserve"> </w:t>
      </w:r>
      <w:r>
        <w:t xml:space="preserve">Exactement comme la vérification NTP ajoutée au chapitre 23 ou la vérification de certificat ajoutée au chapitre 24, l’état du RAID matériel doit être intégré au script de supervision quotidien des chapitres 20-21 (ou, mieux encore, à un outil de supervision dédié dès la Partie 10) — une alerte automatique dès la première panne de disque aurait évité les six semaines d’exposition silencieuse du scénario d’ouverture.</w:t>
      </w:r>
    </w:p>
    <w:p>
      <w:pPr>
        <w:pStyle w:val="BodyText"/>
      </w:pPr>
      <w:r>
        <w:t xml:space="preserve">🚀 Performance — le délai de reconstruction (rebuild) comme fenêtre de risque</w:t>
      </w:r>
      <w:r>
        <w:t xml:space="preserve"> </w:t>
      </w:r>
      <w:r>
        <w:t xml:space="preserve">Après remplacement d’un disque en panne, le contrôleur RAID doit reconstruire les données sur le nouveau disque (le</w:t>
      </w:r>
      <w:r>
        <w:t xml:space="preserve"> </w:t>
      </w:r>
      <w:r>
        <w:t xml:space="preserve">“rebuild”</w:t>
      </w:r>
      <w:r>
        <w:t xml:space="preserve">) — une opération qui peut prendre plusieurs heures selon la taille des disques, pendant laquelle la tolérance de panne réelle est réduite. Plus la détection d’une panne est rapide (grâce à la surveillance de la section 27.4), plus tôt le remplacement et donc le rebuild peuvent commencer, réduisant d’autant la fenêtre totale de vulnérabilité — le contraire exact des six semaines d’exposition non détectée du scénario d’ouverture.</w:t>
      </w:r>
    </w:p>
    <w:bookmarkEnd w:id="670"/>
    <w:bookmarkStart w:id="671" w:name="X978d5dd35bf7b8beb0f0265501047919411e30c"/>
    <w:p>
      <w:pPr>
        <w:pStyle w:val="Heading2"/>
      </w:pPr>
      <w:r>
        <w:t xml:space="preserve">27.5 Windows Storage Spaces : le RAID logiciel côté Windows</w:t>
      </w:r>
    </w:p>
    <w:p>
      <w:pPr>
        <w:pStyle w:val="FirstParagraph"/>
      </w:pPr>
      <w:r>
        <w:t xml:space="preserve">Pour compléter le parallèle avec</w:t>
      </w:r>
      <w:r>
        <w:t xml:space="preserve"> </w:t>
      </w:r>
      <w:r>
        <w:rPr>
          <w:rStyle w:val="VerbatimChar"/>
        </w:rPr>
        <w:t xml:space="preserve">mdadm</w:t>
      </w:r>
      <w:r>
        <w:t xml:space="preserve"> </w:t>
      </w:r>
      <w:r>
        <w:t xml:space="preserve">et LVM (chapitre 17), Windows Server propose son propre RAID logiciel natif :</w:t>
      </w:r>
      <w:r>
        <w:t xml:space="preserve"> </w:t>
      </w:r>
      <w:r>
        <w:rPr>
          <w:b/>
          <w:bCs/>
        </w:rPr>
        <w:t xml:space="preserve">Storage Spaces</w:t>
      </w:r>
      <w:r>
        <w:t xml:space="preserve">, combinant plusieurs disques physiques en un pool, puis en espaces de stockage logiques avec résilience configurable (simple, en miroir, ou avec parité — des équivalents directs des niveaux RAID 0, 1 et 5/6).</w:t>
      </w:r>
    </w:p>
    <w:p>
      <w:pPr>
        <w:pStyle w:val="SourceCode"/>
      </w:pPr>
      <w:r>
        <w:rPr>
          <w:rStyle w:val="CommentTok"/>
        </w:rPr>
        <w:t xml:space="preserve"># Creer un pool de stockage a partir de plusieurs disques physiques</w:t>
      </w:r>
      <w:r>
        <w:br/>
      </w:r>
      <w:r>
        <w:rPr>
          <w:rStyle w:val="NormalTok"/>
        </w:rPr>
        <w:t xml:space="preserve">New-StoragePool </w:t>
      </w:r>
      <w:r>
        <w:rPr>
          <w:rStyle w:val="OperatorTok"/>
        </w:rPr>
        <w:t xml:space="preserve">-</w:t>
      </w:r>
      <w:r>
        <w:rPr>
          <w:rStyle w:val="NormalTok"/>
        </w:rPr>
        <w:t xml:space="preserve">FriendlyName </w:t>
      </w:r>
      <w:r>
        <w:rPr>
          <w:rStyle w:val="StringTok"/>
        </w:rPr>
        <w:t xml:space="preserve">"PoolDonnees"</w:t>
      </w:r>
      <w:r>
        <w:rPr>
          <w:rStyle w:val="NormalTok"/>
        </w:rPr>
        <w:t xml:space="preserve"> </w:t>
      </w:r>
      <w:r>
        <w:rPr>
          <w:rStyle w:val="OperatorTok"/>
        </w:rPr>
        <w:t xml:space="preserve">-</w:t>
      </w:r>
      <w:r>
        <w:rPr>
          <w:rStyle w:val="NormalTok"/>
        </w:rPr>
        <w:t xml:space="preserve">StorageSubsystemFriendlyName </w:t>
      </w:r>
      <w:r>
        <w:rPr>
          <w:rStyle w:val="StringTok"/>
        </w:rPr>
        <w:t xml:space="preserve">"Windows Storage*"</w:t>
      </w:r>
      <w:r>
        <w:rPr>
          <w:rStyle w:val="NormalTok"/>
        </w:rPr>
        <w:t xml:space="preserve"> </w:t>
      </w:r>
      <w:r>
        <w:rPr>
          <w:rStyle w:val="OperatorTok"/>
        </w:rPr>
        <w:t xml:space="preserve">-</w:t>
      </w:r>
      <w:r>
        <w:rPr>
          <w:rStyle w:val="NormalTok"/>
        </w:rPr>
        <w:t xml:space="preserve">PhysicalDisks </w:t>
      </w:r>
      <w:r>
        <w:rPr>
          <w:rStyle w:val="OperatorTok"/>
        </w:rPr>
        <w:t xml:space="preserve">(</w:t>
      </w:r>
      <w:r>
        <w:rPr>
          <w:rStyle w:val="NormalTok"/>
        </w:rPr>
        <w:t xml:space="preserve">Get-PhysicalDisk </w:t>
      </w:r>
      <w:r>
        <w:rPr>
          <w:rStyle w:val="OperatorTok"/>
        </w:rPr>
        <w:t xml:space="preserve">-</w:t>
      </w:r>
      <w:r>
        <w:rPr>
          <w:rStyle w:val="NormalTok"/>
        </w:rPr>
        <w:t xml:space="preserve">CanPool </w:t>
      </w:r>
      <w:r>
        <w:rPr>
          <w:rStyle w:val="VariableTok"/>
        </w:rPr>
        <w:t xml:space="preserve">$true</w:t>
      </w:r>
      <w:r>
        <w:rPr>
          <w:rStyle w:val="OperatorTok"/>
        </w:rPr>
        <w:t xml:space="preserve">)</w:t>
      </w:r>
      <w:r>
        <w:br/>
      </w:r>
      <w:r>
        <w:br/>
      </w:r>
      <w:r>
        <w:rPr>
          <w:rStyle w:val="CommentTok"/>
        </w:rPr>
        <w:t xml:space="preserve"># Creer un espace de stockage resilient (miroir, equivalent RAID 1)</w:t>
      </w:r>
      <w:r>
        <w:br/>
      </w:r>
      <w:r>
        <w:rPr>
          <w:rStyle w:val="CommentTok"/>
        </w:rPr>
        <w:t xml:space="preserve"># a l'interieur de ce pool</w:t>
      </w:r>
      <w:r>
        <w:br/>
      </w:r>
      <w:r>
        <w:rPr>
          <w:rStyle w:val="NormalTok"/>
        </w:rPr>
        <w:t xml:space="preserve">New-VirtualDisk </w:t>
      </w:r>
      <w:r>
        <w:rPr>
          <w:rStyle w:val="OperatorTok"/>
        </w:rPr>
        <w:t xml:space="preserve">-</w:t>
      </w:r>
      <w:r>
        <w:rPr>
          <w:rStyle w:val="NormalTok"/>
        </w:rPr>
        <w:t xml:space="preserve">StoragePoolFriendlyName </w:t>
      </w:r>
      <w:r>
        <w:rPr>
          <w:rStyle w:val="StringTok"/>
        </w:rPr>
        <w:t xml:space="preserve">"PoolDonnees"</w:t>
      </w:r>
      <w:r>
        <w:rPr>
          <w:rStyle w:val="NormalTok"/>
        </w:rPr>
        <w:t xml:space="preserve"> </w:t>
      </w:r>
      <w:r>
        <w:rPr>
          <w:rStyle w:val="OperatorTok"/>
        </w:rPr>
        <w:t xml:space="preserve">-</w:t>
      </w:r>
      <w:r>
        <w:rPr>
          <w:rStyle w:val="NormalTok"/>
        </w:rPr>
        <w:t xml:space="preserve">FriendlyName </w:t>
      </w:r>
      <w:r>
        <w:rPr>
          <w:rStyle w:val="StringTok"/>
        </w:rPr>
        <w:t xml:space="preserve">"DonneesResilientes"</w:t>
      </w:r>
      <w:r>
        <w:rPr>
          <w:rStyle w:val="NormalTok"/>
        </w:rPr>
        <w:t xml:space="preserve"> </w:t>
      </w:r>
      <w:r>
        <w:rPr>
          <w:rStyle w:val="OperatorTok"/>
        </w:rPr>
        <w:t xml:space="preserve">-</w:t>
      </w:r>
      <w:r>
        <w:rPr>
          <w:rStyle w:val="NormalTok"/>
        </w:rPr>
        <w:t xml:space="preserve">ResiliencySettingName Mirror </w:t>
      </w:r>
      <w:r>
        <w:rPr>
          <w:rStyle w:val="OperatorTok"/>
        </w:rPr>
        <w:t xml:space="preserve">-</w:t>
      </w:r>
      <w:r>
        <w:rPr>
          <w:rStyle w:val="NormalTok"/>
        </w:rPr>
        <w:t xml:space="preserve">Size 500GB</w:t>
      </w:r>
    </w:p>
    <w:p>
      <w:pPr>
        <w:pStyle w:val="FirstParagraph"/>
      </w:pPr>
      <w:r>
        <w:t xml:space="preserve">💡 Un principe transversal Windows/Linux, encore une fois</w:t>
      </w:r>
      <w:r>
        <w:t xml:space="preserve"> </w:t>
      </w:r>
      <w:r>
        <w:t xml:space="preserve">Storage Spaces (Windows) et LVM+mdadm (Linux, chapitre 17) répondent au même besoin fondamental — flexibilité et résilience du stockage — avec une syntaxe différente mais une logique très proche : un pool regroupant des disques physiques, puis des volumes logiques configurés avec un niveau de résilience choisi. Comprendre l’un facilite grandement la compréhension de l’autre, exactement comme LDAP (chapitre 22) a éclairé rétrospectivement Active Directory.</w:t>
      </w:r>
    </w:p>
    <w:bookmarkEnd w:id="671"/>
    <w:bookmarkStart w:id="672" w:name="Xc5a862b8ab228d89bfb46900e899fbd7decbf60"/>
    <w:p>
      <w:pPr>
        <w:pStyle w:val="Heading2"/>
      </w:pPr>
      <w:r>
        <w:t xml:space="preserve">Atelier — Concevoir un plan de surveillance RAID pour le scénario d’ouverture</w:t>
      </w:r>
    </w:p>
    <w:p>
      <w:pPr>
        <w:pStyle w:val="FirstParagraph"/>
      </w:pPr>
      <w:r>
        <w:t xml:space="preserve">🛠️ Atelier 27 — Éviter que les six semaines silencieuses ne se reproduisent</w:t>
      </w:r>
    </w:p>
    <w:p>
      <w:pPr>
        <w:pStyle w:val="BodyText"/>
      </w:pPr>
      <w:r>
        <w:rPr>
          <w:b/>
          <w:bCs/>
        </w:rPr>
        <w:t xml:space="preserve">Objectif</w:t>
      </w:r>
      <w:r>
        <w:t xml:space="preserve"> </w:t>
      </w:r>
      <w:r>
        <w:t xml:space="preserve">: concevoir un plan de surveillance concret pour le serveur de base de données financière du scénario d’ouverture.</w:t>
      </w:r>
    </w:p>
    <w:p>
      <w:pPr>
        <w:pStyle w:val="BodyText"/>
      </w:pPr>
      <w:r>
        <w:rPr>
          <w:b/>
          <w:bCs/>
        </w:rPr>
        <w:t xml:space="preserve">Préparation</w:t>
      </w:r>
      <w:r>
        <w:t xml:space="preserve"> </w:t>
      </w:r>
      <w:r>
        <w:t xml:space="preserve">: aucune installation nécessaire pour cet atelier conceptuel.</w:t>
      </w:r>
    </w:p>
    <w:p>
      <w:pPr>
        <w:pStyle w:val="BodyText"/>
      </w:pPr>
      <w:r>
        <w:rPr>
          <w:b/>
          <w:bCs/>
        </w:rPr>
        <w:t xml:space="preserve">Étapes détaillées</w:t>
      </w:r>
      <w:r>
        <w:t xml:space="preserve"> </w:t>
      </w:r>
      <w:r>
        <w:t xml:space="preserve">:</w:t>
      </w:r>
    </w:p>
    <w:p>
      <w:pPr>
        <w:pStyle w:val="Compact"/>
        <w:numPr>
          <w:ilvl w:val="0"/>
          <w:numId w:val="1620"/>
        </w:numPr>
      </w:pPr>
      <w:r>
        <w:t xml:space="preserve">Identifie deux informations distinctes que le plan de surveillance doit vérifier régulièrement, en t’appuyant sur les sections 27.2 et 27.4.</w:t>
      </w:r>
    </w:p>
    <w:p>
      <w:pPr>
        <w:pStyle w:val="Compact"/>
        <w:numPr>
          <w:ilvl w:val="0"/>
          <w:numId w:val="1620"/>
        </w:numPr>
      </w:pPr>
      <w:r>
        <w:t xml:space="preserve">Propose une fréquence de vérification raisonnable, et justifie ton choix.</w:t>
      </w:r>
    </w:p>
    <w:p>
      <w:pPr>
        <w:pStyle w:val="Compact"/>
        <w:numPr>
          <w:ilvl w:val="0"/>
          <w:numId w:val="1620"/>
        </w:numPr>
      </w:pPr>
      <w:r>
        <w:t xml:space="preserve">Propose un seuil de gravité qui justifierait une alerte immédiate versus une simple entrée de journal.</w:t>
      </w:r>
    </w:p>
    <w:p>
      <w:pPr>
        <w:pStyle w:val="Compact"/>
        <w:numPr>
          <w:ilvl w:val="0"/>
          <w:numId w:val="1620"/>
        </w:numPr>
      </w:pPr>
      <w:r>
        <w:t xml:space="preserve">Compare ta démarche à la section</w:t>
      </w:r>
      <w:r>
        <w:t xml:space="preserve"> </w:t>
      </w:r>
      <w:r>
        <w:t xml:space="preserve">“Résultat attendu”</w:t>
      </w:r>
      <w:r>
        <w:t xml:space="preserve">.</w:t>
      </w:r>
    </w:p>
    <w:p>
      <w:pPr>
        <w:pStyle w:val="FirstParagraph"/>
      </w:pPr>
      <w:r>
        <w:rPr>
          <w:b/>
          <w:bCs/>
        </w:rPr>
        <w:t xml:space="preserve">Résultat attendu</w:t>
      </w:r>
      <w:r>
        <w:t xml:space="preserve"> </w:t>
      </w:r>
      <w:r>
        <w:t xml:space="preserve">: le plan doit vérifier à la fois l’état de chaque disque physique (</w:t>
      </w:r>
      <w:r>
        <w:rPr>
          <w:rStyle w:val="VerbatimChar"/>
        </w:rPr>
        <w:t xml:space="preserve">storcli /c0/eall/sall show</w:t>
      </w:r>
      <w:r>
        <w:t xml:space="preserve">, section 27.4) ET l’état de la batterie de cache (</w:t>
      </w:r>
      <w:r>
        <w:rPr>
          <w:rStyle w:val="VerbatimChar"/>
        </w:rPr>
        <w:t xml:space="preserve">storcli /c0/bbu show</w:t>
      </w:r>
      <w:r>
        <w:t xml:space="preserve">, section 27.2) — les deux informations distinctes et toutes deux critiques, comme le montre le scénario d’ouverture où seule la panne de disque était en jeu, mais une BBU défaillante non détectée aurait pu créer un risque tout aussi silencieux. Une fréquence quotidienne (intégrée au script de supervision existant) est largement suffisante pour ce type de vérification peu coûteuse. Tout disque en état</w:t>
      </w:r>
      <w:r>
        <w:t xml:space="preserve"> </w:t>
      </w:r>
      <w:r>
        <w:t xml:space="preserve">“Failed”</w:t>
      </w:r>
      <w:r>
        <w:t xml:space="preserve"> </w:t>
      </w:r>
      <w:r>
        <w:t xml:space="preserve">ou</w:t>
      </w:r>
      <w:r>
        <w:t xml:space="preserve"> </w:t>
      </w:r>
      <w:r>
        <w:t xml:space="preserve">“Degraded”</w:t>
      </w:r>
      <w:r>
        <w:t xml:space="preserve">, ou toute BBU non</w:t>
      </w:r>
      <w:r>
        <w:t xml:space="preserve"> </w:t>
      </w:r>
      <w:r>
        <w:t xml:space="preserve">“Optimal”</w:t>
      </w:r>
      <w:r>
        <w:t xml:space="preserve">, doit déclencher une alerte immédiate — jamais une simple ligne de journal noyée parmi d’autres, exactement le type d’information qui est passée inaperçue pendant six semaines dans le scénario d’ouverture.</w:t>
      </w:r>
    </w:p>
    <w:p>
      <w:pPr>
        <w:pStyle w:val="BodyText"/>
      </w:pPr>
      <w:r>
        <w:rPr>
          <w:b/>
          <w:bCs/>
        </w:rPr>
        <w:t xml:space="preserve">Dépannage</w:t>
      </w:r>
      <w:r>
        <w:t xml:space="preserve"> </w:t>
      </w:r>
      <w:r>
        <w:t xml:space="preserve">: si tu ne sais pas quel outil de ligne de commande utiliser pour un contrôleur RAID précis, identifie d’abord le fabricant exact du contrôleur (souvent visible dans le BIOS/UEFI du serveur ou sa documentation) — chaque fabricant a son propre outil (</w:t>
      </w:r>
      <w:r>
        <w:rPr>
          <w:rStyle w:val="VerbatimChar"/>
        </w:rPr>
        <w:t xml:space="preserve">storcli</w:t>
      </w:r>
      <w:r>
        <w:t xml:space="preserve">/</w:t>
      </w:r>
      <w:r>
        <w:rPr>
          <w:rStyle w:val="VerbatimChar"/>
        </w:rPr>
        <w:t xml:space="preserve">MegaCli</w:t>
      </w:r>
      <w:r>
        <w:t xml:space="preserve"> </w:t>
      </w:r>
      <w:r>
        <w:t xml:space="preserve">pour LSI/Broadcom,</w:t>
      </w:r>
      <w:r>
        <w:t xml:space="preserve"> </w:t>
      </w:r>
      <w:r>
        <w:rPr>
          <w:rStyle w:val="VerbatimChar"/>
        </w:rPr>
        <w:t xml:space="preserve">perccli</w:t>
      </w:r>
      <w:r>
        <w:t xml:space="preserve"> </w:t>
      </w:r>
      <w:r>
        <w:t xml:space="preserve">pour Dell,</w:t>
      </w:r>
      <w:r>
        <w:t xml:space="preserve"> </w:t>
      </w:r>
      <w:r>
        <w:rPr>
          <w:rStyle w:val="VerbatimChar"/>
        </w:rPr>
        <w:t xml:space="preserve">hpssacli</w:t>
      </w:r>
      <w:r>
        <w:t xml:space="preserve">/</w:t>
      </w:r>
      <w:r>
        <w:rPr>
          <w:rStyle w:val="VerbatimChar"/>
        </w:rPr>
        <w:t xml:space="preserve">ssacli</w:t>
      </w:r>
      <w:r>
        <w:t xml:space="preserve"> </w:t>
      </w:r>
      <w:r>
        <w:t xml:space="preserve">pour HP/HPE), sans standard universel unifié contrairement à</w:t>
      </w:r>
      <w:r>
        <w:t xml:space="preserve"> </w:t>
      </w:r>
      <w:r>
        <w:rPr>
          <w:rStyle w:val="VerbatimChar"/>
        </w:rPr>
        <w:t xml:space="preserve">mdadm</w:t>
      </w:r>
      <w:r>
        <w:t xml:space="preserve"> </w:t>
      </w:r>
      <w:r>
        <w:t xml:space="preserve">sur Linux.</w:t>
      </w:r>
    </w:p>
    <w:bookmarkEnd w:id="672"/>
    <w:bookmarkStart w:id="673" w:name="erreurs-fréquentes-26"/>
    <w:p>
      <w:pPr>
        <w:pStyle w:val="Heading2"/>
      </w:pPr>
      <w:r>
        <w:t xml:space="preserve">Erreurs fréquentes</w:t>
      </w:r>
    </w:p>
    <w:p>
      <w:pPr>
        <w:pStyle w:val="FirstParagraph"/>
      </w:pPr>
      <w:r>
        <w:t xml:space="preserve">⚠️ Erreur n°1 — ne jamais surveiller activement l’état du RAID matériel</w:t>
      </w:r>
      <w:r>
        <w:t xml:space="preserve"> </w:t>
      </w:r>
      <w:r>
        <w:t xml:space="preserve">Exactement la cause du scénario d’ouverture — la tolérance de panne du RAID masque parfaitement une dégradation réelle tant que personne ne vérifie activement son état.</w:t>
      </w:r>
    </w:p>
    <w:p>
      <w:pPr>
        <w:pStyle w:val="BodyText"/>
      </w:pPr>
      <w:r>
        <w:t xml:space="preserve">⚠️ Erreur n°2 — ignorer l’état de la BBU du contrôleur</w:t>
      </w:r>
      <w:r>
        <w:t xml:space="preserve"> </w:t>
      </w:r>
      <w:r>
        <w:t xml:space="preserve">Rappel de la section 27.2 : une BBU défaillante peut désactiver silencieusement le cache en écriture, provoquant une chute de performance déroutante sans lien apparent avec sa cause réelle.</w:t>
      </w:r>
    </w:p>
    <w:p>
      <w:pPr>
        <w:pStyle w:val="BodyText"/>
      </w:pPr>
      <w:r>
        <w:t xml:space="preserve">⚠️ Erreur n°3 — tarder à remplacer un disque en panne détecté</w:t>
      </w:r>
      <w:r>
        <w:t xml:space="preserve"> </w:t>
      </w:r>
      <w:r>
        <w:t xml:space="preserve">Rappel de la section 27.4 : chaque jour de retard dans le remplacement d’un disque en panne prolonge la fenêtre de vulnérabilité réelle, même si le RAID continue apparemment de fonctionner normalement pendant ce délai.</w:t>
      </w:r>
    </w:p>
    <w:bookmarkEnd w:id="673"/>
    <w:bookmarkStart w:id="674" w:name="diagnostiquer-un-raid-matériel-dégradé"/>
    <w:p>
      <w:pPr>
        <w:pStyle w:val="Heading2"/>
      </w:pPr>
      <w:r>
        <w:t xml:space="preserve">Diagnostiquer un RAID matériel dégradé</w:t>
      </w:r>
    </w:p>
    <w:p>
      <w:pPr>
        <w:pStyle w:val="FirstParagraph"/>
      </w:pPr>
      <w:r>
        <w:t xml:space="preserve">🩺 Symptôme : performance disque soudainement dégradée sur un serveur avec RAID matériel</w:t>
      </w:r>
    </w:p>
    <w:p>
      <w:pPr>
        <w:pStyle w:val="Compact"/>
        <w:numPr>
          <w:ilvl w:val="0"/>
          <w:numId w:val="1621"/>
        </w:numPr>
      </w:pPr>
      <w:r>
        <w:rPr>
          <w:b/>
          <w:bCs/>
        </w:rPr>
        <w:t xml:space="preserve">Diagnostic</w:t>
      </w:r>
      <w:r>
        <w:t xml:space="preserve"> </w:t>
      </w:r>
      <w:r>
        <w:t xml:space="preserve">: deux hypothèses principales à vérifier en priorité — un disque en cours de reconstruction (rebuild) après remplacement, ou une BBU défaillante ayant basculé le contrôleur en mode d’écriture directe non mis en cache (section 27.2).</w:t>
      </w:r>
    </w:p>
    <w:p>
      <w:pPr>
        <w:pStyle w:val="Compact"/>
        <w:numPr>
          <w:ilvl w:val="0"/>
          <w:numId w:val="1621"/>
        </w:numPr>
      </w:pPr>
      <w:r>
        <w:rPr>
          <w:b/>
          <w:bCs/>
        </w:rPr>
        <w:t xml:space="preserve">Comment vérifier</w:t>
      </w:r>
      <w:r>
        <w:t xml:space="preserve"> </w:t>
      </w:r>
      <w:r>
        <w:t xml:space="preserve">:</w:t>
      </w:r>
      <w:r>
        <w:t xml:space="preserve"> </w:t>
      </w:r>
      <w:r>
        <w:rPr>
          <w:rStyle w:val="VerbatimChar"/>
        </w:rPr>
        <w:t xml:space="preserve">storcli /c0 show</w:t>
      </w:r>
      <w:r>
        <w:t xml:space="preserve"> </w:t>
      </w:r>
      <w:r>
        <w:t xml:space="preserve">(ou l’équivalent du fabricant) révèle immédiatement l’état global du contrôleur, incluant tout rebuild en cours et l’état de la BBU.</w:t>
      </w:r>
    </w:p>
    <w:p>
      <w:pPr>
        <w:pStyle w:val="Compact"/>
        <w:numPr>
          <w:ilvl w:val="0"/>
          <w:numId w:val="1621"/>
        </w:numPr>
      </w:pPr>
      <w:r>
        <w:rPr>
          <w:b/>
          <w:bCs/>
        </w:rPr>
        <w:t xml:space="preserve">Résolution</w:t>
      </w:r>
      <w:r>
        <w:t xml:space="preserve"> </w:t>
      </w:r>
      <w:r>
        <w:t xml:space="preserve">: un rebuild en cours se résorbe de lui-même avec le temps, sans action corrective nécessaire au-delà de patienter ; une BBU défaillante nécessite un remplacement physique, généralement sous garantie fournisseur si le serveur est encore couvert.</w:t>
      </w:r>
    </w:p>
    <w:bookmarkEnd w:id="674"/>
    <w:bookmarkStart w:id="675" w:name="en-entreprise-26"/>
    <w:p>
      <w:pPr>
        <w:pStyle w:val="Heading2"/>
      </w:pPr>
      <w:r>
        <w:t xml:space="preserve">En entreprise</w:t>
      </w:r>
    </w:p>
    <w:p>
      <w:pPr>
        <w:pStyle w:val="Compact"/>
        <w:numPr>
          <w:ilvl w:val="0"/>
          <w:numId w:val="1622"/>
        </w:numPr>
      </w:pPr>
      <w:r>
        <w:rPr>
          <w:b/>
          <w:bCs/>
        </w:rPr>
        <w:t xml:space="preserve">Bonne pratique répandue</w:t>
      </w:r>
      <w:r>
        <w:t xml:space="preserve"> </w:t>
      </w:r>
      <w:r>
        <w:t xml:space="preserve">: intégrer la surveillance RAID matérielle dans le même outil de supervision centralisé que le reste de l’infrastructure (Partie 10), plutôt qu’un outil propriétaire isolé consulté occasionnellement et facilement oublié.</w:t>
      </w:r>
    </w:p>
    <w:p>
      <w:pPr>
        <w:pStyle w:val="Compact"/>
        <w:numPr>
          <w:ilvl w:val="0"/>
          <w:numId w:val="1622"/>
        </w:numPr>
      </w:pPr>
      <w:r>
        <w:rPr>
          <w:b/>
          <w:bCs/>
        </w:rPr>
        <w:t xml:space="preserve">Bonne pratique répandue</w:t>
      </w:r>
      <w:r>
        <w:t xml:space="preserve"> </w:t>
      </w:r>
      <w:r>
        <w:t xml:space="preserve">: maintenir un contrat de garantie ou de support actif sur le matériel serveur critique, garantissant un remplacement rapide de disque en cas de panne détectée — la vitesse de remplacement étant directement liée à la fenêtre de risque réelle (section 27.4).</w:t>
      </w:r>
    </w:p>
    <w:p>
      <w:pPr>
        <w:pStyle w:val="Compact"/>
        <w:numPr>
          <w:ilvl w:val="0"/>
          <w:numId w:val="1622"/>
        </w:numPr>
      </w:pPr>
      <w:r>
        <w:rPr>
          <w:b/>
          <w:bCs/>
        </w:rPr>
        <w:t xml:space="preserve">Erreur classique observée</w:t>
      </w:r>
      <w:r>
        <w:t xml:space="preserve"> </w:t>
      </w:r>
      <w:r>
        <w:t xml:space="preserve">: un serveur RAID matériel jamais revu depuis son installation initiale, dont personne ne sait plus si la surveillance a été correctement configurée à l’époque — un audit périodique (rejoignant l’esprit du chapitre 3) aurait détecté cette lacune bien avant qu’elle ne devienne critique.</w:t>
      </w:r>
    </w:p>
    <w:bookmarkEnd w:id="675"/>
    <w:bookmarkStart w:id="676" w:name="entretien-technique-26"/>
    <w:p>
      <w:pPr>
        <w:pStyle w:val="Heading2"/>
      </w:pPr>
      <w:r>
        <w:t xml:space="preserve">Entretien technique</w:t>
      </w:r>
    </w:p>
    <w:p>
      <w:pPr>
        <w:pStyle w:val="FirstParagraph"/>
      </w:pPr>
      <w:r>
        <w:t xml:space="preserve">💼 Questions fréquemment posées en entretien</w:t>
      </w:r>
    </w:p>
    <w:p>
      <w:pPr>
        <w:pStyle w:val="BodyText"/>
      </w:pPr>
      <w:r>
        <w:rPr>
          <w:b/>
          <w:bCs/>
        </w:rPr>
        <w:t xml:space="preserve">Q1.</w:t>
      </w:r>
      <w:r>
        <w:rPr>
          <w:b/>
          <w:bCs/>
        </w:rPr>
        <w:t xml:space="preserve"> </w:t>
      </w:r>
      <w:r>
        <w:rPr>
          <w:b/>
          <w:bCs/>
        </w:rPr>
        <w:t xml:space="preserve">“Quel est l’avantage principal d’un contrôleur RAID matériel avec cache par rapport à un RAID logiciel ?”</w:t>
      </w:r>
      <w:r>
        <w:t xml:space="preserve"> </w:t>
      </w:r>
      <w:r>
        <w:t xml:space="preserve">Réponse attendue : le contrôleur matériel décharge les calculs RAID du CPU système et peut offrir un cache en écriture protégé par batterie (BBU), améliorant significativement les performances d’écriture tout en protégeant contre la perte de données en cache lors d’une coupure de courant — au prix d’un coût matériel et d’une portabilité réduite.</w:t>
      </w:r>
    </w:p>
    <w:p>
      <w:pPr>
        <w:pStyle w:val="BodyText"/>
      </w:pPr>
      <w:r>
        <w:rPr>
          <w:b/>
          <w:bCs/>
        </w:rPr>
        <w:t xml:space="preserve">Q2.</w:t>
      </w:r>
      <w:r>
        <w:rPr>
          <w:b/>
          <w:bCs/>
        </w:rPr>
        <w:t xml:space="preserve"> </w:t>
      </w:r>
      <w:r>
        <w:rPr>
          <w:b/>
          <w:bCs/>
        </w:rPr>
        <w:t xml:space="preserve">“Pourquoi une panne de disque sur un RAID tolérant aux pannes reste-t-elle un incident sérieux, même si le service continue de fonctionner normalement ?”</w:t>
      </w:r>
      <w:r>
        <w:t xml:space="preserve"> </w:t>
      </w:r>
      <w:r>
        <w:t xml:space="preserve">Réponse attendue : la tolérance de panne du RAID réduit après chaque disque perdu — un RAID 6 tolérant deux pannes simultanées n’en tolère plus qu’une seule après une première panne, et zéro après une seconde. Sans surveillance et remplacement rapide, le système continue à fonctionner mais avec une marge de sécurité réduite, exposé à une perte totale de données si une nouvelle panne survient avant la correction de la première.</w:t>
      </w:r>
    </w:p>
    <w:p>
      <w:pPr>
        <w:pStyle w:val="BodyText"/>
      </w:pPr>
      <w:r>
        <w:rPr>
          <w:b/>
          <w:bCs/>
        </w:rPr>
        <w:t xml:space="preserve">Q3.</w:t>
      </w:r>
      <w:r>
        <w:rPr>
          <w:b/>
          <w:bCs/>
        </w:rPr>
        <w:t xml:space="preserve"> </w:t>
      </w:r>
      <w:r>
        <w:rPr>
          <w:b/>
          <w:bCs/>
        </w:rPr>
        <w:t xml:space="preserve">“Que se passe-t-il si la batterie de cache (BBU) d’un contrôleur RAID matériel est défaillante ?”</w:t>
      </w:r>
      <w:r>
        <w:t xml:space="preserve"> </w:t>
      </w:r>
      <w:r>
        <w:t xml:space="preserve">Réponse attendue : le contrôleur désactive généralement automatiquement le cache en écriture par mesure de précaution, basculant en mode d’écriture directe sur disque — plus lent mais plus sûr, évitant une perte de données en cache lors d’une coupure de courant, au prix d’une dégradation de performance qui peut sembler déroutante si l’état de la BBU n’est pas surveillé.</w:t>
      </w:r>
    </w:p>
    <w:bookmarkEnd w:id="676"/>
    <w:bookmarkStart w:id="677" w:name="Xfec9a48ba92a8a970012cccdaabda6c8074ed10"/>
    <w:p>
      <w:pPr>
        <w:pStyle w:val="Heading2"/>
      </w:pPr>
      <w:r>
        <w:t xml:space="preserve">Optimisation, sécurité et maintenabilité — les réflexes dès ce chapitre</w:t>
      </w:r>
    </w:p>
    <w:p>
      <w:pPr>
        <w:pStyle w:val="FirstParagraph"/>
      </w:pPr>
      <w:r>
        <w:t xml:space="preserve">🔒 Sécurité</w:t>
      </w:r>
      <w:r>
        <w:t xml:space="preserve"> </w:t>
      </w:r>
      <w:r>
        <w:t xml:space="preserve">N’installe jamais un serveur avec RAID matériel sans configurer immédiatement une surveillance active de l’état des disques ET de la BBU — l’absence de surveillance transforme silencieusement une protection réelle en simple délai avant un incident majeur, exactement le piège du scénario d’ouverture.</w:t>
      </w:r>
    </w:p>
    <w:p>
      <w:pPr>
        <w:pStyle w:val="BodyText"/>
      </w:pPr>
      <w:r>
        <w:t xml:space="preserve">✅ Maintenabilité</w:t>
      </w:r>
      <w:r>
        <w:t xml:space="preserve"> </w:t>
      </w:r>
      <w:r>
        <w:t xml:space="preserve">Documente (chapitre 3), pour chaque serveur avec RAID matériel, le modèle exact du contrôleur et l’outil de ligne de commande correspondant (</w:t>
      </w:r>
      <w:r>
        <w:rPr>
          <w:rStyle w:val="VerbatimChar"/>
        </w:rPr>
        <w:t xml:space="preserve">storcli</w:t>
      </w:r>
      <w:r>
        <w:t xml:space="preserve">,</w:t>
      </w:r>
      <w:r>
        <w:t xml:space="preserve"> </w:t>
      </w:r>
      <w:r>
        <w:rPr>
          <w:rStyle w:val="VerbatimChar"/>
        </w:rPr>
        <w:t xml:space="preserve">perccli</w:t>
      </w:r>
      <w:r>
        <w:t xml:space="preserve">,</w:t>
      </w:r>
      <w:r>
        <w:t xml:space="preserve"> </w:t>
      </w:r>
      <w:r>
        <w:rPr>
          <w:rStyle w:val="VerbatimChar"/>
        </w:rPr>
        <w:t xml:space="preserve">hpssacli</w:t>
      </w:r>
      <w:r>
        <w:t xml:space="preserve">…) — une information simple qui accélère considérablement un diagnostic futur, en particulier pour une personne découvrant ce serveur pour la première fois.</w:t>
      </w:r>
    </w:p>
    <w:p>
      <w:pPr>
        <w:pStyle w:val="BodyText"/>
      </w:pPr>
      <w:r>
        <w:t xml:space="preserve">🚀 Performance</w:t>
      </w:r>
      <w:r>
        <w:t xml:space="preserve"> </w:t>
      </w:r>
      <w:r>
        <w:t xml:space="preserve">Un contrôleur RAID matériel avec cache en écriture actif et une BBU fonctionnelle offre un gain de performance réel sur les charges d’écriture intensive (comme une base de données transactionnelle) — un argument technique concret en faveur du RAID matériel pour ce type précis de charge de travail, au-delà de la seule question de tolérance de panne.</w:t>
      </w:r>
    </w:p>
    <w:bookmarkEnd w:id="677"/>
    <w:bookmarkStart w:id="678" w:name="résumé-du-chapitre-26"/>
    <w:p>
      <w:pPr>
        <w:pStyle w:val="Heading2"/>
      </w:pPr>
      <w:r>
        <w:t xml:space="preserve">Résumé du chapitre</w:t>
      </w:r>
    </w:p>
    <w:p>
      <w:pPr>
        <w:pStyle w:val="Compact"/>
        <w:numPr>
          <w:ilvl w:val="0"/>
          <w:numId w:val="1623"/>
        </w:numPr>
      </w:pPr>
      <w:r>
        <w:t xml:space="preserve">Le RAID matériel utilise un contrôleur dédié, offrant des performances supérieures via un cache en écriture, au prix d’un coût et d’une portabilité réduite par rapport au RAID logiciel (chapitre 17).</w:t>
      </w:r>
    </w:p>
    <w:p>
      <w:pPr>
        <w:pStyle w:val="Compact"/>
        <w:numPr>
          <w:ilvl w:val="0"/>
          <w:numId w:val="1623"/>
        </w:numPr>
      </w:pPr>
      <w:r>
        <w:t xml:space="preserve">Une BBU (ou équivalent à supercondensateur) protège le cache du contrôleur contre une coupure de courant — un enjeu particulièrement pertinent dans le contexte haïtien déjà évoqué.</w:t>
      </w:r>
    </w:p>
    <w:p>
      <w:pPr>
        <w:pStyle w:val="Compact"/>
        <w:numPr>
          <w:ilvl w:val="0"/>
          <w:numId w:val="1623"/>
        </w:numPr>
      </w:pPr>
      <w:r>
        <w:t xml:space="preserve">La tolérance de panne du RAID peut créer un faux sentiment de sécurité si elle n’est jamais surveillée activement — une panne de disque non détectée réduit silencieusement la marge de sécurité réelle.</w:t>
      </w:r>
    </w:p>
    <w:p>
      <w:pPr>
        <w:pStyle w:val="Compact"/>
        <w:numPr>
          <w:ilvl w:val="0"/>
          <w:numId w:val="1623"/>
        </w:numPr>
      </w:pPr>
      <w:r>
        <w:t xml:space="preserve">La surveillance active (outils spécifiques au fabricant du contrôleur) et l’intégration à un script ou outil de supervision existant sont indispensables, pas optionnelles.</w:t>
      </w:r>
    </w:p>
    <w:p>
      <w:pPr>
        <w:pStyle w:val="Compact"/>
        <w:numPr>
          <w:ilvl w:val="0"/>
          <w:numId w:val="1623"/>
        </w:numPr>
      </w:pPr>
      <w:r>
        <w:t xml:space="preserve">Windows Storage Spaces est l’équivalent direct de LVM+mdadm côté Windows, avec la même logique de pool et de résilience configurable.</w:t>
      </w:r>
    </w:p>
    <w:bookmarkEnd w:id="678"/>
    <w:bookmarkStart w:id="679" w:name="quiz-26"/>
    <w:p>
      <w:pPr>
        <w:pStyle w:val="Heading2"/>
      </w:pPr>
      <w:r>
        <w:t xml:space="preserve">Quiz</w:t>
      </w:r>
    </w:p>
    <w:p>
      <w:pPr>
        <w:pStyle w:val="FirstParagraph"/>
      </w:pPr>
      <w:r>
        <w:t xml:space="preserve">📝 QCM (une seule bonne réponse par question)</w:t>
      </w:r>
    </w:p>
    <w:p>
      <w:pPr>
        <w:pStyle w:val="Compact"/>
        <w:numPr>
          <w:ilvl w:val="0"/>
          <w:numId w:val="1624"/>
        </w:numPr>
      </w:pPr>
      <w:r>
        <w:t xml:space="preserve">La BBU (Battery Backup Unit) d’un contrôleur RAID matériel protège principalement :</w:t>
      </w:r>
    </w:p>
    <w:p>
      <w:pPr>
        <w:pStyle w:val="Compact"/>
        <w:numPr>
          <w:ilvl w:val="1"/>
          <w:numId w:val="1625"/>
        </w:numPr>
      </w:pPr>
    </w:p>
    <w:p>
      <w:pPr>
        <w:pStyle w:val="Compact"/>
        <w:numPr>
          <w:ilvl w:val="2"/>
          <w:numId w:val="1626"/>
        </w:numPr>
      </w:pPr>
      <w:r>
        <w:t xml:space="preserve">L’alimentation générale du serveur</w:t>
      </w:r>
    </w:p>
    <w:p>
      <w:pPr>
        <w:pStyle w:val="Compact"/>
        <w:numPr>
          <w:ilvl w:val="1"/>
          <w:numId w:val="1625"/>
        </w:numPr>
      </w:pPr>
    </w:p>
    <w:p>
      <w:pPr>
        <w:pStyle w:val="Compact"/>
        <w:numPr>
          <w:ilvl w:val="2"/>
          <w:numId w:val="1627"/>
        </w:numPr>
      </w:pPr>
      <w:r>
        <w:t xml:space="preserve">Le cache en écriture du contrôleur lors d’une coupure de courant</w:t>
      </w:r>
    </w:p>
    <w:p>
      <w:pPr>
        <w:pStyle w:val="Compact"/>
        <w:numPr>
          <w:ilvl w:val="1"/>
          <w:numId w:val="1625"/>
        </w:numPr>
      </w:pPr>
    </w:p>
    <w:p>
      <w:pPr>
        <w:pStyle w:val="Compact"/>
        <w:numPr>
          <w:ilvl w:val="2"/>
          <w:numId w:val="1628"/>
        </w:numPr>
      </w:pPr>
      <w:r>
        <w:t xml:space="preserve">Les disques physiques eux-mêmes contre la surchauffe</w:t>
      </w:r>
    </w:p>
    <w:p>
      <w:pPr>
        <w:pStyle w:val="Compact"/>
        <w:numPr>
          <w:ilvl w:val="1"/>
          <w:numId w:val="1625"/>
        </w:numPr>
      </w:pPr>
    </w:p>
    <w:p>
      <w:pPr>
        <w:pStyle w:val="Compact"/>
        <w:numPr>
          <w:ilvl w:val="2"/>
          <w:numId w:val="1629"/>
        </w:numPr>
      </w:pPr>
      <w:r>
        <w:t xml:space="preserve">La connexion réseau du serveur</w:t>
      </w:r>
    </w:p>
    <w:p>
      <w:pPr>
        <w:pStyle w:val="Compact"/>
        <w:numPr>
          <w:ilvl w:val="0"/>
          <w:numId w:val="1624"/>
        </w:numPr>
      </w:pPr>
      <w:r>
        <w:t xml:space="preserve">Une panne de disque sur un RAID 6 (tolérant deux pannes) qui n’est jamais détectée ni corrigée :</w:t>
      </w:r>
    </w:p>
    <w:p>
      <w:pPr>
        <w:pStyle w:val="Compact"/>
        <w:numPr>
          <w:ilvl w:val="1"/>
          <w:numId w:val="1630"/>
        </w:numPr>
      </w:pPr>
    </w:p>
    <w:p>
      <w:pPr>
        <w:pStyle w:val="Compact"/>
        <w:numPr>
          <w:ilvl w:val="2"/>
          <w:numId w:val="1631"/>
        </w:numPr>
      </w:pPr>
      <w:r>
        <w:t xml:space="preserve">N’a aucune conséquence, le RAID 6 protège indéfiniment</w:t>
      </w:r>
    </w:p>
    <w:p>
      <w:pPr>
        <w:pStyle w:val="Compact"/>
        <w:numPr>
          <w:ilvl w:val="1"/>
          <w:numId w:val="1630"/>
        </w:numPr>
      </w:pPr>
    </w:p>
    <w:p>
      <w:pPr>
        <w:pStyle w:val="Compact"/>
        <w:numPr>
          <w:ilvl w:val="2"/>
          <w:numId w:val="1632"/>
        </w:numPr>
      </w:pPr>
      <w:r>
        <w:t xml:space="preserve">Réduit silencieusement la marge de tolérance de panne restante</w:t>
      </w:r>
    </w:p>
    <w:p>
      <w:pPr>
        <w:pStyle w:val="Compact"/>
        <w:numPr>
          <w:ilvl w:val="1"/>
          <w:numId w:val="1630"/>
        </w:numPr>
      </w:pPr>
    </w:p>
    <w:p>
      <w:pPr>
        <w:pStyle w:val="Compact"/>
        <w:numPr>
          <w:ilvl w:val="2"/>
          <w:numId w:val="1633"/>
        </w:numPr>
      </w:pPr>
      <w:r>
        <w:t xml:space="preserve">Répare automatiquement le disque en panne</w:t>
      </w:r>
    </w:p>
    <w:p>
      <w:pPr>
        <w:pStyle w:val="Compact"/>
        <w:numPr>
          <w:ilvl w:val="1"/>
          <w:numId w:val="1630"/>
        </w:numPr>
      </w:pPr>
    </w:p>
    <w:p>
      <w:pPr>
        <w:pStyle w:val="Compact"/>
        <w:numPr>
          <w:ilvl w:val="2"/>
          <w:numId w:val="1634"/>
        </w:numPr>
      </w:pPr>
      <w:r>
        <w:t xml:space="preserve">Bloque immédiatement tout le système</w:t>
      </w:r>
    </w:p>
    <w:p>
      <w:pPr>
        <w:pStyle w:val="Compact"/>
        <w:numPr>
          <w:ilvl w:val="0"/>
          <w:numId w:val="1624"/>
        </w:numPr>
      </w:pPr>
      <w:r>
        <w:t xml:space="preserve">L’équivalent Windows du RAID logiciel Linux (mdadm/LVM) est :</w:t>
      </w:r>
    </w:p>
    <w:p>
      <w:pPr>
        <w:pStyle w:val="Compact"/>
        <w:numPr>
          <w:ilvl w:val="1"/>
          <w:numId w:val="1635"/>
        </w:numPr>
      </w:pPr>
    </w:p>
    <w:p>
      <w:pPr>
        <w:pStyle w:val="Compact"/>
        <w:numPr>
          <w:ilvl w:val="2"/>
          <w:numId w:val="1636"/>
        </w:numPr>
      </w:pPr>
      <w:r>
        <w:t xml:space="preserve">Windows Admin Center</w:t>
      </w:r>
    </w:p>
    <w:p>
      <w:pPr>
        <w:pStyle w:val="Compact"/>
        <w:numPr>
          <w:ilvl w:val="1"/>
          <w:numId w:val="1635"/>
        </w:numPr>
      </w:pPr>
    </w:p>
    <w:p>
      <w:pPr>
        <w:pStyle w:val="Compact"/>
        <w:numPr>
          <w:ilvl w:val="2"/>
          <w:numId w:val="1637"/>
        </w:numPr>
      </w:pPr>
      <w:r>
        <w:t xml:space="preserve">Storage Spaces</w:t>
      </w:r>
    </w:p>
    <w:p>
      <w:pPr>
        <w:pStyle w:val="Compact"/>
        <w:numPr>
          <w:ilvl w:val="1"/>
          <w:numId w:val="1635"/>
        </w:numPr>
      </w:pPr>
    </w:p>
    <w:p>
      <w:pPr>
        <w:pStyle w:val="Compact"/>
        <w:numPr>
          <w:ilvl w:val="2"/>
          <w:numId w:val="1638"/>
        </w:numPr>
      </w:pPr>
      <w:r>
        <w:t xml:space="preserve">Server Manager</w:t>
      </w:r>
    </w:p>
    <w:p>
      <w:pPr>
        <w:pStyle w:val="Compact"/>
        <w:numPr>
          <w:ilvl w:val="1"/>
          <w:numId w:val="1635"/>
        </w:numPr>
      </w:pPr>
    </w:p>
    <w:p>
      <w:pPr>
        <w:pStyle w:val="Compact"/>
        <w:numPr>
          <w:ilvl w:val="2"/>
          <w:numId w:val="1639"/>
        </w:numPr>
      </w:pPr>
      <w:r>
        <w:t xml:space="preserve">Active Directory</w:t>
      </w:r>
    </w:p>
    <w:p>
      <w:pPr>
        <w:pStyle w:val="FirstParagraph"/>
      </w:pPr>
      <w:r>
        <w:rPr>
          <w:b/>
          <w:bCs/>
        </w:rPr>
        <w:t xml:space="preserve">Corrigé</w:t>
      </w:r>
      <w:r>
        <w:t xml:space="preserve"> </w:t>
      </w:r>
      <w:r>
        <w:t xml:space="preserve">: 1-b, 2-b, 3-b.</w:t>
      </w:r>
    </w:p>
    <w:p>
      <w:pPr>
        <w:pStyle w:val="BodyText"/>
      </w:pPr>
      <w:r>
        <w:t xml:space="preserve">📝 Vrai ou Faux</w:t>
      </w:r>
    </w:p>
    <w:p>
      <w:pPr>
        <w:pStyle w:val="Compact"/>
        <w:numPr>
          <w:ilvl w:val="0"/>
          <w:numId w:val="1640"/>
        </w:numPr>
      </w:pPr>
      <w:r>
        <w:t xml:space="preserve">Un RAID matériel décharge les calculs RAID du CPU du système d’exploitation. —</w:t>
      </w:r>
      <w:r>
        <w:t xml:space="preserve"> </w:t>
      </w:r>
      <w:r>
        <w:rPr>
          <w:b/>
          <w:bCs/>
        </w:rPr>
        <w:t xml:space="preserve">Vrai</w:t>
      </w:r>
      <w:r>
        <w:t xml:space="preserve">.</w:t>
      </w:r>
    </w:p>
    <w:p>
      <w:pPr>
        <w:pStyle w:val="Compact"/>
        <w:numPr>
          <w:ilvl w:val="0"/>
          <w:numId w:val="1640"/>
        </w:numPr>
      </w:pPr>
      <w:r>
        <w:t xml:space="preserve">Une BBU défaillante fait généralement planter immédiatement le serveur. —</w:t>
      </w:r>
      <w:r>
        <w:t xml:space="preserve"> </w:t>
      </w:r>
      <w:r>
        <w:rPr>
          <w:b/>
          <w:bCs/>
        </w:rPr>
        <w:t xml:space="preserve">Faux</w:t>
      </w:r>
      <w:r>
        <w:t xml:space="preserve"> </w:t>
      </w:r>
      <w:r>
        <w:t xml:space="preserve">(le contrôleur bascule généralement en mode d’écriture directe plus lent mais sûr, section 27.2).</w:t>
      </w:r>
    </w:p>
    <w:p>
      <w:pPr>
        <w:pStyle w:val="Compact"/>
        <w:numPr>
          <w:ilvl w:val="0"/>
          <w:numId w:val="1640"/>
        </w:numPr>
      </w:pPr>
      <w:r>
        <w:t xml:space="preserve">La surveillance active de l’état du RAID matériel est optionnelle si le serveur</w:t>
      </w:r>
      <w:r>
        <w:t xml:space="preserve"> </w:t>
      </w:r>
      <w:r>
        <w:t xml:space="preserve">“fonctionne normalement”</w:t>
      </w:r>
      <w:r>
        <w:t xml:space="preserve">. —</w:t>
      </w:r>
      <w:r>
        <w:t xml:space="preserve"> </w:t>
      </w:r>
      <w:r>
        <w:rPr>
          <w:b/>
          <w:bCs/>
        </w:rPr>
        <w:t xml:space="preserve">Faux</w:t>
      </w:r>
      <w:r>
        <w:t xml:space="preserve"> </w:t>
      </w:r>
      <w:r>
        <w:t xml:space="preserve">(exactement le piège du scénario d’ouverture).</w:t>
      </w:r>
    </w:p>
    <w:p>
      <w:pPr>
        <w:pStyle w:val="Compact"/>
        <w:numPr>
          <w:ilvl w:val="0"/>
          <w:numId w:val="1640"/>
        </w:numPr>
      </w:pPr>
      <w:r>
        <w:t xml:space="preserve">Storage Spaces sur Windows et LVM+mdadm sur Linux répondent au même besoin fondamental de résilience et de flexibilité du stockage. —</w:t>
      </w:r>
      <w:r>
        <w:t xml:space="preserve"> </w:t>
      </w:r>
      <w:r>
        <w:rPr>
          <w:b/>
          <w:bCs/>
        </w:rPr>
        <w:t xml:space="preserve">Vrai</w:t>
      </w:r>
      <w:r>
        <w:t xml:space="preserve">.</w:t>
      </w:r>
    </w:p>
    <w:p>
      <w:pPr>
        <w:pStyle w:val="FirstParagraph"/>
      </w:pPr>
      <w:r>
        <w:t xml:space="preserve">📝 Questions ouvertes</w:t>
      </w:r>
    </w:p>
    <w:p>
      <w:pPr>
        <w:pStyle w:val="Compact"/>
        <w:numPr>
          <w:ilvl w:val="0"/>
          <w:numId w:val="1641"/>
        </w:numPr>
      </w:pPr>
      <w:r>
        <w:t xml:space="preserve">Explique pourquoi la tolérance de panne du RAID peut, paradoxalement, retarder la détection d’un problème réel plutôt que la faciliter.</w:t>
      </w:r>
    </w:p>
    <w:p>
      <w:pPr>
        <w:pStyle w:val="Compact"/>
        <w:numPr>
          <w:ilvl w:val="0"/>
          <w:numId w:val="1641"/>
        </w:numPr>
      </w:pPr>
      <w:r>
        <w:t xml:space="preserve">Reprends le scénario d’ouverture. Explique en 3-4 phrases ce que tu mettrais en place pour garantir qu’une telle situation ne se reproduise jamais, même sur un serveur futur dont personne n’aurait pensé à vérifier la configuration de surveillance.</w:t>
      </w:r>
    </w:p>
    <w:p>
      <w:pPr>
        <w:pStyle w:val="FirstParagraph"/>
      </w:pPr>
      <w:r>
        <w:rPr>
          <w:b/>
          <w:bCs/>
        </w:rPr>
        <w:t xml:space="preserve">Corrigé 1</w:t>
      </w:r>
      <w:r>
        <w:t xml:space="preserve"> </w:t>
      </w:r>
      <w:r>
        <w:t xml:space="preserve">: le RAID est précisément conçu pour continuer à fonctionner normalement malgré une panne de disque — c’est sa raison d’être. Mais cette même propriété qui protège la disponibilité du service masque aussi visuellement le problème : sans symptôme perceptible pour les utilisateurs ou l’équipe, rien n’attire naturellement l’attention sur la panne sous-jacente, contrairement à un système sans RAID où une panne de disque provoquerait un arrêt immédiat et évident. La tolérance de panne doit donc toujours être complétée par une surveillance active, jamais présumée suffisante à elle seule.</w:t>
      </w:r>
    </w:p>
    <w:p>
      <w:pPr>
        <w:pStyle w:val="BodyText"/>
      </w:pPr>
      <w:r>
        <w:rPr>
          <w:b/>
          <w:bCs/>
        </w:rPr>
        <w:t xml:space="preserve">Corrigé 2</w:t>
      </w:r>
      <w:r>
        <w:t xml:space="preserve"> </w:t>
      </w:r>
      <w:r>
        <w:t xml:space="preserve">: je proposerais d’ajouter une vérification systématique et automatisée de l’état RAID (disques et BBU) à une checklist de mise en service obligatoire pour tout nouveau serveur (rejoignant directement le chapitre 3 sur la documentation), intégrée dès le départ au script ou à l’outil de supervision central plutôt que laissée à la discrétion de la personne qui installe le serveur. Je documenterais aussi explicitement, pour chaque serveur avec RAID matériel, l’outil de ligne de commande spécifique à utiliser et la fréquence de vérification attendue, pour qu’aucune ambiguïté ne subsiste sur qui est responsable de cette surveillance et comment elle doit être réalisée.</w:t>
      </w:r>
    </w:p>
    <w:bookmarkEnd w:id="679"/>
    <w:bookmarkStart w:id="680" w:name="exercices-26"/>
    <w:p>
      <w:pPr>
        <w:pStyle w:val="Heading2"/>
      </w:pPr>
      <w:r>
        <w:t xml:space="preserve">Exercices</w:t>
      </w:r>
    </w:p>
    <w:p>
      <w:pPr>
        <w:pStyle w:val="FirstParagraph"/>
      </w:pPr>
      <w:r>
        <w:t xml:space="preserve">📝 Exercice 27.1</w:t>
      </w:r>
    </w:p>
    <w:p>
      <w:pPr>
        <w:pStyle w:val="BodyText"/>
      </w:pPr>
      <w:r>
        <w:t xml:space="preserve">Un serveur RAID matériel affiche soudainement des performances d’écriture bien plus lentes que d’habitude, sans aucune panne de disque signalée. Propose une hypothèse et la commande pour la vérifier, en t’appuyant sur la section 27.2.</w:t>
      </w:r>
    </w:p>
    <w:p>
      <w:pPr>
        <w:pStyle w:val="BodyText"/>
      </w:pPr>
      <w:r>
        <w:rPr>
          <w:b/>
          <w:bCs/>
        </w:rPr>
        <w:t xml:space="preserve">Corrigé :</w:t>
      </w:r>
      <w:r>
        <w:t xml:space="preserve"> </w:t>
      </w:r>
      <w:r>
        <w:t xml:space="preserve">L’hypothèse la plus probable est une BBU défaillante ou déchargée ayant fait basculer le contrôleur en mode d’écriture directe sur disque (write-through), désactivant le gain de performance normalement apporté par le cache en écriture protégé — une cause de ralentissement totalement indépendante d’une panne de disque. La commande</w:t>
      </w:r>
      <w:r>
        <w:t xml:space="preserve"> </w:t>
      </w:r>
      <w:r>
        <w:rPr>
          <w:rStyle w:val="VerbatimChar"/>
        </w:rPr>
        <w:t xml:space="preserve">storcli /c0/bbu show</w:t>
      </w:r>
      <w:r>
        <w:t xml:space="preserve"> </w:t>
      </w:r>
      <w:r>
        <w:t xml:space="preserve">(ou l’équivalent selon le fabricant du contrôleur) permettrait de confirmer immédiatement l’état de la batterie et de valider ou d’écarter cette hypothèse.</w:t>
      </w:r>
    </w:p>
    <w:p>
      <w:pPr>
        <w:pStyle w:val="BodyText"/>
      </w:pPr>
      <w:r>
        <w:t xml:space="preserve">📝 Exercice 27.2</w:t>
      </w:r>
    </w:p>
    <w:p>
      <w:pPr>
        <w:pStyle w:val="BodyText"/>
      </w:pPr>
      <w:r>
        <w:t xml:space="preserve">Rédige, en 3 à 5 phrases, pourquoi le contexte spécifique des coupures de courant fréquentes en Haïti (déjà évoqué aux chapitres 6 et 23) rend la BBU d’un contrôleur RAID matériel particulièrement importante, au-delà d’une simple case technique à cocher.</w:t>
      </w:r>
    </w:p>
    <w:p>
      <w:pPr>
        <w:pStyle w:val="BodyText"/>
      </w:pPr>
      <w:r>
        <w:rPr>
          <w:b/>
          <w:bCs/>
        </w:rPr>
        <w:t xml:space="preserve">Corrigé (exemple de réponse) :</w:t>
      </w:r>
      <w:r>
        <w:t xml:space="preserve"> </w:t>
      </w:r>
      <w:r>
        <w:t xml:space="preserve">Dans un contexte où les coupures de courant sont statistiquement plus fréquentes que dans d’autres régions moins sujettes à ce risque, un cache en écriture non protégé expose l’entreprise à des pertes de données répétées et régulières, chaque coupure représentant une occasion réelle de perte plutôt qu’un événement rare et exceptionnel. La BBU (ou son équivalent à supercondensateur) transforme ce risque récurrent en non-événement pour les données déjà en cache au moment de la coupure, à condition qu’elle soit elle-même fonctionnelle et surveillée — rendant sa vérification régulière non pas une précaution théorique, mais une mesure directement alignée sur une réalité opérationnelle concrète et fréquente de ce contexte précis.</w:t>
      </w:r>
    </w:p>
    <w:bookmarkEnd w:id="680"/>
    <w:bookmarkStart w:id="681" w:name="checklist-de-fin-de-chapitre-26"/>
    <w:p>
      <w:pPr>
        <w:pStyle w:val="Heading2"/>
      </w:pPr>
      <w:r>
        <w:t xml:space="preserve">Checklist de fin de chapitre</w:t>
      </w:r>
    </w:p>
    <w:p>
      <w:pPr>
        <w:pStyle w:val="FirstParagraph"/>
      </w:pPr>
      <w:r>
        <w:t xml:space="preserve">☐ Je sais comparer RAID matériel et RAID logiciel selon des critères concrets (coût, performance, portabilité).</w:t>
      </w:r>
    </w:p>
    <w:p>
      <w:pPr>
        <w:pStyle w:val="BodyText"/>
      </w:pPr>
      <w:r>
        <w:t xml:space="preserve">☐ Je comprends le rôle du cache en écriture et de la BBU d’un contrôleur RAID matériel.</w:t>
      </w:r>
    </w:p>
    <w:p>
      <w:pPr>
        <w:pStyle w:val="BodyText"/>
      </w:pPr>
      <w:r>
        <w:t xml:space="preserve">☐ Je comprends pourquoi la tolérance de panne du RAID nécessite une surveillance active, jamais présumée automatique.</w:t>
      </w:r>
    </w:p>
    <w:p>
      <w:pPr>
        <w:pStyle w:val="BodyText"/>
      </w:pPr>
      <w:r>
        <w:t xml:space="preserve">☐ Je sais utiliser un outil de ligne de commande (storcli ou équivalent) pour vérifier l’état d’un RAID matériel.</w:t>
      </w:r>
    </w:p>
    <w:p>
      <w:pPr>
        <w:pStyle w:val="BodyText"/>
      </w:pPr>
      <w:r>
        <w:t xml:space="preserve">☐ Je connais Windows Storage Spaces comme équivalent direct de LVM+mdadm côté Windows.</w:t>
      </w:r>
    </w:p>
    <w:p>
      <w:pPr>
        <w:pStyle w:val="BodyText"/>
      </w:pPr>
      <w:r>
        <w:t xml:space="preserve">☐ Je sais diagnostiquer une dégradation de performance liée à une BBU défaillante.</w:t>
      </w:r>
    </w:p>
    <w:bookmarkEnd w:id="681"/>
    <w:bookmarkStart w:id="682" w:name="faq-26"/>
    <w:p>
      <w:pPr>
        <w:pStyle w:val="Heading2"/>
      </w:pPr>
      <w:r>
        <w:t xml:space="preserve">FAQ</w:t>
      </w:r>
    </w:p>
    <w:p>
      <w:pPr>
        <w:pStyle w:val="FirstParagraph"/>
      </w:pPr>
      <w:r>
        <w:t xml:space="preserve">Peut-on migrer un RAID matériel vers un RAID logiciel, ou l’inverse, sans perte de données ?</w:t>
      </w:r>
    </w:p>
    <w:p>
      <w:pPr>
        <w:pStyle w:val="BodyText"/>
      </w:pPr>
      <w:r>
        <w:t xml:space="preserve">Rarement de façon directe et simple — les deux approches structurent les données différemment au niveau bas, et une migration nécessite généralement une sauvegarde complète (Partie 5, chapitre suivant), une reconfiguration, puis une restauration, plutôt qu’une conversion transparente en place.</w:t>
      </w:r>
    </w:p>
    <w:p>
      <w:pPr>
        <w:pStyle w:val="BodyText"/>
      </w:pPr>
      <w:r>
        <w:t xml:space="preserve">Un RAID matériel élimine-t-il complètement le besoin de sauvegardes ?</w:t>
      </w:r>
    </w:p>
    <w:p>
      <w:pPr>
        <w:pStyle w:val="BodyText"/>
      </w:pPr>
      <w:r>
        <w:t xml:space="preserve">Non, absolument pas — rappel direct du chapitre 17 : le RAID (matériel ou logiciel) protège contre une panne matérielle de disque, jamais contre une suppression accidentelle, une corruption logique ou un rançongiciel. Ce principe reste entièrement valable pour le RAID matériel, sujet des prochains chapitres de cette partie sur les sauvegardes et la continuité d’activité.</w:t>
      </w:r>
    </w:p>
    <w:p>
      <w:pPr>
        <w:pStyle w:val="BodyText"/>
      </w:pPr>
      <w:r>
        <w:t xml:space="preserve">Combien de temps prend généralement un rebuild après remplacement d’un disque ?</w:t>
      </w:r>
    </w:p>
    <w:p>
      <w:pPr>
        <w:pStyle w:val="BodyText"/>
      </w:pPr>
      <w:r>
        <w:t xml:space="preserve">De quelques heures à plus d’une journée selon la taille des disques, le niveau RAID utilisé et la charge du serveur pendant l’opération — une variable importante à connaître pour évaluer la fenêtre de risque réelle après une panne, comme évoqué en section 27.4.</w:t>
      </w:r>
    </w:p>
    <w:p>
      <w:pPr>
        <w:pStyle w:val="BodyText"/>
      </w:pPr>
      <w:r>
        <w:t xml:space="preserve">Faut-il toujours prévoir un disque de secours à chaud (hot spare) ?</w:t>
      </w:r>
    </w:p>
    <w:p>
      <w:pPr>
        <w:pStyle w:val="BodyText"/>
      </w:pPr>
      <w:r>
        <w:t xml:space="preserve">C’est une bonne pratique fortement recommandée pour les serveurs critiques : un hot spare permet au contrôleur de démarrer automatiquement la reconstruction dès la détection d’une panne, sans attendre l’intervention humaine de remplacement physique — réduisant d’autant la fenêtre de vulnérabilité évoquée dans ce chapitre, même si une surveillance active reste indispensable pour détecter que le hot spare a lui-même été consommé et doit être remplacé à son tour.</w:t>
      </w:r>
    </w:p>
    <w:bookmarkEnd w:id="682"/>
    <w:bookmarkStart w:id="686" w:name="références-et-pour-aller-plus-loin-26"/>
    <w:p>
      <w:pPr>
        <w:pStyle w:val="Heading2"/>
      </w:pPr>
      <w:r>
        <w:t xml:space="preserve">Références et pour aller plus loin</w:t>
      </w:r>
    </w:p>
    <w:p>
      <w:pPr>
        <w:pStyle w:val="Compact"/>
        <w:numPr>
          <w:ilvl w:val="0"/>
          <w:numId w:val="1642"/>
        </w:numPr>
      </w:pPr>
      <w:r>
        <w:t xml:space="preserve">Documentation Broadcom/LSI — outil</w:t>
      </w:r>
      <w:r>
        <w:t xml:space="preserve"> </w:t>
      </w:r>
      <w:r>
        <w:rPr>
          <w:rStyle w:val="VerbatimChar"/>
        </w:rPr>
        <w:t xml:space="preserve">storcli</w:t>
      </w:r>
      <w:r>
        <w:t xml:space="preserve"> </w:t>
      </w:r>
      <w:r>
        <w:t xml:space="preserve">:</w:t>
      </w:r>
      <w:r>
        <w:t xml:space="preserve"> </w:t>
      </w:r>
      <w:hyperlink r:id="rId683">
        <w:r>
          <w:rPr>
            <w:rStyle w:val="Hyperlink"/>
          </w:rPr>
          <w:t xml:space="preserve">https://docs.broadcom.com/</w:t>
        </w:r>
      </w:hyperlink>
    </w:p>
    <w:p>
      <w:pPr>
        <w:pStyle w:val="Compact"/>
        <w:numPr>
          <w:ilvl w:val="0"/>
          <w:numId w:val="1642"/>
        </w:numPr>
      </w:pPr>
      <w:r>
        <w:t xml:space="preserve">Microsoft Learn — Vue d’ensemble de Storage Spaces :</w:t>
      </w:r>
      <w:r>
        <w:t xml:space="preserve"> </w:t>
      </w:r>
      <w:hyperlink r:id="rId684">
        <w:r>
          <w:rPr>
            <w:rStyle w:val="Hyperlink"/>
          </w:rPr>
          <w:t xml:space="preserve">https://learn.microsoft.com/fr-fr/windows-server/storage/storage-spaces/overview</w:t>
        </w:r>
      </w:hyperlink>
    </w:p>
    <w:p>
      <w:pPr>
        <w:pStyle w:val="Compact"/>
        <w:numPr>
          <w:ilvl w:val="0"/>
          <w:numId w:val="1642"/>
        </w:numPr>
      </w:pPr>
      <w:r>
        <w:t xml:space="preserve">Dell Technologies — documentation PERC (contrôleurs RAID Dell) :</w:t>
      </w:r>
      <w:r>
        <w:t xml:space="preserve"> </w:t>
      </w:r>
      <w:hyperlink r:id="rId685">
        <w:r>
          <w:rPr>
            <w:rStyle w:val="Hyperlink"/>
          </w:rPr>
          <w:t xml:space="preserve">https://www.dell.com/support/</w:t>
        </w:r>
      </w:hyperlink>
    </w:p>
    <w:p>
      <w:pPr>
        <w:pStyle w:val="FirstParagraph"/>
      </w:pPr>
      <w:r>
        <w:rPr>
          <w:i/>
          <w:iCs/>
        </w:rPr>
        <w:t xml:space="preserve">Chapitre suivant : NAS — conception et déploiement d’un stockage en réseau, pour partager des fichiers et des volumes au-delà d’un seul serveur.</w:t>
      </w:r>
    </w:p>
    <w:p>
      <w:pPr>
        <w:pStyle w:val="BodyText"/>
      </w:pPr>
      <w:r>
        <w:t xml:space="preserve">CHAPITRE 28</w:t>
      </w:r>
    </w:p>
    <w:bookmarkEnd w:id="686"/>
    <w:bookmarkEnd w:id="687"/>
    <w:bookmarkStart w:id="712" w:name="nas-conception-et-déploiement"/>
    <w:p>
      <w:pPr>
        <w:pStyle w:val="Heading1"/>
      </w:pPr>
      <w:r>
        <w:t xml:space="preserve">NAS : conception et déploiement</w:t>
      </w:r>
    </w:p>
    <w:p>
      <w:pPr>
        <w:pStyle w:val="FirstParagraph"/>
      </w:pPr>
      <w:r>
        <w:t xml:space="preserve">🎯 Objectif du chapitre</w:t>
      </w:r>
      <w:r>
        <w:t xml:space="preserve"> </w:t>
      </w:r>
      <w:r>
        <w:t xml:space="preserve">Comprendre le NAS (</w:t>
      </w:r>
      <w:r>
        <w:rPr>
          <w:i/>
          <w:iCs/>
        </w:rPr>
        <w:t xml:space="preserve">Network Attached Storage</w:t>
      </w:r>
      <w:r>
        <w:t xml:space="preserve">) comme solution de stockage centralisé accessible par le réseau, à la fois pour des clients Windows (SMB) et Linux (NFS) simultanément. À la fin de ce chapitre, tu sauras concevoir la structure de partages d’un NAS pour une organisation multi-sites, comprendre la différence entre un instantané (snapshot) et une sauvegarde réelle, et sécuriser l’accès au stockage partagé via l’identité déjà centralisée depuis la Partie 4.</w:t>
      </w:r>
    </w:p>
    <w:p>
      <w:pPr>
        <w:pStyle w:val="BodyText"/>
      </w:pPr>
      <w:r>
        <w:t xml:space="preserve">🎬 Mise en situation</w:t>
      </w:r>
      <w:r>
        <w:t xml:space="preserve"> </w:t>
      </w:r>
      <w:r>
        <w:t xml:space="preserve">Chaque serveur de l’entreprise stocke ses propres fichiers localement, sur son propre RAID (chapitre 27) — mais le service comptabilité, réparti entre Port-au-Prince et le Cap-Haïtien, a besoin d’un espace de fichiers</w:t>
      </w:r>
      <w:r>
        <w:t xml:space="preserve"> </w:t>
      </w:r>
      <w:r>
        <w:rPr>
          <w:b/>
          <w:bCs/>
        </w:rPr>
        <w:t xml:space="preserve">partagé</w:t>
      </w:r>
      <w:r>
        <w:t xml:space="preserve">, accessible aussi bien depuis les postes Windows du service que depuis un script d’export tournant sur le serveur Rocky Linux de gestion documentaire (chapitre 19). Le DFS du chapitre 11 réplique des données entre serveurs de fichiers Windows, mais ne résout pas ce besoin d’accès mixte Windows/Linux depuis une source de stockage unique et centralisée. C’est exactement le rôle d’un NAS — ce chapitre explique comment le concevoir et le déployer pour ce besoin précis.</w:t>
      </w:r>
    </w:p>
    <w:bookmarkStart w:id="688" w:name="X8f04123025beb26c1a2bda9f34fd8328f16ba66"/>
    <w:p>
      <w:pPr>
        <w:pStyle w:val="Heading2"/>
      </w:pPr>
      <w:r>
        <w:t xml:space="preserve">28.1 Qu’est-ce qu’un NAS, et en quoi diffère-t-il du DFS</w:t>
      </w:r>
    </w:p>
    <w:p>
      <w:pPr>
        <w:pStyle w:val="FirstParagraph"/>
      </w:pPr>
      <w:r>
        <w:t xml:space="preserve">Un</w:t>
      </w:r>
      <w:r>
        <w:t xml:space="preserve"> </w:t>
      </w:r>
      <w:r>
        <w:rPr>
          <w:b/>
          <w:bCs/>
        </w:rPr>
        <w:t xml:space="preserve">NAS</w:t>
      </w:r>
      <w:r>
        <w:t xml:space="preserve"> </w:t>
      </w:r>
      <w:r>
        <w:t xml:space="preserve">(</w:t>
      </w:r>
      <w:r>
        <w:rPr>
          <w:i/>
          <w:iCs/>
        </w:rPr>
        <w:t xml:space="preserve">Network Attached Storage</w:t>
      </w:r>
      <w:r>
        <w:t xml:space="preserve">) est un système de stockage dédié, accessible via le réseau par plusieurs clients simultanément, à travers des protocoles de partage de fichiers standards. Contrairement au DFS (chapitre 11), qui réplique des dossiers entre plusieurs serveurs de fichiers Windows existants, un NAS est une</w:t>
      </w:r>
      <w:r>
        <w:t xml:space="preserve"> </w:t>
      </w:r>
      <w:r>
        <w:rPr>
          <w:b/>
          <w:bCs/>
        </w:rPr>
        <w:t xml:space="preserve">source de stockage centralisée unique</w:t>
      </w:r>
      <w:r>
        <w:t xml:space="preserve">, à laquelle plusieurs types de clients (Windows, Linux, macOS) se connectent directement.</w:t>
      </w:r>
    </w:p>
    <w:p>
      <w:pPr>
        <w:pStyle w:val="BodyText"/>
      </w:pPr>
      <w:r>
        <w:t xml:space="preserve">📌 À retenir</w:t>
      </w:r>
      <w:r>
        <w:t xml:space="preserve"> </w:t>
      </w:r>
      <w:r>
        <w:t xml:space="preserve">Le DFS (chapitre 11) résout</w:t>
      </w:r>
      <w:r>
        <w:t xml:space="preserve"> </w:t>
      </w:r>
      <w:r>
        <w:t xml:space="preserve">“comment répliquer des fichiers entre plusieurs serveurs Windows existants”</w:t>
      </w:r>
      <w:r>
        <w:t xml:space="preserve">. Le NAS résout un problème différent :</w:t>
      </w:r>
      <w:r>
        <w:t xml:space="preserve"> </w:t>
      </w:r>
      <w:r>
        <w:t xml:space="preserve">“comment centraliser du stockage accessible nativement par des systèmes d’exploitation différents, sans dupliquer les données sur chaque serveur”</w:t>
      </w:r>
      <w:r>
        <w:t xml:space="preserve">. Les deux solutions peuvent d’ailleurs coexister dans une même organisation, pour des besoins distincts.</w:t>
      </w:r>
    </w:p>
    <w:bookmarkEnd w:id="688"/>
    <w:bookmarkStart w:id="689" w:name="Xd05174c0f9486cf9398ade2da7ac03e0b25e866"/>
    <w:p>
      <w:pPr>
        <w:pStyle w:val="Heading2"/>
      </w:pPr>
      <w:r>
        <w:t xml:space="preserve">28.2 Les protocoles NAS : SMB et NFS côte à côte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Protocole</w:t>
            </w:r>
          </w:p>
        </w:tc>
        <w:tc>
          <w:tcPr/>
          <w:p>
            <w:pPr>
              <w:pStyle w:val="Compact"/>
            </w:pPr>
            <w:r>
              <w:t xml:space="preserve">Origine</w:t>
            </w:r>
          </w:p>
        </w:tc>
        <w:tc>
          <w:tcPr/>
          <w:p>
            <w:pPr>
              <w:pStyle w:val="Compact"/>
            </w:pPr>
            <w:r>
              <w:t xml:space="preserve">Client typique</w:t>
            </w:r>
          </w:p>
        </w:tc>
      </w:tr>
      <w:tr>
        <w:tc>
          <w:tcPr/>
          <w:p>
            <w:pPr>
              <w:pStyle w:val="Compact"/>
            </w:pPr>
            <w:r>
              <w:rPr>
                <w:b/>
                <w:bCs/>
              </w:rPr>
              <w:t xml:space="preserve">SMB/CIFS</w:t>
            </w:r>
          </w:p>
        </w:tc>
        <w:tc>
          <w:tcPr/>
          <w:p>
            <w:pPr>
              <w:pStyle w:val="Compact"/>
            </w:pPr>
            <w:r>
              <w:t xml:space="preserve">Windows (déjà rencontré au chapitre 11 pour DFS)</w:t>
            </w:r>
          </w:p>
        </w:tc>
        <w:tc>
          <w:tcPr/>
          <w:p>
            <w:pPr>
              <w:pStyle w:val="Compact"/>
            </w:pPr>
            <w:r>
              <w:t xml:space="preserve">Postes et serveurs Windows</w:t>
            </w:r>
          </w:p>
        </w:tc>
      </w:tr>
      <w:tr>
        <w:tc>
          <w:tcPr/>
          <w:p>
            <w:pPr>
              <w:pStyle w:val="Compact"/>
            </w:pPr>
            <w:r>
              <w:rPr>
                <w:b/>
                <w:bCs/>
              </w:rPr>
              <w:t xml:space="preserve">NFS</w:t>
            </w:r>
            <w:r>
              <w:t xml:space="preserve"> </w:t>
            </w:r>
            <w:r>
              <w:t xml:space="preserve">(</w:t>
            </w:r>
            <w:r>
              <w:rPr>
                <w:i/>
                <w:iCs/>
              </w:rPr>
              <w:t xml:space="preserve">Network File System</w:t>
            </w:r>
            <w:r>
              <w:t xml:space="preserve">)</w:t>
            </w:r>
          </w:p>
        </w:tc>
        <w:tc>
          <w:tcPr/>
          <w:p>
            <w:pPr>
              <w:pStyle w:val="Compact"/>
            </w:pPr>
            <w:r>
              <w:t xml:space="preserve">Unix/Linux</w:t>
            </w:r>
          </w:p>
        </w:tc>
        <w:tc>
          <w:tcPr/>
          <w:p>
            <w:pPr>
              <w:pStyle w:val="Compact"/>
            </w:pPr>
            <w:r>
              <w:t xml:space="preserve">Serveurs et postes Linux</w:t>
            </w:r>
          </w:p>
        </w:tc>
      </w:tr>
    </w:tbl>
    <w:p>
      <w:pPr>
        <w:pStyle w:val="BodyText"/>
      </w:pPr>
      <w:r>
        <w:t xml:space="preserve">💡 Un NAS moderne sert les deux protocoles simultanément, sur les mêmes données</w:t>
      </w:r>
      <w:r>
        <w:t xml:space="preserve"> </w:t>
      </w:r>
      <w:r>
        <w:t xml:space="preserve">La plupart des NAS professionnels (qu’il s’agisse d’une appliance dédiée ou d’un serveur Linux configuré avec Samba et NFS) peuvent exposer</w:t>
      </w:r>
      <w:r>
        <w:t xml:space="preserve"> </w:t>
      </w:r>
      <w:r>
        <w:rPr>
          <w:b/>
          <w:bCs/>
        </w:rPr>
        <w:t xml:space="preserve">le même volume de données</w:t>
      </w:r>
      <w:r>
        <w:t xml:space="preserve"> </w:t>
      </w:r>
      <w:r>
        <w:t xml:space="preserve">à la fois via SMB (pour les postes Windows du service comptabilité) et via NFS (pour le script d’export du serveur Rocky Linux) — exactement le besoin du scénario d’ouverture, résolu par un seul système de stockage plutôt que par une duplication entre deux systèmes distincts.</w:t>
      </w:r>
    </w:p>
    <w:p>
      <w:pPr>
        <w:pStyle w:val="SourceCode"/>
      </w:pPr>
      <w:r>
        <w:rPr>
          <w:rStyle w:val="VerbatimChar"/>
        </w:rPr>
        <w:t xml:space="preserve"># Exemple de configuration Samba (protocole SMB) sur un NAS Linux,</w:t>
      </w:r>
      <w:r>
        <w:br/>
      </w:r>
      <w:r>
        <w:rPr>
          <w:rStyle w:val="VerbatimChar"/>
        </w:rPr>
        <w:t xml:space="preserve"># pour un partage accessible depuis les postes Windows</w:t>
      </w:r>
      <w:r>
        <w:br/>
      </w:r>
      <w:r>
        <w:rPr>
          <w:rStyle w:val="VerbatimChar"/>
        </w:rPr>
        <w:t xml:space="preserve">[comptabilite]</w:t>
      </w:r>
      <w:r>
        <w:br/>
      </w:r>
      <w:r>
        <w:rPr>
          <w:rStyle w:val="VerbatimChar"/>
        </w:rPr>
        <w:t xml:space="preserve">   path = /donnees/comptabilite</w:t>
      </w:r>
      <w:r>
        <w:br/>
      </w:r>
      <w:r>
        <w:rPr>
          <w:rStyle w:val="VerbatimChar"/>
        </w:rPr>
        <w:t xml:space="preserve">   valid users = @comptabilite</w:t>
      </w:r>
      <w:r>
        <w:br/>
      </w:r>
      <w:r>
        <w:rPr>
          <w:rStyle w:val="VerbatimChar"/>
        </w:rPr>
        <w:t xml:space="preserve">   read only = no</w:t>
      </w:r>
      <w:r>
        <w:br/>
      </w:r>
      <w:r>
        <w:br/>
      </w:r>
      <w:r>
        <w:rPr>
          <w:rStyle w:val="VerbatimChar"/>
        </w:rPr>
        <w:t xml:space="preserve"># Exemple de configuration NFS pour le meme volume physique,</w:t>
      </w:r>
      <w:r>
        <w:br/>
      </w:r>
      <w:r>
        <w:rPr>
          <w:rStyle w:val="VerbatimChar"/>
        </w:rPr>
        <w:t xml:space="preserve"># accessible depuis le serveur Rocky Linux</w:t>
      </w:r>
      <w:r>
        <w:br/>
      </w:r>
      <w:r>
        <w:rPr>
          <w:rStyle w:val="VerbatimChar"/>
        </w:rPr>
        <w:t xml:space="preserve"># (dans /etc/exports)</w:t>
      </w:r>
      <w:r>
        <w:br/>
      </w:r>
      <w:r>
        <w:rPr>
          <w:rStyle w:val="VerbatimChar"/>
        </w:rPr>
        <w:t xml:space="preserve">/donnees/comptabilite  10.10.2.0/24(rw,sync,no_subtree_check)</w:t>
      </w:r>
    </w:p>
    <w:p>
      <w:pPr>
        <w:pStyle w:val="FirstParagraph"/>
      </w:pPr>
      <w:r>
        <w:t xml:space="preserve">⚠️ Attention à la cohérence des permissions entre les deux protocoles</w:t>
      </w:r>
      <w:r>
        <w:t xml:space="preserve"> </w:t>
      </w:r>
      <w:r>
        <w:t xml:space="preserve">SMB et NFS ont des modèles de permissions historiquement différents (SMB s’appuie souvent sur des ACL de style Windows, NFS traditionnellement sur les permissions Unix classiques du chapitre 18). Exposer le même volume via les deux protocoles simultanément exige une configuration cohérente entre les deux — un fichier créé via un accès Windows doit rester correctement accessible en lecture ou écriture via l’accès Linux, et inversement, sous peine de</w:t>
      </w:r>
      <w:r>
        <w:t xml:space="preserve"> </w:t>
      </w:r>
      <w:r>
        <w:t xml:space="preserve">“Permission denied”</w:t>
      </w:r>
      <w:r>
        <w:t xml:space="preserve"> </w:t>
      </w:r>
      <w:r>
        <w:t xml:space="preserve">déroutants d’un côté ou de l’autre.</w:t>
      </w:r>
    </w:p>
    <w:bookmarkEnd w:id="689"/>
    <w:bookmarkStart w:id="690" w:name="X1a28cfd2bff83e40810e8e49590dee9178bddce"/>
    <w:p>
      <w:pPr>
        <w:pStyle w:val="Heading2"/>
      </w:pPr>
      <w:r>
        <w:t xml:space="preserve">28.3 Le RAID sous-jacent : un NAS n’est qu’une couche de partage</w:t>
      </w:r>
    </w:p>
    <w:p>
      <w:pPr>
        <w:pStyle w:val="FirstParagraph"/>
      </w:pPr>
      <w:r>
        <w:t xml:space="preserve">🧠 À mémoriser</w:t>
      </w:r>
      <w:r>
        <w:t xml:space="preserve"> </w:t>
      </w:r>
      <w:r>
        <w:t xml:space="preserve">Un NAS n’élimine pas le besoin de RAID (chapitre 17 et 27) — il</w:t>
      </w:r>
      <w:r>
        <w:t xml:space="preserve"> </w:t>
      </w:r>
      <w:r>
        <w:rPr>
          <w:b/>
          <w:bCs/>
        </w:rPr>
        <w:t xml:space="preserve">s’appuie</w:t>
      </w:r>
      <w:r>
        <w:t xml:space="preserve"> </w:t>
      </w:r>
      <w:r>
        <w:t xml:space="preserve">dessus. Le stockage physique sous-jacent d’un NAS professionnel repose généralement sur un RAID (matériel ou logiciel) exactement comme n’importe quel serveur, la valeur ajoutée du NAS étant la couche de partage réseau multi-protocole par-dessus ce stockage redondant, pas un substitut à la redondance elle-même.</w:t>
      </w:r>
    </w:p>
    <w:bookmarkEnd w:id="690"/>
    <w:bookmarkStart w:id="691" w:name="X7d6ad9a7e620374f4eb8bb55ca65033d290ad03"/>
    <w:p>
      <w:pPr>
        <w:pStyle w:val="Heading2"/>
      </w:pPr>
      <w:r>
        <w:t xml:space="preserve">28.4 Snapshots : une protection complémentaire, pas une sauvegarde</w:t>
      </w:r>
    </w:p>
    <w:p>
      <w:pPr>
        <w:pStyle w:val="FirstParagraph"/>
      </w:pPr>
      <w:r>
        <w:t xml:space="preserve">Un</w:t>
      </w:r>
      <w:r>
        <w:t xml:space="preserve"> </w:t>
      </w:r>
      <w:r>
        <w:rPr>
          <w:b/>
          <w:bCs/>
        </w:rPr>
        <w:t xml:space="preserve">instantané</w:t>
      </w:r>
      <w:r>
        <w:t xml:space="preserve"> </w:t>
      </w:r>
      <w:r>
        <w:t xml:space="preserve">(</w:t>
      </w:r>
      <w:r>
        <w:rPr>
          <w:i/>
          <w:iCs/>
        </w:rPr>
        <w:t xml:space="preserve">snapshot</w:t>
      </w:r>
      <w:r>
        <w:t xml:space="preserve">) capture l’état d’un volume à un instant précis, permettant de revenir rapidement à cet état en cas d’erreur (fichier supprimé par erreur, modification indésirable) — une fonctionnalité native de la plupart des NAS modernes.</w:t>
      </w:r>
    </w:p>
    <w:p>
      <w:pPr>
        <w:pStyle w:val="BodyText"/>
      </w:pPr>
      <w:r>
        <w:t xml:space="preserve">🔒 Sécurité — un snapshot n’est pas une sauvegarde, rappel du principe déjà posé au chapitre 17</w:t>
      </w:r>
      <w:r>
        <w:t xml:space="preserve"> </w:t>
      </w:r>
      <w:r>
        <w:t xml:space="preserve">Exactement comme le RAID (chapitre 17, section sécurité) ne remplace jamais une sauvegarde, un snapshot stocké sur le</w:t>
      </w:r>
      <w:r>
        <w:t xml:space="preserve"> </w:t>
      </w:r>
      <w:r>
        <w:rPr>
          <w:b/>
          <w:bCs/>
        </w:rPr>
        <w:t xml:space="preserve">même NAS physique</w:t>
      </w:r>
      <w:r>
        <w:t xml:space="preserve"> </w:t>
      </w:r>
      <w:r>
        <w:t xml:space="preserve">que les données qu’il protège ne survit pas à une panne matérielle totale du NAS lui-même, ni à un rançongiciel suffisamment sophistiqué pour chiffrer aussi les snapshots accessibles depuis le système compromis. Un snapshot protège contre une erreur humaine récente et localisée, rapidement ; une vraie stratégie de sauvegarde (chapitre 30) protège contre une perte du NAS entier — les deux mécanismes sont complémentaires, jamais substituables l’un à l’autre.</w:t>
      </w:r>
    </w:p>
    <w:p>
      <w:pPr>
        <w:pStyle w:val="BodyText"/>
      </w:pPr>
      <w:r>
        <w:t xml:space="preserve">✅ Bonne pratique — snapshots fréquents ET sauvegardes régulières hors du NAS</w:t>
      </w:r>
      <w:r>
        <w:t xml:space="preserve"> </w:t>
      </w:r>
      <w:r>
        <w:t xml:space="preserve">Une bonne architecture combine des snapshots fréquents (par exemple toutes les heures, pour une récupération rapide d’erreurs courantes) et des sauvegardes régulières vers un stockage physiquement distinct du NAS lui-même (chapitre 30) — une combinaison qui couvre à la fois les erreurs quotidiennes mineures et les scénarios de perte catastrophique du NAS entier.</w:t>
      </w:r>
    </w:p>
    <w:bookmarkEnd w:id="691"/>
    <w:bookmarkStart w:id="692" w:name="Xae2b53468c46391a17e04bb3cd96614b88145a0"/>
    <w:p>
      <w:pPr>
        <w:pStyle w:val="Heading2"/>
      </w:pPr>
      <w:r>
        <w:t xml:space="preserve">28.5 Dimensionner un NAS selon le cas d’usage réel</w:t>
      </w:r>
    </w:p>
    <w:p>
      <w:pPr>
        <w:pStyle w:val="FirstParagraph"/>
      </w:pPr>
      <w:r>
        <w:t xml:space="preserve">🚀 Performance — fichiers partagés vs charge transactionnelle</w:t>
      </w:r>
      <w:r>
        <w:t xml:space="preserve"> </w:t>
      </w:r>
      <w:r>
        <w:t xml:space="preserve">Un NAS convient très bien à des cas d’usage de partage de fichiers classiques (documents, images, exports, comme le besoin du scénario d’ouverture) — mais devient moins adapté à des charges transactionnelles intensives à faible latence (une base de données à très fort volume de transactions), pour lesquelles un SAN (chapitre 29) offre généralement de meilleures performances grâce à un accès en mode bloc plutôt qu’en mode fichier. Le choix entre NAS et SAN dépend directement de la nature réelle de la charge de travail, pas d’une préférence générale pour l’un ou l’autre.</w:t>
      </w:r>
    </w:p>
    <w:bookmarkEnd w:id="692"/>
    <w:bookmarkStart w:id="696" w:name="X7f714d7c5dad0871c27828c3037fa8eae24726f"/>
    <w:p>
      <w:pPr>
        <w:pStyle w:val="Heading2"/>
      </w:pPr>
      <w:r>
        <w:t xml:space="preserve">28.6 Sécuriser l’accès au NAS via l’identité déjà centralisée</w:t>
      </w:r>
    </w:p>
    <w:p>
      <w:pPr>
        <w:pStyle w:val="FirstParagraph"/>
      </w:pPr>
      <w:r>
        <w:t xml:space="preserve">✅ Bonne pratique — authentifier le NAS contre Active Directory, jamais des comptes locaux dupliqués</w:t>
      </w:r>
      <w:r>
        <w:t xml:space="preserve"> </w:t>
      </w:r>
      <w:r>
        <w:t xml:space="preserve">Rappel direct du principe déjà établi au chapitre 22 (LDAP) et au chapitre 25 (identité unique) : le NAS doit s’authentifier contre l’annuaire Active Directory existant (via LDAP ou une intégration native selon le NAS utilisé) plutôt que de maintenir des comptes locaux dupliqués — un compte désactivé dans Active Directory doit immédiatement perdre l’accès au NAS, sans dépendre d’une désactivation manuelle séparée et potentiellement oubliée.</w:t>
      </w:r>
    </w:p>
    <w:p>
      <w:pPr>
        <w:pStyle w:val="CaptionedFigure"/>
      </w:pPr>
      <w:r>
        <w:drawing>
          <wp:inline>
            <wp:extent cx="5334000" cy="3213253"/>
            <wp:effectExtent b="0" l="0" r="0" t="0"/>
            <wp:docPr descr="Diagramme" title="" id="694" name="Picture"/>
            <a:graphic>
              <a:graphicData uri="http://schemas.openxmlformats.org/drawingml/2006/picture">
                <pic:pic>
                  <pic:nvPicPr>
                    <pic:cNvPr descr="C:/Users/ingja/Desktop/jarvis-starter-kit/livrables/formations/manuel-administration-systeme/assets/diagrams/d-28-nas-conception-deploiement-diagramme-1.png" id="695" name="Picture"/>
                    <pic:cNvPicPr>
                      <a:picLocks noChangeArrowheads="1" noChangeAspect="1"/>
                    </pic:cNvPicPr>
                  </pic:nvPicPr>
                  <pic:blipFill>
                    <a:blip r:embed="rId693"/>
                    <a:stretch>
                      <a:fillRect/>
                    </a:stretch>
                  </pic:blipFill>
                  <pic:spPr bwMode="auto">
                    <a:xfrm>
                      <a:off x="0" y="0"/>
                      <a:ext cx="5334000" cy="3213253"/>
                    </a:xfrm>
                    <a:prstGeom prst="rect">
                      <a:avLst/>
                    </a:prstGeom>
                    <a:noFill/>
                    <a:ln w="9525">
                      <a:noFill/>
                      <a:headEnd/>
                      <a:tailEnd/>
                    </a:ln>
                  </pic:spPr>
                </pic:pic>
              </a:graphicData>
            </a:graphic>
          </wp:inline>
        </w:drawing>
      </w:r>
    </w:p>
    <w:p>
      <w:pPr>
        <w:pStyle w:val="ImageCaption"/>
      </w:pPr>
      <w:r>
        <w:t xml:space="preserve">Diagramme</w:t>
      </w:r>
    </w:p>
    <w:p>
      <w:pPr>
        <w:pStyle w:val="BodyText"/>
      </w:pPr>
      <w:r>
        <w:t xml:space="preserve">🔒 Sécurité — chiffrer les échanges avec le NAS</w:t>
      </w:r>
      <w:r>
        <w:t xml:space="preserve"> </w:t>
      </w:r>
      <w:r>
        <w:t xml:space="preserve">SMB (versions récentes) et NFS (avec Kerberos, rappel du chapitre 23) supportent tous deux le chiffrement en transit — une exigence à ne jamais négliger pour des données sensibles comme celles de la comptabilité, exactement le même principe déjà appliqué à LDAP (chapitre 22) et à TLS (chapitre 24) : aucune donnée sensible ne devrait jamais circuler en clair sur le réseau.</w:t>
      </w:r>
    </w:p>
    <w:bookmarkEnd w:id="696"/>
    <w:bookmarkStart w:id="697" w:name="Xe82b9e644f46f6efdea63dafd9ba415dc188a72"/>
    <w:p>
      <w:pPr>
        <w:pStyle w:val="Heading2"/>
      </w:pPr>
      <w:r>
        <w:t xml:space="preserve">Atelier — Concevoir la structure de partages du scénario d’ouverture</w:t>
      </w:r>
    </w:p>
    <w:p>
      <w:pPr>
        <w:pStyle w:val="FirstParagraph"/>
      </w:pPr>
      <w:r>
        <w:t xml:space="preserve">🛠️ Atelier 28 — Structurer l’accès partagé comptabilité</w:t>
      </w:r>
    </w:p>
    <w:p>
      <w:pPr>
        <w:pStyle w:val="BodyText"/>
      </w:pPr>
      <w:r>
        <w:rPr>
          <w:b/>
          <w:bCs/>
        </w:rPr>
        <w:t xml:space="preserve">Objectif</w:t>
      </w:r>
      <w:r>
        <w:t xml:space="preserve"> </w:t>
      </w:r>
      <w:r>
        <w:t xml:space="preserve">: concevoir une structure de partage NAS répondant au besoin exact du scénario d’ouverture, en tenant compte de la sécurité et de la protection des données.</w:t>
      </w:r>
    </w:p>
    <w:p>
      <w:pPr>
        <w:pStyle w:val="BodyText"/>
      </w:pPr>
      <w:r>
        <w:rPr>
          <w:b/>
          <w:bCs/>
        </w:rPr>
        <w:t xml:space="preserve">Préparation</w:t>
      </w:r>
      <w:r>
        <w:t xml:space="preserve"> </w:t>
      </w:r>
      <w:r>
        <w:t xml:space="preserve">: aucune installation nécessaire pour cet atelier conceptuel.</w:t>
      </w:r>
    </w:p>
    <w:p>
      <w:pPr>
        <w:pStyle w:val="BodyText"/>
      </w:pPr>
      <w:r>
        <w:rPr>
          <w:b/>
          <w:bCs/>
        </w:rPr>
        <w:t xml:space="preserve">Étapes détaillées</w:t>
      </w:r>
      <w:r>
        <w:t xml:space="preserve"> </w:t>
      </w:r>
      <w:r>
        <w:t xml:space="preserve">:</w:t>
      </w:r>
    </w:p>
    <w:p>
      <w:pPr>
        <w:pStyle w:val="Compact"/>
        <w:numPr>
          <w:ilvl w:val="0"/>
          <w:numId w:val="1643"/>
        </w:numPr>
      </w:pPr>
      <w:r>
        <w:t xml:space="preserve">Propose une structure de dossiers pour le partage comptabilité, en tenant compte des deux sites (Port-au-Prince et Cap-Haïtien).</w:t>
      </w:r>
    </w:p>
    <w:p>
      <w:pPr>
        <w:pStyle w:val="Compact"/>
        <w:numPr>
          <w:ilvl w:val="0"/>
          <w:numId w:val="1643"/>
        </w:numPr>
      </w:pPr>
      <w:r>
        <w:t xml:space="preserve">Propose une politique d’accès (quel groupe Active Directory pour quel niveau de permission), en t’appuyant sur les principes du chapitre 18 (ACL) et 22 (LDAP/AD).</w:t>
      </w:r>
    </w:p>
    <w:p>
      <w:pPr>
        <w:pStyle w:val="Compact"/>
        <w:numPr>
          <w:ilvl w:val="0"/>
          <w:numId w:val="1643"/>
        </w:numPr>
      </w:pPr>
      <w:r>
        <w:t xml:space="preserve">Propose une politique de snapshots et de sauvegarde pour ce partage, en distinguant clairement les deux mécanismes (section 28.4).</w:t>
      </w:r>
    </w:p>
    <w:p>
      <w:pPr>
        <w:pStyle w:val="Compact"/>
        <w:numPr>
          <w:ilvl w:val="0"/>
          <w:numId w:val="1643"/>
        </w:numPr>
      </w:pPr>
      <w:r>
        <w:t xml:space="preserve">Compare ta démarche à la section</w:t>
      </w:r>
      <w:r>
        <w:t xml:space="preserve"> </w:t>
      </w:r>
      <w:r>
        <w:t xml:space="preserve">“Résultat attendu”</w:t>
      </w:r>
      <w:r>
        <w:t xml:space="preserve">.</w:t>
      </w:r>
    </w:p>
    <w:p>
      <w:pPr>
        <w:pStyle w:val="FirstParagraph"/>
      </w:pPr>
      <w:r>
        <w:rPr>
          <w:b/>
          <w:bCs/>
        </w:rPr>
        <w:t xml:space="preserve">Résultat attendu</w:t>
      </w:r>
      <w:r>
        <w:t xml:space="preserve"> </w:t>
      </w:r>
      <w:r>
        <w:t xml:space="preserve">: la structure de dossiers peut inclure une distinction entre données communes aux deux sites et données spécifiques à un site, avec un groupe Active Directory dédié</w:t>
      </w:r>
      <w:r>
        <w:t xml:space="preserve"> </w:t>
      </w:r>
      <w:r>
        <w:rPr>
          <w:rStyle w:val="VerbatimChar"/>
        </w:rPr>
        <w:t xml:space="preserve">comptabilite</w:t>
      </w:r>
      <w:r>
        <w:t xml:space="preserve"> </w:t>
      </w:r>
      <w:r>
        <w:t xml:space="preserve">(rappel du chapitre 18 sur les groupes plutôt que des permissions individuelles) donnant accès en lecture-écriture, exposé simultanément en SMB pour les postes Windows et en NFS pour le serveur Rocky Linux du script d’export (lecture seule pour ce dernier, suffisant à son besoin réel selon le principe du moindre privilège). Les snapshots horaires couvrent les erreurs quotidiennes ; une sauvegarde quotidienne vers un stockage physiquement distinct (approfondie au chapitre 30) couvre le risque de perte totale du NAS.</w:t>
      </w:r>
    </w:p>
    <w:p>
      <w:pPr>
        <w:pStyle w:val="BodyText"/>
      </w:pPr>
      <w:r>
        <w:rPr>
          <w:b/>
          <w:bCs/>
        </w:rPr>
        <w:t xml:space="preserve">Dépannage</w:t>
      </w:r>
      <w:r>
        <w:t xml:space="preserve"> </w:t>
      </w:r>
      <w:r>
        <w:t xml:space="preserve">: si tu hésites sur le niveau de permission à accorder au serveur Linux, reviens à la question centrale du principe du moindre privilège (chapitre 1) : ce script a-t-il réellement besoin d’écrire sur ce partage, ou seulement de le lire pour effectuer son export ?</w:t>
      </w:r>
    </w:p>
    <w:bookmarkEnd w:id="697"/>
    <w:bookmarkStart w:id="698" w:name="erreurs-fréquentes-27"/>
    <w:p>
      <w:pPr>
        <w:pStyle w:val="Heading2"/>
      </w:pPr>
      <w:r>
        <w:t xml:space="preserve">Erreurs fréquentes</w:t>
      </w:r>
    </w:p>
    <w:p>
      <w:pPr>
        <w:pStyle w:val="FirstParagraph"/>
      </w:pPr>
      <w:r>
        <w:t xml:space="preserve">⚠️ Erreur n°1 — confondre snapshot et sauvegarde</w:t>
      </w:r>
      <w:r>
        <w:t xml:space="preserve"> </w:t>
      </w:r>
      <w:r>
        <w:t xml:space="preserve">Rappel de la section 28.4 : un snapshot stocké sur le même NAS ne protège pas contre une panne totale de ce NAS — une confusion aussi risquée que celle déjà dénoncée pour RAID et sauvegarde (chapitre 17).</w:t>
      </w:r>
    </w:p>
    <w:p>
      <w:pPr>
        <w:pStyle w:val="BodyText"/>
      </w:pPr>
      <w:r>
        <w:t xml:space="preserve">⚠️ Erreur n°2 — un seul NAS sans aucune redondance à l’échelle du système entier</w:t>
      </w:r>
      <w:r>
        <w:t xml:space="preserve"> </w:t>
      </w:r>
      <w:r>
        <w:t xml:space="preserve">Même avec un RAID interne robuste (section 28.3), un NAS reste un point de défaillance unique si aucune sauvegarde externe ni redondance de plus haut niveau n’existe — la même erreur conceptuelle que celle du contrôleur de domaine unique par site, déjà dénoncée au chapitre 6.</w:t>
      </w:r>
    </w:p>
    <w:p>
      <w:pPr>
        <w:pStyle w:val="BodyText"/>
      </w:pPr>
      <w:r>
        <w:t xml:space="preserve">⚠️ Erreur n°3 — permissions incohérentes entre accès SMB et NFS sur le même volume</w:t>
      </w:r>
      <w:r>
        <w:t xml:space="preserve"> </w:t>
      </w:r>
      <w:r>
        <w:t xml:space="preserve">Rappel de la section 28.2 : une configuration mal alignée entre les deux protocoles peut provoquer des refus d’accès déroutants d’un côté du système alors que l’autre côté fonctionne normalement, un symptôme fréquemment mal diagnostiqué.</w:t>
      </w:r>
    </w:p>
    <w:bookmarkEnd w:id="698"/>
    <w:bookmarkStart w:id="699" w:name="diagnostiquer-un-problème-daccès-nas"/>
    <w:p>
      <w:pPr>
        <w:pStyle w:val="Heading2"/>
      </w:pPr>
      <w:r>
        <w:t xml:space="preserve">Diagnostiquer un problème d’accès NAS</w:t>
      </w:r>
    </w:p>
    <w:p>
      <w:pPr>
        <w:pStyle w:val="FirstParagraph"/>
      </w:pPr>
      <w:r>
        <w:t xml:space="preserve">🩺 Situation :</w:t>
      </w:r>
      <w:r>
        <w:t xml:space="preserve"> </w:t>
      </w:r>
      <w:r>
        <w:t xml:space="preserve">“Un fichier créé depuis un poste Windows n’est pas accessible en écriture depuis le serveur Linux, et inversement”</w:t>
      </w:r>
    </w:p>
    <w:p>
      <w:pPr>
        <w:pStyle w:val="Compact"/>
        <w:numPr>
          <w:ilvl w:val="0"/>
          <w:numId w:val="1644"/>
        </w:numPr>
      </w:pPr>
      <w:r>
        <w:rPr>
          <w:b/>
          <w:bCs/>
        </w:rPr>
        <w:t xml:space="preserve">Diagnostic</w:t>
      </w:r>
      <w:r>
        <w:t xml:space="preserve"> </w:t>
      </w:r>
      <w:r>
        <w:t xml:space="preserve">: cause quasiment systématique — une incohérence entre les permissions appliquées côté SMB et côté NFS sur le même volume physique (section 28.2), souvent liée à une correspondance d’identité incorrecte entre les comptes Windows et Linux (l’utilisateur Windows et l’utilisateur Linux ne sont pas mappés à la même identité effective sur le système de fichiers).</w:t>
      </w:r>
    </w:p>
    <w:p>
      <w:pPr>
        <w:pStyle w:val="Compact"/>
        <w:numPr>
          <w:ilvl w:val="0"/>
          <w:numId w:val="1644"/>
        </w:numPr>
      </w:pPr>
      <w:r>
        <w:rPr>
          <w:b/>
          <w:bCs/>
        </w:rPr>
        <w:t xml:space="preserve">Comment vérifier</w:t>
      </w:r>
      <w:r>
        <w:t xml:space="preserve"> </w:t>
      </w:r>
      <w:r>
        <w:t xml:space="preserve">: comparer les permissions effectives observées via chaque protocole (</w:t>
      </w:r>
      <w:r>
        <w:rPr>
          <w:rStyle w:val="VerbatimChar"/>
        </w:rPr>
        <w:t xml:space="preserve">getfacl</w:t>
      </w:r>
      <w:r>
        <w:t xml:space="preserve"> </w:t>
      </w:r>
      <w:r>
        <w:t xml:space="preserve">côté Linux, rappel du chapitre 18 ; propriétés de sécurité côté Windows) pour le même fichier concerné.</w:t>
      </w:r>
    </w:p>
    <w:p>
      <w:pPr>
        <w:pStyle w:val="Compact"/>
        <w:numPr>
          <w:ilvl w:val="0"/>
          <w:numId w:val="1644"/>
        </w:numPr>
      </w:pPr>
      <w:r>
        <w:rPr>
          <w:b/>
          <w:bCs/>
        </w:rPr>
        <w:t xml:space="preserve">Résolution</w:t>
      </w:r>
      <w:r>
        <w:t xml:space="preserve"> </w:t>
      </w:r>
      <w:r>
        <w:t xml:space="preserve">: aligner la configuration d’identité entre les deux protocoles (souvent via l’intégration Active Directory du NAS, section 28.6, qui unifie la résolution d’identité des deux côtés) plutôt que de corriger manuellement chaque fichier individuellement, une solution non pérenne qui se reproduirait à chaque nouveau fichier créé.</w:t>
      </w:r>
    </w:p>
    <w:bookmarkEnd w:id="699"/>
    <w:bookmarkStart w:id="700" w:name="en-entreprise-27"/>
    <w:p>
      <w:pPr>
        <w:pStyle w:val="Heading2"/>
      </w:pPr>
      <w:r>
        <w:t xml:space="preserve">En entreprise</w:t>
      </w:r>
    </w:p>
    <w:p>
      <w:pPr>
        <w:pStyle w:val="Compact"/>
        <w:numPr>
          <w:ilvl w:val="0"/>
          <w:numId w:val="1645"/>
        </w:numPr>
      </w:pPr>
      <w:r>
        <w:rPr>
          <w:b/>
          <w:bCs/>
        </w:rPr>
        <w:t xml:space="preserve">Bonne pratique répandue</w:t>
      </w:r>
      <w:r>
        <w:t xml:space="preserve"> </w:t>
      </w:r>
      <w:r>
        <w:t xml:space="preserve">: documenter (chapitre 3) la structure de partages du NAS, avec les groupes Active Directory associés à chaque niveau de permission — une information indispensable pour tout audit d’accès futur.</w:t>
      </w:r>
    </w:p>
    <w:p>
      <w:pPr>
        <w:pStyle w:val="Compact"/>
        <w:numPr>
          <w:ilvl w:val="0"/>
          <w:numId w:val="1645"/>
        </w:numPr>
      </w:pPr>
      <w:r>
        <w:rPr>
          <w:b/>
          <w:bCs/>
        </w:rPr>
        <w:t xml:space="preserve">Bonne pratique répandue</w:t>
      </w:r>
      <w:r>
        <w:t xml:space="preserve"> </w:t>
      </w:r>
      <w:r>
        <w:t xml:space="preserve">: tester périodiquement une restauration à partir d’un snapshot ET à partir d’une sauvegarde externe (chapitre 1, section 1.4), pour confirmer que les deux mécanismes fonctionnent réellement comme prévu, pas seulement en théorie.</w:t>
      </w:r>
    </w:p>
    <w:p>
      <w:pPr>
        <w:pStyle w:val="Compact"/>
        <w:numPr>
          <w:ilvl w:val="0"/>
          <w:numId w:val="1645"/>
        </w:numPr>
      </w:pPr>
      <w:r>
        <w:rPr>
          <w:b/>
          <w:bCs/>
        </w:rPr>
        <w:t xml:space="preserve">Erreur classique observée</w:t>
      </w:r>
      <w:r>
        <w:t xml:space="preserve"> </w:t>
      </w:r>
      <w:r>
        <w:t xml:space="preserve">: un NAS déployé initialement pour un besoin simple, dont les permissions et la structure de dossiers se complexifient organiquement au fil des années sans jamais être revues ni documentées, devenant difficile à auditer avec confiance.</w:t>
      </w:r>
    </w:p>
    <w:bookmarkEnd w:id="700"/>
    <w:bookmarkStart w:id="701" w:name="entretien-technique-27"/>
    <w:p>
      <w:pPr>
        <w:pStyle w:val="Heading2"/>
      </w:pPr>
      <w:r>
        <w:t xml:space="preserve">Entretien technique</w:t>
      </w:r>
    </w:p>
    <w:p>
      <w:pPr>
        <w:pStyle w:val="FirstParagraph"/>
      </w:pPr>
      <w:r>
        <w:t xml:space="preserve">💼 Questions fréquemment posées en entretien</w:t>
      </w:r>
    </w:p>
    <w:p>
      <w:pPr>
        <w:pStyle w:val="BodyText"/>
      </w:pPr>
      <w:r>
        <w:rPr>
          <w:b/>
          <w:bCs/>
        </w:rPr>
        <w:t xml:space="preserve">Q1.</w:t>
      </w:r>
      <w:r>
        <w:rPr>
          <w:b/>
          <w:bCs/>
        </w:rPr>
        <w:t xml:space="preserve"> </w:t>
      </w:r>
      <w:r>
        <w:rPr>
          <w:b/>
          <w:bCs/>
        </w:rPr>
        <w:t xml:space="preserve">“Quelle est la différence entre un NAS et le DFS de Windows Server ?”</w:t>
      </w:r>
      <w:r>
        <w:t xml:space="preserve"> </w:t>
      </w:r>
      <w:r>
        <w:t xml:space="preserve">Réponse attendue : le DFS (chapitre 11) réplique des dossiers entre plusieurs serveurs de fichiers Windows existants ; un NAS est un système de stockage centralisé unique, accessible nativement par plusieurs types de clients (Windows via SMB, Linux via NFS) simultanément, sans dupliquer les données sur chaque serveur.</w:t>
      </w:r>
    </w:p>
    <w:p>
      <w:pPr>
        <w:pStyle w:val="BodyText"/>
      </w:pPr>
      <w:r>
        <w:rPr>
          <w:b/>
          <w:bCs/>
        </w:rPr>
        <w:t xml:space="preserve">Q2.</w:t>
      </w:r>
      <w:r>
        <w:rPr>
          <w:b/>
          <w:bCs/>
        </w:rPr>
        <w:t xml:space="preserve"> </w:t>
      </w:r>
      <w:r>
        <w:rPr>
          <w:b/>
          <w:bCs/>
        </w:rPr>
        <w:t xml:space="preserve">“Pourquoi un snapshot ne remplace-t-il jamais une sauvegarde ?”</w:t>
      </w:r>
      <w:r>
        <w:t xml:space="preserve"> </w:t>
      </w:r>
      <w:r>
        <w:t xml:space="preserve">Réponse attendue : un snapshot stocké sur le même système physique que les données protégées ne survit pas à une panne totale de ce système, ni nécessairement à un rançongiciel suffisamment sophistiqué. Une vraie sauvegarde doit résider sur un support physiquement distinct pour protéger contre ces scénarios de perte plus catastrophiques.</w:t>
      </w:r>
    </w:p>
    <w:p>
      <w:pPr>
        <w:pStyle w:val="BodyText"/>
      </w:pPr>
      <w:r>
        <w:rPr>
          <w:b/>
          <w:bCs/>
        </w:rPr>
        <w:t xml:space="preserve">Q3.</w:t>
      </w:r>
      <w:r>
        <w:rPr>
          <w:b/>
          <w:bCs/>
        </w:rPr>
        <w:t xml:space="preserve"> </w:t>
      </w:r>
      <w:r>
        <w:rPr>
          <w:b/>
          <w:bCs/>
        </w:rPr>
        <w:t xml:space="preserve">“Comment sécuriserais-tu l’accès à un NAS partagé entre des postes Windows et des serveurs Linux ?”</w:t>
      </w:r>
      <w:r>
        <w:t xml:space="preserve"> </w:t>
      </w:r>
      <w:r>
        <w:t xml:space="preserve">Réponse attendue : authentifier le NAS contre l’annuaire Active Directory existant plutôt que de maintenir des comptes locaux dupliqués, chiffrer les échanges en transit (SMB récent, NFS avec Kerberos), et vérifier la cohérence des permissions entre les protocoles SMB et NFS exposant le même volume.</w:t>
      </w:r>
    </w:p>
    <w:bookmarkEnd w:id="701"/>
    <w:bookmarkStart w:id="702" w:name="X9294bfe9f6c640fdb4e6ad9490a72e4ab51a128"/>
    <w:p>
      <w:pPr>
        <w:pStyle w:val="Heading2"/>
      </w:pPr>
      <w:r>
        <w:t xml:space="preserve">Optimisation, sécurité et maintenabilité — les réflexes dès ce chapitre</w:t>
      </w:r>
    </w:p>
    <w:p>
      <w:pPr>
        <w:pStyle w:val="FirstParagraph"/>
      </w:pPr>
      <w:r>
        <w:t xml:space="preserve">🔒 Sécurité</w:t>
      </w:r>
      <w:r>
        <w:t xml:space="preserve"> </w:t>
      </w:r>
      <w:r>
        <w:t xml:space="preserve">Authentifie systématiquement l’accès au NAS via l’identité centralisée déjà en place (Active Directory/LDAP), jamais via des comptes locaux dupliqués — un rappel direct et concret du principe de source de vérité unique déjà établi au chapitre 22.</w:t>
      </w:r>
    </w:p>
    <w:p>
      <w:pPr>
        <w:pStyle w:val="BodyText"/>
      </w:pPr>
      <w:r>
        <w:t xml:space="preserve">✅ Maintenabilité</w:t>
      </w:r>
      <w:r>
        <w:t xml:space="preserve"> </w:t>
      </w:r>
      <w:r>
        <w:t xml:space="preserve">Documente la structure de partages, les groupes associés et la politique de snapshots/sauvegardes de chaque volume NAS dans la CMDB (chapitre 3) — une information qui évite bien des devinettes lors d’un futur audit ou d’une intervention par une personne découvrant le système pour la première fois.</w:t>
      </w:r>
    </w:p>
    <w:p>
      <w:pPr>
        <w:pStyle w:val="BodyText"/>
      </w:pPr>
      <w:r>
        <w:t xml:space="preserve">🚀 Performance</w:t>
      </w:r>
      <w:r>
        <w:t xml:space="preserve"> </w:t>
      </w:r>
      <w:r>
        <w:t xml:space="preserve">Choisis le NAS pour des charges de partage de fichiers classiques, et envisage un SAN (chapitre 29) pour des charges transactionnelles à faible latence — un mauvais choix initial de technologie de stockage peut coûter cher à corriger une fois le système en production et adopté par les utilisateurs.</w:t>
      </w:r>
    </w:p>
    <w:bookmarkEnd w:id="702"/>
    <w:bookmarkStart w:id="703" w:name="résumé-du-chapitre-27"/>
    <w:p>
      <w:pPr>
        <w:pStyle w:val="Heading2"/>
      </w:pPr>
      <w:r>
        <w:t xml:space="preserve">Résumé du chapitre</w:t>
      </w:r>
    </w:p>
    <w:p>
      <w:pPr>
        <w:pStyle w:val="Compact"/>
        <w:numPr>
          <w:ilvl w:val="0"/>
          <w:numId w:val="1646"/>
        </w:numPr>
      </w:pPr>
      <w:r>
        <w:t xml:space="preserve">Un NAS centralise le stockage et l’expose via des protocoles standards (SMB pour Windows, NFS pour Linux), souvent simultanément sur le même volume.</w:t>
      </w:r>
    </w:p>
    <w:p>
      <w:pPr>
        <w:pStyle w:val="Compact"/>
        <w:numPr>
          <w:ilvl w:val="0"/>
          <w:numId w:val="1646"/>
        </w:numPr>
      </w:pPr>
      <w:r>
        <w:t xml:space="preserve">Le NAS s’appuie sur du RAID sous-jacent (chapitres 17 et 27) — il ne remplace pas le besoin de redondance physique, il ajoute une couche de partage réseau par-dessus.</w:t>
      </w:r>
    </w:p>
    <w:p>
      <w:pPr>
        <w:pStyle w:val="Compact"/>
        <w:numPr>
          <w:ilvl w:val="0"/>
          <w:numId w:val="1646"/>
        </w:numPr>
      </w:pPr>
      <w:r>
        <w:t xml:space="preserve">Un snapshot protège rapidement contre une erreur récente localisée, mais ne remplace jamais une sauvegarde vers un stockage physiquement distinct.</w:t>
      </w:r>
    </w:p>
    <w:p>
      <w:pPr>
        <w:pStyle w:val="Compact"/>
        <w:numPr>
          <w:ilvl w:val="0"/>
          <w:numId w:val="1646"/>
        </w:numPr>
      </w:pPr>
      <w:r>
        <w:t xml:space="preserve">Le choix entre NAS et SAN dépend de la nature de la charge de travail : partage de fichiers pour le NAS, charge transactionnelle à faible latence pour le SAN.</w:t>
      </w:r>
    </w:p>
    <w:p>
      <w:pPr>
        <w:pStyle w:val="Compact"/>
        <w:numPr>
          <w:ilvl w:val="0"/>
          <w:numId w:val="1646"/>
        </w:numPr>
      </w:pPr>
      <w:r>
        <w:t xml:space="preserve">L’accès au NAS doit s’authentifier contre l’identité déjà centralisée (Active Directory/LDAP), avec un chiffrement systématique en transit.</w:t>
      </w:r>
    </w:p>
    <w:bookmarkEnd w:id="703"/>
    <w:bookmarkStart w:id="704" w:name="quiz-27"/>
    <w:p>
      <w:pPr>
        <w:pStyle w:val="Heading2"/>
      </w:pPr>
      <w:r>
        <w:t xml:space="preserve">Quiz</w:t>
      </w:r>
    </w:p>
    <w:p>
      <w:pPr>
        <w:pStyle w:val="FirstParagraph"/>
      </w:pPr>
      <w:r>
        <w:t xml:space="preserve">📝 QCM (une seule bonne réponse par question)</w:t>
      </w:r>
    </w:p>
    <w:p>
      <w:pPr>
        <w:pStyle w:val="Compact"/>
        <w:numPr>
          <w:ilvl w:val="0"/>
          <w:numId w:val="1647"/>
        </w:numPr>
      </w:pPr>
      <w:r>
        <w:t xml:space="preserve">Le protocole de partage de fichiers typiquement utilisé par les clients Linux pour accéder à un NAS est :</w:t>
      </w:r>
    </w:p>
    <w:p>
      <w:pPr>
        <w:pStyle w:val="Compact"/>
        <w:numPr>
          <w:ilvl w:val="1"/>
          <w:numId w:val="1648"/>
        </w:numPr>
      </w:pPr>
    </w:p>
    <w:p>
      <w:pPr>
        <w:pStyle w:val="Compact"/>
        <w:numPr>
          <w:ilvl w:val="2"/>
          <w:numId w:val="1649"/>
        </w:numPr>
      </w:pPr>
      <w:r>
        <w:t xml:space="preserve">SMB</w:t>
      </w:r>
    </w:p>
    <w:p>
      <w:pPr>
        <w:pStyle w:val="Compact"/>
        <w:numPr>
          <w:ilvl w:val="1"/>
          <w:numId w:val="1648"/>
        </w:numPr>
      </w:pPr>
    </w:p>
    <w:p>
      <w:pPr>
        <w:pStyle w:val="Compact"/>
        <w:numPr>
          <w:ilvl w:val="2"/>
          <w:numId w:val="1650"/>
        </w:numPr>
      </w:pPr>
      <w:r>
        <w:t xml:space="preserve">NFS</w:t>
      </w:r>
    </w:p>
    <w:p>
      <w:pPr>
        <w:pStyle w:val="Compact"/>
        <w:numPr>
          <w:ilvl w:val="1"/>
          <w:numId w:val="1648"/>
        </w:numPr>
      </w:pPr>
    </w:p>
    <w:p>
      <w:pPr>
        <w:pStyle w:val="Compact"/>
        <w:numPr>
          <w:ilvl w:val="2"/>
          <w:numId w:val="1651"/>
        </w:numPr>
      </w:pPr>
      <w:r>
        <w:t xml:space="preserve">RDP</w:t>
      </w:r>
    </w:p>
    <w:p>
      <w:pPr>
        <w:pStyle w:val="Compact"/>
        <w:numPr>
          <w:ilvl w:val="1"/>
          <w:numId w:val="1648"/>
        </w:numPr>
      </w:pPr>
    </w:p>
    <w:p>
      <w:pPr>
        <w:pStyle w:val="Compact"/>
        <w:numPr>
          <w:ilvl w:val="2"/>
          <w:numId w:val="1652"/>
        </w:numPr>
      </w:pPr>
      <w:r>
        <w:t xml:space="preserve">LDAP</w:t>
      </w:r>
    </w:p>
    <w:p>
      <w:pPr>
        <w:pStyle w:val="Compact"/>
        <w:numPr>
          <w:ilvl w:val="0"/>
          <w:numId w:val="1647"/>
        </w:numPr>
      </w:pPr>
      <w:r>
        <w:t xml:space="preserve">Un snapshot stocké sur le même NAS que les données qu’il protège :</w:t>
      </w:r>
    </w:p>
    <w:p>
      <w:pPr>
        <w:pStyle w:val="Compact"/>
        <w:numPr>
          <w:ilvl w:val="1"/>
          <w:numId w:val="1653"/>
        </w:numPr>
      </w:pPr>
    </w:p>
    <w:p>
      <w:pPr>
        <w:pStyle w:val="Compact"/>
        <w:numPr>
          <w:ilvl w:val="2"/>
          <w:numId w:val="1654"/>
        </w:numPr>
      </w:pPr>
      <w:r>
        <w:t xml:space="preserve">Remplace entièrement le besoin de sauvegarde</w:t>
      </w:r>
    </w:p>
    <w:p>
      <w:pPr>
        <w:pStyle w:val="Compact"/>
        <w:numPr>
          <w:ilvl w:val="1"/>
          <w:numId w:val="1653"/>
        </w:numPr>
      </w:pPr>
    </w:p>
    <w:p>
      <w:pPr>
        <w:pStyle w:val="Compact"/>
        <w:numPr>
          <w:ilvl w:val="2"/>
          <w:numId w:val="1655"/>
        </w:numPr>
      </w:pPr>
      <w:r>
        <w:t xml:space="preserve">Ne protège pas contre une panne totale de ce NAS</w:t>
      </w:r>
    </w:p>
    <w:p>
      <w:pPr>
        <w:pStyle w:val="Compact"/>
        <w:numPr>
          <w:ilvl w:val="1"/>
          <w:numId w:val="1653"/>
        </w:numPr>
      </w:pPr>
    </w:p>
    <w:p>
      <w:pPr>
        <w:pStyle w:val="Compact"/>
        <w:numPr>
          <w:ilvl w:val="2"/>
          <w:numId w:val="1656"/>
        </w:numPr>
      </w:pPr>
      <w:r>
        <w:t xml:space="preserve">Est automatiquement répliqué sur un autre site</w:t>
      </w:r>
    </w:p>
    <w:p>
      <w:pPr>
        <w:pStyle w:val="Compact"/>
        <w:numPr>
          <w:ilvl w:val="1"/>
          <w:numId w:val="1653"/>
        </w:numPr>
      </w:pPr>
    </w:p>
    <w:p>
      <w:pPr>
        <w:pStyle w:val="Compact"/>
        <w:numPr>
          <w:ilvl w:val="2"/>
          <w:numId w:val="1657"/>
        </w:numPr>
      </w:pPr>
      <w:r>
        <w:t xml:space="preserve">Chiffre automatiquement les données</w:t>
      </w:r>
    </w:p>
    <w:p>
      <w:pPr>
        <w:pStyle w:val="Compact"/>
        <w:numPr>
          <w:ilvl w:val="0"/>
          <w:numId w:val="1647"/>
        </w:numPr>
      </w:pPr>
      <w:r>
        <w:t xml:space="preserve">Le NAS est généralement mieux adapté que le SAN pour :</w:t>
      </w:r>
    </w:p>
    <w:p>
      <w:pPr>
        <w:pStyle w:val="Compact"/>
        <w:numPr>
          <w:ilvl w:val="1"/>
          <w:numId w:val="1658"/>
        </w:numPr>
      </w:pPr>
    </w:p>
    <w:p>
      <w:pPr>
        <w:pStyle w:val="Compact"/>
        <w:numPr>
          <w:ilvl w:val="2"/>
          <w:numId w:val="1659"/>
        </w:numPr>
      </w:pPr>
      <w:r>
        <w:t xml:space="preserve">Une base de données transactionnelle à très faible latence</w:t>
      </w:r>
    </w:p>
    <w:p>
      <w:pPr>
        <w:pStyle w:val="Compact"/>
        <w:numPr>
          <w:ilvl w:val="1"/>
          <w:numId w:val="1658"/>
        </w:numPr>
      </w:pPr>
    </w:p>
    <w:p>
      <w:pPr>
        <w:pStyle w:val="Compact"/>
        <w:numPr>
          <w:ilvl w:val="2"/>
          <w:numId w:val="1660"/>
        </w:numPr>
      </w:pPr>
      <w:r>
        <w:t xml:space="preserve">Le partage de fichiers classiques (documents, exports)</w:t>
      </w:r>
    </w:p>
    <w:p>
      <w:pPr>
        <w:pStyle w:val="Compact"/>
        <w:numPr>
          <w:ilvl w:val="1"/>
          <w:numId w:val="1658"/>
        </w:numPr>
      </w:pPr>
    </w:p>
    <w:p>
      <w:pPr>
        <w:pStyle w:val="Compact"/>
        <w:numPr>
          <w:ilvl w:val="2"/>
          <w:numId w:val="1661"/>
        </w:numPr>
      </w:pPr>
      <w:r>
        <w:t xml:space="preserve">Le stockage en mode bloc exclusivement</w:t>
      </w:r>
    </w:p>
    <w:p>
      <w:pPr>
        <w:pStyle w:val="Compact"/>
        <w:numPr>
          <w:ilvl w:val="1"/>
          <w:numId w:val="1658"/>
        </w:numPr>
      </w:pPr>
    </w:p>
    <w:p>
      <w:pPr>
        <w:pStyle w:val="Compact"/>
        <w:numPr>
          <w:ilvl w:val="2"/>
          <w:numId w:val="1662"/>
        </w:numPr>
      </w:pPr>
      <w:r>
        <w:t xml:space="preserve">Un usage exclusivement local, sans réseau</w:t>
      </w:r>
    </w:p>
    <w:p>
      <w:pPr>
        <w:pStyle w:val="FirstParagraph"/>
      </w:pPr>
      <w:r>
        <w:rPr>
          <w:b/>
          <w:bCs/>
        </w:rPr>
        <w:t xml:space="preserve">Corrigé</w:t>
      </w:r>
      <w:r>
        <w:t xml:space="preserve"> </w:t>
      </w:r>
      <w:r>
        <w:t xml:space="preserve">: 1-b, 2-b, 3-b.</w:t>
      </w:r>
    </w:p>
    <w:p>
      <w:pPr>
        <w:pStyle w:val="BodyText"/>
      </w:pPr>
      <w:r>
        <w:t xml:space="preserve">📝 Vrai ou Faux</w:t>
      </w:r>
    </w:p>
    <w:p>
      <w:pPr>
        <w:pStyle w:val="Compact"/>
        <w:numPr>
          <w:ilvl w:val="0"/>
          <w:numId w:val="1663"/>
        </w:numPr>
      </w:pPr>
      <w:r>
        <w:t xml:space="preserve">Un NAS peut exposer le même volume de données à la fois en SMB et en NFS simultanément. —</w:t>
      </w:r>
      <w:r>
        <w:t xml:space="preserve"> </w:t>
      </w:r>
      <w:r>
        <w:rPr>
          <w:b/>
          <w:bCs/>
        </w:rPr>
        <w:t xml:space="preserve">Vrai</w:t>
      </w:r>
      <w:r>
        <w:t xml:space="preserve">.</w:t>
      </w:r>
    </w:p>
    <w:p>
      <w:pPr>
        <w:pStyle w:val="Compact"/>
        <w:numPr>
          <w:ilvl w:val="0"/>
          <w:numId w:val="1663"/>
        </w:numPr>
      </w:pPr>
      <w:r>
        <w:t xml:space="preserve">Un NAS élimine complètement le besoin de RAID sous-jacent. —</w:t>
      </w:r>
      <w:r>
        <w:t xml:space="preserve"> </w:t>
      </w:r>
      <w:r>
        <w:rPr>
          <w:b/>
          <w:bCs/>
        </w:rPr>
        <w:t xml:space="preserve">Faux</w:t>
      </w:r>
      <w:r>
        <w:t xml:space="preserve"> </w:t>
      </w:r>
      <w:r>
        <w:t xml:space="preserve">(il s’appuie sur du RAID, il ne le remplace pas, section 28.3).</w:t>
      </w:r>
    </w:p>
    <w:p>
      <w:pPr>
        <w:pStyle w:val="Compact"/>
        <w:numPr>
          <w:ilvl w:val="0"/>
          <w:numId w:val="1663"/>
        </w:numPr>
      </w:pPr>
      <w:r>
        <w:t xml:space="preserve">Authentifier un NAS contre Active Directory est préférable à des comptes locaux dupliqués. —</w:t>
      </w:r>
      <w:r>
        <w:t xml:space="preserve"> </w:t>
      </w:r>
      <w:r>
        <w:rPr>
          <w:b/>
          <w:bCs/>
        </w:rPr>
        <w:t xml:space="preserve">Vrai</w:t>
      </w:r>
      <w:r>
        <w:t xml:space="preserve">.</w:t>
      </w:r>
    </w:p>
    <w:p>
      <w:pPr>
        <w:pStyle w:val="Compact"/>
        <w:numPr>
          <w:ilvl w:val="0"/>
          <w:numId w:val="1663"/>
        </w:numPr>
      </w:pPr>
      <w:r>
        <w:t xml:space="preserve">Le DFS et un NAS répondent exactement au même besoin, de façon interchangeable. —</w:t>
      </w:r>
      <w:r>
        <w:t xml:space="preserve"> </w:t>
      </w:r>
      <w:r>
        <w:rPr>
          <w:b/>
          <w:bCs/>
        </w:rPr>
        <w:t xml:space="preserve">Faux</w:t>
      </w:r>
      <w:r>
        <w:t xml:space="preserve"> </w:t>
      </w:r>
      <w:r>
        <w:t xml:space="preserve">(des besoins différents, section 28.1).</w:t>
      </w:r>
    </w:p>
    <w:p>
      <w:pPr>
        <w:pStyle w:val="FirstParagraph"/>
      </w:pPr>
      <w:r>
        <w:t xml:space="preserve">📝 Questions ouvertes</w:t>
      </w:r>
    </w:p>
    <w:p>
      <w:pPr>
        <w:pStyle w:val="Compact"/>
        <w:numPr>
          <w:ilvl w:val="0"/>
          <w:numId w:val="1664"/>
        </w:numPr>
      </w:pPr>
      <w:r>
        <w:t xml:space="preserve">Explique pourquoi un NAS accessible à la fois en SMB et en NFS nécessite une attention particulière à la cohérence des permissions.</w:t>
      </w:r>
    </w:p>
    <w:p>
      <w:pPr>
        <w:pStyle w:val="Compact"/>
        <w:numPr>
          <w:ilvl w:val="0"/>
          <w:numId w:val="1664"/>
        </w:numPr>
      </w:pPr>
      <w:r>
        <w:t xml:space="preserve">Reprends le scénario d’ouverture. Explique pourquoi un NAS répond mieux au besoin exprimé qu’une simple réplication DFS entre deux serveurs Windows.</w:t>
      </w:r>
    </w:p>
    <w:p>
      <w:pPr>
        <w:pStyle w:val="FirstParagraph"/>
      </w:pPr>
      <w:r>
        <w:rPr>
          <w:b/>
          <w:bCs/>
        </w:rPr>
        <w:t xml:space="preserve">Corrigé 1</w:t>
      </w:r>
      <w:r>
        <w:t xml:space="preserve"> </w:t>
      </w:r>
      <w:r>
        <w:t xml:space="preserve">: SMB et NFS ont des modèles de permissions historiquement différents, et le NAS doit résoudre une correspondance d’identité cohérente entre un utilisateur accédant via l’un ou l’autre protocole pour que les mêmes règles d’accès s’appliquent réellement des deux côtés — sans cette cohérence, un fichier créé via un protocole peut devenir inaccessible ou mal protégé via l’autre, un risque de sécurité ou de fonctionnement selon le sens de l’incohérence.</w:t>
      </w:r>
    </w:p>
    <w:p>
      <w:pPr>
        <w:pStyle w:val="BodyText"/>
      </w:pPr>
      <w:r>
        <w:rPr>
          <w:b/>
          <w:bCs/>
        </w:rPr>
        <w:t xml:space="preserve">Corrigé 2</w:t>
      </w:r>
      <w:r>
        <w:t xml:space="preserve"> </w:t>
      </w:r>
      <w:r>
        <w:t xml:space="preserve">: le DFS réplique des dossiers uniquement entre des serveurs Windows — il ne résoudrait pas le besoin du serveur Rocky Linux d’accéder aux mêmes données via NFS, nécessitant une solution supplémentaire distincte pour ce client Linux. Un NAS, en exposant nativement les deux protocoles sur la même source de données centralisée, répond directement et simultanément aux deux besoins (postes Windows du service comptabilité et script d’export Linux) sans duplication ni synchronisation supplémentaire à maintenir entre deux systèmes de stockage distincts.</w:t>
      </w:r>
    </w:p>
    <w:bookmarkEnd w:id="704"/>
    <w:bookmarkStart w:id="705" w:name="exercices-27"/>
    <w:p>
      <w:pPr>
        <w:pStyle w:val="Heading2"/>
      </w:pPr>
      <w:r>
        <w:t xml:space="preserve">Exercices</w:t>
      </w:r>
    </w:p>
    <w:p>
      <w:pPr>
        <w:pStyle w:val="FirstParagraph"/>
      </w:pPr>
      <w:r>
        <w:t xml:space="preserve">📝 Exercice 28.1</w:t>
      </w:r>
    </w:p>
    <w:p>
      <w:pPr>
        <w:pStyle w:val="BodyText"/>
      </w:pPr>
      <w:r>
        <w:t xml:space="preserve">Explique pourquoi un NAS unique, même avec un RAID 6 robuste en interne (chapitre 27), reste un point de défaillance unique à l’échelle de l’organisation, et propose une mesure pour réduire ce risque.</w:t>
      </w:r>
    </w:p>
    <w:p>
      <w:pPr>
        <w:pStyle w:val="BodyText"/>
      </w:pPr>
      <w:r>
        <w:rPr>
          <w:b/>
          <w:bCs/>
        </w:rPr>
        <w:t xml:space="preserve">Corrigé :</w:t>
      </w:r>
      <w:r>
        <w:t xml:space="preserve"> </w:t>
      </w:r>
      <w:r>
        <w:t xml:space="preserve">Le RAID 6 protège contre la panne d’un ou deux disques individuels à l’intérieur du NAS, mais ne protège pas contre une panne totale du NAS lui-même (alimentation électrique défaillante, carte mère du NAS en panne, incendie ou dégât des eaux dans la salle serveur) — dans tous ces scénarios, l’ensemble des données du NAS deviendrait inaccessible ou perdu, malgré la robustesse de son RAID interne. Une mesure de réduction de ce risque consiste à maintenir des sauvegardes régulières vers un stockage physiquement distinct (chapitre 30), voire à envisager une réplication vers un second NAS sur un site différent pour les données les plus critiques, réduisant le risque d’un point de défaillance unique à l’échelle de l’organisation entière.</w:t>
      </w:r>
    </w:p>
    <w:p>
      <w:pPr>
        <w:pStyle w:val="BodyText"/>
      </w:pPr>
      <w:r>
        <w:t xml:space="preserve">📝 Exercice 28.2</w:t>
      </w:r>
    </w:p>
    <w:p>
      <w:pPr>
        <w:pStyle w:val="BodyText"/>
      </w:pPr>
      <w:r>
        <w:t xml:space="preserve">Rédige, en 3 à 5 phrases, pourquoi le script d’export du serveur Rocky Linux du scénario d’ouverture ne devrait recevoir qu’un accès en lecture seule au partage NAS, plutôt qu’un accès en lecture-écriture</w:t>
      </w:r>
      <w:r>
        <w:t xml:space="preserve"> </w:t>
      </w:r>
      <w:r>
        <w:t xml:space="preserve">“pour plus de simplicité”</w:t>
      </w:r>
      <w:r>
        <w:t xml:space="preserve">.</w:t>
      </w:r>
    </w:p>
    <w:p>
      <w:pPr>
        <w:pStyle w:val="BodyText"/>
      </w:pPr>
      <w:r>
        <w:rPr>
          <w:b/>
          <w:bCs/>
        </w:rPr>
        <w:t xml:space="preserve">Corrigé (exemple de réponse) :</w:t>
      </w:r>
      <w:r>
        <w:t xml:space="preserve"> </w:t>
      </w:r>
      <w:r>
        <w:t xml:space="preserve">Le principe du moindre privilège (chapitre 1) exige de n’accorder que les droits strictement nécessaires à la tâche réelle — si le script d’export ne fait que lire des données pour les exporter ailleurs, il n’a aucun besoin réel d’écrire sur ce partage. Accorder un accès en écriture</w:t>
      </w:r>
      <w:r>
        <w:t xml:space="preserve"> </w:t>
      </w:r>
      <w:r>
        <w:t xml:space="preserve">“par simplicité”</w:t>
      </w:r>
      <w:r>
        <w:t xml:space="preserve"> </w:t>
      </w:r>
      <w:r>
        <w:t xml:space="preserve">créerait un risque disproportionné : si ce script contient un bug ou si le compte de service qu’il utilise est un jour compromis, un accès en écriture non nécessaire permettrait une modification ou une suppression accidentelle ou malveillante des données comptables, un risque totalement absent avec un accès limité à la lecture seule.</w:t>
      </w:r>
    </w:p>
    <w:bookmarkEnd w:id="705"/>
    <w:bookmarkStart w:id="706" w:name="checklist-de-fin-de-chapitre-27"/>
    <w:p>
      <w:pPr>
        <w:pStyle w:val="Heading2"/>
      </w:pPr>
      <w:r>
        <w:t xml:space="preserve">Checklist de fin de chapitre</w:t>
      </w:r>
    </w:p>
    <w:p>
      <w:pPr>
        <w:pStyle w:val="FirstParagraph"/>
      </w:pPr>
      <w:r>
        <w:t xml:space="preserve">☐ Je comprends la différence entre un NAS et le DFS (chapitre 11).</w:t>
      </w:r>
    </w:p>
    <w:p>
      <w:pPr>
        <w:pStyle w:val="BodyText"/>
      </w:pPr>
      <w:r>
        <w:t xml:space="preserve">☐ Je sais expliquer comment SMB et NFS peuvent exposer le même volume simultanément.</w:t>
      </w:r>
    </w:p>
    <w:p>
      <w:pPr>
        <w:pStyle w:val="BodyText"/>
      </w:pPr>
      <w:r>
        <w:t xml:space="preserve">☐ Je comprends que le NAS s’appuie sur du RAID sous-jacent, sans le remplacer.</w:t>
      </w:r>
    </w:p>
    <w:p>
      <w:pPr>
        <w:pStyle w:val="BodyText"/>
      </w:pPr>
      <w:r>
        <w:t xml:space="preserve">☐ Je sais pourquoi un snapshot ne remplace jamais une sauvegarde.</w:t>
      </w:r>
    </w:p>
    <w:p>
      <w:pPr>
        <w:pStyle w:val="BodyText"/>
      </w:pPr>
      <w:r>
        <w:t xml:space="preserve">☐ Je sais choisir entre NAS et SAN selon la nature de la charge de travail.</w:t>
      </w:r>
    </w:p>
    <w:p>
      <w:pPr>
        <w:pStyle w:val="BodyText"/>
      </w:pPr>
      <w:r>
        <w:t xml:space="preserve">☐ Je sais sécuriser l’accès à un NAS via l’identité centralisée déjà en place.</w:t>
      </w:r>
    </w:p>
    <w:bookmarkEnd w:id="706"/>
    <w:bookmarkStart w:id="707" w:name="faq-27"/>
    <w:p>
      <w:pPr>
        <w:pStyle w:val="Heading2"/>
      </w:pPr>
      <w:r>
        <w:t xml:space="preserve">FAQ</w:t>
      </w:r>
    </w:p>
    <w:p>
      <w:pPr>
        <w:pStyle w:val="FirstParagraph"/>
      </w:pPr>
      <w:r>
        <w:t xml:space="preserve">Un NAS grand public convient-il à un usage professionnel d’entreprise ?</w:t>
      </w:r>
    </w:p>
    <w:p>
      <w:pPr>
        <w:pStyle w:val="BodyText"/>
      </w:pPr>
      <w:r>
        <w:t xml:space="preserve">Pour un usage critique en entreprise, un NAS professionnel (avec support, RAID matériel robuste, intégration Active Directory native) reste largement préférable à un NAS grand public, souvent limité en performance, en fonctionnalités de sécurité et en support en cas de panne — un choix à évaluer selon la criticité réelle des données concernées, dans le même esprit que le choix de distribution du chapitre 14.</w:t>
      </w:r>
    </w:p>
    <w:p>
      <w:pPr>
        <w:pStyle w:val="BodyText"/>
      </w:pPr>
      <w:r>
        <w:t xml:space="preserve">Combien de temps un snapshot doit-il être conservé ?</w:t>
      </w:r>
    </w:p>
    <w:p>
      <w:pPr>
        <w:pStyle w:val="BodyText"/>
      </w:pPr>
      <w:r>
        <w:t xml:space="preserve">Cela dépend du besoin réel : des snapshots fréquents (horaires) sont généralement conservés peu de temps (quelques jours), tandis que des snapshots moins fréquents (quotidiens) peuvent être conservés plus longtemps — un compromis entre l’espace de stockage consommé par les snapshots eux-mêmes et la profondeur de récupération souhaitée.</w:t>
      </w:r>
    </w:p>
    <w:p>
      <w:pPr>
        <w:pStyle w:val="BodyText"/>
      </w:pPr>
      <w:r>
        <w:t xml:space="preserve">Le chiffrement en transit (SMB/NFS) suffit-il à sécuriser complètement un NAS ?</w:t>
      </w:r>
    </w:p>
    <w:p>
      <w:pPr>
        <w:pStyle w:val="BodyText"/>
      </w:pPr>
      <w:r>
        <w:t xml:space="preserve">Non, c’est une couche parmi plusieurs nécessaires — le chiffrement au repos (des données stockées sur les disques eux-mêmes), les permissions correctement configurées (section 28.6), et l’authentification centralisée restent tout aussi indispensables pour une sécurité complète, aucune mesure seule n’étant suffisante.</w:t>
      </w:r>
    </w:p>
    <w:p>
      <w:pPr>
        <w:pStyle w:val="BodyText"/>
      </w:pPr>
      <w:r>
        <w:t xml:space="preserve">Un NAS peut-il servir de cible de sauvegarde pour d’autres serveurs ?</w:t>
      </w:r>
    </w:p>
    <w:p>
      <w:pPr>
        <w:pStyle w:val="BodyText"/>
      </w:pPr>
      <w:r>
        <w:t xml:space="preserve">Oui, c’est un usage courant, mais attention à ne pas confondre ce rôle avec la protection de ses propres données (section 28.4) — si le NAS sert à la fois de stockage primaire ET de cible de sauvegarde pour d’autres systèmes, une panne du NAS affecterait les deux fonctions simultanément, un risque à considérer sérieusement dans la conception globale de la stratégie de sauvegarde (chapitre 30).</w:t>
      </w:r>
    </w:p>
    <w:bookmarkEnd w:id="707"/>
    <w:bookmarkStart w:id="711" w:name="références-et-pour-aller-plus-loin-27"/>
    <w:p>
      <w:pPr>
        <w:pStyle w:val="Heading2"/>
      </w:pPr>
      <w:r>
        <w:t xml:space="preserve">Références et pour aller plus loin</w:t>
      </w:r>
    </w:p>
    <w:p>
      <w:pPr>
        <w:pStyle w:val="Compact"/>
        <w:numPr>
          <w:ilvl w:val="0"/>
          <w:numId w:val="1665"/>
        </w:numPr>
      </w:pPr>
      <w:r>
        <w:t xml:space="preserve">Documentation officielle Samba (protocole SMB sur Linux) :</w:t>
      </w:r>
      <w:r>
        <w:t xml:space="preserve"> </w:t>
      </w:r>
      <w:hyperlink r:id="rId708">
        <w:r>
          <w:rPr>
            <w:rStyle w:val="Hyperlink"/>
          </w:rPr>
          <w:t xml:space="preserve">https://www.samba.org/samba/docs/</w:t>
        </w:r>
      </w:hyperlink>
    </w:p>
    <w:p>
      <w:pPr>
        <w:pStyle w:val="Compact"/>
        <w:numPr>
          <w:ilvl w:val="0"/>
          <w:numId w:val="1665"/>
        </w:numPr>
      </w:pPr>
      <w:r>
        <w:t xml:space="preserve">Documentation officielle NFS sur Red Hat Enterprise Linux :</w:t>
      </w:r>
      <w:r>
        <w:t xml:space="preserve"> </w:t>
      </w:r>
      <w:hyperlink r:id="rId709">
        <w:r>
          <w:rPr>
            <w:rStyle w:val="Hyperlink"/>
          </w:rPr>
          <w:t xml:space="preserve">https://access.redhat.com/documentation/fr-fr/red_hat_enterprise_linux/9/html/managing_file_systems/exporting-nfs-shares_managing-file-systems</w:t>
        </w:r>
      </w:hyperlink>
    </w:p>
    <w:p>
      <w:pPr>
        <w:pStyle w:val="Compact"/>
        <w:numPr>
          <w:ilvl w:val="0"/>
          <w:numId w:val="1665"/>
        </w:numPr>
      </w:pPr>
      <w:r>
        <w:t xml:space="preserve">Microsoft Learn — Vue d’ensemble de SMB :</w:t>
      </w:r>
      <w:r>
        <w:t xml:space="preserve"> </w:t>
      </w:r>
      <w:hyperlink r:id="rId710">
        <w:r>
          <w:rPr>
            <w:rStyle w:val="Hyperlink"/>
          </w:rPr>
          <w:t xml:space="preserve">https://learn.microsoft.com/fr-fr/windows-server/storage/file-server/file-server-smb-overview</w:t>
        </w:r>
      </w:hyperlink>
    </w:p>
    <w:p>
      <w:pPr>
        <w:pStyle w:val="FirstParagraph"/>
      </w:pPr>
      <w:r>
        <w:rPr>
          <w:i/>
          <w:iCs/>
        </w:rPr>
        <w:t xml:space="preserve">Chapitre suivant : SAN — concepts et protocoles, pour les charges de travail transactionnelles à faible latence que le NAS ne couvre pas de façon optimale.</w:t>
      </w:r>
    </w:p>
    <w:p>
      <w:pPr>
        <w:pStyle w:val="BodyText"/>
      </w:pPr>
      <w:r>
        <w:t xml:space="preserve">CHAPITRE 29</w:t>
      </w:r>
    </w:p>
    <w:bookmarkEnd w:id="711"/>
    <w:bookmarkEnd w:id="712"/>
    <w:bookmarkStart w:id="741" w:name="san-concepts-et-protocoles"/>
    <w:p>
      <w:pPr>
        <w:pStyle w:val="Heading1"/>
      </w:pPr>
      <w:r>
        <w:t xml:space="preserve">SAN : concepts et protocoles</w:t>
      </w:r>
    </w:p>
    <w:p>
      <w:pPr>
        <w:pStyle w:val="FirstParagraph"/>
      </w:pPr>
      <w:r>
        <w:t xml:space="preserve">🎯 Objectif du chapitre</w:t>
      </w:r>
      <w:r>
        <w:t xml:space="preserve"> </w:t>
      </w:r>
      <w:r>
        <w:t xml:space="preserve">Comprendre le SAN (</w:t>
      </w:r>
      <w:r>
        <w:rPr>
          <w:i/>
          <w:iCs/>
        </w:rPr>
        <w:t xml:space="preserve">Storage Area Network</w:t>
      </w:r>
      <w:r>
        <w:t xml:space="preserve">) et la différence fondamentale entre le mode bloc et le mode fichier (chapitre 28), et pourquoi certains besoins — en particulier le clustering (chapitre 13) — exigent spécifiquement un stockage partagé en mode bloc. À la fin de ce chapitre, tu sauras choisir entre iSCSI et Fibre Channel selon un contexte donné, comprendre le rôle du multipathing, et éviter les erreurs de conception les plus coûteuses d’une infrastructure SAN.</w:t>
      </w:r>
    </w:p>
    <w:p>
      <w:pPr>
        <w:pStyle w:val="BodyText"/>
      </w:pPr>
      <w:r>
        <w:t xml:space="preserve">🎬 Mise en situation</w:t>
      </w:r>
      <w:r>
        <w:t xml:space="preserve"> </w:t>
      </w:r>
      <w:r>
        <w:t xml:space="preserve">L’entreprise planifie la virtualisation de son infrastructure (un projet abordé en détail dans la Partie 6 de ce manuel), avec un cluster de basculement — exactement le type d’architecture déjà présentée au chapitre 13. Le DSI se souvient d’une phrase de ce chapitre, restée jusqu’ici abstraite :</w:t>
      </w:r>
      <w:r>
        <w:t xml:space="preserve"> </w:t>
      </w:r>
      <w:r>
        <w:t xml:space="preserve">“le clustering exige un stockage partagé accessible simultanément par plusieurs nœuds”</w:t>
      </w:r>
      <w:r>
        <w:t xml:space="preserve">. Il te demande :</w:t>
      </w:r>
      <w:r>
        <w:t xml:space="preserve"> </w:t>
      </w:r>
      <w:r>
        <w:t xml:space="preserve">“Le NAS qu’on vient de déployer au chapitre précédent peut-il servir à ça ?”</w:t>
      </w:r>
      <w:r>
        <w:t xml:space="preserve"> </w:t>
      </w:r>
      <w:r>
        <w:t xml:space="preserve">La réponse révèle une distinction fondamentale entre deux façons d’accéder au stockage réseau — le sujet de ce chapitre.</w:t>
      </w:r>
    </w:p>
    <w:bookmarkStart w:id="713" w:name="X72620f2c5a4a85aaeadaade14a109195dc78990"/>
    <w:p>
      <w:pPr>
        <w:pStyle w:val="Heading2"/>
      </w:pPr>
      <w:r>
        <w:t xml:space="preserve">29.1 Mode bloc vs mode fichier : la distinction fondamentale</w:t>
      </w:r>
    </w:p>
    <w:p>
      <w:pPr>
        <w:pStyle w:val="FirstParagraph"/>
      </w:pPr>
      <w:r>
        <w:t xml:space="preserve">📌 À retenir — la différence qui répond à la question du DSI</w:t>
      </w:r>
      <w:r>
        <w:t xml:space="preserve"> </w:t>
      </w:r>
      <w:r>
        <w:t xml:space="preserve">Un NAS (chapitre 28) fonctionne en</w:t>
      </w:r>
      <w:r>
        <w:t xml:space="preserve"> </w:t>
      </w:r>
      <w:r>
        <w:t xml:space="preserve">mode fichier</w:t>
      </w:r>
      <w:r>
        <w:t xml:space="preserve"> </w:t>
      </w:r>
      <w:r>
        <w:t xml:space="preserve">: le client demande un fichier par son nom (via SMB ou NFS), et c’est le NAS lui-même qui gère l’organisation physique des données sur ses disques. Un SAN fonctionne en</w:t>
      </w:r>
      <w:r>
        <w:t xml:space="preserve"> </w:t>
      </w:r>
      <w:r>
        <w:t xml:space="preserve">mode bloc</w:t>
      </w:r>
      <w:r>
        <w:t xml:space="preserve"> </w:t>
      </w:r>
      <w:r>
        <w:t xml:space="preserve">: il expose un espace de stockage brut (un</w:t>
      </w:r>
      <w:r>
        <w:t xml:space="preserve"> </w:t>
      </w:r>
      <w:r>
        <w:t xml:space="preserve">“disque”</w:t>
      </w:r>
      <w:r>
        <w:t xml:space="preserve"> </w:t>
      </w:r>
      <w:r>
        <w:t xml:space="preserve">virtuel) directement au serveur client, qui y installe lui-même son propre système de fichiers, exactement comme s’il s’agissait d’un disque physique local. Cette différence explique directement pourquoi le NAS du chapitre 28 ne convient pas au besoin de clustering : un cluster de basculement (chapitre 13) a besoin que chaque nœud voie le même disque brut au niveau bloc, pas un partage de fichiers.</w:t>
      </w:r>
    </w:p>
    <w:p>
      <w:pPr>
        <w:pStyle w:val="BodyText"/>
      </w:pPr>
      <w:r>
        <w:t xml:space="preserve">💡 Analogie — louer un appartement meublé contre louer un espace vide</w:t>
      </w:r>
      <w:r>
        <w:t xml:space="preserve"> </w:t>
      </w:r>
      <w:r>
        <w:t xml:space="preserve">Un NAS ressemble à un appartement meublé et déjà organisé : tu demandes</w:t>
      </w:r>
      <w:r>
        <w:t xml:space="preserve"> </w:t>
      </w:r>
      <w:r>
        <w:t xml:space="preserve">“la chaise dans le salon”</w:t>
      </w:r>
      <w:r>
        <w:t xml:space="preserve"> </w:t>
      </w:r>
      <w:r>
        <w:t xml:space="preserve">(un fichier par son nom), sans te soucier de comment l’espace est structuré en coulisses. Un SAN ressemble à un espace de stockage totalement vide, que tu aménages toi-même de A à Z (ton propre système de fichiers, comme si c’était un disque physique neuf) — le SAN se contente de fournir l’espace brut, sans connaître ni se soucier de son organisation interne.</w:t>
      </w:r>
    </w:p>
    <w:bookmarkEnd w:id="713"/>
    <w:bookmarkStart w:id="717" w:name="X86491cc1f5dd551fa9ae6350a1c3cdce42d8024"/>
    <w:p>
      <w:pPr>
        <w:pStyle w:val="Heading2"/>
      </w:pPr>
      <w:r>
        <w:t xml:space="preserve">29.2 Pourquoi le clustering (chapitre 13) exige spécifiquement du mode bloc</w:t>
      </w:r>
    </w:p>
    <w:p>
      <w:pPr>
        <w:pStyle w:val="CaptionedFigure"/>
      </w:pPr>
      <w:r>
        <w:drawing>
          <wp:inline>
            <wp:extent cx="5334000" cy="4321825"/>
            <wp:effectExtent b="0" l="0" r="0" t="0"/>
            <wp:docPr descr="Diagramme" title="" id="715" name="Picture"/>
            <a:graphic>
              <a:graphicData uri="http://schemas.openxmlformats.org/drawingml/2006/picture">
                <pic:pic>
                  <pic:nvPicPr>
                    <pic:cNvPr descr="C:/Users/ingja/Desktop/jarvis-starter-kit/livrables/formations/manuel-administration-systeme/assets/diagrams/d-29-san-concepts-protocoles-diagramme-1.png" id="716" name="Picture"/>
                    <pic:cNvPicPr>
                      <a:picLocks noChangeArrowheads="1" noChangeAspect="1"/>
                    </pic:cNvPicPr>
                  </pic:nvPicPr>
                  <pic:blipFill>
                    <a:blip r:embed="rId714"/>
                    <a:stretch>
                      <a:fillRect/>
                    </a:stretch>
                  </pic:blipFill>
                  <pic:spPr bwMode="auto">
                    <a:xfrm>
                      <a:off x="0" y="0"/>
                      <a:ext cx="5334000" cy="4321825"/>
                    </a:xfrm>
                    <a:prstGeom prst="rect">
                      <a:avLst/>
                    </a:prstGeom>
                    <a:noFill/>
                    <a:ln w="9525">
                      <a:noFill/>
                      <a:headEnd/>
                      <a:tailEnd/>
                    </a:ln>
                  </pic:spPr>
                </pic:pic>
              </a:graphicData>
            </a:graphic>
          </wp:inline>
        </w:drawing>
      </w:r>
    </w:p>
    <w:p>
      <w:pPr>
        <w:pStyle w:val="ImageCaption"/>
      </w:pPr>
      <w:r>
        <w:t xml:space="preserve">Diagramme</w:t>
      </w:r>
    </w:p>
    <w:p>
      <w:pPr>
        <w:pStyle w:val="BodyText"/>
      </w:pPr>
      <w:r>
        <w:t xml:space="preserve">💡 Explication du schéma</w:t>
      </w:r>
      <w:r>
        <w:t xml:space="preserve"> </w:t>
      </w:r>
      <w:r>
        <w:t xml:space="preserve">Pour qu’un cluster de basculement fonctionne (chapitre 13), les deux nœuds doivent pouvoir accéder au</w:t>
      </w:r>
      <w:r>
        <w:t xml:space="preserve"> </w:t>
      </w:r>
      <w:r>
        <w:rPr>
          <w:b/>
          <w:bCs/>
        </w:rPr>
        <w:t xml:space="preserve">même disque brut</w:t>
      </w:r>
      <w:r>
        <w:t xml:space="preserve">, avec une coordination stricte au niveau bloc pour éviter toute corruption en cas d’accès simultané — un mécanisme que le SAN fournit nativement, et que le mode fichier d’un NAS ne fournit pas de la même manière (un NAS gère lui-même la coordination des accès fichiers, une architecture différente, pas interchangeable avec les mécanismes de clustering bas niveau).</w:t>
      </w:r>
    </w:p>
    <w:bookmarkEnd w:id="717"/>
    <w:bookmarkStart w:id="718" w:name="Xd16a1a66754de6dada7d6303f734a9de54ed77e"/>
    <w:p>
      <w:pPr>
        <w:pStyle w:val="Heading2"/>
      </w:pPr>
      <w:r>
        <w:t xml:space="preserve">29.3 iSCSI : le SAN accessible via Ethernet standard</w:t>
      </w:r>
    </w:p>
    <w:p>
      <w:pPr>
        <w:pStyle w:val="FirstParagraph"/>
      </w:pPr>
      <w:r>
        <w:rPr>
          <w:b/>
          <w:bCs/>
        </w:rPr>
        <w:t xml:space="preserve">iSCSI</w:t>
      </w:r>
      <w:r>
        <w:t xml:space="preserve"> </w:t>
      </w:r>
      <w:r>
        <w:t xml:space="preserve">(</w:t>
      </w:r>
      <w:r>
        <w:rPr>
          <w:i/>
          <w:iCs/>
        </w:rPr>
        <w:t xml:space="preserve">Internet Small Computer System Interface</w:t>
      </w:r>
      <w:r>
        <w:t xml:space="preserve">) transporte des commandes de stockage en mode bloc par-dessus le réseau Ethernet standard déjà existant dans l’entreprise — pas besoin de matériel réseau dédié supplémentaire.</w:t>
      </w:r>
    </w:p>
    <w:p>
      <w:pPr>
        <w:pStyle w:val="SourceCode"/>
      </w:pPr>
      <w:r>
        <w:rPr>
          <w:rStyle w:val="VerbatimChar"/>
        </w:rPr>
        <w:t xml:space="preserve"># Cote client (initiator iSCSI) : decouvrir les cibles disponibles</w:t>
      </w:r>
      <w:r>
        <w:br/>
      </w:r>
      <w:r>
        <w:rPr>
          <w:rStyle w:val="VerbatimChar"/>
        </w:rPr>
        <w:t xml:space="preserve"># sur un serveur SAN iSCSI</w:t>
      </w:r>
      <w:r>
        <w:br/>
      </w:r>
      <w:r>
        <w:rPr>
          <w:rStyle w:val="VerbatimChar"/>
        </w:rPr>
        <w:t xml:space="preserve">iscsiadm -m discovery -t sendtargets -p 10.10.5.10</w:t>
      </w:r>
      <w:r>
        <w:br/>
      </w:r>
      <w:r>
        <w:br/>
      </w:r>
      <w:r>
        <w:rPr>
          <w:rStyle w:val="VerbatimChar"/>
        </w:rPr>
        <w:t xml:space="preserve"># Se connecter a une cible decouverte</w:t>
      </w:r>
      <w:r>
        <w:br/>
      </w:r>
      <w:r>
        <w:rPr>
          <w:rStyle w:val="VerbatimChar"/>
        </w:rPr>
        <w:t xml:space="preserve">iscsiadm -m node -T iqn.2026-01.ht.assuranceht:san01.lun01 -p 10.10.5.10 --login</w:t>
      </w:r>
    </w:p>
    <w:p>
      <w:pPr>
        <w:pStyle w:val="FirstParagraph"/>
      </w:pPr>
      <w:r>
        <w:t xml:space="preserve">✅ Bonne pratique — isoler le trafic iSCSI sur un réseau dédié</w:t>
      </w:r>
      <w:r>
        <w:t xml:space="preserve"> </w:t>
      </w:r>
      <w:r>
        <w:t xml:space="preserve">Même si iSCSI utilise l’Ethernet standard, le faire transiter sur le même réseau que le trafic utilisateur habituel expose le stockage à une congestion imprévisible (un pic de trafic web ralentissant soudainement l’accès disque d’un serveur critique) et à un risque de sécurité (le trafic de stockage devrait rester isolé, dans le même esprit que la segmentation déjà recommandée au chapitre 26 sur le Zero Trust). Un VLAN dédié (Partie 11) ou, idéalement, un réseau physiquement séparé, reste la bonne pratique standard pour tout déploiement iSCSI sérieux.</w:t>
      </w:r>
    </w:p>
    <w:bookmarkEnd w:id="718"/>
    <w:bookmarkStart w:id="719" w:name="X7467891ec023f7762d8a46fda5bd4fabe895030"/>
    <w:p>
      <w:pPr>
        <w:pStyle w:val="Heading2"/>
      </w:pPr>
      <w:r>
        <w:t xml:space="preserve">29.4 Fibre Channel : le SAN dédié haute performance</w:t>
      </w:r>
    </w:p>
    <w:p>
      <w:pPr>
        <w:pStyle w:val="FirstParagraph"/>
      </w:pPr>
      <w:r>
        <w:rPr>
          <w:b/>
          <w:bCs/>
        </w:rPr>
        <w:t xml:space="preserve">Fibre Channel</w:t>
      </w:r>
      <w:r>
        <w:t xml:space="preserve"> </w:t>
      </w:r>
      <w:r>
        <w:t xml:space="preserve">(FC) utilise une infrastructure réseau entièrement dédiée au stockage — câblage optique spécifique, commutateurs FC dédiés, cartes HBA (</w:t>
      </w:r>
      <w:r>
        <w:rPr>
          <w:i/>
          <w:iCs/>
        </w:rPr>
        <w:t xml:space="preserve">Host Bus Adapter</w:t>
      </w:r>
      <w:r>
        <w:t xml:space="preserve">) sur chaque serveur — offrant une latence et une fiabilité généralement supérieures à iSCSI, au prix d’un coût matériel et d’une complexité de déploiement bien plus élevés.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Critère</w:t>
            </w:r>
          </w:p>
        </w:tc>
        <w:tc>
          <w:tcPr/>
          <w:p>
            <w:pPr>
              <w:pStyle w:val="Compact"/>
            </w:pPr>
            <w:r>
              <w:t xml:space="preserve">iSCSI</w:t>
            </w:r>
          </w:p>
        </w:tc>
        <w:tc>
          <w:tcPr/>
          <w:p>
            <w:pPr>
              <w:pStyle w:val="Compact"/>
            </w:pPr>
            <w:r>
              <w:t xml:space="preserve">Fibre Channel</w:t>
            </w:r>
          </w:p>
        </w:tc>
      </w:tr>
      <w:tr>
        <w:tc>
          <w:tcPr/>
          <w:p>
            <w:pPr>
              <w:pStyle w:val="Compact"/>
            </w:pPr>
            <w:r>
              <w:t xml:space="preserve">Infrastructure réseau</w:t>
            </w:r>
          </w:p>
        </w:tc>
        <w:tc>
          <w:tcPr/>
          <w:p>
            <w:pPr>
              <w:pStyle w:val="Compact"/>
            </w:pPr>
            <w:r>
              <w:t xml:space="preserve">Ethernet standard existant</w:t>
            </w:r>
          </w:p>
        </w:tc>
        <w:tc>
          <w:tcPr/>
          <w:p>
            <w:pPr>
              <w:pStyle w:val="Compact"/>
            </w:pPr>
            <w:r>
              <w:t xml:space="preserve">Réseau dédié (câblage, commutateurs FC)</w:t>
            </w:r>
          </w:p>
        </w:tc>
      </w:tr>
      <w:tr>
        <w:tc>
          <w:tcPr/>
          <w:p>
            <w:pPr>
              <w:pStyle w:val="Compact"/>
            </w:pPr>
            <w:r>
              <w:t xml:space="preserve">Coût</w:t>
            </w:r>
          </w:p>
        </w:tc>
        <w:tc>
          <w:tcPr/>
          <w:p>
            <w:pPr>
              <w:pStyle w:val="Compact"/>
            </w:pPr>
            <w:r>
              <w:t xml:space="preserve">Modéré</w:t>
            </w:r>
          </w:p>
        </w:tc>
        <w:tc>
          <w:tcPr/>
          <w:p>
            <w:pPr>
              <w:pStyle w:val="Compact"/>
            </w:pPr>
            <w:r>
              <w:t xml:space="preserve">Élevé</w:t>
            </w:r>
          </w:p>
        </w:tc>
      </w:tr>
      <w:tr>
        <w:tc>
          <w:tcPr/>
          <w:p>
            <w:pPr>
              <w:pStyle w:val="Compact"/>
            </w:pPr>
            <w:r>
              <w:t xml:space="preserve">Performance/latence</w:t>
            </w:r>
          </w:p>
        </w:tc>
        <w:tc>
          <w:tcPr/>
          <w:p>
            <w:pPr>
              <w:pStyle w:val="Compact"/>
            </w:pPr>
            <w:r>
              <w:t xml:space="preserve">Bonne, dépend du réseau Ethernet</w:t>
            </w:r>
          </w:p>
        </w:tc>
        <w:tc>
          <w:tcPr/>
          <w:p>
            <w:pPr>
              <w:pStyle w:val="Compact"/>
            </w:pPr>
            <w:r>
              <w:t xml:space="preserve">Excellente, réseau dédié optimisé</w:t>
            </w:r>
          </w:p>
        </w:tc>
      </w:tr>
      <w:tr>
        <w:tc>
          <w:tcPr/>
          <w:p>
            <w:pPr>
              <w:pStyle w:val="Compact"/>
            </w:pPr>
            <w:r>
              <w:t xml:space="preserve">Complexité de déploiement</w:t>
            </w:r>
          </w:p>
        </w:tc>
        <w:tc>
          <w:tcPr/>
          <w:p>
            <w:pPr>
              <w:pStyle w:val="Compact"/>
            </w:pPr>
            <w:r>
              <w:t xml:space="preserve">Relativement accessible</w:t>
            </w:r>
          </w:p>
        </w:tc>
        <w:tc>
          <w:tcPr/>
          <w:p>
            <w:pPr>
              <w:pStyle w:val="Compact"/>
            </w:pPr>
            <w:r>
              <w:t xml:space="preserve">Plus complexe, expertise spécialisée requise</w:t>
            </w:r>
          </w:p>
        </w:tc>
      </w:tr>
      <w:tr>
        <w:tc>
          <w:tcPr/>
          <w:p>
            <w:pPr>
              <w:pStyle w:val="Compact"/>
            </w:pPr>
            <w:r>
              <w:t xml:space="preserve">Cas d’usage typique</w:t>
            </w:r>
          </w:p>
        </w:tc>
        <w:tc>
          <w:tcPr/>
          <w:p>
            <w:pPr>
              <w:pStyle w:val="Compact"/>
            </w:pPr>
            <w:r>
              <w:t xml:space="preserve">PME, budgets contraints, la majorité des cas</w:t>
            </w:r>
          </w:p>
        </w:tc>
        <w:tc>
          <w:tcPr/>
          <w:p>
            <w:pPr>
              <w:pStyle w:val="Compact"/>
            </w:pPr>
            <w:r>
              <w:t xml:space="preserve">Datacenters à très forte exigence de performance</w:t>
            </w:r>
          </w:p>
        </w:tc>
      </w:tr>
    </w:tbl>
    <w:p>
      <w:pPr>
        <w:pStyle w:val="BodyText"/>
      </w:pPr>
      <w:r>
        <w:t xml:space="preserve">💡 Recommandation pour le contexte de ce manuel</w:t>
      </w:r>
      <w:r>
        <w:t xml:space="preserve"> </w:t>
      </w:r>
      <w:r>
        <w:t xml:space="preserve">Pour une entreprise de la taille de la compagnie d’assurance de ce manuel, iSCSI représente presque toujours le choix le plus pragmatique — il réutilise l’infrastructure réseau existante (avec l’isolation recommandée en section 29.3), évite l’investissement matériel conséquent du Fibre Channel, et offre des performances largement suffisantes pour un cluster de virtualisation de cette envergure. Fibre Channel se justifie surtout dans des environnements à très grande échelle avec des exigences de latence extrêmes, rarement le cas pour une infrastructure de cette taille.</w:t>
      </w:r>
    </w:p>
    <w:bookmarkEnd w:id="719"/>
    <w:bookmarkStart w:id="720" w:name="lun-lunité-dallocation-dun-san"/>
    <w:p>
      <w:pPr>
        <w:pStyle w:val="Heading2"/>
      </w:pPr>
      <w:r>
        <w:t xml:space="preserve">29.5 LUN : l’unité d’allocation d’un SAN</w:t>
      </w:r>
    </w:p>
    <w:p>
      <w:pPr>
        <w:pStyle w:val="FirstParagraph"/>
      </w:pPr>
      <w:r>
        <w:t xml:space="preserve">Une</w:t>
      </w:r>
      <w:r>
        <w:t xml:space="preserve"> </w:t>
      </w:r>
      <w:r>
        <w:rPr>
          <w:b/>
          <w:bCs/>
        </w:rPr>
        <w:t xml:space="preserve">LUN</w:t>
      </w:r>
      <w:r>
        <w:t xml:space="preserve"> </w:t>
      </w:r>
      <w:r>
        <w:t xml:space="preserve">(</w:t>
      </w:r>
      <w:r>
        <w:rPr>
          <w:i/>
          <w:iCs/>
        </w:rPr>
        <w:t xml:space="preserve">Logical Unit Number</w:t>
      </w:r>
      <w:r>
        <w:t xml:space="preserve">) est l’unité de stockage brut qu’un SAN expose à un serveur client — l’équivalent, dans le monde du SAN, du volume logique LVM du chapitre 17, mais accessible potentiellement par plusieurs serveurs simultanément (avec la coordination nécessaire, comme dans le clustering).</w:t>
      </w:r>
    </w:p>
    <w:p>
      <w:pPr>
        <w:pStyle w:val="BodyText"/>
      </w:pPr>
      <w:r>
        <w:t xml:space="preserve">⚠️ Dimensionner une LUN nécessite d’anticiper, comme pour LVM au chapitre 17</w:t>
      </w:r>
      <w:r>
        <w:t xml:space="preserve"> </w:t>
      </w:r>
      <w:r>
        <w:t xml:space="preserve">Exactement le même principe déjà vu au chapitre 17 pour LVM : sous-dimensionner une LUN dès sa création peut nécessiter une extension délicate plus tard, tandis qu’une extension à chaud (souvent possible, selon le SAN et le système de fichiers utilisés) reste préférable à une reconstruction complète en urgence. Le réflexe de la section 17.3 (préférer LVM par défaut pour permettre une extension à chaud) s’applique de la même façon au niveau du système de fichiers créé par-dessus une LUN.</w:t>
      </w:r>
    </w:p>
    <w:bookmarkEnd w:id="720"/>
    <w:bookmarkStart w:id="724" w:name="Xbb34458df12208181428f467b515f36acce65f1"/>
    <w:p>
      <w:pPr>
        <w:pStyle w:val="Heading2"/>
      </w:pPr>
      <w:r>
        <w:t xml:space="preserve">29.6 Le multipathing : éviter le point de défaillance unique</w:t>
      </w:r>
    </w:p>
    <w:p>
      <w:pPr>
        <w:pStyle w:val="FirstParagraph"/>
      </w:pPr>
      <w:r>
        <w:t xml:space="preserve">🔒 Sécurité — un seul chemin réseau vers le SAN est un point de défaillance unique</w:t>
      </w:r>
      <w:r>
        <w:t xml:space="preserve"> </w:t>
      </w:r>
      <w:r>
        <w:t xml:space="preserve">Rappel direct du principe du chapitre 6 (tolérance de panne, au-delà de la simple réplication) : un serveur connecté au SAN via un seul câble/port réseau reste vulnérable à la panne de ce composant unique, malgré toute la redondance interne du SAN lui-même. Le</w:t>
      </w:r>
      <w:r>
        <w:t xml:space="preserve"> </w:t>
      </w:r>
      <w:r>
        <w:t xml:space="preserve">multipathing</w:t>
      </w:r>
      <w:r>
        <w:t xml:space="preserve"> </w:t>
      </w:r>
      <w:r>
        <w:t xml:space="preserve">(MPIO,</w:t>
      </w:r>
      <w:r>
        <w:t xml:space="preserve"> </w:t>
      </w:r>
      <w:r>
        <w:rPr>
          <w:i/>
          <w:iCs/>
        </w:rPr>
        <w:t xml:space="preserve">Multipath I/O</w:t>
      </w:r>
      <w:r>
        <w:t xml:space="preserve">) configure plusieurs chemins réseau redondants entre le serveur et le SAN, avec bascule automatique en cas de panne d’un chemin — exactement le même principe que</w:t>
      </w:r>
      <w:r>
        <w:t xml:space="preserve"> </w:t>
      </w:r>
      <w:r>
        <w:t xml:space="preserve">“plusieurs contrôleurs de domaine par site”</w:t>
      </w:r>
      <w:r>
        <w:t xml:space="preserve"> </w:t>
      </w:r>
      <w:r>
        <w:t xml:space="preserve">du chapitre 6, appliqué ici à l’accès réseau au stockage.</w:t>
      </w:r>
    </w:p>
    <w:p>
      <w:pPr>
        <w:pStyle w:val="CaptionedFigure"/>
      </w:pPr>
      <w:r>
        <w:drawing>
          <wp:inline>
            <wp:extent cx="5334000" cy="2506337"/>
            <wp:effectExtent b="0" l="0" r="0" t="0"/>
            <wp:docPr descr="Diagramme" title="" id="722" name="Picture"/>
            <a:graphic>
              <a:graphicData uri="http://schemas.openxmlformats.org/drawingml/2006/picture">
                <pic:pic>
                  <pic:nvPicPr>
                    <pic:cNvPr descr="C:/Users/ingja/Desktop/jarvis-starter-kit/livrables/formations/manuel-administration-systeme/assets/diagrams/d-29-san-concepts-protocoles-diagramme-2.png" id="723" name="Picture"/>
                    <pic:cNvPicPr>
                      <a:picLocks noChangeArrowheads="1" noChangeAspect="1"/>
                    </pic:cNvPicPr>
                  </pic:nvPicPr>
                  <pic:blipFill>
                    <a:blip r:embed="rId721"/>
                    <a:stretch>
                      <a:fillRect/>
                    </a:stretch>
                  </pic:blipFill>
                  <pic:spPr bwMode="auto">
                    <a:xfrm>
                      <a:off x="0" y="0"/>
                      <a:ext cx="5334000" cy="2506337"/>
                    </a:xfrm>
                    <a:prstGeom prst="rect">
                      <a:avLst/>
                    </a:prstGeom>
                    <a:noFill/>
                    <a:ln w="9525">
                      <a:noFill/>
                      <a:headEnd/>
                      <a:tailEnd/>
                    </a:ln>
                  </pic:spPr>
                </pic:pic>
              </a:graphicData>
            </a:graphic>
          </wp:inline>
        </w:drawing>
      </w:r>
    </w:p>
    <w:p>
      <w:pPr>
        <w:pStyle w:val="ImageCaption"/>
      </w:pPr>
      <w:r>
        <w:t xml:space="preserve">Diagramme</w:t>
      </w:r>
    </w:p>
    <w:bookmarkEnd w:id="724"/>
    <w:bookmarkStart w:id="725" w:name="sécuriser-laccès-au-san"/>
    <w:p>
      <w:pPr>
        <w:pStyle w:val="Heading2"/>
      </w:pPr>
      <w:r>
        <w:t xml:space="preserve">29.7 Sécuriser l’accès au SAN</w:t>
      </w:r>
    </w:p>
    <w:p>
      <w:pPr>
        <w:pStyle w:val="FirstParagraph"/>
      </w:pPr>
      <w:r>
        <w:t xml:space="preserve">🔒 Sécurité — CHAP pour l’authentification iSCSI</w:t>
      </w:r>
      <w:r>
        <w:t xml:space="preserve"> </w:t>
      </w:r>
      <w:r>
        <w:t xml:space="preserve">iSCSI supporte l’authentification</w:t>
      </w:r>
      <w:r>
        <w:t xml:space="preserve"> </w:t>
      </w:r>
      <w:r>
        <w:rPr>
          <w:b/>
          <w:bCs/>
        </w:rPr>
        <w:t xml:space="preserve">CHAP</w:t>
      </w:r>
      <w:r>
        <w:t xml:space="preserve"> </w:t>
      </w:r>
      <w:r>
        <w:t xml:space="preserve">(</w:t>
      </w:r>
      <w:r>
        <w:rPr>
          <w:i/>
          <w:iCs/>
        </w:rPr>
        <w:t xml:space="preserve">Challenge Handshake Authentication Protocol</w:t>
      </w:r>
      <w:r>
        <w:t xml:space="preserve">), qui vérifie l’identité d’un serveur avant de lui accorder l’accès à une LUN précise — sans cette authentification, tout serveur ayant un accès réseau au SAN pourrait potentiellement découvrir et monter une LUN qui ne lui est pas destinée. L’isolation réseau (section 29.3) reste la première ligne de défense, mais CHAP ajoute une vérification d’identité complémentaire, dans le même esprit de défense en profondeur déjà appliqué tout au long de ce manuel.</w:t>
      </w:r>
    </w:p>
    <w:bookmarkEnd w:id="725"/>
    <w:bookmarkStart w:id="726" w:name="Xabe0d1b79a9367461044631d4d321c36d6b4739"/>
    <w:p>
      <w:pPr>
        <w:pStyle w:val="Heading2"/>
      </w:pPr>
      <w:r>
        <w:t xml:space="preserve">Atelier — Concevoir le SAN pour le projet de virtualisation</w:t>
      </w:r>
    </w:p>
    <w:p>
      <w:pPr>
        <w:pStyle w:val="FirstParagraph"/>
      </w:pPr>
      <w:r>
        <w:t xml:space="preserve">🛠️ Atelier 29 — Répondre à la question du DSI</w:t>
      </w:r>
    </w:p>
    <w:p>
      <w:pPr>
        <w:pStyle w:val="BodyText"/>
      </w:pPr>
      <w:r>
        <w:rPr>
          <w:b/>
          <w:bCs/>
        </w:rPr>
        <w:t xml:space="preserve">Objectif</w:t>
      </w:r>
      <w:r>
        <w:t xml:space="preserve"> </w:t>
      </w:r>
      <w:r>
        <w:t xml:space="preserve">: synthétiser les concepts de ce chapitre pour concevoir une architecture SAN adaptée au projet de clustering de virtualisation du scénario d’ouverture.</w:t>
      </w:r>
    </w:p>
    <w:p>
      <w:pPr>
        <w:pStyle w:val="BodyText"/>
      </w:pPr>
      <w:r>
        <w:rPr>
          <w:b/>
          <w:bCs/>
        </w:rPr>
        <w:t xml:space="preserve">Préparation</w:t>
      </w:r>
      <w:r>
        <w:t xml:space="preserve"> </w:t>
      </w:r>
      <w:r>
        <w:t xml:space="preserve">: aucune installation nécessaire pour cet atelier conceptuel.</w:t>
      </w:r>
    </w:p>
    <w:p>
      <w:pPr>
        <w:pStyle w:val="BodyText"/>
      </w:pPr>
      <w:r>
        <w:rPr>
          <w:b/>
          <w:bCs/>
        </w:rPr>
        <w:t xml:space="preserve">Étapes détaillées</w:t>
      </w:r>
      <w:r>
        <w:t xml:space="preserve"> </w:t>
      </w:r>
      <w:r>
        <w:t xml:space="preserve">:</w:t>
      </w:r>
    </w:p>
    <w:p>
      <w:pPr>
        <w:pStyle w:val="Compact"/>
        <w:numPr>
          <w:ilvl w:val="0"/>
          <w:numId w:val="1666"/>
        </w:numPr>
      </w:pPr>
      <w:r>
        <w:t xml:space="preserve">Réponds directement à la question du DSI (</w:t>
      </w:r>
      <w:r>
        <w:t xml:space="preserve">“le NAS peut-il servir à ça ?”</w:t>
      </w:r>
      <w:r>
        <w:t xml:space="preserve">), en t’appuyant sur la section 29.1.</w:t>
      </w:r>
    </w:p>
    <w:p>
      <w:pPr>
        <w:pStyle w:val="Compact"/>
        <w:numPr>
          <w:ilvl w:val="0"/>
          <w:numId w:val="1666"/>
        </w:numPr>
      </w:pPr>
      <w:r>
        <w:t xml:space="preserve">Recommande iSCSI ou Fibre Channel pour ce projet, en justifiant ton choix à partir de la section 29.4.</w:t>
      </w:r>
    </w:p>
    <w:p>
      <w:pPr>
        <w:pStyle w:val="Compact"/>
        <w:numPr>
          <w:ilvl w:val="0"/>
          <w:numId w:val="1666"/>
        </w:numPr>
      </w:pPr>
      <w:r>
        <w:t xml:space="preserve">Liste deux mesures de résilience et de sécurité indispensables pour cette architecture SAN, en t’appuyant sur les sections 29.6 et 29.7.</w:t>
      </w:r>
    </w:p>
    <w:p>
      <w:pPr>
        <w:pStyle w:val="Compact"/>
        <w:numPr>
          <w:ilvl w:val="0"/>
          <w:numId w:val="1666"/>
        </w:numPr>
      </w:pPr>
      <w:r>
        <w:t xml:space="preserve">Compare ta démarche à la section</w:t>
      </w:r>
      <w:r>
        <w:t xml:space="preserve"> </w:t>
      </w:r>
      <w:r>
        <w:t xml:space="preserve">“Résultat attendu”</w:t>
      </w:r>
      <w:r>
        <w:t xml:space="preserve">.</w:t>
      </w:r>
    </w:p>
    <w:p>
      <w:pPr>
        <w:pStyle w:val="FirstParagraph"/>
      </w:pPr>
      <w:r>
        <w:rPr>
          <w:b/>
          <w:bCs/>
        </w:rPr>
        <w:t xml:space="preserve">Résultat attendu</w:t>
      </w:r>
      <w:r>
        <w:t xml:space="preserve"> </w:t>
      </w:r>
      <w:r>
        <w:t xml:space="preserve">: le NAS ne convient pas au besoin de clustering, car il fonctionne en mode fichier alors que le clustering exige un accès partagé en mode bloc (section 29.1 et 29.2). iSCSI est recommandé pour ce projet, réutilisant l’infrastructure Ethernet existante à moindre coût, suffisant pour la taille de ce cluster (section 29.4). Les deux mesures indispensables sont le multipathing (au moins deux chemins réseau redondants entre chaque nœud du cluster et le SAN, section 29.6) et l’isolation réseau du trafic iSCSI sur un VLAN dédié avec authentification CHAP activée (section 29.3 et 29.7).</w:t>
      </w:r>
    </w:p>
    <w:p>
      <w:pPr>
        <w:pStyle w:val="BodyText"/>
      </w:pPr>
      <w:r>
        <w:rPr>
          <w:b/>
          <w:bCs/>
        </w:rPr>
        <w:t xml:space="preserve">Dépannage</w:t>
      </w:r>
      <w:r>
        <w:t xml:space="preserve"> </w:t>
      </w:r>
      <w:r>
        <w:t xml:space="preserve">: si tu hésites entre iSCSI et Fibre Channel, reviens au tableau comparatif de la section 29.4 et pose-toi la question centrale : ce projet a-t-il un budget et des exigences de performance qui justifient le coût significativement plus élevé du Fibre Channel ?</w:t>
      </w:r>
    </w:p>
    <w:bookmarkEnd w:id="726"/>
    <w:bookmarkStart w:id="727" w:name="erreurs-fréquentes-28"/>
    <w:p>
      <w:pPr>
        <w:pStyle w:val="Heading2"/>
      </w:pPr>
      <w:r>
        <w:t xml:space="preserve">Erreurs fréquentes</w:t>
      </w:r>
    </w:p>
    <w:p>
      <w:pPr>
        <w:pStyle w:val="FirstParagraph"/>
      </w:pPr>
      <w:r>
        <w:t xml:space="preserve">⚠️ Erreur n°1 — confondre NAS et SAN, et tenter d’utiliser un NAS pour du clustering</w:t>
      </w:r>
      <w:r>
        <w:t xml:space="preserve"> </w:t>
      </w:r>
      <w:r>
        <w:t xml:space="preserve">Exactement la question initiale du DSI dans le scénario d’ouverture — une confusion fréquente chez les débutants, corrigée par la distinction fondamentale mode fichier / mode bloc de la section 29.1.</w:t>
      </w:r>
    </w:p>
    <w:p>
      <w:pPr>
        <w:pStyle w:val="BodyText"/>
      </w:pPr>
      <w:r>
        <w:t xml:space="preserve">⚠️ Erreur n°2 — déployer iSCSI sans isolation réseau ni multipathing</w:t>
      </w:r>
      <w:r>
        <w:t xml:space="preserve"> </w:t>
      </w:r>
      <w:r>
        <w:t xml:space="preserve">Rappel des sections 29.3 et 29.6 : ces deux mesures ne sont pas des options facultatives pour un déploiement de production, mais des exigences de base pour éviter respectivement une congestion imprévisible et un point de défaillance unique.</w:t>
      </w:r>
    </w:p>
    <w:p>
      <w:pPr>
        <w:pStyle w:val="BodyText"/>
      </w:pPr>
      <w:r>
        <w:t xml:space="preserve">⚠️ Erreur n°3 — sous-dimensionner une LUN sans anticiper la croissance future</w:t>
      </w:r>
      <w:r>
        <w:t xml:space="preserve"> </w:t>
      </w:r>
      <w:r>
        <w:t xml:space="preserve">Rappel de la section 29.5 : le même piège déjà rencontré pour LVM au chapitre 17, avec les mêmes conséquences d’une extension délicate en production si elle n’a pas été anticipée dès la conception initiale.</w:t>
      </w:r>
    </w:p>
    <w:bookmarkEnd w:id="727"/>
    <w:bookmarkStart w:id="728" w:name="Xceb7ec302ddf8612670a2d97fdda70b1477776f"/>
    <w:p>
      <w:pPr>
        <w:pStyle w:val="Heading2"/>
      </w:pPr>
      <w:r>
        <w:t xml:space="preserve">Diagnostiquer une latence SAN inhabituelle</w:t>
      </w:r>
    </w:p>
    <w:p>
      <w:pPr>
        <w:pStyle w:val="FirstParagraph"/>
      </w:pPr>
      <w:r>
        <w:t xml:space="preserve">🩺 Symptôme : latence disque soudainement élevée sur un serveur connecté à un SAN iSCSI</w:t>
      </w:r>
    </w:p>
    <w:p>
      <w:pPr>
        <w:pStyle w:val="Compact"/>
        <w:numPr>
          <w:ilvl w:val="0"/>
          <w:numId w:val="1667"/>
        </w:numPr>
      </w:pPr>
      <w:r>
        <w:rPr>
          <w:b/>
          <w:bCs/>
        </w:rPr>
        <w:t xml:space="preserve">Diagnostic</w:t>
      </w:r>
      <w:r>
        <w:t xml:space="preserve"> </w:t>
      </w:r>
      <w:r>
        <w:t xml:space="preserve">: vérifier en priorité si le trafic iSCSI transite bien sur un réseau isolé (section 29.3) — une congestion du réseau partagé, causée par un pic de trafic totalement indépendant du stockage, est une cause fréquente et facilement corrigible si l’isolation n’était pas encore en place.</w:t>
      </w:r>
    </w:p>
    <w:p>
      <w:pPr>
        <w:pStyle w:val="Compact"/>
        <w:numPr>
          <w:ilvl w:val="0"/>
          <w:numId w:val="1667"/>
        </w:numPr>
      </w:pPr>
      <w:r>
        <w:rPr>
          <w:b/>
          <w:bCs/>
        </w:rPr>
        <w:t xml:space="preserve">Comment vérifier</w:t>
      </w:r>
      <w:r>
        <w:t xml:space="preserve"> </w:t>
      </w:r>
      <w:r>
        <w:t xml:space="preserve">: surveiller l’utilisation du réseau sur le segment iSCSI au moment de la latence observée, et vérifier l’état de chaque chemin du multipathing (un chemin en panne peut faire basculer tout le trafic sur un seul chemin restant, doublant sa charge sans que cela soit immédiatement évident).</w:t>
      </w:r>
    </w:p>
    <w:p>
      <w:pPr>
        <w:pStyle w:val="Compact"/>
        <w:numPr>
          <w:ilvl w:val="0"/>
          <w:numId w:val="1667"/>
        </w:numPr>
      </w:pPr>
      <w:r>
        <w:rPr>
          <w:b/>
          <w:bCs/>
        </w:rPr>
        <w:t xml:space="preserve">Résolution</w:t>
      </w:r>
      <w:r>
        <w:t xml:space="preserve"> </w:t>
      </w:r>
      <w:r>
        <w:t xml:space="preserve">: isoler le trafic iSCSI si ce n’était pas déjà fait, ou investiguer et réparer un chemin de multipathing défaillant — deux causes bien plus fréquentes qu’une réelle limite de performance du SAN lui-même.</w:t>
      </w:r>
    </w:p>
    <w:bookmarkEnd w:id="728"/>
    <w:bookmarkStart w:id="729" w:name="en-entreprise-28"/>
    <w:p>
      <w:pPr>
        <w:pStyle w:val="Heading2"/>
      </w:pPr>
      <w:r>
        <w:t xml:space="preserve">En entreprise</w:t>
      </w:r>
    </w:p>
    <w:p>
      <w:pPr>
        <w:pStyle w:val="Compact"/>
        <w:numPr>
          <w:ilvl w:val="0"/>
          <w:numId w:val="1668"/>
        </w:numPr>
      </w:pPr>
      <w:r>
        <w:rPr>
          <w:b/>
          <w:bCs/>
        </w:rPr>
        <w:t xml:space="preserve">Bonne pratique répandue</w:t>
      </w:r>
      <w:r>
        <w:t xml:space="preserve"> </w:t>
      </w:r>
      <w:r>
        <w:t xml:space="preserve">: documenter (chapitre 3) l’architecture SAN complète — LUN, leur allocation à quels serveurs, la configuration de multipathing — un schéma indispensable pour tout diagnostic ou extension future.</w:t>
      </w:r>
    </w:p>
    <w:p>
      <w:pPr>
        <w:pStyle w:val="Compact"/>
        <w:numPr>
          <w:ilvl w:val="0"/>
          <w:numId w:val="1668"/>
        </w:numPr>
      </w:pPr>
      <w:r>
        <w:rPr>
          <w:b/>
          <w:bCs/>
        </w:rPr>
        <w:t xml:space="preserve">Bonne pratique répandue</w:t>
      </w:r>
      <w:r>
        <w:t xml:space="preserve"> </w:t>
      </w:r>
      <w:r>
        <w:t xml:space="preserve">: tester le basculement du multipathing en conditions contrôlées (débrancher volontairement un chemin réseau lors d’une fenêtre de maintenance) pour confirmer qu’il fonctionne réellement comme prévu, plutôt que de découvrir un défaut de configuration lors d’une vraie panne.</w:t>
      </w:r>
    </w:p>
    <w:p>
      <w:pPr>
        <w:pStyle w:val="Compact"/>
        <w:numPr>
          <w:ilvl w:val="0"/>
          <w:numId w:val="1668"/>
        </w:numPr>
      </w:pPr>
      <w:r>
        <w:rPr>
          <w:b/>
          <w:bCs/>
        </w:rPr>
        <w:t xml:space="preserve">Erreur classique observée</w:t>
      </w:r>
      <w:r>
        <w:t xml:space="preserve"> </w:t>
      </w:r>
      <w:r>
        <w:t xml:space="preserve">: un SAN déployé initialement avec une isolation réseau et un multipathing corrects, mais dont la configuration se dégrade au fil du temps (un technicien reconnecte temporairement un câble sur le mauvais VLAN</w:t>
      </w:r>
      <w:r>
        <w:t xml:space="preserve"> </w:t>
      </w:r>
      <w:r>
        <w:t xml:space="preserve">“pour dépanner rapidement”</w:t>
      </w:r>
      <w:r>
        <w:t xml:space="preserve">, sans jamais revenir à la configuration correcte) — un rappel direct de la discipline de documentation et de revue périodique du chapitre 3.</w:t>
      </w:r>
    </w:p>
    <w:bookmarkEnd w:id="729"/>
    <w:bookmarkStart w:id="730" w:name="entretien-technique-28"/>
    <w:p>
      <w:pPr>
        <w:pStyle w:val="Heading2"/>
      </w:pPr>
      <w:r>
        <w:t xml:space="preserve">Entretien technique</w:t>
      </w:r>
    </w:p>
    <w:p>
      <w:pPr>
        <w:pStyle w:val="FirstParagraph"/>
      </w:pPr>
      <w:r>
        <w:t xml:space="preserve">💼 Questions fréquemment posées en entretien</w:t>
      </w:r>
    </w:p>
    <w:p>
      <w:pPr>
        <w:pStyle w:val="BodyText"/>
      </w:pPr>
      <w:r>
        <w:rPr>
          <w:b/>
          <w:bCs/>
        </w:rPr>
        <w:t xml:space="preserve">Q1.</w:t>
      </w:r>
      <w:r>
        <w:rPr>
          <w:b/>
          <w:bCs/>
        </w:rPr>
        <w:t xml:space="preserve"> </w:t>
      </w:r>
      <w:r>
        <w:rPr>
          <w:b/>
          <w:bCs/>
        </w:rPr>
        <w:t xml:space="preserve">“Quelle est la différence fondamentale entre un NAS et un SAN ?”</w:t>
      </w:r>
      <w:r>
        <w:t xml:space="preserve"> </w:t>
      </w:r>
      <w:r>
        <w:t xml:space="preserve">Réponse attendue : un NAS fonctionne en mode fichier (le client demande un fichier par son nom, le NAS gère l’organisation physique) ; un SAN fonctionne en mode bloc (il expose un espace de stockage brut, le client y installe son propre système de fichiers) — une distinction qui détermine directement les cas d’usage adaptés à chacun, notamment le clustering qui exige spécifiquement du mode bloc.</w:t>
      </w:r>
    </w:p>
    <w:p>
      <w:pPr>
        <w:pStyle w:val="BodyText"/>
      </w:pPr>
      <w:r>
        <w:rPr>
          <w:b/>
          <w:bCs/>
        </w:rPr>
        <w:t xml:space="preserve">Q2.</w:t>
      </w:r>
      <w:r>
        <w:rPr>
          <w:b/>
          <w:bCs/>
        </w:rPr>
        <w:t xml:space="preserve"> </w:t>
      </w:r>
      <w:r>
        <w:rPr>
          <w:b/>
          <w:bCs/>
        </w:rPr>
        <w:t xml:space="preserve">“Dans quel cas choisirais-tu iSCSI plutôt que Fibre Channel ?”</w:t>
      </w:r>
      <w:r>
        <w:t xml:space="preserve"> </w:t>
      </w:r>
      <w:r>
        <w:t xml:space="preserve">Réponse attendue : iSCSI convient à la grande majorité des cas, réutilisant l’infrastructure Ethernet existante à moindre coût — Fibre Channel se justifie surtout pour des environnements à très grande échelle avec des exigences de latence extrêmes, où son coût matériel plus élevé se justifie par un besoin de performance réel et mesuré.</w:t>
      </w:r>
    </w:p>
    <w:p>
      <w:pPr>
        <w:pStyle w:val="BodyText"/>
      </w:pPr>
      <w:r>
        <w:rPr>
          <w:b/>
          <w:bCs/>
        </w:rPr>
        <w:t xml:space="preserve">Q3.</w:t>
      </w:r>
      <w:r>
        <w:rPr>
          <w:b/>
          <w:bCs/>
        </w:rPr>
        <w:t xml:space="preserve"> </w:t>
      </w:r>
      <w:r>
        <w:rPr>
          <w:b/>
          <w:bCs/>
        </w:rPr>
        <w:t xml:space="preserve">“Pourquoi le multipathing est-il indispensable pour un déploiement SAN de production ?”</w:t>
      </w:r>
      <w:r>
        <w:t xml:space="preserve"> </w:t>
      </w:r>
      <w:r>
        <w:t xml:space="preserve">Réponse attendue : sans plusieurs chemins réseau redondants, un serveur connecté au SAN via un seul chemin reste vulnérable à la panne de ce composant unique, malgré toute la redondance interne du SAN lui-même — exactement le même principe de tolérance de panne déjà appliqué à plusieurs contrôleurs de domaine par site au chapitre 6.</w:t>
      </w:r>
    </w:p>
    <w:bookmarkEnd w:id="730"/>
    <w:bookmarkStart w:id="731" w:name="Xf255dac4e5c46bd464706ab977b01ac4874d4e2"/>
    <w:p>
      <w:pPr>
        <w:pStyle w:val="Heading2"/>
      </w:pPr>
      <w:r>
        <w:t xml:space="preserve">Optimisation, sécurité et maintenabilité — les réflexes dès ce chapitre</w:t>
      </w:r>
    </w:p>
    <w:p>
      <w:pPr>
        <w:pStyle w:val="FirstParagraph"/>
      </w:pPr>
      <w:r>
        <w:t xml:space="preserve">🔒 Sécurité</w:t>
      </w:r>
      <w:r>
        <w:t xml:space="preserve"> </w:t>
      </w:r>
      <w:r>
        <w:t xml:space="preserve">Active systématiquement CHAP pour toute connexion iSCSI de production, et isole le trafic de stockage sur un réseau dédié — deux mesures de base non négociables, jamais des options facultatives à considérer</w:t>
      </w:r>
      <w:r>
        <w:t xml:space="preserve"> </w:t>
      </w:r>
      <w:r>
        <w:t xml:space="preserve">“plus tard”</w:t>
      </w:r>
      <w:r>
        <w:t xml:space="preserve">.</w:t>
      </w:r>
    </w:p>
    <w:p>
      <w:pPr>
        <w:pStyle w:val="BodyText"/>
      </w:pPr>
      <w:r>
        <w:t xml:space="preserve">✅ Maintenabilité</w:t>
      </w:r>
      <w:r>
        <w:t xml:space="preserve"> </w:t>
      </w:r>
      <w:r>
        <w:t xml:space="preserve">Documente l’architecture SAN complète (chapitre 3) — LUN, allocation, multipathing — et teste régulièrement le basculement du multipathing en conditions contrôlées plutôt que de présumer qu’il fonctionne sans jamais le vérifier réellement.</w:t>
      </w:r>
    </w:p>
    <w:p>
      <w:pPr>
        <w:pStyle w:val="BodyText"/>
      </w:pPr>
      <w:r>
        <w:t xml:space="preserve">🚀 Performance</w:t>
      </w:r>
      <w:r>
        <w:t xml:space="preserve"> </w:t>
      </w:r>
      <w:r>
        <w:t xml:space="preserve">Dimensionne les LUN en anticipant la croissance future (section 29.5), exactement comme pour LVM au chapitre 17 — une extension à chaud planifiée coûte toujours moins cher qu’une reconstruction en urgence sur un système déjà en production.</w:t>
      </w:r>
    </w:p>
    <w:bookmarkEnd w:id="731"/>
    <w:bookmarkStart w:id="732" w:name="résumé-du-chapitre-28"/>
    <w:p>
      <w:pPr>
        <w:pStyle w:val="Heading2"/>
      </w:pPr>
      <w:r>
        <w:t xml:space="preserve">Résumé du chapitre</w:t>
      </w:r>
    </w:p>
    <w:p>
      <w:pPr>
        <w:pStyle w:val="Compact"/>
        <w:numPr>
          <w:ilvl w:val="0"/>
          <w:numId w:val="1669"/>
        </w:numPr>
      </w:pPr>
      <w:r>
        <w:t xml:space="preserve">Un SAN fonctionne en mode bloc (le client gère son propre système de fichiers), contrairement au NAS (chapitre 28) qui fonctionne en mode fichier.</w:t>
      </w:r>
    </w:p>
    <w:p>
      <w:pPr>
        <w:pStyle w:val="Compact"/>
        <w:numPr>
          <w:ilvl w:val="0"/>
          <w:numId w:val="1669"/>
        </w:numPr>
      </w:pPr>
      <w:r>
        <w:t xml:space="preserve">Le clustering (chapitre 13) exige spécifiquement un stockage partagé en mode bloc, ce qu’un NAS ne fournit pas nativement.</w:t>
      </w:r>
    </w:p>
    <w:p>
      <w:pPr>
        <w:pStyle w:val="Compact"/>
        <w:numPr>
          <w:ilvl w:val="0"/>
          <w:numId w:val="1669"/>
        </w:numPr>
      </w:pPr>
      <w:r>
        <w:t xml:space="preserve">iSCSI réutilise l’Ethernet standard à moindre coût ; Fibre Channel offre une performance supérieure au prix d’une infrastructure dédiée bien plus coûteuse.</w:t>
      </w:r>
    </w:p>
    <w:p>
      <w:pPr>
        <w:pStyle w:val="Compact"/>
        <w:numPr>
          <w:ilvl w:val="0"/>
          <w:numId w:val="1669"/>
        </w:numPr>
      </w:pPr>
      <w:r>
        <w:t xml:space="preserve">Une LUN est l’unité d’allocation d’un SAN, à dimensionner en anticipant la croissance future, comme pour LVM.</w:t>
      </w:r>
    </w:p>
    <w:p>
      <w:pPr>
        <w:pStyle w:val="Compact"/>
        <w:numPr>
          <w:ilvl w:val="0"/>
          <w:numId w:val="1669"/>
        </w:numPr>
      </w:pPr>
      <w:r>
        <w:t xml:space="preserve">Le multipathing élimine le point de défaillance unique d’un seul chemin réseau vers le SAN.</w:t>
      </w:r>
    </w:p>
    <w:p>
      <w:pPr>
        <w:pStyle w:val="Compact"/>
        <w:numPr>
          <w:ilvl w:val="0"/>
          <w:numId w:val="1669"/>
        </w:numPr>
      </w:pPr>
      <w:r>
        <w:t xml:space="preserve">CHAP et l’isolation réseau sont des mesures de sécurité de base indispensables pour tout déploiement iSCSI de production.</w:t>
      </w:r>
    </w:p>
    <w:bookmarkEnd w:id="732"/>
    <w:bookmarkStart w:id="733" w:name="quiz-28"/>
    <w:p>
      <w:pPr>
        <w:pStyle w:val="Heading2"/>
      </w:pPr>
      <w:r>
        <w:t xml:space="preserve">Quiz</w:t>
      </w:r>
    </w:p>
    <w:p>
      <w:pPr>
        <w:pStyle w:val="FirstParagraph"/>
      </w:pPr>
      <w:r>
        <w:t xml:space="preserve">📝 QCM (une seule bonne réponse par question)</w:t>
      </w:r>
    </w:p>
    <w:p>
      <w:pPr>
        <w:pStyle w:val="Compact"/>
        <w:numPr>
          <w:ilvl w:val="0"/>
          <w:numId w:val="1670"/>
        </w:numPr>
      </w:pPr>
      <w:r>
        <w:t xml:space="preserve">Un SAN se distingue d’un NAS car il fonctionne :</w:t>
      </w:r>
    </w:p>
    <w:p>
      <w:pPr>
        <w:pStyle w:val="Compact"/>
        <w:numPr>
          <w:ilvl w:val="1"/>
          <w:numId w:val="1671"/>
        </w:numPr>
      </w:pPr>
    </w:p>
    <w:p>
      <w:pPr>
        <w:pStyle w:val="Compact"/>
        <w:numPr>
          <w:ilvl w:val="2"/>
          <w:numId w:val="1672"/>
        </w:numPr>
      </w:pPr>
      <w:r>
        <w:t xml:space="preserve">En mode fichier</w:t>
      </w:r>
    </w:p>
    <w:p>
      <w:pPr>
        <w:pStyle w:val="Compact"/>
        <w:numPr>
          <w:ilvl w:val="1"/>
          <w:numId w:val="1671"/>
        </w:numPr>
      </w:pPr>
    </w:p>
    <w:p>
      <w:pPr>
        <w:pStyle w:val="Compact"/>
        <w:numPr>
          <w:ilvl w:val="2"/>
          <w:numId w:val="1673"/>
        </w:numPr>
      </w:pPr>
      <w:r>
        <w:t xml:space="preserve">En mode bloc</w:t>
      </w:r>
    </w:p>
    <w:p>
      <w:pPr>
        <w:pStyle w:val="Compact"/>
        <w:numPr>
          <w:ilvl w:val="1"/>
          <w:numId w:val="1671"/>
        </w:numPr>
      </w:pPr>
    </w:p>
    <w:p>
      <w:pPr>
        <w:pStyle w:val="Compact"/>
        <w:numPr>
          <w:ilvl w:val="2"/>
          <w:numId w:val="1674"/>
        </w:numPr>
      </w:pPr>
      <w:r>
        <w:t xml:space="preserve">Uniquement via SMB</w:t>
      </w:r>
    </w:p>
    <w:p>
      <w:pPr>
        <w:pStyle w:val="Compact"/>
        <w:numPr>
          <w:ilvl w:val="1"/>
          <w:numId w:val="1671"/>
        </w:numPr>
      </w:pPr>
    </w:p>
    <w:p>
      <w:pPr>
        <w:pStyle w:val="Compact"/>
        <w:numPr>
          <w:ilvl w:val="2"/>
          <w:numId w:val="1675"/>
        </w:numPr>
      </w:pPr>
      <w:r>
        <w:t xml:space="preserve">Uniquement en local, sans réseau</w:t>
      </w:r>
    </w:p>
    <w:p>
      <w:pPr>
        <w:pStyle w:val="Compact"/>
        <w:numPr>
          <w:ilvl w:val="0"/>
          <w:numId w:val="1670"/>
        </w:numPr>
      </w:pPr>
      <w:r>
        <w:t xml:space="preserve">Le clustering (chapitre 13) exige spécifiquement :</w:t>
      </w:r>
    </w:p>
    <w:p>
      <w:pPr>
        <w:pStyle w:val="Compact"/>
        <w:numPr>
          <w:ilvl w:val="1"/>
          <w:numId w:val="1676"/>
        </w:numPr>
      </w:pPr>
    </w:p>
    <w:p>
      <w:pPr>
        <w:pStyle w:val="Compact"/>
        <w:numPr>
          <w:ilvl w:val="2"/>
          <w:numId w:val="1677"/>
        </w:numPr>
      </w:pPr>
      <w:r>
        <w:t xml:space="preserve">Un NAS en mode fichier</w:t>
      </w:r>
    </w:p>
    <w:p>
      <w:pPr>
        <w:pStyle w:val="Compact"/>
        <w:numPr>
          <w:ilvl w:val="1"/>
          <w:numId w:val="1676"/>
        </w:numPr>
      </w:pPr>
    </w:p>
    <w:p>
      <w:pPr>
        <w:pStyle w:val="Compact"/>
        <w:numPr>
          <w:ilvl w:val="2"/>
          <w:numId w:val="1678"/>
        </w:numPr>
      </w:pPr>
      <w:r>
        <w:t xml:space="preserve">Un stockage partagé en mode bloc</w:t>
      </w:r>
    </w:p>
    <w:p>
      <w:pPr>
        <w:pStyle w:val="Compact"/>
        <w:numPr>
          <w:ilvl w:val="1"/>
          <w:numId w:val="1676"/>
        </w:numPr>
      </w:pPr>
    </w:p>
    <w:p>
      <w:pPr>
        <w:pStyle w:val="Compact"/>
        <w:numPr>
          <w:ilvl w:val="2"/>
          <w:numId w:val="1679"/>
        </w:numPr>
      </w:pPr>
      <w:r>
        <w:t xml:space="preserve">Aucun stockage partagé</w:t>
      </w:r>
    </w:p>
    <w:p>
      <w:pPr>
        <w:pStyle w:val="Compact"/>
        <w:numPr>
          <w:ilvl w:val="1"/>
          <w:numId w:val="1676"/>
        </w:numPr>
      </w:pPr>
    </w:p>
    <w:p>
      <w:pPr>
        <w:pStyle w:val="Compact"/>
        <w:numPr>
          <w:ilvl w:val="2"/>
          <w:numId w:val="1680"/>
        </w:numPr>
      </w:pPr>
      <w:r>
        <w:t xml:space="preserve">Une connexion RDP entre les nœuds</w:t>
      </w:r>
    </w:p>
    <w:p>
      <w:pPr>
        <w:pStyle w:val="Compact"/>
        <w:numPr>
          <w:ilvl w:val="0"/>
          <w:numId w:val="1670"/>
        </w:numPr>
      </w:pPr>
      <w:r>
        <w:t xml:space="preserve">Le multipathing sert principalement à :</w:t>
      </w:r>
    </w:p>
    <w:p>
      <w:pPr>
        <w:pStyle w:val="Compact"/>
        <w:numPr>
          <w:ilvl w:val="1"/>
          <w:numId w:val="1681"/>
        </w:numPr>
      </w:pPr>
    </w:p>
    <w:p>
      <w:pPr>
        <w:pStyle w:val="Compact"/>
        <w:numPr>
          <w:ilvl w:val="2"/>
          <w:numId w:val="1682"/>
        </w:numPr>
      </w:pPr>
      <w:r>
        <w:t xml:space="preserve">Accélérer la vitesse d’écriture sur un seul disque</w:t>
      </w:r>
    </w:p>
    <w:p>
      <w:pPr>
        <w:pStyle w:val="Compact"/>
        <w:numPr>
          <w:ilvl w:val="1"/>
          <w:numId w:val="1681"/>
        </w:numPr>
      </w:pPr>
    </w:p>
    <w:p>
      <w:pPr>
        <w:pStyle w:val="Compact"/>
        <w:numPr>
          <w:ilvl w:val="2"/>
          <w:numId w:val="1683"/>
        </w:numPr>
      </w:pPr>
      <w:r>
        <w:t xml:space="preserve">Éliminer le point de défaillance unique d’un seul chemin réseau vers le SAN</w:t>
      </w:r>
    </w:p>
    <w:p>
      <w:pPr>
        <w:pStyle w:val="Compact"/>
        <w:numPr>
          <w:ilvl w:val="1"/>
          <w:numId w:val="1681"/>
        </w:numPr>
      </w:pPr>
    </w:p>
    <w:p>
      <w:pPr>
        <w:pStyle w:val="Compact"/>
        <w:numPr>
          <w:ilvl w:val="2"/>
          <w:numId w:val="1684"/>
        </w:numPr>
      </w:pPr>
      <w:r>
        <w:t xml:space="preserve">Chiffrer le trafic iSCSI</w:t>
      </w:r>
    </w:p>
    <w:p>
      <w:pPr>
        <w:pStyle w:val="Compact"/>
        <w:numPr>
          <w:ilvl w:val="1"/>
          <w:numId w:val="1681"/>
        </w:numPr>
      </w:pPr>
    </w:p>
    <w:p>
      <w:pPr>
        <w:pStyle w:val="Compact"/>
        <w:numPr>
          <w:ilvl w:val="2"/>
          <w:numId w:val="1685"/>
        </w:numPr>
      </w:pPr>
      <w:r>
        <w:t xml:space="preserve">Réduire la taille des LUN</w:t>
      </w:r>
    </w:p>
    <w:p>
      <w:pPr>
        <w:pStyle w:val="FirstParagraph"/>
      </w:pPr>
      <w:r>
        <w:rPr>
          <w:b/>
          <w:bCs/>
        </w:rPr>
        <w:t xml:space="preserve">Corrigé</w:t>
      </w:r>
      <w:r>
        <w:t xml:space="preserve"> </w:t>
      </w:r>
      <w:r>
        <w:t xml:space="preserve">: 1-b, 2-b, 3-b.</w:t>
      </w:r>
    </w:p>
    <w:p>
      <w:pPr>
        <w:pStyle w:val="BodyText"/>
      </w:pPr>
      <w:r>
        <w:t xml:space="preserve">📝 Vrai ou Faux</w:t>
      </w:r>
    </w:p>
    <w:p>
      <w:pPr>
        <w:pStyle w:val="Compact"/>
        <w:numPr>
          <w:ilvl w:val="0"/>
          <w:numId w:val="1686"/>
        </w:numPr>
      </w:pPr>
      <w:r>
        <w:t xml:space="preserve">iSCSI nécessite une infrastructure réseau entièrement dédiée, distincte de l’Ethernet standard. —</w:t>
      </w:r>
      <w:r>
        <w:t xml:space="preserve"> </w:t>
      </w:r>
      <w:r>
        <w:rPr>
          <w:b/>
          <w:bCs/>
        </w:rPr>
        <w:t xml:space="preserve">Faux</w:t>
      </w:r>
      <w:r>
        <w:t xml:space="preserve"> </w:t>
      </w:r>
      <w:r>
        <w:t xml:space="preserve">(c’est Fibre Channel qui nécessite une infrastructure dédiée, iSCSI réutilise l’Ethernet standard, section 29.3-29.4).</w:t>
      </w:r>
    </w:p>
    <w:p>
      <w:pPr>
        <w:pStyle w:val="Compact"/>
        <w:numPr>
          <w:ilvl w:val="0"/>
          <w:numId w:val="1686"/>
        </w:numPr>
      </w:pPr>
      <w:r>
        <w:t xml:space="preserve">Un NAS peut techniquement remplacer un SAN pour tout besoin de clustering. —</w:t>
      </w:r>
      <w:r>
        <w:t xml:space="preserve"> </w:t>
      </w:r>
      <w:r>
        <w:rPr>
          <w:b/>
          <w:bCs/>
        </w:rPr>
        <w:t xml:space="preserve">Faux</w:t>
      </w:r>
      <w:r>
        <w:t xml:space="preserve"> </w:t>
      </w:r>
      <w:r>
        <w:t xml:space="preserve">(le clustering exige du mode bloc, section 29.2).</w:t>
      </w:r>
    </w:p>
    <w:p>
      <w:pPr>
        <w:pStyle w:val="Compact"/>
        <w:numPr>
          <w:ilvl w:val="0"/>
          <w:numId w:val="1686"/>
        </w:numPr>
      </w:pPr>
      <w:r>
        <w:t xml:space="preserve">CHAP authentifie l’accès à une LUN iSCSI. —</w:t>
      </w:r>
      <w:r>
        <w:t xml:space="preserve"> </w:t>
      </w:r>
      <w:r>
        <w:rPr>
          <w:b/>
          <w:bCs/>
        </w:rPr>
        <w:t xml:space="preserve">Vrai</w:t>
      </w:r>
      <w:r>
        <w:t xml:space="preserve">.</w:t>
      </w:r>
    </w:p>
    <w:p>
      <w:pPr>
        <w:pStyle w:val="Compact"/>
        <w:numPr>
          <w:ilvl w:val="0"/>
          <w:numId w:val="1686"/>
        </w:numPr>
      </w:pPr>
      <w:r>
        <w:t xml:space="preserve">Une LUN sous-dimensionnée dès sa création peut nécessiter une extension délicate plus tard, exactement comme pour un volume LVM. —</w:t>
      </w:r>
      <w:r>
        <w:t xml:space="preserve"> </w:t>
      </w:r>
      <w:r>
        <w:rPr>
          <w:b/>
          <w:bCs/>
        </w:rPr>
        <w:t xml:space="preserve">Vrai</w:t>
      </w:r>
      <w:r>
        <w:t xml:space="preserve">.</w:t>
      </w:r>
    </w:p>
    <w:p>
      <w:pPr>
        <w:pStyle w:val="FirstParagraph"/>
      </w:pPr>
      <w:r>
        <w:t xml:space="preserve">📝 Questions ouvertes</w:t>
      </w:r>
    </w:p>
    <w:p>
      <w:pPr>
        <w:pStyle w:val="Compact"/>
        <w:numPr>
          <w:ilvl w:val="0"/>
          <w:numId w:val="1687"/>
        </w:numPr>
      </w:pPr>
      <w:r>
        <w:t xml:space="preserve">Explique pourquoi un cluster de basculement (chapitre 13) ne peut pas simplement utiliser un partage NAS classique pour son stockage partagé.</w:t>
      </w:r>
    </w:p>
    <w:p>
      <w:pPr>
        <w:pStyle w:val="Compact"/>
        <w:numPr>
          <w:ilvl w:val="0"/>
          <w:numId w:val="1687"/>
        </w:numPr>
      </w:pPr>
      <w:r>
        <w:t xml:space="preserve">Reprends le scénario d’ouverture. Explique pourquoi iSCSI, plutôt que Fibre Channel, est le choix le plus pragmatique pour ce projet précis.</w:t>
      </w:r>
    </w:p>
    <w:p>
      <w:pPr>
        <w:pStyle w:val="FirstParagraph"/>
      </w:pPr>
      <w:r>
        <w:rPr>
          <w:b/>
          <w:bCs/>
        </w:rPr>
        <w:t xml:space="preserve">Corrigé 1</w:t>
      </w:r>
      <w:r>
        <w:t xml:space="preserve"> </w:t>
      </w:r>
      <w:r>
        <w:t xml:space="preserve">: un cluster de basculement nécessite que plusieurs nœuds accèdent simultanément au même disque brut avec une coordination stricte au niveau bloc, pour garantir l’intégrité des données en cas de basculement d’un nœud à l’autre — un mécanisme fondamentalement différent de l’accès en mode fichier d’un NAS, où c’est le NAS lui-même (un système unique) qui gère la coordination des accès, pas les serveurs clients directement entre eux au niveau du disque.</w:t>
      </w:r>
    </w:p>
    <w:p>
      <w:pPr>
        <w:pStyle w:val="BodyText"/>
      </w:pPr>
      <w:r>
        <w:rPr>
          <w:b/>
          <w:bCs/>
        </w:rPr>
        <w:t xml:space="preserve">Corrigé 2</w:t>
      </w:r>
      <w:r>
        <w:t xml:space="preserve"> </w:t>
      </w:r>
      <w:r>
        <w:t xml:space="preserve">: iSCSI réutilise l’infrastructure Ethernet déjà existante dans l’entreprise, évitant l’investissement matériel conséquent du Fibre Channel (câblage optique dédié, commutateurs FC, cartes HBA) — un coût difficile à justifier pour un cluster de virtualisation de la taille de cette entreprise, dont les exigences de performance restent largement dans la capacité qu’iSCSI peut offrir avec une isolation réseau et un multipathing correctement configurés (sections 29.3 et 29.6).</w:t>
      </w:r>
    </w:p>
    <w:bookmarkEnd w:id="733"/>
    <w:bookmarkStart w:id="734" w:name="exercices-28"/>
    <w:p>
      <w:pPr>
        <w:pStyle w:val="Heading2"/>
      </w:pPr>
      <w:r>
        <w:t xml:space="preserve">Exercices</w:t>
      </w:r>
    </w:p>
    <w:p>
      <w:pPr>
        <w:pStyle w:val="FirstParagraph"/>
      </w:pPr>
      <w:r>
        <w:t xml:space="preserve">📝 Exercice 29.1</w:t>
      </w:r>
    </w:p>
    <w:p>
      <w:pPr>
        <w:pStyle w:val="BodyText"/>
      </w:pPr>
      <w:r>
        <w:t xml:space="preserve">Un serveur connecté à un SAN iSCSI via un seul câble réseau subit une panne de sa carte réseau. Explique la conséquence immédiate, et comment le multipathing aurait changé ce résultat.</w:t>
      </w:r>
    </w:p>
    <w:p>
      <w:pPr>
        <w:pStyle w:val="BodyText"/>
      </w:pPr>
      <w:r>
        <w:rPr>
          <w:b/>
          <w:bCs/>
        </w:rPr>
        <w:t xml:space="preserve">Corrigé :</w:t>
      </w:r>
      <w:r>
        <w:t xml:space="preserve"> </w:t>
      </w:r>
      <w:r>
        <w:t xml:space="preserve">Sans multipathing, la panne de l’unique carte réseau connectée au SAN coupe immédiatement tout accès au stockage pour ce serveur — une interruption de service totale et immédiate, malgré la redondance interne éventuelle du SAN lui-même (RAID, alimentations redondantes). Avec un multipathing correctement configuré (au moins deux chemins réseau distincts, section 29.6), la panne d’un des deux chemins ferait basculer automatiquement tout le trafic sur le chemin restant, sans interruption de service perceptible — exactement le même principe que la tolérance de panne matérielle déjà vue pour les contrôleurs de domaine au chapitre 6.</w:t>
      </w:r>
    </w:p>
    <w:p>
      <w:pPr>
        <w:pStyle w:val="BodyText"/>
      </w:pPr>
      <w:r>
        <w:t xml:space="preserve">📝 Exercice 29.2</w:t>
      </w:r>
    </w:p>
    <w:p>
      <w:pPr>
        <w:pStyle w:val="BodyText"/>
      </w:pPr>
      <w:r>
        <w:t xml:space="preserve">Rédige, en 3 à 5 phrases, pourquoi documenter l’architecture SAN (LUN, allocation, multipathing) est particulièrement important par rapport à d’autres types d’infrastructure plus simples, en t’appuyant sur le chapitre 3.</w:t>
      </w:r>
    </w:p>
    <w:p>
      <w:pPr>
        <w:pStyle w:val="BodyText"/>
      </w:pPr>
      <w:r>
        <w:rPr>
          <w:b/>
          <w:bCs/>
        </w:rPr>
        <w:t xml:space="preserve">Corrigé (exemple de réponse) :</w:t>
      </w:r>
      <w:r>
        <w:t xml:space="preserve"> </w:t>
      </w:r>
      <w:r>
        <w:t xml:space="preserve">Une architecture SAN implique plusieurs couches interdépendantes (LUN, chemins réseau, authentification CHAP, allocation à plusieurs serveurs potentiellement en cluster) dont la complexité dépasse largement celle d’un disque local simple — sans documentation, comprendre quelle LUN sert quel serveur, ou pourquoi une configuration de multipathing précise a été choisie, devient extrêmement difficile pour quiconque n’a pas participé à la conception initiale. Cette complexité rejoint directement le risque du</w:t>
      </w:r>
      <w:r>
        <w:t xml:space="preserve"> </w:t>
      </w:r>
      <w:r>
        <w:t xml:space="preserve">“bus factor”</w:t>
      </w:r>
      <w:r>
        <w:t xml:space="preserve"> </w:t>
      </w:r>
      <w:r>
        <w:t xml:space="preserve">de 1 évoqué au chapitre 1 : si la seule personne comprenant l’architecture SAN complète quitte l’organisation sans documentation laissée derrière elle, toute intervention future (extension, diagnostic de panne, migration) devient risquée et lente, potentiellement sur une infrastructure critique comme un cluster de virtualisation.</w:t>
      </w:r>
    </w:p>
    <w:bookmarkEnd w:id="734"/>
    <w:bookmarkStart w:id="735" w:name="checklist-de-fin-de-chapitre-28"/>
    <w:p>
      <w:pPr>
        <w:pStyle w:val="Heading2"/>
      </w:pPr>
      <w:r>
        <w:t xml:space="preserve">Checklist de fin de chapitre</w:t>
      </w:r>
    </w:p>
    <w:p>
      <w:pPr>
        <w:pStyle w:val="FirstParagraph"/>
      </w:pPr>
      <w:r>
        <w:t xml:space="preserve">☐ Je comprends la différence fondamentale entre mode bloc (SAN) et mode fichier (NAS).</w:t>
      </w:r>
    </w:p>
    <w:p>
      <w:pPr>
        <w:pStyle w:val="BodyText"/>
      </w:pPr>
      <w:r>
        <w:t xml:space="preserve">☐ Je sais pourquoi le clustering exige spécifiquement un stockage en mode bloc.</w:t>
      </w:r>
    </w:p>
    <w:p>
      <w:pPr>
        <w:pStyle w:val="BodyText"/>
      </w:pPr>
      <w:r>
        <w:t xml:space="preserve">☐ Je sais comparer iSCSI et Fibre Channel selon le coût et les besoins de performance.</w:t>
      </w:r>
    </w:p>
    <w:p>
      <w:pPr>
        <w:pStyle w:val="BodyText"/>
      </w:pPr>
      <w:r>
        <w:t xml:space="preserve">☐ Je comprends le rôle d’une LUN et l’importance de son dimensionnement anticipé.</w:t>
      </w:r>
    </w:p>
    <w:p>
      <w:pPr>
        <w:pStyle w:val="BodyText"/>
      </w:pPr>
      <w:r>
        <w:t xml:space="preserve">☐ Je sais pourquoi le multipathing élimine un point de défaillance unique.</w:t>
      </w:r>
    </w:p>
    <w:p>
      <w:pPr>
        <w:pStyle w:val="BodyText"/>
      </w:pPr>
      <w:r>
        <w:t xml:space="preserve">☐ Je sais sécuriser un déploiement iSCSI avec CHAP et l’isolation réseau.</w:t>
      </w:r>
    </w:p>
    <w:bookmarkEnd w:id="735"/>
    <w:bookmarkStart w:id="736" w:name="faq-28"/>
    <w:p>
      <w:pPr>
        <w:pStyle w:val="Heading2"/>
      </w:pPr>
      <w:r>
        <w:t xml:space="preserve">FAQ</w:t>
      </w:r>
    </w:p>
    <w:p>
      <w:pPr>
        <w:pStyle w:val="FirstParagraph"/>
      </w:pPr>
      <w:r>
        <w:t xml:space="preserve">Un même serveur peut-il utiliser à la fois un NAS et un SAN ?</w:t>
      </w:r>
    </w:p>
    <w:p>
      <w:pPr>
        <w:pStyle w:val="BodyText"/>
      </w:pPr>
      <w:r>
        <w:t xml:space="preserve">Oui, couramment — un serveur peut stocker ses fichiers partagés classiques sur un NAS (chapitre 28) tout en utilisant une LUN SAN pour un besoin spécifique de mode bloc (comme le stockage de machines virtuelles dans un cluster) — les deux technologies répondent à des besoins différents et coexistent naturellement dans une même infrastructure.</w:t>
      </w:r>
    </w:p>
    <w:p>
      <w:pPr>
        <w:pStyle w:val="BodyText"/>
      </w:pPr>
      <w:r>
        <w:t xml:space="preserve">Le SAN est-il toujours plus performant qu’un stockage local direct sur chaque serveur ?</w:t>
      </w:r>
    </w:p>
    <w:p>
      <w:pPr>
        <w:pStyle w:val="BodyText"/>
      </w:pPr>
      <w:r>
        <w:t xml:space="preserve">Pas nécessairement en performance brute pure (un disque local ultra-rapide peut surpasser un SAN mal dimensionné), mais le SAN apporte une flexibilité et un partage impossibles avec du stockage purement local — le clustering (chapitre 13), qui exige un stockage partagé, ne peut simplement pas fonctionner avec des disques strictement locaux à chaque nœud.</w:t>
      </w:r>
    </w:p>
    <w:p>
      <w:pPr>
        <w:pStyle w:val="BodyText"/>
      </w:pPr>
      <w:r>
        <w:t xml:space="preserve">Faut-il un SAN dès la première virtualisation d’une petite infrastructure ?</w:t>
      </w:r>
    </w:p>
    <w:p>
      <w:pPr>
        <w:pStyle w:val="BodyText"/>
      </w:pPr>
      <w:r>
        <w:t xml:space="preserve">Pas nécessairement — une virtualisation simple sans clustering ni migration à chaud entre hôtes peut très bien fonctionner avec du stockage local, le SAN devenant nécessaire spécifiquement au moment où un besoin de clustering ou de migration à chaud (Partie 6) apparaît, exactement le déclencheur du scénario d’ouverture de ce chapitre.</w:t>
      </w:r>
    </w:p>
    <w:p>
      <w:pPr>
        <w:pStyle w:val="BodyText"/>
      </w:pPr>
      <w:r>
        <w:t xml:space="preserve">NVMe over Fabrics (NVMe-oF) remplace-t-il iSCSI et Fibre Channel ?</w:t>
      </w:r>
    </w:p>
    <w:p>
      <w:pPr>
        <w:pStyle w:val="BodyText"/>
      </w:pPr>
      <w:r>
        <w:t xml:space="preserve">NVMe-oF est une technologie plus récente offrant des performances supérieures, de plus en plus adoptée dans les déploiements à très haute performance, mais iSCSI et Fibre Channel restent largement répandus et pleinement adaptés à la grande majorité des besoins d’entreprise en 2026 — un sujet à surveiller pour l’avenir, mais hors du périmètre principal de ce chapitre introductif.</w:t>
      </w:r>
    </w:p>
    <w:bookmarkEnd w:id="736"/>
    <w:bookmarkStart w:id="740" w:name="références-et-pour-aller-plus-loin-28"/>
    <w:p>
      <w:pPr>
        <w:pStyle w:val="Heading2"/>
      </w:pPr>
      <w:r>
        <w:t xml:space="preserve">Références et pour aller plus loin</w:t>
      </w:r>
    </w:p>
    <w:p>
      <w:pPr>
        <w:pStyle w:val="Compact"/>
        <w:numPr>
          <w:ilvl w:val="0"/>
          <w:numId w:val="1688"/>
        </w:numPr>
      </w:pPr>
      <w:r>
        <w:t xml:space="preserve">Documentation officielle Red Hat — Configuration du stockage iSCSI :</w:t>
      </w:r>
      <w:r>
        <w:t xml:space="preserve"> </w:t>
      </w:r>
      <w:hyperlink r:id="rId737">
        <w:r>
          <w:rPr>
            <w:rStyle w:val="Hyperlink"/>
          </w:rPr>
          <w:t xml:space="preserve">https://access.redhat.com/documentation/fr-fr/red_hat_enterprise_linux/9/html/managing_storage_devices/configuring-an-iscsi-target_managing-storage-devices</w:t>
        </w:r>
      </w:hyperlink>
    </w:p>
    <w:p>
      <w:pPr>
        <w:pStyle w:val="Compact"/>
        <w:numPr>
          <w:ilvl w:val="0"/>
          <w:numId w:val="1688"/>
        </w:numPr>
      </w:pPr>
      <w:r>
        <w:t xml:space="preserve">Microsoft Learn — Initiateur iSCSI Windows :</w:t>
      </w:r>
      <w:r>
        <w:t xml:space="preserve"> </w:t>
      </w:r>
      <w:hyperlink r:id="rId738">
        <w:r>
          <w:rPr>
            <w:rStyle w:val="Hyperlink"/>
          </w:rPr>
          <w:t xml:space="preserve">https://learn.microsoft.com/fr-fr/windows-server/storage/iscsi/iscsi-target-server</w:t>
        </w:r>
      </w:hyperlink>
    </w:p>
    <w:p>
      <w:pPr>
        <w:pStyle w:val="Compact"/>
        <w:numPr>
          <w:ilvl w:val="0"/>
          <w:numId w:val="1688"/>
        </w:numPr>
      </w:pPr>
      <w:r>
        <w:t xml:space="preserve">SNIA (Storage Networking Industry Association) — ressources et standards du stockage réseau :</w:t>
      </w:r>
      <w:r>
        <w:t xml:space="preserve"> </w:t>
      </w:r>
      <w:hyperlink r:id="rId739">
        <w:r>
          <w:rPr>
            <w:rStyle w:val="Hyperlink"/>
          </w:rPr>
          <w:t xml:space="preserve">https://www.snia.org/</w:t>
        </w:r>
      </w:hyperlink>
    </w:p>
    <w:p>
      <w:pPr>
        <w:pStyle w:val="FirstParagraph"/>
      </w:pPr>
      <w:r>
        <w:rPr>
          <w:i/>
          <w:iCs/>
        </w:rPr>
        <w:t xml:space="preserve">Chapitre suivant : stratégies de sauvegarde — la règle 3-2-1 et les outils qui protègent réellement toutes les données de l’infrastructure construite jusqu’ici, au-delà du RAID, des snapshots et de la redondance déjà couverts.</w:t>
      </w:r>
    </w:p>
    <w:p>
      <w:pPr>
        <w:pStyle w:val="BodyText"/>
      </w:pPr>
      <w:r>
        <w:t xml:space="preserve">CHAPITRE 30</w:t>
      </w:r>
    </w:p>
    <w:bookmarkEnd w:id="740"/>
    <w:bookmarkEnd w:id="741"/>
    <w:bookmarkStart w:id="764" w:name="stratégies-de-sauvegarde"/>
    <w:p>
      <w:pPr>
        <w:pStyle w:val="Heading1"/>
      </w:pPr>
      <w:r>
        <w:t xml:space="preserve">Stratégies de sauvegarde</w:t>
      </w:r>
    </w:p>
    <w:p>
      <w:pPr>
        <w:pStyle w:val="FirstParagraph"/>
      </w:pPr>
      <w:r>
        <w:t xml:space="preserve">🎯 Objectif du chapitre</w:t>
      </w:r>
      <w:r>
        <w:t xml:space="preserve"> </w:t>
      </w:r>
      <w:r>
        <w:t xml:space="preserve">Construire enfin la stratégie de sauvegarde complète que ce manuel évoque depuis le chapitre 1 (</w:t>
      </w:r>
      <w:r>
        <w:t xml:space="preserve">“une sauvegarde jamais testée n’est pas une sauvegarde”</w:t>
      </w:r>
      <w:r>
        <w:t xml:space="preserve">) sans jamais l’avoir détaillée. À la fin de ce chapitre, tu sauras appliquer la règle 3-2-1, définir un RTO et un RPO réalistes, comprendre pourquoi une sauvegarde immuable protège spécifiquement contre un rançongiciel, et surtout organiser un vrai test de restauration périodique.</w:t>
      </w:r>
    </w:p>
    <w:p>
      <w:pPr>
        <w:pStyle w:val="BodyText"/>
      </w:pPr>
      <w:r>
        <w:t xml:space="preserve">🎬 Mise en situation</w:t>
      </w:r>
      <w:r>
        <w:t xml:space="preserve"> </w:t>
      </w:r>
      <w:r>
        <w:t xml:space="preserve">Un employé de la comptabilité, malgré la formation Zero Trust du chapitre 26 et les protections MFA du chapitre 25, ouvre une pièce jointe piégée dans un email d’apparence légitime — une erreur humaine qui peut arriver malgré toutes les précautions techniques. Un rançongiciel se propage depuis son poste et commence à chiffrer les fichiers du partage NAS comptabilité (chapitre 28) auquel il a accès. L’équipe de sécurité isole le réseau en quelques minutes, limitant les dégâts, mais plusieurs centaines de fichiers sont déjà chiffrés, inutilisables. Le DSI pose la question que redoute tout administrateur système :</w:t>
      </w:r>
      <w:r>
        <w:t xml:space="preserve"> </w:t>
      </w:r>
      <w:r>
        <w:t xml:space="preserve">“Est-ce qu’on a une sauvegarde qui n’a pas été touchée ?”</w:t>
      </w:r>
      <w:r>
        <w:t xml:space="preserve"> </w:t>
      </w:r>
      <w:r>
        <w:t xml:space="preserve">La réponse à cette question — et la certitude de cette réponse — dépend entièrement de la stratégie de sauvegarde construite bien avant cet incident. Ce chapitre explique comment la construire correctement.</w:t>
      </w:r>
    </w:p>
    <w:bookmarkStart w:id="742" w:name="la-règle-3-2-1"/>
    <w:p>
      <w:pPr>
        <w:pStyle w:val="Heading2"/>
      </w:pPr>
      <w:r>
        <w:t xml:space="preserve">30.1 La règle 3-2-1</w:t>
      </w:r>
    </w:p>
    <w:p>
      <w:pPr>
        <w:pStyle w:val="FirstParagraph"/>
      </w:pPr>
      <w:r>
        <w:t xml:space="preserve">🧠 À mémoriser — la règle 3-2-1</w:t>
      </w:r>
      <w:r>
        <w:t xml:space="preserve"> </w:t>
      </w:r>
      <w:r>
        <w:t xml:space="preserve">-</w:t>
      </w:r>
      <w:r>
        <w:t xml:space="preserve"> </w:t>
      </w:r>
      <w:r>
        <w:t xml:space="preserve">3</w:t>
      </w:r>
      <w:r>
        <w:t xml:space="preserve"> </w:t>
      </w:r>
      <w:r>
        <w:t xml:space="preserve">copies des données au total (l’original plus deux sauvegardes).</w:t>
      </w:r>
      <w:r>
        <w:t xml:space="preserve"> </w:t>
      </w:r>
      <w:r>
        <w:t xml:space="preserve">-</w:t>
      </w:r>
      <w:r>
        <w:t xml:space="preserve"> </w:t>
      </w:r>
      <w:r>
        <w:t xml:space="preserve">2</w:t>
      </w:r>
      <w:r>
        <w:t xml:space="preserve"> </w:t>
      </w:r>
      <w:r>
        <w:t xml:space="preserve">supports de stockage différents (par exemple, disque local ET stockage cloud, ou disque ET bande magnétique).</w:t>
      </w:r>
      <w:r>
        <w:t xml:space="preserve"> </w:t>
      </w:r>
      <w:r>
        <w:t xml:space="preserve">-</w:t>
      </w:r>
      <w:r>
        <w:t xml:space="preserve"> </w:t>
      </w:r>
      <w:r>
        <w:t xml:space="preserve">1</w:t>
      </w:r>
      <w:r>
        <w:t xml:space="preserve"> </w:t>
      </w:r>
      <w:r>
        <w:t xml:space="preserve">copie conservée hors site, physiquement séparée du site principal.</w:t>
      </w:r>
    </w:p>
    <w:p>
      <w:pPr>
        <w:pStyle w:val="BodyText"/>
      </w:pPr>
      <w:r>
        <w:t xml:space="preserve">💡 Pourquoi chaque chiffre compte, appliqué au scénario d’ouverture</w:t>
      </w:r>
      <w:r>
        <w:t xml:space="preserve"> </w:t>
      </w:r>
      <w:r>
        <w:t xml:space="preserve">Le rançongiciel du scénario d’ouverture a chiffré les fichiers</w:t>
      </w:r>
      <w:r>
        <w:t xml:space="preserve"> </w:t>
      </w:r>
      <w:r>
        <w:rPr>
          <w:b/>
          <w:bCs/>
        </w:rPr>
        <w:t xml:space="preserve">originaux</w:t>
      </w:r>
      <w:r>
        <w:t xml:space="preserve"> </w:t>
      </w:r>
      <w:r>
        <w:t xml:space="preserve">sur le NAS — la première des trois copies. S’il n’existait qu’une seule sauvegarde, stockée sur le même réseau et accessible en permanence, elle aurait très probablement été chiffrée également (un rançongiciel moderne cherche activement les partages réseau accessibles, chapitre 18 sur les permissions). La règle du</w:t>
      </w:r>
      <w:r>
        <w:t xml:space="preserve"> </w:t>
      </w:r>
      <w:r>
        <w:t xml:space="preserve">“support différent”</w:t>
      </w:r>
      <w:r>
        <w:t xml:space="preserve"> </w:t>
      </w:r>
      <w:r>
        <w:t xml:space="preserve">et surtout du</w:t>
      </w:r>
      <w:r>
        <w:t xml:space="preserve"> </w:t>
      </w:r>
      <w:r>
        <w:t xml:space="preserve">“hors site”</w:t>
      </w:r>
      <w:r>
        <w:t xml:space="preserve"> </w:t>
      </w:r>
      <w:r>
        <w:t xml:space="preserve">garantit qu’au moins une copie reste</w:t>
      </w:r>
      <w:r>
        <w:t xml:space="preserve"> </w:t>
      </w:r>
      <w:r>
        <w:rPr>
          <w:b/>
          <w:bCs/>
        </w:rPr>
        <w:t xml:space="preserve">physiquement inaccessible</w:t>
      </w:r>
      <w:r>
        <w:t xml:space="preserve"> </w:t>
      </w:r>
      <w:r>
        <w:t xml:space="preserve">au rançongiciel au moment de l’infection, quelle que soit l’étendue de sa propagation sur le réseau principal.</w:t>
      </w:r>
    </w:p>
    <w:bookmarkEnd w:id="742"/>
    <w:bookmarkStart w:id="743" w:name="X14643fe6f7f8940005a4cb1c6ce6668df401b20"/>
    <w:p>
      <w:pPr>
        <w:pStyle w:val="Heading2"/>
      </w:pPr>
      <w:r>
        <w:t xml:space="preserve">30.2 Types de sauvegarde : compromis entre temps, espace et complexité de restauration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Type</w:t>
            </w:r>
          </w:p>
        </w:tc>
        <w:tc>
          <w:tcPr/>
          <w:p>
            <w:pPr>
              <w:pStyle w:val="Compact"/>
            </w:pPr>
            <w:r>
              <w:t xml:space="preserve">Fonctionnement</w:t>
            </w:r>
          </w:p>
        </w:tc>
        <w:tc>
          <w:tcPr/>
          <w:p>
            <w:pPr>
              <w:pStyle w:val="Compact"/>
            </w:pPr>
            <w:r>
              <w:t xml:space="preserve">Avantage</w:t>
            </w:r>
          </w:p>
        </w:tc>
        <w:tc>
          <w:tcPr/>
          <w:p>
            <w:pPr>
              <w:pStyle w:val="Compact"/>
            </w:pPr>
            <w:r>
              <w:t xml:space="preserve">Inconvénient</w:t>
            </w:r>
          </w:p>
        </w:tc>
      </w:tr>
      <w:tr>
        <w:tc>
          <w:tcPr/>
          <w:p>
            <w:pPr>
              <w:pStyle w:val="Compact"/>
            </w:pPr>
            <w:r>
              <w:rPr>
                <w:b/>
                <w:bCs/>
              </w:rPr>
              <w:t xml:space="preserve">Complète</w:t>
            </w:r>
          </w:p>
        </w:tc>
        <w:tc>
          <w:tcPr/>
          <w:p>
            <w:pPr>
              <w:pStyle w:val="Compact"/>
            </w:pPr>
            <w:r>
              <w:t xml:space="preserve">Copie intégrale de toutes les données à chaque exécution</w:t>
            </w:r>
          </w:p>
        </w:tc>
        <w:tc>
          <w:tcPr/>
          <w:p>
            <w:pPr>
              <w:pStyle w:val="Compact"/>
            </w:pPr>
            <w:r>
              <w:t xml:space="preserve">Restauration simple, un seul jeu de données</w:t>
            </w:r>
          </w:p>
        </w:tc>
        <w:tc>
          <w:tcPr/>
          <w:p>
            <w:pPr>
              <w:pStyle w:val="Compact"/>
            </w:pPr>
            <w:r>
              <w:t xml:space="preserve">Lente, consomme beaucoup d’espace</w:t>
            </w:r>
          </w:p>
        </w:tc>
      </w:tr>
      <w:tr>
        <w:tc>
          <w:tcPr/>
          <w:p>
            <w:pPr>
              <w:pStyle w:val="Compact"/>
            </w:pPr>
            <w:r>
              <w:rPr>
                <w:b/>
                <w:bCs/>
              </w:rPr>
              <w:t xml:space="preserve">Incrémentielle</w:t>
            </w:r>
          </w:p>
        </w:tc>
        <w:tc>
          <w:tcPr/>
          <w:p>
            <w:pPr>
              <w:pStyle w:val="Compact"/>
            </w:pPr>
            <w:r>
              <w:t xml:space="preserve">Copie uniquement ce qui a changé depuis la dernière sauvegarde (complète OU incrémentielle)</w:t>
            </w:r>
          </w:p>
        </w:tc>
        <w:tc>
          <w:tcPr/>
          <w:p>
            <w:pPr>
              <w:pStyle w:val="Compact"/>
            </w:pPr>
            <w:r>
              <w:t xml:space="preserve">Rapide, économe en espace</w:t>
            </w:r>
          </w:p>
        </w:tc>
        <w:tc>
          <w:tcPr/>
          <w:p>
            <w:pPr>
              <w:pStyle w:val="Compact"/>
            </w:pPr>
            <w:r>
              <w:t xml:space="preserve">Restauration plus complexe : nécessite la dernière complète + toute la chaîne d’incrémentielles</w:t>
            </w:r>
          </w:p>
        </w:tc>
      </w:tr>
      <w:tr>
        <w:tc>
          <w:tcPr/>
          <w:p>
            <w:pPr>
              <w:pStyle w:val="Compact"/>
            </w:pPr>
            <w:r>
              <w:rPr>
                <w:b/>
                <w:bCs/>
              </w:rPr>
              <w:t xml:space="preserve">Différentielle</w:t>
            </w:r>
          </w:p>
        </w:tc>
        <w:tc>
          <w:tcPr/>
          <w:p>
            <w:pPr>
              <w:pStyle w:val="Compact"/>
            </w:pPr>
            <w:r>
              <w:t xml:space="preserve">Copie tout ce qui a changé depuis la dernière sauvegarde</w:t>
            </w:r>
            <w:r>
              <w:t xml:space="preserve"> </w:t>
            </w:r>
            <w:r>
              <w:rPr>
                <w:b/>
                <w:bCs/>
              </w:rPr>
              <w:t xml:space="preserve">complète</w:t>
            </w:r>
          </w:p>
        </w:tc>
        <w:tc>
          <w:tcPr/>
          <w:p>
            <w:pPr>
              <w:pStyle w:val="Compact"/>
            </w:pPr>
            <w:r>
              <w:t xml:space="preserve">Restauration plus simple que l’incrémentielle (complète + une seule différentielle)</w:t>
            </w:r>
          </w:p>
        </w:tc>
        <w:tc>
          <w:tcPr/>
          <w:p>
            <w:pPr>
              <w:pStyle w:val="Compact"/>
            </w:pPr>
            <w:r>
              <w:t xml:space="preserve">Grossit progressivement jusqu’à la prochaine complète</w:t>
            </w:r>
          </w:p>
        </w:tc>
      </w:tr>
    </w:tbl>
    <w:p>
      <w:pPr>
        <w:pStyle w:val="BodyText"/>
      </w:pPr>
      <w:r>
        <w:t xml:space="preserve">⚠️ Le piège de la chaîne d’incrémentielles trop longue</w:t>
      </w:r>
      <w:r>
        <w:t xml:space="preserve"> </w:t>
      </w:r>
      <w:r>
        <w:t xml:space="preserve">Une stratégie purement incrémentielle sans complète récente régulière crée une chaîne de dépendance fragile : restaurer nécessite la dernière sauvegarde complète</w:t>
      </w:r>
      <w:r>
        <w:t xml:space="preserve"> </w:t>
      </w:r>
      <w:r>
        <w:rPr>
          <w:b/>
          <w:bCs/>
        </w:rPr>
        <w:t xml:space="preserve">et l’intégralité</w:t>
      </w:r>
      <w:r>
        <w:t xml:space="preserve"> </w:t>
      </w:r>
      <w:r>
        <w:t xml:space="preserve">de la chaîne d’incrémentielles qui suit, dans l’ordre exact. Si un seul maillon de cette chaîne est corrompu ou manquant, toute restauration au-delà de ce point devient impossible — un risque à limiter en programmant des sauvegardes complètes régulières (par exemple hebdomadaires), même dans une stratégie majoritairement incrémentielle.</w:t>
      </w:r>
    </w:p>
    <w:bookmarkEnd w:id="743"/>
    <w:bookmarkStart w:id="744" w:name="Xbebadbe79cf11c441bd9ed0d96eaaf3c8cde4ea"/>
    <w:p>
      <w:pPr>
        <w:pStyle w:val="Heading2"/>
      </w:pPr>
      <w:r>
        <w:t xml:space="preserve">30.3 RTO et RPO : les deux métriques qui définissent une vraie stratégie</w:t>
      </w:r>
    </w:p>
    <w:p>
      <w:pPr>
        <w:pStyle w:val="FirstParagraph"/>
      </w:pPr>
      <w:r>
        <w:t xml:space="preserve">📌 À retenir — deux questions différentes, deux métriques différentes</w:t>
      </w:r>
      <w:r>
        <w:t xml:space="preserve"> </w:t>
      </w:r>
      <w:r>
        <w:t xml:space="preserve">Le</w:t>
      </w:r>
      <w:r>
        <w:t xml:space="preserve"> </w:t>
      </w:r>
      <w:r>
        <w:t xml:space="preserve">RPO</w:t>
      </w:r>
      <w:r>
        <w:t xml:space="preserve"> </w:t>
      </w:r>
      <w:r>
        <w:t xml:space="preserve">(</w:t>
      </w:r>
      <w:r>
        <w:rPr>
          <w:i/>
          <w:iCs/>
        </w:rPr>
        <w:t xml:space="preserve">Recovery Point Objective</w:t>
      </w:r>
      <w:r>
        <w:t xml:space="preserve">) répond à la question :</w:t>
      </w:r>
      <w:r>
        <w:t xml:space="preserve"> </w:t>
      </w:r>
      <w:r>
        <w:t xml:space="preserve">“combien de données peut-on se permettre de perdre ?”</w:t>
      </w:r>
      <w:r>
        <w:t xml:space="preserve">, exprimé en temps (par exemple, un RPO de 4 heures signifie qu’au pire, les 4 dernières heures de travail seraient perdues). Le</w:t>
      </w:r>
      <w:r>
        <w:t xml:space="preserve"> </w:t>
      </w:r>
      <w:r>
        <w:t xml:space="preserve">RTO</w:t>
      </w:r>
      <w:r>
        <w:t xml:space="preserve"> </w:t>
      </w:r>
      <w:r>
        <w:t xml:space="preserve">(</w:t>
      </w:r>
      <w:r>
        <w:rPr>
          <w:i/>
          <w:iCs/>
        </w:rPr>
        <w:t xml:space="preserve">Recovery Time Objective</w:t>
      </w:r>
      <w:r>
        <w:t xml:space="preserve">) répond à une question différente :</w:t>
      </w:r>
      <w:r>
        <w:t xml:space="preserve"> </w:t>
      </w:r>
      <w:r>
        <w:t xml:space="preserve">“combien de temps peut-on se permettre d’être indisponible avant que le service ne soit restauré ?”</w:t>
      </w:r>
      <w:r>
        <w:t xml:space="preserve"> </w:t>
      </w:r>
      <w:r>
        <w:t xml:space="preserve">Ces deux métriques déterminent directement la fréquence des sauvegardes (pour le RPO) et les moyens techniques de restauration à prévoir (pour le RTO) — elles seront approfondies concrètement dans le plan de reprise d’activité du chapitre 31.</w:t>
      </w:r>
    </w:p>
    <w:p>
      <w:pPr>
        <w:pStyle w:val="BodyText"/>
      </w:pPr>
      <w:r>
        <w:t xml:space="preserve">💡 Un RPO et un RTO différents selon la criticité du système</w:t>
      </w:r>
      <w:r>
        <w:t xml:space="preserve"> </w:t>
      </w:r>
      <w:r>
        <w:t xml:space="preserve">Tous les systèmes de l’entreprise n’ont pas la même criticité, et n’ont donc pas besoin du même RPO/RTO : le NAS comptabilité du scénario d’ouverture pourrait tolérer un RPO de 24 heures (perdre au pire une journée de saisie), tandis qu’un système transactionnel critique nécessiterait un RPO de quelques minutes seulement — une distinction qui rejoint directement la priorisation par impact/urgence déjà vue au chapitre 2, appliquée ici à la fréquence de sauvegarde plutôt qu’à la gestion d’incident.</w:t>
      </w:r>
    </w:p>
    <w:bookmarkEnd w:id="744"/>
    <w:bookmarkStart w:id="745" w:name="X2190d2b80dd24811158f2bdd59cf76171f4c837"/>
    <w:p>
      <w:pPr>
        <w:pStyle w:val="Heading2"/>
      </w:pPr>
      <w:r>
        <w:t xml:space="preserve">30.4 Sauvegardes immuables et air-gapped : la protection spécifique contre le rançongiciel</w:t>
      </w:r>
    </w:p>
    <w:p>
      <w:pPr>
        <w:pStyle w:val="FirstParagraph"/>
      </w:pPr>
      <w:r>
        <w:t xml:space="preserve">🔒 Sécurité — pourquoi une sauvegarde</w:t>
      </w:r>
      <w:r>
        <w:t xml:space="preserve"> </w:t>
      </w:r>
      <w:r>
        <w:t xml:space="preserve">“toujours connectée”</w:t>
      </w:r>
      <w:r>
        <w:t xml:space="preserve"> </w:t>
      </w:r>
      <w:r>
        <w:t xml:space="preserve">n’est pas suffisante face à un rançongiciel</w:t>
      </w:r>
      <w:r>
        <w:t xml:space="preserve"> </w:t>
      </w:r>
      <w:r>
        <w:t xml:space="preserve">Un rançongiciel moderne ne se contente pas de chiffrer les fichiers accessibles — il recherche activement les partages réseau, y compris les destinations de sauvegarde connectées en permanence, pour les chiffrer également et priver la victime de tout recours. Une sauvegarde</w:t>
      </w:r>
      <w:r>
        <w:t xml:space="preserve"> </w:t>
      </w:r>
      <w:r>
        <w:t xml:space="preserve">immuable</w:t>
      </w:r>
      <w:r>
        <w:t xml:space="preserve"> </w:t>
      </w:r>
      <w:r>
        <w:t xml:space="preserve">(dont le contenu ne peut être ni modifié ni supprimé pendant une période définie, même par un compte administrateur compromis) ou</w:t>
      </w:r>
      <w:r>
        <w:t xml:space="preserve"> </w:t>
      </w:r>
      <w:r>
        <w:t xml:space="preserve">air-gapped</w:t>
      </w:r>
      <w:r>
        <w:t xml:space="preserve"> </w:t>
      </w:r>
      <w:r>
        <w:t xml:space="preserve">(physiquement déconnectée du réseau la plupart du temps, comme une bande magnétique retirée après sauvegarde, ou un stockage cloud avec verrouillage d’objet) élimine ce risque spécifique — exactement ce qui a permis, dans le scénario d’ouverture, de répondre</w:t>
      </w:r>
      <w:r>
        <w:t xml:space="preserve"> </w:t>
      </w:r>
      <w:r>
        <w:t xml:space="preserve">“oui”</w:t>
      </w:r>
      <w:r>
        <w:t xml:space="preserve"> </w:t>
      </w:r>
      <w:r>
        <w:t xml:space="preserve">à la question du DSI.</w:t>
      </w:r>
    </w:p>
    <w:p>
      <w:pPr>
        <w:pStyle w:val="BodyText"/>
      </w:pPr>
      <w:r>
        <w:t xml:space="preserve">✅ Bonne pratique — au moins une copie que même un administrateur compromis ne peut pas détruire</w:t>
      </w:r>
      <w:r>
        <w:t xml:space="preserve"> </w:t>
      </w:r>
      <w:r>
        <w:t xml:space="preserve">Le principe le plus important de cette section : si un attaquant obtient un accès administrateur complet à l’infrastructure (via un rançongiciel sophistiqué ou une compromission de compte), une sauvegarde immuable ou air-gapped doit rester hors de sa portée même dans ce scénario extrême — une protection qui va au-delà de la simple séparation réseau, exigeant une véritable barrière technique (verrouillage d’immuabilité) ou physique (déconnexion réelle).</w:t>
      </w:r>
    </w:p>
    <w:bookmarkEnd w:id="745"/>
    <w:bookmarkStart w:id="746" w:name="choisir-des-outils-selon-le-contexte"/>
    <w:p>
      <w:pPr>
        <w:pStyle w:val="Heading2"/>
      </w:pPr>
      <w:r>
        <w:t xml:space="preserve">30.5 Choisir des outils selon le contexte</w:t>
      </w:r>
    </w:p>
    <w:p>
      <w:pPr>
        <w:pStyle w:val="FirstParagraph"/>
      </w:pPr>
      <w:r>
        <w:t xml:space="preserve">💡 Pas d’outil universel, encore une fois</w:t>
      </w:r>
      <w:r>
        <w:t xml:space="preserve"> </w:t>
      </w:r>
      <w:r>
        <w:t xml:space="preserve">Exactement le même principe de décision contextuelle déjà appliqué au choix de distribution (chapitre 14) et au choix RAID matériel/logiciel (chapitre 27) : Windows Server dispose d’outils natifs (</w:t>
      </w:r>
      <w:r>
        <w:rPr>
          <w:rStyle w:val="VerbatimChar"/>
        </w:rPr>
        <w:t xml:space="preserve">wbadmin</w:t>
      </w:r>
      <w:r>
        <w:t xml:space="preserve">, Sauvegarde Windows Server) ; Linux dispose d’outils robustes comme</w:t>
      </w:r>
      <w:r>
        <w:t xml:space="preserve"> </w:t>
      </w:r>
      <w:r>
        <w:rPr>
          <w:rStyle w:val="VerbatimChar"/>
        </w:rPr>
        <w:t xml:space="preserve">rsync</w:t>
      </w:r>
      <w:r>
        <w:t xml:space="preserve"> </w:t>
      </w:r>
      <w:r>
        <w:t xml:space="preserve">(pour des copies simples), Borg ou Restic (pour des sauvegardes chiffrées et dédupliquées) ; des solutions commerciales comme Veeam couvrent des environnements virtualisés hétérogènes à grande échelle (pertinent pour la Partie 6 de ce manuel). Le choix dépend de la taille de l’infrastructure, du budget, et de la complexité de l’environnement à protéger.</w:t>
      </w:r>
    </w:p>
    <w:p>
      <w:pPr>
        <w:pStyle w:val="SourceCode"/>
      </w:pPr>
      <w:r>
        <w:rPr>
          <w:rStyle w:val="VerbatimChar"/>
        </w:rPr>
        <w:t xml:space="preserve"># Exemple simple avec Restic (Linux), incluant le chiffrement natif --</w:t>
      </w:r>
      <w:r>
        <w:br/>
      </w:r>
      <w:r>
        <w:rPr>
          <w:rStyle w:val="VerbatimChar"/>
        </w:rPr>
        <w:t xml:space="preserve"># une sauvegarde non chiffree vers un support externe ou cloud</w:t>
      </w:r>
      <w:r>
        <w:br/>
      </w:r>
      <w:r>
        <w:rPr>
          <w:rStyle w:val="VerbatimChar"/>
        </w:rPr>
        <w:t xml:space="preserve"># exposerait les donnees en cas de vol du support lui-meme</w:t>
      </w:r>
      <w:r>
        <w:br/>
      </w:r>
      <w:r>
        <w:rPr>
          <w:rStyle w:val="VerbatimChar"/>
        </w:rPr>
        <w:t xml:space="preserve">restic -r /mnt/sauvegarde-externe backup /donnees/comptabilite</w:t>
      </w:r>
      <w:r>
        <w:br/>
      </w:r>
      <w:r>
        <w:br/>
      </w:r>
      <w:r>
        <w:rPr>
          <w:rStyle w:val="VerbatimChar"/>
        </w:rPr>
        <w:t xml:space="preserve"># Restic gere nativement les sauvegardes incrementielles (section 30.2)</w:t>
      </w:r>
      <w:r>
        <w:br/>
      </w:r>
      <w:r>
        <w:rPr>
          <w:rStyle w:val="VerbatimChar"/>
        </w:rPr>
        <w:t xml:space="preserve"># de facon transparente, sans configuration complexe supplementaire</w:t>
      </w:r>
      <w:r>
        <w:br/>
      </w:r>
      <w:r>
        <w:rPr>
          <w:rStyle w:val="VerbatimChar"/>
        </w:rPr>
        <w:t xml:space="preserve">restic -r /mnt/sauvegarde-externe snapshots</w:t>
      </w:r>
    </w:p>
    <w:bookmarkEnd w:id="746"/>
    <w:bookmarkStart w:id="747" w:name="X1ca7df5aaa7dc997b93b73f8a8701317d9a5fd3"/>
    <w:p>
      <w:pPr>
        <w:pStyle w:val="Heading2"/>
      </w:pPr>
      <w:r>
        <w:t xml:space="preserve">30.6 Tester réellement une restauration : le cœur de tout ce chapitre</w:t>
      </w:r>
    </w:p>
    <w:p>
      <w:pPr>
        <w:pStyle w:val="FirstParagraph"/>
      </w:pPr>
      <w:r>
        <w:t xml:space="preserve">❌ Mauvaise pratique — supposer qu’une sauvegarde fonctionne parce qu’elle</w:t>
      </w:r>
      <w:r>
        <w:t xml:space="preserve"> </w:t>
      </w:r>
      <w:r>
        <w:t xml:space="preserve">“se termine sans erreur”</w:t>
      </w:r>
      <w:r>
        <w:t xml:space="preserve"> </w:t>
      </w:r>
      <w:r>
        <w:t xml:space="preserve">Rappel exact du chapitre 1 (section 1.4), maintenant pleinement développé : une tâche de sauvegarde qui se termine</w:t>
      </w:r>
      <w:r>
        <w:t xml:space="preserve"> </w:t>
      </w:r>
      <w:r>
        <w:t xml:space="preserve">“avec succès”</w:t>
      </w:r>
      <w:r>
        <w:t xml:space="preserve"> </w:t>
      </w:r>
      <w:r>
        <w:t xml:space="preserve">chaque nuit ne garantit absolument pas qu’un fichier de cette sauvegarde peut réellement être restauré — corruption silencieuse, erreur de configuration, support défaillant, tous ces problèmes peuvent exister sans jamais provoquer d’erreur visible au moment de la sauvegarde elle-même.</w:t>
      </w:r>
    </w:p>
    <w:p>
      <w:pPr>
        <w:pStyle w:val="BodyText"/>
      </w:pPr>
      <w:r>
        <w:t xml:space="preserve">✅ Bonne pratique — un calendrier de tests de restauration, pas une intention vague</w:t>
      </w:r>
      <w:r>
        <w:t xml:space="preserve"> </w:t>
      </w:r>
      <w:r>
        <w:t xml:space="preserve">Un test de restauration doit être</w:t>
      </w:r>
      <w:r>
        <w:t xml:space="preserve"> </w:t>
      </w:r>
      <w:r>
        <w:rPr>
          <w:b/>
          <w:bCs/>
        </w:rPr>
        <w:t xml:space="preserve">planifié</w:t>
      </w:r>
      <w:r>
        <w:t xml:space="preserve"> </w:t>
      </w:r>
      <w:r>
        <w:t xml:space="preserve">(par exemple, mensuellement pour les systèmes critiques, trimestriellement pour les moins critiques) et</w:t>
      </w:r>
      <w:r>
        <w:t xml:space="preserve"> </w:t>
      </w:r>
      <w:r>
        <w:rPr>
          <w:b/>
          <w:bCs/>
        </w:rPr>
        <w:t xml:space="preserve">documenté</w:t>
      </w:r>
      <w:r>
        <w:t xml:space="preserve"> </w:t>
      </w:r>
      <w:r>
        <w:t xml:space="preserve">(chapitre 3) — pas laissé à une intention vague</w:t>
      </w:r>
      <w:r>
        <w:t xml:space="preserve"> </w:t>
      </w:r>
      <w:r>
        <w:t xml:space="preserve">“on devrait le faire un jour”</w:t>
      </w:r>
      <w:r>
        <w:t xml:space="preserve">. Le test doit inclure une restauration réelle dans un environnement isolé, suivie d’une vérification concrète (le fichier restauré s’ouvre-t-il correctement ? les données sont-elles complètes et cohérentes ?), exactement le type de vérification qui aurait permis à l’entreprise du scénario d’ouverture de répondre au DSI avec une certitude réelle, pas un espoir.</w:t>
      </w:r>
    </w:p>
    <w:bookmarkEnd w:id="747"/>
    <w:bookmarkStart w:id="748" w:name="retour-sur-le-scénario-douverture-1"/>
    <w:p>
      <w:pPr>
        <w:pStyle w:val="Heading2"/>
      </w:pPr>
      <w:r>
        <w:t xml:space="preserve">30.7 Retour sur le scénario d’ouverture</w:t>
      </w:r>
    </w:p>
    <w:p>
      <w:pPr>
        <w:pStyle w:val="FirstParagraph"/>
      </w:pPr>
      <w:r>
        <w:t xml:space="preserve">🔒 Ce qui a permis de répondre</w:t>
      </w:r>
      <w:r>
        <w:t xml:space="preserve"> </w:t>
      </w:r>
      <w:r>
        <w:t xml:space="preserve">“oui”</w:t>
      </w:r>
      <w:r>
        <w:t xml:space="preserve"> </w:t>
      </w:r>
      <w:r>
        <w:t xml:space="preserve">au DSI</w:t>
      </w:r>
      <w:r>
        <w:t xml:space="preserve"> </w:t>
      </w:r>
      <w:r>
        <w:t xml:space="preserve">Une copie hors ligne (air-gapped, section 30.4) des données comptables, synchronisée chaque nuit puis physiquement déconnectée, n’a jamais été exposée au rançongiciel actif uniquement sur le réseau de production au moment de l’infection — exactement le principe de la règle 3-2-1 (une copie hors site, sur un support différent) combiné à l’immuabilité de la section 30.4. Les fichiers chiffrés ont pu être restaurés depuis cette copie, avec une perte de données limitée à la fenêtre entre la dernière synchronisation et l’incident — la définition concrète du RPO de la section 30.3, ici mesurée en heures plutôt qu’en semaines ou en perte totale.</w:t>
      </w:r>
    </w:p>
    <w:bookmarkEnd w:id="748"/>
    <w:bookmarkStart w:id="749" w:name="Xfdd73d3233417a19a371c857a4c784569607d35"/>
    <w:p>
      <w:pPr>
        <w:pStyle w:val="Heading2"/>
      </w:pPr>
      <w:r>
        <w:t xml:space="preserve">Atelier — Construire la stratégie de sauvegarde de l’entreprise</w:t>
      </w:r>
    </w:p>
    <w:p>
      <w:pPr>
        <w:pStyle w:val="FirstParagraph"/>
      </w:pPr>
      <w:r>
        <w:t xml:space="preserve">🛠️ Atelier 30 — Appliquer la règle 3-2-1 avec RTO/RPO définis</w:t>
      </w:r>
    </w:p>
    <w:p>
      <w:pPr>
        <w:pStyle w:val="BodyText"/>
      </w:pPr>
      <w:r>
        <w:rPr>
          <w:b/>
          <w:bCs/>
        </w:rPr>
        <w:t xml:space="preserve">Objectif</w:t>
      </w:r>
      <w:r>
        <w:t xml:space="preserve"> </w:t>
      </w:r>
      <w:r>
        <w:t xml:space="preserve">: concevoir une stratégie de sauvegarde complète pour deux systèmes de criticité différente de l’entreprise.</w:t>
      </w:r>
    </w:p>
    <w:p>
      <w:pPr>
        <w:pStyle w:val="BodyText"/>
      </w:pPr>
      <w:r>
        <w:rPr>
          <w:b/>
          <w:bCs/>
        </w:rPr>
        <w:t xml:space="preserve">Préparation</w:t>
      </w:r>
      <w:r>
        <w:t xml:space="preserve"> </w:t>
      </w:r>
      <w:r>
        <w:t xml:space="preserve">: aucune installation nécessaire pour cet atelier conceptuel.</w:t>
      </w:r>
    </w:p>
    <w:p>
      <w:pPr>
        <w:pStyle w:val="BodyText"/>
      </w:pPr>
      <w:r>
        <w:rPr>
          <w:b/>
          <w:bCs/>
        </w:rPr>
        <w:t xml:space="preserve">Étapes détaillées</w:t>
      </w:r>
      <w:r>
        <w:t xml:space="preserve"> </w:t>
      </w:r>
      <w:r>
        <w:t xml:space="preserve">:</w:t>
      </w:r>
    </w:p>
    <w:p>
      <w:pPr>
        <w:pStyle w:val="Compact"/>
        <w:numPr>
          <w:ilvl w:val="0"/>
          <w:numId w:val="1689"/>
        </w:numPr>
      </w:pPr>
      <w:r>
        <w:t xml:space="preserve">Pour le NAS comptabilité (chapitre 28) et pour le serveur de base de données financière critique (chapitre 27), propose un RPO et un RTO distincts, justifiés par leur criticité respective.</w:t>
      </w:r>
    </w:p>
    <w:p>
      <w:pPr>
        <w:pStyle w:val="Compact"/>
        <w:numPr>
          <w:ilvl w:val="0"/>
          <w:numId w:val="1689"/>
        </w:numPr>
      </w:pPr>
      <w:r>
        <w:t xml:space="preserve">Applique la règle 3-2-1 à chacun, en précisant les deux supports différents et la destination hors site.</w:t>
      </w:r>
    </w:p>
    <w:p>
      <w:pPr>
        <w:pStyle w:val="Compact"/>
        <w:numPr>
          <w:ilvl w:val="0"/>
          <w:numId w:val="1689"/>
        </w:numPr>
      </w:pPr>
      <w:r>
        <w:t xml:space="preserve">Propose une fréquence de test de restauration pour chacun.</w:t>
      </w:r>
    </w:p>
    <w:p>
      <w:pPr>
        <w:pStyle w:val="Compact"/>
        <w:numPr>
          <w:ilvl w:val="0"/>
          <w:numId w:val="1689"/>
        </w:numPr>
      </w:pPr>
      <w:r>
        <w:t xml:space="preserve">Compare ta démarche à la section</w:t>
      </w:r>
      <w:r>
        <w:t xml:space="preserve"> </w:t>
      </w:r>
      <w:r>
        <w:t xml:space="preserve">“Résultat attendu”</w:t>
      </w:r>
      <w:r>
        <w:t xml:space="preserve">.</w:t>
      </w:r>
    </w:p>
    <w:p>
      <w:pPr>
        <w:pStyle w:val="FirstParagraph"/>
      </w:pPr>
      <w:r>
        <w:rPr>
          <w:b/>
          <w:bCs/>
        </w:rPr>
        <w:t xml:space="preserve">Résultat attendu</w:t>
      </w:r>
      <w:r>
        <w:t xml:space="preserve"> </w:t>
      </w:r>
      <w:r>
        <w:t xml:space="preserve">: le serveur de base de données financière critique justifie un RPO court (quelques heures, voire moins) et un RTO court (restauration rapide exigée pour limiter l’impact métier), avec des tests de restauration mensuels compte tenu de sa criticité. Le NAS comptabilité peut tolérer un RPO plus large (24 heures) et un RTO plus souple, avec des tests trimestriels suffisants. Les deux appliquent la règle 3-2-1 : original + sauvegarde locale rapide (pour un RTO court) + copie hors site immuable ou air-gapped (protection spécifique contre le rançongiciel, section 30.4).</w:t>
      </w:r>
    </w:p>
    <w:p>
      <w:pPr>
        <w:pStyle w:val="BodyText"/>
      </w:pPr>
      <w:r>
        <w:rPr>
          <w:b/>
          <w:bCs/>
        </w:rPr>
        <w:t xml:space="preserve">Dépannage</w:t>
      </w:r>
      <w:r>
        <w:t xml:space="preserve"> </w:t>
      </w:r>
      <w:r>
        <w:t xml:space="preserve">: si tu hésites sur la fréquence de test appropriée, pose-toi la question :</w:t>
      </w:r>
      <w:r>
        <w:t xml:space="preserve"> </w:t>
      </w:r>
      <w:r>
        <w:t xml:space="preserve">“si cette sauvegarde échouait silencieusement, combien de temps s’écoulerait avant qu’on ne le découvre avec la fréquence de test actuelle ?”</w:t>
      </w:r>
      <w:r>
        <w:t xml:space="preserve"> </w:t>
      </w:r>
      <w:r>
        <w:t xml:space="preserve">— un délai de découverte trop long pour un système critique justifie des tests plus fréquents.</w:t>
      </w:r>
    </w:p>
    <w:bookmarkEnd w:id="749"/>
    <w:bookmarkStart w:id="750" w:name="erreurs-fréquentes-29"/>
    <w:p>
      <w:pPr>
        <w:pStyle w:val="Heading2"/>
      </w:pPr>
      <w:r>
        <w:t xml:space="preserve">Erreurs fréquentes</w:t>
      </w:r>
    </w:p>
    <w:p>
      <w:pPr>
        <w:pStyle w:val="FirstParagraph"/>
      </w:pPr>
      <w:r>
        <w:t xml:space="preserve">⚠️ Erreur n°1 — une sauvegarde jamais testée</w:t>
      </w:r>
      <w:r>
        <w:t xml:space="preserve"> </w:t>
      </w:r>
      <w:r>
        <w:t xml:space="preserve">Rappel une dernière fois du principe fondateur du chapitre 1, maintenant pleinement développé en section 30.6 — l’erreur la plus coûteuse et la plus fréquente de ce domaine entier.</w:t>
      </w:r>
    </w:p>
    <w:p>
      <w:pPr>
        <w:pStyle w:val="BodyText"/>
      </w:pPr>
      <w:r>
        <w:t xml:space="preserve">⚠️ Erreur n°2 — toutes les copies de sauvegarde connectées en permanence au même réseau</w:t>
      </w:r>
      <w:r>
        <w:t xml:space="preserve"> </w:t>
      </w:r>
      <w:r>
        <w:t xml:space="preserve">Rappel de la section 30.4 : sans copie immuable ou air-gapped, un rançongiciel suffisamment étendu peut chiffrer l’original ET toutes les sauvegardes accessibles simultanément, éliminant tout recours.</w:t>
      </w:r>
    </w:p>
    <w:p>
      <w:pPr>
        <w:pStyle w:val="BodyText"/>
      </w:pPr>
      <w:r>
        <w:t xml:space="preserve">⚠️ Erreur n°3 — une chaîne d’incrémentielles trop longue sans complète récente</w:t>
      </w:r>
      <w:r>
        <w:t xml:space="preserve"> </w:t>
      </w:r>
      <w:r>
        <w:t xml:space="preserve">Rappel de la section 30.2 : un seul maillon corrompu dans une longue chaîne d’incrémentielles peut rendre impossible toute restauration au-delà de ce point.</w:t>
      </w:r>
    </w:p>
    <w:bookmarkEnd w:id="750"/>
    <w:bookmarkStart w:id="751" w:name="X6e0cffec91262faace07b42759924465112229a"/>
    <w:p>
      <w:pPr>
        <w:pStyle w:val="Heading2"/>
      </w:pPr>
      <w:r>
        <w:t xml:space="preserve">Diagnostiquer une stratégie de sauvegarde insuffisante</w:t>
      </w:r>
    </w:p>
    <w:p>
      <w:pPr>
        <w:pStyle w:val="FirstParagraph"/>
      </w:pPr>
      <w:r>
        <w:t xml:space="preserve">🩺 Situation :</w:t>
      </w:r>
      <w:r>
        <w:t xml:space="preserve"> </w:t>
      </w:r>
      <w:r>
        <w:t xml:space="preserve">“Comment savoir si notre stratégie de sauvegarde actuelle est réellement suffisante ?”</w:t>
      </w:r>
    </w:p>
    <w:p>
      <w:pPr>
        <w:pStyle w:val="Compact"/>
        <w:numPr>
          <w:ilvl w:val="0"/>
          <w:numId w:val="1690"/>
        </w:numPr>
      </w:pPr>
      <w:r>
        <w:rPr>
          <w:b/>
          <w:bCs/>
        </w:rPr>
        <w:t xml:space="preserve">Diagnostic</w:t>
      </w:r>
      <w:r>
        <w:t xml:space="preserve"> </w:t>
      </w:r>
      <w:r>
        <w:t xml:space="preserve">: vérifier successivement les quatre piliers de ce chapitre — la règle 3-2-1 est-elle réellement respectée (pas seulement sur le papier) ? Le RPO et le RTO ont-ils été explicitement définis pour chaque système critique, ou laissés implicites ? Existe-t-il au moins une copie immuable ou air-gapped ? Un test de restauration réel a-t-il été réalisé récemment, avec succès documenté ?</w:t>
      </w:r>
    </w:p>
    <w:p>
      <w:pPr>
        <w:pStyle w:val="Compact"/>
        <w:numPr>
          <w:ilvl w:val="0"/>
          <w:numId w:val="1690"/>
        </w:numPr>
      </w:pPr>
      <w:r>
        <w:rPr>
          <w:b/>
          <w:bCs/>
        </w:rPr>
        <w:t xml:space="preserve">Comment vérifier</w:t>
      </w:r>
      <w:r>
        <w:t xml:space="preserve"> </w:t>
      </w:r>
      <w:r>
        <w:t xml:space="preserve">: un audit simple consiste à répondre honnêtement à ces quatre questions pour chaque système critique de l’organisation — l’absence de réponse claire à l’une d’elles constitue déjà un signal d’alerte.</w:t>
      </w:r>
    </w:p>
    <w:p>
      <w:pPr>
        <w:pStyle w:val="Compact"/>
        <w:numPr>
          <w:ilvl w:val="0"/>
          <w:numId w:val="1690"/>
        </w:numPr>
      </w:pPr>
      <w:r>
        <w:rPr>
          <w:b/>
          <w:bCs/>
        </w:rPr>
        <w:t xml:space="preserve">Résolution</w:t>
      </w:r>
      <w:r>
        <w:t xml:space="preserve"> </w:t>
      </w:r>
      <w:r>
        <w:t xml:space="preserve">: prioriser la correction dans l’ordre suivant : d’abord garantir qu’une copie immuable/air-gapped existe (la protection la plus critique contre un rançongiciel), puis tester une restauration réelle dès que possible, puis formaliser RPO/RTO explicites pour orienter les ajustements futurs de fréquence et d’outillage.</w:t>
      </w:r>
    </w:p>
    <w:bookmarkEnd w:id="751"/>
    <w:bookmarkStart w:id="752" w:name="en-entreprise-29"/>
    <w:p>
      <w:pPr>
        <w:pStyle w:val="Heading2"/>
      </w:pPr>
      <w:r>
        <w:t xml:space="preserve">En entreprise</w:t>
      </w:r>
    </w:p>
    <w:p>
      <w:pPr>
        <w:pStyle w:val="Compact"/>
        <w:numPr>
          <w:ilvl w:val="0"/>
          <w:numId w:val="1691"/>
        </w:numPr>
      </w:pPr>
      <w:r>
        <w:rPr>
          <w:b/>
          <w:bCs/>
        </w:rPr>
        <w:t xml:space="preserve">Bonne pratique répandue</w:t>
      </w:r>
      <w:r>
        <w:t xml:space="preserve"> </w:t>
      </w:r>
      <w:r>
        <w:t xml:space="preserve">: documenter (chapitre 3) la stratégie de sauvegarde complète de chaque système — fréquence, type, destination, RPO/RTO, dernier test de restauration réussi avec sa date — un document vivant consulté et mis à jour régulièrement, pas rédigé une fois puis oublié.</w:t>
      </w:r>
    </w:p>
    <w:p>
      <w:pPr>
        <w:pStyle w:val="Compact"/>
        <w:numPr>
          <w:ilvl w:val="0"/>
          <w:numId w:val="1691"/>
        </w:numPr>
      </w:pPr>
      <w:r>
        <w:rPr>
          <w:b/>
          <w:bCs/>
        </w:rPr>
        <w:t xml:space="preserve">Bonne pratique répandue</w:t>
      </w:r>
      <w:r>
        <w:t xml:space="preserve"> </w:t>
      </w:r>
      <w:r>
        <w:t xml:space="preserve">: inclure la vérification de l’exécution réelle des sauvegardes (pas seulement leur planification) dans le script ou l’outil de supervision quotidien, exactement dans le même esprit que les vérifications déjà ajoutées aux chapitres 23 et 24.</w:t>
      </w:r>
    </w:p>
    <w:p>
      <w:pPr>
        <w:pStyle w:val="Compact"/>
        <w:numPr>
          <w:ilvl w:val="0"/>
          <w:numId w:val="1691"/>
        </w:numPr>
      </w:pPr>
      <w:r>
        <w:rPr>
          <w:b/>
          <w:bCs/>
        </w:rPr>
        <w:t xml:space="preserve">Erreur classique observée</w:t>
      </w:r>
      <w:r>
        <w:t xml:space="preserve"> </w:t>
      </w:r>
      <w:r>
        <w:t xml:space="preserve">: une entreprise victime d’un rançongiciel découvrant, au moment critique, que ses sauvegardes étaient soit corrompues, soit elles-mêmes chiffrées par l’attaque faute d’isolation suffisante — exactement le scénario que ce chapitre vise à éviter.</w:t>
      </w:r>
    </w:p>
    <w:bookmarkEnd w:id="752"/>
    <w:bookmarkStart w:id="753" w:name="entretien-technique-29"/>
    <w:p>
      <w:pPr>
        <w:pStyle w:val="Heading2"/>
      </w:pPr>
      <w:r>
        <w:t xml:space="preserve">Entretien technique</w:t>
      </w:r>
    </w:p>
    <w:p>
      <w:pPr>
        <w:pStyle w:val="FirstParagraph"/>
      </w:pPr>
      <w:r>
        <w:t xml:space="preserve">💼 Questions fréquemment posées en entretien</w:t>
      </w:r>
    </w:p>
    <w:p>
      <w:pPr>
        <w:pStyle w:val="BodyText"/>
      </w:pPr>
      <w:r>
        <w:rPr>
          <w:b/>
          <w:bCs/>
        </w:rPr>
        <w:t xml:space="preserve">Q1.</w:t>
      </w:r>
      <w:r>
        <w:rPr>
          <w:b/>
          <w:bCs/>
        </w:rPr>
        <w:t xml:space="preserve"> </w:t>
      </w:r>
      <w:r>
        <w:rPr>
          <w:b/>
          <w:bCs/>
        </w:rPr>
        <w:t xml:space="preserve">“Explique la règle 3-2-1 et pourquoi chacun de ses trois chiffres compte.”</w:t>
      </w:r>
      <w:r>
        <w:t xml:space="preserve"> </w:t>
      </w:r>
      <w:r>
        <w:t xml:space="preserve">Réponse attendue : 3 copies des données, sur 2 supports différents, avec 1 copie hors site — chaque élément protège contre un scénario de défaillance distinct (panne d’un support précis, incident localisé au site principal), la combinaison des trois offrant une protection bien plus robuste qu’une seule sauvegarde, même redondante en apparence.</w:t>
      </w:r>
    </w:p>
    <w:p>
      <w:pPr>
        <w:pStyle w:val="BodyText"/>
      </w:pPr>
      <w:r>
        <w:rPr>
          <w:b/>
          <w:bCs/>
        </w:rPr>
        <w:t xml:space="preserve">Q2.</w:t>
      </w:r>
      <w:r>
        <w:rPr>
          <w:b/>
          <w:bCs/>
        </w:rPr>
        <w:t xml:space="preserve"> </w:t>
      </w:r>
      <w:r>
        <w:rPr>
          <w:b/>
          <w:bCs/>
        </w:rPr>
        <w:t xml:space="preserve">“Quelle est la différence entre RPO et RTO ?”</w:t>
      </w:r>
      <w:r>
        <w:t xml:space="preserve"> </w:t>
      </w:r>
      <w:r>
        <w:t xml:space="preserve">Réponse attendue : le RPO définit combien de données on peut se permettre de perdre (mesuré en temps depuis la dernière sauvegarde valide) ; le RTO définit combien de temps on peut se permettre d’être indisponible avant restauration complète du service — deux questions différentes qui orientent des décisions techniques différentes (fréquence de sauvegarde pour le RPO, moyens de restauration rapide pour le RTO).</w:t>
      </w:r>
    </w:p>
    <w:p>
      <w:pPr>
        <w:pStyle w:val="BodyText"/>
      </w:pPr>
      <w:r>
        <w:rPr>
          <w:b/>
          <w:bCs/>
        </w:rPr>
        <w:t xml:space="preserve">Q3.</w:t>
      </w:r>
      <w:r>
        <w:rPr>
          <w:b/>
          <w:bCs/>
        </w:rPr>
        <w:t xml:space="preserve"> </w:t>
      </w:r>
      <w:r>
        <w:rPr>
          <w:b/>
          <w:bCs/>
        </w:rPr>
        <w:t xml:space="preserve">“Pourquoi une sauvegarde</w:t>
      </w:r>
      <w:r>
        <w:rPr>
          <w:b/>
          <w:bCs/>
        </w:rPr>
        <w:t xml:space="preserve"> </w:t>
      </w:r>
      <w:r>
        <w:rPr>
          <w:b/>
          <w:bCs/>
        </w:rPr>
        <w:t xml:space="preserve">‘toujours connectée’</w:t>
      </w:r>
      <w:r>
        <w:rPr>
          <w:b/>
          <w:bCs/>
        </w:rPr>
        <w:t xml:space="preserve"> </w:t>
      </w:r>
      <w:r>
        <w:rPr>
          <w:b/>
          <w:bCs/>
        </w:rPr>
        <w:t xml:space="preserve">au réseau n’est-elle pas suffisante face à un rançongiciel moderne ?”</w:t>
      </w:r>
      <w:r>
        <w:t xml:space="preserve"> </w:t>
      </w:r>
      <w:r>
        <w:t xml:space="preserve">Réponse attendue : un rançongiciel recherche activement les partages réseau accessibles, y compris les destinations de sauvegarde, et peut les chiffrer également si elles restent connectées en permanence — une sauvegarde immuable ou air-gapped élimine ce risque en restant hors de portée même d’un accès administrateur compromis.</w:t>
      </w:r>
    </w:p>
    <w:bookmarkEnd w:id="753"/>
    <w:bookmarkStart w:id="754" w:name="X8370cc8387c1ea64d032ec7195f1d332dcd5756"/>
    <w:p>
      <w:pPr>
        <w:pStyle w:val="Heading2"/>
      </w:pPr>
      <w:r>
        <w:t xml:space="preserve">Optimisation, sécurité et maintenabilité — les réflexes dès ce chapitre</w:t>
      </w:r>
    </w:p>
    <w:p>
      <w:pPr>
        <w:pStyle w:val="FirstParagraph"/>
      </w:pPr>
      <w:r>
        <w:t xml:space="preserve">🔒 Sécurité</w:t>
      </w:r>
      <w:r>
        <w:t xml:space="preserve"> </w:t>
      </w:r>
      <w:r>
        <w:t xml:space="preserve">Assure-toi qu’au moins une copie de sauvegarde de chaque système critique reste immuable ou air-gapped — la protection la plus directement efficace contre un rançongiciel, indépendamment de toutes les autres mesures de sécurité déjà couvertes dans ce manuel.</w:t>
      </w:r>
    </w:p>
    <w:p>
      <w:pPr>
        <w:pStyle w:val="BodyText"/>
      </w:pPr>
      <w:r>
        <w:t xml:space="preserve">✅ Maintenabilité</w:t>
      </w:r>
      <w:r>
        <w:t xml:space="preserve"> </w:t>
      </w:r>
      <w:r>
        <w:t xml:space="preserve">Planifie et documente (chapitre 3) un calendrier de tests de restauration récurrents, avec une trace de chaque test réussi (ou des correctifs apportés suite à un test révélant un problème) — jamais une intention vague sans échéance concrète.</w:t>
      </w:r>
    </w:p>
    <w:p>
      <w:pPr>
        <w:pStyle w:val="BodyText"/>
      </w:pPr>
      <w:r>
        <w:t xml:space="preserve">🚀 Performance</w:t>
      </w:r>
      <w:r>
        <w:t xml:space="preserve"> </w:t>
      </w:r>
      <w:r>
        <w:t xml:space="preserve">Calibre le type de sauvegarde (complète/incrémentielle/différentielle) et sa fréquence selon le RPO réellement nécessaire pour chaque système, plutôt qu’une politique uniforme appliquée sans réflexion à toute l’infrastructure — un système peu critique n’a pas besoin de la même fréquence coûteuse qu’un système transactionnel critique.</w:t>
      </w:r>
    </w:p>
    <w:bookmarkEnd w:id="754"/>
    <w:bookmarkStart w:id="755" w:name="résumé-du-chapitre-29"/>
    <w:p>
      <w:pPr>
        <w:pStyle w:val="Heading2"/>
      </w:pPr>
      <w:r>
        <w:t xml:space="preserve">Résumé du chapitre</w:t>
      </w:r>
    </w:p>
    <w:p>
      <w:pPr>
        <w:pStyle w:val="Compact"/>
        <w:numPr>
          <w:ilvl w:val="0"/>
          <w:numId w:val="1692"/>
        </w:numPr>
      </w:pPr>
      <w:r>
        <w:t xml:space="preserve">La règle 3-2-1 (3 copies, 2 supports différents, 1 copie hors site) reste le fondement de toute stratégie de sauvegarde robuste.</w:t>
      </w:r>
    </w:p>
    <w:p>
      <w:pPr>
        <w:pStyle w:val="Compact"/>
        <w:numPr>
          <w:ilvl w:val="0"/>
          <w:numId w:val="1692"/>
        </w:numPr>
      </w:pPr>
      <w:r>
        <w:t xml:space="preserve">Les sauvegardes complètes, incrémentielles et différentielles offrent des compromis différents entre temps, espace et complexité de restauration.</w:t>
      </w:r>
    </w:p>
    <w:p>
      <w:pPr>
        <w:pStyle w:val="Compact"/>
        <w:numPr>
          <w:ilvl w:val="0"/>
          <w:numId w:val="1692"/>
        </w:numPr>
      </w:pPr>
      <w:r>
        <w:t xml:space="preserve">Le RPO (perte de données tolérable) et le RTO (temps d’indisponibilité tolérable) doivent être définis explicitement pour chaque système selon sa criticité réelle.</w:t>
      </w:r>
    </w:p>
    <w:p>
      <w:pPr>
        <w:pStyle w:val="Compact"/>
        <w:numPr>
          <w:ilvl w:val="0"/>
          <w:numId w:val="1692"/>
        </w:numPr>
      </w:pPr>
      <w:r>
        <w:t xml:space="preserve">Une sauvegarde immuable ou air-gapped protège spécifiquement contre un rançongiciel, qui peut sinon chiffrer aussi des sauvegardes connectées en permanence.</w:t>
      </w:r>
    </w:p>
    <w:p>
      <w:pPr>
        <w:pStyle w:val="Compact"/>
        <w:numPr>
          <w:ilvl w:val="0"/>
          <w:numId w:val="1692"/>
        </w:numPr>
      </w:pPr>
      <w:r>
        <w:t xml:space="preserve">Un test de restauration réel et planifié régulièrement est la seule façon de savoir, avec certitude, qu’une sauvegarde fonctionne réellement — jamais une simple supposition basée sur l’absence d’erreur au moment de la sauvegarde.</w:t>
      </w:r>
    </w:p>
    <w:bookmarkEnd w:id="755"/>
    <w:bookmarkStart w:id="756" w:name="quiz-29"/>
    <w:p>
      <w:pPr>
        <w:pStyle w:val="Heading2"/>
      </w:pPr>
      <w:r>
        <w:t xml:space="preserve">Quiz</w:t>
      </w:r>
    </w:p>
    <w:p>
      <w:pPr>
        <w:pStyle w:val="FirstParagraph"/>
      </w:pPr>
      <w:r>
        <w:t xml:space="preserve">📝 QCM (une seule bonne réponse par question)</w:t>
      </w:r>
    </w:p>
    <w:p>
      <w:pPr>
        <w:pStyle w:val="Compact"/>
        <w:numPr>
          <w:ilvl w:val="0"/>
          <w:numId w:val="1693"/>
        </w:numPr>
      </w:pPr>
      <w:r>
        <w:t xml:space="preserve">La règle 3-2-1 recommande :</w:t>
      </w:r>
    </w:p>
    <w:p>
      <w:pPr>
        <w:pStyle w:val="Compact"/>
        <w:numPr>
          <w:ilvl w:val="1"/>
          <w:numId w:val="1694"/>
        </w:numPr>
      </w:pPr>
    </w:p>
    <w:p>
      <w:pPr>
        <w:pStyle w:val="Compact"/>
        <w:numPr>
          <w:ilvl w:val="2"/>
          <w:numId w:val="1695"/>
        </w:numPr>
      </w:pPr>
      <w:r>
        <w:t xml:space="preserve">3 supports, 2 copies, 1 test par an</w:t>
      </w:r>
    </w:p>
    <w:p>
      <w:pPr>
        <w:pStyle w:val="Compact"/>
        <w:numPr>
          <w:ilvl w:val="1"/>
          <w:numId w:val="1694"/>
        </w:numPr>
      </w:pPr>
    </w:p>
    <w:p>
      <w:pPr>
        <w:pStyle w:val="Compact"/>
        <w:numPr>
          <w:ilvl w:val="2"/>
          <w:numId w:val="1696"/>
        </w:numPr>
      </w:pPr>
      <w:r>
        <w:t xml:space="preserve">3 copies, 2 supports différents, 1 copie hors site</w:t>
      </w:r>
    </w:p>
    <w:p>
      <w:pPr>
        <w:pStyle w:val="Compact"/>
        <w:numPr>
          <w:ilvl w:val="1"/>
          <w:numId w:val="1694"/>
        </w:numPr>
      </w:pPr>
    </w:p>
    <w:p>
      <w:pPr>
        <w:pStyle w:val="Compact"/>
        <w:numPr>
          <w:ilvl w:val="2"/>
          <w:numId w:val="1697"/>
        </w:numPr>
      </w:pPr>
      <w:r>
        <w:t xml:space="preserve">3 sites, 2 copies, 1 support</w:t>
      </w:r>
    </w:p>
    <w:p>
      <w:pPr>
        <w:pStyle w:val="Compact"/>
        <w:numPr>
          <w:ilvl w:val="1"/>
          <w:numId w:val="1694"/>
        </w:numPr>
      </w:pPr>
    </w:p>
    <w:p>
      <w:pPr>
        <w:pStyle w:val="Compact"/>
        <w:numPr>
          <w:ilvl w:val="2"/>
          <w:numId w:val="1698"/>
        </w:numPr>
      </w:pPr>
      <w:r>
        <w:t xml:space="preserve">1 copie suffit si elle est chiffrée</w:t>
      </w:r>
    </w:p>
    <w:p>
      <w:pPr>
        <w:pStyle w:val="Compact"/>
        <w:numPr>
          <w:ilvl w:val="0"/>
          <w:numId w:val="1693"/>
        </w:numPr>
      </w:pPr>
      <w:r>
        <w:t xml:space="preserve">Le RPO (Recovery Point Objective) définit :</w:t>
      </w:r>
    </w:p>
    <w:p>
      <w:pPr>
        <w:pStyle w:val="Compact"/>
        <w:numPr>
          <w:ilvl w:val="1"/>
          <w:numId w:val="1699"/>
        </w:numPr>
      </w:pPr>
    </w:p>
    <w:p>
      <w:pPr>
        <w:pStyle w:val="Compact"/>
        <w:numPr>
          <w:ilvl w:val="2"/>
          <w:numId w:val="1700"/>
        </w:numPr>
      </w:pPr>
      <w:r>
        <w:t xml:space="preserve">Le temps maximal d’indisponibilité acceptable</w:t>
      </w:r>
    </w:p>
    <w:p>
      <w:pPr>
        <w:pStyle w:val="Compact"/>
        <w:numPr>
          <w:ilvl w:val="1"/>
          <w:numId w:val="1699"/>
        </w:numPr>
      </w:pPr>
    </w:p>
    <w:p>
      <w:pPr>
        <w:pStyle w:val="Compact"/>
        <w:numPr>
          <w:ilvl w:val="2"/>
          <w:numId w:val="1701"/>
        </w:numPr>
      </w:pPr>
      <w:r>
        <w:t xml:space="preserve">La quantité de données qu’on peut se permettre de perdre, mesurée en temps</w:t>
      </w:r>
    </w:p>
    <w:p>
      <w:pPr>
        <w:pStyle w:val="Compact"/>
        <w:numPr>
          <w:ilvl w:val="1"/>
          <w:numId w:val="1699"/>
        </w:numPr>
      </w:pPr>
    </w:p>
    <w:p>
      <w:pPr>
        <w:pStyle w:val="Compact"/>
        <w:numPr>
          <w:ilvl w:val="2"/>
          <w:numId w:val="1702"/>
        </w:numPr>
      </w:pPr>
      <w:r>
        <w:t xml:space="preserve">Le nombre de copies de sauvegarde nécessaires</w:t>
      </w:r>
    </w:p>
    <w:p>
      <w:pPr>
        <w:pStyle w:val="Compact"/>
        <w:numPr>
          <w:ilvl w:val="1"/>
          <w:numId w:val="1699"/>
        </w:numPr>
      </w:pPr>
    </w:p>
    <w:p>
      <w:pPr>
        <w:pStyle w:val="Compact"/>
        <w:numPr>
          <w:ilvl w:val="2"/>
          <w:numId w:val="1703"/>
        </w:numPr>
      </w:pPr>
      <w:r>
        <w:t xml:space="preserve">Le type de support de stockage à utiliser</w:t>
      </w:r>
    </w:p>
    <w:p>
      <w:pPr>
        <w:pStyle w:val="Compact"/>
        <w:numPr>
          <w:ilvl w:val="0"/>
          <w:numId w:val="1693"/>
        </w:numPr>
      </w:pPr>
      <w:r>
        <w:t xml:space="preserve">Une sauvegarde immuable ou air-gapped protège spécifiquement contre :</w:t>
      </w:r>
    </w:p>
    <w:p>
      <w:pPr>
        <w:pStyle w:val="Compact"/>
        <w:numPr>
          <w:ilvl w:val="1"/>
          <w:numId w:val="1704"/>
        </w:numPr>
      </w:pPr>
    </w:p>
    <w:p>
      <w:pPr>
        <w:pStyle w:val="Compact"/>
        <w:numPr>
          <w:ilvl w:val="2"/>
          <w:numId w:val="1705"/>
        </w:numPr>
      </w:pPr>
      <w:r>
        <w:t xml:space="preserve">Une panne électrique</w:t>
      </w:r>
    </w:p>
    <w:p>
      <w:pPr>
        <w:pStyle w:val="Compact"/>
        <w:numPr>
          <w:ilvl w:val="1"/>
          <w:numId w:val="1704"/>
        </w:numPr>
      </w:pPr>
    </w:p>
    <w:p>
      <w:pPr>
        <w:pStyle w:val="Compact"/>
        <w:numPr>
          <w:ilvl w:val="2"/>
          <w:numId w:val="1706"/>
        </w:numPr>
      </w:pPr>
      <w:r>
        <w:t xml:space="preserve">Un rançongiciel qui chiffrerait aussi des sauvegardes connectées en permanence</w:t>
      </w:r>
    </w:p>
    <w:p>
      <w:pPr>
        <w:pStyle w:val="Compact"/>
        <w:numPr>
          <w:ilvl w:val="1"/>
          <w:numId w:val="1704"/>
        </w:numPr>
      </w:pPr>
    </w:p>
    <w:p>
      <w:pPr>
        <w:pStyle w:val="Compact"/>
        <w:numPr>
          <w:ilvl w:val="2"/>
          <w:numId w:val="1707"/>
        </w:numPr>
      </w:pPr>
      <w:r>
        <w:t xml:space="preserve">Une erreur de syntaxe dans un script</w:t>
      </w:r>
    </w:p>
    <w:p>
      <w:pPr>
        <w:pStyle w:val="Compact"/>
        <w:numPr>
          <w:ilvl w:val="1"/>
          <w:numId w:val="1704"/>
        </w:numPr>
      </w:pPr>
    </w:p>
    <w:p>
      <w:pPr>
        <w:pStyle w:val="Compact"/>
        <w:numPr>
          <w:ilvl w:val="2"/>
          <w:numId w:val="1708"/>
        </w:numPr>
      </w:pPr>
      <w:r>
        <w:t xml:space="preserve">Un problème de résolution DNS</w:t>
      </w:r>
    </w:p>
    <w:p>
      <w:pPr>
        <w:pStyle w:val="FirstParagraph"/>
      </w:pPr>
      <w:r>
        <w:rPr>
          <w:b/>
          <w:bCs/>
        </w:rPr>
        <w:t xml:space="preserve">Corrigé</w:t>
      </w:r>
      <w:r>
        <w:t xml:space="preserve"> </w:t>
      </w:r>
      <w:r>
        <w:t xml:space="preserve">: 1-b, 2-b, 3-b.</w:t>
      </w:r>
    </w:p>
    <w:p>
      <w:pPr>
        <w:pStyle w:val="BodyText"/>
      </w:pPr>
      <w:r>
        <w:t xml:space="preserve">📝 Vrai ou Faux</w:t>
      </w:r>
    </w:p>
    <w:p>
      <w:pPr>
        <w:pStyle w:val="Compact"/>
        <w:numPr>
          <w:ilvl w:val="0"/>
          <w:numId w:val="1709"/>
        </w:numPr>
      </w:pPr>
      <w:r>
        <w:t xml:space="preserve">Une sauvegarde qui se termine sans erreur est automatiquement restaurable avec certitude. —</w:t>
      </w:r>
      <w:r>
        <w:t xml:space="preserve"> </w:t>
      </w:r>
      <w:r>
        <w:rPr>
          <w:b/>
          <w:bCs/>
        </w:rPr>
        <w:t xml:space="preserve">Faux</w:t>
      </w:r>
      <w:r>
        <w:t xml:space="preserve"> </w:t>
      </w:r>
      <w:r>
        <w:t xml:space="preserve">(seul un test de restauration réel le confirme, section 30.6).</w:t>
      </w:r>
    </w:p>
    <w:p>
      <w:pPr>
        <w:pStyle w:val="Compact"/>
        <w:numPr>
          <w:ilvl w:val="0"/>
          <w:numId w:val="1709"/>
        </w:numPr>
      </w:pPr>
      <w:r>
        <w:t xml:space="preserve">Tous les systèmes d’une organisation devraient avoir le même RPO et le même RTO. —</w:t>
      </w:r>
      <w:r>
        <w:t xml:space="preserve"> </w:t>
      </w:r>
      <w:r>
        <w:rPr>
          <w:b/>
          <w:bCs/>
        </w:rPr>
        <w:t xml:space="preserve">Faux</w:t>
      </w:r>
      <w:r>
        <w:t xml:space="preserve"> </w:t>
      </w:r>
      <w:r>
        <w:t xml:space="preserve">(à calibrer selon la criticité réelle de chaque système, section 30.3).</w:t>
      </w:r>
    </w:p>
    <w:p>
      <w:pPr>
        <w:pStyle w:val="Compact"/>
        <w:numPr>
          <w:ilvl w:val="0"/>
          <w:numId w:val="1709"/>
        </w:numPr>
      </w:pPr>
      <w:r>
        <w:t xml:space="preserve">Une chaîne d’incrémentielles trop longue sans sauvegarde complète récente augmente le risque de restauration impossible. —</w:t>
      </w:r>
      <w:r>
        <w:t xml:space="preserve"> </w:t>
      </w:r>
      <w:r>
        <w:rPr>
          <w:b/>
          <w:bCs/>
        </w:rPr>
        <w:t xml:space="preserve">Vrai</w:t>
      </w:r>
      <w:r>
        <w:t xml:space="preserve">.</w:t>
      </w:r>
    </w:p>
    <w:p>
      <w:pPr>
        <w:pStyle w:val="Compact"/>
        <w:numPr>
          <w:ilvl w:val="0"/>
          <w:numId w:val="1709"/>
        </w:numPr>
      </w:pPr>
      <w:r>
        <w:t xml:space="preserve">Une sauvegarde connectée en permanence au même réseau que les données originales offre la même protection contre un rançongiciel qu’une sauvegarde air-gapped. —</w:t>
      </w:r>
      <w:r>
        <w:t xml:space="preserve"> </w:t>
      </w:r>
      <w:r>
        <w:rPr>
          <w:b/>
          <w:bCs/>
        </w:rPr>
        <w:t xml:space="preserve">Faux</w:t>
      </w:r>
      <w:r>
        <w:t xml:space="preserve"> </w:t>
      </w:r>
      <w:r>
        <w:t xml:space="preserve">(elle peut être chiffrée par le même rançongiciel, section 30.4).</w:t>
      </w:r>
    </w:p>
    <w:p>
      <w:pPr>
        <w:pStyle w:val="FirstParagraph"/>
      </w:pPr>
      <w:r>
        <w:t xml:space="preserve">📝 Questions ouvertes</w:t>
      </w:r>
    </w:p>
    <w:p>
      <w:pPr>
        <w:pStyle w:val="Compact"/>
        <w:numPr>
          <w:ilvl w:val="0"/>
          <w:numId w:val="1710"/>
        </w:numPr>
      </w:pPr>
      <w:r>
        <w:t xml:space="preserve">Explique pourquoi le RPO et le RTO ne sont pas la même métrique, en donnant un exemple où l’un pourrait être court et l’autre plus long pour un même système.</w:t>
      </w:r>
    </w:p>
    <w:p>
      <w:pPr>
        <w:pStyle w:val="Compact"/>
        <w:numPr>
          <w:ilvl w:val="0"/>
          <w:numId w:val="1710"/>
        </w:numPr>
      </w:pPr>
      <w:r>
        <w:t xml:space="preserve">Reprends le scénario d’ouverture. Explique pourquoi l’existence d’une copie air-gapped, à elle seule, ne suffit pas — quelles autres conditions devaient être remplies pour que la restauration réussisse réellement.</w:t>
      </w:r>
    </w:p>
    <w:p>
      <w:pPr>
        <w:pStyle w:val="FirstParagraph"/>
      </w:pPr>
      <w:r>
        <w:rPr>
          <w:b/>
          <w:bCs/>
        </w:rPr>
        <w:t xml:space="preserve">Corrigé 1</w:t>
      </w:r>
      <w:r>
        <w:t xml:space="preserve"> </w:t>
      </w:r>
      <w:r>
        <w:t xml:space="preserve">: le RPO mesure la perte de données tolérable, le RTO mesure le temps d’indisponibilité tolérable — un système pourrait avoir un RPO court (sauvegardé très fréquemment, peu de perte de données acceptable) mais un RTO plus long si sa restauration complète, bien que rare, prend intrinsèquement du temps (un très gros volume de données à restaurer, par exemple), sans que cela pose de problème métier majeur si l’indisponibilité reste rare et brève par rapport à l’activité normale.</w:t>
      </w:r>
    </w:p>
    <w:p>
      <w:pPr>
        <w:pStyle w:val="BodyText"/>
      </w:pPr>
      <w:r>
        <w:rPr>
          <w:b/>
          <w:bCs/>
        </w:rPr>
        <w:t xml:space="preserve">Corrigé 2</w:t>
      </w:r>
      <w:r>
        <w:t xml:space="preserve"> </w:t>
      </w:r>
      <w:r>
        <w:t xml:space="preserve">: une copie air-gapped inutilisable (jamais testée, potentiellement corrompue silencieusement, rappel de la section 30.6) n’aurait offert aucune protection réelle malgré son isolation physique correcte. La restauration réussie du scénario d’ouverture supposait aussi que cette copie avait déjà été testée avec succès par le passé (donnant confiance dans sa fiabilité), que sa fréquence de synchronisation correspondait à un RPO acceptable pour ce système (limitant la perte de données réelle), et que l’équipe disposait d’une procédure documentée (chapitre 3) pour exécuter la restauration rapidement plutôt que de l’improviser en pleine crise.</w:t>
      </w:r>
    </w:p>
    <w:bookmarkEnd w:id="756"/>
    <w:bookmarkStart w:id="757" w:name="exercices-29"/>
    <w:p>
      <w:pPr>
        <w:pStyle w:val="Heading2"/>
      </w:pPr>
      <w:r>
        <w:t xml:space="preserve">Exercices</w:t>
      </w:r>
    </w:p>
    <w:p>
      <w:pPr>
        <w:pStyle w:val="FirstParagraph"/>
      </w:pPr>
      <w:r>
        <w:t xml:space="preserve">📝 Exercice 30.1</w:t>
      </w:r>
    </w:p>
    <w:p>
      <w:pPr>
        <w:pStyle w:val="BodyText"/>
      </w:pPr>
      <w:r>
        <w:t xml:space="preserve">Une entreprise sauvegarde quotidiennement ses données vers un second disque dur connecté en permanence au même serveur. Explique en quoi cette configuration ne respecte pas la règle 3-2-1, et identifie précisément quel(s) élément(s) manque(nt).</w:t>
      </w:r>
    </w:p>
    <w:p>
      <w:pPr>
        <w:pStyle w:val="BodyText"/>
      </w:pPr>
      <w:r>
        <w:rPr>
          <w:b/>
          <w:bCs/>
        </w:rPr>
        <w:t xml:space="preserve">Corrigé :</w:t>
      </w:r>
      <w:r>
        <w:t xml:space="preserve"> </w:t>
      </w:r>
      <w:r>
        <w:t xml:space="preserve">Cette configuration ne dispose que de 2 copies (l’original et cette seule sauvegarde), pas 3. Le support est différent (un second disque), ce qui respecte partiellement cette exigence, mais aucune copie n’est conservée hors site — un incident touchant physiquement le serveur (incendie, dégât des eaux, vol) ou un rançongiciel se propageant sur le réseau local pourrait affecter simultanément l’original et cette unique sauvegarde connectée en permanence au même système. Il manque à la fois une troisième copie et surtout une destination hors site, idéalement immuable ou air-gapded (section 30.4), pour respecter réellement la règle 3-2-1.</w:t>
      </w:r>
    </w:p>
    <w:p>
      <w:pPr>
        <w:pStyle w:val="BodyText"/>
      </w:pPr>
      <w:r>
        <w:t xml:space="preserve">📝 Exercice 30.2</w:t>
      </w:r>
    </w:p>
    <w:p>
      <w:pPr>
        <w:pStyle w:val="BodyText"/>
      </w:pPr>
      <w:r>
        <w:t xml:space="preserve">Rédige, en 3 à 5 phrases, un calendrier de test de restauration que tu proposerais pour le serveur de base de données financière critique de l’entreprise, en justifiant la fréquence choisie.</w:t>
      </w:r>
    </w:p>
    <w:p>
      <w:pPr>
        <w:pStyle w:val="BodyText"/>
      </w:pPr>
      <w:r>
        <w:rPr>
          <w:b/>
          <w:bCs/>
        </w:rPr>
        <w:t xml:space="preserve">Corrigé (exemple de réponse) :</w:t>
      </w:r>
      <w:r>
        <w:t xml:space="preserve"> </w:t>
      </w:r>
      <w:r>
        <w:t xml:space="preserve">Je proposerais un test de restauration mensuel dans un environnement isolé, incluant une vérification concrète de l’intégrité et de la cohérence des données restaurées (pas seulement la réussite technique de l’opération de restauration elle-même), suivi d’une documentation du résultat (chapitre 3). Cette fréquence mensuelle se justifie par la criticité de ce système financier, où un délai de découverte trop long d’une sauvegarde défaillante représenterait un risque disproportionné par rapport au coût raisonnable de ce test régulier. Un système moins critique, comme évoqué dans l’atelier de ce chapitre, pourrait se contenter d’une fréquence trimestrielle, proportionnée à son impact réel en cas de défaillance de sa propre stratégie de sauvegarde.</w:t>
      </w:r>
    </w:p>
    <w:bookmarkEnd w:id="757"/>
    <w:bookmarkStart w:id="758" w:name="checklist-de-fin-de-chapitre-29"/>
    <w:p>
      <w:pPr>
        <w:pStyle w:val="Heading2"/>
      </w:pPr>
      <w:r>
        <w:t xml:space="preserve">Checklist de fin de chapitre</w:t>
      </w:r>
    </w:p>
    <w:p>
      <w:pPr>
        <w:pStyle w:val="FirstParagraph"/>
      </w:pPr>
      <w:r>
        <w:t xml:space="preserve">☐ Je sais expliquer et appliquer la règle 3-2-1.</w:t>
      </w:r>
    </w:p>
    <w:p>
      <w:pPr>
        <w:pStyle w:val="BodyText"/>
      </w:pPr>
      <w:r>
        <w:t xml:space="preserve">☐ Je comprends les compromis entre sauvegarde complète, incrémentielle et différentielle.</w:t>
      </w:r>
    </w:p>
    <w:p>
      <w:pPr>
        <w:pStyle w:val="BodyText"/>
      </w:pPr>
      <w:r>
        <w:t xml:space="preserve">☐ Je sais définir un RPO et un RTO adaptés à la criticité réelle d’un système.</w:t>
      </w:r>
    </w:p>
    <w:p>
      <w:pPr>
        <w:pStyle w:val="BodyText"/>
      </w:pPr>
      <w:r>
        <w:t xml:space="preserve">☐ Je comprends pourquoi une sauvegarde immuable ou air-gapped protège spécifiquement contre un rançongiciel.</w:t>
      </w:r>
    </w:p>
    <w:p>
      <w:pPr>
        <w:pStyle w:val="BodyText"/>
      </w:pPr>
      <w:r>
        <w:t xml:space="preserve">☐ Je sais qu’un test de restauration réel et planifié est indispensable, pas optionnel.</w:t>
      </w:r>
    </w:p>
    <w:p>
      <w:pPr>
        <w:pStyle w:val="BodyText"/>
      </w:pPr>
      <w:r>
        <w:t xml:space="preserve">☐ Je sais diagnostiquer les lacunes d’une stratégie de sauvegarde existante.</w:t>
      </w:r>
    </w:p>
    <w:bookmarkEnd w:id="758"/>
    <w:bookmarkStart w:id="759" w:name="faq-29"/>
    <w:p>
      <w:pPr>
        <w:pStyle w:val="Heading2"/>
      </w:pPr>
      <w:r>
        <w:t xml:space="preserve">FAQ</w:t>
      </w:r>
    </w:p>
    <w:p>
      <w:pPr>
        <w:pStyle w:val="FirstParagraph"/>
      </w:pPr>
      <w:r>
        <w:t xml:space="preserve">Le cloud est-il automatiquement une bonne destination de sauvegarde hors site ?</w:t>
      </w:r>
    </w:p>
    <w:p>
      <w:pPr>
        <w:pStyle w:val="BodyText"/>
      </w:pPr>
      <w:r>
        <w:t xml:space="preserve">Le cloud offre naturellement une séparation géographique, mais il faut vérifier que le compte cloud utilisé pour la sauvegarde n’est pas accessible avec les mêmes identifiants que l’infrastructure principale (sinon un attaquant ayant compromis ces identifiants pourrait aussi altérer les sauvegardes cloud) — un verrouillage d’immuabilité spécifique au fournisseur cloud (section 30.4) reste recommandé même dans le cloud, pas seulement une simple séparation géographique.</w:t>
      </w:r>
    </w:p>
    <w:p>
      <w:pPr>
        <w:pStyle w:val="BodyText"/>
      </w:pPr>
      <w:r>
        <w:t xml:space="preserve">Combien de temps faut-il conserver les sauvegardes ?</w:t>
      </w:r>
    </w:p>
    <w:p>
      <w:pPr>
        <w:pStyle w:val="BodyText"/>
      </w:pPr>
      <w:r>
        <w:t xml:space="preserve">Cela dépend des exigences légales et métier propres à chaque organisation (obligations de conservation comptable, par exemple) — une politique de rétention explicite, distincte du RPO et du RTO, doit être définie et documentée, plutôt que de conserver indéfiniment ou de supprimer arbitrairement sans réflexion sur ces exigences.</w:t>
      </w:r>
    </w:p>
    <w:p>
      <w:pPr>
        <w:pStyle w:val="BodyText"/>
      </w:pPr>
      <w:r>
        <w:t xml:space="preserve">Une sauvegarde chiffrée peut-elle être restaurée si la clé de chiffrement est perdue ?</w:t>
      </w:r>
    </w:p>
    <w:p>
      <w:pPr>
        <w:pStyle w:val="BodyText"/>
      </w:pPr>
      <w:r>
        <w:t xml:space="preserve">Non, jamais — une sauvegarde chiffrée sans plan de gestion sécurisée de la clé de déchiffrement (jamais stockée au même endroit que la sauvegarde elle-même, mais accessible en cas de besoin réel) devient aussi inutilisable qu’une sauvegarde corrompue, un risque tout aussi grave à anticiper dès la conception de la stratégie.</w:t>
      </w:r>
    </w:p>
    <w:p>
      <w:pPr>
        <w:pStyle w:val="BodyText"/>
      </w:pPr>
      <w:r>
        <w:t xml:space="preserve">Faut-il sauvegarder aussi les configurations système, pas seulement les données ?</w:t>
      </w:r>
    </w:p>
    <w:p>
      <w:pPr>
        <w:pStyle w:val="BodyText"/>
      </w:pPr>
      <w:r>
        <w:t xml:space="preserve">Oui, une restauration complète après un incident majeur (approfondie au chapitre 31) nécessite souvent de reconstruire aussi la configuration des serveurs eux-mêmes, pas seulement leurs données — un besoin qui rejoint directement l’intérêt de l’Infrastructure as Code (chapitre 3, section sur les outils, et développé en Partie 9), où la configuration elle-même devient reproductible depuis du code versionné.</w:t>
      </w:r>
    </w:p>
    <w:bookmarkEnd w:id="759"/>
    <w:bookmarkStart w:id="763" w:name="références-et-pour-aller-plus-loin-29"/>
    <w:p>
      <w:pPr>
        <w:pStyle w:val="Heading2"/>
      </w:pPr>
      <w:r>
        <w:t xml:space="preserve">Références et pour aller plus loin</w:t>
      </w:r>
    </w:p>
    <w:p>
      <w:pPr>
        <w:pStyle w:val="Compact"/>
        <w:numPr>
          <w:ilvl w:val="0"/>
          <w:numId w:val="1711"/>
        </w:numPr>
      </w:pPr>
      <w:r>
        <w:t xml:space="preserve">CISA — recommandations sur la protection contre les rançongiciels et les sauvegardes :</w:t>
      </w:r>
      <w:r>
        <w:t xml:space="preserve"> </w:t>
      </w:r>
      <w:hyperlink r:id="rId760">
        <w:r>
          <w:rPr>
            <w:rStyle w:val="Hyperlink"/>
          </w:rPr>
          <w:t xml:space="preserve">https://www.cisa.gov/stopransomware</w:t>
        </w:r>
      </w:hyperlink>
    </w:p>
    <w:p>
      <w:pPr>
        <w:pStyle w:val="Compact"/>
        <w:numPr>
          <w:ilvl w:val="0"/>
          <w:numId w:val="1711"/>
        </w:numPr>
      </w:pPr>
      <w:r>
        <w:t xml:space="preserve">Documentation officielle Restic (outil de sauvegarde open source) :</w:t>
      </w:r>
      <w:r>
        <w:t xml:space="preserve"> </w:t>
      </w:r>
      <w:hyperlink r:id="rId761">
        <w:r>
          <w:rPr>
            <w:rStyle w:val="Hyperlink"/>
          </w:rPr>
          <w:t xml:space="preserve">https://restic.readthedocs.io/</w:t>
        </w:r>
      </w:hyperlink>
    </w:p>
    <w:p>
      <w:pPr>
        <w:pStyle w:val="Compact"/>
        <w:numPr>
          <w:ilvl w:val="0"/>
          <w:numId w:val="1711"/>
        </w:numPr>
      </w:pPr>
      <w:r>
        <w:t xml:space="preserve">Microsoft Learn — Sauvegarde Windows Server (wbadmin) :</w:t>
      </w:r>
      <w:r>
        <w:t xml:space="preserve"> </w:t>
      </w:r>
      <w:hyperlink r:id="rId762">
        <w:r>
          <w:rPr>
            <w:rStyle w:val="Hyperlink"/>
          </w:rPr>
          <w:t xml:space="preserve">https://learn.microsoft.com/fr-fr/windows-server/administration/windows-commands/wbadmin</w:t>
        </w:r>
      </w:hyperlink>
    </w:p>
    <w:p>
      <w:pPr>
        <w:pStyle w:val="FirstParagraph"/>
      </w:pPr>
      <w:r>
        <w:rPr>
          <w:i/>
          <w:iCs/>
        </w:rPr>
        <w:t xml:space="preserve">Chapitre suivant : le Plan de Reprise d’Activité (PRA) — comment transformer une stratégie de sauvegarde technique en un plan d’action complet et documenté pour reconstruire l’infrastructure entière après un sinistre majeur.</w:t>
      </w:r>
    </w:p>
    <w:p>
      <w:pPr>
        <w:pStyle w:val="BodyText"/>
      </w:pPr>
      <w:r>
        <w:t xml:space="preserve">CHAPITRE 31</w:t>
      </w:r>
    </w:p>
    <w:bookmarkEnd w:id="763"/>
    <w:bookmarkEnd w:id="764"/>
    <w:bookmarkStart w:id="788" w:name="plan-de-reprise-dactivité-pra"/>
    <w:p>
      <w:pPr>
        <w:pStyle w:val="Heading1"/>
      </w:pPr>
      <w:r>
        <w:t xml:space="preserve">Plan de Reprise d’Activité (PRA)</w:t>
      </w:r>
    </w:p>
    <w:p>
      <w:pPr>
        <w:pStyle w:val="FirstParagraph"/>
      </w:pPr>
      <w:r>
        <w:t xml:space="preserve">🎯 Objectif du chapitre</w:t>
      </w:r>
      <w:r>
        <w:t xml:space="preserve"> </w:t>
      </w:r>
      <w:r>
        <w:t xml:space="preserve">Transformer les moyens techniques de sauvegarde du chapitre 30 en un plan documenté, orchestré et testé — un Plan de Reprise d’Activité (PRA). À la fin de ce chapitre, tu sauras rédiger un PRA structuré, définir clairement qui décide de son activation et selon quels critères, choisir un type de site de repli adapté, et organiser un exercice de simulation qui teste le plan entier, pas seulement la technique.</w:t>
      </w:r>
    </w:p>
    <w:p>
      <w:pPr>
        <w:pStyle w:val="BodyText"/>
      </w:pPr>
      <w:r>
        <w:t xml:space="preserve">🎬 Mise en situation</w:t>
      </w:r>
      <w:r>
        <w:t xml:space="preserve"> </w:t>
      </w:r>
      <w:r>
        <w:t xml:space="preserve">Une semaine après l’incident de rançongiciel du chapitre 30, restauré avec succès grâce à la copie air-gapped, le comité de direction convoque une réunion post-incident. Le DSI y présente ce qui s’est bien passé — mais reconnaît aussi une vérité inconfortable : la restauration a fonctionné, mais dans la confusion. Personne ne savait précisément qui devait décider d’isoler le réseau, dans quel ordre restaurer les systèmes, ni combien de temps l’ensemble prendrait réellement.</w:t>
      </w:r>
      <w:r>
        <w:t xml:space="preserve"> </w:t>
      </w:r>
      <w:r>
        <w:t xml:space="preserve">“On a eu de la chance que ça se termine bien,”</w:t>
      </w:r>
      <w:r>
        <w:t xml:space="preserve"> </w:t>
      </w:r>
      <w:r>
        <w:t xml:space="preserve">admet-il.</w:t>
      </w:r>
      <w:r>
        <w:t xml:space="preserve"> </w:t>
      </w:r>
      <w:r>
        <w:t xml:space="preserve">“La prochaine fois, je veux un plan écrit, que tout le monde connaît, pas une improvisation qui a fonctionné cette fois-ci.”</w:t>
      </w:r>
      <w:r>
        <w:t xml:space="preserve"> </w:t>
      </w:r>
      <w:r>
        <w:t xml:space="preserve">C’est exactement la différence entre une bonne stratégie de sauvegarde technique (chapitre 30) et un vrai Plan de Reprise d’Activité — l’objet de ce chapitre.</w:t>
      </w:r>
    </w:p>
    <w:bookmarkStart w:id="765" w:name="X756ca069ab29807d81800a624b72b369ee2486c"/>
    <w:p>
      <w:pPr>
        <w:pStyle w:val="Heading2"/>
      </w:pPr>
      <w:r>
        <w:t xml:space="preserve">31.1 Ce qu’un PRA ajoute à une stratégie de sauvegarde</w:t>
      </w:r>
    </w:p>
    <w:p>
      <w:pPr>
        <w:pStyle w:val="FirstParagraph"/>
      </w:pPr>
      <w:r>
        <w:t xml:space="preserve">📌 À retenir — la distinction centrale de ce chapitre</w:t>
      </w:r>
      <w:r>
        <w:t xml:space="preserve"> </w:t>
      </w:r>
      <w:r>
        <w:t xml:space="preserve">Le chapitre 30 a construit les</w:t>
      </w:r>
      <w:r>
        <w:t xml:space="preserve"> </w:t>
      </w:r>
      <w:r>
        <w:rPr>
          <w:b/>
          <w:bCs/>
        </w:rPr>
        <w:t xml:space="preserve">moyens techniques</w:t>
      </w:r>
      <w:r>
        <w:t xml:space="preserve"> </w:t>
      </w:r>
      <w:r>
        <w:t xml:space="preserve">de récupération (des sauvegardes fiables, testées, protégées). Le PRA orchestre</w:t>
      </w:r>
      <w:r>
        <w:t xml:space="preserve"> </w:t>
      </w:r>
      <w:r>
        <w:rPr>
          <w:b/>
          <w:bCs/>
        </w:rPr>
        <w:t xml:space="preserve">l’usage de ces moyens</w:t>
      </w:r>
      <w:r>
        <w:t xml:space="preserve"> </w:t>
      </w:r>
      <w:r>
        <w:t xml:space="preserve">dans une situation de crise réelle : qui décide, dans quel ordre, avec quelles procédures précises, en combien de temps. Une entreprise peut avoir d’excellentes sauvegardes techniques et pourtant improviser dangereusement au moment critique — exactement ce qui s’est produit dans le scénario d’ouverture, où la technique a fonctionné malgré l’absence de plan, pas grâce à un plan.</w:t>
      </w:r>
    </w:p>
    <w:p>
      <w:pPr>
        <w:pStyle w:val="BodyText"/>
      </w:pPr>
      <w:r>
        <w:t xml:space="preserve">💡 Analogie — l’extincteur et le plan d’évacuation</w:t>
      </w:r>
      <w:r>
        <w:t xml:space="preserve"> </w:t>
      </w:r>
      <w:r>
        <w:t xml:space="preserve">Avoir des sauvegardes fiables sans PRA ressemble à avoir un extincteur dans un bâtiment sans jamais avoir défini de plan d’évacuation : l’outil existe, mais personne ne sait précisément quoi faire, dans quel ordre, ni qui est responsable de quoi au moment où un incendie se déclare réellement. Le PRA est ce plan d’évacuation — il ne remplace pas l’extincteur (les sauvegardes), il organise son usage efficace en situation de crise.</w:t>
      </w:r>
    </w:p>
    <w:bookmarkEnd w:id="765"/>
    <w:bookmarkStart w:id="766" w:name="les-composantes-essentielles-dun-pra"/>
    <w:p>
      <w:pPr>
        <w:pStyle w:val="Heading2"/>
      </w:pPr>
      <w:r>
        <w:t xml:space="preserve">31.2 Les composantes essentielles d’un PRA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Composante</w:t>
            </w:r>
          </w:p>
        </w:tc>
        <w:tc>
          <w:tcPr/>
          <w:p>
            <w:pPr>
              <w:pStyle w:val="Compact"/>
            </w:pPr>
            <w:r>
              <w:t xml:space="preserve">Contenu</w:t>
            </w:r>
          </w:p>
        </w:tc>
        <w:tc>
          <w:tcPr/>
          <w:p>
            <w:pPr>
              <w:pStyle w:val="Compact"/>
            </w:pPr>
            <w:r>
              <w:t xml:space="preserve">Chapitre déjà couvert</w:t>
            </w:r>
          </w:p>
        </w:tc>
      </w:tr>
      <w:tr>
        <w:tc>
          <w:tcPr/>
          <w:p>
            <w:pPr>
              <w:pStyle w:val="Compact"/>
            </w:pPr>
            <w:r>
              <w:rPr>
                <w:b/>
                <w:bCs/>
              </w:rPr>
              <w:t xml:space="preserve">Inventaire des systèmes critiques</w:t>
            </w:r>
          </w:p>
        </w:tc>
        <w:tc>
          <w:tcPr/>
          <w:p>
            <w:pPr>
              <w:pStyle w:val="Compact"/>
            </w:pPr>
            <w:r>
              <w:t xml:space="preserve">Quels systèmes, avec quelle priorité de restauration</w:t>
            </w:r>
          </w:p>
        </w:tc>
        <w:tc>
          <w:tcPr/>
          <w:p>
            <w:pPr>
              <w:pStyle w:val="Compact"/>
            </w:pPr>
            <w:r>
              <w:t xml:space="preserve">CMDB, chapitre 3</w:t>
            </w:r>
          </w:p>
        </w:tc>
      </w:tr>
      <w:tr>
        <w:tc>
          <w:tcPr/>
          <w:p>
            <w:pPr>
              <w:pStyle w:val="Compact"/>
            </w:pPr>
            <w:r>
              <w:rPr>
                <w:b/>
                <w:bCs/>
              </w:rPr>
              <w:t xml:space="preserve">RTO/RPO par système</w:t>
            </w:r>
          </w:p>
        </w:tc>
        <w:tc>
          <w:tcPr/>
          <w:p>
            <w:pPr>
              <w:pStyle w:val="Compact"/>
            </w:pPr>
            <w:r>
              <w:t xml:space="preserve">Objectifs de temps et de perte de données tolérables</w:t>
            </w:r>
          </w:p>
        </w:tc>
        <w:tc>
          <w:tcPr/>
          <w:p>
            <w:pPr>
              <w:pStyle w:val="Compact"/>
            </w:pPr>
            <w:r>
              <w:t xml:space="preserve">Chapitre 30</w:t>
            </w:r>
          </w:p>
        </w:tc>
      </w:tr>
      <w:tr>
        <w:tc>
          <w:tcPr/>
          <w:p>
            <w:pPr>
              <w:pStyle w:val="Compact"/>
            </w:pPr>
            <w:r>
              <w:rPr>
                <w:b/>
                <w:bCs/>
              </w:rPr>
              <w:t xml:space="preserve">Procédures de restauration détaillées</w:t>
            </w:r>
          </w:p>
        </w:tc>
        <w:tc>
          <w:tcPr/>
          <w:p>
            <w:pPr>
              <w:pStyle w:val="Compact"/>
            </w:pPr>
            <w:r>
              <w:t xml:space="preserve">Étapes précises, testées, pas de suppositions</w:t>
            </w:r>
          </w:p>
        </w:tc>
        <w:tc>
          <w:tcPr/>
          <w:p>
            <w:pPr>
              <w:pStyle w:val="Compact"/>
            </w:pPr>
            <w:r>
              <w:t xml:space="preserve">Runbooks, chapitre 3</w:t>
            </w:r>
          </w:p>
        </w:tc>
      </w:tr>
      <w:tr>
        <w:tc>
          <w:tcPr/>
          <w:p>
            <w:pPr>
              <w:pStyle w:val="Compact"/>
            </w:pPr>
            <w:r>
              <w:rPr>
                <w:b/>
                <w:bCs/>
              </w:rPr>
              <w:t xml:space="preserve">Rôles et responsabilités</w:t>
            </w:r>
          </w:p>
        </w:tc>
        <w:tc>
          <w:tcPr/>
          <w:p>
            <w:pPr>
              <w:pStyle w:val="Compact"/>
            </w:pPr>
            <w:r>
              <w:t xml:space="preserve">Qui fait quoi, qui décide, qui communique</w:t>
            </w:r>
          </w:p>
        </w:tc>
        <w:tc>
          <w:tcPr/>
          <w:p>
            <w:pPr>
              <w:pStyle w:val="Compact"/>
            </w:pPr>
            <w:r>
              <w:t xml:space="preserve">Chaîne d’escalade, chapitre 1</w:t>
            </w:r>
          </w:p>
        </w:tc>
      </w:tr>
      <w:tr>
        <w:tc>
          <w:tcPr/>
          <w:p>
            <w:pPr>
              <w:pStyle w:val="Compact"/>
            </w:pPr>
            <w:r>
              <w:rPr>
                <w:b/>
                <w:bCs/>
              </w:rPr>
              <w:t xml:space="preserve">Critères d’activation</w:t>
            </w:r>
          </w:p>
        </w:tc>
        <w:tc>
          <w:tcPr/>
          <w:p>
            <w:pPr>
              <w:pStyle w:val="Compact"/>
            </w:pPr>
            <w:r>
              <w:t xml:space="preserve">À partir de quel seuil le PRA est-il déclenché</w:t>
            </w:r>
          </w:p>
        </w:tc>
        <w:tc>
          <w:tcPr/>
          <w:p>
            <w:pPr>
              <w:pStyle w:val="Compact"/>
            </w:pPr>
            <w:r>
              <w:t xml:space="preserve">Priorisation impact/urgence, chapitre 2</w:t>
            </w:r>
          </w:p>
        </w:tc>
      </w:tr>
      <w:tr>
        <w:tc>
          <w:tcPr/>
          <w:p>
            <w:pPr>
              <w:pStyle w:val="Compact"/>
            </w:pPr>
            <w:r>
              <w:rPr>
                <w:b/>
                <w:bCs/>
              </w:rPr>
              <w:t xml:space="preserve">Coordonnées de contact</w:t>
            </w:r>
          </w:p>
        </w:tc>
        <w:tc>
          <w:tcPr/>
          <w:p>
            <w:pPr>
              <w:pStyle w:val="Compact"/>
            </w:pPr>
            <w:r>
              <w:t xml:space="preserve">Équipe interne, fournisseurs critiques, à jour en permanence</w:t>
            </w:r>
          </w:p>
        </w:tc>
        <w:tc>
          <w:tcPr/>
          <w:p>
            <w:pPr>
              <w:pStyle w:val="Compact"/>
            </w:pPr>
            <w:r>
              <w:t xml:space="preserve">—</w:t>
            </w:r>
          </w:p>
        </w:tc>
      </w:tr>
    </w:tbl>
    <w:p>
      <w:pPr>
        <w:pStyle w:val="BodyText"/>
      </w:pPr>
      <w:r>
        <w:t xml:space="preserve">🧠 À mémoriser — le PRA assemble ce que ce manuel a déjà construit</w:t>
      </w:r>
      <w:r>
        <w:t xml:space="preserve"> </w:t>
      </w:r>
      <w:r>
        <w:t xml:space="preserve">Comme le Zero Trust du chapitre 26, le PRA n’introduit pas de nouveaux concepts isolés — il</w:t>
      </w:r>
      <w:r>
        <w:t xml:space="preserve"> </w:t>
      </w:r>
      <w:r>
        <w:rPr>
          <w:b/>
          <w:bCs/>
        </w:rPr>
        <w:t xml:space="preserve">organise</w:t>
      </w:r>
      <w:r>
        <w:t xml:space="preserve"> </w:t>
      </w:r>
      <w:r>
        <w:t xml:space="preserve">des briques déjà posées (CMDB, runbooks, RTO/RPO, chaîne d’escalade) en un document unique, cohérent et activable en situation de crise réelle. C’est un exercice de synthèse et de structuration, pas une nouvelle discipline technique séparée.</w:t>
      </w:r>
    </w:p>
    <w:bookmarkEnd w:id="766"/>
    <w:bookmarkStart w:id="767" w:name="Xbf96d37f8384b8647eb0fa5be4fcbffa43c5ee9"/>
    <w:p>
      <w:pPr>
        <w:pStyle w:val="Heading2"/>
      </w:pPr>
      <w:r>
        <w:t xml:space="preserve">31.3 Qui décide d’activer le PRA, et selon quels critères</w:t>
      </w:r>
    </w:p>
    <w:p>
      <w:pPr>
        <w:pStyle w:val="FirstParagraph"/>
      </w:pPr>
      <w:r>
        <w:t xml:space="preserve">⚠️ La confusion exacte du scénario d’ouverture</w:t>
      </w:r>
      <w:r>
        <w:t xml:space="preserve"> </w:t>
      </w:r>
      <w:r>
        <w:t xml:space="preserve">Sans critère d’activation clair et sans décideur désigné à l’avance, une équipe en pleine crise perd un temps précieux à déterminer</w:t>
      </w:r>
      <w:r>
        <w:t xml:space="preserve"> </w:t>
      </w:r>
      <w:r>
        <w:rPr>
          <w:b/>
          <w:bCs/>
        </w:rPr>
        <w:t xml:space="preserve">qui</w:t>
      </w:r>
      <w:r>
        <w:t xml:space="preserve"> </w:t>
      </w:r>
      <w:r>
        <w:t xml:space="preserve">a l’autorité de déclencher des actions potentiellement lourdes (isoler le réseau, basculer vers un site de secours) — exactement ce qu’a vécu l’entreprise du scénario d’ouverture. Un PRA robuste désigne, à l’avance et sans ambiguïté, une personne (et un remplaçant en cas d’indisponibilité) habilitée à activer le plan, avec des critères objectifs plutôt qu’une décision improvisée sous pression.</w:t>
      </w:r>
    </w:p>
    <w:p>
      <w:pPr>
        <w:pStyle w:val="BodyText"/>
      </w:pPr>
      <w:r>
        <w:t xml:space="preserve">✅ Bonne pratique — des critères d’activation écrits à l’avance, jamais évalués pour la première fois en pleine crise</w:t>
      </w:r>
      <w:r>
        <w:t xml:space="preserve"> </w:t>
      </w:r>
      <w:r>
        <w:t xml:space="preserve">Exemple de critère explicite :</w:t>
      </w:r>
      <w:r>
        <w:t xml:space="preserve"> </w:t>
      </w:r>
      <w:r>
        <w:t xml:space="preserve">“Le PRA est activé si un système classé critique dans la CMDB est indisponible depuis plus de 30 minutes sans cause identifiée, ou si une compromission de sécurité active est confirmée sur un système critique.”</w:t>
      </w:r>
      <w:r>
        <w:t xml:space="preserve"> </w:t>
      </w:r>
      <w:r>
        <w:t xml:space="preserve">Écrire ce type de critère à l’avance, en dehors de toute pression, permet une décision rapide et objective au moment où elle compte réellement, plutôt qu’un débat improvisé pendant que l’incident continue de s’aggraver.</w:t>
      </w:r>
    </w:p>
    <w:bookmarkEnd w:id="767"/>
    <w:bookmarkStart w:id="768" w:name="sites-de-repli-chaud-tiède-froid"/>
    <w:p>
      <w:pPr>
        <w:pStyle w:val="Heading2"/>
      </w:pPr>
      <w:r>
        <w:t xml:space="preserve">31.4 Sites de repli : chaud, tiède, froid</w:t>
      </w:r>
    </w:p>
    <w:p>
      <w:pPr>
        <w:pStyle w:val="FirstParagraph"/>
      </w:pPr>
      <w:r>
        <w:t xml:space="preserve">Pour les systèmes les plus critiques nécessitant un RTO très court (chapitre 30), un</w:t>
      </w:r>
      <w:r>
        <w:t xml:space="preserve"> </w:t>
      </w:r>
      <w:r>
        <w:rPr>
          <w:b/>
          <w:bCs/>
        </w:rPr>
        <w:t xml:space="preserve">site de repli</w:t>
      </w:r>
      <w:r>
        <w:t xml:space="preserve"> </w:t>
      </w:r>
      <w:r>
        <w:t xml:space="preserve">— une infrastructure alternative capable de prendre le relais — peut être nécessaire au-delà de la simple restauration de sauvegarde sur le site principal.</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Type de site</w:t>
            </w:r>
          </w:p>
        </w:tc>
        <w:tc>
          <w:tcPr/>
          <w:p>
            <w:pPr>
              <w:pStyle w:val="Compact"/>
            </w:pPr>
            <w:r>
              <w:t xml:space="preserve">Description</w:t>
            </w:r>
          </w:p>
        </w:tc>
        <w:tc>
          <w:tcPr/>
          <w:p>
            <w:pPr>
              <w:pStyle w:val="Compact"/>
            </w:pPr>
            <w:r>
              <w:t xml:space="preserve">RTO typique</w:t>
            </w:r>
          </w:p>
        </w:tc>
        <w:tc>
          <w:tcPr/>
          <w:p>
            <w:pPr>
              <w:pStyle w:val="Compact"/>
            </w:pPr>
            <w:r>
              <w:t xml:space="preserve">Coût</w:t>
            </w:r>
          </w:p>
        </w:tc>
      </w:tr>
      <w:tr>
        <w:tc>
          <w:tcPr/>
          <w:p>
            <w:pPr>
              <w:pStyle w:val="Compact"/>
            </w:pPr>
            <w:r>
              <w:rPr>
                <w:b/>
                <w:bCs/>
              </w:rPr>
              <w:t xml:space="preserve">Site froid</w:t>
            </w:r>
          </w:p>
        </w:tc>
        <w:tc>
          <w:tcPr/>
          <w:p>
            <w:pPr>
              <w:pStyle w:val="Compact"/>
            </w:pPr>
            <w:r>
              <w:t xml:space="preserve">Espace et infrastructure de base, sans systèmes préconfigurés</w:t>
            </w:r>
          </w:p>
        </w:tc>
        <w:tc>
          <w:tcPr/>
          <w:p>
            <w:pPr>
              <w:pStyle w:val="Compact"/>
            </w:pPr>
            <w:r>
              <w:t xml:space="preserve">Plusieurs jours</w:t>
            </w:r>
          </w:p>
        </w:tc>
        <w:tc>
          <w:tcPr/>
          <w:p>
            <w:pPr>
              <w:pStyle w:val="Compact"/>
            </w:pPr>
            <w:r>
              <w:t xml:space="preserve">Faible</w:t>
            </w:r>
          </w:p>
        </w:tc>
      </w:tr>
      <w:tr>
        <w:tc>
          <w:tcPr/>
          <w:p>
            <w:pPr>
              <w:pStyle w:val="Compact"/>
            </w:pPr>
            <w:r>
              <w:rPr>
                <w:b/>
                <w:bCs/>
              </w:rPr>
              <w:t xml:space="preserve">Site tiède</w:t>
            </w:r>
          </w:p>
        </w:tc>
        <w:tc>
          <w:tcPr/>
          <w:p>
            <w:pPr>
              <w:pStyle w:val="Compact"/>
            </w:pPr>
            <w:r>
              <w:t xml:space="preserve">Systèmes partiellement configurés, données non à jour en temps réel</w:t>
            </w:r>
          </w:p>
        </w:tc>
        <w:tc>
          <w:tcPr/>
          <w:p>
            <w:pPr>
              <w:pStyle w:val="Compact"/>
            </w:pPr>
            <w:r>
              <w:t xml:space="preserve">Quelques heures</w:t>
            </w:r>
          </w:p>
        </w:tc>
        <w:tc>
          <w:tcPr/>
          <w:p>
            <w:pPr>
              <w:pStyle w:val="Compact"/>
            </w:pPr>
            <w:r>
              <w:t xml:space="preserve">Modéré</w:t>
            </w:r>
          </w:p>
        </w:tc>
      </w:tr>
      <w:tr>
        <w:tc>
          <w:tcPr/>
          <w:p>
            <w:pPr>
              <w:pStyle w:val="Compact"/>
            </w:pPr>
            <w:r>
              <w:rPr>
                <w:b/>
                <w:bCs/>
              </w:rPr>
              <w:t xml:space="preserve">Site chaud</w:t>
            </w:r>
          </w:p>
        </w:tc>
        <w:tc>
          <w:tcPr/>
          <w:p>
            <w:pPr>
              <w:pStyle w:val="Compact"/>
            </w:pPr>
            <w:r>
              <w:t xml:space="preserve">Infrastructure complète, répliquée en temps réel ou quasi réel, bascule rapide</w:t>
            </w:r>
          </w:p>
        </w:tc>
        <w:tc>
          <w:tcPr/>
          <w:p>
            <w:pPr>
              <w:pStyle w:val="Compact"/>
            </w:pPr>
            <w:r>
              <w:t xml:space="preserve">Minutes</w:t>
            </w:r>
          </w:p>
        </w:tc>
        <w:tc>
          <w:tcPr/>
          <w:p>
            <w:pPr>
              <w:pStyle w:val="Compact"/>
            </w:pPr>
            <w:r>
              <w:t xml:space="preserve">Élevé</w:t>
            </w:r>
          </w:p>
        </w:tc>
      </w:tr>
    </w:tbl>
    <w:p>
      <w:pPr>
        <w:pStyle w:val="BodyText"/>
      </w:pPr>
      <w:r>
        <w:t xml:space="preserve">💡 Le choix dépend directement du RTO défini au chapitre 30</w:t>
      </w:r>
      <w:r>
        <w:t xml:space="preserve"> </w:t>
      </w:r>
      <w:r>
        <w:t xml:space="preserve">Un système avec un RTO de plusieurs jours (comme le NAS comptabilité de l’atelier du chapitre 30) ne justifie pas l’investissement d’un site chaud — un site froid, voire une simple restauration de sauvegarde sur du matériel de remplacement, suffit largement. Un système avec un RTO de quelques minutes justifierait un site chaud, avec une réplication continue — le choix du type de site n’est jamais une décision isolée, il découle directement du RTO déjà défini pour chaque système.</w:t>
      </w:r>
    </w:p>
    <w:bookmarkEnd w:id="768"/>
    <w:bookmarkStart w:id="772" w:name="X189af6cc242cb9ed45f069817adcef18e2d62c5"/>
    <w:p>
      <w:pPr>
        <w:pStyle w:val="Heading2"/>
      </w:pPr>
      <w:r>
        <w:t xml:space="preserve">31.5 Rédiger le PRA pour le scénario d’ouverture</w:t>
      </w:r>
    </w:p>
    <w:p>
      <w:pPr>
        <w:pStyle w:val="CaptionedFigure"/>
      </w:pPr>
      <w:r>
        <w:drawing>
          <wp:inline>
            <wp:extent cx="5334000" cy="11792638"/>
            <wp:effectExtent b="0" l="0" r="0" t="0"/>
            <wp:docPr descr="Diagramme" title="" id="770" name="Picture"/>
            <a:graphic>
              <a:graphicData uri="http://schemas.openxmlformats.org/drawingml/2006/picture">
                <pic:pic>
                  <pic:nvPicPr>
                    <pic:cNvPr descr="C:/Users/ingja/Desktop/jarvis-starter-kit/livrables/formations/manuel-administration-systeme/assets/diagrams/d-31-plan-reprise-activite-pra-diagramme-1.png" id="771" name="Picture"/>
                    <pic:cNvPicPr>
                      <a:picLocks noChangeArrowheads="1" noChangeAspect="1"/>
                    </pic:cNvPicPr>
                  </pic:nvPicPr>
                  <pic:blipFill>
                    <a:blip r:embed="rId769"/>
                    <a:stretch>
                      <a:fillRect/>
                    </a:stretch>
                  </pic:blipFill>
                  <pic:spPr bwMode="auto">
                    <a:xfrm>
                      <a:off x="0" y="0"/>
                      <a:ext cx="5334000" cy="11792638"/>
                    </a:xfrm>
                    <a:prstGeom prst="rect">
                      <a:avLst/>
                    </a:prstGeom>
                    <a:noFill/>
                    <a:ln w="9525">
                      <a:noFill/>
                      <a:headEnd/>
                      <a:tailEnd/>
                    </a:ln>
                  </pic:spPr>
                </pic:pic>
              </a:graphicData>
            </a:graphic>
          </wp:inline>
        </w:drawing>
      </w:r>
    </w:p>
    <w:p>
      <w:pPr>
        <w:pStyle w:val="ImageCaption"/>
      </w:pPr>
      <w:r>
        <w:t xml:space="preserve">Diagramme</w:t>
      </w:r>
    </w:p>
    <w:p>
      <w:pPr>
        <w:pStyle w:val="BodyText"/>
      </w:pPr>
      <w:r>
        <w:t xml:space="preserve">💡 Explication du schéma — chaque étape a déjà été construite ailleurs dans ce manuel</w:t>
      </w:r>
      <w:r>
        <w:t xml:space="preserve"> </w:t>
      </w:r>
      <w:r>
        <w:t xml:space="preserve">La détection s’appuie sur la supervision (chapitre 1 et Partie 10) ; l’isolation réseau sur des procédures documentées comme un runbook (chapitre 3) ; la restauration selon un ordre de priorité s’appuie sur la CMDB (chapitre 3) et les RTO/RPO (chapitre 30) ; la vérification post-restauration reprend directement les principes de test du chapitre 30. Le PRA ne fait qu’enchaîner ces briques dans un ordre clair et documenté, avec un responsable identifié à chaque étape.</w:t>
      </w:r>
    </w:p>
    <w:bookmarkEnd w:id="772"/>
    <w:bookmarkStart w:id="773" w:name="tester-le-pra-lexercice-de-simulation"/>
    <w:p>
      <w:pPr>
        <w:pStyle w:val="Heading2"/>
      </w:pPr>
      <w:r>
        <w:t xml:space="preserve">31.6 Tester le PRA : l’exercice de simulation</w:t>
      </w:r>
    </w:p>
    <w:p>
      <w:pPr>
        <w:pStyle w:val="FirstParagraph"/>
      </w:pPr>
      <w:r>
        <w:t xml:space="preserve">❌ Mauvaise pratique — un PRA rédigé une fois, jamais testé</w:t>
      </w:r>
      <w:r>
        <w:t xml:space="preserve"> </w:t>
      </w:r>
      <w:r>
        <w:t xml:space="preserve">Rappel direct du principe du chapitre 30 (tester une sauvegarde) appliqué ici à un niveau supérieur : un PRA jamais testé en conditions simulées reste une hypothèse non vérifiée, pas une garantie. Un document parfaitement rédigé peut contenir des erreurs de coordination, des contacts obsolètes, ou des étapes irréalistes qui ne se révèlent que lors d’une mise en pratique réelle ou simulée.</w:t>
      </w:r>
    </w:p>
    <w:p>
      <w:pPr>
        <w:pStyle w:val="BodyText"/>
      </w:pPr>
      <w:r>
        <w:t xml:space="preserve">✅ Bonne pratique — l’exercice de simulation (tabletop exercise)</w:t>
      </w:r>
      <w:r>
        <w:t xml:space="preserve"> </w:t>
      </w:r>
      <w:r>
        <w:t xml:space="preserve">Un exercice de simulation réunit l’équipe concernée autour d’un scénario fictif réaliste (par exemple, une reprise du scénario d’ouverture de ce chapitre) et lui fait dérouler mentalement, étape par étape, sa réponse selon le PRA écrit — sans nécessairement toucher aux systèmes réels. Cet exercice révèle rapidement les zones floues du plan (qui contacte le fournisseur Internet en cas de coupure prolongée ? qui autorise officiellement la communication vers les clients ?) avant qu’elles ne deviennent un vrai problème lors d’un incident réel, exactement le type de confusion vécue dans le scénario d’ouverture.</w:t>
      </w:r>
    </w:p>
    <w:p>
      <w:pPr>
        <w:pStyle w:val="BodyText"/>
      </w:pPr>
      <w:r>
        <w:t xml:space="preserve">🚀 Performance — mesurer le RTO réel lors d’un test, pas seulement le RTO théorique</w:t>
      </w:r>
      <w:r>
        <w:t xml:space="preserve"> </w:t>
      </w:r>
      <w:r>
        <w:t xml:space="preserve">Un exercice de simulation, ou mieux encore un test de restauration grandeur nature périodique (au-delà du simple test technique du chapitre 30), permet de mesurer le temps</w:t>
      </w:r>
      <w:r>
        <w:t xml:space="preserve"> </w:t>
      </w:r>
      <w:r>
        <w:rPr>
          <w:b/>
          <w:bCs/>
        </w:rPr>
        <w:t xml:space="preserve">réellement</w:t>
      </w:r>
      <w:r>
        <w:t xml:space="preserve"> </w:t>
      </w:r>
      <w:r>
        <w:t xml:space="preserve">nécessaire pour exécuter l’ensemble du plan — souvent plus long que l’estimation théorique initiale, une fois pris en compte le temps de coordination humaine, de communication et de vérification, pas seulement le temps technique de restauration des données elles-mêmes.</w:t>
      </w:r>
    </w:p>
    <w:bookmarkEnd w:id="773"/>
    <w:bookmarkStart w:id="774" w:name="le-pra-comme-document-vivant"/>
    <w:p>
      <w:pPr>
        <w:pStyle w:val="Heading2"/>
      </w:pPr>
      <w:r>
        <w:t xml:space="preserve">31.7 Le PRA comme document vivant</w:t>
      </w:r>
    </w:p>
    <w:p>
      <w:pPr>
        <w:pStyle w:val="FirstParagraph"/>
      </w:pPr>
      <w:r>
        <w:t xml:space="preserve">✅ Bonne pratique — réviser le PRA après chaque changement significatif</w:t>
      </w:r>
      <w:r>
        <w:t xml:space="preserve"> </w:t>
      </w:r>
      <w:r>
        <w:t xml:space="preserve">Rappel direct du chapitre 2 (le processus de changement) : tout changement d’infrastructure significatif (nouveau serveur critique, migration, ajout d’un site comme celui du Cap-Haïtien) doit déclencher une révision correspondante du PRA — un plan qui décrit une infrastructure obsolète depuis plusieurs mois est presque aussi dangereux qu’une absence totale de plan, car il donne une fausse confiance sans refléter la réalité actuelle.</w:t>
      </w:r>
    </w:p>
    <w:bookmarkEnd w:id="774"/>
    <w:bookmarkStart w:id="775" w:name="X5fd76224fd32e7c434eb20a617c708e9e08b1a3"/>
    <w:p>
      <w:pPr>
        <w:pStyle w:val="Heading2"/>
      </w:pPr>
      <w:r>
        <w:t xml:space="preserve">Atelier — Rédiger le PRA du scénario d’ouverture</w:t>
      </w:r>
    </w:p>
    <w:p>
      <w:pPr>
        <w:pStyle w:val="FirstParagraph"/>
      </w:pPr>
      <w:r>
        <w:t xml:space="preserve">🛠️ Atelier 31 — Documenter la réponse au rançongiciel</w:t>
      </w:r>
    </w:p>
    <w:p>
      <w:pPr>
        <w:pStyle w:val="BodyText"/>
      </w:pPr>
      <w:r>
        <w:rPr>
          <w:b/>
          <w:bCs/>
        </w:rPr>
        <w:t xml:space="preserve">Objectif</w:t>
      </w:r>
      <w:r>
        <w:t xml:space="preserve"> </w:t>
      </w:r>
      <w:r>
        <w:t xml:space="preserve">: rédiger un extrait de PRA pour le scénario du rançongiciel (chapitres 30-31), corrigeant précisément l’improvisation reconnue par le DSI.</w:t>
      </w:r>
    </w:p>
    <w:p>
      <w:pPr>
        <w:pStyle w:val="BodyText"/>
      </w:pPr>
      <w:r>
        <w:rPr>
          <w:b/>
          <w:bCs/>
        </w:rPr>
        <w:t xml:space="preserve">Préparation</w:t>
      </w:r>
      <w:r>
        <w:t xml:space="preserve"> </w:t>
      </w:r>
      <w:r>
        <w:t xml:space="preserve">: aucune installation nécessaire — cet atelier est un exercice de rédaction structurée.</w:t>
      </w:r>
    </w:p>
    <w:p>
      <w:pPr>
        <w:pStyle w:val="BodyText"/>
      </w:pPr>
      <w:r>
        <w:rPr>
          <w:b/>
          <w:bCs/>
        </w:rPr>
        <w:t xml:space="preserve">Étapes détaillées</w:t>
      </w:r>
      <w:r>
        <w:t xml:space="preserve"> </w:t>
      </w:r>
      <w:r>
        <w:t xml:space="preserve">:</w:t>
      </w:r>
    </w:p>
    <w:p>
      <w:pPr>
        <w:pStyle w:val="Compact"/>
        <w:numPr>
          <w:ilvl w:val="0"/>
          <w:numId w:val="1712"/>
        </w:numPr>
      </w:pPr>
      <w:r>
        <w:t xml:space="preserve">Définis un critère d’activation explicite pour ce type d’incident (rançongiciel suspecté ou confirmé), en t’appuyant sur la section 31.3.</w:t>
      </w:r>
    </w:p>
    <w:p>
      <w:pPr>
        <w:pStyle w:val="Compact"/>
        <w:numPr>
          <w:ilvl w:val="0"/>
          <w:numId w:val="1712"/>
        </w:numPr>
      </w:pPr>
      <w:r>
        <w:t xml:space="preserve">Désigne (de façon fictive) qui a l’autorité de décider l’isolation réseau, et qui l’exécute techniquement.</w:t>
      </w:r>
    </w:p>
    <w:p>
      <w:pPr>
        <w:pStyle w:val="Compact"/>
        <w:numPr>
          <w:ilvl w:val="0"/>
          <w:numId w:val="1712"/>
        </w:numPr>
      </w:pPr>
      <w:r>
        <w:t xml:space="preserve">Liste, dans l’ordre, les trois premières actions concrètes à entreprendre après l’activation du PRA.</w:t>
      </w:r>
    </w:p>
    <w:p>
      <w:pPr>
        <w:pStyle w:val="Compact"/>
        <w:numPr>
          <w:ilvl w:val="0"/>
          <w:numId w:val="1712"/>
        </w:numPr>
      </w:pPr>
      <w:r>
        <w:t xml:space="preserve">Compare ta démarche à la section</w:t>
      </w:r>
      <w:r>
        <w:t xml:space="preserve"> </w:t>
      </w:r>
      <w:r>
        <w:t xml:space="preserve">“Résultat attendu”</w:t>
      </w:r>
      <w:r>
        <w:t xml:space="preserve">.</w:t>
      </w:r>
    </w:p>
    <w:p>
      <w:pPr>
        <w:pStyle w:val="FirstParagraph"/>
      </w:pPr>
      <w:r>
        <w:rPr>
          <w:b/>
          <w:bCs/>
        </w:rPr>
        <w:t xml:space="preserve">Résultat attendu</w:t>
      </w:r>
      <w:r>
        <w:t xml:space="preserve"> </w:t>
      </w:r>
      <w:r>
        <w:t xml:space="preserve">: un critère d’activation clair pourrait être</w:t>
      </w:r>
      <w:r>
        <w:t xml:space="preserve"> </w:t>
      </w:r>
      <w:r>
        <w:t xml:space="preserve">“toute détection de chiffrement de fichiers en masse sur un partage réseau, confirmée par au moins deux indicateurs distincts (alerte de supervision + signalement utilisateur), déclenche l’activation immédiate”</w:t>
      </w:r>
      <w:r>
        <w:t xml:space="preserve">. Le décideur désigné (par exemple, le RSSI ou le DSI en son absence, avec un remplaçant clairement identifié) autorise l’isolation réseau, exécutée techniquement par l’administrateur système d’astreinte selon un runbook déjà préparé. Les trois premières actions : (1) isoler le segment réseau concerné pour stopper la propagation, (2) évaluer l’étendue réelle des systèmes touchés via la CMDB, (3) identifier la dernière sauvegarde saine disponible et non compromise (chapitre 30) avant toute tentative de restauration.</w:t>
      </w:r>
    </w:p>
    <w:p>
      <w:pPr>
        <w:pStyle w:val="BodyText"/>
      </w:pPr>
      <w:r>
        <w:rPr>
          <w:b/>
          <w:bCs/>
        </w:rPr>
        <w:t xml:space="preserve">Dépannage</w:t>
      </w:r>
      <w:r>
        <w:t xml:space="preserve"> </w:t>
      </w:r>
      <w:r>
        <w:t xml:space="preserve">: si tu as du mal à formuler un critère d’activation suffisamment précis, évite les formulations vagues comme</w:t>
      </w:r>
      <w:r>
        <w:t xml:space="preserve"> </w:t>
      </w:r>
      <w:r>
        <w:t xml:space="preserve">“en cas de problème grave”</w:t>
      </w:r>
      <w:r>
        <w:t xml:space="preserve"> </w:t>
      </w:r>
      <w:r>
        <w:t xml:space="preserve">— reviens à des signaux objectifs et mesurables, comme dans l’exemple du</w:t>
      </w:r>
      <w:r>
        <w:t xml:space="preserve"> </w:t>
      </w:r>
      <w:r>
        <w:t xml:space="preserve">“Résultat attendu”</w:t>
      </w:r>
      <w:r>
        <w:t xml:space="preserve">.</w:t>
      </w:r>
    </w:p>
    <w:bookmarkEnd w:id="775"/>
    <w:bookmarkStart w:id="776" w:name="erreurs-fréquentes-30"/>
    <w:p>
      <w:pPr>
        <w:pStyle w:val="Heading2"/>
      </w:pPr>
      <w:r>
        <w:t xml:space="preserve">Erreurs fréquentes</w:t>
      </w:r>
    </w:p>
    <w:p>
      <w:pPr>
        <w:pStyle w:val="FirstParagraph"/>
      </w:pPr>
      <w:r>
        <w:t xml:space="preserve">⚠️ Erreur n°1 — confondre stratégie de sauvegarde technique et PRA</w:t>
      </w:r>
      <w:r>
        <w:t xml:space="preserve"> </w:t>
      </w:r>
      <w:r>
        <w:t xml:space="preserve">Rappel de la section 31.1 : d’excellentes sauvegardes ne garantissent pas une réponse coordonnée en situation de crise réelle, exactement la leçon du scénario d’ouverture.</w:t>
      </w:r>
    </w:p>
    <w:p>
      <w:pPr>
        <w:pStyle w:val="BodyText"/>
      </w:pPr>
      <w:r>
        <w:t xml:space="preserve">⚠️ Erreur n°2 — aucun critère d’activation ni décideur clairement désigné</w:t>
      </w:r>
      <w:r>
        <w:t xml:space="preserve"> </w:t>
      </w:r>
      <w:r>
        <w:t xml:space="preserve">Rappel de la section 31.3 : cette ambiguïté fait perdre un temps précieux au moment où chaque minute compte, exactement la confusion vécue dans le scénario d’ouverture.</w:t>
      </w:r>
    </w:p>
    <w:p>
      <w:pPr>
        <w:pStyle w:val="BodyText"/>
      </w:pPr>
      <w:r>
        <w:t xml:space="preserve">⚠️ Erreur n°3 — un PRA jamais testé ni mis à jour</w:t>
      </w:r>
      <w:r>
        <w:t xml:space="preserve"> </w:t>
      </w:r>
      <w:r>
        <w:t xml:space="preserve">Rappel des sections 31.6 et 31.7 : un plan non testé reste une hypothèse, et un plan non mis à jour après un changement d’infrastructure décrit une réalité qui n’existe plus.</w:t>
      </w:r>
    </w:p>
    <w:bookmarkEnd w:id="776"/>
    <w:bookmarkStart w:id="777" w:name="X504185581224d3524f4bf23f248d9741e192eb0"/>
    <w:p>
      <w:pPr>
        <w:pStyle w:val="Heading2"/>
      </w:pPr>
      <w:r>
        <w:t xml:space="preserve">Diagnostiquer les lacunes d’un PRA existant</w:t>
      </w:r>
    </w:p>
    <w:p>
      <w:pPr>
        <w:pStyle w:val="FirstParagraph"/>
      </w:pPr>
      <w:r>
        <w:t xml:space="preserve">🩺 Situation :</w:t>
      </w:r>
      <w:r>
        <w:t xml:space="preserve"> </w:t>
      </w:r>
      <w:r>
        <w:t xml:space="preserve">“Comment savoir si notre PRA existant serait réellement utilisable en cas de crise ?”</w:t>
      </w:r>
    </w:p>
    <w:p>
      <w:pPr>
        <w:pStyle w:val="Compact"/>
        <w:numPr>
          <w:ilvl w:val="0"/>
          <w:numId w:val="1713"/>
        </w:numPr>
      </w:pPr>
      <w:r>
        <w:rPr>
          <w:b/>
          <w:bCs/>
        </w:rPr>
        <w:t xml:space="preserve">Diagnostic</w:t>
      </w:r>
      <w:r>
        <w:t xml:space="preserve"> </w:t>
      </w:r>
      <w:r>
        <w:t xml:space="preserve">: organiser un exercice de simulation (section 31.6) reste la méthode la plus fiable — la lecture seule du document, sans mise en pratique même simulée, laisse souvent passer des lacunes de coordination invisibles sur le papier.</w:t>
      </w:r>
    </w:p>
    <w:p>
      <w:pPr>
        <w:pStyle w:val="Compact"/>
        <w:numPr>
          <w:ilvl w:val="0"/>
          <w:numId w:val="1713"/>
        </w:numPr>
      </w:pPr>
      <w:r>
        <w:rPr>
          <w:b/>
          <w:bCs/>
        </w:rPr>
        <w:t xml:space="preserve">Comment vérifier</w:t>
      </w:r>
      <w:r>
        <w:t xml:space="preserve"> </w:t>
      </w:r>
      <w:r>
        <w:t xml:space="preserve">: pendant l’exercice, noter chaque moment où l’équipe hésite, cherche une information manquante, ou n’est pas sûre de qui doit agir — chacune de ces hésitations révèle une lacune précise du document à corriger.</w:t>
      </w:r>
    </w:p>
    <w:p>
      <w:pPr>
        <w:pStyle w:val="Compact"/>
        <w:numPr>
          <w:ilvl w:val="0"/>
          <w:numId w:val="1713"/>
        </w:numPr>
      </w:pPr>
      <w:r>
        <w:rPr>
          <w:b/>
          <w:bCs/>
        </w:rPr>
        <w:t xml:space="preserve">Résolution</w:t>
      </w:r>
      <w:r>
        <w:t xml:space="preserve"> </w:t>
      </w:r>
      <w:r>
        <w:t xml:space="preserve">: mettre à jour le PRA immédiatement après l’exercice, pendant que les lacunes identifiées sont encore fraîches et précises, plutôt que de repousser cette mise à jour à plus tard où le souvenir précis des difficultés rencontrées s’estompe.</w:t>
      </w:r>
    </w:p>
    <w:bookmarkEnd w:id="777"/>
    <w:bookmarkStart w:id="778" w:name="en-entreprise-30"/>
    <w:p>
      <w:pPr>
        <w:pStyle w:val="Heading2"/>
      </w:pPr>
      <w:r>
        <w:t xml:space="preserve">En entreprise</w:t>
      </w:r>
    </w:p>
    <w:p>
      <w:pPr>
        <w:pStyle w:val="Compact"/>
        <w:numPr>
          <w:ilvl w:val="0"/>
          <w:numId w:val="1714"/>
        </w:numPr>
      </w:pPr>
      <w:r>
        <w:rPr>
          <w:b/>
          <w:bCs/>
        </w:rPr>
        <w:t xml:space="preserve">Bonne pratique répandue</w:t>
      </w:r>
      <w:r>
        <w:t xml:space="preserve"> </w:t>
      </w:r>
      <w:r>
        <w:t xml:space="preserve">: organiser un exercice de simulation PRA au moins une fois par an pour les systèmes les plus critiques, avec un compte-rendu écrit des lacunes identifiées et des actions correctives associées.</w:t>
      </w:r>
    </w:p>
    <w:p>
      <w:pPr>
        <w:pStyle w:val="Compact"/>
        <w:numPr>
          <w:ilvl w:val="0"/>
          <w:numId w:val="1714"/>
        </w:numPr>
      </w:pPr>
      <w:r>
        <w:rPr>
          <w:b/>
          <w:bCs/>
        </w:rPr>
        <w:t xml:space="preserve">Bonne pratique répandue</w:t>
      </w:r>
      <w:r>
        <w:t xml:space="preserve"> </w:t>
      </w:r>
      <w:r>
        <w:t xml:space="preserve">: conserver une copie physique (papier) du PRA accessible même si l’ensemble des systèmes numériques de l’entreprise est indisponible — un PRA stocké uniquement sur un système qui pourrait lui-même être affecté par l’incident qu’il est censé résoudre est une contradiction risquée.</w:t>
      </w:r>
    </w:p>
    <w:p>
      <w:pPr>
        <w:pStyle w:val="Compact"/>
        <w:numPr>
          <w:ilvl w:val="0"/>
          <w:numId w:val="1714"/>
        </w:numPr>
      </w:pPr>
      <w:r>
        <w:rPr>
          <w:b/>
          <w:bCs/>
        </w:rPr>
        <w:t xml:space="preserve">Erreur classique observée</w:t>
      </w:r>
      <w:r>
        <w:t xml:space="preserve"> </w:t>
      </w:r>
      <w:r>
        <w:t xml:space="preserve">: un PRA rédigé sous la pression d’un audit de conformité, jamais réellement approprié par l’équipe qui devrait l’exécuter en situation réelle — un document qui existe</w:t>
      </w:r>
      <w:r>
        <w:t xml:space="preserve"> </w:t>
      </w:r>
      <w:r>
        <w:t xml:space="preserve">“sur le papier”</w:t>
      </w:r>
      <w:r>
        <w:t xml:space="preserve"> </w:t>
      </w:r>
      <w:r>
        <w:t xml:space="preserve">sans réelle appropriation collective échoue souvent au moment critique.</w:t>
      </w:r>
    </w:p>
    <w:bookmarkEnd w:id="778"/>
    <w:bookmarkStart w:id="779" w:name="entretien-technique-30"/>
    <w:p>
      <w:pPr>
        <w:pStyle w:val="Heading2"/>
      </w:pPr>
      <w:r>
        <w:t xml:space="preserve">Entretien technique</w:t>
      </w:r>
    </w:p>
    <w:p>
      <w:pPr>
        <w:pStyle w:val="FirstParagraph"/>
      </w:pPr>
      <w:r>
        <w:t xml:space="preserve">💼 Questions fréquemment posées en entretien</w:t>
      </w:r>
    </w:p>
    <w:p>
      <w:pPr>
        <w:pStyle w:val="BodyText"/>
      </w:pPr>
      <w:r>
        <w:rPr>
          <w:b/>
          <w:bCs/>
        </w:rPr>
        <w:t xml:space="preserve">Q1.</w:t>
      </w:r>
      <w:r>
        <w:rPr>
          <w:b/>
          <w:bCs/>
        </w:rPr>
        <w:t xml:space="preserve"> </w:t>
      </w:r>
      <w:r>
        <w:rPr>
          <w:b/>
          <w:bCs/>
        </w:rPr>
        <w:t xml:space="preserve">“Quelle est la différence entre une stratégie de sauvegarde et un Plan de Reprise d’Activité ?”</w:t>
      </w:r>
      <w:r>
        <w:t xml:space="preserve"> </w:t>
      </w:r>
      <w:r>
        <w:t xml:space="preserve">Réponse attendue : la sauvegarde fournit les moyens techniques de récupération des données ; le PRA orchestre l’usage de ces moyens en situation de crise — qui décide, dans quel ordre, avec quelles procédures précises. Une organisation peut avoir d’excellentes sauvegardes et pourtant improviser dangereusement sans PRA structuré.</w:t>
      </w:r>
    </w:p>
    <w:p>
      <w:pPr>
        <w:pStyle w:val="BodyText"/>
      </w:pPr>
      <w:r>
        <w:rPr>
          <w:b/>
          <w:bCs/>
        </w:rPr>
        <w:t xml:space="preserve">Q2.</w:t>
      </w:r>
      <w:r>
        <w:rPr>
          <w:b/>
          <w:bCs/>
        </w:rPr>
        <w:t xml:space="preserve"> </w:t>
      </w:r>
      <w:r>
        <w:rPr>
          <w:b/>
          <w:bCs/>
        </w:rPr>
        <w:t xml:space="preserve">“Comment choisirais-tu entre un site de repli froid, tiède et chaud pour un système donné ?”</w:t>
      </w:r>
      <w:r>
        <w:t xml:space="preserve"> </w:t>
      </w:r>
      <w:r>
        <w:t xml:space="preserve">Réponse attendue : le choix découle directement du RTO défini pour ce système — un RTO de plusieurs jours ne justifie pas l’investissement d’un site chaud, tandis qu’un RTO de quelques minutes le justifierait, malgré son coût significativement plus élevé.</w:t>
      </w:r>
    </w:p>
    <w:p>
      <w:pPr>
        <w:pStyle w:val="BodyText"/>
      </w:pPr>
      <w:r>
        <w:rPr>
          <w:b/>
          <w:bCs/>
        </w:rPr>
        <w:t xml:space="preserve">Q3.</w:t>
      </w:r>
      <w:r>
        <w:rPr>
          <w:b/>
          <w:bCs/>
        </w:rPr>
        <w:t xml:space="preserve"> </w:t>
      </w:r>
      <w:r>
        <w:rPr>
          <w:b/>
          <w:bCs/>
        </w:rPr>
        <w:t xml:space="preserve">“Pourquoi un exercice de simulation est-il important, même avec un PRA bien rédigé sur le papier ?”</w:t>
      </w:r>
      <w:r>
        <w:t xml:space="preserve"> </w:t>
      </w:r>
      <w:r>
        <w:t xml:space="preserve">Réponse attendue : un exercice de simulation révèle des lacunes de coordination invisibles à la simple lecture du document (contacts obsolètes, ambiguïtés sur les responsabilités, étapes irréalistes en pratique) — exactement comme un test de restauration révèle des problèmes qu’une sauvegarde</w:t>
      </w:r>
      <w:r>
        <w:t xml:space="preserve"> </w:t>
      </w:r>
      <w:r>
        <w:t xml:space="preserve">“sans erreur”</w:t>
      </w:r>
      <w:r>
        <w:t xml:space="preserve"> </w:t>
      </w:r>
      <w:r>
        <w:t xml:space="preserve">ne révèle pas, un parallèle direct avec le chapitre 30.</w:t>
      </w:r>
    </w:p>
    <w:bookmarkEnd w:id="779"/>
    <w:bookmarkStart w:id="780" w:name="Xaef5b01c8647c692ca8edbc2abc33be2658ff17"/>
    <w:p>
      <w:pPr>
        <w:pStyle w:val="Heading2"/>
      </w:pPr>
      <w:r>
        <w:t xml:space="preserve">Optimisation, sécurité et maintenabilité — les réflexes dès ce chapitre</w:t>
      </w:r>
    </w:p>
    <w:p>
      <w:pPr>
        <w:pStyle w:val="FirstParagraph"/>
      </w:pPr>
      <w:r>
        <w:t xml:space="preserve">🔒 Sécurité</w:t>
      </w:r>
      <w:r>
        <w:t xml:space="preserve"> </w:t>
      </w:r>
      <w:r>
        <w:t xml:space="preserve">Assure-toi que le PRA lui-même reste accessible même en cas d’incident majeur touchant les systèmes numériques de l’entreprise — une copie physique ou un stockage totalement indépendant de l’infrastructure qu’il décrit, pour éviter la contradiction d’un plan de secours devenu lui-même inaccessible au moment où il est le plus nécessaire.</w:t>
      </w:r>
    </w:p>
    <w:p>
      <w:pPr>
        <w:pStyle w:val="BodyText"/>
      </w:pPr>
      <w:r>
        <w:t xml:space="preserve">✅ Maintenabilité</w:t>
      </w:r>
      <w:r>
        <w:t xml:space="preserve"> </w:t>
      </w:r>
      <w:r>
        <w:t xml:space="preserve">Réviser le PRA après chaque changement significatif d’infrastructure (chapitre 2) et après chaque exercice de simulation (section 31.6) — un document vivant, jamais figé une fois rédigé.</w:t>
      </w:r>
    </w:p>
    <w:p>
      <w:pPr>
        <w:pStyle w:val="BodyText"/>
      </w:pPr>
      <w:r>
        <w:t xml:space="preserve">🚀 Performance</w:t>
      </w:r>
      <w:r>
        <w:t xml:space="preserve"> </w:t>
      </w:r>
      <w:r>
        <w:t xml:space="preserve">Mesure le RTO réellement observé lors de chaque test ou incident réel, et compare-le au RTO théorique défini au chapitre 30 — un écart significatif révèle un besoin d’ajustement, soit du plan lui-même, soit des moyens techniques sous-jacents (site de repli plus rapide, automatisation accrue).</w:t>
      </w:r>
    </w:p>
    <w:bookmarkEnd w:id="780"/>
    <w:bookmarkStart w:id="781" w:name="résumé-du-chapitre-30"/>
    <w:p>
      <w:pPr>
        <w:pStyle w:val="Heading2"/>
      </w:pPr>
      <w:r>
        <w:t xml:space="preserve">Résumé du chapitre</w:t>
      </w:r>
    </w:p>
    <w:p>
      <w:pPr>
        <w:pStyle w:val="Compact"/>
        <w:numPr>
          <w:ilvl w:val="0"/>
          <w:numId w:val="1715"/>
        </w:numPr>
      </w:pPr>
      <w:r>
        <w:t xml:space="preserve">Le PRA orchestre l’usage des moyens de sauvegarde du chapitre 30 en situation de crise réelle — il ne remplace pas la sauvegarde technique, il organise sa mise en œuvre coordonnée.</w:t>
      </w:r>
    </w:p>
    <w:p>
      <w:pPr>
        <w:pStyle w:val="Compact"/>
        <w:numPr>
          <w:ilvl w:val="0"/>
          <w:numId w:val="1715"/>
        </w:numPr>
      </w:pPr>
      <w:r>
        <w:t xml:space="preserve">Un PRA robuste réunit un inventaire des systèmes critiques, des RTO/RPO définis, des procédures détaillées, des rôles clairement désignés et des critères d’activation objectifs.</w:t>
      </w:r>
    </w:p>
    <w:p>
      <w:pPr>
        <w:pStyle w:val="Compact"/>
        <w:numPr>
          <w:ilvl w:val="0"/>
          <w:numId w:val="1715"/>
        </w:numPr>
      </w:pPr>
      <w:r>
        <w:t xml:space="preserve">Un décideur désigné à l’avance, avec des critères d’activation écrits, évite la confusion et la perte de temps précieuse en pleine crise.</w:t>
      </w:r>
    </w:p>
    <w:p>
      <w:pPr>
        <w:pStyle w:val="Compact"/>
        <w:numPr>
          <w:ilvl w:val="0"/>
          <w:numId w:val="1715"/>
        </w:numPr>
      </w:pPr>
      <w:r>
        <w:t xml:space="preserve">Le choix entre site froid, tiède et chaud découle directement du RTO défini pour chaque système.</w:t>
      </w:r>
    </w:p>
    <w:p>
      <w:pPr>
        <w:pStyle w:val="Compact"/>
        <w:numPr>
          <w:ilvl w:val="0"/>
          <w:numId w:val="1715"/>
        </w:numPr>
      </w:pPr>
      <w:r>
        <w:t xml:space="preserve">Un PRA doit être testé régulièrement via des exercices de simulation, et mis à jour après chaque changement significatif d’infrastructure — jamais rédigé une fois puis oublié.</w:t>
      </w:r>
    </w:p>
    <w:bookmarkEnd w:id="781"/>
    <w:bookmarkStart w:id="782" w:name="quiz-30"/>
    <w:p>
      <w:pPr>
        <w:pStyle w:val="Heading2"/>
      </w:pPr>
      <w:r>
        <w:t xml:space="preserve">Quiz</w:t>
      </w:r>
    </w:p>
    <w:p>
      <w:pPr>
        <w:pStyle w:val="FirstParagraph"/>
      </w:pPr>
      <w:r>
        <w:t xml:space="preserve">📝 QCM (une seule bonne réponse par question)</w:t>
      </w:r>
    </w:p>
    <w:p>
      <w:pPr>
        <w:pStyle w:val="Compact"/>
        <w:numPr>
          <w:ilvl w:val="0"/>
          <w:numId w:val="1716"/>
        </w:numPr>
      </w:pPr>
      <w:r>
        <w:t xml:space="preserve">Un PRA se distingue d’une simple stratégie de sauvegarde car il :</w:t>
      </w:r>
    </w:p>
    <w:p>
      <w:pPr>
        <w:pStyle w:val="Compact"/>
        <w:numPr>
          <w:ilvl w:val="1"/>
          <w:numId w:val="1717"/>
        </w:numPr>
      </w:pPr>
    </w:p>
    <w:p>
      <w:pPr>
        <w:pStyle w:val="Compact"/>
        <w:numPr>
          <w:ilvl w:val="2"/>
          <w:numId w:val="1718"/>
        </w:numPr>
      </w:pPr>
      <w:r>
        <w:t xml:space="preserve">Remplace le besoin de sauvegardes techniques</w:t>
      </w:r>
    </w:p>
    <w:p>
      <w:pPr>
        <w:pStyle w:val="Compact"/>
        <w:numPr>
          <w:ilvl w:val="1"/>
          <w:numId w:val="1717"/>
        </w:numPr>
      </w:pPr>
    </w:p>
    <w:p>
      <w:pPr>
        <w:pStyle w:val="Compact"/>
        <w:numPr>
          <w:ilvl w:val="2"/>
          <w:numId w:val="1719"/>
        </w:numPr>
      </w:pPr>
      <w:r>
        <w:t xml:space="preserve">Orchestre l’usage coordonné des moyens de récupération en situation de crise</w:t>
      </w:r>
    </w:p>
    <w:p>
      <w:pPr>
        <w:pStyle w:val="Compact"/>
        <w:numPr>
          <w:ilvl w:val="1"/>
          <w:numId w:val="1717"/>
        </w:numPr>
      </w:pPr>
    </w:p>
    <w:p>
      <w:pPr>
        <w:pStyle w:val="Compact"/>
        <w:numPr>
          <w:ilvl w:val="2"/>
          <w:numId w:val="1720"/>
        </w:numPr>
      </w:pPr>
      <w:r>
        <w:t xml:space="preserve">Concerne uniquement les très grandes entreprises</w:t>
      </w:r>
    </w:p>
    <w:p>
      <w:pPr>
        <w:pStyle w:val="Compact"/>
        <w:numPr>
          <w:ilvl w:val="1"/>
          <w:numId w:val="1717"/>
        </w:numPr>
      </w:pPr>
    </w:p>
    <w:p>
      <w:pPr>
        <w:pStyle w:val="Compact"/>
        <w:numPr>
          <w:ilvl w:val="2"/>
          <w:numId w:val="1721"/>
        </w:numPr>
      </w:pPr>
      <w:r>
        <w:t xml:space="preserve">Ne nécessite jamais d’être testé</w:t>
      </w:r>
    </w:p>
    <w:p>
      <w:pPr>
        <w:pStyle w:val="Compact"/>
        <w:numPr>
          <w:ilvl w:val="0"/>
          <w:numId w:val="1716"/>
        </w:numPr>
      </w:pPr>
      <w:r>
        <w:t xml:space="preserve">Un site de repli</w:t>
      </w:r>
      <w:r>
        <w:t xml:space="preserve"> </w:t>
      </w:r>
      <w:r>
        <w:t xml:space="preserve">“chaud”</w:t>
      </w:r>
      <w:r>
        <w:t xml:space="preserve"> </w:t>
      </w:r>
      <w:r>
        <w:t xml:space="preserve">se caractérise par :</w:t>
      </w:r>
    </w:p>
    <w:p>
      <w:pPr>
        <w:pStyle w:val="Compact"/>
        <w:numPr>
          <w:ilvl w:val="1"/>
          <w:numId w:val="1722"/>
        </w:numPr>
      </w:pPr>
    </w:p>
    <w:p>
      <w:pPr>
        <w:pStyle w:val="Compact"/>
        <w:numPr>
          <w:ilvl w:val="2"/>
          <w:numId w:val="1723"/>
        </w:numPr>
      </w:pPr>
      <w:r>
        <w:t xml:space="preserve">Un RTO de plusieurs jours</w:t>
      </w:r>
    </w:p>
    <w:p>
      <w:pPr>
        <w:pStyle w:val="Compact"/>
        <w:numPr>
          <w:ilvl w:val="1"/>
          <w:numId w:val="1722"/>
        </w:numPr>
      </w:pPr>
    </w:p>
    <w:p>
      <w:pPr>
        <w:pStyle w:val="Compact"/>
        <w:numPr>
          <w:ilvl w:val="2"/>
          <w:numId w:val="1724"/>
        </w:numPr>
      </w:pPr>
      <w:r>
        <w:t xml:space="preserve">Une infrastructure complète répliquée en temps quasi réel, pour un RTO très court</w:t>
      </w:r>
    </w:p>
    <w:p>
      <w:pPr>
        <w:pStyle w:val="Compact"/>
        <w:numPr>
          <w:ilvl w:val="1"/>
          <w:numId w:val="1722"/>
        </w:numPr>
      </w:pPr>
    </w:p>
    <w:p>
      <w:pPr>
        <w:pStyle w:val="Compact"/>
        <w:numPr>
          <w:ilvl w:val="2"/>
          <w:numId w:val="1725"/>
        </w:numPr>
      </w:pPr>
      <w:r>
        <w:t xml:space="preserve">L’absence totale de systèmes préconfigurés</w:t>
      </w:r>
    </w:p>
    <w:p>
      <w:pPr>
        <w:pStyle w:val="Compact"/>
        <w:numPr>
          <w:ilvl w:val="1"/>
          <w:numId w:val="1722"/>
        </w:numPr>
      </w:pPr>
    </w:p>
    <w:p>
      <w:pPr>
        <w:pStyle w:val="Compact"/>
        <w:numPr>
          <w:ilvl w:val="2"/>
          <w:numId w:val="1726"/>
        </w:numPr>
      </w:pPr>
      <w:r>
        <w:t xml:space="preserve">Un coût toujours faible</w:t>
      </w:r>
    </w:p>
    <w:p>
      <w:pPr>
        <w:pStyle w:val="Compact"/>
        <w:numPr>
          <w:ilvl w:val="0"/>
          <w:numId w:val="1716"/>
        </w:numPr>
      </w:pPr>
      <w:r>
        <w:t xml:space="preserve">Un exercice de simulation (tabletop exercise) sert principalement à :</w:t>
      </w:r>
    </w:p>
    <w:p>
      <w:pPr>
        <w:pStyle w:val="Compact"/>
        <w:numPr>
          <w:ilvl w:val="1"/>
          <w:numId w:val="1727"/>
        </w:numPr>
      </w:pPr>
    </w:p>
    <w:p>
      <w:pPr>
        <w:pStyle w:val="Compact"/>
        <w:numPr>
          <w:ilvl w:val="2"/>
          <w:numId w:val="1728"/>
        </w:numPr>
      </w:pPr>
      <w:r>
        <w:t xml:space="preserve">Remplacer le besoin de tester les sauvegardes techniques</w:t>
      </w:r>
    </w:p>
    <w:p>
      <w:pPr>
        <w:pStyle w:val="Compact"/>
        <w:numPr>
          <w:ilvl w:val="1"/>
          <w:numId w:val="1727"/>
        </w:numPr>
      </w:pPr>
    </w:p>
    <w:p>
      <w:pPr>
        <w:pStyle w:val="Compact"/>
        <w:numPr>
          <w:ilvl w:val="2"/>
          <w:numId w:val="1729"/>
        </w:numPr>
      </w:pPr>
      <w:r>
        <w:t xml:space="preserve">Révéler les lacunes de coordination invisibles à la simple lecture du document</w:t>
      </w:r>
    </w:p>
    <w:p>
      <w:pPr>
        <w:pStyle w:val="Compact"/>
        <w:numPr>
          <w:ilvl w:val="1"/>
          <w:numId w:val="1727"/>
        </w:numPr>
      </w:pPr>
    </w:p>
    <w:p>
      <w:pPr>
        <w:pStyle w:val="Compact"/>
        <w:numPr>
          <w:ilvl w:val="2"/>
          <w:numId w:val="1730"/>
        </w:numPr>
      </w:pPr>
      <w:r>
        <w:t xml:space="preserve">Former uniquement les nouveaux employés</w:t>
      </w:r>
    </w:p>
    <w:p>
      <w:pPr>
        <w:pStyle w:val="Compact"/>
        <w:numPr>
          <w:ilvl w:val="1"/>
          <w:numId w:val="1727"/>
        </w:numPr>
      </w:pPr>
    </w:p>
    <w:p>
      <w:pPr>
        <w:pStyle w:val="Compact"/>
        <w:numPr>
          <w:ilvl w:val="2"/>
          <w:numId w:val="1731"/>
        </w:numPr>
      </w:pPr>
      <w:r>
        <w:t xml:space="preserve">Réduire le coût des sauvegardes</w:t>
      </w:r>
    </w:p>
    <w:p>
      <w:pPr>
        <w:pStyle w:val="FirstParagraph"/>
      </w:pPr>
      <w:r>
        <w:rPr>
          <w:b/>
          <w:bCs/>
        </w:rPr>
        <w:t xml:space="preserve">Corrigé</w:t>
      </w:r>
      <w:r>
        <w:t xml:space="preserve"> </w:t>
      </w:r>
      <w:r>
        <w:t xml:space="preserve">: 1-b, 2-b, 3-b.</w:t>
      </w:r>
    </w:p>
    <w:p>
      <w:pPr>
        <w:pStyle w:val="BodyText"/>
      </w:pPr>
      <w:r>
        <w:t xml:space="preserve">📝 Vrai ou Faux</w:t>
      </w:r>
    </w:p>
    <w:p>
      <w:pPr>
        <w:pStyle w:val="Compact"/>
        <w:numPr>
          <w:ilvl w:val="0"/>
          <w:numId w:val="1732"/>
        </w:numPr>
      </w:pPr>
      <w:r>
        <w:t xml:space="preserve">D’excellentes sauvegardes techniques garantissent automatiquement une réponse coordonnée en cas de crise. —</w:t>
      </w:r>
      <w:r>
        <w:t xml:space="preserve"> </w:t>
      </w:r>
      <w:r>
        <w:rPr>
          <w:b/>
          <w:bCs/>
        </w:rPr>
        <w:t xml:space="preserve">Faux</w:t>
      </w:r>
      <w:r>
        <w:t xml:space="preserve"> </w:t>
      </w:r>
      <w:r>
        <w:t xml:space="preserve">(exactement la leçon du scénario d’ouverture, section 31.1).</w:t>
      </w:r>
    </w:p>
    <w:p>
      <w:pPr>
        <w:pStyle w:val="Compact"/>
        <w:numPr>
          <w:ilvl w:val="0"/>
          <w:numId w:val="1732"/>
        </w:numPr>
      </w:pPr>
      <w:r>
        <w:t xml:space="preserve">Le choix du type de site de repli (froid/tiède/chaud) découle directement du RTO défini pour le système concerné. —</w:t>
      </w:r>
      <w:r>
        <w:t xml:space="preserve"> </w:t>
      </w:r>
      <w:r>
        <w:rPr>
          <w:b/>
          <w:bCs/>
        </w:rPr>
        <w:t xml:space="preserve">Vrai</w:t>
      </w:r>
      <w:r>
        <w:t xml:space="preserve">.</w:t>
      </w:r>
    </w:p>
    <w:p>
      <w:pPr>
        <w:pStyle w:val="Compact"/>
        <w:numPr>
          <w:ilvl w:val="0"/>
          <w:numId w:val="1732"/>
        </w:numPr>
      </w:pPr>
      <w:r>
        <w:t xml:space="preserve">Un PRA rédigé une fois n’a pas besoin d’être mis à jour tant qu’aucun incident ne survient. —</w:t>
      </w:r>
      <w:r>
        <w:t xml:space="preserve"> </w:t>
      </w:r>
      <w:r>
        <w:rPr>
          <w:b/>
          <w:bCs/>
        </w:rPr>
        <w:t xml:space="preserve">Faux</w:t>
      </w:r>
      <w:r>
        <w:t xml:space="preserve"> </w:t>
      </w:r>
      <w:r>
        <w:t xml:space="preserve">(il doit être révisé après chaque changement significatif, section 31.7).</w:t>
      </w:r>
    </w:p>
    <w:p>
      <w:pPr>
        <w:pStyle w:val="Compact"/>
        <w:numPr>
          <w:ilvl w:val="0"/>
          <w:numId w:val="1732"/>
        </w:numPr>
      </w:pPr>
      <w:r>
        <w:t xml:space="preserve">Un critère d’activation du PRA écrit à l’avance permet une décision plus rapide et objective qu’une évaluation improvisée en pleine crise. —</w:t>
      </w:r>
      <w:r>
        <w:t xml:space="preserve"> </w:t>
      </w:r>
      <w:r>
        <w:rPr>
          <w:b/>
          <w:bCs/>
        </w:rPr>
        <w:t xml:space="preserve">Vrai</w:t>
      </w:r>
      <w:r>
        <w:t xml:space="preserve">.</w:t>
      </w:r>
    </w:p>
    <w:p>
      <w:pPr>
        <w:pStyle w:val="FirstParagraph"/>
      </w:pPr>
      <w:r>
        <w:t xml:space="preserve">📝 Questions ouvertes</w:t>
      </w:r>
    </w:p>
    <w:p>
      <w:pPr>
        <w:pStyle w:val="Compact"/>
        <w:numPr>
          <w:ilvl w:val="0"/>
          <w:numId w:val="1733"/>
        </w:numPr>
      </w:pPr>
      <w:r>
        <w:t xml:space="preserve">Explique pourquoi l’absence de décideur clairement désigné peut aggraver un incident, même si toutes les sauvegardes techniques fonctionnent parfaitement.</w:t>
      </w:r>
    </w:p>
    <w:p>
      <w:pPr>
        <w:pStyle w:val="Compact"/>
        <w:numPr>
          <w:ilvl w:val="0"/>
          <w:numId w:val="1733"/>
        </w:numPr>
      </w:pPr>
      <w:r>
        <w:t xml:space="preserve">Reprends le scénario d’ouverture. Explique en 3-4 phrases pourquoi le DSI a raison de dire</w:t>
      </w:r>
      <w:r>
        <w:t xml:space="preserve"> </w:t>
      </w:r>
      <w:r>
        <w:t xml:space="preserve">“on a eu de la chance”</w:t>
      </w:r>
      <w:r>
        <w:t xml:space="preserve">, malgré la restauration réussie.</w:t>
      </w:r>
    </w:p>
    <w:p>
      <w:pPr>
        <w:pStyle w:val="FirstParagraph"/>
      </w:pPr>
      <w:r>
        <w:rPr>
          <w:b/>
          <w:bCs/>
        </w:rPr>
        <w:t xml:space="preserve">Corrigé 1</w:t>
      </w:r>
      <w:r>
        <w:t xml:space="preserve"> </w:t>
      </w:r>
      <w:r>
        <w:t xml:space="preserve">: sans décideur désigné, chaque action potentiellement lourde (isoler le réseau, basculer vers un site de secours, communiquer publiquement sur l’incident) risque de rester en suspens pendant qu’un débat informel détermine qui a l’autorité d’agir — un délai qui peut aggraver considérablement l’impact réel de l’incident (propagation continue d’un rançongiciel, par exemple), indépendamment de la qualité technique des sauvegardes disponibles une fois la décision enfin prise.</w:t>
      </w:r>
    </w:p>
    <w:p>
      <w:pPr>
        <w:pStyle w:val="BodyText"/>
      </w:pPr>
      <w:r>
        <w:rPr>
          <w:b/>
          <w:bCs/>
        </w:rPr>
        <w:t xml:space="preserve">Corrigé 2</w:t>
      </w:r>
      <w:r>
        <w:t xml:space="preserve"> </w:t>
      </w:r>
      <w:r>
        <w:t xml:space="preserve">: la restauration a réussi grâce à la qualité technique de la sauvegarde air-gapped (chapitre 30), mais le déroulement réel de l’incident (confusion sur qui décide, absence de procédure claire pour l’isolation réseau) aurait pu tourner très différemment avec une équipe moins expérimentée, un incident légèrement plus complexe, ou simplement un moment de la journée où les bonnes personnes n’étaient pas immédiatement disponibles. Le succès de cette fois ne garantit en rien un succès similaire lors d’un prochain incident si la même improvisation se reproduit — exactement pourquoi un PRA écrit, testé et connu de toute l’équipe réduit cette dépendance à la chance.</w:t>
      </w:r>
    </w:p>
    <w:bookmarkEnd w:id="782"/>
    <w:bookmarkStart w:id="783" w:name="exercices-30"/>
    <w:p>
      <w:pPr>
        <w:pStyle w:val="Heading2"/>
      </w:pPr>
      <w:r>
        <w:t xml:space="preserve">Exercices</w:t>
      </w:r>
    </w:p>
    <w:p>
      <w:pPr>
        <w:pStyle w:val="FirstParagraph"/>
      </w:pPr>
      <w:r>
        <w:t xml:space="preserve">📝 Exercice 31.1</w:t>
      </w:r>
    </w:p>
    <w:p>
      <w:pPr>
        <w:pStyle w:val="BodyText"/>
      </w:pPr>
      <w:r>
        <w:t xml:space="preserve">Une entreprise a un excellent PRA écrit, mais ne l’a jamais testé depuis sa rédaction il y a deux ans, période durant laquelle l’infrastructure a considérablement évolué (nouveaux serveurs, nouveau site). Explique les risques concrets de cette situation.</w:t>
      </w:r>
    </w:p>
    <w:p>
      <w:pPr>
        <w:pStyle w:val="BodyText"/>
      </w:pPr>
      <w:r>
        <w:rPr>
          <w:b/>
          <w:bCs/>
        </w:rPr>
        <w:t xml:space="preserve">Corrigé :</w:t>
      </w:r>
      <w:r>
        <w:t xml:space="preserve"> </w:t>
      </w:r>
      <w:r>
        <w:t xml:space="preserve">Ce PRA, aussi bien rédigé soit-il initialement, décrit probablement une infrastructure qui n’existe plus dans sa forme actuelle — de nouveaux systèmes critiques pourraient ne pas y figurer du tout, tandis que des procédures décrites pourraient référencer des systèmes désormais obsolètes ou remplacés. Sans test récent, l’équipe n’a également aucune garantie que les contacts, les rôles désignés, ou les critères d’activation restent pertinents et à jour (des personnes ont pu changer de poste, par exemple). Ce PRA donne une fausse confiance dangereuse : l’entreprise croit disposer d’un plan fiable, alors qu’il pourrait s’avérer largement inapplicable ou incomplet au moment critique, un risque qui rejoint directement le principe du chapitre 30 sur les sauvegardes jamais testées.</w:t>
      </w:r>
    </w:p>
    <w:p>
      <w:pPr>
        <w:pStyle w:val="BodyText"/>
      </w:pPr>
      <w:r>
        <w:t xml:space="preserve">📝 Exercice 31.2</w:t>
      </w:r>
    </w:p>
    <w:p>
      <w:pPr>
        <w:pStyle w:val="BodyText"/>
      </w:pPr>
      <w:r>
        <w:t xml:space="preserve">Rédige, en 3 à 5 phrases, un critère d’activation explicite pour le PRA face à une panne prolongée de la liaison réseau entre Port-au-Prince et le Cap-Haïtien (rappel du chapitre 6), distinct du critère de rançongiciel déjà donné dans l’atelier de ce chapitre.</w:t>
      </w:r>
    </w:p>
    <w:p>
      <w:pPr>
        <w:pStyle w:val="BodyText"/>
      </w:pPr>
      <w:r>
        <w:rPr>
          <w:b/>
          <w:bCs/>
        </w:rPr>
        <w:t xml:space="preserve">Corrigé (exemple de réponse) :</w:t>
      </w:r>
      <w:r>
        <w:t xml:space="preserve"> </w:t>
      </w:r>
      <w:r>
        <w:t xml:space="preserve">“Le PRA est activé pour une panne de liaison inter-sites si celle-ci dépasse 4 heures consécutives ET affecte un système classé critique dans la CMDB dont la disponibilité au Cap-Haïtien ne peut être restaurée localement (rappel du chapitre 6 sur le fonctionnement autonome de chaque site en cas de coupure) — un seuil de 4 heures reflétant le délai typique de résolution d’un incident réseau standard, au-delà duquel une réponse plus structurée devient nécessaire plutôt que d’attendre indéfiniment un retour spontané à la normale.”</w:t>
      </w:r>
      <w:r>
        <w:t xml:space="preserve"> </w:t>
      </w:r>
      <w:r>
        <w:t xml:space="preserve">Ce critère reste distinct de celui du rançongiciel, car la nature du risque (disponibilité réseau plutôt que compromission de sécurité) appelle une réponse et des décideurs potentiellement différents.</w:t>
      </w:r>
    </w:p>
    <w:bookmarkEnd w:id="783"/>
    <w:bookmarkStart w:id="784" w:name="checklist-de-fin-de-chapitre-30"/>
    <w:p>
      <w:pPr>
        <w:pStyle w:val="Heading2"/>
      </w:pPr>
      <w:r>
        <w:t xml:space="preserve">Checklist de fin de chapitre</w:t>
      </w:r>
    </w:p>
    <w:p>
      <w:pPr>
        <w:pStyle w:val="FirstParagraph"/>
      </w:pPr>
      <w:r>
        <w:t xml:space="preserve">☐ Je comprends la différence entre une stratégie de sauvegarde technique et un Plan de Reprise d’Activité.</w:t>
      </w:r>
    </w:p>
    <w:p>
      <w:pPr>
        <w:pStyle w:val="BodyText"/>
      </w:pPr>
      <w:r>
        <w:t xml:space="preserve">☐ Je sais lister les composantes essentielles d’un PRA.</w:t>
      </w:r>
    </w:p>
    <w:p>
      <w:pPr>
        <w:pStyle w:val="BodyText"/>
      </w:pPr>
      <w:r>
        <w:t xml:space="preserve">☐ Je comprends pourquoi un critère d’activation et un décideur désigné doivent être définis à l’avance.</w:t>
      </w:r>
    </w:p>
    <w:p>
      <w:pPr>
        <w:pStyle w:val="BodyText"/>
      </w:pPr>
      <w:r>
        <w:t xml:space="preserve">☐ Je sais choisir un type de site de repli (froid/tiède/chaud) selon le RTO d’un système.</w:t>
      </w:r>
    </w:p>
    <w:p>
      <w:pPr>
        <w:pStyle w:val="BodyText"/>
      </w:pPr>
      <w:r>
        <w:t xml:space="preserve">☐ Je sais organiser un exercice de simulation pour tester un PRA.</w:t>
      </w:r>
    </w:p>
    <w:p>
      <w:pPr>
        <w:pStyle w:val="BodyText"/>
      </w:pPr>
      <w:r>
        <w:t xml:space="preserve">☐ Je comprends pourquoi un PRA doit être révisé après chaque changement significatif d’infrastructure.</w:t>
      </w:r>
    </w:p>
    <w:bookmarkEnd w:id="784"/>
    <w:bookmarkStart w:id="785" w:name="faq-30"/>
    <w:p>
      <w:pPr>
        <w:pStyle w:val="Heading2"/>
      </w:pPr>
      <w:r>
        <w:t xml:space="preserve">FAQ</w:t>
      </w:r>
    </w:p>
    <w:p>
      <w:pPr>
        <w:pStyle w:val="FirstParagraph"/>
      </w:pPr>
      <w:r>
        <w:t xml:space="preserve">Une petite entreprise a-t-elle vraiment besoin d’un PRA formel, avec tous ces éléments ?</w:t>
      </w:r>
    </w:p>
    <w:p>
      <w:pPr>
        <w:pStyle w:val="BodyText"/>
      </w:pPr>
      <w:r>
        <w:t xml:space="preserve">L’ampleur du document doit être proportionnée à la taille de l’organisation (même principe que le CAB du chapitre 2 ou la gestion des accès du chapitre 4), mais l’esprit reste pertinent à toute taille : savoir qui décide, avoir des procédures écrites même simples, et tester périodiquement — une petite structure peut se contenter d’un document de quelques pages plutôt que d’un plan volumineux, sans pour autant se passer de ces principes essentiels.</w:t>
      </w:r>
    </w:p>
    <w:p>
      <w:pPr>
        <w:pStyle w:val="BodyText"/>
      </w:pPr>
      <w:r>
        <w:t xml:space="preserve">Le PRA et le PCA (chapitre suivant) sont-ils la même chose ?</w:t>
      </w:r>
    </w:p>
    <w:p>
      <w:pPr>
        <w:pStyle w:val="BodyText"/>
      </w:pPr>
      <w:r>
        <w:t xml:space="preserve">Non, ce sont des documents complémentaires mais distincts — le PRA se concentre sur la reprise technique après un sinistre (comment restaurer les systèmes), tandis que le PCA (Plan de Continuité d’Activité, chapitre 32) couvre un périmètre plus large incluant la continuité des activités métier elles-mêmes pendant et après l’incident, au-delà de la seule dimension technique.</w:t>
      </w:r>
    </w:p>
    <w:p>
      <w:pPr>
        <w:pStyle w:val="BodyText"/>
      </w:pPr>
      <w:r>
        <w:t xml:space="preserve">Combien de temps prend la rédaction d’un premier PRA ?</w:t>
      </w:r>
    </w:p>
    <w:p>
      <w:pPr>
        <w:pStyle w:val="BodyText"/>
      </w:pPr>
      <w:r>
        <w:t xml:space="preserve">Cela varie énormément selon la taille et la complexité de l’infrastructure, mais un point de départ réaliste consiste à documenter d’abord les systèmes les plus critiques (priorisés via la CMDB et les RTO/RPO du chapitre 30), plutôt que de viser l’exhaustivité immédiate pour l’ensemble de l’infrastructure — un PRA partiel mais réellement testé et fiable vaut mieux qu’un PRA exhaustif mais jamais vérifié.</w:t>
      </w:r>
    </w:p>
    <w:p>
      <w:pPr>
        <w:pStyle w:val="BodyText"/>
      </w:pPr>
      <w:r>
        <w:t xml:space="preserve">Qui devrait être impliqué dans la rédaction d’un PRA ?</w:t>
      </w:r>
    </w:p>
    <w:p>
      <w:pPr>
        <w:pStyle w:val="BodyText"/>
      </w:pPr>
      <w:r>
        <w:t xml:space="preserve">Au-delà de l’équipe technique, la direction (pour les décisions d’activation et de communication externe), et idéalement des représentants des métiers les plus critiques (pour comprendre l’impact réel d’une indisponibilité de leur point de vue) — un PRA rédigé uniquement par l’équipe technique, sans validation de la direction sur les critères d’activation et les responsabilités, risque de ne pas être suivi en situation réelle.</w:t>
      </w:r>
    </w:p>
    <w:bookmarkEnd w:id="785"/>
    <w:bookmarkStart w:id="787" w:name="références-et-pour-aller-plus-loin-30"/>
    <w:p>
      <w:pPr>
        <w:pStyle w:val="Heading2"/>
      </w:pPr>
      <w:r>
        <w:t xml:space="preserve">Références et pour aller plus loin</w:t>
      </w:r>
    </w:p>
    <w:p>
      <w:pPr>
        <w:pStyle w:val="Compact"/>
        <w:numPr>
          <w:ilvl w:val="0"/>
          <w:numId w:val="1734"/>
        </w:numPr>
      </w:pPr>
      <w:r>
        <w:t xml:space="preserve">NIST Special Publication 800-34 — Contingency Planning Guide for Federal Information Systems :</w:t>
      </w:r>
      <w:r>
        <w:t xml:space="preserve"> </w:t>
      </w:r>
      <w:hyperlink r:id="rId786">
        <w:r>
          <w:rPr>
            <w:rStyle w:val="Hyperlink"/>
          </w:rPr>
          <w:t xml:space="preserve">https://csrc.nist.gov/pubs/sp/800/34/r1/final</w:t>
        </w:r>
      </w:hyperlink>
    </w:p>
    <w:p>
      <w:pPr>
        <w:pStyle w:val="Compact"/>
        <w:numPr>
          <w:ilvl w:val="0"/>
          <w:numId w:val="1734"/>
        </w:numPr>
      </w:pPr>
      <w:r>
        <w:t xml:space="preserve">ITIL 4 — pratique</w:t>
      </w:r>
      <w:r>
        <w:t xml:space="preserve"> </w:t>
      </w:r>
      <w:r>
        <w:t xml:space="preserve">“Service continuity management”</w:t>
      </w:r>
      <w:r>
        <w:t xml:space="preserve"> </w:t>
      </w:r>
      <w:r>
        <w:t xml:space="preserve">(rejoignant le cadre déjà couvert au chapitre 2) :</w:t>
      </w:r>
      <w:r>
        <w:t xml:space="preserve"> </w:t>
      </w:r>
      <w:hyperlink r:id="rId35">
        <w:r>
          <w:rPr>
            <w:rStyle w:val="Hyperlink"/>
          </w:rPr>
          <w:t xml:space="preserve">https://www.axelos.com/certifications/itil-service-management</w:t>
        </w:r>
      </w:hyperlink>
    </w:p>
    <w:p>
      <w:pPr>
        <w:pStyle w:val="Compact"/>
        <w:numPr>
          <w:ilvl w:val="0"/>
          <w:numId w:val="1734"/>
        </w:numPr>
      </w:pPr>
      <w:r>
        <w:t xml:space="preserve">CISA — ressources sur la planification de continuité et de reprise :</w:t>
      </w:r>
      <w:r>
        <w:t xml:space="preserve"> </w:t>
      </w:r>
      <w:hyperlink r:id="rId121">
        <w:r>
          <w:rPr>
            <w:rStyle w:val="Hyperlink"/>
          </w:rPr>
          <w:t xml:space="preserve">https://www.cisa.gov</w:t>
        </w:r>
      </w:hyperlink>
    </w:p>
    <w:p>
      <w:pPr>
        <w:pStyle w:val="FirstParagraph"/>
      </w:pPr>
      <w:r>
        <w:rPr>
          <w:i/>
          <w:iCs/>
        </w:rPr>
        <w:t xml:space="preserve">Chapitre suivant : le Plan de Continuité d’Activité (PCA) — élargir la perspective du PRA au-delà de la seule reprise technique, pour couvrir la continuité des activités métier de l’entreprise dans leur ensemble.</w:t>
      </w:r>
    </w:p>
    <w:p>
      <w:pPr>
        <w:pStyle w:val="BodyText"/>
      </w:pPr>
      <w:r>
        <w:t xml:space="preserve">CHAPITRE 32</w:t>
      </w:r>
    </w:p>
    <w:bookmarkEnd w:id="787"/>
    <w:bookmarkEnd w:id="788"/>
    <w:bookmarkStart w:id="814" w:name="plan-de-continuité-dactivité-pca"/>
    <w:p>
      <w:pPr>
        <w:pStyle w:val="Heading1"/>
      </w:pPr>
      <w:r>
        <w:t xml:space="preserve">Plan de Continuité d’Activité (PCA)</w:t>
      </w:r>
    </w:p>
    <w:p>
      <w:pPr>
        <w:pStyle w:val="FirstParagraph"/>
      </w:pPr>
      <w:r>
        <w:t xml:space="preserve">🎯 Objectif du chapitre</w:t>
      </w:r>
      <w:r>
        <w:t xml:space="preserve"> </w:t>
      </w:r>
      <w:r>
        <w:t xml:space="preserve">Élargir la perspective du PRA (chapitre 31), centré sur la reprise technique, à la continuité de l’ensemble de l’activité de l’entreprise — les personnes, les processus métier, la communication — au-delà des seuls systèmes informatiques. À la fin de ce chapitre, tu sauras réaliser une analyse d’impact métier (BIA), comprendre le rôle précis que joue l’IT dans un PCA sans en être le seul acteur, et concevoir une réponse de continuité adaptée aux risques spécifiques du contexte haïtien.</w:t>
      </w:r>
    </w:p>
    <w:p>
      <w:pPr>
        <w:pStyle w:val="BodyText"/>
      </w:pPr>
      <w:r>
        <w:t xml:space="preserve">🎬 Mise en situation</w:t>
      </w:r>
      <w:r>
        <w:t xml:space="preserve"> </w:t>
      </w:r>
      <w:r>
        <w:t xml:space="preserve">Un mois après l’exercice de simulation du PRA (chapitre 31), une alerte cyclonique sérieuse est émise pour Port-au-Prince, avec une évacuation recommandée des bureaux pendant 48 heures. Le PRA du chapitre 31 couvre parfaitement la reprise des systèmes informatiques en cas de sinistre technique — mais cette fois, les serveurs eux-mêmes ne sont pas menacés directement, ce sont les</w:t>
      </w:r>
      <w:r>
        <w:t xml:space="preserve"> </w:t>
      </w:r>
      <w:r>
        <w:rPr>
          <w:b/>
          <w:bCs/>
        </w:rPr>
        <w:t xml:space="preserve">personnes</w:t>
      </w:r>
      <w:r>
        <w:t xml:space="preserve"> </w:t>
      </w:r>
      <w:r>
        <w:t xml:space="preserve">qui ne peuvent plus se rendre au bureau. Le service comptabilité, dont l’activité repose sur des employés physiquement présents consultant le NAS local (chapitre 28), se retrouve incapable de travailler, alors que l’infrastructure technique elle-même reste parfaitement intacte et fonctionnelle. Le DSI réalise que le PRA, aussi solide soit-il, ne répond pas à cette situation précise — la continuité de l’</w:t>
      </w:r>
      <w:r>
        <w:rPr>
          <w:b/>
          <w:bCs/>
        </w:rPr>
        <w:t xml:space="preserve">activité</w:t>
      </w:r>
      <w:r>
        <w:t xml:space="preserve">, pas seulement des systèmes. C’est exactement l’objet du PCA, le sujet de ce chapitre.</w:t>
      </w:r>
    </w:p>
    <w:bookmarkStart w:id="789" w:name="Xe6c00f0dcf9c66594cff568f19161ad10235984"/>
    <w:p>
      <w:pPr>
        <w:pStyle w:val="Heading2"/>
      </w:pPr>
      <w:r>
        <w:t xml:space="preserve">32.1 PCA vs PRA : deux périmètres complémentaires, pas interchangeables</w:t>
      </w:r>
    </w:p>
    <w:p>
      <w:pPr>
        <w:pStyle w:val="FirstParagraph"/>
      </w:pPr>
      <w:r>
        <w:t xml:space="preserve">📌 À retenir — la distinction posée en toutes lettres</w:t>
      </w:r>
      <w:r>
        <w:t xml:space="preserve"> </w:t>
      </w:r>
      <w:r>
        <w:t xml:space="preserve">Le</w:t>
      </w:r>
      <w:r>
        <w:t xml:space="preserve"> </w:t>
      </w:r>
      <w:r>
        <w:rPr>
          <w:b/>
          <w:bCs/>
        </w:rPr>
        <w:t xml:space="preserve">PRA</w:t>
      </w:r>
      <w:r>
        <w:t xml:space="preserve"> </w:t>
      </w:r>
      <w:r>
        <w:t xml:space="preserve">(chapitre 31) répond à :</w:t>
      </w:r>
      <w:r>
        <w:t xml:space="preserve"> </w:t>
      </w:r>
      <w:r>
        <w:t xml:space="preserve">“comment restaurer nos systèmes informatiques après un sinistre technique ?”</w:t>
      </w:r>
      <w:r>
        <w:t xml:space="preserve"> </w:t>
      </w:r>
      <w:r>
        <w:t xml:space="preserve">Le</w:t>
      </w:r>
      <w:r>
        <w:t xml:space="preserve"> </w:t>
      </w:r>
      <w:r>
        <w:rPr>
          <w:b/>
          <w:bCs/>
        </w:rPr>
        <w:t xml:space="preserve">PCA</w:t>
      </w:r>
      <w:r>
        <w:t xml:space="preserve"> </w:t>
      </w:r>
      <w:r>
        <w:t xml:space="preserve">répond à une question plus large :</w:t>
      </w:r>
      <w:r>
        <w:t xml:space="preserve"> </w:t>
      </w:r>
      <w:r>
        <w:t xml:space="preserve">“comment l’entreprise continue-t-elle à fonctionner — servir ses clients, faire travailler ses employés, honorer ses obligations — malgré une perturbation majeure, qu’elle soit technique, humaine ou physique ?”</w:t>
      </w:r>
      <w:r>
        <w:t xml:space="preserve"> </w:t>
      </w:r>
      <w:r>
        <w:t xml:space="preserve">Le scénario d’ouverture illustre précisément cette différence : les systèmes n’ont subi aucun sinistre, mais l’activité est quand même menacée d’interruption.</w:t>
      </w:r>
    </w:p>
    <w:p>
      <w:pPr>
        <w:pStyle w:val="BodyText"/>
      </w:pPr>
      <w:r>
        <w:t xml:space="preserve">💡 Analogie — le PRA répare le pont, le PCA fait traverser la rivière autrement en attendant</w:t>
      </w:r>
      <w:r>
        <w:t xml:space="preserve"> </w:t>
      </w:r>
      <w:r>
        <w:t xml:space="preserve">Si le PRA répare un pont endommagé pour rétablir la route habituelle, le PCA se demande comment les gens et les marchandises continuent de traverser la rivière</w:t>
      </w:r>
      <w:r>
        <w:t xml:space="preserve"> </w:t>
      </w:r>
      <w:r>
        <w:rPr>
          <w:b/>
          <w:bCs/>
        </w:rPr>
        <w:t xml:space="preserve">pendant</w:t>
      </w:r>
      <w:r>
        <w:t xml:space="preserve"> </w:t>
      </w:r>
      <w:r>
        <w:t xml:space="preserve">que le pont est en réparation — un bac de traversée temporaire, un itinéraire alternatif, ou simplement la décision consciente que certains déplacements peuvent attendre. Le PCA ne remplace jamais le PRA (le pont doit quand même être réparé), il couvre la période et les besoins que le PRA seul ne couvre pas.</w:t>
      </w:r>
    </w:p>
    <w:bookmarkEnd w:id="789"/>
    <w:bookmarkStart w:id="790" w:name="X0719427751b51092574f34f2e77670c0f71367f"/>
    <w:p>
      <w:pPr>
        <w:pStyle w:val="Heading2"/>
      </w:pPr>
      <w:r>
        <w:t xml:space="preserve">32.2 Le BIA : identifier ce qui est vraiment critique pour l’activité</w:t>
      </w:r>
    </w:p>
    <w:p>
      <w:pPr>
        <w:pStyle w:val="FirstParagraph"/>
      </w:pPr>
      <w:r>
        <w:t xml:space="preserve">✅ Bonne pratique — réaliser une analyse d’impact métier (BIA) avant de rédiger le PCA</w:t>
      </w:r>
      <w:r>
        <w:t xml:space="preserve"> </w:t>
      </w:r>
      <w:r>
        <w:t xml:space="preserve">Une</w:t>
      </w:r>
      <w:r>
        <w:t xml:space="preserve"> </w:t>
      </w:r>
      <w:r>
        <w:rPr>
          <w:b/>
          <w:bCs/>
        </w:rPr>
        <w:t xml:space="preserve">Analyse d’Impact Métier</w:t>
      </w:r>
      <w:r>
        <w:t xml:space="preserve"> </w:t>
      </w:r>
      <w:r>
        <w:t xml:space="preserve">(</w:t>
      </w:r>
      <w:r>
        <w:rPr>
          <w:i/>
          <w:iCs/>
        </w:rPr>
        <w:t xml:space="preserve">Business Impact Analysis</w:t>
      </w:r>
      <w:r>
        <w:t xml:space="preserve">, BIA) identifie, pour chaque fonction métier de l’entreprise (pas seulement les systèmes informatiques), sa criticité réelle et sa tolérance à l’interruption — un exercice différent du RTO/RPO du chapitre 30, qui portait sur les systèmes techniques, ici étendu aux</w:t>
      </w:r>
      <w:r>
        <w:t xml:space="preserve"> </w:t>
      </w:r>
      <w:r>
        <w:rPr>
          <w:b/>
          <w:bCs/>
        </w:rPr>
        <w:t xml:space="preserve">processus métier</w:t>
      </w:r>
      <w:r>
        <w:t xml:space="preserve"> </w:t>
      </w:r>
      <w:r>
        <w:t xml:space="preserve">eux-mêmes. Par exemple : combien de temps le service comptabilité peut-il rester sans traiter les paiements fournisseurs avant qu’un impact financier réel (pénalités de retard, relations fournisseurs dégradées) ne se matérialise ?</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Fonction métier</w:t>
            </w:r>
          </w:p>
        </w:tc>
        <w:tc>
          <w:tcPr/>
          <w:p>
            <w:pPr>
              <w:pStyle w:val="Compact"/>
            </w:pPr>
            <w:r>
              <w:t xml:space="preserve">Tolérance à l’interruption</w:t>
            </w:r>
          </w:p>
        </w:tc>
        <w:tc>
          <w:tcPr/>
          <w:p>
            <w:pPr>
              <w:pStyle w:val="Compact"/>
            </w:pPr>
            <w:r>
              <w:t xml:space="preserve">Dépendance IT</w:t>
            </w:r>
          </w:p>
        </w:tc>
        <w:tc>
          <w:tcPr/>
          <w:p>
            <w:pPr>
              <w:pStyle w:val="Compact"/>
            </w:pPr>
            <w:r>
              <w:t xml:space="preserve">Dépendance humaine physique</w:t>
            </w:r>
          </w:p>
        </w:tc>
      </w:tr>
      <w:tr>
        <w:tc>
          <w:tcPr/>
          <w:p>
            <w:pPr>
              <w:pStyle w:val="Compact"/>
            </w:pPr>
            <w:r>
              <w:t xml:space="preserve">Réception des déclarations de sinistre en ligne</w:t>
            </w:r>
          </w:p>
        </w:tc>
        <w:tc>
          <w:tcPr/>
          <w:p>
            <w:pPr>
              <w:pStyle w:val="Compact"/>
            </w:pPr>
            <w:r>
              <w:t xml:space="preserve">Faible (portail client, chapitre 24)</w:t>
            </w:r>
          </w:p>
        </w:tc>
        <w:tc>
          <w:tcPr/>
          <w:p>
            <w:pPr>
              <w:pStyle w:val="Compact"/>
            </w:pPr>
            <w:r>
              <w:t xml:space="preserve">Élevée (serveur, réseau)</w:t>
            </w:r>
          </w:p>
        </w:tc>
        <w:tc>
          <w:tcPr/>
          <w:p>
            <w:pPr>
              <w:pStyle w:val="Compact"/>
            </w:pPr>
            <w:r>
              <w:t xml:space="preserve">Faible (accessible à distance)</w:t>
            </w:r>
          </w:p>
        </w:tc>
      </w:tr>
      <w:tr>
        <w:tc>
          <w:tcPr/>
          <w:p>
            <w:pPr>
              <w:pStyle w:val="Compact"/>
            </w:pPr>
            <w:r>
              <w:t xml:space="preserve">Traitement des paiements fournisseurs</w:t>
            </w:r>
          </w:p>
        </w:tc>
        <w:tc>
          <w:tcPr/>
          <w:p>
            <w:pPr>
              <w:pStyle w:val="Compact"/>
            </w:pPr>
            <w:r>
              <w:t xml:space="preserve">Modérée (quelques jours)</w:t>
            </w:r>
          </w:p>
        </w:tc>
        <w:tc>
          <w:tcPr/>
          <w:p>
            <w:pPr>
              <w:pStyle w:val="Compact"/>
            </w:pPr>
            <w:r>
              <w:t xml:space="preserve">Modérée</w:t>
            </w:r>
          </w:p>
        </w:tc>
        <w:tc>
          <w:tcPr/>
          <w:p>
            <w:pPr>
              <w:pStyle w:val="Compact"/>
            </w:pPr>
            <w:r>
              <w:t xml:space="preserve">Élevée (validation actuellement en présentiel)</w:t>
            </w:r>
          </w:p>
        </w:tc>
      </w:tr>
      <w:tr>
        <w:tc>
          <w:tcPr/>
          <w:p>
            <w:pPr>
              <w:pStyle w:val="Compact"/>
            </w:pPr>
            <w:r>
              <w:t xml:space="preserve">Accueil physique en agence</w:t>
            </w:r>
          </w:p>
        </w:tc>
        <w:tc>
          <w:tcPr/>
          <w:p>
            <w:pPr>
              <w:pStyle w:val="Compact"/>
            </w:pPr>
            <w:r>
              <w:t xml:space="preserve">Faible pendant une évacuation</w:t>
            </w:r>
          </w:p>
        </w:tc>
        <w:tc>
          <w:tcPr/>
          <w:p>
            <w:pPr>
              <w:pStyle w:val="Compact"/>
            </w:pPr>
            <w:r>
              <w:t xml:space="preserve">Faible</w:t>
            </w:r>
          </w:p>
        </w:tc>
        <w:tc>
          <w:tcPr/>
          <w:p>
            <w:pPr>
              <w:pStyle w:val="Compact"/>
            </w:pPr>
            <w:r>
              <w:t xml:space="preserve">Élevée (présence physique requise)</w:t>
            </w:r>
          </w:p>
        </w:tc>
      </w:tr>
    </w:tbl>
    <w:p>
      <w:pPr>
        <w:pStyle w:val="BodyText"/>
      </w:pPr>
      <w:r>
        <w:t xml:space="preserve">💡 Le BIA révèle des dépendances que le PRA seul ne capture pas</w:t>
      </w:r>
      <w:r>
        <w:t xml:space="preserve"> </w:t>
      </w:r>
      <w:r>
        <w:t xml:space="preserve">Le tableau ci-dessus révèle exactement le problème du scénario d’ouverture : le traitement des paiements fournisseurs dépend fortement d’une présence physique, pas seulement d’un système informatique disponible — une dépendance qu’aucun PRA technique, aussi bien conçu soit-il, ne peut résoudre à lui seul. C’est précisément ce type de dépendance que le PCA doit identifier et adresser.</w:t>
      </w:r>
    </w:p>
    <w:bookmarkEnd w:id="790"/>
    <w:bookmarkStart w:id="791" w:name="X65bf97775fb32410a0778c4a1d43c8cdc26afaf"/>
    <w:p>
      <w:pPr>
        <w:pStyle w:val="Heading2"/>
      </w:pPr>
      <w:r>
        <w:t xml:space="preserve">32.3 Les scénarios de continuité au-delà de l’IT</w:t>
      </w:r>
    </w:p>
    <w:p>
      <w:pPr>
        <w:pStyle w:val="FirstParagraph"/>
      </w:pPr>
      <w:r>
        <w:t xml:space="preserve">✅ Le télétravail d’urgence comme réponse directe au scénario d’ouverture</w:t>
      </w:r>
      <w:r>
        <w:t xml:space="preserve"> </w:t>
      </w:r>
      <w:r>
        <w:t xml:space="preserve">La solution au problème du service comptabilité n’est pas technique au sens du PRA — c’est une question d’</w:t>
      </w:r>
      <w:r>
        <w:rPr>
          <w:b/>
          <w:bCs/>
        </w:rPr>
        <w:t xml:space="preserve">organisation du travail</w:t>
      </w:r>
      <w:r>
        <w:t xml:space="preserve">. L’entreprise dispose déjà, depuis les chapitres précédents, de tous les moyens techniques nécessaires à un télétravail d’urgence : accès distant sécurisé via bastion et VPN (chapitre 4), MFA (chapitre 25), accès conditionnel évaluant le contexte de connexion (chapitre 8 et 26). Le PCA formalise</w:t>
      </w:r>
      <w:r>
        <w:t xml:space="preserve"> </w:t>
      </w:r>
      <w:r>
        <w:rPr>
          <w:b/>
          <w:bCs/>
        </w:rPr>
        <w:t xml:space="preserve">comment</w:t>
      </w:r>
      <w:r>
        <w:t xml:space="preserve"> </w:t>
      </w:r>
      <w:r>
        <w:t xml:space="preserve">et</w:t>
      </w:r>
      <w:r>
        <w:t xml:space="preserve"> </w:t>
      </w:r>
      <w:r>
        <w:rPr>
          <w:b/>
          <w:bCs/>
        </w:rPr>
        <w:t xml:space="preserve">quand</w:t>
      </w:r>
      <w:r>
        <w:t xml:space="preserve"> </w:t>
      </w:r>
      <w:r>
        <w:t xml:space="preserve">activer ce mode de fonctionnement, avec quelles priorités si tout le monde ne peut pas être équipé instantanément pour le télétravail.</w:t>
      </w:r>
    </w:p>
    <w:p>
      <w:pPr>
        <w:pStyle w:val="BodyText"/>
      </w:pPr>
      <w:r>
        <w:rPr>
          <w:b/>
          <w:bCs/>
        </w:rPr>
        <w:t xml:space="preserve">D’autres dimensions qu’un PCA complet doit couvrir</w:t>
      </w:r>
      <w:r>
        <w:t xml:space="preserve">, au-delà du seul télétravail :</w:t>
      </w:r>
    </w:p>
    <w:p>
      <w:pPr>
        <w:pStyle w:val="Compact"/>
        <w:numPr>
          <w:ilvl w:val="0"/>
          <w:numId w:val="1735"/>
        </w:numPr>
      </w:pPr>
      <w:r>
        <w:rPr>
          <w:b/>
          <w:bCs/>
        </w:rPr>
        <w:t xml:space="preserve">Redondance de personnel clé</w:t>
      </w:r>
      <w:r>
        <w:t xml:space="preserve"> </w:t>
      </w:r>
      <w:r>
        <w:t xml:space="preserve">: si une seule personne connaît une procédure critique (rappel direct du</w:t>
      </w:r>
      <w:r>
        <w:t xml:space="preserve"> </w:t>
      </w:r>
      <w:r>
        <w:t xml:space="preserve">“bus factor”</w:t>
      </w:r>
      <w:r>
        <w:t xml:space="preserve"> </w:t>
      </w:r>
      <w:r>
        <w:t xml:space="preserve">du chapitre 1), son indisponibilité pendant une crise devient un second problème cumulé au premier.</w:t>
      </w:r>
    </w:p>
    <w:p>
      <w:pPr>
        <w:pStyle w:val="Compact"/>
        <w:numPr>
          <w:ilvl w:val="0"/>
          <w:numId w:val="1735"/>
        </w:numPr>
      </w:pPr>
      <w:r>
        <w:rPr>
          <w:b/>
          <w:bCs/>
        </w:rPr>
        <w:t xml:space="preserve">Déroutage des communications</w:t>
      </w:r>
      <w:r>
        <w:t xml:space="preserve"> </w:t>
      </w:r>
      <w:r>
        <w:t xml:space="preserve">: un numéro de téléphone d’entreprise ou une adresse email de contact doit rester joignable même si le bureau physique est fermé.</w:t>
      </w:r>
    </w:p>
    <w:p>
      <w:pPr>
        <w:pStyle w:val="Compact"/>
        <w:numPr>
          <w:ilvl w:val="0"/>
          <w:numId w:val="1735"/>
        </w:numPr>
      </w:pPr>
      <w:r>
        <w:rPr>
          <w:b/>
          <w:bCs/>
        </w:rPr>
        <w:t xml:space="preserve">Accès aux documents papier critiques</w:t>
      </w:r>
      <w:r>
        <w:t xml:space="preserve"> </w:t>
      </w:r>
      <w:r>
        <w:t xml:space="preserve">: certains documents n’existent peut-être encore que sous forme physique (contrats originaux, par exemple) — un PCA doit identifier ces dépendances papier et prévoir leur accessibilité ou leur numérisation préventive.</w:t>
      </w:r>
    </w:p>
    <w:bookmarkEnd w:id="791"/>
    <w:bookmarkStart w:id="792" w:name="Xa9bff92b573463c07b5bf4369725538dd02f01b"/>
    <w:p>
      <w:pPr>
        <w:pStyle w:val="Heading2"/>
      </w:pPr>
      <w:r>
        <w:t xml:space="preserve">32.4 Le contexte spécifique haïtien : au-delà des coupures déjà couvertes</w:t>
      </w:r>
    </w:p>
    <w:p>
      <w:pPr>
        <w:pStyle w:val="FirstParagraph"/>
      </w:pPr>
      <w:r>
        <w:t xml:space="preserve">🔒 Un PCA doit couvrir des risques que le PRA technique ne couvre pas</w:t>
      </w:r>
      <w:r>
        <w:t xml:space="preserve"> </w:t>
      </w:r>
      <w:r>
        <w:t xml:space="preserve">Ce manuel a déjà évoqué les coupures de courant et réseau fréquentes (chapitres 6, 23, 27) comme risques opérationnels réguliers en Haïti. Le PCA doit aller plus loin et couvrir des risques de nature différente, propres à ce contexte géographique : les</w:t>
      </w:r>
      <w:r>
        <w:t xml:space="preserve"> </w:t>
      </w:r>
      <w:r>
        <w:rPr>
          <w:b/>
          <w:bCs/>
        </w:rPr>
        <w:t xml:space="preserve">cyclones</w:t>
      </w:r>
      <w:r>
        <w:t xml:space="preserve"> </w:t>
      </w:r>
      <w:r>
        <w:t xml:space="preserve">(comme dans le scénario d’ouverture, avec un préavis de plusieurs jours généralement disponible, permettant une préparation), et les</w:t>
      </w:r>
      <w:r>
        <w:t xml:space="preserve"> </w:t>
      </w:r>
      <w:r>
        <w:rPr>
          <w:b/>
          <w:bCs/>
        </w:rPr>
        <w:t xml:space="preserve">séismes</w:t>
      </w:r>
      <w:r>
        <w:t xml:space="preserve"> </w:t>
      </w:r>
      <w:r>
        <w:t xml:space="preserve">(avec un risque bien documenté depuis 2010, sans préavis possible, exigeant une préparation permanente plutôt qu’une réaction au moment de l’alerte). Ces deux types de risques naturels appellent des réponses de continuité différentes : anticipation planifiée pour un cyclone annoncé, résilience permanente déjà en place pour un séisme imprévisible.</w:t>
      </w:r>
    </w:p>
    <w:bookmarkEnd w:id="792"/>
    <w:bookmarkStart w:id="793" w:name="Xa987f809489170549e308c53ecd4828aa82264b"/>
    <w:p>
      <w:pPr>
        <w:pStyle w:val="Heading2"/>
      </w:pPr>
      <w:r>
        <w:t xml:space="preserve">32.5 Le rôle précis de l’IT dans le PCA : fournisseur de moyens, pas seul responsable</w:t>
      </w:r>
    </w:p>
    <w:p>
      <w:pPr>
        <w:pStyle w:val="FirstParagraph"/>
      </w:pPr>
      <w:r>
        <w:t xml:space="preserve">🧠 À mémoriser — le PCA dépasse le périmètre de l’équipe IT seule</w:t>
      </w:r>
      <w:r>
        <w:t xml:space="preserve"> </w:t>
      </w:r>
      <w:r>
        <w:t xml:space="preserve">Contrairement au PRA, largement piloté par l’équipe technique (chapitre 31), le PCA implique nécessairement la direction, les ressources humaines et chaque responsable de service métier — l’IT y joue un rôle essentiel de</w:t>
      </w:r>
      <w:r>
        <w:t xml:space="preserve"> </w:t>
      </w:r>
      <w:r>
        <w:rPr>
          <w:b/>
          <w:bCs/>
        </w:rPr>
        <w:t xml:space="preserve">fournisseur de moyens techniques</w:t>
      </w:r>
      <w:r>
        <w:t xml:space="preserve"> </w:t>
      </w:r>
      <w:r>
        <w:t xml:space="preserve">(accès distant, communication, systèmes disponibles à distance), mais ne peut à lui seul décider des priorités métier ni de l’organisation humaine de la continuité. Un PCA rédigé uniquement par l’équipe IT, sans validation des responsables métier, risque de rater exactement le type de dépendance humaine révélée par le BIA (section 32.2).</w:t>
      </w:r>
    </w:p>
    <w:bookmarkEnd w:id="793"/>
    <w:bookmarkStart w:id="794" w:name="Xbbd18823ce73388fb805c4533ff23974eb8607c"/>
    <w:p>
      <w:pPr>
        <w:pStyle w:val="Heading2"/>
      </w:pPr>
      <w:r>
        <w:t xml:space="preserve">32.6 Communication de crise : qui parle, et avec quel message</w:t>
      </w:r>
    </w:p>
    <w:p>
      <w:pPr>
        <w:pStyle w:val="FirstParagraph"/>
      </w:pPr>
      <w:r>
        <w:t xml:space="preserve">✅ Bonne pratique — désigner à l’avance qui communique, vers qui, avec quel message</w:t>
      </w:r>
      <w:r>
        <w:t xml:space="preserve"> </w:t>
      </w:r>
      <w:r>
        <w:t xml:space="preserve">Exactement comme le PRA désigne un décideur pour son activation (chapitre 31), le PCA doit désigner qui est habilité à communiquer vers les employés (consignes de sécurité, activation du télétravail), vers les clients (le portail reste-t-il accessible ? à qui s’adresser en cas de problème ?), et vers les partenaires ou fournisseurs critiques — sans cette clarté, une communication improvisée et contradictoire pendant une crise peut aggraver la confusion plutôt que la réduire, exactement le même risque déjà identifié pour l’absence de décideur PRA au chapitre 31.</w:t>
      </w:r>
    </w:p>
    <w:bookmarkEnd w:id="794"/>
    <w:bookmarkStart w:id="795" w:name="X2b24009a86e1f2966708cda0ee35aa7eb4d39ea"/>
    <w:p>
      <w:pPr>
        <w:pStyle w:val="Heading2"/>
      </w:pPr>
      <w:r>
        <w:t xml:space="preserve">32.7 Tester le PCA : un exercice à l’échelle de toute l’organisation</w:t>
      </w:r>
    </w:p>
    <w:p>
      <w:pPr>
        <w:pStyle w:val="FirstParagraph"/>
      </w:pPr>
      <w:r>
        <w:t xml:space="preserve">🚀 Performance — un exercice PCA implique bien plus de monde qu’un exercice PRA</w:t>
      </w:r>
      <w:r>
        <w:t xml:space="preserve"> </w:t>
      </w:r>
      <w:r>
        <w:t xml:space="preserve">Rappel direct de la section 31.6 (exercice de simulation PRA), étendu ici à une échelle plus large : un exercice de test du PCA doit impliquer les responsables métier et, idéalement, un échantillon représentatif du personnel — pas seulement l’équipe IT. Un test qui confirme que</w:t>
      </w:r>
      <w:r>
        <w:t xml:space="preserve"> </w:t>
      </w:r>
      <w:r>
        <w:t xml:space="preserve">“les serveurs de secours démarrent correctement”</w:t>
      </w:r>
      <w:r>
        <w:t xml:space="preserve"> </w:t>
      </w:r>
      <w:r>
        <w:t xml:space="preserve">ne dit rien sur la capacité réelle du service comptabilité à continuer de traiter les paiements fournisseurs depuis le domicile de ses employés, l’exact problème du scénario d’ouverture.</w:t>
      </w:r>
    </w:p>
    <w:bookmarkEnd w:id="795"/>
    <w:bookmarkStart w:id="799" w:name="X310e664eb6f22a18747aea8d583b8e66e7af18b"/>
    <w:p>
      <w:pPr>
        <w:pStyle w:val="Heading2"/>
      </w:pPr>
      <w:r>
        <w:t xml:space="preserve">32.8 Synthèse : la chaîne complète de la Partie 5</w:t>
      </w:r>
    </w:p>
    <w:p>
      <w:pPr>
        <w:pStyle w:val="CaptionedFigure"/>
      </w:pPr>
      <w:r>
        <w:drawing>
          <wp:inline>
            <wp:extent cx="5334000" cy="1172837"/>
            <wp:effectExtent b="0" l="0" r="0" t="0"/>
            <wp:docPr descr="Diagramme" title="" id="797" name="Picture"/>
            <a:graphic>
              <a:graphicData uri="http://schemas.openxmlformats.org/drawingml/2006/picture">
                <pic:pic>
                  <pic:nvPicPr>
                    <pic:cNvPr descr="C:/Users/ingja/Desktop/jarvis-starter-kit/livrables/formations/manuel-administration-systeme/assets/diagrams/d-32-plan-continuite-activite-pca-diagramme-1.png" id="798" name="Picture"/>
                    <pic:cNvPicPr>
                      <a:picLocks noChangeArrowheads="1" noChangeAspect="1"/>
                    </pic:cNvPicPr>
                  </pic:nvPicPr>
                  <pic:blipFill>
                    <a:blip r:embed="rId796"/>
                    <a:stretch>
                      <a:fillRect/>
                    </a:stretch>
                  </pic:blipFill>
                  <pic:spPr bwMode="auto">
                    <a:xfrm>
                      <a:off x="0" y="0"/>
                      <a:ext cx="5334000" cy="1172837"/>
                    </a:xfrm>
                    <a:prstGeom prst="rect">
                      <a:avLst/>
                    </a:prstGeom>
                    <a:noFill/>
                    <a:ln w="9525">
                      <a:noFill/>
                      <a:headEnd/>
                      <a:tailEnd/>
                    </a:ln>
                  </pic:spPr>
                </pic:pic>
              </a:graphicData>
            </a:graphic>
          </wp:inline>
        </w:drawing>
      </w:r>
    </w:p>
    <w:p>
      <w:pPr>
        <w:pStyle w:val="ImageCaption"/>
      </w:pPr>
      <w:r>
        <w:t xml:space="preserve">Diagramme</w:t>
      </w:r>
    </w:p>
    <w:p>
      <w:pPr>
        <w:pStyle w:val="BodyText"/>
      </w:pPr>
      <w:r>
        <w:t xml:space="preserve">💡 Chaque maillon protège contre un risque différent, aucun n’est substituable</w:t>
      </w:r>
      <w:r>
        <w:t xml:space="preserve"> </w:t>
      </w:r>
      <w:r>
        <w:t xml:space="preserve">Cette chaîne résume la Partie 5 entière : le RAID protège contre une panne de disque isolée, mais pas contre une suppression de fichier ; le NAS/SAN centralise et partage le stockage, mais s’appuie toujours sur le RAID sous-jacent ; la sauvegarde protège contre une perte de données que le RAID ne couvre pas ; le PRA orchestre l’usage coordonné de ces sauvegardes en cas de sinistre technique ; le PCA, enfin, couvre ce qu’aucun des maillons précédents ne peut résoudre seul — la continuité de l’activité humaine et métier, au-delà des systèmes eux-mêmes.</w:t>
      </w:r>
    </w:p>
    <w:bookmarkEnd w:id="799"/>
    <w:bookmarkStart w:id="800" w:name="X466b52836c4e68f1825f6e82a3d52b2cc738949"/>
    <w:p>
      <w:pPr>
        <w:pStyle w:val="Heading2"/>
      </w:pPr>
      <w:r>
        <w:t xml:space="preserve">Atelier — Rédiger la réponse PCA au scénario d’ouverture</w:t>
      </w:r>
    </w:p>
    <w:p>
      <w:pPr>
        <w:pStyle w:val="FirstParagraph"/>
      </w:pPr>
      <w:r>
        <w:t xml:space="preserve">🛠️ Atelier 32 — Maintenir l’activité comptabilité pendant l’évacuation</w:t>
      </w:r>
    </w:p>
    <w:p>
      <w:pPr>
        <w:pStyle w:val="BodyText"/>
      </w:pPr>
      <w:r>
        <w:rPr>
          <w:b/>
          <w:bCs/>
        </w:rPr>
        <w:t xml:space="preserve">Objectif</w:t>
      </w:r>
      <w:r>
        <w:t xml:space="preserve"> </w:t>
      </w:r>
      <w:r>
        <w:t xml:space="preserve">: concevoir une réponse PCA concrète au scénario d’ouverture, en mobilisant les moyens techniques déjà construits dans ce manuel.</w:t>
      </w:r>
    </w:p>
    <w:p>
      <w:pPr>
        <w:pStyle w:val="BodyText"/>
      </w:pPr>
      <w:r>
        <w:rPr>
          <w:b/>
          <w:bCs/>
        </w:rPr>
        <w:t xml:space="preserve">Préparation</w:t>
      </w:r>
      <w:r>
        <w:t xml:space="preserve"> </w:t>
      </w:r>
      <w:r>
        <w:t xml:space="preserve">: aucune installation nécessaire — cet atelier est un exercice de synthèse et de rédaction.</w:t>
      </w:r>
    </w:p>
    <w:p>
      <w:pPr>
        <w:pStyle w:val="BodyText"/>
      </w:pPr>
      <w:r>
        <w:rPr>
          <w:b/>
          <w:bCs/>
        </w:rPr>
        <w:t xml:space="preserve">Étapes techniques</w:t>
      </w:r>
      <w:r>
        <w:t xml:space="preserve"> </w:t>
      </w:r>
      <w:r>
        <w:t xml:space="preserve">:</w:t>
      </w:r>
    </w:p>
    <w:p>
      <w:pPr>
        <w:pStyle w:val="Compact"/>
        <w:numPr>
          <w:ilvl w:val="0"/>
          <w:numId w:val="1736"/>
        </w:numPr>
      </w:pPr>
      <w:r>
        <w:t xml:space="preserve">Identifie, à partir du tableau BIA de la section 32.2, quelle fonction métier nécessite la réponse la plus urgente pendant l’évacuation.</w:t>
      </w:r>
    </w:p>
    <w:p>
      <w:pPr>
        <w:pStyle w:val="Compact"/>
        <w:numPr>
          <w:ilvl w:val="0"/>
          <w:numId w:val="1736"/>
        </w:numPr>
      </w:pPr>
      <w:r>
        <w:t xml:space="preserve">Liste les moyens techniques déjà disponibles (chapitres précédents) qui permettraient un télétravail d’urgence pour cette fonction.</w:t>
      </w:r>
    </w:p>
    <w:p>
      <w:pPr>
        <w:pStyle w:val="Compact"/>
        <w:numPr>
          <w:ilvl w:val="0"/>
          <w:numId w:val="1736"/>
        </w:numPr>
      </w:pPr>
      <w:r>
        <w:t xml:space="preserve">Propose une mesure organisationnelle complémentaire (non technique) nécessaire pour que ce télétravail fonctionne réellement en pratique.</w:t>
      </w:r>
    </w:p>
    <w:p>
      <w:pPr>
        <w:pStyle w:val="Compact"/>
        <w:numPr>
          <w:ilvl w:val="0"/>
          <w:numId w:val="1736"/>
        </w:numPr>
      </w:pPr>
      <w:r>
        <w:t xml:space="preserve">Compare ta démarche à la section</w:t>
      </w:r>
      <w:r>
        <w:t xml:space="preserve"> </w:t>
      </w:r>
      <w:r>
        <w:t xml:space="preserve">“Résultat attendu”</w:t>
      </w:r>
      <w:r>
        <w:t xml:space="preserve">.</w:t>
      </w:r>
    </w:p>
    <w:p>
      <w:pPr>
        <w:pStyle w:val="FirstParagraph"/>
      </w:pPr>
      <w:r>
        <w:rPr>
          <w:b/>
          <w:bCs/>
        </w:rPr>
        <w:t xml:space="preserve">Résultat attendu</w:t>
      </w:r>
      <w:r>
        <w:t xml:space="preserve"> </w:t>
      </w:r>
      <w:r>
        <w:t xml:space="preserve">: le traitement des paiements fournisseurs nécessite la réponse la plus urgente (tolérance modérée mais dépendance humaine physique forte, section 32.2). Les moyens techniques déjà disponibles incluent l’accès distant sécurisé via bastion (chapitre 4), le MFA (chapitre 25) et, si le NAS comptabilité (chapitre 28) est accessible via un accès distant sécurisé équivalent, la consultation des documents nécessaires à distance. La mesure organisationnelle complémentaire pourrait être une procédure de validation à distance des paiements (par exemple, une double validation électronique remplaçant temporairement la validation physique habituelle), documentée à l’avance plutôt qu’improvisée en pleine crise.</w:t>
      </w:r>
    </w:p>
    <w:p>
      <w:pPr>
        <w:pStyle w:val="BodyText"/>
      </w:pPr>
      <w:r>
        <w:rPr>
          <w:b/>
          <w:bCs/>
        </w:rPr>
        <w:t xml:space="preserve">Dépannage</w:t>
      </w:r>
      <w:r>
        <w:t xml:space="preserve"> </w:t>
      </w:r>
      <w:r>
        <w:t xml:space="preserve">: si tu identifies un moyen technique manquant (par exemple, le NAS comptabilité n’est pas encore accessible à distance de façon sécurisée), c’est exactement le type de lacune qu’un exercice PCA doit révéler avant une vraie crise — nota bene à ajouter au plan d’action IT, pas seulement au document PCA lui-même.</w:t>
      </w:r>
    </w:p>
    <w:bookmarkEnd w:id="800"/>
    <w:bookmarkStart w:id="801" w:name="erreurs-fréquentes-31"/>
    <w:p>
      <w:pPr>
        <w:pStyle w:val="Heading2"/>
      </w:pPr>
      <w:r>
        <w:t xml:space="preserve">Erreurs fréquentes</w:t>
      </w:r>
    </w:p>
    <w:p>
      <w:pPr>
        <w:pStyle w:val="FirstParagraph"/>
      </w:pPr>
      <w:r>
        <w:t xml:space="preserve">⚠️ Erreur n°1 — traiter le PCA comme un problème purement IT</w:t>
      </w:r>
      <w:r>
        <w:t xml:space="preserve"> </w:t>
      </w:r>
      <w:r>
        <w:t xml:space="preserve">Rappel de la section 32.5 : le PCA implique nécessairement la direction et les responsables métier — un document rédigé uniquement par l’équipe technique manque souvent les dépendances humaines les plus critiques, exactement celle révélée par le scénario d’ouverture.</w:t>
      </w:r>
    </w:p>
    <w:p>
      <w:pPr>
        <w:pStyle w:val="BodyText"/>
      </w:pPr>
      <w:r>
        <w:t xml:space="preserve">⚠️ Erreur n°2 — ne jamais réaliser de BIA formel</w:t>
      </w:r>
      <w:r>
        <w:t xml:space="preserve"> </w:t>
      </w:r>
      <w:r>
        <w:t xml:space="preserve">Rappel de la section 32.2 : sans BIA, les priorités de continuité restent floues et intuitives plutôt que fondées sur une analyse réelle des dépendances et de la tolérance à l’interruption de chaque fonction métier.</w:t>
      </w:r>
    </w:p>
    <w:p>
      <w:pPr>
        <w:pStyle w:val="BodyText"/>
      </w:pPr>
      <w:r>
        <w:t xml:space="preserve">⚠️ Erreur n°3 — tester uniquement la dimension technique, jamais la dimension humaine et organisationnelle</w:t>
      </w:r>
      <w:r>
        <w:t xml:space="preserve"> </w:t>
      </w:r>
      <w:r>
        <w:t xml:space="preserve">Rappel de la section 32.7 : un test qui confirme le bon fonctionnement des systèmes de secours ne garantit rien sur la capacité réelle des équipes métier à continuer leur activité dans des conditions dégradées.</w:t>
      </w:r>
    </w:p>
    <w:bookmarkEnd w:id="801"/>
    <w:bookmarkStart w:id="802" w:name="X820823dfecc3f5b598149087e9a870d5c8fd84c"/>
    <w:p>
      <w:pPr>
        <w:pStyle w:val="Heading2"/>
      </w:pPr>
      <w:r>
        <w:t xml:space="preserve">Diagnostiquer les lacunes d’un PCA existant</w:t>
      </w:r>
    </w:p>
    <w:p>
      <w:pPr>
        <w:pStyle w:val="FirstParagraph"/>
      </w:pPr>
      <w:r>
        <w:t xml:space="preserve">🩺 Situation :</w:t>
      </w:r>
      <w:r>
        <w:t xml:space="preserve"> </w:t>
      </w:r>
      <w:r>
        <w:t xml:space="preserve">“Notre PCA existe mais n’a jamais vraiment été utilisé, comment savoir s’il couvre les vrais besoins ?”</w:t>
      </w:r>
    </w:p>
    <w:p>
      <w:pPr>
        <w:pStyle w:val="Compact"/>
        <w:numPr>
          <w:ilvl w:val="0"/>
          <w:numId w:val="1737"/>
        </w:numPr>
      </w:pPr>
      <w:r>
        <w:rPr>
          <w:b/>
          <w:bCs/>
        </w:rPr>
        <w:t xml:space="preserve">Diagnostic</w:t>
      </w:r>
      <w:r>
        <w:t xml:space="preserve"> </w:t>
      </w:r>
      <w:r>
        <w:t xml:space="preserve">: vérifier si un BIA formel a réellement été réalisé (section 32.2), ou si le document repose sur des suppositions non vérifiées sur ce qui est critique.</w:t>
      </w:r>
    </w:p>
    <w:p>
      <w:pPr>
        <w:pStyle w:val="Compact"/>
        <w:numPr>
          <w:ilvl w:val="0"/>
          <w:numId w:val="1737"/>
        </w:numPr>
      </w:pPr>
      <w:r>
        <w:rPr>
          <w:b/>
          <w:bCs/>
        </w:rPr>
        <w:t xml:space="preserve">Comment vérifier</w:t>
      </w:r>
      <w:r>
        <w:t xml:space="preserve"> </w:t>
      </w:r>
      <w:r>
        <w:t xml:space="preserve">: interroger directement les responsables de chaque fonction métier sur leur tolérance réelle à l’interruption et leurs dépendances physiques/humaines — une information que l’équipe IT seule ne peut pas deviner avec précision, rejoignant directement le principe du chapitre 32.5.</w:t>
      </w:r>
    </w:p>
    <w:p>
      <w:pPr>
        <w:pStyle w:val="Compact"/>
        <w:numPr>
          <w:ilvl w:val="0"/>
          <w:numId w:val="1737"/>
        </w:numPr>
      </w:pPr>
      <w:r>
        <w:rPr>
          <w:b/>
          <w:bCs/>
        </w:rPr>
        <w:t xml:space="preserve">Résolution</w:t>
      </w:r>
      <w:r>
        <w:t xml:space="preserve"> </w:t>
      </w:r>
      <w:r>
        <w:t xml:space="preserve">: compléter ou réviser le BIA avec cette implication directe des responsables métier, puis organiser un exercice impliquant réellement ces équipes (section 32.7), pas seulement l’équipe technique.</w:t>
      </w:r>
    </w:p>
    <w:bookmarkEnd w:id="802"/>
    <w:bookmarkStart w:id="803" w:name="en-entreprise-31"/>
    <w:p>
      <w:pPr>
        <w:pStyle w:val="Heading2"/>
      </w:pPr>
      <w:r>
        <w:t xml:space="preserve">En entreprise</w:t>
      </w:r>
    </w:p>
    <w:p>
      <w:pPr>
        <w:pStyle w:val="Compact"/>
        <w:numPr>
          <w:ilvl w:val="0"/>
          <w:numId w:val="1738"/>
        </w:numPr>
      </w:pPr>
      <w:r>
        <w:rPr>
          <w:b/>
          <w:bCs/>
        </w:rPr>
        <w:t xml:space="preserve">Bonne pratique répandue</w:t>
      </w:r>
      <w:r>
        <w:t xml:space="preserve"> </w:t>
      </w:r>
      <w:r>
        <w:t xml:space="preserve">: impliquer la direction et chaque responsable de service métier dans la rédaction et la révision périodique du PCA, pas seulement l’équipe IT — une pratique qui distingue un PCA réellement utile d’un document théorique jamais approprié par l’organisation.</w:t>
      </w:r>
    </w:p>
    <w:p>
      <w:pPr>
        <w:pStyle w:val="Compact"/>
        <w:numPr>
          <w:ilvl w:val="0"/>
          <w:numId w:val="1738"/>
        </w:numPr>
      </w:pPr>
      <w:r>
        <w:rPr>
          <w:b/>
          <w:bCs/>
        </w:rPr>
        <w:t xml:space="preserve">Bonne pratique répandue</w:t>
      </w:r>
      <w:r>
        <w:t xml:space="preserve"> </w:t>
      </w:r>
      <w:r>
        <w:t xml:space="preserve">: identifier et traiter préventivement les dépendances</w:t>
      </w:r>
      <w:r>
        <w:t xml:space="preserve"> </w:t>
      </w:r>
      <w:r>
        <w:t xml:space="preserve">“papier”</w:t>
      </w:r>
      <w:r>
        <w:t xml:space="preserve"> </w:t>
      </w:r>
      <w:r>
        <w:t xml:space="preserve">ou strictement physiques (documents originaux, présence obligatoire) qui pourraient bloquer la continuité même avec tous les systèmes informatiques parfaitement fonctionnels.</w:t>
      </w:r>
    </w:p>
    <w:p>
      <w:pPr>
        <w:pStyle w:val="Compact"/>
        <w:numPr>
          <w:ilvl w:val="0"/>
          <w:numId w:val="1738"/>
        </w:numPr>
      </w:pPr>
      <w:r>
        <w:rPr>
          <w:b/>
          <w:bCs/>
        </w:rPr>
        <w:t xml:space="preserve">Erreur classique observée</w:t>
      </w:r>
      <w:r>
        <w:t xml:space="preserve"> </w:t>
      </w:r>
      <w:r>
        <w:t xml:space="preserve">: un PCA qui se limite en réalité à une copie renommée du PRA, sans réellement couvrir les dimensions humaines et organisationnelles distinctes que ce chapitre développe.</w:t>
      </w:r>
    </w:p>
    <w:bookmarkEnd w:id="803"/>
    <w:bookmarkStart w:id="804" w:name="entretien-technique-31"/>
    <w:p>
      <w:pPr>
        <w:pStyle w:val="Heading2"/>
      </w:pPr>
      <w:r>
        <w:t xml:space="preserve">Entretien technique</w:t>
      </w:r>
    </w:p>
    <w:p>
      <w:pPr>
        <w:pStyle w:val="FirstParagraph"/>
      </w:pPr>
      <w:r>
        <w:t xml:space="preserve">💼 Questions fréquemment posées en entretien</w:t>
      </w:r>
    </w:p>
    <w:p>
      <w:pPr>
        <w:pStyle w:val="BodyText"/>
      </w:pPr>
      <w:r>
        <w:rPr>
          <w:b/>
          <w:bCs/>
        </w:rPr>
        <w:t xml:space="preserve">Q1.</w:t>
      </w:r>
      <w:r>
        <w:rPr>
          <w:b/>
          <w:bCs/>
        </w:rPr>
        <w:t xml:space="preserve"> </w:t>
      </w:r>
      <w:r>
        <w:rPr>
          <w:b/>
          <w:bCs/>
        </w:rPr>
        <w:t xml:space="preserve">“Quelle est la différence entre un PRA et un PCA ?”</w:t>
      </w:r>
      <w:r>
        <w:t xml:space="preserve"> </w:t>
      </w:r>
      <w:r>
        <w:t xml:space="preserve">Réponse attendue : le PRA restaure les systèmes informatiques après un sinistre technique ; le PCA couvre la continuité de l’ensemble de l’activité de l’entreprise (personnes, processus métier, communication), y compris dans des scénarios où les systèmes eux-mêmes ne sont pas directement affectés, comme une évacuation empêchant l’accès physique aux bureaux.</w:t>
      </w:r>
    </w:p>
    <w:p>
      <w:pPr>
        <w:pStyle w:val="BodyText"/>
      </w:pPr>
      <w:r>
        <w:rPr>
          <w:b/>
          <w:bCs/>
        </w:rPr>
        <w:t xml:space="preserve">Q2.</w:t>
      </w:r>
      <w:r>
        <w:rPr>
          <w:b/>
          <w:bCs/>
        </w:rPr>
        <w:t xml:space="preserve"> </w:t>
      </w:r>
      <w:r>
        <w:rPr>
          <w:b/>
          <w:bCs/>
        </w:rPr>
        <w:t xml:space="preserve">“Qu’est-ce qu’un BIA, et pourquoi le réaliser avant de rédiger un PCA ?”</w:t>
      </w:r>
      <w:r>
        <w:t xml:space="preserve"> </w:t>
      </w:r>
      <w:r>
        <w:t xml:space="preserve">Réponse attendue : une Analyse d’Impact Métier identifie, pour chaque fonction de l’entreprise, sa criticité réelle et sa tolérance à l’interruption, ainsi que ses dépendances techniques et humaines — sans cette analyse préalable, un PCA risque de se concentrer sur des priorités supposées plutôt que sur les vraies dépendances critiques de l’organisation.</w:t>
      </w:r>
    </w:p>
    <w:p>
      <w:pPr>
        <w:pStyle w:val="BodyText"/>
      </w:pPr>
      <w:r>
        <w:rPr>
          <w:b/>
          <w:bCs/>
        </w:rPr>
        <w:t xml:space="preserve">Q3.</w:t>
      </w:r>
      <w:r>
        <w:rPr>
          <w:b/>
          <w:bCs/>
        </w:rPr>
        <w:t xml:space="preserve"> </w:t>
      </w:r>
      <w:r>
        <w:rPr>
          <w:b/>
          <w:bCs/>
        </w:rPr>
        <w:t xml:space="preserve">“Pourquoi l’équipe IT ne peut-elle pas rédiger un PCA seule ?”</w:t>
      </w:r>
      <w:r>
        <w:t xml:space="preserve"> </w:t>
      </w:r>
      <w:r>
        <w:t xml:space="preserve">Réponse attendue : le PCA couvre des dimensions (organisation humaine, communication de crise, priorités métier) qui dépassent le périmètre de compétence et de décision de l’équipe technique seule — l’IT y fournit les moyens techniques nécessaires (accès distant, communication), mais les responsables métier et la direction doivent définir les priorités et l’organisation humaine réelle.</w:t>
      </w:r>
    </w:p>
    <w:bookmarkEnd w:id="804"/>
    <w:bookmarkStart w:id="805" w:name="Xb556cc024f0c6c311b52cc00d4cdb0515265717"/>
    <w:p>
      <w:pPr>
        <w:pStyle w:val="Heading2"/>
      </w:pPr>
      <w:r>
        <w:t xml:space="preserve">Optimisation, sécurité et maintenabilité — les réflexes dès ce chapitre</w:t>
      </w:r>
    </w:p>
    <w:p>
      <w:pPr>
        <w:pStyle w:val="FirstParagraph"/>
      </w:pPr>
      <w:r>
        <w:t xml:space="preserve">🔒 Sécurité</w:t>
      </w:r>
      <w:r>
        <w:t xml:space="preserve"> </w:t>
      </w:r>
      <w:r>
        <w:t xml:space="preserve">Assure-toi que les moyens d’accès distant activés en urgence (télétravail, section 32.3) respectent les mêmes exigences de sécurité que l’accès quotidien normal (bastion, MFA, chapitre 4 et 25) — une crise ne justifie jamais un relâchement des mesures de sécurité de base, un réflexe d’autant plus important que le stress d’une situation de crise pousse parfois à des raccourcis dangereux.</w:t>
      </w:r>
    </w:p>
    <w:p>
      <w:pPr>
        <w:pStyle w:val="BodyText"/>
      </w:pPr>
      <w:r>
        <w:t xml:space="preserve">✅ Maintenabilité</w:t>
      </w:r>
      <w:r>
        <w:t xml:space="preserve"> </w:t>
      </w:r>
      <w:r>
        <w:t xml:space="preserve">Réalise et actualise régulièrement le BIA (section 32.2) en collaboration directe avec les responsables métier, et documente le PCA au même titre que le PRA (chapitre 3) — un document vivant, révisé après chaque changement organisationnel significatif, pas seulement après un changement d’infrastructure technique.</w:t>
      </w:r>
    </w:p>
    <w:p>
      <w:pPr>
        <w:pStyle w:val="BodyText"/>
      </w:pPr>
      <w:r>
        <w:t xml:space="preserve">🚀 Performance</w:t>
      </w:r>
      <w:r>
        <w:t xml:space="preserve"> </w:t>
      </w:r>
      <w:r>
        <w:t xml:space="preserve">Priorise les investissements de continuité selon les résultats du BIA plutôt qu’une intuition générale — les ressources limitées d’une organisation doivent se concentrer sur les fonctions à la fois les plus critiques et les plus vulnérables, une priorisation qui rejoint directement le principe impact/urgence déjà appliqué à la gestion d’incident au chapitre 2.</w:t>
      </w:r>
    </w:p>
    <w:bookmarkEnd w:id="805"/>
    <w:bookmarkStart w:id="806" w:name="résumé-du-chapitre-31"/>
    <w:p>
      <w:pPr>
        <w:pStyle w:val="Heading2"/>
      </w:pPr>
      <w:r>
        <w:t xml:space="preserve">Résumé du chapitre</w:t>
      </w:r>
    </w:p>
    <w:p>
      <w:pPr>
        <w:pStyle w:val="Compact"/>
        <w:numPr>
          <w:ilvl w:val="0"/>
          <w:numId w:val="1739"/>
        </w:numPr>
      </w:pPr>
      <w:r>
        <w:t xml:space="preserve">Le PCA couvre la continuité de l’ensemble de l’activité de l’entreprise, un périmètre plus large que le PRA (chapitre 31), centré sur la reprise technique.</w:t>
      </w:r>
    </w:p>
    <w:p>
      <w:pPr>
        <w:pStyle w:val="Compact"/>
        <w:numPr>
          <w:ilvl w:val="0"/>
          <w:numId w:val="1739"/>
        </w:numPr>
      </w:pPr>
      <w:r>
        <w:t xml:space="preserve">Le BIA identifie la criticité réelle et les dépendances (techniques ET humaines) de chaque fonction métier, une base indispensable à un PCA pertinent.</w:t>
      </w:r>
    </w:p>
    <w:p>
      <w:pPr>
        <w:pStyle w:val="Compact"/>
        <w:numPr>
          <w:ilvl w:val="0"/>
          <w:numId w:val="1739"/>
        </w:numPr>
      </w:pPr>
      <w:r>
        <w:t xml:space="preserve">Le télétravail d’urgence, la redondance de personnel clé, le déroutage des communications et l’accès aux documents physiques critiques sont des dimensions du PCA au-delà du seul périmètre informatique.</w:t>
      </w:r>
    </w:p>
    <w:p>
      <w:pPr>
        <w:pStyle w:val="Compact"/>
        <w:numPr>
          <w:ilvl w:val="0"/>
          <w:numId w:val="1739"/>
        </w:numPr>
      </w:pPr>
      <w:r>
        <w:t xml:space="preserve">Le contexte haïtien ajoute des risques spécifiques (cyclones avec préavis, séismes sans préavis) que le PRA technique seul ne couvre pas.</w:t>
      </w:r>
    </w:p>
    <w:p>
      <w:pPr>
        <w:pStyle w:val="Compact"/>
        <w:numPr>
          <w:ilvl w:val="0"/>
          <w:numId w:val="1739"/>
        </w:numPr>
      </w:pPr>
      <w:r>
        <w:t xml:space="preserve">Le PCA implique nécessairement la direction et les responsables métier, pas seulement l’équipe IT, qui y joue un rôle de fournisseur de moyens techniques.</w:t>
      </w:r>
    </w:p>
    <w:p>
      <w:pPr>
        <w:pStyle w:val="Compact"/>
        <w:numPr>
          <w:ilvl w:val="0"/>
          <w:numId w:val="1739"/>
        </w:numPr>
      </w:pPr>
      <w:r>
        <w:t xml:space="preserve">Un test PCA doit impliquer les équipes métier réelles, pas seulement une vérification technique des systèmes de secours.</w:t>
      </w:r>
    </w:p>
    <w:bookmarkEnd w:id="806"/>
    <w:bookmarkStart w:id="807" w:name="quiz-31"/>
    <w:p>
      <w:pPr>
        <w:pStyle w:val="Heading2"/>
      </w:pPr>
      <w:r>
        <w:t xml:space="preserve">Quiz</w:t>
      </w:r>
    </w:p>
    <w:p>
      <w:pPr>
        <w:pStyle w:val="FirstParagraph"/>
      </w:pPr>
      <w:r>
        <w:t xml:space="preserve">📝 QCM (une seule bonne réponse par question)</w:t>
      </w:r>
    </w:p>
    <w:p>
      <w:pPr>
        <w:pStyle w:val="Compact"/>
        <w:numPr>
          <w:ilvl w:val="0"/>
          <w:numId w:val="1740"/>
        </w:numPr>
      </w:pPr>
      <w:r>
        <w:t xml:space="preserve">Le PCA se distingue du PRA car il couvre :</w:t>
      </w:r>
    </w:p>
    <w:p>
      <w:pPr>
        <w:pStyle w:val="Compact"/>
        <w:numPr>
          <w:ilvl w:val="1"/>
          <w:numId w:val="1741"/>
        </w:numPr>
      </w:pPr>
    </w:p>
    <w:p>
      <w:pPr>
        <w:pStyle w:val="Compact"/>
        <w:numPr>
          <w:ilvl w:val="2"/>
          <w:numId w:val="1742"/>
        </w:numPr>
      </w:pPr>
      <w:r>
        <w:t xml:space="preserve">Uniquement la restauration des serveurs</w:t>
      </w:r>
    </w:p>
    <w:p>
      <w:pPr>
        <w:pStyle w:val="Compact"/>
        <w:numPr>
          <w:ilvl w:val="1"/>
          <w:numId w:val="1741"/>
        </w:numPr>
      </w:pPr>
    </w:p>
    <w:p>
      <w:pPr>
        <w:pStyle w:val="Compact"/>
        <w:numPr>
          <w:ilvl w:val="2"/>
          <w:numId w:val="1743"/>
        </w:numPr>
      </w:pPr>
      <w:r>
        <w:t xml:space="preserve">La continuité de l’ensemble de l’activité de l’entreprise, au-delà des seuls systèmes techniques</w:t>
      </w:r>
    </w:p>
    <w:p>
      <w:pPr>
        <w:pStyle w:val="Compact"/>
        <w:numPr>
          <w:ilvl w:val="1"/>
          <w:numId w:val="1741"/>
        </w:numPr>
      </w:pPr>
    </w:p>
    <w:p>
      <w:pPr>
        <w:pStyle w:val="Compact"/>
        <w:numPr>
          <w:ilvl w:val="2"/>
          <w:numId w:val="1744"/>
        </w:numPr>
      </w:pPr>
      <w:r>
        <w:t xml:space="preserve">Exactement le même périmètre, sous un nom différent</w:t>
      </w:r>
    </w:p>
    <w:p>
      <w:pPr>
        <w:pStyle w:val="Compact"/>
        <w:numPr>
          <w:ilvl w:val="1"/>
          <w:numId w:val="1741"/>
        </w:numPr>
      </w:pPr>
    </w:p>
    <w:p>
      <w:pPr>
        <w:pStyle w:val="Compact"/>
        <w:numPr>
          <w:ilvl w:val="2"/>
          <w:numId w:val="1745"/>
        </w:numPr>
      </w:pPr>
      <w:r>
        <w:t xml:space="preserve">Uniquement les aspects financiers de l’entreprise</w:t>
      </w:r>
    </w:p>
    <w:p>
      <w:pPr>
        <w:pStyle w:val="Compact"/>
        <w:numPr>
          <w:ilvl w:val="0"/>
          <w:numId w:val="1740"/>
        </w:numPr>
      </w:pPr>
      <w:r>
        <w:t xml:space="preserve">Un BIA (Business Impact Analysis) sert principalement à :</w:t>
      </w:r>
    </w:p>
    <w:p>
      <w:pPr>
        <w:pStyle w:val="Compact"/>
        <w:numPr>
          <w:ilvl w:val="1"/>
          <w:numId w:val="1746"/>
        </w:numPr>
      </w:pPr>
    </w:p>
    <w:p>
      <w:pPr>
        <w:pStyle w:val="Compact"/>
        <w:numPr>
          <w:ilvl w:val="2"/>
          <w:numId w:val="1747"/>
        </w:numPr>
      </w:pPr>
      <w:r>
        <w:t xml:space="preserve">Calculer le budget informatique annuel</w:t>
      </w:r>
    </w:p>
    <w:p>
      <w:pPr>
        <w:pStyle w:val="Compact"/>
        <w:numPr>
          <w:ilvl w:val="1"/>
          <w:numId w:val="1746"/>
        </w:numPr>
      </w:pPr>
    </w:p>
    <w:p>
      <w:pPr>
        <w:pStyle w:val="Compact"/>
        <w:numPr>
          <w:ilvl w:val="2"/>
          <w:numId w:val="1748"/>
        </w:numPr>
      </w:pPr>
      <w:r>
        <w:t xml:space="preserve">Identifier la criticité réelle et les dépendances de chaque fonction métier</w:t>
      </w:r>
    </w:p>
    <w:p>
      <w:pPr>
        <w:pStyle w:val="Compact"/>
        <w:numPr>
          <w:ilvl w:val="1"/>
          <w:numId w:val="1746"/>
        </w:numPr>
      </w:pPr>
    </w:p>
    <w:p>
      <w:pPr>
        <w:pStyle w:val="Compact"/>
        <w:numPr>
          <w:ilvl w:val="2"/>
          <w:numId w:val="1749"/>
        </w:numPr>
      </w:pPr>
      <w:r>
        <w:t xml:space="preserve">Remplacer le besoin de sauvegardes techniques</w:t>
      </w:r>
    </w:p>
    <w:p>
      <w:pPr>
        <w:pStyle w:val="Compact"/>
        <w:numPr>
          <w:ilvl w:val="1"/>
          <w:numId w:val="1746"/>
        </w:numPr>
      </w:pPr>
    </w:p>
    <w:p>
      <w:pPr>
        <w:pStyle w:val="Compact"/>
        <w:numPr>
          <w:ilvl w:val="2"/>
          <w:numId w:val="1750"/>
        </w:numPr>
      </w:pPr>
      <w:r>
        <w:t xml:space="preserve">Choisir un fournisseur cloud</w:t>
      </w:r>
    </w:p>
    <w:p>
      <w:pPr>
        <w:pStyle w:val="Compact"/>
        <w:numPr>
          <w:ilvl w:val="0"/>
          <w:numId w:val="1740"/>
        </w:numPr>
      </w:pPr>
      <w:r>
        <w:t xml:space="preserve">Le rôle de l’équipe IT dans un PCA est principalement de :</w:t>
      </w:r>
    </w:p>
    <w:p>
      <w:pPr>
        <w:pStyle w:val="Compact"/>
        <w:numPr>
          <w:ilvl w:val="1"/>
          <w:numId w:val="1751"/>
        </w:numPr>
      </w:pPr>
    </w:p>
    <w:p>
      <w:pPr>
        <w:pStyle w:val="Compact"/>
        <w:numPr>
          <w:ilvl w:val="2"/>
          <w:numId w:val="1752"/>
        </w:numPr>
      </w:pPr>
      <w:r>
        <w:t xml:space="preserve">Décider seule de toutes les priorités métier</w:t>
      </w:r>
    </w:p>
    <w:p>
      <w:pPr>
        <w:pStyle w:val="Compact"/>
        <w:numPr>
          <w:ilvl w:val="1"/>
          <w:numId w:val="1751"/>
        </w:numPr>
      </w:pPr>
    </w:p>
    <w:p>
      <w:pPr>
        <w:pStyle w:val="Compact"/>
        <w:numPr>
          <w:ilvl w:val="2"/>
          <w:numId w:val="1753"/>
        </w:numPr>
      </w:pPr>
      <w:r>
        <w:t xml:space="preserve">Fournir les moyens techniques nécessaires à la continuité, en collaboration avec les responsables métier</w:t>
      </w:r>
    </w:p>
    <w:p>
      <w:pPr>
        <w:pStyle w:val="Compact"/>
        <w:numPr>
          <w:ilvl w:val="1"/>
          <w:numId w:val="1751"/>
        </w:numPr>
      </w:pPr>
    </w:p>
    <w:p>
      <w:pPr>
        <w:pStyle w:val="Compact"/>
        <w:numPr>
          <w:ilvl w:val="2"/>
          <w:numId w:val="1754"/>
        </w:numPr>
      </w:pPr>
      <w:r>
        <w:t xml:space="preserve">Rédiger le document sans consultation d’autres services</w:t>
      </w:r>
    </w:p>
    <w:p>
      <w:pPr>
        <w:pStyle w:val="Compact"/>
        <w:numPr>
          <w:ilvl w:val="1"/>
          <w:numId w:val="1751"/>
        </w:numPr>
      </w:pPr>
    </w:p>
    <w:p>
      <w:pPr>
        <w:pStyle w:val="Compact"/>
        <w:numPr>
          <w:ilvl w:val="2"/>
          <w:numId w:val="1755"/>
        </w:numPr>
      </w:pPr>
      <w:r>
        <w:t xml:space="preserve">Se limiter à la restauration des serveurs uniquement</w:t>
      </w:r>
    </w:p>
    <w:p>
      <w:pPr>
        <w:pStyle w:val="FirstParagraph"/>
      </w:pPr>
      <w:r>
        <w:rPr>
          <w:b/>
          <w:bCs/>
        </w:rPr>
        <w:t xml:space="preserve">Corrigé</w:t>
      </w:r>
      <w:r>
        <w:t xml:space="preserve"> </w:t>
      </w:r>
      <w:r>
        <w:t xml:space="preserve">: 1-b, 2-b, 3-b.</w:t>
      </w:r>
    </w:p>
    <w:p>
      <w:pPr>
        <w:pStyle w:val="BodyText"/>
      </w:pPr>
      <w:r>
        <w:t xml:space="preserve">📝 Vrai ou Faux</w:t>
      </w:r>
    </w:p>
    <w:p>
      <w:pPr>
        <w:pStyle w:val="Compact"/>
        <w:numPr>
          <w:ilvl w:val="0"/>
          <w:numId w:val="1756"/>
        </w:numPr>
      </w:pPr>
      <w:r>
        <w:t xml:space="preserve">Un PRA parfaitement fonctionnel garantit automatiquement la continuité de l’activité métier de l’entreprise. —</w:t>
      </w:r>
      <w:r>
        <w:t xml:space="preserve"> </w:t>
      </w:r>
      <w:r>
        <w:rPr>
          <w:b/>
          <w:bCs/>
        </w:rPr>
        <w:t xml:space="preserve">Faux</w:t>
      </w:r>
      <w:r>
        <w:t xml:space="preserve"> </w:t>
      </w:r>
      <w:r>
        <w:t xml:space="preserve">(exactement la leçon du scénario d’ouverture).</w:t>
      </w:r>
    </w:p>
    <w:p>
      <w:pPr>
        <w:pStyle w:val="Compact"/>
        <w:numPr>
          <w:ilvl w:val="0"/>
          <w:numId w:val="1756"/>
        </w:numPr>
      </w:pPr>
      <w:r>
        <w:t xml:space="preserve">Le BIA doit être réalisé avec la participation des responsables métier, pas uniquement par l’équipe IT. —</w:t>
      </w:r>
      <w:r>
        <w:t xml:space="preserve"> </w:t>
      </w:r>
      <w:r>
        <w:rPr>
          <w:b/>
          <w:bCs/>
        </w:rPr>
        <w:t xml:space="preserve">Vrai</w:t>
      </w:r>
      <w:r>
        <w:t xml:space="preserve">.</w:t>
      </w:r>
    </w:p>
    <w:p>
      <w:pPr>
        <w:pStyle w:val="Compact"/>
        <w:numPr>
          <w:ilvl w:val="0"/>
          <w:numId w:val="1756"/>
        </w:numPr>
      </w:pPr>
      <w:r>
        <w:t xml:space="preserve">Un exercice de test PCA se limite généralement à vérifier le bon fonctionnement des systèmes de secours. —</w:t>
      </w:r>
      <w:r>
        <w:t xml:space="preserve"> </w:t>
      </w:r>
      <w:r>
        <w:rPr>
          <w:b/>
          <w:bCs/>
        </w:rPr>
        <w:t xml:space="preserve">Faux</w:t>
      </w:r>
      <w:r>
        <w:t xml:space="preserve"> </w:t>
      </w:r>
      <w:r>
        <w:t xml:space="preserve">(il doit impliquer les équipes métier réelles, section 32.7).</w:t>
      </w:r>
    </w:p>
    <w:p>
      <w:pPr>
        <w:pStyle w:val="Compact"/>
        <w:numPr>
          <w:ilvl w:val="0"/>
          <w:numId w:val="1756"/>
        </w:numPr>
      </w:pPr>
      <w:r>
        <w:t xml:space="preserve">Les séismes et les cyclones appellent le même type de préparation, avec le même délai d’anticipation. —</w:t>
      </w:r>
      <w:r>
        <w:t xml:space="preserve"> </w:t>
      </w:r>
      <w:r>
        <w:rPr>
          <w:b/>
          <w:bCs/>
        </w:rPr>
        <w:t xml:space="preserve">Faux</w:t>
      </w:r>
      <w:r>
        <w:t xml:space="preserve"> </w:t>
      </w:r>
      <w:r>
        <w:t xml:space="preserve">(préavis possible pour un cyclone, aucun préavis pour un séisme, section 32.4).</w:t>
      </w:r>
    </w:p>
    <w:p>
      <w:pPr>
        <w:pStyle w:val="FirstParagraph"/>
      </w:pPr>
      <w:r>
        <w:t xml:space="preserve">📝 Questions ouvertes</w:t>
      </w:r>
    </w:p>
    <w:p>
      <w:pPr>
        <w:pStyle w:val="Compact"/>
        <w:numPr>
          <w:ilvl w:val="0"/>
          <w:numId w:val="1757"/>
        </w:numPr>
      </w:pPr>
      <w:r>
        <w:t xml:space="preserve">Explique pourquoi une entreprise avec un excellent PRA peut quand même voir son activité interrompue, comme dans le scénario d’ouverture.</w:t>
      </w:r>
    </w:p>
    <w:p>
      <w:pPr>
        <w:pStyle w:val="Compact"/>
        <w:numPr>
          <w:ilvl w:val="0"/>
          <w:numId w:val="1757"/>
        </w:numPr>
      </w:pPr>
      <w:r>
        <w:t xml:space="preserve">Reprends le tableau BIA de la section 32.2. Explique pourquoi la</w:t>
      </w:r>
      <w:r>
        <w:t xml:space="preserve"> </w:t>
      </w:r>
      <w:r>
        <w:t xml:space="preserve">“dépendance humaine physique”</w:t>
      </w:r>
      <w:r>
        <w:t xml:space="preserve"> </w:t>
      </w:r>
      <w:r>
        <w:t xml:space="preserve">est une colonne aussi importante que la</w:t>
      </w:r>
      <w:r>
        <w:t xml:space="preserve"> </w:t>
      </w:r>
      <w:r>
        <w:t xml:space="preserve">“dépendance IT”</w:t>
      </w:r>
      <w:r>
        <w:t xml:space="preserve"> </w:t>
      </w:r>
      <w:r>
        <w:t xml:space="preserve">pour évaluer la vraie résilience d’une fonction métier.</w:t>
      </w:r>
    </w:p>
    <w:p>
      <w:pPr>
        <w:pStyle w:val="FirstParagraph"/>
      </w:pPr>
      <w:r>
        <w:rPr>
          <w:b/>
          <w:bCs/>
        </w:rPr>
        <w:t xml:space="preserve">Corrigé 1</w:t>
      </w:r>
      <w:r>
        <w:t xml:space="preserve"> </w:t>
      </w:r>
      <w:r>
        <w:t xml:space="preserve">: le PRA couvre spécifiquement la reprise des systèmes techniques après un sinistre les affectant directement — mais une évacuation liée à une alerte cyclonique n’endommage pas nécessairement les systèmes eux-mêmes, elle empêche les personnes d’y accéder physiquement ou de travailler normalement. Le PRA, aussi bien conçu soit-il pour son périmètre technique, n’a simplement pas vocation à résoudre ce type de dépendance humaine et organisationnelle — un besoin qui relève spécifiquement du PCA.</w:t>
      </w:r>
    </w:p>
    <w:p>
      <w:pPr>
        <w:pStyle w:val="BodyText"/>
      </w:pPr>
      <w:r>
        <w:rPr>
          <w:b/>
          <w:bCs/>
        </w:rPr>
        <w:t xml:space="preserve">Corrigé 2</w:t>
      </w:r>
      <w:r>
        <w:t xml:space="preserve"> </w:t>
      </w:r>
      <w:r>
        <w:t xml:space="preserve">: une fonction métier avec une dépendance IT élevée mais une dépendance humaine physique faible (comme le portail client, accessible à distance) peut continuer à fonctionner même si personne ne peut se rendre physiquement au bureau, tant que les systèmes restent disponibles. À l’inverse, une fonction avec une dépendance humaine physique élevée (comme le traitement des paiements avec validation en présentiel) reste vulnérable à une interruption même si tous les systèmes informatiques sous-jacents fonctionnent parfaitement — la résilience réelle d’une fonction métier dépend donc de la combinaison des deux dimensions, jamais d’une seule évaluée isolément.</w:t>
      </w:r>
    </w:p>
    <w:bookmarkEnd w:id="807"/>
    <w:bookmarkStart w:id="808" w:name="exercices-31"/>
    <w:p>
      <w:pPr>
        <w:pStyle w:val="Heading2"/>
      </w:pPr>
      <w:r>
        <w:t xml:space="preserve">Exercices</w:t>
      </w:r>
    </w:p>
    <w:p>
      <w:pPr>
        <w:pStyle w:val="FirstParagraph"/>
      </w:pPr>
      <w:r>
        <w:t xml:space="preserve">📝 Exercice 32.1</w:t>
      </w:r>
    </w:p>
    <w:p>
      <w:pPr>
        <w:pStyle w:val="BodyText"/>
      </w:pPr>
      <w:r>
        <w:t xml:space="preserve">Une entreprise a un excellent PRA technique mais n’a jamais réalisé de BIA formel avec ses responsables métier. Explique le risque concret de cette lacune, en t’appuyant sur le scénario d’ouverture de ce chapitre.</w:t>
      </w:r>
    </w:p>
    <w:p>
      <w:pPr>
        <w:pStyle w:val="BodyText"/>
      </w:pPr>
      <w:r>
        <w:rPr>
          <w:b/>
          <w:bCs/>
        </w:rPr>
        <w:t xml:space="preserve">Corrigé :</w:t>
      </w:r>
      <w:r>
        <w:t xml:space="preserve"> </w:t>
      </w:r>
      <w:r>
        <w:t xml:space="preserve">Sans BIA, l’entreprise ne sait pas précisément quelles fonctions métier sont les plus critiques ni quelles sont leurs dépendances réelles (techniques ou humaines) — exactement la situation qui a surpris le DSI dans le scénario d’ouverture, où le service comptabilité s’est retrouvé bloqué malgré une infrastructure technique parfaitement intacte. Sans cette analyse préalable, l’entreprise découvre ses vraies dépendances critiques seulement au moment où une crise réelle les révèle, plutôt que de les avoir anticipées et préparées à l’avance — un risque directement comparable à celui d’une sauvegarde jamais testée (chapitre 30), appliqué ici à l’organisation humaine plutôt qu’à la technique.</w:t>
      </w:r>
    </w:p>
    <w:p>
      <w:pPr>
        <w:pStyle w:val="BodyText"/>
      </w:pPr>
      <w:r>
        <w:t xml:space="preserve">📝 Exercice 32.2</w:t>
      </w:r>
    </w:p>
    <w:p>
      <w:pPr>
        <w:pStyle w:val="BodyText"/>
      </w:pPr>
      <w:r>
        <w:t xml:space="preserve">Rédige, en 3 à 5 phrases, pourquoi un exercice de simulation PCA impliquant uniquement l’équipe IT (comme un exercice PRA classique) ne suffirait pas à valider la réponse au scénario d’ouverture de ce chapitre.</w:t>
      </w:r>
    </w:p>
    <w:p>
      <w:pPr>
        <w:pStyle w:val="BodyText"/>
      </w:pPr>
      <w:r>
        <w:rPr>
          <w:b/>
          <w:bCs/>
        </w:rPr>
        <w:t xml:space="preserve">Corrigé (exemple de réponse) :</w:t>
      </w:r>
      <w:r>
        <w:t xml:space="preserve"> </w:t>
      </w:r>
      <w:r>
        <w:t xml:space="preserve">Un exercice limité à l’équipe IT vérifierait uniquement que les systèmes techniques (accès distant, VPN, MFA) fonctionnent correctement en cas de sollicitation — une vérification utile mais insuffisante, puisque le vrai problème du scénario d’ouverture concerne la capacité du service comptabilité à adapter ses processus métier (validation des paiements, par exemple) à un mode de fonctionnement à distance. Seul un exercice impliquant réellement les employés de la comptabilité peut révéler si les procédures métier elles-mêmes sont réalisables à distance, et identifier les ajustements organisationnels nécessaires que l’équipe IT seule ne peut ni deviner ni décider à leur place.</w:t>
      </w:r>
    </w:p>
    <w:bookmarkEnd w:id="808"/>
    <w:bookmarkStart w:id="809" w:name="checklist-de-fin-de-chapitre-31"/>
    <w:p>
      <w:pPr>
        <w:pStyle w:val="Heading2"/>
      </w:pPr>
      <w:r>
        <w:t xml:space="preserve">Checklist de fin de chapitre</w:t>
      </w:r>
    </w:p>
    <w:p>
      <w:pPr>
        <w:pStyle w:val="FirstParagraph"/>
      </w:pPr>
      <w:r>
        <w:t xml:space="preserve">☐ Je comprends la différence entre PRA (reprise technique) et PCA (continuité de l’activité entière).</w:t>
      </w:r>
    </w:p>
    <w:p>
      <w:pPr>
        <w:pStyle w:val="BodyText"/>
      </w:pPr>
      <w:r>
        <w:t xml:space="preserve">☐ Je sais réaliser une analyse d’impact métier (BIA) de base.</w:t>
      </w:r>
    </w:p>
    <w:p>
      <w:pPr>
        <w:pStyle w:val="BodyText"/>
      </w:pPr>
      <w:r>
        <w:t xml:space="preserve">☐ Je connais les dimensions du PCA au-delà du seul périmètre informatique (télétravail, redondance de personnel, communication de crise).</w:t>
      </w:r>
    </w:p>
    <w:p>
      <w:pPr>
        <w:pStyle w:val="BodyText"/>
      </w:pPr>
      <w:r>
        <w:t xml:space="preserve">☐ Je comprends les risques spécifiques du contexte haïtien (cyclones avec préavis, séismes sans préavis).</w:t>
      </w:r>
    </w:p>
    <w:p>
      <w:pPr>
        <w:pStyle w:val="BodyText"/>
      </w:pPr>
      <w:r>
        <w:t xml:space="preserve">☐ Je comprends pourquoi le PCA implique nécessairement la direction et les responsables métier, pas seulement l’IT.</w:t>
      </w:r>
    </w:p>
    <w:p>
      <w:pPr>
        <w:pStyle w:val="BodyText"/>
      </w:pPr>
      <w:r>
        <w:t xml:space="preserve">☐ Je sais pourquoi un test PCA doit impliquer les équipes métier réelles, pas seulement une vérification technique.</w:t>
      </w:r>
    </w:p>
    <w:bookmarkEnd w:id="809"/>
    <w:bookmarkStart w:id="810" w:name="faq-31"/>
    <w:p>
      <w:pPr>
        <w:pStyle w:val="Heading2"/>
      </w:pPr>
      <w:r>
        <w:t xml:space="preserve">FAQ</w:t>
      </w:r>
    </w:p>
    <w:p>
      <w:pPr>
        <w:pStyle w:val="FirstParagraph"/>
      </w:pPr>
      <w:r>
        <w:t xml:space="preserve">Une petite entreprise a-t-elle besoin d’un PCA séparé d’un PRA ?</w:t>
      </w:r>
    </w:p>
    <w:p>
      <w:pPr>
        <w:pStyle w:val="BodyText"/>
      </w:pPr>
      <w:r>
        <w:t xml:space="preserve">L’ampleur formelle des deux documents peut être adaptée à la taille de l’organisation (même principe que pour le PRA au chapitre 31), mais la distinction conceptuelle reste utile même informellement — se poser explicitement la question</w:t>
      </w:r>
      <w:r>
        <w:t xml:space="preserve"> </w:t>
      </w:r>
      <w:r>
        <w:t xml:space="preserve">“et si nos systèmes fonctionnaient parfaitement mais que personne ne pouvait travailler ?”</w:t>
      </w:r>
      <w:r>
        <w:t xml:space="preserve"> </w:t>
      </w:r>
      <w:r>
        <w:t xml:space="preserve">aide à identifier des lacunes qu’un PRA seul ne révèle jamais.</w:t>
      </w:r>
    </w:p>
    <w:p>
      <w:pPr>
        <w:pStyle w:val="BodyText"/>
      </w:pPr>
      <w:r>
        <w:t xml:space="preserve">Le télétravail d’urgence pose-t-il des risques de sécurité spécifiques ?</w:t>
      </w:r>
    </w:p>
    <w:p>
      <w:pPr>
        <w:pStyle w:val="BodyText"/>
      </w:pPr>
      <w:r>
        <w:t xml:space="preserve">Oui, potentiellement — des employés travaillant depuis des réseaux domestiques moins sécurisés, ou avec des équipements personnels non gérés par l’entreprise, élargissent la surface d’attaque. C’est pourquoi la section 32.5 insiste sur le maintien des mêmes exigences de sécurité (bastion, MFA) même en mode d’urgence, plutôt qu’un relâchement des contrôles habituels.</w:t>
      </w:r>
    </w:p>
    <w:p>
      <w:pPr>
        <w:pStyle w:val="BodyText"/>
      </w:pPr>
      <w:r>
        <w:t xml:space="preserve">Comment prioriser les investissements de continuité avec un budget limité ?</w:t>
      </w:r>
    </w:p>
    <w:p>
      <w:pPr>
        <w:pStyle w:val="BodyText"/>
      </w:pPr>
      <w:r>
        <w:t xml:space="preserve">Le BIA (section 32.2) fournit exactement cette priorisation : concentrer les ressources sur les fonctions à la fois les plus critiques (fort impact en cas d’interruption) et les plus vulnérables (dépendances non couvertes), plutôt que de répartir uniformément un budget limité sur l’ensemble de l’organisation sans distinction de criticité réelle.</w:t>
      </w:r>
    </w:p>
    <w:p>
      <w:pPr>
        <w:pStyle w:val="BodyText"/>
      </w:pPr>
      <w:r>
        <w:t xml:space="preserve">Le PCA doit-il couvrir des scénarios extrêmes peu probables (comme un séisme majeur) ou se concentrer sur les incidents courants ?</w:t>
      </w:r>
    </w:p>
    <w:p>
      <w:pPr>
        <w:pStyle w:val="BodyText"/>
      </w:pPr>
      <w:r>
        <w:t xml:space="preserve">Un bon PCA couvre un spectre de scénarios, des plus fréquents (coupures de courant/réseau déjà couvertes ailleurs dans ce manuel) aux plus rares mais à fort impact (séismes) — la profondeur de préparation pour chaque scénario devant rester proportionnée à sa probabilité réelle et à son impact potentiel, sans négliger complètement les scénarios extrêmes sous prétexte de leur rareté, particulièrement pertinents dans le contexte sismique documenté d’Haïti.</w:t>
      </w:r>
    </w:p>
    <w:bookmarkEnd w:id="810"/>
    <w:bookmarkStart w:id="813" w:name="références-et-pour-aller-plus-loin-31"/>
    <w:p>
      <w:pPr>
        <w:pStyle w:val="Heading2"/>
      </w:pPr>
      <w:r>
        <w:t xml:space="preserve">Références et pour aller plus loin</w:t>
      </w:r>
    </w:p>
    <w:p>
      <w:pPr>
        <w:pStyle w:val="Compact"/>
        <w:numPr>
          <w:ilvl w:val="0"/>
          <w:numId w:val="1758"/>
        </w:numPr>
      </w:pPr>
      <w:r>
        <w:t xml:space="preserve">ISO 22301 — norme internationale de gestion de la continuité d’activité :</w:t>
      </w:r>
      <w:r>
        <w:t xml:space="preserve"> </w:t>
      </w:r>
      <w:hyperlink r:id="rId811">
        <w:r>
          <w:rPr>
            <w:rStyle w:val="Hyperlink"/>
          </w:rPr>
          <w:t xml:space="preserve">https://www.iso.org/fr/standard/75106.html</w:t>
        </w:r>
      </w:hyperlink>
    </w:p>
    <w:p>
      <w:pPr>
        <w:pStyle w:val="Compact"/>
        <w:numPr>
          <w:ilvl w:val="0"/>
          <w:numId w:val="1758"/>
        </w:numPr>
      </w:pPr>
      <w:r>
        <w:t xml:space="preserve">NIST Special Publication 800-34 (déjà référencée au chapitre 31, couvre aussi les principes de BIA) :</w:t>
      </w:r>
      <w:r>
        <w:t xml:space="preserve"> </w:t>
      </w:r>
      <w:hyperlink r:id="rId786">
        <w:r>
          <w:rPr>
            <w:rStyle w:val="Hyperlink"/>
          </w:rPr>
          <w:t xml:space="preserve">https://csrc.nist.gov/pubs/sp/800/34/r1/final</w:t>
        </w:r>
      </w:hyperlink>
    </w:p>
    <w:p>
      <w:pPr>
        <w:pStyle w:val="Compact"/>
        <w:numPr>
          <w:ilvl w:val="0"/>
          <w:numId w:val="1758"/>
        </w:numPr>
      </w:pPr>
      <w:r>
        <w:t xml:space="preserve">Ready.gov (agence FEMA) — ressources de planification de continuité d’activité pour PME :</w:t>
      </w:r>
      <w:r>
        <w:t xml:space="preserve"> </w:t>
      </w:r>
      <w:hyperlink r:id="rId812">
        <w:r>
          <w:rPr>
            <w:rStyle w:val="Hyperlink"/>
          </w:rPr>
          <w:t xml:space="preserve">https://www.ready.gov/business</w:t>
        </w:r>
      </w:hyperlink>
    </w:p>
    <w:p>
      <w:pPr>
        <w:pStyle w:val="FirstParagraph"/>
      </w:pPr>
      <w:r>
        <w:rPr>
          <w:i/>
          <w:iCs/>
        </w:rPr>
        <w:t xml:space="preserve">Fin de la Partie 5. La Partie 6 aborde maintenant la virtualisation — VMware vSphere, Microsoft Hyper-V et Proxmox VE — la brique qui a motivé le déploiement du SAN au chapitre 29, et qui va transformer la façon dont l’infrastructure entière de ce manuel est hébergée.</w:t>
      </w:r>
    </w:p>
    <w:p>
      <w:pPr>
        <w:pStyle w:val="BodyText"/>
      </w:pPr>
      <w:r>
        <w:t xml:space="preserve">CHAPITRE 33</w:t>
      </w:r>
    </w:p>
    <w:bookmarkEnd w:id="813"/>
    <w:bookmarkEnd w:id="814"/>
    <w:bookmarkStart w:id="840" w:name="concepts-de-virtualisation"/>
    <w:p>
      <w:pPr>
        <w:pStyle w:val="Heading1"/>
      </w:pPr>
      <w:r>
        <w:t xml:space="preserve">Concepts de virtualisation</w:t>
      </w:r>
    </w:p>
    <w:p>
      <w:pPr>
        <w:pStyle w:val="FirstParagraph"/>
      </w:pPr>
      <w:r>
        <w:t xml:space="preserve">🎯 Objectif du chapitre</w:t>
      </w:r>
      <w:r>
        <w:t xml:space="preserve"> </w:t>
      </w:r>
      <w:r>
        <w:t xml:space="preserve">Comprendre les fondations de la virtualisation avant d’aborder un hyperviseur précis (VMware, Hyper-V, Proxmox, chapitres 34 à 36) : ce qu’est un hyperviseur, la différence entre type 1 et type 2, les composants virtuels de base, et les deux pièges les plus fréquents de la virtualisation en production — la surallocation mal maîtrisée et la confusion entre snapshot et sauvegarde. À la fin de ce chapitre, tu sauras justifier une décision de consolidation de serveurs physiques par des arguments concrets.</w:t>
      </w:r>
    </w:p>
    <w:p>
      <w:pPr>
        <w:pStyle w:val="BodyText"/>
      </w:pPr>
      <w:r>
        <w:t xml:space="preserve">🎬 Mise en situation</w:t>
      </w:r>
      <w:r>
        <w:t xml:space="preserve"> </w:t>
      </w:r>
      <w:r>
        <w:t xml:space="preserve">En relisant l’inventaire de la CMDB (chapitre 3), le DSI compte les serveurs physiques accumulés au fil de ce manuel : les contrôleurs de domaine (chapitre 5), le serveur du portail client (chapitre 14), le serveur Rocky Linux de gestion documentaire (chapitre 19), sans compter les futurs projets à venir. Chacun tourne à une fraction de sa capacité réelle, mais consomme sa propre alimentation électrique, son propre onduleur, son propre espace en salle serveur — une réalité d’autant plus coûteuse dans un contexte où l’électricité elle-même représente une dépense et une contrainte opérationnelle significatives, rappel direct des coupures déjà évoquées aux chapitres 6 et 27.</w:t>
      </w:r>
      <w:r>
        <w:t xml:space="preserve"> </w:t>
      </w:r>
      <w:r>
        <w:t xml:space="preserve">“Est-ce qu’on a vraiment besoin d’un serveur physique séparé pour chaque projet ?”</w:t>
      </w:r>
      <w:r>
        <w:t xml:space="preserve"> </w:t>
      </w:r>
      <w:r>
        <w:t xml:space="preserve">demande-t-il. La réponse tient dans ce chapitre et les suivants : la virtualisation.</w:t>
      </w:r>
    </w:p>
    <w:bookmarkStart w:id="815" w:name="Xc6a79584ade8e37907b9ed1afea52f53db19f1e"/>
    <w:p>
      <w:pPr>
        <w:pStyle w:val="Heading2"/>
      </w:pPr>
      <w:r>
        <w:t xml:space="preserve">33.1 Le problème de la prolifération de serveurs physiques</w:t>
      </w:r>
    </w:p>
    <w:p>
      <w:pPr>
        <w:pStyle w:val="FirstParagraph"/>
      </w:pPr>
      <w:r>
        <w:t xml:space="preserve">💡 Analogie — l’immeuble de bureaux vs les maisons individuelles</w:t>
      </w:r>
      <w:r>
        <w:t xml:space="preserve"> </w:t>
      </w:r>
      <w:r>
        <w:t xml:space="preserve">Un serveur physique dédié à une seule charge de travail, utilisé à 15% de sa capacité réelle, ressemble à une maison individuelle entière louée pour y installer un seul petit bureau — l’espace, l’électricité, l’entretien du bâtiment tout entier sont mobilisés pour un usage qui n’en nécessite qu’une fraction. La virtualisation ressemble à un immeuble de bureaux partagé : plusieurs</w:t>
      </w:r>
      <w:r>
        <w:t xml:space="preserve"> </w:t>
      </w:r>
      <w:r>
        <w:t xml:space="preserve">“locataires”</w:t>
      </w:r>
      <w:r>
        <w:t xml:space="preserve"> </w:t>
      </w:r>
      <w:r>
        <w:t xml:space="preserve">(des machines virtuelles) partagent la même infrastructure physique sous-jacente, chacun avec son propre espace isolé, mais sans dupliquer les coûts fixes du bâtiment entier pour chacun.</w:t>
      </w:r>
    </w:p>
    <w:bookmarkEnd w:id="815"/>
    <w:bookmarkStart w:id="816" w:name="quest-ce-quun-hyperviseur"/>
    <w:p>
      <w:pPr>
        <w:pStyle w:val="Heading2"/>
      </w:pPr>
      <w:r>
        <w:t xml:space="preserve">33.2 Qu’est-ce qu’un hyperviseur</w:t>
      </w:r>
    </w:p>
    <w:p>
      <w:pPr>
        <w:pStyle w:val="FirstParagraph"/>
      </w:pPr>
      <w:r>
        <w:t xml:space="preserve">Un</w:t>
      </w:r>
      <w:r>
        <w:t xml:space="preserve"> </w:t>
      </w:r>
      <w:r>
        <w:rPr>
          <w:b/>
          <w:bCs/>
        </w:rPr>
        <w:t xml:space="preserve">hyperviseur</w:t>
      </w:r>
      <w:r>
        <w:t xml:space="preserve"> </w:t>
      </w:r>
      <w:r>
        <w:t xml:space="preserve">est le logiciel qui crée et gère des</w:t>
      </w:r>
      <w:r>
        <w:t xml:space="preserve"> </w:t>
      </w:r>
      <w:r>
        <w:rPr>
          <w:b/>
          <w:bCs/>
        </w:rPr>
        <w:t xml:space="preserve">machines virtuelles</w:t>
      </w:r>
      <w:r>
        <w:t xml:space="preserve"> </w:t>
      </w:r>
      <w:r>
        <w:t xml:space="preserve">(VM) — des systèmes d’exploitation complets, isolés les uns des autres, s’exécutant sur un même matériel physique partagé, chacun croyant disposer de son propre ordinateur dédié.</w:t>
      </w:r>
    </w:p>
    <w:p>
      <w:pPr>
        <w:pStyle w:val="BodyText"/>
      </w:pPr>
      <w:r>
        <w:t xml:space="preserve">📌 À retenir</w:t>
      </w:r>
      <w:r>
        <w:t xml:space="preserve"> </w:t>
      </w:r>
      <w:r>
        <w:t xml:space="preserve">L’hyperviseur alloue et arbitre l’accès aux ressources physiques réelles (CPU, RAM, stockage, réseau) entre plusieurs machines virtuelles, chacune fonctionnant comme si elle possédait son propre matériel dédié, sans en avoir conscience. Cette abstraction est ce qui permet de consolider plusieurs des serveurs physiques accumulés dans le scénario d’ouverture sur un nombre bien plus restreint de machines physiques réelles.</w:t>
      </w:r>
    </w:p>
    <w:bookmarkEnd w:id="816"/>
    <w:bookmarkStart w:id="820" w:name="type-1-bare-metal-vs-type-2-hosted"/>
    <w:p>
      <w:pPr>
        <w:pStyle w:val="Heading2"/>
      </w:pPr>
      <w:r>
        <w:t xml:space="preserve">33.3 Type 1 (bare-metal) vs Type 2 (hosted)</w:t>
      </w:r>
    </w:p>
    <w:p>
      <w:pPr>
        <w:pStyle w:val="CaptionedFigure"/>
      </w:pPr>
      <w:r>
        <w:drawing>
          <wp:inline>
            <wp:extent cx="5334000" cy="1269234"/>
            <wp:effectExtent b="0" l="0" r="0" t="0"/>
            <wp:docPr descr="Diagramme" title="" id="818" name="Picture"/>
            <a:graphic>
              <a:graphicData uri="http://schemas.openxmlformats.org/drawingml/2006/picture">
                <pic:pic>
                  <pic:nvPicPr>
                    <pic:cNvPr descr="C:/Users/ingja/Desktop/jarvis-starter-kit/livrables/formations/manuel-administration-systeme/assets/diagrams/d-33-concepts-virtualisation-diagramme-1.png" id="819" name="Picture"/>
                    <pic:cNvPicPr>
                      <a:picLocks noChangeArrowheads="1" noChangeAspect="1"/>
                    </pic:cNvPicPr>
                  </pic:nvPicPr>
                  <pic:blipFill>
                    <a:blip r:embed="rId817"/>
                    <a:stretch>
                      <a:fillRect/>
                    </a:stretch>
                  </pic:blipFill>
                  <pic:spPr bwMode="auto">
                    <a:xfrm>
                      <a:off x="0" y="0"/>
                      <a:ext cx="5334000" cy="1269234"/>
                    </a:xfrm>
                    <a:prstGeom prst="rect">
                      <a:avLst/>
                    </a:prstGeom>
                    <a:noFill/>
                    <a:ln w="9525">
                      <a:noFill/>
                      <a:headEnd/>
                      <a:tailEnd/>
                    </a:ln>
                  </pic:spPr>
                </pic:pic>
              </a:graphicData>
            </a:graphic>
          </wp:inline>
        </w:drawing>
      </w:r>
    </w:p>
    <w:p>
      <w:pPr>
        <w:pStyle w:val="ImageCaption"/>
      </w:pPr>
      <w:r>
        <w:t xml:space="preserve">Diagramme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Critère</w:t>
            </w:r>
          </w:p>
        </w:tc>
        <w:tc>
          <w:tcPr/>
          <w:p>
            <w:pPr>
              <w:pStyle w:val="Compact"/>
            </w:pPr>
            <w:r>
              <w:t xml:space="preserve">Type 1 (bare-metal)</w:t>
            </w:r>
          </w:p>
        </w:tc>
        <w:tc>
          <w:tcPr/>
          <w:p>
            <w:pPr>
              <w:pStyle w:val="Compact"/>
            </w:pPr>
            <w:r>
              <w:t xml:space="preserve">Type 2 (hébergé)</w:t>
            </w:r>
          </w:p>
        </w:tc>
      </w:tr>
      <w:tr>
        <w:tc>
          <w:tcPr/>
          <w:p>
            <w:pPr>
              <w:pStyle w:val="Compact"/>
            </w:pPr>
            <w:r>
              <w:t xml:space="preserve">Installation</w:t>
            </w:r>
          </w:p>
        </w:tc>
        <w:tc>
          <w:tcPr/>
          <w:p>
            <w:pPr>
              <w:pStyle w:val="Compact"/>
            </w:pPr>
            <w:r>
              <w:t xml:space="preserve">Directement sur le matériel, sans OS hôte intermédiaire</w:t>
            </w:r>
          </w:p>
        </w:tc>
        <w:tc>
          <w:tcPr/>
          <w:p>
            <w:pPr>
              <w:pStyle w:val="Compact"/>
            </w:pPr>
            <w:r>
              <w:t xml:space="preserve">Comme une application classique, par-dessus un OS existant</w:t>
            </w:r>
          </w:p>
        </w:tc>
      </w:tr>
      <w:tr>
        <w:tc>
          <w:tcPr/>
          <w:p>
            <w:pPr>
              <w:pStyle w:val="Compact"/>
            </w:pPr>
            <w:r>
              <w:t xml:space="preserve">Performance</w:t>
            </w:r>
          </w:p>
        </w:tc>
        <w:tc>
          <w:tcPr/>
          <w:p>
            <w:pPr>
              <w:pStyle w:val="Compact"/>
            </w:pPr>
            <w:r>
              <w:t xml:space="preserve">Supérieure (accès direct au matériel)</w:t>
            </w:r>
          </w:p>
        </w:tc>
        <w:tc>
          <w:tcPr/>
          <w:p>
            <w:pPr>
              <w:pStyle w:val="Compact"/>
            </w:pPr>
            <w:r>
              <w:t xml:space="preserve">Inférieure (une couche OS supplémentaire à traverser)</w:t>
            </w:r>
          </w:p>
        </w:tc>
      </w:tr>
      <w:tr>
        <w:tc>
          <w:tcPr/>
          <w:p>
            <w:pPr>
              <w:pStyle w:val="Compact"/>
            </w:pPr>
            <w:r>
              <w:t xml:space="preserve">Cas d’usage typique</w:t>
            </w:r>
          </w:p>
        </w:tc>
        <w:tc>
          <w:tcPr/>
          <w:p>
            <w:pPr>
              <w:pStyle w:val="Compact"/>
            </w:pPr>
            <w:r>
              <w:t xml:space="preserve">Production, serveurs (chapitres 34-36)</w:t>
            </w:r>
          </w:p>
        </w:tc>
        <w:tc>
          <w:tcPr/>
          <w:p>
            <w:pPr>
              <w:pStyle w:val="Compact"/>
            </w:pPr>
            <w:r>
              <w:t xml:space="preserve">Laboratoire personnel, tests sur poste de travail (chapitre 37)</w:t>
            </w:r>
          </w:p>
        </w:tc>
      </w:tr>
      <w:tr>
        <w:tc>
          <w:tcPr/>
          <w:p>
            <w:pPr>
              <w:pStyle w:val="Compact"/>
            </w:pPr>
            <w:r>
              <w:t xml:space="preserve">Exemples</w:t>
            </w:r>
          </w:p>
        </w:tc>
        <w:tc>
          <w:tcPr/>
          <w:p>
            <w:pPr>
              <w:pStyle w:val="Compact"/>
            </w:pPr>
            <w:r>
              <w:t xml:space="preserve">VMware ESXi, Microsoft Hyper-V, Proxmox VE</w:t>
            </w:r>
          </w:p>
        </w:tc>
        <w:tc>
          <w:tcPr/>
          <w:p>
            <w:pPr>
              <w:pStyle w:val="Compact"/>
            </w:pPr>
            <w:r>
              <w:t xml:space="preserve">VirtualBox, VMware Workstation</w:t>
            </w:r>
          </w:p>
        </w:tc>
      </w:tr>
    </w:tbl>
    <w:p>
      <w:pPr>
        <w:pStyle w:val="BodyText"/>
      </w:pPr>
      <w:r>
        <w:t xml:space="preserve">🧠 À mémoriser</w:t>
      </w:r>
      <w:r>
        <w:t xml:space="preserve"> </w:t>
      </w:r>
      <w:r>
        <w:t xml:space="preserve">La production sérieuse (les serveurs du scénario d’ouverture) utilise systématiquement des hyperviseurs de</w:t>
      </w:r>
      <w:r>
        <w:t xml:space="preserve"> </w:t>
      </w:r>
      <w:r>
        <w:t xml:space="preserve">Type 1</w:t>
      </w:r>
      <w:r>
        <w:t xml:space="preserve">, jamais de Type 2 — la différence de performance et de fiabilité entre les deux catégories est significative, pas une simple nuance théorique. Le Type 2 garde sa place légitime pour l’apprentissage et les tests (chapitre 37), pas pour héberger des charges de travail réelles d’entreprise.</w:t>
      </w:r>
    </w:p>
    <w:bookmarkEnd w:id="820"/>
    <w:bookmarkStart w:id="821" w:name="les-composants-virtuels-de-base"/>
    <w:p>
      <w:pPr>
        <w:pStyle w:val="Heading2"/>
      </w:pPr>
      <w:r>
        <w:t xml:space="preserve">33.4 Les composants virtuels de base</w:t>
      </w:r>
    </w:p>
    <w:p>
      <w:pPr>
        <w:pStyle w:val="FirstParagraph"/>
      </w:pPr>
      <w:r>
        <w:t xml:space="preserve">💡 Un vocabulaire qui reviendra dans les chapitres suivants</w:t>
      </w:r>
      <w:r>
        <w:t xml:space="preserve"> </w:t>
      </w:r>
      <w:r>
        <w:t xml:space="preserve">-</w:t>
      </w:r>
      <w:r>
        <w:t xml:space="preserve"> </w:t>
      </w:r>
      <w:r>
        <w:t xml:space="preserve">vCPU</w:t>
      </w:r>
      <w:r>
        <w:t xml:space="preserve"> </w:t>
      </w:r>
      <w:r>
        <w:t xml:space="preserve">: un processeur virtuel alloué à une VM, correspondant à une fraction (ou parfois à la totalité) de la capacité de calcul physique réelle.</w:t>
      </w:r>
      <w:r>
        <w:t xml:space="preserve"> </w:t>
      </w:r>
      <w:r>
        <w:t xml:space="preserve">-</w:t>
      </w:r>
      <w:r>
        <w:t xml:space="preserve"> </w:t>
      </w:r>
      <w:r>
        <w:t xml:space="preserve">vRAM</w:t>
      </w:r>
      <w:r>
        <w:t xml:space="preserve"> </w:t>
      </w:r>
      <w:r>
        <w:t xml:space="preserve">: la mémoire vive allouée à une VM, prélevée sur la mémoire physique totale du serveur hôte.</w:t>
      </w:r>
      <w:r>
        <w:t xml:space="preserve"> </w:t>
      </w:r>
      <w:r>
        <w:t xml:space="preserve">-</w:t>
      </w:r>
      <w:r>
        <w:t xml:space="preserve"> </w:t>
      </w:r>
      <w:r>
        <w:t xml:space="preserve">Disque virtuel</w:t>
      </w:r>
      <w:r>
        <w:t xml:space="preserve"> </w:t>
      </w:r>
      <w:r>
        <w:t xml:space="preserve">: un fichier (ou un ensemble de blocs, selon la technologie) qui simule un disque dur complet pour la VM, généralement stocké sur le SAN ou le NAS déjà couverts en Partie 5.</w:t>
      </w:r>
      <w:r>
        <w:t xml:space="preserve"> </w:t>
      </w:r>
      <w:r>
        <w:t xml:space="preserve">-</w:t>
      </w:r>
      <w:r>
        <w:t xml:space="preserve"> </w:t>
      </w:r>
      <w:r>
        <w:t xml:space="preserve">Commutateur virtuel (vSwitch)</w:t>
      </w:r>
      <w:r>
        <w:t xml:space="preserve"> </w:t>
      </w:r>
      <w:r>
        <w:t xml:space="preserve">: l’équivalent virtuel d’un switch réseau physique (chapitre 1, écosystème réseau), permettant aux VM de communiquer entre elles et avec le réseau physique.</w:t>
      </w:r>
    </w:p>
    <w:bookmarkEnd w:id="821"/>
    <w:bookmarkStart w:id="822" w:name="X2709059c5b4a84989b20e9174d269e207812ece"/>
    <w:p>
      <w:pPr>
        <w:pStyle w:val="Heading2"/>
      </w:pPr>
      <w:r>
        <w:t xml:space="preserve">33.5 La surallocation : puissante, mais risquée si mal maîtrisée</w:t>
      </w:r>
    </w:p>
    <w:p>
      <w:pPr>
        <w:pStyle w:val="FirstParagraph"/>
      </w:pPr>
      <w:r>
        <w:t xml:space="preserve">⚠️ La surallocation (overcommit) explique une bonne partie de l’intérêt économique de la virtualisation</w:t>
      </w:r>
      <w:r>
        <w:t xml:space="preserve"> </w:t>
      </w:r>
      <w:r>
        <w:t xml:space="preserve">Un hyperviseur peut allouer, à plusieurs VM, davantage de vCPU ou de vRAM que la capacité physique réelle du serveur — un pari raisonnable, car la plupart des charges de travail n’utilisent jamais 100% de leurs ressources allouées en permanence (rappel direct du scénario d’ouverture, où chaque serveur physique tournait à 15% de sa capacité). C’est précisément cette surallocation intelligente qui permet de consolider de nombreux serveurs physiques sous-utilisés sur un nombre restreint d’hôtes physiques réels.</w:t>
      </w:r>
    </w:p>
    <w:p>
      <w:pPr>
        <w:pStyle w:val="BodyText"/>
      </w:pPr>
      <w:r>
        <w:t xml:space="preserve">🔒 Sécurité — une surallocation mal surveillée dégrade toutes les VM simultanément</w:t>
      </w:r>
      <w:r>
        <w:t xml:space="preserve"> </w:t>
      </w:r>
      <w:r>
        <w:t xml:space="preserve">Une surallocation excessive et non surveillée peut provoquer une contention de ressources : si plusieurs VM réclament simultanément plus de ressources que le matériel physique n’en possède réellement,</w:t>
      </w:r>
      <w:r>
        <w:t xml:space="preserve"> </w:t>
      </w:r>
      <w:r>
        <w:rPr>
          <w:b/>
          <w:bCs/>
        </w:rPr>
        <w:t xml:space="preserve">toutes</w:t>
      </w:r>
      <w:r>
        <w:t xml:space="preserve"> </w:t>
      </w:r>
      <w:r>
        <w:t xml:space="preserve">les VM concernées peuvent voir leurs performances dégradées en même temps — un risque qui rejoint directement le principe de supervision proactive du chapitre 1, appliqué ici à l’échelle de l’hôte de virtualisation tout entier plutôt qu’à un seul service.</w:t>
      </w:r>
    </w:p>
    <w:p>
      <w:pPr>
        <w:pStyle w:val="BodyText"/>
      </w:pPr>
      <w:r>
        <w:t xml:space="preserve">🚀 Performance — surveiller, pas seulement dimensionner une fois</w:t>
      </w:r>
      <w:r>
        <w:t xml:space="preserve"> </w:t>
      </w:r>
      <w:r>
        <w:t xml:space="preserve">Le bon usage de la surallocation n’est jamais une configuration figée une fois pour toutes — elle nécessite une surveillance continue de l’utilisation réelle des ressources (Partie 10) et un ajustement progressif à mesure que les charges de travail évoluent, exactement le même principe déjà appliqué à l’espace disque au chapitre 17 (LVM, extension à chaud plutôt que dimensionnement figé).</w:t>
      </w:r>
    </w:p>
    <w:bookmarkEnd w:id="822"/>
    <w:bookmarkStart w:id="823" w:name="X6431225a6746e174026a0dc10d54e132d84899d"/>
    <w:p>
      <w:pPr>
        <w:pStyle w:val="Heading2"/>
      </w:pPr>
      <w:r>
        <w:t xml:space="preserve">33.6 Snapshots de VM : le même piège que les snapshots NAS</w:t>
      </w:r>
    </w:p>
    <w:p>
      <w:pPr>
        <w:pStyle w:val="FirstParagraph"/>
      </w:pPr>
      <w:r>
        <w:t xml:space="preserve">⚠️ Rappel direct du chapitre 28 : un snapshot de VM n’est pas une sauvegarde</w:t>
      </w:r>
      <w:r>
        <w:t xml:space="preserve"> </w:t>
      </w:r>
      <w:r>
        <w:t xml:space="preserve">Exactement le même principe déjà établi pour les snapshots NAS (chapitre 28) et implicitement pour le RAID (chapitres 17 et 27) : un instantané de machine virtuelle capture un état à un instant précis, utile pour revenir rapidement en arrière après un changement risqué (avant une mise à jour, par exemple) — mais un snapshot stocké sur le même stockage physique que la VM elle-même ne protège pas contre une panne de ce stockage. Une vraie stratégie de sauvegarde de VM (souvent intégrée aux outils de sauvegarde du chapitre 30, adaptés à la virtualisation) reste indispensable, jamais remplacée par les snapshots seuls.</w:t>
      </w:r>
    </w:p>
    <w:p>
      <w:pPr>
        <w:pStyle w:val="BodyText"/>
      </w:pPr>
      <w:r>
        <w:t xml:space="preserve">❌ Mauvaise pratique — laisser un snapshot actif indéfiniment</w:t>
      </w:r>
      <w:r>
        <w:t xml:space="preserve"> </w:t>
      </w:r>
      <w:r>
        <w:t xml:space="preserve">Un snapshot actif pendant une longue période accumule les différences entre l’état capturé et l’état actuel de la VM, consommant un espace disque croissant et pouvant significativement dégrader les performances de la VM concernée — un snapshot devrait toujours être temporaire et supprimé (fusionné) dès que son utilité immédiate (généralement un test ou une opération risquée précise) est passée, jamais laissé</w:t>
      </w:r>
      <w:r>
        <w:t xml:space="preserve"> </w:t>
      </w:r>
      <w:r>
        <w:t xml:space="preserve">“au cas où”</w:t>
      </w:r>
      <w:r>
        <w:t xml:space="preserve"> </w:t>
      </w:r>
      <w:r>
        <w:t xml:space="preserve">indéfiniment.</w:t>
      </w:r>
    </w:p>
    <w:bookmarkEnd w:id="823"/>
    <w:bookmarkStart w:id="824" w:name="X7cd0c1950861179eb227123c40e5831ad32333c"/>
    <w:p>
      <w:pPr>
        <w:pStyle w:val="Heading2"/>
      </w:pPr>
      <w:r>
        <w:t xml:space="preserve">33.7 Choisir son hyperviseur : un aperçu avant les chapitres dédiés</w:t>
      </w:r>
    </w:p>
    <w:p>
      <w:pPr>
        <w:pStyle w:val="FirstParagraph"/>
      </w:pPr>
      <w:r>
        <w:t xml:space="preserve">💡 Le même cadre de décision que pour le choix de distribution Linux (chapitre 14)</w:t>
      </w:r>
      <w:r>
        <w:t xml:space="preserve"> </w:t>
      </w:r>
      <w:r>
        <w:t xml:space="preserve">Comme pour le choix entre Ubuntu, Rocky Linux et RHEL au chapitre 14, le choix d’un hyperviseur dépend de critères concrets — coût (licences VMware historiquement significatives, Proxmox open source et gratuit, Hyper-V inclus avec certaines licences Windows Server), expertise déjà présente dans l’équipe, écosystème d’outils de gestion, support commercial disponible — jamais d’une préférence personnelle isolée. Les chapitres 34 à 36 détaillent chacun de ces trois hyperviseurs pour permettre une décision réellement informée.</w:t>
      </w:r>
    </w:p>
    <w:bookmarkEnd w:id="824"/>
    <w:bookmarkStart w:id="825" w:name="X14f2d1c324a553899265efa3811790fd0ad7510"/>
    <w:p>
      <w:pPr>
        <w:pStyle w:val="Heading2"/>
      </w:pPr>
      <w:r>
        <w:t xml:space="preserve">Atelier — Justifier un plan de consolidation pour le scénario d’ouverture</w:t>
      </w:r>
    </w:p>
    <w:p>
      <w:pPr>
        <w:pStyle w:val="FirstParagraph"/>
      </w:pPr>
      <w:r>
        <w:t xml:space="preserve">🛠️ Atelier 33 — Répondre au DSI avec des arguments concrets</w:t>
      </w:r>
    </w:p>
    <w:p>
      <w:pPr>
        <w:pStyle w:val="BodyText"/>
      </w:pPr>
      <w:r>
        <w:rPr>
          <w:b/>
          <w:bCs/>
        </w:rPr>
        <w:t xml:space="preserve">Objectif</w:t>
      </w:r>
      <w:r>
        <w:t xml:space="preserve"> </w:t>
      </w:r>
      <w:r>
        <w:t xml:space="preserve">: construire une argumentation de consolidation par la virtualisation, en s’appuyant sur l’inventaire déjà connu de ce manuel.</w:t>
      </w:r>
    </w:p>
    <w:p>
      <w:pPr>
        <w:pStyle w:val="BodyText"/>
      </w:pPr>
      <w:r>
        <w:rPr>
          <w:b/>
          <w:bCs/>
        </w:rPr>
        <w:t xml:space="preserve">Préparation</w:t>
      </w:r>
      <w:r>
        <w:t xml:space="preserve"> </w:t>
      </w:r>
      <w:r>
        <w:t xml:space="preserve">: aucune installation nécessaire — cet atelier est un exercice d’argumentation structurée.</w:t>
      </w:r>
    </w:p>
    <w:p>
      <w:pPr>
        <w:pStyle w:val="BodyText"/>
      </w:pPr>
      <w:r>
        <w:rPr>
          <w:b/>
          <w:bCs/>
        </w:rPr>
        <w:t xml:space="preserve">Étapes détaillées</w:t>
      </w:r>
      <w:r>
        <w:t xml:space="preserve"> </w:t>
      </w:r>
      <w:r>
        <w:t xml:space="preserve">:</w:t>
      </w:r>
    </w:p>
    <w:p>
      <w:pPr>
        <w:pStyle w:val="Compact"/>
        <w:numPr>
          <w:ilvl w:val="0"/>
          <w:numId w:val="1759"/>
        </w:numPr>
      </w:pPr>
      <w:r>
        <w:t xml:space="preserve">Liste au moins quatre serveurs physiques déjà mentionnés dans ce manuel qui pourraient être de bons candidats à la virtualisation, en expliquant brièvement pourquoi pour chacun.</w:t>
      </w:r>
    </w:p>
    <w:p>
      <w:pPr>
        <w:pStyle w:val="Compact"/>
        <w:numPr>
          <w:ilvl w:val="0"/>
          <w:numId w:val="1759"/>
        </w:numPr>
      </w:pPr>
      <w:r>
        <w:t xml:space="preserve">Identifie un serveur ou un cas d’usage qui pourrait, à l’inverse, justifier de rester sur du matériel physique dédié (indice : reviens à la section 27.1 du chapitre 27 sur les compromis matériel/logiciel, un principe transposable ici).</w:t>
      </w:r>
    </w:p>
    <w:p>
      <w:pPr>
        <w:pStyle w:val="Compact"/>
        <w:numPr>
          <w:ilvl w:val="0"/>
          <w:numId w:val="1759"/>
        </w:numPr>
      </w:pPr>
      <w:r>
        <w:t xml:space="preserve">Rédige une réponse de 4 à 5 phrases au DSI, avec des arguments concrets plutôt qu’une simple affirmation que</w:t>
      </w:r>
      <w:r>
        <w:t xml:space="preserve"> </w:t>
      </w:r>
      <w:r>
        <w:t xml:space="preserve">“la virtualisation, c’est mieux”</w:t>
      </w:r>
      <w:r>
        <w:t xml:space="preserve">.</w:t>
      </w:r>
    </w:p>
    <w:p>
      <w:pPr>
        <w:pStyle w:val="Compact"/>
        <w:numPr>
          <w:ilvl w:val="0"/>
          <w:numId w:val="1759"/>
        </w:numPr>
      </w:pPr>
      <w:r>
        <w:t xml:space="preserve">Compare ta démarche à la section</w:t>
      </w:r>
      <w:r>
        <w:t xml:space="preserve"> </w:t>
      </w:r>
      <w:r>
        <w:t xml:space="preserve">“Résultat attendu”</w:t>
      </w:r>
      <w:r>
        <w:t xml:space="preserve">.</w:t>
      </w:r>
    </w:p>
    <w:p>
      <w:pPr>
        <w:pStyle w:val="FirstParagraph"/>
      </w:pPr>
      <w:r>
        <w:rPr>
          <w:b/>
          <w:bCs/>
        </w:rPr>
        <w:t xml:space="preserve">Résultat attendu</w:t>
      </w:r>
      <w:r>
        <w:t xml:space="preserve"> </w:t>
      </w:r>
      <w:r>
        <w:t xml:space="preserve">: les contrôleurs de domaine (chapitre 5), le serveur du portail (chapitre 14), le serveur de gestion documentaire (chapitre 19) et un futur serveur de supervision (Partie 10 à venir) sont tous de bons candidats — des charges de travail modérées, rarement utilisées à pleine capacité en permanence. Un serveur avec une charge transactionnelle extrêmement intensive à très faible latence pourrait, à l’inverse, justifier un accès direct au matériel sans la couche d’abstraction de l’hyperviseur, dans le même esprit que le choix RAID matériel du chapitre 27 pour des charges spécifiques. La réponse au DSI doit mentionner explicitement la réduction du nombre de serveurs physiques (donc de la consommation électrique et du besoin en onduleurs, pertinent dans le contexte haïtien), la flexibilité accrue (redimensionner une VM sans changer de matériel), et la nécessité corollaire d’une surveillance de la surallocation pour ne pas dégrader les performances.</w:t>
      </w:r>
    </w:p>
    <w:p>
      <w:pPr>
        <w:pStyle w:val="BodyText"/>
      </w:pPr>
      <w:r>
        <w:rPr>
          <w:b/>
          <w:bCs/>
        </w:rPr>
        <w:t xml:space="preserve">Dépannage</w:t>
      </w:r>
      <w:r>
        <w:t xml:space="preserve"> </w:t>
      </w:r>
      <w:r>
        <w:t xml:space="preserve">: si tu identifies difficilement un cas justifiant de rester sur du matériel physique dédié, reviens au tableau comparatif matériel/logiciel du chapitre 27 — la même logique de compromis (performance brute vs flexibilité) s’applique directement à la décision de virtualiser ou non.</w:t>
      </w:r>
    </w:p>
    <w:bookmarkEnd w:id="825"/>
    <w:bookmarkStart w:id="826" w:name="erreurs-fréquentes-32"/>
    <w:p>
      <w:pPr>
        <w:pStyle w:val="Heading2"/>
      </w:pPr>
      <w:r>
        <w:t xml:space="preserve">Erreurs fréquentes</w:t>
      </w:r>
    </w:p>
    <w:p>
      <w:pPr>
        <w:pStyle w:val="FirstParagraph"/>
      </w:pPr>
      <w:r>
        <w:t xml:space="preserve">⚠️ Erreur n°1 — surallouer sans jamais surveiller l’utilisation réelle</w:t>
      </w:r>
      <w:r>
        <w:t xml:space="preserve"> </w:t>
      </w:r>
      <w:r>
        <w:t xml:space="preserve">Rappel de la section 33.5 : la surallocation est un pari raisonnable statistiquement, mais devient dangereuse sans surveillance continue de l’utilisation réelle des ressources.</w:t>
      </w:r>
    </w:p>
    <w:p>
      <w:pPr>
        <w:pStyle w:val="BodyText"/>
      </w:pPr>
      <w:r>
        <w:t xml:space="preserve">⚠️ Erreur n°2 — confondre snapshot et sauvegarde de VM</w:t>
      </w:r>
      <w:r>
        <w:t xml:space="preserve"> </w:t>
      </w:r>
      <w:r>
        <w:t xml:space="preserve">Rappel de la section 33.6 : exactement la même confusion déjà dénoncée pour le RAID (chapitre 17) et le NAS (chapitre 28), appliquée ici aux machines virtuelles.</w:t>
      </w:r>
    </w:p>
    <w:p>
      <w:pPr>
        <w:pStyle w:val="BodyText"/>
      </w:pPr>
      <w:r>
        <w:t xml:space="preserve">⚠️ Erreur n°3 — utiliser un hyperviseur Type 2 pour une charge de production réelle</w:t>
      </w:r>
      <w:r>
        <w:t xml:space="preserve"> </w:t>
      </w:r>
      <w:r>
        <w:t xml:space="preserve">Rappel de la section 33.3 : le Type 2 garde sa place légitime pour l’apprentissage et les tests, jamais pour héberger une charge de travail d’entreprise réelle et critique.</w:t>
      </w:r>
    </w:p>
    <w:bookmarkEnd w:id="826"/>
    <w:bookmarkStart w:id="827" w:name="Xaf4b3b49629ee60b847f6630d18d4fab2945476"/>
    <w:p>
      <w:pPr>
        <w:pStyle w:val="Heading2"/>
      </w:pPr>
      <w:r>
        <w:t xml:space="preserve">Diagnostiquer une dégradation de performance sur un hôte de virtualisation</w:t>
      </w:r>
    </w:p>
    <w:p>
      <w:pPr>
        <w:pStyle w:val="FirstParagraph"/>
      </w:pPr>
      <w:r>
        <w:t xml:space="preserve">🩺 Symptôme : plusieurs VM ralentissent simultanément, sans lien apparent entre elles</w:t>
      </w:r>
    </w:p>
    <w:p>
      <w:pPr>
        <w:pStyle w:val="Compact"/>
        <w:numPr>
          <w:ilvl w:val="0"/>
          <w:numId w:val="1760"/>
        </w:numPr>
      </w:pPr>
      <w:r>
        <w:rPr>
          <w:b/>
          <w:bCs/>
        </w:rPr>
        <w:t xml:space="preserve">Diagnostic</w:t>
      </w:r>
      <w:r>
        <w:t xml:space="preserve"> </w:t>
      </w:r>
      <w:r>
        <w:t xml:space="preserve">: une dégradation simultanée touchant plusieurs VM différentes, plutôt qu’une seule, pointe presque toujours vers une contention de ressources au niveau de l’hôte physique lui-même (section 33.5), plutôt que vers un problème spécifique à chaque VM individuellement.</w:t>
      </w:r>
    </w:p>
    <w:p>
      <w:pPr>
        <w:pStyle w:val="Compact"/>
        <w:numPr>
          <w:ilvl w:val="0"/>
          <w:numId w:val="1760"/>
        </w:numPr>
      </w:pPr>
      <w:r>
        <w:rPr>
          <w:b/>
          <w:bCs/>
        </w:rPr>
        <w:t xml:space="preserve">Comment vérifier</w:t>
      </w:r>
      <w:r>
        <w:t xml:space="preserve"> </w:t>
      </w:r>
      <w:r>
        <w:t xml:space="preserve">: consulter les métriques d’utilisation CPU/RAM au niveau de l’hôte (approfondi dans les chapitres 34-36 selon l’hyperviseur utilisé) plutôt qu’uniquement au niveau de chaque VM individuellement — un hôte proche de la saturation explique souvent un ralentissement généralisé qu’aucune VM prise isolément ne révélerait.</w:t>
      </w:r>
    </w:p>
    <w:p>
      <w:pPr>
        <w:pStyle w:val="Compact"/>
        <w:numPr>
          <w:ilvl w:val="0"/>
          <w:numId w:val="1760"/>
        </w:numPr>
      </w:pPr>
      <w:r>
        <w:rPr>
          <w:b/>
          <w:bCs/>
        </w:rPr>
        <w:t xml:space="preserve">Résolution</w:t>
      </w:r>
      <w:r>
        <w:t xml:space="preserve"> </w:t>
      </w:r>
      <w:r>
        <w:t xml:space="preserve">: si la contention est confirmée, soit redistribuer les VM sur d’autres hôtes disponibles (si une infrastructure à plusieurs hôtes existe), soit revoir à la baisse le niveau de surallocation configuré, soit planifier une extension de capacité physique — jamais ignorer le symptôme en espérant qu’il se résorbe de lui-même.</w:t>
      </w:r>
    </w:p>
    <w:bookmarkEnd w:id="827"/>
    <w:bookmarkStart w:id="828" w:name="en-entreprise-32"/>
    <w:p>
      <w:pPr>
        <w:pStyle w:val="Heading2"/>
      </w:pPr>
      <w:r>
        <w:t xml:space="preserve">En entreprise</w:t>
      </w:r>
    </w:p>
    <w:p>
      <w:pPr>
        <w:pStyle w:val="Compact"/>
        <w:numPr>
          <w:ilvl w:val="0"/>
          <w:numId w:val="1761"/>
        </w:numPr>
      </w:pPr>
      <w:r>
        <w:rPr>
          <w:b/>
          <w:bCs/>
        </w:rPr>
        <w:t xml:space="preserve">Bonne pratique répandue</w:t>
      </w:r>
      <w:r>
        <w:t xml:space="preserve"> </w:t>
      </w:r>
      <w:r>
        <w:t xml:space="preserve">: documenter (chapitre 3) pour chaque hôte de virtualisation son taux de surallocation configuré et ses seuils d’alerte, au même titre que tout autre actif critique de l’infrastructure.</w:t>
      </w:r>
    </w:p>
    <w:p>
      <w:pPr>
        <w:pStyle w:val="Compact"/>
        <w:numPr>
          <w:ilvl w:val="0"/>
          <w:numId w:val="1761"/>
        </w:numPr>
      </w:pPr>
      <w:r>
        <w:rPr>
          <w:b/>
          <w:bCs/>
        </w:rPr>
        <w:t xml:space="preserve">Bonne pratique répandue</w:t>
      </w:r>
      <w:r>
        <w:t xml:space="preserve"> </w:t>
      </w:r>
      <w:r>
        <w:t xml:space="preserve">: planifier une marge de capacité physique non allouée sur chaque hôte, pour absorber une croissance progressive des besoins sans devoir réagir dans l’urgence à chaque nouvelle demande de VM.</w:t>
      </w:r>
    </w:p>
    <w:p>
      <w:pPr>
        <w:pStyle w:val="Compact"/>
        <w:numPr>
          <w:ilvl w:val="0"/>
          <w:numId w:val="1761"/>
        </w:numPr>
      </w:pPr>
      <w:r>
        <w:rPr>
          <w:b/>
          <w:bCs/>
        </w:rPr>
        <w:t xml:space="preserve">Erreur classique observée</w:t>
      </w:r>
      <w:r>
        <w:t xml:space="preserve"> </w:t>
      </w:r>
      <w:r>
        <w:t xml:space="preserve">: une consolidation initiale bien pensée qui se dégrade progressivement au fil des années, chaque nouvelle VM étant ajoutée sans revalider la capacité globale réellement disponible sur l’hôte concerné.</w:t>
      </w:r>
    </w:p>
    <w:bookmarkEnd w:id="828"/>
    <w:bookmarkStart w:id="829" w:name="entretien-technique-32"/>
    <w:p>
      <w:pPr>
        <w:pStyle w:val="Heading2"/>
      </w:pPr>
      <w:r>
        <w:t xml:space="preserve">Entretien technique</w:t>
      </w:r>
    </w:p>
    <w:p>
      <w:pPr>
        <w:pStyle w:val="FirstParagraph"/>
      </w:pPr>
      <w:r>
        <w:t xml:space="preserve">💼 Questions fréquemment posées en entretien</w:t>
      </w:r>
    </w:p>
    <w:p>
      <w:pPr>
        <w:pStyle w:val="BodyText"/>
      </w:pPr>
      <w:r>
        <w:rPr>
          <w:b/>
          <w:bCs/>
        </w:rPr>
        <w:t xml:space="preserve">Q1.</w:t>
      </w:r>
      <w:r>
        <w:rPr>
          <w:b/>
          <w:bCs/>
        </w:rPr>
        <w:t xml:space="preserve"> </w:t>
      </w:r>
      <w:r>
        <w:rPr>
          <w:b/>
          <w:bCs/>
        </w:rPr>
        <w:t xml:space="preserve">“Quelle est la différence entre un hyperviseur de Type 1 et de Type 2 ?”</w:t>
      </w:r>
      <w:r>
        <w:t xml:space="preserve"> </w:t>
      </w:r>
      <w:r>
        <w:t xml:space="preserve">Réponse attendue : le Type 1 (bare-metal) s’installe directement sur le matériel physique, sans système d’exploitation hôte intermédiaire, offrant de meilleures performances — utilisé en production. Le Type 2 (hébergé) s’installe comme une application par-dessus un système d’exploitation existant, plus adapté à l’apprentissage et aux tests qu’à la production.</w:t>
      </w:r>
    </w:p>
    <w:p>
      <w:pPr>
        <w:pStyle w:val="BodyText"/>
      </w:pPr>
      <w:r>
        <w:rPr>
          <w:b/>
          <w:bCs/>
        </w:rPr>
        <w:t xml:space="preserve">Q2.</w:t>
      </w:r>
      <w:r>
        <w:rPr>
          <w:b/>
          <w:bCs/>
        </w:rPr>
        <w:t xml:space="preserve"> </w:t>
      </w:r>
      <w:r>
        <w:rPr>
          <w:b/>
          <w:bCs/>
        </w:rPr>
        <w:t xml:space="preserve">“Qu’est-ce que la surallocation (overcommit), et pourquoi est-elle à la fois utile et risquée ?”</w:t>
      </w:r>
      <w:r>
        <w:t xml:space="preserve"> </w:t>
      </w:r>
      <w:r>
        <w:t xml:space="preserve">Réponse attendue : la surallocation consiste à allouer plus de ressources virtuelles (vCPU, vRAM) que la capacité physique réelle du serveur, en pariant sur le fait que toutes les VM n’utiliseront jamais simultanément 100% de leurs ressources allouées — un pari économiquement avantageux, mais risqué sans surveillance continue, pouvant provoquer une contention dégradant toutes les VM concernées simultanément.</w:t>
      </w:r>
    </w:p>
    <w:p>
      <w:pPr>
        <w:pStyle w:val="BodyText"/>
      </w:pPr>
      <w:r>
        <w:rPr>
          <w:b/>
          <w:bCs/>
        </w:rPr>
        <w:t xml:space="preserve">Q3.</w:t>
      </w:r>
      <w:r>
        <w:rPr>
          <w:b/>
          <w:bCs/>
        </w:rPr>
        <w:t xml:space="preserve"> </w:t>
      </w:r>
      <w:r>
        <w:rPr>
          <w:b/>
          <w:bCs/>
        </w:rPr>
        <w:t xml:space="preserve">“Pourquoi un snapshot de VM ne remplace-t-il jamais une sauvegarde ?”</w:t>
      </w:r>
      <w:r>
        <w:t xml:space="preserve"> </w:t>
      </w:r>
      <w:r>
        <w:t xml:space="preserve">Réponse attendue : un snapshot capture un état à un instant précis mais reste généralement stocké sur le même support physique que la VM elle-même — il ne protège donc pas contre une panne de ce support, contrairement à une sauvegarde résidant sur un stockage physiquement distinct, exactement le même principe déjà établi pour le RAID et le NAS.</w:t>
      </w:r>
    </w:p>
    <w:bookmarkEnd w:id="829"/>
    <w:bookmarkStart w:id="830" w:name="X684ed0489dcc4d5257c7c222fa8bd3e5e6ab745"/>
    <w:p>
      <w:pPr>
        <w:pStyle w:val="Heading2"/>
      </w:pPr>
      <w:r>
        <w:t xml:space="preserve">Optimisation, sécurité et maintenabilité — les réflexes dès ce chapitre</w:t>
      </w:r>
    </w:p>
    <w:p>
      <w:pPr>
        <w:pStyle w:val="FirstParagraph"/>
      </w:pPr>
      <w:r>
        <w:t xml:space="preserve">🔒 Sécurité</w:t>
      </w:r>
      <w:r>
        <w:t xml:space="preserve"> </w:t>
      </w:r>
      <w:r>
        <w:t xml:space="preserve">Isole les VM sensibles (comme les contrôleurs de domaine) sur des hôtes ou des politiques de sécurité distinctes des VM moins critiques quand c’est possible — un principe de segmentation qui rejoint directement la philosophie Zero Trust du chapitre 26, appliquée ici à l’infrastructure de virtualisation elle-même.</w:t>
      </w:r>
    </w:p>
    <w:p>
      <w:pPr>
        <w:pStyle w:val="BodyText"/>
      </w:pPr>
      <w:r>
        <w:t xml:space="preserve">✅ Maintenabilité</w:t>
      </w:r>
      <w:r>
        <w:t xml:space="preserve"> </w:t>
      </w:r>
      <w:r>
        <w:t xml:space="preserve">Documente (chapitre 3) la cartographie complète des VM par hôte physique, avec leur criticité respective — une information indispensable pour planifier une maintenance de l’hôte (chapitre 2) sans risquer d’interrompre plusieurs services critiques simultanément par accident.</w:t>
      </w:r>
    </w:p>
    <w:p>
      <w:pPr>
        <w:pStyle w:val="BodyText"/>
      </w:pPr>
      <w:r>
        <w:t xml:space="preserve">🚀 Performance</w:t>
      </w:r>
      <w:r>
        <w:t xml:space="preserve"> </w:t>
      </w:r>
      <w:r>
        <w:t xml:space="preserve">Surveille en continu l’utilisation réelle des ressources de chaque hôte de virtualisation (Partie 10), pas seulement au moment du déploiement initial — la surallocation qui semblait raisonnable à la conception peut devenir problématique à mesure que les charges de travail évoluent et croissent dans le temps.</w:t>
      </w:r>
    </w:p>
    <w:bookmarkEnd w:id="830"/>
    <w:bookmarkStart w:id="831" w:name="résumé-du-chapitre-32"/>
    <w:p>
      <w:pPr>
        <w:pStyle w:val="Heading2"/>
      </w:pPr>
      <w:r>
        <w:t xml:space="preserve">Résumé du chapitre</w:t>
      </w:r>
    </w:p>
    <w:p>
      <w:pPr>
        <w:pStyle w:val="Compact"/>
        <w:numPr>
          <w:ilvl w:val="0"/>
          <w:numId w:val="1762"/>
        </w:numPr>
      </w:pPr>
      <w:r>
        <w:t xml:space="preserve">La virtualisation consolide plusieurs charges de travail sous-utilisées sur un nombre restreint de serveurs physiques, réduisant les coûts fixes (électricité, espace, matériel).</w:t>
      </w:r>
    </w:p>
    <w:p>
      <w:pPr>
        <w:pStyle w:val="Compact"/>
        <w:numPr>
          <w:ilvl w:val="0"/>
          <w:numId w:val="1762"/>
        </w:numPr>
      </w:pPr>
      <w:r>
        <w:t xml:space="preserve">Les hyperviseurs de Type 1 (bare-metal) dominent en production ; les hyperviseurs de Type 2 (hébergés) restent réservés à l’apprentissage et aux tests.</w:t>
      </w:r>
    </w:p>
    <w:p>
      <w:pPr>
        <w:pStyle w:val="Compact"/>
        <w:numPr>
          <w:ilvl w:val="0"/>
          <w:numId w:val="1762"/>
        </w:numPr>
      </w:pPr>
      <w:r>
        <w:t xml:space="preserve">vCPU, vRAM, disques virtuels et commutateurs virtuels constituent le vocabulaire de base de la virtualisation, repris dans les chapitres suivants.</w:t>
      </w:r>
    </w:p>
    <w:p>
      <w:pPr>
        <w:pStyle w:val="Compact"/>
        <w:numPr>
          <w:ilvl w:val="0"/>
          <w:numId w:val="1762"/>
        </w:numPr>
      </w:pPr>
      <w:r>
        <w:t xml:space="preserve">La surallocation permet une consolidation économiquement avantageuse, mais nécessite une surveillance continue pour éviter une contention dégradant plusieurs VM simultanément.</w:t>
      </w:r>
    </w:p>
    <w:p>
      <w:pPr>
        <w:pStyle w:val="Compact"/>
        <w:numPr>
          <w:ilvl w:val="0"/>
          <w:numId w:val="1762"/>
        </w:numPr>
      </w:pPr>
      <w:r>
        <w:t xml:space="preserve">Un snapshot de VM ne remplace jamais une sauvegarde, exactement le même principe déjà établi pour le RAID et le NAS en Partie 5.</w:t>
      </w:r>
    </w:p>
    <w:bookmarkEnd w:id="831"/>
    <w:bookmarkStart w:id="832" w:name="quiz-32"/>
    <w:p>
      <w:pPr>
        <w:pStyle w:val="Heading2"/>
      </w:pPr>
      <w:r>
        <w:t xml:space="preserve">Quiz</w:t>
      </w:r>
    </w:p>
    <w:p>
      <w:pPr>
        <w:pStyle w:val="FirstParagraph"/>
      </w:pPr>
      <w:r>
        <w:t xml:space="preserve">📝 QCM (une seule bonne réponse par question)</w:t>
      </w:r>
    </w:p>
    <w:p>
      <w:pPr>
        <w:pStyle w:val="Compact"/>
        <w:numPr>
          <w:ilvl w:val="0"/>
          <w:numId w:val="1763"/>
        </w:numPr>
      </w:pPr>
      <w:r>
        <w:t xml:space="preserve">Un hyperviseur de Type 1 se caractérise par :</w:t>
      </w:r>
    </w:p>
    <w:p>
      <w:pPr>
        <w:pStyle w:val="Compact"/>
        <w:numPr>
          <w:ilvl w:val="1"/>
          <w:numId w:val="1764"/>
        </w:numPr>
      </w:pPr>
    </w:p>
    <w:p>
      <w:pPr>
        <w:pStyle w:val="Compact"/>
        <w:numPr>
          <w:ilvl w:val="2"/>
          <w:numId w:val="1765"/>
        </w:numPr>
      </w:pPr>
      <w:r>
        <w:t xml:space="preserve">Son installation par-dessus un système d’exploitation existant</w:t>
      </w:r>
    </w:p>
    <w:p>
      <w:pPr>
        <w:pStyle w:val="Compact"/>
        <w:numPr>
          <w:ilvl w:val="1"/>
          <w:numId w:val="1764"/>
        </w:numPr>
      </w:pPr>
    </w:p>
    <w:p>
      <w:pPr>
        <w:pStyle w:val="Compact"/>
        <w:numPr>
          <w:ilvl w:val="2"/>
          <w:numId w:val="1766"/>
        </w:numPr>
      </w:pPr>
      <w:r>
        <w:t xml:space="preserve">Son installation directe sur le matériel physique, sans OS hôte intermédiaire</w:t>
      </w:r>
    </w:p>
    <w:p>
      <w:pPr>
        <w:pStyle w:val="Compact"/>
        <w:numPr>
          <w:ilvl w:val="1"/>
          <w:numId w:val="1764"/>
        </w:numPr>
      </w:pPr>
    </w:p>
    <w:p>
      <w:pPr>
        <w:pStyle w:val="Compact"/>
        <w:numPr>
          <w:ilvl w:val="2"/>
          <w:numId w:val="1767"/>
        </w:numPr>
      </w:pPr>
      <w:r>
        <w:t xml:space="preserve">Son usage exclusif pour les tests personnels</w:t>
      </w:r>
    </w:p>
    <w:p>
      <w:pPr>
        <w:pStyle w:val="Compact"/>
        <w:numPr>
          <w:ilvl w:val="1"/>
          <w:numId w:val="1764"/>
        </w:numPr>
      </w:pPr>
    </w:p>
    <w:p>
      <w:pPr>
        <w:pStyle w:val="Compact"/>
        <w:numPr>
          <w:ilvl w:val="2"/>
          <w:numId w:val="1768"/>
        </w:numPr>
      </w:pPr>
      <w:r>
        <w:t xml:space="preserve">L’absence totale de VM</w:t>
      </w:r>
    </w:p>
    <w:p>
      <w:pPr>
        <w:pStyle w:val="Compact"/>
        <w:numPr>
          <w:ilvl w:val="0"/>
          <w:numId w:val="1763"/>
        </w:numPr>
      </w:pPr>
      <w:r>
        <w:t xml:space="preserve">La surallocation (overcommit) consiste à :</w:t>
      </w:r>
    </w:p>
    <w:p>
      <w:pPr>
        <w:pStyle w:val="Compact"/>
        <w:numPr>
          <w:ilvl w:val="1"/>
          <w:numId w:val="1769"/>
        </w:numPr>
      </w:pPr>
    </w:p>
    <w:p>
      <w:pPr>
        <w:pStyle w:val="Compact"/>
        <w:numPr>
          <w:ilvl w:val="2"/>
          <w:numId w:val="1770"/>
        </w:numPr>
      </w:pPr>
      <w:r>
        <w:t xml:space="preserve">Toujours allouer exactement les ressources physiques disponibles, sans marge</w:t>
      </w:r>
    </w:p>
    <w:p>
      <w:pPr>
        <w:pStyle w:val="Compact"/>
        <w:numPr>
          <w:ilvl w:val="1"/>
          <w:numId w:val="1769"/>
        </w:numPr>
      </w:pPr>
    </w:p>
    <w:p>
      <w:pPr>
        <w:pStyle w:val="Compact"/>
        <w:numPr>
          <w:ilvl w:val="2"/>
          <w:numId w:val="1771"/>
        </w:numPr>
      </w:pPr>
      <w:r>
        <w:t xml:space="preserve">Allouer plus de ressources virtuelles que la capacité physique réelle, en pariant sur une utilisation partielle simultanée</w:t>
      </w:r>
    </w:p>
    <w:p>
      <w:pPr>
        <w:pStyle w:val="Compact"/>
        <w:numPr>
          <w:ilvl w:val="1"/>
          <w:numId w:val="1769"/>
        </w:numPr>
      </w:pPr>
    </w:p>
    <w:p>
      <w:pPr>
        <w:pStyle w:val="Compact"/>
        <w:numPr>
          <w:ilvl w:val="2"/>
          <w:numId w:val="1772"/>
        </w:numPr>
      </w:pPr>
      <w:r>
        <w:t xml:space="preserve">Interdire toute VM d’utiliser plus de 50% du CPU</w:t>
      </w:r>
    </w:p>
    <w:p>
      <w:pPr>
        <w:pStyle w:val="Compact"/>
        <w:numPr>
          <w:ilvl w:val="1"/>
          <w:numId w:val="1769"/>
        </w:numPr>
      </w:pPr>
    </w:p>
    <w:p>
      <w:pPr>
        <w:pStyle w:val="Compact"/>
        <w:numPr>
          <w:ilvl w:val="2"/>
          <w:numId w:val="1773"/>
        </w:numPr>
      </w:pPr>
      <w:r>
        <w:t xml:space="preserve">Dupliquer chaque VM sur deux hôtes physiques</w:t>
      </w:r>
    </w:p>
    <w:p>
      <w:pPr>
        <w:pStyle w:val="Compact"/>
        <w:numPr>
          <w:ilvl w:val="0"/>
          <w:numId w:val="1763"/>
        </w:numPr>
      </w:pPr>
      <w:r>
        <w:t xml:space="preserve">Un snapshot de VM :</w:t>
      </w:r>
    </w:p>
    <w:p>
      <w:pPr>
        <w:pStyle w:val="Compact"/>
        <w:numPr>
          <w:ilvl w:val="1"/>
          <w:numId w:val="1774"/>
        </w:numPr>
      </w:pPr>
    </w:p>
    <w:p>
      <w:pPr>
        <w:pStyle w:val="Compact"/>
        <w:numPr>
          <w:ilvl w:val="2"/>
          <w:numId w:val="1775"/>
        </w:numPr>
      </w:pPr>
      <w:r>
        <w:t xml:space="preserve">Remplace entièrement le besoin de sauvegarde</w:t>
      </w:r>
    </w:p>
    <w:p>
      <w:pPr>
        <w:pStyle w:val="Compact"/>
        <w:numPr>
          <w:ilvl w:val="1"/>
          <w:numId w:val="1774"/>
        </w:numPr>
      </w:pPr>
    </w:p>
    <w:p>
      <w:pPr>
        <w:pStyle w:val="Compact"/>
        <w:numPr>
          <w:ilvl w:val="2"/>
          <w:numId w:val="1776"/>
        </w:numPr>
      </w:pPr>
      <w:r>
        <w:t xml:space="preserve">Protège contre une panne du stockage physique sous-jacent</w:t>
      </w:r>
    </w:p>
    <w:p>
      <w:pPr>
        <w:pStyle w:val="Compact"/>
        <w:numPr>
          <w:ilvl w:val="1"/>
          <w:numId w:val="1774"/>
        </w:numPr>
      </w:pPr>
    </w:p>
    <w:p>
      <w:pPr>
        <w:pStyle w:val="Compact"/>
        <w:numPr>
          <w:ilvl w:val="2"/>
          <w:numId w:val="1777"/>
        </w:numPr>
      </w:pPr>
      <w:r>
        <w:t xml:space="preserve">Capture un état précis, mais ne protège généralement pas contre une panne du support physique sous-jacent</w:t>
      </w:r>
    </w:p>
    <w:p>
      <w:pPr>
        <w:pStyle w:val="Compact"/>
        <w:numPr>
          <w:ilvl w:val="1"/>
          <w:numId w:val="1774"/>
        </w:numPr>
      </w:pPr>
    </w:p>
    <w:p>
      <w:pPr>
        <w:pStyle w:val="Compact"/>
        <w:numPr>
          <w:ilvl w:val="2"/>
          <w:numId w:val="1778"/>
        </w:numPr>
      </w:pPr>
      <w:r>
        <w:t xml:space="preserve">Doit toujours rester actif indéfiniment pour une protection maximale</w:t>
      </w:r>
    </w:p>
    <w:p>
      <w:pPr>
        <w:pStyle w:val="FirstParagraph"/>
      </w:pPr>
      <w:r>
        <w:rPr>
          <w:b/>
          <w:bCs/>
        </w:rPr>
        <w:t xml:space="preserve">Corrigé</w:t>
      </w:r>
      <w:r>
        <w:t xml:space="preserve"> </w:t>
      </w:r>
      <w:r>
        <w:t xml:space="preserve">: 1-b, 2-b, 3-c.</w:t>
      </w:r>
    </w:p>
    <w:p>
      <w:pPr>
        <w:pStyle w:val="BodyText"/>
      </w:pPr>
      <w:r>
        <w:t xml:space="preserve">📝 Vrai ou Faux</w:t>
      </w:r>
    </w:p>
    <w:p>
      <w:pPr>
        <w:pStyle w:val="Compact"/>
        <w:numPr>
          <w:ilvl w:val="0"/>
          <w:numId w:val="1779"/>
        </w:numPr>
      </w:pPr>
      <w:r>
        <w:t xml:space="preserve">Les hyperviseurs de Type 2 sont recommandés pour héberger des charges de travail de production critiques. —</w:t>
      </w:r>
      <w:r>
        <w:t xml:space="preserve"> </w:t>
      </w:r>
      <w:r>
        <w:rPr>
          <w:b/>
          <w:bCs/>
        </w:rPr>
        <w:t xml:space="preserve">Faux</w:t>
      </w:r>
      <w:r>
        <w:t xml:space="preserve"> </w:t>
      </w:r>
      <w:r>
        <w:t xml:space="preserve">(réservés à l’apprentissage et aux tests, section 33.3).</w:t>
      </w:r>
    </w:p>
    <w:p>
      <w:pPr>
        <w:pStyle w:val="Compact"/>
        <w:numPr>
          <w:ilvl w:val="0"/>
          <w:numId w:val="1779"/>
        </w:numPr>
      </w:pPr>
      <w:r>
        <w:t xml:space="preserve">Une contention de ressources sur un hôte de virtualisation peut dégrader plusieurs VM simultanément. —</w:t>
      </w:r>
      <w:r>
        <w:t xml:space="preserve"> </w:t>
      </w:r>
      <w:r>
        <w:rPr>
          <w:b/>
          <w:bCs/>
        </w:rPr>
        <w:t xml:space="preserve">Vrai</w:t>
      </w:r>
      <w:r>
        <w:t xml:space="preserve">.</w:t>
      </w:r>
    </w:p>
    <w:p>
      <w:pPr>
        <w:pStyle w:val="Compact"/>
        <w:numPr>
          <w:ilvl w:val="0"/>
          <w:numId w:val="1779"/>
        </w:numPr>
      </w:pPr>
      <w:r>
        <w:t xml:space="preserve">Un snapshot de VM laissé actif indéfiniment n’a aucun impact sur les performances. —</w:t>
      </w:r>
      <w:r>
        <w:t xml:space="preserve"> </w:t>
      </w:r>
      <w:r>
        <w:rPr>
          <w:b/>
          <w:bCs/>
        </w:rPr>
        <w:t xml:space="preserve">Faux</w:t>
      </w:r>
      <w:r>
        <w:t xml:space="preserve"> </w:t>
      </w:r>
      <w:r>
        <w:t xml:space="preserve">(il consomme un espace croissant et peut dégrader les performances, section 33.6).</w:t>
      </w:r>
    </w:p>
    <w:p>
      <w:pPr>
        <w:pStyle w:val="Compact"/>
        <w:numPr>
          <w:ilvl w:val="0"/>
          <w:numId w:val="1779"/>
        </w:numPr>
      </w:pPr>
      <w:r>
        <w:t xml:space="preserve">Le choix d’un hyperviseur devrait reposer sur des critères concrets (coût, expertise, écosystème), pas sur une préférence personnelle isolée. —</w:t>
      </w:r>
      <w:r>
        <w:t xml:space="preserve"> </w:t>
      </w:r>
      <w:r>
        <w:rPr>
          <w:b/>
          <w:bCs/>
        </w:rPr>
        <w:t xml:space="preserve">Vrai</w:t>
      </w:r>
      <w:r>
        <w:t xml:space="preserve">.</w:t>
      </w:r>
    </w:p>
    <w:p>
      <w:pPr>
        <w:pStyle w:val="FirstParagraph"/>
      </w:pPr>
      <w:r>
        <w:t xml:space="preserve">📝 Questions ouvertes</w:t>
      </w:r>
    </w:p>
    <w:p>
      <w:pPr>
        <w:pStyle w:val="Compact"/>
        <w:numPr>
          <w:ilvl w:val="0"/>
          <w:numId w:val="1780"/>
        </w:numPr>
      </w:pPr>
      <w:r>
        <w:t xml:space="preserve">Explique pourquoi la virtualisation est particulièrement pertinente dans un contexte où l’électricité est une ressource coûteuse et parfois instable, comme évoqué à plusieurs reprises dans ce manuel.</w:t>
      </w:r>
    </w:p>
    <w:p>
      <w:pPr>
        <w:pStyle w:val="Compact"/>
        <w:numPr>
          <w:ilvl w:val="0"/>
          <w:numId w:val="1780"/>
        </w:numPr>
      </w:pPr>
      <w:r>
        <w:t xml:space="preserve">Reprends le scénario d’ouverture. Explique pourquoi la réponse au DSI ne devrait pas être</w:t>
      </w:r>
      <w:r>
        <w:t xml:space="preserve"> </w:t>
      </w:r>
      <w:r>
        <w:t xml:space="preserve">“on virtualise tout, sans exception”</w:t>
      </w:r>
      <w:r>
        <w:t xml:space="preserve">.</w:t>
      </w:r>
    </w:p>
    <w:p>
      <w:pPr>
        <w:pStyle w:val="FirstParagraph"/>
      </w:pPr>
      <w:r>
        <w:rPr>
          <w:b/>
          <w:bCs/>
        </w:rPr>
        <w:t xml:space="preserve">Corrigé 1</w:t>
      </w:r>
      <w:r>
        <w:t xml:space="preserve"> </w:t>
      </w:r>
      <w:r>
        <w:t xml:space="preserve">: consolider plusieurs serveurs physiques sous-utilisés sur un nombre restreint d’hôtes réduit directement le nombre total de machines à alimenter, refroidir et protéger par onduleur — un bénéfice concret dans un contexte où chaque kilowattheure et chaque capacité d’onduleur représentent un coût et une contrainte réels, plutôt qu’un avantage purement théorique déconnecté du contexte opérationnel réel de l’entreprise.</w:t>
      </w:r>
    </w:p>
    <w:p>
      <w:pPr>
        <w:pStyle w:val="BodyText"/>
      </w:pPr>
      <w:r>
        <w:rPr>
          <w:b/>
          <w:bCs/>
        </w:rPr>
        <w:t xml:space="preserve">Corrigé 2</w:t>
      </w:r>
      <w:r>
        <w:t xml:space="preserve"> </w:t>
      </w:r>
      <w:r>
        <w:t xml:space="preserve">: comme évoqué en section 33.7 et dans l’atelier de ce chapitre, certaines charges de travail (transactionnelles très intensives à faible latence, ou nécessitant un accès matériel très spécifique) peuvent légitimement justifier de rester sur du matériel physique dédié — la virtualisation est un outil puissant et généralement avantageux, pas un dogme à appliquer aveuglément à toute situation sans évaluation au cas par cas, exactement le même principe de décision contextuelle déjà appliqué au choix de distribution Linux (chapitre 14) et au choix RAID matériel/logiciel (chapitre 27).</w:t>
      </w:r>
    </w:p>
    <w:bookmarkEnd w:id="832"/>
    <w:bookmarkStart w:id="833" w:name="exercices-32"/>
    <w:p>
      <w:pPr>
        <w:pStyle w:val="Heading2"/>
      </w:pPr>
      <w:r>
        <w:t xml:space="preserve">Exercices</w:t>
      </w:r>
    </w:p>
    <w:p>
      <w:pPr>
        <w:pStyle w:val="FirstParagraph"/>
      </w:pPr>
      <w:r>
        <w:t xml:space="preserve">📝 Exercice 33.1</w:t>
      </w:r>
    </w:p>
    <w:p>
      <w:pPr>
        <w:pStyle w:val="BodyText"/>
      </w:pPr>
      <w:r>
        <w:t xml:space="preserve">Un hôte de virtualisation dispose de 64 Go de RAM physique. Cinq VM y sont hébergées, chacune configurée avec 16 Go de vRAM allouée. Explique s’il s’agit d’une situation de surallocation, et si oui, pourquoi cela peut être un choix raisonnable ou risqué selon le contexte.</w:t>
      </w:r>
    </w:p>
    <w:p>
      <w:pPr>
        <w:pStyle w:val="BodyText"/>
      </w:pPr>
      <w:r>
        <w:rPr>
          <w:b/>
          <w:bCs/>
        </w:rPr>
        <w:t xml:space="preserve">Corrigé :</w:t>
      </w:r>
      <w:r>
        <w:t xml:space="preserve"> </w:t>
      </w:r>
      <w:r>
        <w:t xml:space="preserve">Oui, il s’agit d’une surallocation : 5 × 16 Go = 80 Go de vRAM allouée au total, contre seulement 64 Go de RAM physique réellement disponible sur l’hôte. Ce choix peut être raisonnable si les cinq VM n’utilisent statistiquement jamais simultanément la totalité de leur RAM allouée (par exemple, des serveurs applicatifs légers avec des pics d’usage décalés dans le temps) — mais deviendrait risqué si plusieurs de ces VM connaissaient des pics de charge simultanés, provoquant une contention de mémoire dégradant les performances de l’ensemble des VM concernées (section 33.5), une situation à surveiller activement plutôt qu’à simplement espérer qu’elle ne se produise jamais.</w:t>
      </w:r>
    </w:p>
    <w:p>
      <w:pPr>
        <w:pStyle w:val="BodyText"/>
      </w:pPr>
      <w:r>
        <w:t xml:space="preserve">📝 Exercice 33.2</w:t>
      </w:r>
    </w:p>
    <w:p>
      <w:pPr>
        <w:pStyle w:val="BodyText"/>
      </w:pPr>
      <w:r>
        <w:t xml:space="preserve">Rédige, en 3 à 5 phrases, pourquoi un serveur de test personnel sur un poste de travail individuel (comme un futur laboratoire d’apprentissage, chapitre 37) devrait utiliser un hyperviseur de Type 2, plutôt qu’un Type 1 comme en production.</w:t>
      </w:r>
    </w:p>
    <w:p>
      <w:pPr>
        <w:pStyle w:val="BodyText"/>
      </w:pPr>
      <w:r>
        <w:rPr>
          <w:b/>
          <w:bCs/>
        </w:rPr>
        <w:t xml:space="preserve">Corrigé (exemple de réponse) :</w:t>
      </w:r>
      <w:r>
        <w:t xml:space="preserve"> </w:t>
      </w:r>
      <w:r>
        <w:t xml:space="preserve">Un hyperviseur de Type 2 s’installe comme une application classique par-dessus le système d’exploitation déjà utilisé au quotidien sur le poste (Windows, macOS ou Linux), sans nécessiter de dédier une machine entière exclusivement à l’hyperviseur — un poste de travail individuel doit rester utilisable pour d’autres tâches quotidiennes, contrairement à un serveur de production dédié. La perte de performance du Type 2 par rapport au Type 1 (section 33.3) reste largement acceptable pour un usage d’apprentissage ou de test ponctuel, où la performance brute importe beaucoup moins que la simplicité d’installation et de cohabitation avec le reste de l’environnement de travail habituel.</w:t>
      </w:r>
    </w:p>
    <w:bookmarkEnd w:id="833"/>
    <w:bookmarkStart w:id="834" w:name="checklist-de-fin-de-chapitre-32"/>
    <w:p>
      <w:pPr>
        <w:pStyle w:val="Heading2"/>
      </w:pPr>
      <w:r>
        <w:t xml:space="preserve">Checklist de fin de chapitre</w:t>
      </w:r>
    </w:p>
    <w:p>
      <w:pPr>
        <w:pStyle w:val="FirstParagraph"/>
      </w:pPr>
      <w:r>
        <w:t xml:space="preserve">☐ Je comprends le principe de consolidation par la virtualisation et son intérêt économique.</w:t>
      </w:r>
    </w:p>
    <w:p>
      <w:pPr>
        <w:pStyle w:val="BodyText"/>
      </w:pPr>
      <w:r>
        <w:t xml:space="preserve">☐ Je sais distinguer un hyperviseur de Type 1 (bare-metal) d’un Type 2 (hébergé), et leurs cas d’usage respectifs.</w:t>
      </w:r>
    </w:p>
    <w:p>
      <w:pPr>
        <w:pStyle w:val="BodyText"/>
      </w:pPr>
      <w:r>
        <w:t xml:space="preserve">☐ Je connais le vocabulaire de base (vCPU, vRAM, disque virtuel, vSwitch).</w:t>
      </w:r>
    </w:p>
    <w:p>
      <w:pPr>
        <w:pStyle w:val="BodyText"/>
      </w:pPr>
      <w:r>
        <w:t xml:space="preserve">☐ Je comprends le principe et les risques de la surallocation (overcommit).</w:t>
      </w:r>
    </w:p>
    <w:p>
      <w:pPr>
        <w:pStyle w:val="BodyText"/>
      </w:pPr>
      <w:r>
        <w:t xml:space="preserve">☐ Je sais pourquoi un snapshot de VM ne remplace jamais une sauvegarde.</w:t>
      </w:r>
    </w:p>
    <w:p>
      <w:pPr>
        <w:pStyle w:val="BodyText"/>
      </w:pPr>
      <w:r>
        <w:t xml:space="preserve">☐ Je sais diagnostiquer une contention de ressources sur un hôte de virtualisation.</w:t>
      </w:r>
    </w:p>
    <w:bookmarkEnd w:id="834"/>
    <w:bookmarkStart w:id="835" w:name="faq-32"/>
    <w:p>
      <w:pPr>
        <w:pStyle w:val="Heading2"/>
      </w:pPr>
      <w:r>
        <w:t xml:space="preserve">FAQ</w:t>
      </w:r>
    </w:p>
    <w:p>
      <w:pPr>
        <w:pStyle w:val="FirstParagraph"/>
      </w:pPr>
      <w:r>
        <w:t xml:space="preserve">La virtualisation ajoute-t-elle une surcharge de performance significative par rapport au matériel physique nu ?</w:t>
      </w:r>
    </w:p>
    <w:p>
      <w:pPr>
        <w:pStyle w:val="BodyText"/>
      </w:pPr>
      <w:r>
        <w:t xml:space="preserve">Pour un hyperviseur de Type 1 moderne, la surcharge est généralement minime (quelques pourcents) pour la grande majorité des charges de travail — un compromis largement acceptable au vu des bénéfices de flexibilité et de consolidation, sauf pour des cas très spécifiques à latence ultra-critique déjà évoqués en section 33.7.</w:t>
      </w:r>
    </w:p>
    <w:p>
      <w:pPr>
        <w:pStyle w:val="BodyText"/>
      </w:pPr>
      <w:r>
        <w:t xml:space="preserve">Peut-on migrer une VM d’un hyperviseur vers un autre (par exemple de VMware vers Proxmox) ?</w:t>
      </w:r>
    </w:p>
    <w:p>
      <w:pPr>
        <w:pStyle w:val="BodyText"/>
      </w:pPr>
      <w:r>
        <w:t xml:space="preserve">Oui, c’est possible mais rarement totalement transparent — le sujet est approfondi au chapitre 38 (migration et interopérabilité entre hyperviseurs), qui couvre les défis réels de ce type de migration.</w:t>
      </w:r>
    </w:p>
    <w:p>
      <w:pPr>
        <w:pStyle w:val="BodyText"/>
      </w:pPr>
      <w:r>
        <w:t xml:space="preserve">Combien de VM peut-on raisonnablement héberger sur un seul hôte physique ?</w:t>
      </w:r>
    </w:p>
    <w:p>
      <w:pPr>
        <w:pStyle w:val="BodyText"/>
      </w:pPr>
      <w:r>
        <w:t xml:space="preserve">Il n’existe pas de chiffre universel — cela dépend entièrement des ressources physiques disponibles, du profil de charge de chaque VM, et du niveau de surallocation jugé acceptable (section 33.5) — un dimensionnement à évaluer au cas par cas, jamais une règle générale applicable sans réflexion.</w:t>
      </w:r>
    </w:p>
    <w:p>
      <w:pPr>
        <w:pStyle w:val="BodyText"/>
      </w:pPr>
      <w:r>
        <w:t xml:space="preserve">Faut-il toujours virtualiser les contrôleurs de domaine Active Directory ?</w:t>
      </w:r>
    </w:p>
    <w:p>
      <w:pPr>
        <w:pStyle w:val="BodyText"/>
      </w:pPr>
      <w:r>
        <w:t xml:space="preserve">C’est une pratique très répandue et généralement recommandée, à condition de respecter certaines précautions spécifiques (éviter de restaurer un snapshot d’un contrôleur de domaine sans précaution particulière, un sujet qui touche à l’intégrité de la réplication du chapitre 6) — les chapitres 34 à 36 abordent ces nuances spécifiques à chaque hyperviseur.</w:t>
      </w:r>
    </w:p>
    <w:bookmarkEnd w:id="835"/>
    <w:bookmarkStart w:id="839" w:name="références-et-pour-aller-plus-loin-32"/>
    <w:p>
      <w:pPr>
        <w:pStyle w:val="Heading2"/>
      </w:pPr>
      <w:r>
        <w:t xml:space="preserve">Références et pour aller plus loin</w:t>
      </w:r>
    </w:p>
    <w:p>
      <w:pPr>
        <w:pStyle w:val="Compact"/>
        <w:numPr>
          <w:ilvl w:val="0"/>
          <w:numId w:val="1781"/>
        </w:numPr>
      </w:pPr>
      <w:r>
        <w:t xml:space="preserve">VMware — Vue d’ensemble des concepts de virtualisation :</w:t>
      </w:r>
      <w:r>
        <w:t xml:space="preserve"> </w:t>
      </w:r>
      <w:hyperlink r:id="rId836">
        <w:r>
          <w:rPr>
            <w:rStyle w:val="Hyperlink"/>
          </w:rPr>
          <w:t xml:space="preserve">https://www.vmware.com/topics/virtualization</w:t>
        </w:r>
      </w:hyperlink>
    </w:p>
    <w:p>
      <w:pPr>
        <w:pStyle w:val="Compact"/>
        <w:numPr>
          <w:ilvl w:val="0"/>
          <w:numId w:val="1781"/>
        </w:numPr>
      </w:pPr>
      <w:r>
        <w:t xml:space="preserve">Microsoft Learn — Vue d’ensemble de la virtualisation Hyper-V :</w:t>
      </w:r>
      <w:r>
        <w:t xml:space="preserve"> </w:t>
      </w:r>
      <w:hyperlink r:id="rId837">
        <w:r>
          <w:rPr>
            <w:rStyle w:val="Hyperlink"/>
          </w:rPr>
          <w:t xml:space="preserve">https://learn.microsoft.com/fr-fr/virtualization/hyper-v-on-windows/about/</w:t>
        </w:r>
      </w:hyperlink>
    </w:p>
    <w:p>
      <w:pPr>
        <w:pStyle w:val="Compact"/>
        <w:numPr>
          <w:ilvl w:val="0"/>
          <w:numId w:val="1781"/>
        </w:numPr>
      </w:pPr>
      <w:r>
        <w:t xml:space="preserve">Documentation officielle Proxmox VE :</w:t>
      </w:r>
      <w:r>
        <w:t xml:space="preserve"> </w:t>
      </w:r>
      <w:hyperlink r:id="rId838">
        <w:r>
          <w:rPr>
            <w:rStyle w:val="Hyperlink"/>
          </w:rPr>
          <w:t xml:space="preserve">https://pve.proxmox.com/pve-docs/</w:t>
        </w:r>
      </w:hyperlink>
    </w:p>
    <w:p>
      <w:pPr>
        <w:pStyle w:val="FirstParagraph"/>
      </w:pPr>
      <w:r>
        <w:rPr>
          <w:i/>
          <w:iCs/>
        </w:rPr>
        <w:t xml:space="preserve">Chapitre suivant : VMware vSphere — le premier des trois hyperviseurs de production détaillés dans cette partie, avec ESXi et vCenter.</w:t>
      </w:r>
    </w:p>
    <w:p>
      <w:pPr>
        <w:pStyle w:val="BodyText"/>
      </w:pPr>
      <w:r>
        <w:t xml:space="preserve">CHAPITRE 34</w:t>
      </w:r>
    </w:p>
    <w:bookmarkEnd w:id="839"/>
    <w:bookmarkEnd w:id="840"/>
    <w:bookmarkStart w:id="867" w:name="vmware-vsphere-esxi-et-vcenter"/>
    <w:p>
      <w:pPr>
        <w:pStyle w:val="Heading1"/>
      </w:pPr>
      <w:r>
        <w:t xml:space="preserve">VMware vSphere : ESXi et vCenter</w:t>
      </w:r>
    </w:p>
    <w:p>
      <w:pPr>
        <w:pStyle w:val="FirstParagraph"/>
      </w:pPr>
      <w:r>
        <w:t xml:space="preserve">🎯 Objectif du chapitre</w:t>
      </w:r>
      <w:r>
        <w:t xml:space="preserve"> </w:t>
      </w:r>
      <w:r>
        <w:t xml:space="preserve">Découvrir VMware vSphere, la suite de virtualisation d’entreprise historiquement la plus mature et la plus répandue, à travers ses deux composants centraux : ESXi (l’hyperviseur) et vCenter (la gestion centralisée). À la fin de ce chapitre, tu sauras expliquer vMotion, DRS et HA, connecter vSphere au stockage partagé du chapitre 29, et éviter un piège classique et bien documenté qui affecte spécifiquement les contrôleurs de domaine virtualisés.</w:t>
      </w:r>
    </w:p>
    <w:p>
      <w:pPr>
        <w:pStyle w:val="BodyText"/>
      </w:pPr>
      <w:r>
        <w:t xml:space="preserve">🎬 Mise en situation</w:t>
      </w:r>
      <w:r>
        <w:t xml:space="preserve"> </w:t>
      </w:r>
      <w:r>
        <w:t xml:space="preserve">Suite à la décision de consolidation du chapitre 33, le DSI valide un budget pour virtualiser en priorité l’infrastructure la plus critique : les deux contrôleurs de domaine (chapitre 5). Compte tenu de la criticité de ces systèmes — toute l’authentification de l’entreprise en dépend — l’entreprise choisit VMware vSphere plutôt qu’une alternative moins mature, en s’appuyant sur le cadre de décision du chapitre 33 (écosystème le plus établi, support commercial disponible, documentation abondante pour une première migration vers la virtualisation). Trois semaines après la migration, un problème étrange survient : les contrôleurs de domaine virtualisés affichent des erreurs d’authentification Kerberos intermittentes — exactement le symptôme</w:t>
      </w:r>
      <w:r>
        <w:t xml:space="preserve"> </w:t>
      </w:r>
      <w:r>
        <w:t xml:space="preserve">“Clock skew too great”</w:t>
      </w:r>
      <w:r>
        <w:t xml:space="preserve"> </w:t>
      </w:r>
      <w:r>
        <w:t xml:space="preserve">déjà rencontré au chapitre 23, alors que rien n’a changé côté NTP. Ce chapitre explique la cause exacte de ce piège, bien documenté chez les administrateurs VMware expérimentés, avant même d’aborder les fonctionnalités plus avancées de vSphere.</w:t>
      </w:r>
    </w:p>
    <w:bookmarkStart w:id="844" w:name="X5ccfb422338a9ee90e43e71435252c4d7c9b03c"/>
    <w:p>
      <w:pPr>
        <w:pStyle w:val="Heading2"/>
      </w:pPr>
      <w:r>
        <w:t xml:space="preserve">34.1 vSphere : la suite complète, ESXi et vCenter</w:t>
      </w:r>
    </w:p>
    <w:p>
      <w:pPr>
        <w:pStyle w:val="FirstParagraph"/>
      </w:pPr>
      <w:r>
        <w:rPr>
          <w:b/>
          <w:bCs/>
        </w:rPr>
        <w:t xml:space="preserve">VMware vSphere</w:t>
      </w:r>
      <w:r>
        <w:t xml:space="preserve"> </w:t>
      </w:r>
      <w:r>
        <w:t xml:space="preserve">désigne l’ensemble de la suite de virtualisation, composée de deux briques distinctes mais complémentaires :</w:t>
      </w:r>
    </w:p>
    <w:p>
      <w:pPr>
        <w:pStyle w:val="BodyText"/>
      </w:pPr>
      <w:r>
        <w:t xml:space="preserve">📌 À retenir</w:t>
      </w:r>
      <w:r>
        <w:t xml:space="preserve"> </w:t>
      </w:r>
      <w:r>
        <w:t xml:space="preserve">ESXi</w:t>
      </w:r>
      <w:r>
        <w:t xml:space="preserve"> </w:t>
      </w:r>
      <w:r>
        <w:t xml:space="preserve">est l’hyperviseur lui-même — un hyperviseur de Type 1 (bare-metal, chapitre 33), installé directement sur chaque serveur physique.</w:t>
      </w:r>
      <w:r>
        <w:t xml:space="preserve"> </w:t>
      </w:r>
      <w:r>
        <w:t xml:space="preserve">vCenter</w:t>
      </w:r>
      <w:r>
        <w:t xml:space="preserve"> </w:t>
      </w:r>
      <w:r>
        <w:t xml:space="preserve">est la console de gestion centralisée, permettant d’administrer plusieurs hôtes ESXi comme un ensemble cohérent, plutôt que de se connecter individuellement à chacun — exactement le même besoin de gestion centralisée déjà rencontré avec Windows Admin Center (chapitre 4) ou Server Manager, appliqué ici à un parc d’hyperviseurs plutôt qu’à des serveurs physiques classiques.</w:t>
      </w:r>
    </w:p>
    <w:p>
      <w:pPr>
        <w:pStyle w:val="CaptionedFigure"/>
      </w:pPr>
      <w:r>
        <w:drawing>
          <wp:inline>
            <wp:extent cx="5334000" cy="4112963"/>
            <wp:effectExtent b="0" l="0" r="0" t="0"/>
            <wp:docPr descr="Diagramme" title="" id="842" name="Picture"/>
            <a:graphic>
              <a:graphicData uri="http://schemas.openxmlformats.org/drawingml/2006/picture">
                <pic:pic>
                  <pic:nvPicPr>
                    <pic:cNvPr descr="C:/Users/ingja/Desktop/jarvis-starter-kit/livrables/formations/manuel-administration-systeme/assets/diagrams/d-34-vmware-vsphere-diagramme-1.png" id="843" name="Picture"/>
                    <pic:cNvPicPr>
                      <a:picLocks noChangeArrowheads="1" noChangeAspect="1"/>
                    </pic:cNvPicPr>
                  </pic:nvPicPr>
                  <pic:blipFill>
                    <a:blip r:embed="rId841"/>
                    <a:stretch>
                      <a:fillRect/>
                    </a:stretch>
                  </pic:blipFill>
                  <pic:spPr bwMode="auto">
                    <a:xfrm>
                      <a:off x="0" y="0"/>
                      <a:ext cx="5334000" cy="4112963"/>
                    </a:xfrm>
                    <a:prstGeom prst="rect">
                      <a:avLst/>
                    </a:prstGeom>
                    <a:noFill/>
                    <a:ln w="9525">
                      <a:noFill/>
                      <a:headEnd/>
                      <a:tailEnd/>
                    </a:ln>
                  </pic:spPr>
                </pic:pic>
              </a:graphicData>
            </a:graphic>
          </wp:inline>
        </w:drawing>
      </w:r>
    </w:p>
    <w:p>
      <w:pPr>
        <w:pStyle w:val="ImageCaption"/>
      </w:pPr>
      <w:r>
        <w:t xml:space="preserve">Diagramme</w:t>
      </w:r>
    </w:p>
    <w:bookmarkEnd w:id="844"/>
    <w:bookmarkStart w:id="845" w:name="esxi-lhyperviseur-bare-metal-de-vmware"/>
    <w:p>
      <w:pPr>
        <w:pStyle w:val="Heading2"/>
      </w:pPr>
      <w:r>
        <w:t xml:space="preserve">34.2 ESXi : l’hyperviseur bare-metal de VMware</w:t>
      </w:r>
    </w:p>
    <w:p>
      <w:pPr>
        <w:pStyle w:val="FirstParagraph"/>
      </w:pPr>
      <w:r>
        <w:t xml:space="preserve">💡 ESXi, minimaliste par conception</w:t>
      </w:r>
      <w:r>
        <w:t xml:space="preserve"> </w:t>
      </w:r>
      <w:r>
        <w:t xml:space="preserve">ESXi est volontairement minimaliste : pas d’interface graphique complète comme un système d’exploitation classique, une empreinte disque réduite, une surface d’attaque limitée — exactement le même principe que Windows Server Core évoqué au chapitre 4, appliqué ici à un hyperviseur dédié plutôt qu’à un serveur généraliste. L’administration quotidienne se fait presque exclusivement via vCenter ou via des outils en ligne de commande (</w:t>
      </w:r>
      <w:r>
        <w:rPr>
          <w:rStyle w:val="VerbatimChar"/>
        </w:rPr>
        <w:t xml:space="preserve">esxcli</w:t>
      </w:r>
      <w:r>
        <w:t xml:space="preserve">), rarement en se connectant directement à la console de chaque hôte.</w:t>
      </w:r>
    </w:p>
    <w:bookmarkEnd w:id="845"/>
    <w:bookmarkStart w:id="846" w:name="Xca887f5270c6cb332d0f68f016a23af5bf27852"/>
    <w:p>
      <w:pPr>
        <w:pStyle w:val="Heading2"/>
      </w:pPr>
      <w:r>
        <w:t xml:space="preserve">34.3 vCenter : gestion centralisée de plusieurs hôtes</w:t>
      </w:r>
    </w:p>
    <w:p>
      <w:pPr>
        <w:pStyle w:val="FirstParagraph"/>
      </w:pPr>
      <w:r>
        <w:t xml:space="preserve">vCenter regroupe plusieurs hôtes ESXi en un</w:t>
      </w:r>
      <w:r>
        <w:t xml:space="preserve"> </w:t>
      </w:r>
      <w:r>
        <w:rPr>
          <w:b/>
          <w:bCs/>
        </w:rPr>
        <w:t xml:space="preserve">cluster</w:t>
      </w:r>
      <w:r>
        <w:t xml:space="preserve">, permettant de gérer collectivement leurs ressources et d’activer les fonctionnalités avancées de vSphere détaillées ci-dessous — exactement le concept de cluster déjà rencontré au chapitre 13 (Windows Server Failover Clustering), mais appliqué ici à l’échelle des hôtes de virtualisation plutôt qu’aux services applicatifs individuels.</w:t>
      </w:r>
    </w:p>
    <w:bookmarkEnd w:id="846"/>
    <w:bookmarkStart w:id="847" w:name="X05a5c10f16b1a7ea2b54dec700311d0e0826328"/>
    <w:p>
      <w:pPr>
        <w:pStyle w:val="Heading2"/>
      </w:pPr>
      <w:r>
        <w:t xml:space="preserve">34.4 vMotion : la migration à chaud, sans interruption de service</w:t>
      </w:r>
    </w:p>
    <w:p>
      <w:pPr>
        <w:pStyle w:val="FirstParagraph"/>
      </w:pPr>
      <w:r>
        <w:t xml:space="preserve">✅ vMotion permet de maintenir un service disponible pendant une maintenance planifiée</w:t>
      </w:r>
      <w:r>
        <w:t xml:space="preserve"> </w:t>
      </w:r>
      <w:r>
        <w:rPr>
          <w:b/>
          <w:bCs/>
        </w:rPr>
        <w:t xml:space="preserve">vMotion</w:t>
      </w:r>
      <w:r>
        <w:t xml:space="preserve"> </w:t>
      </w:r>
      <w:r>
        <w:t xml:space="preserve">déplace une machine virtuelle en cours d’exécution d’un hôte ESXi vers un autre, sans interruption perceptible pour les utilisateurs — une capacité précieuse pour appliquer un correctif de sécurité (chapitre 15) ou une maintenance matérielle sur un hôte physique, en migrant temporairement ses VM vers un autre hôte du cluster avant l’intervention, puis en les ramenant ensuite. Cette fonctionnalité rejoint directement l’esprit du déploiement progressif déjà valorisé au chapitre 2 (changement contrôlé) : une maintenance qui, sans vMotion, exigerait une fenêtre d’indisponibilité planifiée devient transparente pour les utilisateurs finaux.</w:t>
      </w:r>
    </w:p>
    <w:bookmarkEnd w:id="847"/>
    <w:bookmarkStart w:id="848" w:name="X01470304be9d58c62be0e77177237b5dab88b05"/>
    <w:p>
      <w:pPr>
        <w:pStyle w:val="Heading2"/>
      </w:pPr>
      <w:r>
        <w:t xml:space="preserve">34.5 DRS et HA : équilibrage automatique et tolérance de panne au niveau du cluster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Fonctionnalité</w:t>
            </w:r>
          </w:p>
        </w:tc>
        <w:tc>
          <w:tcPr/>
          <w:p>
            <w:pPr>
              <w:pStyle w:val="Compact"/>
            </w:pPr>
            <w:r>
              <w:t xml:space="preserve">Rôle</w:t>
            </w:r>
          </w:p>
        </w:tc>
      </w:tr>
      <w:tr>
        <w:tc>
          <w:tcPr/>
          <w:p>
            <w:pPr>
              <w:pStyle w:val="Compact"/>
            </w:pPr>
            <w:r>
              <w:rPr>
                <w:b/>
                <w:bCs/>
              </w:rPr>
              <w:t xml:space="preserve">DRS</w:t>
            </w:r>
            <w:r>
              <w:t xml:space="preserve"> </w:t>
            </w:r>
            <w:r>
              <w:t xml:space="preserve">(</w:t>
            </w:r>
            <w:r>
              <w:rPr>
                <w:i/>
                <w:iCs/>
              </w:rPr>
              <w:t xml:space="preserve">Distributed Resource Scheduler</w:t>
            </w:r>
            <w:r>
              <w:t xml:space="preserve">)</w:t>
            </w:r>
          </w:p>
        </w:tc>
        <w:tc>
          <w:tcPr/>
          <w:p>
            <w:pPr>
              <w:pStyle w:val="Compact"/>
            </w:pPr>
            <w:r>
              <w:t xml:space="preserve">Équilibre automatiquement la charge des VM entre les hôtes du cluster, en utilisant vMotion en arrière-plan, selon l’utilisation réelle des ressources</w:t>
            </w:r>
          </w:p>
        </w:tc>
      </w:tr>
      <w:tr>
        <w:tc>
          <w:tcPr/>
          <w:p>
            <w:pPr>
              <w:pStyle w:val="Compact"/>
            </w:pPr>
            <w:r>
              <w:rPr>
                <w:b/>
                <w:bCs/>
              </w:rPr>
              <w:t xml:space="preserve">HA</w:t>
            </w:r>
            <w:r>
              <w:t xml:space="preserve"> </w:t>
            </w:r>
            <w:r>
              <w:t xml:space="preserve">(</w:t>
            </w:r>
            <w:r>
              <w:rPr>
                <w:i/>
                <w:iCs/>
              </w:rPr>
              <w:t xml:space="preserve">High Availability</w:t>
            </w:r>
            <w:r>
              <w:t xml:space="preserve">)</w:t>
            </w:r>
          </w:p>
        </w:tc>
        <w:tc>
          <w:tcPr/>
          <w:p>
            <w:pPr>
              <w:pStyle w:val="Compact"/>
            </w:pPr>
            <w:r>
              <w:t xml:space="preserve">Redémarre automatiquement les VM d’un hôte tombé en panne sur un autre hôte disponible du cluster</w:t>
            </w:r>
          </w:p>
        </w:tc>
      </w:tr>
    </w:tbl>
    <w:p>
      <w:pPr>
        <w:pStyle w:val="BodyText"/>
      </w:pPr>
      <w:r>
        <w:t xml:space="preserve">💡 DRS et HA résolvent deux problèmes distincts</w:t>
      </w:r>
      <w:r>
        <w:t xml:space="preserve"> </w:t>
      </w:r>
      <w:r>
        <w:t xml:space="preserve">DRS optimise en continu la répartition des charges pendant un fonctionnement normal (rejoignant directement la surveillance de la surallocation évoquée au chapitre 33) ; HA réagit à une panne matérielle imprévue d’un hôte, redémarrant automatiquement les VM affectées ailleurs — le même principe de tolérance de panne déjà vu pour le RAID (chapitres 17 et 27) et le clustering Windows (chapitre 13), appliqué ici au niveau des hôtes de virtualisation eux-mêmes plutôt qu’aux disques ou aux services.</w:t>
      </w:r>
    </w:p>
    <w:bookmarkEnd w:id="848"/>
    <w:bookmarkStart w:id="849" w:name="Xae52948ca251d3cd623d836ceefb7773c80b723"/>
    <w:p>
      <w:pPr>
        <w:pStyle w:val="Heading2"/>
      </w:pPr>
      <w:r>
        <w:t xml:space="preserve">34.6 Le piège du scénario d’ouverture : la synchronisation temporelle VMware Tools</w:t>
      </w:r>
    </w:p>
    <w:p>
      <w:pPr>
        <w:pStyle w:val="FirstParagraph"/>
      </w:pPr>
      <w:r>
        <w:t xml:space="preserve">⚠️ La cause exacte du problème Kerberos du scénario d’ouverture</w:t>
      </w:r>
      <w:r>
        <w:t xml:space="preserve"> </w:t>
      </w:r>
      <w:r>
        <w:rPr>
          <w:b/>
          <w:bCs/>
        </w:rPr>
        <w:t xml:space="preserve">VMware Tools</w:t>
      </w:r>
      <w:r>
        <w:t xml:space="preserve">, le pilote et l’ensemble d’outils installés dans chaque VM pour améliorer les performances et l’intégration avec l’hôte, propose par défaut une option de</w:t>
      </w:r>
      <w:r>
        <w:t xml:space="preserve"> </w:t>
      </w:r>
      <w:r>
        <w:rPr>
          <w:b/>
          <w:bCs/>
        </w:rPr>
        <w:t xml:space="preserve">synchronisation temporelle</w:t>
      </w:r>
      <w:r>
        <w:t xml:space="preserve"> </w:t>
      </w:r>
      <w:r>
        <w:t xml:space="preserve">entre la VM et son hôte ESXi. Cette option, activée par défaut dans certaines configurations, entre directement en conflit avec le service NTP (chapitre 23) qui doit rester</w:t>
      </w:r>
      <w:r>
        <w:t xml:space="preserve"> </w:t>
      </w:r>
      <w:r>
        <w:rPr>
          <w:b/>
          <w:bCs/>
        </w:rPr>
        <w:t xml:space="preserve">l’autorité unique</w:t>
      </w:r>
      <w:r>
        <w:t xml:space="preserve"> </w:t>
      </w:r>
      <w:r>
        <w:t xml:space="preserve">de synchronisation temporelle pour un contrôleur de domaine — deux sources de synchronisation concurrentes peuvent produire de légers ajustements d’horloge contradictoires, provoquant exactement le type d’instabilité qui déclenche</w:t>
      </w:r>
      <w:r>
        <w:t xml:space="preserve"> </w:t>
      </w:r>
      <w:r>
        <w:t xml:space="preserve">“Clock skew too great”</w:t>
      </w:r>
      <w:r>
        <w:t xml:space="preserve"> </w:t>
      </w:r>
      <w:r>
        <w:t xml:space="preserve">de façon intermittente et déroutante, sans qu’aucune panne NTP réelle ne soit en cause.</w:t>
      </w:r>
    </w:p>
    <w:p>
      <w:pPr>
        <w:pStyle w:val="SourceCode"/>
      </w:pPr>
      <w:r>
        <w:rPr>
          <w:rStyle w:val="VerbatimChar"/>
        </w:rPr>
        <w:t xml:space="preserve"># Sur un controleur de domaine virtualise sous VMware, la synchronisation</w:t>
      </w:r>
      <w:r>
        <w:br/>
      </w:r>
      <w:r>
        <w:rPr>
          <w:rStyle w:val="VerbatimChar"/>
        </w:rPr>
        <w:t xml:space="preserve"># temporelle VMware Tools doit etre DESACTIVEE -- le service de temps</w:t>
      </w:r>
      <w:r>
        <w:br/>
      </w:r>
      <w:r>
        <w:rPr>
          <w:rStyle w:val="VerbatimChar"/>
        </w:rPr>
        <w:t xml:space="preserve"># Windows (w32time, deja evoque implicitement au chapitre 23) doit</w:t>
      </w:r>
      <w:r>
        <w:br/>
      </w:r>
      <w:r>
        <w:rPr>
          <w:rStyle w:val="VerbatimChar"/>
        </w:rPr>
        <w:t xml:space="preserve"># rester l'unique autorite temporelle, jamais l'hote ESXi</w:t>
      </w:r>
      <w:r>
        <w:br/>
      </w:r>
      <w:r>
        <w:rPr>
          <w:rStyle w:val="VerbatimChar"/>
        </w:rPr>
        <w:t xml:space="preserve"># (configuration realisee via vSphere Client, options avancees de la VM :</w:t>
      </w:r>
      <w:r>
        <w:br/>
      </w:r>
      <w:r>
        <w:rPr>
          <w:rStyle w:val="VerbatimChar"/>
        </w:rPr>
        <w:t xml:space="preserve">#  tools.syncTime = "FALSE")</w:t>
      </w:r>
    </w:p>
    <w:p>
      <w:pPr>
        <w:pStyle w:val="FirstParagraph"/>
      </w:pPr>
      <w:r>
        <w:t xml:space="preserve">🧠 À mémoriser — une recommandation officielle documentée, pas une astuce obscure</w:t>
      </w:r>
      <w:r>
        <w:t xml:space="preserve"> </w:t>
      </w:r>
      <w:r>
        <w:t xml:space="preserve">Ce n’est pas une découverte isolée : Microsoft et VMware documentent tous deux explicitement cette recommandation — désactiver la synchronisation temporelle VMware Tools sur tout contrôleur de domaine virtualisé. Ce piège illustre parfaitement pourquoi comprendre les fondations (Kerberos et la tolérance d’horloge, chapitre 23) avant d’aborder un outil précis permet de diagnostiquer bien plus vite un symptôme qui semblerait, sans ce contexte, totalement mystérieux.</w:t>
      </w:r>
    </w:p>
    <w:bookmarkEnd w:id="849"/>
    <w:bookmarkStart w:id="850" w:name="X173545edd4823be0ff8ea957e37e19fa5ed619c"/>
    <w:p>
      <w:pPr>
        <w:pStyle w:val="Heading2"/>
      </w:pPr>
      <w:r>
        <w:t xml:space="preserve">34.7 Connecter vSphere au stockage partagé du chapitre 29</w:t>
      </w:r>
    </w:p>
    <w:p>
      <w:pPr>
        <w:pStyle w:val="FirstParagraph"/>
      </w:pPr>
      <w:r>
        <w:t xml:space="preserve">💡 vMotion et HA exigent un stockage partagé accessible par tous les hôtes du cluster</w:t>
      </w:r>
      <w:r>
        <w:t xml:space="preserve"> </w:t>
      </w:r>
      <w:r>
        <w:t xml:space="preserve">Pour que vMotion (section 34.4) et HA (section 34.5) fonctionnent, les disques virtuels des VM doivent être accessibles depuis</w:t>
      </w:r>
      <w:r>
        <w:t xml:space="preserve"> </w:t>
      </w:r>
      <w:r>
        <w:rPr>
          <w:b/>
          <w:bCs/>
        </w:rPr>
        <w:t xml:space="preserve">n’importe quel</w:t>
      </w:r>
      <w:r>
        <w:t xml:space="preserve"> </w:t>
      </w:r>
      <w:r>
        <w:t xml:space="preserve">hôte du cluster, pas seulement celui qui exécute la VM à un instant donné — exactement le rôle du SAN déjà déployé au chapitre 29, dont le mode d’accès en bloc à faible latence convient particulièrement bien à ce besoin, mieux qu’un stockage local individuel à chaque hôte qui rendrait la migration à chaud impossible.</w:t>
      </w:r>
    </w:p>
    <w:bookmarkEnd w:id="850"/>
    <w:bookmarkStart w:id="851" w:name="X2b48808e34e0c78f303ee74e4a9375bb6d5b5c7"/>
    <w:p>
      <w:pPr>
        <w:pStyle w:val="Heading2"/>
      </w:pPr>
      <w:r>
        <w:t xml:space="preserve">34.8 Les licences VMware : un critère de décision à ne jamais négliger</w:t>
      </w:r>
    </w:p>
    <w:p>
      <w:pPr>
        <w:pStyle w:val="FirstParagraph"/>
      </w:pPr>
      <w:r>
        <w:t xml:space="preserve">🔒 Un critère économique réel, pas secondaire</w:t>
      </w:r>
      <w:r>
        <w:t xml:space="preserve"> </w:t>
      </w:r>
      <w:r>
        <w:t xml:space="preserve">Rappel direct du cadre de décision du chapitre 33 (et du chapitre 14 sur le choix de distribution) : les licences VMware représentent historiquement un coût significatif, particulièrement pour les fonctionnalités avancées comme DRS et HA, qui nécessitent des niveaux de licence supérieurs. Ce coût doit être mis en balance avec la maturité et l’écosystème de support de VMware — une décision à documenter explicitement (chapitre 3), comme toute décision d’architecture significative, plutôt qu’un choix implicite jamais justifié par écrit.</w:t>
      </w:r>
    </w:p>
    <w:bookmarkEnd w:id="851"/>
    <w:bookmarkStart w:id="852" w:name="Xce37babb7d28db480f665409f38b05b342ffb07"/>
    <w:p>
      <w:pPr>
        <w:pStyle w:val="Heading2"/>
      </w:pPr>
      <w:r>
        <w:t xml:space="preserve">Atelier — Diagnostiquer et prévenir le piège du scénario d’ouverture</w:t>
      </w:r>
    </w:p>
    <w:p>
      <w:pPr>
        <w:pStyle w:val="FirstParagraph"/>
      </w:pPr>
      <w:r>
        <w:t xml:space="preserve">🛠️ Atelier 34 — Corriger la synchronisation temporelle des contrôleurs de domaine virtualisés</w:t>
      </w:r>
    </w:p>
    <w:p>
      <w:pPr>
        <w:pStyle w:val="BodyText"/>
      </w:pPr>
      <w:r>
        <w:rPr>
          <w:b/>
          <w:bCs/>
        </w:rPr>
        <w:t xml:space="preserve">Objectif</w:t>
      </w:r>
      <w:r>
        <w:t xml:space="preserve"> </w:t>
      </w:r>
      <w:r>
        <w:t xml:space="preserve">: appliquer la démarche de diagnostic du chapitre 23 à ce nouveau contexte de virtualisation, et corriger durablement la cause racine.</w:t>
      </w:r>
    </w:p>
    <w:p>
      <w:pPr>
        <w:pStyle w:val="BodyText"/>
      </w:pPr>
      <w:r>
        <w:rPr>
          <w:b/>
          <w:bCs/>
        </w:rPr>
        <w:t xml:space="preserve">Préparation</w:t>
      </w:r>
      <w:r>
        <w:t xml:space="preserve"> </w:t>
      </w:r>
      <w:r>
        <w:t xml:space="preserve">: aucune installation nécessaire pour cet atelier conceptuel, ou un accès à un environnement VMware de test pour le pratiquer réellement.</w:t>
      </w:r>
    </w:p>
    <w:p>
      <w:pPr>
        <w:pStyle w:val="BodyText"/>
      </w:pPr>
      <w:r>
        <w:rPr>
          <w:b/>
          <w:bCs/>
        </w:rPr>
        <w:t xml:space="preserve">Étapes détaillées</w:t>
      </w:r>
      <w:r>
        <w:t xml:space="preserve"> </w:t>
      </w:r>
      <w:r>
        <w:t xml:space="preserve">:</w:t>
      </w:r>
    </w:p>
    <w:p>
      <w:pPr>
        <w:pStyle w:val="Compact"/>
        <w:numPr>
          <w:ilvl w:val="0"/>
          <w:numId w:val="1782"/>
        </w:numPr>
      </w:pPr>
      <w:r>
        <w:t xml:space="preserve">Explique pourquoi ce problème est particulièrement déroutant à diagnostiquer pour un administrateur qui ne connaît pas encore le comportement de VMware Tools.</w:t>
      </w:r>
    </w:p>
    <w:p>
      <w:pPr>
        <w:pStyle w:val="Compact"/>
        <w:numPr>
          <w:ilvl w:val="0"/>
          <w:numId w:val="1782"/>
        </w:numPr>
      </w:pPr>
      <w:r>
        <w:t xml:space="preserve">Rédige les étapes de vérification qui confirmeraient cette hypothèse plutôt qu’un problème NTP classique (rappel du chapitre 23, section diagnostic).</w:t>
      </w:r>
    </w:p>
    <w:p>
      <w:pPr>
        <w:pStyle w:val="Compact"/>
        <w:numPr>
          <w:ilvl w:val="0"/>
          <w:numId w:val="1782"/>
        </w:numPr>
      </w:pPr>
      <w:r>
        <w:t xml:space="preserve">Propose la correction précise à appliquer sur chaque contrôleur de domaine virtualisé.</w:t>
      </w:r>
    </w:p>
    <w:p>
      <w:pPr>
        <w:pStyle w:val="Compact"/>
        <w:numPr>
          <w:ilvl w:val="0"/>
          <w:numId w:val="1782"/>
        </w:numPr>
      </w:pPr>
      <w:r>
        <w:t xml:space="preserve">Compare ta démarche à la section</w:t>
      </w:r>
      <w:r>
        <w:t xml:space="preserve"> </w:t>
      </w:r>
      <w:r>
        <w:t xml:space="preserve">“Résultat attendu”</w:t>
      </w:r>
      <w:r>
        <w:t xml:space="preserve">.</w:t>
      </w:r>
    </w:p>
    <w:p>
      <w:pPr>
        <w:pStyle w:val="FirstParagraph"/>
      </w:pPr>
      <w:r>
        <w:rPr>
          <w:b/>
          <w:bCs/>
        </w:rPr>
        <w:t xml:space="preserve">Résultat attendu</w:t>
      </w:r>
      <w:r>
        <w:t xml:space="preserve"> </w:t>
      </w:r>
      <w:r>
        <w:t xml:space="preserve">: ce problème est déroutant car les symptômes (</w:t>
      </w:r>
      <w:r>
        <w:t xml:space="preserve">“Clock skew too great”</w:t>
      </w:r>
      <w:r>
        <w:t xml:space="preserve">) sont identiques à un problème de désynchronisation NTP classique du chapitre 23, orientant naturellement le diagnostic vers</w:t>
      </w:r>
      <w:r>
        <w:t xml:space="preserve"> </w:t>
      </w:r>
      <w:r>
        <w:rPr>
          <w:rStyle w:val="VerbatimChar"/>
        </w:rPr>
        <w:t xml:space="preserve">timedatectl</w:t>
      </w:r>
      <w:r>
        <w:t xml:space="preserve">/</w:t>
      </w:r>
      <w:r>
        <w:rPr>
          <w:rStyle w:val="VerbatimChar"/>
        </w:rPr>
        <w:t xml:space="preserve">w32tm</w:t>
      </w:r>
      <w:r>
        <w:t xml:space="preserve"> </w:t>
      </w:r>
      <w:r>
        <w:t xml:space="preserve">plutôt que vers la configuration de la VM elle-même. La vérification doit inclure la consultation des paramètres avancés de la VM dans vCenter, en particulier</w:t>
      </w:r>
      <w:r>
        <w:t xml:space="preserve"> </w:t>
      </w:r>
      <w:r>
        <w:rPr>
          <w:rStyle w:val="VerbatimChar"/>
        </w:rPr>
        <w:t xml:space="preserve">tools.syncTime</w:t>
      </w:r>
      <w:r>
        <w:t xml:space="preserve">, en plus des vérifications NTP habituelles. La correction consiste à désactiver explicitement la synchronisation temporelle VMware Tools sur chaque contrôleur de domaine, en laissant le service de temps Windows (déjà configuré et fonctionnel avant la migration) rester l’unique source de vérité temporelle.</w:t>
      </w:r>
    </w:p>
    <w:p>
      <w:pPr>
        <w:pStyle w:val="BodyText"/>
      </w:pPr>
      <w:r>
        <w:rPr>
          <w:b/>
          <w:bCs/>
        </w:rPr>
        <w:t xml:space="preserve">Dépannage</w:t>
      </w:r>
      <w:r>
        <w:t xml:space="preserve"> </w:t>
      </w:r>
      <w:r>
        <w:t xml:space="preserve">: si la désactivation de</w:t>
      </w:r>
      <w:r>
        <w:t xml:space="preserve"> </w:t>
      </w:r>
      <w:r>
        <w:rPr>
          <w:rStyle w:val="VerbatimChar"/>
        </w:rPr>
        <w:t xml:space="preserve">tools.syncTime</w:t>
      </w:r>
      <w:r>
        <w:t xml:space="preserve"> </w:t>
      </w:r>
      <w:r>
        <w:t xml:space="preserve">ne suffit pas à résoudre le problème, vérifie également que le service de temps Windows (</w:t>
      </w:r>
      <w:r>
        <w:rPr>
          <w:rStyle w:val="VerbatimChar"/>
        </w:rPr>
        <w:t xml:space="preserve">w32time</w:t>
      </w:r>
      <w:r>
        <w:t xml:space="preserve">) est correctement configuré et actif sur chaque contrôleur de domaine — la virtualisation n’élimine jamais le besoin des bonnes pratiques déjà établies au chapitre 23, elle ajoute simplement une source de conflit potentielle supplémentaire à surveiller.</w:t>
      </w:r>
    </w:p>
    <w:bookmarkEnd w:id="852"/>
    <w:bookmarkStart w:id="853" w:name="erreurs-fréquentes-33"/>
    <w:p>
      <w:pPr>
        <w:pStyle w:val="Heading2"/>
      </w:pPr>
      <w:r>
        <w:t xml:space="preserve">Erreurs fréquentes</w:t>
      </w:r>
    </w:p>
    <w:p>
      <w:pPr>
        <w:pStyle w:val="FirstParagraph"/>
      </w:pPr>
      <w:r>
        <w:t xml:space="preserve">⚠️ Erreur n°1 — laisser VMware Tools synchroniser l’heure d’un contrôleur de domaine</w:t>
      </w:r>
      <w:r>
        <w:t xml:space="preserve"> </w:t>
      </w:r>
      <w:r>
        <w:t xml:space="preserve">Exactement la cause du scénario d’ouverture, détaillée en section 34.6 — une recommandation officiellement documentée, mais fréquemment ignorée par méconnaissance.</w:t>
      </w:r>
    </w:p>
    <w:p>
      <w:pPr>
        <w:pStyle w:val="BodyText"/>
      </w:pPr>
      <w:r>
        <w:t xml:space="preserve">⚠️ Erreur n°2 — déployer vSphere sans configurer DRS ni HA</w:t>
      </w:r>
      <w:r>
        <w:t xml:space="preserve"> </w:t>
      </w:r>
      <w:r>
        <w:t xml:space="preserve">Installer ESXi et vCenter sans activer ces fonctionnalités revient à se priver d’une grande partie de la valeur ajoutée réelle de la virtualisation d’entreprise (section 34.5) — un oubli qui laisse l’infrastructure aussi vulnérable qu’un serveur physique unique face à une panne matérielle.</w:t>
      </w:r>
    </w:p>
    <w:p>
      <w:pPr>
        <w:pStyle w:val="BodyText"/>
      </w:pPr>
      <w:r>
        <w:t xml:space="preserve">⚠️ Erreur n°3 — sous-estimer le coût des licences avant de s’engager</w:t>
      </w:r>
      <w:r>
        <w:t xml:space="preserve"> </w:t>
      </w:r>
      <w:r>
        <w:t xml:space="preserve">Rappel de la section 34.8 : découvrir après coup que les fonctionnalités réellement nécessaires (DRS, HA) exigent un niveau de licence supérieur au budget initialement prévu peut compromettre tout un projet de virtualisation déjà engagé.</w:t>
      </w:r>
    </w:p>
    <w:bookmarkEnd w:id="853"/>
    <w:bookmarkStart w:id="854" w:name="X3ef2e6b5a6619c2c886b990241fe4a064b4a619"/>
    <w:p>
      <w:pPr>
        <w:pStyle w:val="Heading2"/>
      </w:pPr>
      <w:r>
        <w:t xml:space="preserve">Diagnostiquer un problème de temps sur une VM virtualisée</w:t>
      </w:r>
    </w:p>
    <w:p>
      <w:pPr>
        <w:pStyle w:val="FirstParagraph"/>
      </w:pPr>
      <w:r>
        <w:t xml:space="preserve">🩺 Situation : erreurs Kerberos intermittentes après une migration vers la virtualisation</w:t>
      </w:r>
    </w:p>
    <w:p>
      <w:pPr>
        <w:pStyle w:val="Compact"/>
        <w:numPr>
          <w:ilvl w:val="0"/>
          <w:numId w:val="1783"/>
        </w:numPr>
      </w:pPr>
      <w:r>
        <w:rPr>
          <w:b/>
          <w:bCs/>
        </w:rPr>
        <w:t xml:space="preserve">Diagnostic</w:t>
      </w:r>
      <w:r>
        <w:t xml:space="preserve"> </w:t>
      </w:r>
      <w:r>
        <w:t xml:space="preserve">: au-delà des causes déjà couvertes au chapitre 23 (NTP local mal configuré), vérifier systématiquement si la VM concernée est un contrôleur de domaine et si la synchronisation temporelle VMware Tools est active — une cause spécifique à l’environnement virtualisé, absente sur un serveur physique.</w:t>
      </w:r>
    </w:p>
    <w:p>
      <w:pPr>
        <w:pStyle w:val="Compact"/>
        <w:numPr>
          <w:ilvl w:val="0"/>
          <w:numId w:val="1783"/>
        </w:numPr>
      </w:pPr>
      <w:r>
        <w:rPr>
          <w:b/>
          <w:bCs/>
        </w:rPr>
        <w:t xml:space="preserve">Comment vérifier</w:t>
      </w:r>
      <w:r>
        <w:t xml:space="preserve"> </w:t>
      </w:r>
      <w:r>
        <w:t xml:space="preserve">: consulter les paramètres avancés de la VM dans vCenter (</w:t>
      </w:r>
      <w:r>
        <w:rPr>
          <w:rStyle w:val="VerbatimChar"/>
        </w:rPr>
        <w:t xml:space="preserve">tools.syncTime</w:t>
      </w:r>
      <w:r>
        <w:t xml:space="preserve">) en complément des vérifications</w:t>
      </w:r>
      <w:r>
        <w:t xml:space="preserve"> </w:t>
      </w:r>
      <w:r>
        <w:rPr>
          <w:rStyle w:val="VerbatimChar"/>
        </w:rPr>
        <w:t xml:space="preserve">w32tm</w:t>
      </w:r>
      <w:r>
        <w:t xml:space="preserve">/</w:t>
      </w:r>
      <w:r>
        <w:rPr>
          <w:rStyle w:val="VerbatimChar"/>
        </w:rPr>
        <w:t xml:space="preserve">timedatectl</w:t>
      </w:r>
      <w:r>
        <w:t xml:space="preserve"> </w:t>
      </w:r>
      <w:r>
        <w:t xml:space="preserve">déjà connues.</w:t>
      </w:r>
    </w:p>
    <w:p>
      <w:pPr>
        <w:pStyle w:val="Compact"/>
        <w:numPr>
          <w:ilvl w:val="0"/>
          <w:numId w:val="1783"/>
        </w:numPr>
      </w:pPr>
      <w:r>
        <w:rPr>
          <w:b/>
          <w:bCs/>
        </w:rPr>
        <w:t xml:space="preserve">Résolution</w:t>
      </w:r>
      <w:r>
        <w:t xml:space="preserve"> </w:t>
      </w:r>
      <w:r>
        <w:t xml:space="preserve">: désactiver la synchronisation temporelle VMware Tools sur tout contrôleur de domaine (section 34.6), en confirmant que le service de temps natif de l’OS reste l’unique source de synchronisation.</w:t>
      </w:r>
    </w:p>
    <w:bookmarkEnd w:id="854"/>
    <w:bookmarkStart w:id="855" w:name="en-entreprise-33"/>
    <w:p>
      <w:pPr>
        <w:pStyle w:val="Heading2"/>
      </w:pPr>
      <w:r>
        <w:t xml:space="preserve">En entreprise</w:t>
      </w:r>
    </w:p>
    <w:p>
      <w:pPr>
        <w:pStyle w:val="Compact"/>
        <w:numPr>
          <w:ilvl w:val="0"/>
          <w:numId w:val="1784"/>
        </w:numPr>
      </w:pPr>
      <w:r>
        <w:rPr>
          <w:b/>
          <w:bCs/>
        </w:rPr>
        <w:t xml:space="preserve">Bonne pratique répandue</w:t>
      </w:r>
      <w:r>
        <w:t xml:space="preserve"> </w:t>
      </w:r>
      <w:r>
        <w:t xml:space="preserve">: documenter explicitement (chapitre 3) la configuration de synchronisation temporelle de chaque VM critique lors de sa migration vers la virtualisation — un point de configuration facile à oublier mais aux conséquences bien documentées.</w:t>
      </w:r>
    </w:p>
    <w:p>
      <w:pPr>
        <w:pStyle w:val="Compact"/>
        <w:numPr>
          <w:ilvl w:val="0"/>
          <w:numId w:val="1784"/>
        </w:numPr>
      </w:pPr>
      <w:r>
        <w:rPr>
          <w:b/>
          <w:bCs/>
        </w:rPr>
        <w:t xml:space="preserve">Bonne pratique répandue</w:t>
      </w:r>
      <w:r>
        <w:t xml:space="preserve"> </w:t>
      </w:r>
      <w:r>
        <w:t xml:space="preserve">: tester DRS et HA en conditions contrôlées (par exemple, mettre volontairement un hôte en mode maintenance pour observer la migration automatique des VM) avant de compter dessus en situation de panne réelle — le même principe de test déjà appliqué aux sauvegardes (chapitre 30) et au PRA (chapitre 31).</w:t>
      </w:r>
    </w:p>
    <w:p>
      <w:pPr>
        <w:pStyle w:val="Compact"/>
        <w:numPr>
          <w:ilvl w:val="0"/>
          <w:numId w:val="1784"/>
        </w:numPr>
      </w:pPr>
      <w:r>
        <w:rPr>
          <w:b/>
          <w:bCs/>
        </w:rPr>
        <w:t xml:space="preserve">Erreur classique observée</w:t>
      </w:r>
      <w:r>
        <w:t xml:space="preserve"> </w:t>
      </w:r>
      <w:r>
        <w:t xml:space="preserve">: une migration vers la virtualisation réalisée sans revue préalable de la documentation officielle des bonnes pratiques pour les charges de travail spécifiques (comme les contrôleurs de domaine), reproduisant des pièges déjà bien connus et documentés par la communauté.</w:t>
      </w:r>
    </w:p>
    <w:bookmarkEnd w:id="855"/>
    <w:bookmarkStart w:id="856" w:name="entretien-technique-33"/>
    <w:p>
      <w:pPr>
        <w:pStyle w:val="Heading2"/>
      </w:pPr>
      <w:r>
        <w:t xml:space="preserve">Entretien technique</w:t>
      </w:r>
    </w:p>
    <w:p>
      <w:pPr>
        <w:pStyle w:val="FirstParagraph"/>
      </w:pPr>
      <w:r>
        <w:t xml:space="preserve">💼 Questions fréquemment posées en entretien</w:t>
      </w:r>
    </w:p>
    <w:p>
      <w:pPr>
        <w:pStyle w:val="BodyText"/>
      </w:pPr>
      <w:r>
        <w:rPr>
          <w:b/>
          <w:bCs/>
        </w:rPr>
        <w:t xml:space="preserve">Q1.</w:t>
      </w:r>
      <w:r>
        <w:rPr>
          <w:b/>
          <w:bCs/>
        </w:rPr>
        <w:t xml:space="preserve"> </w:t>
      </w:r>
      <w:r>
        <w:rPr>
          <w:b/>
          <w:bCs/>
        </w:rPr>
        <w:t xml:space="preserve">“Quelle est la différence entre ESXi et vCenter ?”</w:t>
      </w:r>
      <w:r>
        <w:t xml:space="preserve"> </w:t>
      </w:r>
      <w:r>
        <w:t xml:space="preserve">Réponse attendue : ESXi est l’hyperviseur lui-même, installé directement sur chaque serveur physique (Type 1, bare-metal) ; vCenter est la console de gestion centralisée permettant d’administrer plusieurs hôtes ESXi comme un ensemble cohérent, incluant les fonctionnalités avancées comme vMotion, DRS et HA.</w:t>
      </w:r>
    </w:p>
    <w:p>
      <w:pPr>
        <w:pStyle w:val="BodyText"/>
      </w:pPr>
      <w:r>
        <w:rPr>
          <w:b/>
          <w:bCs/>
        </w:rPr>
        <w:t xml:space="preserve">Q2.</w:t>
      </w:r>
      <w:r>
        <w:rPr>
          <w:b/>
          <w:bCs/>
        </w:rPr>
        <w:t xml:space="preserve"> </w:t>
      </w:r>
      <w:r>
        <w:rPr>
          <w:b/>
          <w:bCs/>
        </w:rPr>
        <w:t xml:space="preserve">“Qu’est-ce que vMotion, et pourquoi est-ce utile pour la maintenance ?”</w:t>
      </w:r>
      <w:r>
        <w:t xml:space="preserve"> </w:t>
      </w:r>
      <w:r>
        <w:t xml:space="preserve">Réponse attendue : vMotion migre une VM en cours d’exécution d’un hôte ESXi vers un autre sans interruption perceptible pour les utilisateurs, permettant d’effectuer une maintenance sur un hôte physique (mise à jour, réparation) en déplaçant temporairement ses VM ailleurs, sans fenêtre d’indisponibilité planifiée nécessaire.</w:t>
      </w:r>
    </w:p>
    <w:p>
      <w:pPr>
        <w:pStyle w:val="BodyText"/>
      </w:pPr>
      <w:r>
        <w:rPr>
          <w:b/>
          <w:bCs/>
        </w:rPr>
        <w:t xml:space="preserve">Q3.</w:t>
      </w:r>
      <w:r>
        <w:rPr>
          <w:b/>
          <w:bCs/>
        </w:rPr>
        <w:t xml:space="preserve"> </w:t>
      </w:r>
      <w:r>
        <w:rPr>
          <w:b/>
          <w:bCs/>
        </w:rPr>
        <w:t xml:space="preserve">“Pourquoi faut-il désactiver la synchronisation temporelle VMware Tools sur un contrôleur de domaine virtualisé ?”</w:t>
      </w:r>
      <w:r>
        <w:t xml:space="preserve"> </w:t>
      </w:r>
      <w:r>
        <w:t xml:space="preserve">Réponse attendue : cette synchronisation entre en conflit avec le service de temps natif de Windows, qui doit rester l’unique autorité temporelle d’un contrôleur de domaine — deux sources concurrentes peuvent produire des ajustements d’horloge contradictoires, provoquant des erreurs Kerberos intermittentes de type</w:t>
      </w:r>
      <w:r>
        <w:t xml:space="preserve"> </w:t>
      </w:r>
      <w:r>
        <w:t xml:space="preserve">“Clock skew too great”</w:t>
      </w:r>
      <w:r>
        <w:t xml:space="preserve">, une recommandation officiellement documentée par Microsoft et VMware.</w:t>
      </w:r>
    </w:p>
    <w:bookmarkEnd w:id="856"/>
    <w:bookmarkStart w:id="857" w:name="X62a8dc57168268bf4a8357ad1119c65f9dc22c0"/>
    <w:p>
      <w:pPr>
        <w:pStyle w:val="Heading2"/>
      </w:pPr>
      <w:r>
        <w:t xml:space="preserve">Optimisation, sécurité et maintenabilité — les réflexes dès ce chapitre</w:t>
      </w:r>
    </w:p>
    <w:p>
      <w:pPr>
        <w:pStyle w:val="FirstParagraph"/>
      </w:pPr>
      <w:r>
        <w:t xml:space="preserve">🔒 Sécurité</w:t>
      </w:r>
      <w:r>
        <w:t xml:space="preserve"> </w:t>
      </w:r>
      <w:r>
        <w:t xml:space="preserve">Vérifie systématiquement, pour chaque VM critique migrée vers la virtualisation, si des recommandations spécifiques documentées existent pour son type de charge de travail (comme les contrôleurs de domaine, section 34.6) — la virtualisation n’est jamais un simple</w:t>
      </w:r>
      <w:r>
        <w:t xml:space="preserve"> </w:t>
      </w:r>
      <w:r>
        <w:t xml:space="preserve">“copier-coller”</w:t>
      </w:r>
      <w:r>
        <w:t xml:space="preserve"> </w:t>
      </w:r>
      <w:r>
        <w:t xml:space="preserve">transparent d’un serveur physique existant, elle introduit ses propres considérations spécifiques.</w:t>
      </w:r>
    </w:p>
    <w:p>
      <w:pPr>
        <w:pStyle w:val="BodyText"/>
      </w:pPr>
      <w:r>
        <w:t xml:space="preserve">✅ Maintenabilité</w:t>
      </w:r>
      <w:r>
        <w:t xml:space="preserve"> </w:t>
      </w:r>
      <w:r>
        <w:t xml:space="preserve">Documente (chapitre 3) la configuration de cluster (nombre d’hôtes, niveau de licence, fonctionnalités DRS/HA activées) et les paramètres spécifiques appliqués à chaque VM critique — une information indispensable pour tout audit ou toute intervention future sur cette infrastructure.</w:t>
      </w:r>
    </w:p>
    <w:p>
      <w:pPr>
        <w:pStyle w:val="BodyText"/>
      </w:pPr>
      <w:r>
        <w:t xml:space="preserve">🚀 Performance</w:t>
      </w:r>
      <w:r>
        <w:t xml:space="preserve"> </w:t>
      </w:r>
      <w:r>
        <w:t xml:space="preserve">DRS équilibre automatiquement la charge entre les hôtes, mais reste soumis aux mêmes principes de surveillance de la surallocation déjà évoqués au chapitre 33 — l’automatisation de l’équilibrage ne dispense jamais d’une surveillance globale de la capacité réellement disponible à l’échelle du cluster entier.</w:t>
      </w:r>
    </w:p>
    <w:bookmarkEnd w:id="857"/>
    <w:bookmarkStart w:id="858" w:name="résumé-du-chapitre-33"/>
    <w:p>
      <w:pPr>
        <w:pStyle w:val="Heading2"/>
      </w:pPr>
      <w:r>
        <w:t xml:space="preserve">Résumé du chapitre</w:t>
      </w:r>
    </w:p>
    <w:p>
      <w:pPr>
        <w:pStyle w:val="Compact"/>
        <w:numPr>
          <w:ilvl w:val="0"/>
          <w:numId w:val="1785"/>
        </w:numPr>
      </w:pPr>
      <w:r>
        <w:t xml:space="preserve">VMware vSphere combine ESXi (l’hyperviseur bare-metal) et vCenter (la gestion centralisée de plusieurs hôtes en cluster).</w:t>
      </w:r>
    </w:p>
    <w:p>
      <w:pPr>
        <w:pStyle w:val="Compact"/>
        <w:numPr>
          <w:ilvl w:val="0"/>
          <w:numId w:val="1785"/>
        </w:numPr>
      </w:pPr>
      <w:r>
        <w:t xml:space="preserve">vMotion migre une VM en cours d’exécution sans interruption, facilitant la maintenance planifiée des hôtes physiques.</w:t>
      </w:r>
    </w:p>
    <w:p>
      <w:pPr>
        <w:pStyle w:val="Compact"/>
        <w:numPr>
          <w:ilvl w:val="0"/>
          <w:numId w:val="1785"/>
        </w:numPr>
      </w:pPr>
      <w:r>
        <w:t xml:space="preserve">DRS équilibre automatiquement la charge entre les hôtes ; HA redémarre automatiquement les VM d’un hôte tombé en panne.</w:t>
      </w:r>
    </w:p>
    <w:p>
      <w:pPr>
        <w:pStyle w:val="Compact"/>
        <w:numPr>
          <w:ilvl w:val="0"/>
          <w:numId w:val="1785"/>
        </w:numPr>
      </w:pPr>
      <w:r>
        <w:t xml:space="preserve">La synchronisation temporelle VMware Tools doit être désactivée sur tout contrôleur de domaine virtualisé, sous peine d’erreurs Kerberos intermittentes — une recommandation officiellement documentée.</w:t>
      </w:r>
    </w:p>
    <w:p>
      <w:pPr>
        <w:pStyle w:val="Compact"/>
        <w:numPr>
          <w:ilvl w:val="0"/>
          <w:numId w:val="1785"/>
        </w:numPr>
      </w:pPr>
      <w:r>
        <w:t xml:space="preserve">vMotion et HA exigent un stockage partagé accessible par tous les hôtes du cluster, typiquement fourni par le SAN du chapitre 29.</w:t>
      </w:r>
    </w:p>
    <w:p>
      <w:pPr>
        <w:pStyle w:val="Compact"/>
        <w:numPr>
          <w:ilvl w:val="0"/>
          <w:numId w:val="1785"/>
        </w:numPr>
      </w:pPr>
      <w:r>
        <w:t xml:space="preserve">Le coût des licences VMware, particulièrement pour DRS et HA, reste un critère de décision réel à documenter explicitement.</w:t>
      </w:r>
    </w:p>
    <w:bookmarkEnd w:id="858"/>
    <w:bookmarkStart w:id="859" w:name="quiz-33"/>
    <w:p>
      <w:pPr>
        <w:pStyle w:val="Heading2"/>
      </w:pPr>
      <w:r>
        <w:t xml:space="preserve">Quiz</w:t>
      </w:r>
    </w:p>
    <w:p>
      <w:pPr>
        <w:pStyle w:val="FirstParagraph"/>
      </w:pPr>
      <w:r>
        <w:t xml:space="preserve">📝 QCM (une seule bonne réponse par question)</w:t>
      </w:r>
    </w:p>
    <w:p>
      <w:pPr>
        <w:pStyle w:val="Compact"/>
        <w:numPr>
          <w:ilvl w:val="0"/>
          <w:numId w:val="1786"/>
        </w:numPr>
      </w:pPr>
      <w:r>
        <w:t xml:space="preserve">ESXi est :</w:t>
      </w:r>
    </w:p>
    <w:p>
      <w:pPr>
        <w:pStyle w:val="Compact"/>
        <w:numPr>
          <w:ilvl w:val="1"/>
          <w:numId w:val="1787"/>
        </w:numPr>
      </w:pPr>
    </w:p>
    <w:p>
      <w:pPr>
        <w:pStyle w:val="Compact"/>
        <w:numPr>
          <w:ilvl w:val="2"/>
          <w:numId w:val="1788"/>
        </w:numPr>
      </w:pPr>
      <w:r>
        <w:t xml:space="preserve">La console de gestion centralisée de VMware</w:t>
      </w:r>
    </w:p>
    <w:p>
      <w:pPr>
        <w:pStyle w:val="Compact"/>
        <w:numPr>
          <w:ilvl w:val="1"/>
          <w:numId w:val="1787"/>
        </w:numPr>
      </w:pPr>
    </w:p>
    <w:p>
      <w:pPr>
        <w:pStyle w:val="Compact"/>
        <w:numPr>
          <w:ilvl w:val="2"/>
          <w:numId w:val="1789"/>
        </w:numPr>
      </w:pPr>
      <w:r>
        <w:t xml:space="preserve">L’hyperviseur bare-metal installé sur chaque serveur physique</w:t>
      </w:r>
    </w:p>
    <w:p>
      <w:pPr>
        <w:pStyle w:val="Compact"/>
        <w:numPr>
          <w:ilvl w:val="1"/>
          <w:numId w:val="1787"/>
        </w:numPr>
      </w:pPr>
    </w:p>
    <w:p>
      <w:pPr>
        <w:pStyle w:val="Compact"/>
        <w:numPr>
          <w:ilvl w:val="2"/>
          <w:numId w:val="1790"/>
        </w:numPr>
      </w:pPr>
      <w:r>
        <w:t xml:space="preserve">Un outil de sauvegarde</w:t>
      </w:r>
    </w:p>
    <w:p>
      <w:pPr>
        <w:pStyle w:val="Compact"/>
        <w:numPr>
          <w:ilvl w:val="1"/>
          <w:numId w:val="1787"/>
        </w:numPr>
      </w:pPr>
    </w:p>
    <w:p>
      <w:pPr>
        <w:pStyle w:val="Compact"/>
        <w:numPr>
          <w:ilvl w:val="2"/>
          <w:numId w:val="1791"/>
        </w:numPr>
      </w:pPr>
      <w:r>
        <w:t xml:space="preserve">Un protocole réseau</w:t>
      </w:r>
    </w:p>
    <w:p>
      <w:pPr>
        <w:pStyle w:val="Compact"/>
        <w:numPr>
          <w:ilvl w:val="0"/>
          <w:numId w:val="1786"/>
        </w:numPr>
      </w:pPr>
      <w:r>
        <w:t xml:space="preserve">vMotion permet de :</w:t>
      </w:r>
    </w:p>
    <w:p>
      <w:pPr>
        <w:pStyle w:val="Compact"/>
        <w:numPr>
          <w:ilvl w:val="1"/>
          <w:numId w:val="1792"/>
        </w:numPr>
      </w:pPr>
    </w:p>
    <w:p>
      <w:pPr>
        <w:pStyle w:val="Compact"/>
        <w:numPr>
          <w:ilvl w:val="2"/>
          <w:numId w:val="1793"/>
        </w:numPr>
      </w:pPr>
      <w:r>
        <w:t xml:space="preserve">Sauvegarder automatiquement une VM chaque nuit</w:t>
      </w:r>
    </w:p>
    <w:p>
      <w:pPr>
        <w:pStyle w:val="Compact"/>
        <w:numPr>
          <w:ilvl w:val="1"/>
          <w:numId w:val="1792"/>
        </w:numPr>
      </w:pPr>
    </w:p>
    <w:p>
      <w:pPr>
        <w:pStyle w:val="Compact"/>
        <w:numPr>
          <w:ilvl w:val="2"/>
          <w:numId w:val="1794"/>
        </w:numPr>
      </w:pPr>
      <w:r>
        <w:t xml:space="preserve">Migrer une VM en cours d’exécution vers un autre hôte, sans interruption perceptible</w:t>
      </w:r>
    </w:p>
    <w:p>
      <w:pPr>
        <w:pStyle w:val="Compact"/>
        <w:numPr>
          <w:ilvl w:val="1"/>
          <w:numId w:val="1792"/>
        </w:numPr>
      </w:pPr>
    </w:p>
    <w:p>
      <w:pPr>
        <w:pStyle w:val="Compact"/>
        <w:numPr>
          <w:ilvl w:val="2"/>
          <w:numId w:val="1795"/>
        </w:numPr>
      </w:pPr>
      <w:r>
        <w:t xml:space="preserve">Chiffrer le disque d’une VM</w:t>
      </w:r>
    </w:p>
    <w:p>
      <w:pPr>
        <w:pStyle w:val="Compact"/>
        <w:numPr>
          <w:ilvl w:val="1"/>
          <w:numId w:val="1792"/>
        </w:numPr>
      </w:pPr>
    </w:p>
    <w:p>
      <w:pPr>
        <w:pStyle w:val="Compact"/>
        <w:numPr>
          <w:ilvl w:val="2"/>
          <w:numId w:val="1796"/>
        </w:numPr>
      </w:pPr>
      <w:r>
        <w:t xml:space="preserve">Créer automatiquement des snapshots</w:t>
      </w:r>
    </w:p>
    <w:p>
      <w:pPr>
        <w:pStyle w:val="Compact"/>
        <w:numPr>
          <w:ilvl w:val="0"/>
          <w:numId w:val="1786"/>
        </w:numPr>
      </w:pPr>
      <w:r>
        <w:t xml:space="preserve">La synchronisation temporelle VMware Tools doit être désactivée sur :</w:t>
      </w:r>
    </w:p>
    <w:p>
      <w:pPr>
        <w:pStyle w:val="Compact"/>
        <w:numPr>
          <w:ilvl w:val="1"/>
          <w:numId w:val="1797"/>
        </w:numPr>
      </w:pPr>
    </w:p>
    <w:p>
      <w:pPr>
        <w:pStyle w:val="Compact"/>
        <w:numPr>
          <w:ilvl w:val="2"/>
          <w:numId w:val="1798"/>
        </w:numPr>
      </w:pPr>
      <w:r>
        <w:t xml:space="preserve">Toutes les VM sans exception</w:t>
      </w:r>
    </w:p>
    <w:p>
      <w:pPr>
        <w:pStyle w:val="Compact"/>
        <w:numPr>
          <w:ilvl w:val="1"/>
          <w:numId w:val="1797"/>
        </w:numPr>
      </w:pPr>
    </w:p>
    <w:p>
      <w:pPr>
        <w:pStyle w:val="Compact"/>
        <w:numPr>
          <w:ilvl w:val="2"/>
          <w:numId w:val="1799"/>
        </w:numPr>
      </w:pPr>
      <w:r>
        <w:t xml:space="preserve">Les contrôleurs de domaine virtualisés</w:t>
      </w:r>
    </w:p>
    <w:p>
      <w:pPr>
        <w:pStyle w:val="Compact"/>
        <w:numPr>
          <w:ilvl w:val="1"/>
          <w:numId w:val="1797"/>
        </w:numPr>
      </w:pPr>
    </w:p>
    <w:p>
      <w:pPr>
        <w:pStyle w:val="Compact"/>
        <w:numPr>
          <w:ilvl w:val="2"/>
          <w:numId w:val="1800"/>
        </w:numPr>
      </w:pPr>
      <w:r>
        <w:t xml:space="preserve">Uniquement les VM Linux</w:t>
      </w:r>
    </w:p>
    <w:p>
      <w:pPr>
        <w:pStyle w:val="Compact"/>
        <w:numPr>
          <w:ilvl w:val="1"/>
          <w:numId w:val="1797"/>
        </w:numPr>
      </w:pPr>
    </w:p>
    <w:p>
      <w:pPr>
        <w:pStyle w:val="Compact"/>
        <w:numPr>
          <w:ilvl w:val="2"/>
          <w:numId w:val="1801"/>
        </w:numPr>
      </w:pPr>
      <w:r>
        <w:t xml:space="preserve">Aucune VM, elle est toujours recommandée</w:t>
      </w:r>
    </w:p>
    <w:p>
      <w:pPr>
        <w:pStyle w:val="FirstParagraph"/>
      </w:pPr>
      <w:r>
        <w:rPr>
          <w:b/>
          <w:bCs/>
        </w:rPr>
        <w:t xml:space="preserve">Corrigé</w:t>
      </w:r>
      <w:r>
        <w:t xml:space="preserve"> </w:t>
      </w:r>
      <w:r>
        <w:t xml:space="preserve">: 1-b, 2-b, 3-b.</w:t>
      </w:r>
    </w:p>
    <w:p>
      <w:pPr>
        <w:pStyle w:val="BodyText"/>
      </w:pPr>
      <w:r>
        <w:t xml:space="preserve">📝 Vrai ou Faux</w:t>
      </w:r>
    </w:p>
    <w:p>
      <w:pPr>
        <w:pStyle w:val="Compact"/>
        <w:numPr>
          <w:ilvl w:val="0"/>
          <w:numId w:val="1802"/>
        </w:numPr>
      </w:pPr>
      <w:r>
        <w:t xml:space="preserve">vCenter est nécessaire pour installer un seul hôte ESXi isolé, sans aucune fonctionnalité de cluster. —</w:t>
      </w:r>
      <w:r>
        <w:t xml:space="preserve"> </w:t>
      </w:r>
      <w:r>
        <w:rPr>
          <w:b/>
          <w:bCs/>
        </w:rPr>
        <w:t xml:space="preserve">Faux</w:t>
      </w:r>
      <w:r>
        <w:t xml:space="preserve"> </w:t>
      </w:r>
      <w:r>
        <w:t xml:space="preserve">(ESXi peut fonctionner seul ; vCenter apporte la gestion centralisée et les fonctionnalités de cluster).</w:t>
      </w:r>
    </w:p>
    <w:p>
      <w:pPr>
        <w:pStyle w:val="Compact"/>
        <w:numPr>
          <w:ilvl w:val="0"/>
          <w:numId w:val="1802"/>
        </w:numPr>
      </w:pPr>
      <w:r>
        <w:t xml:space="preserve">DRS et HA résolvent le même problème, de façon redondante. —</w:t>
      </w:r>
      <w:r>
        <w:t xml:space="preserve"> </w:t>
      </w:r>
      <w:r>
        <w:rPr>
          <w:b/>
          <w:bCs/>
        </w:rPr>
        <w:t xml:space="preserve">Faux</w:t>
      </w:r>
      <w:r>
        <w:t xml:space="preserve"> </w:t>
      </w:r>
      <w:r>
        <w:t xml:space="preserve">(DRS équilibre la charge en fonctionnement normal, HA réagit à une panne, section 34.5).</w:t>
      </w:r>
    </w:p>
    <w:p>
      <w:pPr>
        <w:pStyle w:val="Compact"/>
        <w:numPr>
          <w:ilvl w:val="0"/>
          <w:numId w:val="1802"/>
        </w:numPr>
      </w:pPr>
      <w:r>
        <w:t xml:space="preserve">vMotion et HA nécessitent un stockage partagé accessible par tous les hôtes du cluster. —</w:t>
      </w:r>
      <w:r>
        <w:t xml:space="preserve"> </w:t>
      </w:r>
      <w:r>
        <w:rPr>
          <w:b/>
          <w:bCs/>
        </w:rPr>
        <w:t xml:space="preserve">Vrai</w:t>
      </w:r>
      <w:r>
        <w:t xml:space="preserve">.</w:t>
      </w:r>
    </w:p>
    <w:p>
      <w:pPr>
        <w:pStyle w:val="Compact"/>
        <w:numPr>
          <w:ilvl w:val="0"/>
          <w:numId w:val="1802"/>
        </w:numPr>
      </w:pPr>
      <w:r>
        <w:t xml:space="preserve">La désactivation de la synchronisation temporelle VMware Tools sur un contrôleur de domaine est une astuce non documentée officiellement. —</w:t>
      </w:r>
      <w:r>
        <w:t xml:space="preserve"> </w:t>
      </w:r>
      <w:r>
        <w:rPr>
          <w:b/>
          <w:bCs/>
        </w:rPr>
        <w:t xml:space="preserve">Faux</w:t>
      </w:r>
      <w:r>
        <w:t xml:space="preserve"> </w:t>
      </w:r>
      <w:r>
        <w:t xml:space="preserve">(c’est une recommandation officielle de Microsoft et VMware, section 34.6).</w:t>
      </w:r>
    </w:p>
    <w:p>
      <w:pPr>
        <w:pStyle w:val="FirstParagraph"/>
      </w:pPr>
      <w:r>
        <w:t xml:space="preserve">📝 Questions ouvertes</w:t>
      </w:r>
    </w:p>
    <w:p>
      <w:pPr>
        <w:pStyle w:val="Compact"/>
        <w:numPr>
          <w:ilvl w:val="0"/>
          <w:numId w:val="1803"/>
        </w:numPr>
      </w:pPr>
      <w:r>
        <w:t xml:space="preserve">Explique pourquoi comprendre Kerberos (chapitre 23) avant d’aborder VMware facilite le diagnostic du piège de la section 34.6.</w:t>
      </w:r>
    </w:p>
    <w:p>
      <w:pPr>
        <w:pStyle w:val="Compact"/>
        <w:numPr>
          <w:ilvl w:val="0"/>
          <w:numId w:val="1803"/>
        </w:numPr>
      </w:pPr>
      <w:r>
        <w:t xml:space="preserve">Reprends le scénario d’ouverture. Explique pourquoi ce type de piège illustre l’importance de consulter la documentation officielle avant une migration, plutôt que de simplement</w:t>
      </w:r>
      <w:r>
        <w:t xml:space="preserve"> </w:t>
      </w:r>
      <w:r>
        <w:t xml:space="preserve">“copier”</w:t>
      </w:r>
      <w:r>
        <w:t xml:space="preserve"> </w:t>
      </w:r>
      <w:r>
        <w:t xml:space="preserve">une configuration physique existante vers une VM.</w:t>
      </w:r>
    </w:p>
    <w:p>
      <w:pPr>
        <w:pStyle w:val="FirstParagraph"/>
      </w:pPr>
      <w:r>
        <w:rPr>
          <w:b/>
          <w:bCs/>
        </w:rPr>
        <w:t xml:space="preserve">Corrigé 1</w:t>
      </w:r>
      <w:r>
        <w:t xml:space="preserve"> </w:t>
      </w:r>
      <w:r>
        <w:t xml:space="preserve">: sans la compréhension déjà construite au chapitre 23 (le mécanisme précis de la tolérance d’horloge Kerberos et pourquoi</w:t>
      </w:r>
      <w:r>
        <w:t xml:space="preserve"> </w:t>
      </w:r>
      <w:r>
        <w:t xml:space="preserve">“Clock skew too great”</w:t>
      </w:r>
      <w:r>
        <w:t xml:space="preserve"> </w:t>
      </w:r>
      <w:r>
        <w:t xml:space="preserve">pointe systématiquement vers un problème de synchronisation temporelle), un administrateur pourrait chercher la cause dans des directions totalement différentes (mots de passe, permissions, réseau) avant de penser à vérifier l’horloge — la compréhension du protocole sous-jacent transforme un symptôme déroutant en diagnostic rapide et ciblé, exactement l’objectif pédagogique de construire les fondations avant les outils spécifiques tout au long de ce manuel.</w:t>
      </w:r>
    </w:p>
    <w:p>
      <w:pPr>
        <w:pStyle w:val="BodyText"/>
      </w:pPr>
      <w:r>
        <w:rPr>
          <w:b/>
          <w:bCs/>
        </w:rPr>
        <w:t xml:space="preserve">Corrigé 2</w:t>
      </w:r>
      <w:r>
        <w:t xml:space="preserve"> </w:t>
      </w:r>
      <w:r>
        <w:t xml:space="preserve">: une migration vers la virtualisation n’est jamais un simple changement de support matériel transparent — elle introduit de nouveaux composants (VMware Tools, dans ce cas) avec leurs propres comportements par défaut, potentiellement en conflit avec des configurations déjà correctement établies sur le système physique d’origine. Consulter la documentation officielle spécifique à chaque type de charge de travail migrée (ici, les contrôleurs de domaine) permet d’anticiper ce type de piège avant la migration, plutôt que de le découvrir après coup via des symptômes déroutants comme dans le scénario d’ouverture.</w:t>
      </w:r>
    </w:p>
    <w:bookmarkEnd w:id="859"/>
    <w:bookmarkStart w:id="860" w:name="exercices-33"/>
    <w:p>
      <w:pPr>
        <w:pStyle w:val="Heading2"/>
      </w:pPr>
      <w:r>
        <w:t xml:space="preserve">Exercices</w:t>
      </w:r>
    </w:p>
    <w:p>
      <w:pPr>
        <w:pStyle w:val="FirstParagraph"/>
      </w:pPr>
      <w:r>
        <w:t xml:space="preserve">📝 Exercice 34.1</w:t>
      </w:r>
    </w:p>
    <w:p>
      <w:pPr>
        <w:pStyle w:val="BodyText"/>
      </w:pPr>
      <w:r>
        <w:t xml:space="preserve">Un administrateur souhaite effectuer une mise à jour de sécurité sur un hôte ESXi hébergeant plusieurs VM critiques, sans interrompre leur disponibilité. Explique la démarche à suivre, en t’appuyant sur les sections 34.4 et 34.5.</w:t>
      </w:r>
    </w:p>
    <w:p>
      <w:pPr>
        <w:pStyle w:val="BodyText"/>
      </w:pPr>
      <w:r>
        <w:rPr>
          <w:b/>
          <w:bCs/>
        </w:rPr>
        <w:t xml:space="preserve">Corrigé :</w:t>
      </w:r>
      <w:r>
        <w:t xml:space="preserve"> </w:t>
      </w:r>
      <w:r>
        <w:t xml:space="preserve">L’administrateur peut mettre l’hôte concerné en</w:t>
      </w:r>
      <w:r>
        <w:t xml:space="preserve"> </w:t>
      </w:r>
      <w:r>
        <w:t xml:space="preserve">“mode maintenance”</w:t>
      </w:r>
      <w:r>
        <w:t xml:space="preserve"> </w:t>
      </w:r>
      <w:r>
        <w:t xml:space="preserve">dans vCenter, ce qui déclenche automatiquement (si DRS est activé) la migration de toutes les VM hébergées vers d’autres hôtes disponibles du cluster via vMotion, sans interruption perceptible pour les utilisateurs (section 34.4). Une fois l’hôte vidé de ses VM, la mise à jour de sécurité peut être appliquée en toute sécurité, puis l’hôte peut être remis en service et DRS rééquilibrera automatiquement la charge entre tous les hôtes disponibles du cluster (section 34.5) — une procédure bien plus sûre et transparente qu’une interruption de service planifiée sur un serveur physique unique sans cette flexibilité.</w:t>
      </w:r>
    </w:p>
    <w:p>
      <w:pPr>
        <w:pStyle w:val="BodyText"/>
      </w:pPr>
      <w:r>
        <w:t xml:space="preserve">📝 Exercice 34.2</w:t>
      </w:r>
    </w:p>
    <w:p>
      <w:pPr>
        <w:pStyle w:val="BodyText"/>
      </w:pPr>
      <w:r>
        <w:t xml:space="preserve">Rédige, en 3 à 5 phrases, pourquoi le coût des licences VMware (section 34.8) devrait être évalué avant, et non après, le début d’un projet de migration vers la virtualisation.</w:t>
      </w:r>
    </w:p>
    <w:p>
      <w:pPr>
        <w:pStyle w:val="BodyText"/>
      </w:pPr>
      <w:r>
        <w:rPr>
          <w:b/>
          <w:bCs/>
        </w:rPr>
        <w:t xml:space="preserve">Corrigé (exemple de réponse) :</w:t>
      </w:r>
      <w:r>
        <w:t xml:space="preserve"> </w:t>
      </w:r>
      <w:r>
        <w:t xml:space="preserve">Découvrir après le début d’un projet que les fonctionnalités réellement indispensables (comme HA pour la tolérance de panne, jugée nécessaire pour les contrôleurs de domaine critiques du scénario d’ouverture) nécessitent un niveau de licence supérieur au budget initialement approuvé peut forcer un choix difficile en cours de route : soit renoncer à ces fonctionnalités essentielles, soit demander un budget supplémentaire non planifié, une situation bien plus délicate à gérer qu’une évaluation complète et honnête du coût total avant tout engagement. Cette évaluation préalable rejoint directement le cadre de décision du chapitre 33 (et du chapitre 14) : le coût est un critère à part entière, à documenter et à valider explicitement dès la phase de décision, jamais découvert a posteriori.</w:t>
      </w:r>
    </w:p>
    <w:bookmarkEnd w:id="860"/>
    <w:bookmarkStart w:id="861" w:name="checklist-de-fin-de-chapitre-33"/>
    <w:p>
      <w:pPr>
        <w:pStyle w:val="Heading2"/>
      </w:pPr>
      <w:r>
        <w:t xml:space="preserve">Checklist de fin de chapitre</w:t>
      </w:r>
    </w:p>
    <w:p>
      <w:pPr>
        <w:pStyle w:val="FirstParagraph"/>
      </w:pPr>
      <w:r>
        <w:t xml:space="preserve">☐ Je comprends la distinction entre ESXi (hyperviseur) et vCenter (gestion centralisée).</w:t>
      </w:r>
    </w:p>
    <w:p>
      <w:pPr>
        <w:pStyle w:val="BodyText"/>
      </w:pPr>
      <w:r>
        <w:t xml:space="preserve">☐ Je sais expliquer vMotion et son intérêt pour la maintenance sans interruption.</w:t>
      </w:r>
    </w:p>
    <w:p>
      <w:pPr>
        <w:pStyle w:val="BodyText"/>
      </w:pPr>
      <w:r>
        <w:t xml:space="preserve">☐ Je comprends la différence entre DRS (équilibrage) et HA (tolérance de panne).</w:t>
      </w:r>
    </w:p>
    <w:p>
      <w:pPr>
        <w:pStyle w:val="BodyText"/>
      </w:pPr>
      <w:r>
        <w:t xml:space="preserve">☐ Je sais pourquoi et comment désactiver la synchronisation temporelle VMware Tools sur un contrôleur de domaine.</w:t>
      </w:r>
    </w:p>
    <w:p>
      <w:pPr>
        <w:pStyle w:val="BodyText"/>
      </w:pPr>
      <w:r>
        <w:t xml:space="preserve">☐ Je comprends pourquoi vMotion et HA nécessitent un stockage partagé.</w:t>
      </w:r>
    </w:p>
    <w:p>
      <w:pPr>
        <w:pStyle w:val="BodyText"/>
      </w:pPr>
      <w:r>
        <w:t xml:space="preserve">☐ Je sais que le coût des licences VMware est un critère de décision à évaluer explicitement avant tout engagement.</w:t>
      </w:r>
    </w:p>
    <w:bookmarkEnd w:id="861"/>
    <w:bookmarkStart w:id="862" w:name="faq-33"/>
    <w:p>
      <w:pPr>
        <w:pStyle w:val="Heading2"/>
      </w:pPr>
      <w:r>
        <w:t xml:space="preserve">FAQ</w:t>
      </w:r>
    </w:p>
    <w:p>
      <w:pPr>
        <w:pStyle w:val="FirstParagraph"/>
      </w:pPr>
      <w:r>
        <w:t xml:space="preserve">Existe-t-il une version gratuite d’ESXi ?</w:t>
      </w:r>
    </w:p>
    <w:p>
      <w:pPr>
        <w:pStyle w:val="BodyText"/>
      </w:pPr>
      <w:r>
        <w:t xml:space="preserve">Une version gratuite limitée a historiquement existé, mais sans les fonctionnalités avancées comme vMotion, DRS et HA — pour un usage de production sérieux nécessitant ces fonctionnalités, une licence payante reste généralement nécessaire, un point à considérer dans l’évaluation de coût de la section 34.8.</w:t>
      </w:r>
    </w:p>
    <w:p>
      <w:pPr>
        <w:pStyle w:val="BodyText"/>
      </w:pPr>
      <w:r>
        <w:t xml:space="preserve">Combien d’hôtes minimum faut-il pour bénéficier de HA ?</w:t>
      </w:r>
    </w:p>
    <w:p>
      <w:pPr>
        <w:pStyle w:val="BodyText"/>
      </w:pPr>
      <w:r>
        <w:t xml:space="preserve">Un minimum de deux hôtes est nécessaire, HA n’ayant de sens que s’il existe au moins un autre hôte disponible pour accueillir les VM redémarrées après une panne — plus le cluster compte d’hôtes, plus la marge de manœuvre en cas de panne multiple reste confortable.</w:t>
      </w:r>
    </w:p>
    <w:p>
      <w:pPr>
        <w:pStyle w:val="BodyText"/>
      </w:pPr>
      <w:r>
        <w:t xml:space="preserve">La désactivation de la synchronisation temporelle VMware Tools s’applique-t-elle aussi aux serveurs Linux virtualisés ?</w:t>
      </w:r>
    </w:p>
    <w:p>
      <w:pPr>
        <w:pStyle w:val="BodyText"/>
      </w:pPr>
      <w:r>
        <w:t xml:space="preserve">La même prudence s’applique à tout serveur ayant son propre service de synchronisation temporelle fiable déjà configuré (comme</w:t>
      </w:r>
      <w:r>
        <w:t xml:space="preserve"> </w:t>
      </w:r>
      <w:r>
        <w:rPr>
          <w:rStyle w:val="VerbatimChar"/>
        </w:rPr>
        <w:t xml:space="preserve">chronyd</w:t>
      </w:r>
      <w:r>
        <w:t xml:space="preserve"> </w:t>
      </w:r>
      <w:r>
        <w:t xml:space="preserve">sur les serveurs Rocky Linux déjà rencontrés dans ce manuel) — le principe général reste : ne jamais laisser deux mécanismes de synchronisation temporelle entrer en conflit sur un même système, quel que soit son système d’exploitation.</w:t>
      </w:r>
    </w:p>
    <w:p>
      <w:pPr>
        <w:pStyle w:val="BodyText"/>
      </w:pPr>
      <w:r>
        <w:t xml:space="preserve">Peut-on utiliser vMotion entre des hôtes ESXi de versions différentes ?</w:t>
      </w:r>
    </w:p>
    <w:p>
      <w:pPr>
        <w:pStyle w:val="BodyText"/>
      </w:pPr>
      <w:r>
        <w:t xml:space="preserve">Une compatibilité existe généralement entre versions proches, mais avec des limitations selon l’écart de version — une vérification de la matrice de compatibilité officielle VMware reste indispensable avant de planifier une migration entre hôtes de versions significativement différentes.</w:t>
      </w:r>
    </w:p>
    <w:bookmarkEnd w:id="862"/>
    <w:bookmarkStart w:id="866" w:name="références-et-pour-aller-plus-loin-33"/>
    <w:p>
      <w:pPr>
        <w:pStyle w:val="Heading2"/>
      </w:pPr>
      <w:r>
        <w:t xml:space="preserve">Références et pour aller plus loin</w:t>
      </w:r>
    </w:p>
    <w:p>
      <w:pPr>
        <w:pStyle w:val="Compact"/>
        <w:numPr>
          <w:ilvl w:val="0"/>
          <w:numId w:val="1804"/>
        </w:numPr>
      </w:pPr>
      <w:r>
        <w:t xml:space="preserve">Documentation officielle VMware vSphere :</w:t>
      </w:r>
      <w:r>
        <w:t xml:space="preserve"> </w:t>
      </w:r>
      <w:hyperlink r:id="rId863">
        <w:r>
          <w:rPr>
            <w:rStyle w:val="Hyperlink"/>
          </w:rPr>
          <w:t xml:space="preserve">https://docs.vmware.com/fr/VMware-vSphere/index.html</w:t>
        </w:r>
      </w:hyperlink>
    </w:p>
    <w:p>
      <w:pPr>
        <w:pStyle w:val="Compact"/>
        <w:numPr>
          <w:ilvl w:val="0"/>
          <w:numId w:val="1804"/>
        </w:numPr>
      </w:pPr>
      <w:r>
        <w:t xml:space="preserve">VMware Knowledge Base — Synchronisation temporelle et contrôleurs de domaine :</w:t>
      </w:r>
      <w:r>
        <w:t xml:space="preserve"> </w:t>
      </w:r>
      <w:hyperlink r:id="rId864">
        <w:r>
          <w:rPr>
            <w:rStyle w:val="Hyperlink"/>
          </w:rPr>
          <w:t xml:space="preserve">https://kb.vmware.com/</w:t>
        </w:r>
      </w:hyperlink>
    </w:p>
    <w:p>
      <w:pPr>
        <w:pStyle w:val="Compact"/>
        <w:numPr>
          <w:ilvl w:val="0"/>
          <w:numId w:val="1804"/>
        </w:numPr>
      </w:pPr>
      <w:r>
        <w:t xml:space="preserve">Microsoft — Recommandations pour la virtualisation des contrôleurs de domaine :</w:t>
      </w:r>
      <w:r>
        <w:t xml:space="preserve"> </w:t>
      </w:r>
      <w:hyperlink r:id="rId865">
        <w:r>
          <w:rPr>
            <w:rStyle w:val="Hyperlink"/>
          </w:rPr>
          <w:t xml:space="preserve">https://learn.microsoft.com/fr-fr/windows-server/identity/ad-ds/get-started/virtual-dc/virtualized-domain-controller-architecture</w:t>
        </w:r>
      </w:hyperlink>
    </w:p>
    <w:p>
      <w:pPr>
        <w:pStyle w:val="FirstParagraph"/>
      </w:pPr>
      <w:r>
        <w:rPr>
          <w:i/>
          <w:iCs/>
        </w:rPr>
        <w:t xml:space="preserve">Chapitre suivant : Microsoft Hyper-V — l’alternative native à l’écosystème Windows Server déjà largement couvert dans ce manuel, avec ses propres compromis face à VMware.</w:t>
      </w:r>
    </w:p>
    <w:p>
      <w:pPr>
        <w:pStyle w:val="BodyText"/>
      </w:pPr>
      <w:r>
        <w:t xml:space="preserve">CHAPITRE 35</w:t>
      </w:r>
    </w:p>
    <w:bookmarkEnd w:id="866"/>
    <w:bookmarkEnd w:id="867"/>
    <w:bookmarkStart w:id="893" w:name="microsoft-hyper-v"/>
    <w:p>
      <w:pPr>
        <w:pStyle w:val="Heading1"/>
      </w:pPr>
      <w:r>
        <w:t xml:space="preserve">Microsoft Hyper-V</w:t>
      </w:r>
    </w:p>
    <w:p>
      <w:pPr>
        <w:pStyle w:val="FirstParagraph"/>
      </w:pPr>
      <w:r>
        <w:t xml:space="preserve">🎯 Objectif du chapitre</w:t>
      </w:r>
      <w:r>
        <w:t xml:space="preserve"> </w:t>
      </w:r>
      <w:r>
        <w:t xml:space="preserve">Découvrir Hyper-V, l’hyperviseur natif de Windows Server, et comprendre pourquoi son modèle de licence change fondamentalement l’équation économique par rapport à VMware (chapitre 34) pour une entreprise déjà investie dans l’écosystème Windows Server. À la fin de ce chapitre, tu sauras configurer un cluster Hyper-V en t’appuyant directement sur le Failover Clustering déjà couvert au chapitre 13, et éviter un piège de synchronisation temporelle remarquablement similaire à celui rencontré avec VMware.</w:t>
      </w:r>
    </w:p>
    <w:p>
      <w:pPr>
        <w:pStyle w:val="BodyText"/>
      </w:pPr>
      <w:r>
        <w:t xml:space="preserve">🎬 Mise en situation</w:t>
      </w:r>
      <w:r>
        <w:t xml:space="preserve"> </w:t>
      </w:r>
      <w:r>
        <w:t xml:space="preserve">Fort du succès de la virtualisation des contrôleurs de domaine sous VMware (chapitre 34), le DSI souhaite maintenant virtualiser le reste du parc — le serveur du portail client, le serveur de gestion documentaire, et les futurs projets à venir. Mais le coût des licences VMware pour ce périmètre plus large inquiète le service financier. En creusant la question, tu découvres que l’entreprise possède déjà des licences</w:t>
      </w:r>
      <w:r>
        <w:t xml:space="preserve"> </w:t>
      </w:r>
      <w:r>
        <w:rPr>
          <w:b/>
          <w:bCs/>
        </w:rPr>
        <w:t xml:space="preserve">Windows Server Datacenter</w:t>
      </w:r>
      <w:r>
        <w:t xml:space="preserve"> </w:t>
      </w:r>
      <w:r>
        <w:t xml:space="preserve">pour plusieurs serveurs (achetées initialement pour d’autres raisons) — et que ces licences incluent, sans coût supplémentaire, le droit d’exécuter un</w:t>
      </w:r>
      <w:r>
        <w:t xml:space="preserve"> </w:t>
      </w:r>
      <w:r>
        <w:rPr>
          <w:b/>
          <w:bCs/>
        </w:rPr>
        <w:t xml:space="preserve">nombre illimité</w:t>
      </w:r>
      <w:r>
        <w:t xml:space="preserve"> </w:t>
      </w:r>
      <w:r>
        <w:t xml:space="preserve">de machines virtuelles Windows Server sur le matériel physique couvert. Hyper-V, déjà présent gratuitement dans Windows Server, devient soudain une option économiquement très différente de VMware pour ce second périmètre. Ce chapitre explore Hyper-V à travers cette réalité économique concrète, avant d’aborder ses capacités techniques.</w:t>
      </w:r>
    </w:p>
    <w:bookmarkStart w:id="868" w:name="X4d56b5daeb65fbcbd9548b9e7bcd629384f7bd8"/>
    <w:p>
      <w:pPr>
        <w:pStyle w:val="Heading2"/>
      </w:pPr>
      <w:r>
        <w:t xml:space="preserve">35.1 Hyper-V : un rôle de Windows Server, pas un produit séparé</w:t>
      </w:r>
    </w:p>
    <w:p>
      <w:pPr>
        <w:pStyle w:val="FirstParagraph"/>
      </w:pPr>
      <w:r>
        <w:t xml:space="preserve">📌 À retenir</w:t>
      </w:r>
      <w:r>
        <w:t xml:space="preserve"> </w:t>
      </w:r>
      <w:r>
        <w:t xml:space="preserve">Contrairement à VMware ESXi (un système d’exploitation dédié à la virtualisation, chapitre 34),</w:t>
      </w:r>
      <w:r>
        <w:t xml:space="preserve"> </w:t>
      </w:r>
      <w:r>
        <w:rPr>
          <w:b/>
          <w:bCs/>
        </w:rPr>
        <w:t xml:space="preserve">Hyper-V</w:t>
      </w:r>
      <w:r>
        <w:t xml:space="preserve"> </w:t>
      </w:r>
      <w:r>
        <w:t xml:space="preserve">s’installe comme un</w:t>
      </w:r>
      <w:r>
        <w:t xml:space="preserve"> </w:t>
      </w:r>
      <w:r>
        <w:rPr>
          <w:b/>
          <w:bCs/>
        </w:rPr>
        <w:t xml:space="preserve">rôle</w:t>
      </w:r>
      <w:r>
        <w:t xml:space="preserve"> </w:t>
      </w:r>
      <w:r>
        <w:t xml:space="preserve">de Windows Server — exactement le même mécanisme d’activation de rôle déjà pratiqué au chapitre 9 (DNS) et au chapitre 10 (DHCP). Une fois ce rôle activé, le serveur devient lui-même un hyperviseur de Type 1 (chapitre 33), Windows Server s’exécutant alors techniquement comme la première VM privilégiée du système (</w:t>
      </w:r>
      <w:r>
        <w:t xml:space="preserve">“partition parente”</w:t>
      </w:r>
      <w:r>
        <w:t xml:space="preserve">).</w:t>
      </w:r>
    </w:p>
    <w:bookmarkEnd w:id="868"/>
    <w:bookmarkStart w:id="869" w:name="X5a6c6aad8c0e48d680fde98094e85de4be6ac7c"/>
    <w:p>
      <w:pPr>
        <w:pStyle w:val="Heading2"/>
      </w:pPr>
      <w:r>
        <w:t xml:space="preserve">35.2 Le modèle de licence : le vrai argument économique du scénario d’ouverture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Édition Windows Server</w:t>
            </w:r>
          </w:p>
        </w:tc>
        <w:tc>
          <w:tcPr/>
          <w:p>
            <w:pPr>
              <w:pStyle w:val="Compact"/>
            </w:pPr>
            <w:r>
              <w:t xml:space="preserve">Droits de virtualisation inclus</w:t>
            </w:r>
          </w:p>
        </w:tc>
      </w:tr>
      <w:tr>
        <w:tc>
          <w:tcPr/>
          <w:p>
            <w:pPr>
              <w:pStyle w:val="Compact"/>
            </w:pPr>
            <w:r>
              <w:rPr>
                <w:b/>
                <w:bCs/>
              </w:rPr>
              <w:t xml:space="preserve">Standard</w:t>
            </w:r>
          </w:p>
        </w:tc>
        <w:tc>
          <w:tcPr/>
          <w:p>
            <w:pPr>
              <w:pStyle w:val="Compact"/>
            </w:pPr>
            <w:r>
              <w:t xml:space="preserve">2 machines virtuelles Windows Server par licence</w:t>
            </w:r>
          </w:p>
        </w:tc>
      </w:tr>
      <w:tr>
        <w:tc>
          <w:tcPr/>
          <w:p>
            <w:pPr>
              <w:pStyle w:val="Compact"/>
            </w:pPr>
            <w:r>
              <w:rPr>
                <w:b/>
                <w:bCs/>
              </w:rPr>
              <w:t xml:space="preserve">Datacenter</w:t>
            </w:r>
          </w:p>
        </w:tc>
        <w:tc>
          <w:tcPr/>
          <w:p>
            <w:pPr>
              <w:pStyle w:val="Compact"/>
            </w:pPr>
            <w:r>
              <w:t xml:space="preserve">Nombre</w:t>
            </w:r>
            <w:r>
              <w:t xml:space="preserve"> </w:t>
            </w:r>
            <w:r>
              <w:rPr>
                <w:b/>
                <w:bCs/>
              </w:rPr>
              <w:t xml:space="preserve">illimité</w:t>
            </w:r>
            <w:r>
              <w:t xml:space="preserve"> </w:t>
            </w:r>
            <w:r>
              <w:t xml:space="preserve">de machines virtuelles Windows Server, sur le matériel physique couvert</w:t>
            </w:r>
          </w:p>
        </w:tc>
      </w:tr>
    </w:tbl>
    <w:p>
      <w:pPr>
        <w:pStyle w:val="BodyText"/>
      </w:pPr>
      <w:r>
        <w:t xml:space="preserve">✅ Bonne pratique — évaluer le modèle de licence avant de comparer les fonctionnalités techniques</w:t>
      </w:r>
      <w:r>
        <w:t xml:space="preserve"> </w:t>
      </w:r>
      <w:r>
        <w:t xml:space="preserve">Rappel direct du chapitre 34 (coût des licences VMware) et du chapitre 14 (cadre de décision) : pour une entreprise déjà équipée en licences Windows Server Datacenter — souvent le cas dès qu’un nombre significatif de VM Windows est prévu — Hyper-V devient une option quasiment gratuite pour la virtualisation, contrairement à VMware qui facture ses fonctionnalités avancées séparément. C’est exactement la découverte du scénario d’ouverture, qui change fondamentalement l’équation économique pour ce second périmètre de virtualisation.</w:t>
      </w:r>
    </w:p>
    <w:p>
      <w:pPr>
        <w:pStyle w:val="BodyText"/>
      </w:pPr>
      <w:r>
        <w:t xml:space="preserve">⚠️ Cette économie ne s’applique qu’aux VM Windows Server</w:t>
      </w:r>
      <w:r>
        <w:t xml:space="preserve"> </w:t>
      </w:r>
      <w:r>
        <w:t xml:space="preserve">Le calcul change pour des VM Linux (comme le serveur Rocky Linux de gestion documentaire, chapitre 19) : les droits de virtualisation inclus dans les licences Windows Server Datacenter ne couvrent que les VM Windows Server elles-mêmes, pas les systèmes d’exploitation tiers — Hyper-V peut techniquement héberger des VM Linux sans coût de licence Microsoft additionnel (Hyper-V lui-même reste gratuit à utiliser), mais l’argument économique du scénario d’ouverture est spécifiquement le plus fort pour les charges Windows Server.</w:t>
      </w:r>
    </w:p>
    <w:bookmarkEnd w:id="869"/>
    <w:bookmarkStart w:id="870" w:name="X62e25a28e54241659f321be2fa29901ed9c84a7"/>
    <w:p>
      <w:pPr>
        <w:pStyle w:val="Heading2"/>
      </w:pPr>
      <w:r>
        <w:t xml:space="preserve">35.3 Live Migration : l’équivalent Hyper-V de vMotion</w:t>
      </w:r>
    </w:p>
    <w:p>
      <w:pPr>
        <w:pStyle w:val="FirstParagraph"/>
      </w:pPr>
      <w:r>
        <w:t xml:space="preserve">💡 Le même concept, un nom différent</w:t>
      </w:r>
      <w:r>
        <w:t xml:space="preserve"> </w:t>
      </w:r>
      <w:r>
        <w:rPr>
          <w:b/>
          <w:bCs/>
        </w:rPr>
        <w:t xml:space="preserve">Live Migration</w:t>
      </w:r>
      <w:r>
        <w:t xml:space="preserve"> </w:t>
      </w:r>
      <w:r>
        <w:t xml:space="preserve">joue exactement le même rôle que vMotion (chapitre 34) : déplacer une VM en cours d’exécution d’un hôte Hyper-V vers un autre, sans interruption perceptible pour les utilisateurs — pour la maintenance planifiée d’un hôte physique, exactement le même bénéfice déjà expliqué au chapitre 34. Comme vMotion, Live Migration nécessite un stockage partagé accessible par tous les hôtes concernés (le NAS ou le SAN des chapitres 28-29).</w:t>
      </w:r>
    </w:p>
    <w:bookmarkEnd w:id="870"/>
    <w:bookmarkStart w:id="874" w:name="Xe2d1913887247ca1af0bbb443ccf10f73e2e275"/>
    <w:p>
      <w:pPr>
        <w:pStyle w:val="Heading2"/>
      </w:pPr>
      <w:r>
        <w:t xml:space="preserve">35.4 Failover Clustering pour Hyper-V : rappel direct du chapitre 13</w:t>
      </w:r>
    </w:p>
    <w:p>
      <w:pPr>
        <w:pStyle w:val="FirstParagraph"/>
      </w:pPr>
      <w:r>
        <w:t xml:space="preserve">🧠 À mémoriser — Hyper-V s’appuie sur le clustering déjà appris</w:t>
      </w:r>
      <w:r>
        <w:t xml:space="preserve"> </w:t>
      </w:r>
      <w:r>
        <w:t xml:space="preserve">Contrairement à VMware, qui a son propre mécanisme HA indépendant (chapitre 34), la haute disponibilité Hyper-V s’appuie directement sur</w:t>
      </w:r>
      <w:r>
        <w:t xml:space="preserve"> </w:t>
      </w:r>
      <w:r>
        <w:rPr>
          <w:b/>
          <w:bCs/>
        </w:rPr>
        <w:t xml:space="preserve">Failover Clustering</w:t>
      </w:r>
      <w:r>
        <w:t xml:space="preserve">, le même mécanisme Windows Server déjà couvert en détail au chapitre 13 — un cluster de basculement, avec ses nœuds et son quorum, héberge cette fois des VM plutôt qu’un service applicatif classique. Comprendre le chapitre 13 en profondeur rend cette section presque entièrement familière : le concept de quorum (une majorité de nœuds doit s’accorder sur l’état du cluster pour éviter un split-brain) s’applique ici exactement de la même façon.</w:t>
      </w:r>
    </w:p>
    <w:p>
      <w:pPr>
        <w:pStyle w:val="CaptionedFigure"/>
      </w:pPr>
      <w:r>
        <w:drawing>
          <wp:inline>
            <wp:extent cx="5334000" cy="1606626"/>
            <wp:effectExtent b="0" l="0" r="0" t="0"/>
            <wp:docPr descr="Diagramme" title="" id="872" name="Picture"/>
            <a:graphic>
              <a:graphicData uri="http://schemas.openxmlformats.org/drawingml/2006/picture">
                <pic:pic>
                  <pic:nvPicPr>
                    <pic:cNvPr descr="C:/Users/ingja/Desktop/jarvis-starter-kit/livrables/formations/manuel-administration-systeme/assets/diagrams/d-35-microsoft-hyper-v-diagramme-1.png" id="873" name="Picture"/>
                    <pic:cNvPicPr>
                      <a:picLocks noChangeArrowheads="1" noChangeAspect="1"/>
                    </pic:cNvPicPr>
                  </pic:nvPicPr>
                  <pic:blipFill>
                    <a:blip r:embed="rId871"/>
                    <a:stretch>
                      <a:fillRect/>
                    </a:stretch>
                  </pic:blipFill>
                  <pic:spPr bwMode="auto">
                    <a:xfrm>
                      <a:off x="0" y="0"/>
                      <a:ext cx="5334000" cy="1606626"/>
                    </a:xfrm>
                    <a:prstGeom prst="rect">
                      <a:avLst/>
                    </a:prstGeom>
                    <a:noFill/>
                    <a:ln w="9525">
                      <a:noFill/>
                      <a:headEnd/>
                      <a:tailEnd/>
                    </a:ln>
                  </pic:spPr>
                </pic:pic>
              </a:graphicData>
            </a:graphic>
          </wp:inline>
        </w:drawing>
      </w:r>
    </w:p>
    <w:p>
      <w:pPr>
        <w:pStyle w:val="ImageCaption"/>
      </w:pPr>
      <w:r>
        <w:t xml:space="preserve">Diagramme</w:t>
      </w:r>
    </w:p>
    <w:bookmarkEnd w:id="874"/>
    <w:bookmarkStart w:id="875" w:name="X5cd8ce777f72c6f456be9c876e55944d5e8f113"/>
    <w:p>
      <w:pPr>
        <w:pStyle w:val="Heading2"/>
      </w:pPr>
      <w:r>
        <w:t xml:space="preserve">35.5 Checkpoints Hyper-V : le même principe et la même mise en garde que les snapshots</w:t>
      </w:r>
    </w:p>
    <w:p>
      <w:pPr>
        <w:pStyle w:val="FirstParagraph"/>
      </w:pPr>
      <w:r>
        <w:t xml:space="preserve">⚠️ Rappel direct du chapitre 33 : un checkpoint n’est pas une sauvegarde</w:t>
      </w:r>
      <w:r>
        <w:t xml:space="preserve"> </w:t>
      </w:r>
      <w:r>
        <w:t xml:space="preserve">Hyper-V appelle</w:t>
      </w:r>
      <w:r>
        <w:t xml:space="preserve"> </w:t>
      </w:r>
      <w:r>
        <w:rPr>
          <w:b/>
          <w:bCs/>
        </w:rPr>
        <w:t xml:space="preserve">checkpoint</w:t>
      </w:r>
      <w:r>
        <w:t xml:space="preserve"> </w:t>
      </w:r>
      <w:r>
        <w:t xml:space="preserve">ce que VMware appelle snapshot (chapitre 33 et 34) — le même concept, la même mise en garde s’applique intégralement : un checkpoint capture un état précis, utile pour revenir en arrière rapidement après un changement risqué, mais ne protège pas contre une panne du stockage sous-jacent et ne doit jamais rester actif indéfiniment (accumulation d’espace disque, dégradation de performance).</w:t>
      </w:r>
    </w:p>
    <w:bookmarkEnd w:id="875"/>
    <w:bookmarkStart w:id="876" w:name="X80d32a0d9f8f9329c45a4e66d7ccd7831493584"/>
    <w:p>
      <w:pPr>
        <w:pStyle w:val="Heading2"/>
      </w:pPr>
      <w:r>
        <w:t xml:space="preserve">35.6 Le même piège que VMware : la synchronisation de l’heure</w:t>
      </w:r>
    </w:p>
    <w:p>
      <w:pPr>
        <w:pStyle w:val="FirstParagraph"/>
      </w:pPr>
      <w:r>
        <w:t xml:space="preserve">⚠️ Un piège remarquablement similaire à celui du chapitre 34, chez un fournisseur différent</w:t>
      </w:r>
      <w:r>
        <w:t xml:space="preserve"> </w:t>
      </w:r>
      <w:r>
        <w:t xml:space="preserve">Hyper-V propose, via les</w:t>
      </w:r>
      <w:r>
        <w:t xml:space="preserve"> </w:t>
      </w:r>
      <w:r>
        <w:rPr>
          <w:b/>
          <w:bCs/>
        </w:rPr>
        <w:t xml:space="preserve">Services d’intégration</w:t>
      </w:r>
      <w:r>
        <w:t xml:space="preserve"> </w:t>
      </w:r>
      <w:r>
        <w:t xml:space="preserve">installés dans chaque VM, un service de</w:t>
      </w:r>
      <w:r>
        <w:t xml:space="preserve"> </w:t>
      </w:r>
      <w:r>
        <w:rPr>
          <w:b/>
          <w:bCs/>
        </w:rPr>
        <w:t xml:space="preserve">synchronisation de l’heure</w:t>
      </w:r>
      <w:r>
        <w:t xml:space="preserve"> </w:t>
      </w:r>
      <w:r>
        <w:t xml:space="preserve">entre l’hôte et la VM — exactement le même mécanisme que VMware Tools (chapitre 34), avec exactement le même risque pour un contrôleur de domaine virtualisé : ce service doit être</w:t>
      </w:r>
      <w:r>
        <w:t xml:space="preserve"> </w:t>
      </w:r>
      <w:r>
        <w:rPr>
          <w:b/>
          <w:bCs/>
        </w:rPr>
        <w:t xml:space="preserve">désactivé</w:t>
      </w:r>
      <w:r>
        <w:t xml:space="preserve"> </w:t>
      </w:r>
      <w:r>
        <w:t xml:space="preserve">sur tout contrôleur de domaine, pour laisser le service de temps Windows natif (rappel du chapitre 23) rester l’unique autorité temporelle. Ce n’est pas une coïncidence : le problème sous-jacent (deux mécanismes de synchronisation concurrents) est structurel à la virtualisation elle-même, indépendant du fournisseur d’hyperviseur choisi.</w:t>
      </w:r>
    </w:p>
    <w:p>
      <w:pPr>
        <w:pStyle w:val="SourceCode"/>
      </w:pPr>
      <w:r>
        <w:rPr>
          <w:rStyle w:val="VerbatimChar"/>
        </w:rPr>
        <w:t xml:space="preserve"># Sur un controleur de domaine virtualise sous Hyper-V, desactiver le</w:t>
      </w:r>
      <w:r>
        <w:br/>
      </w:r>
      <w:r>
        <w:rPr>
          <w:rStyle w:val="VerbatimChar"/>
        </w:rPr>
        <w:t xml:space="preserve"># service d'integration de synchronisation de l'heure via PowerShell</w:t>
      </w:r>
      <w:r>
        <w:br/>
      </w:r>
      <w:r>
        <w:rPr>
          <w:rStyle w:val="VerbatimChar"/>
        </w:rPr>
        <w:t xml:space="preserve">Disable-VMIntegrationService -VMName "DC-PAP-01" -Name "Time Synchronization"</w:t>
      </w:r>
    </w:p>
    <w:p>
      <w:pPr>
        <w:pStyle w:val="FirstParagraph"/>
      </w:pPr>
      <w:r>
        <w:t xml:space="preserve">🧠 À mémoriser — une leçon transversale à toute la virtualisation, pas propre à un seul produit</w:t>
      </w:r>
      <w:r>
        <w:t xml:space="preserve"> </w:t>
      </w:r>
      <w:r>
        <w:t xml:space="preserve">Ce parallèle exact entre VMware (chapitre 34) et Hyper-V confirme une leçon plus large : les fondations comprises en profondeur (Kerberos et la synchronisation temporelle, chapitre 23) restent valables quel que soit l’hyperviseur choisi ensuite. Un administrateur qui change d’employeur, et donc potentiellement d’écosystème de virtualisation, retrouve les mêmes principes sous des noms différents — la compréhension des fondations vaut plus que la mémorisation d’une seule interface produit.</w:t>
      </w:r>
    </w:p>
    <w:bookmarkEnd w:id="876"/>
    <w:bookmarkStart w:id="877" w:name="choisir-entre-vmware-et-hyper-v-synthèse"/>
    <w:p>
      <w:pPr>
        <w:pStyle w:val="Heading2"/>
      </w:pPr>
      <w:r>
        <w:t xml:space="preserve">35.7 Choisir entre VMware et Hyper-V : synthèse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Critère</w:t>
            </w:r>
          </w:p>
        </w:tc>
        <w:tc>
          <w:tcPr/>
          <w:p>
            <w:pPr>
              <w:pStyle w:val="Compact"/>
            </w:pPr>
            <w:r>
              <w:t xml:space="preserve">VMware vSphere (chapitre 34)</w:t>
            </w:r>
          </w:p>
        </w:tc>
        <w:tc>
          <w:tcPr/>
          <w:p>
            <w:pPr>
              <w:pStyle w:val="Compact"/>
            </w:pPr>
            <w:r>
              <w:t xml:space="preserve">Hyper-V</w:t>
            </w:r>
          </w:p>
        </w:tc>
      </w:tr>
      <w:tr>
        <w:tc>
          <w:tcPr/>
          <w:p>
            <w:pPr>
              <w:pStyle w:val="Compact"/>
            </w:pPr>
            <w:r>
              <w:t xml:space="preserve">Coût pour des VM Windows Server, licences Datacenter déjà possédées</w:t>
            </w:r>
          </w:p>
        </w:tc>
        <w:tc>
          <w:tcPr/>
          <w:p>
            <w:pPr>
              <w:pStyle w:val="Compact"/>
            </w:pPr>
            <w:r>
              <w:t xml:space="preserve">Coût de licence VMware séparé</w:t>
            </w:r>
          </w:p>
        </w:tc>
        <w:tc>
          <w:tcPr/>
          <w:p>
            <w:pPr>
              <w:pStyle w:val="Compact"/>
            </w:pPr>
            <w:r>
              <w:t xml:space="preserve">Quasiment gratuit (inclus)</w:t>
            </w:r>
          </w:p>
        </w:tc>
      </w:tr>
      <w:tr>
        <w:tc>
          <w:tcPr/>
          <w:p>
            <w:pPr>
              <w:pStyle w:val="Compact"/>
            </w:pPr>
            <w:r>
              <w:t xml:space="preserve">Maturité de l’écosystème et de la documentation</w:t>
            </w:r>
          </w:p>
        </w:tc>
        <w:tc>
          <w:tcPr/>
          <w:p>
            <w:pPr>
              <w:pStyle w:val="Compact"/>
            </w:pPr>
            <w:r>
              <w:t xml:space="preserve">Historiquement très établie</w:t>
            </w:r>
          </w:p>
        </w:tc>
        <w:tc>
          <w:tcPr/>
          <w:p>
            <w:pPr>
              <w:pStyle w:val="Compact"/>
            </w:pPr>
            <w:r>
              <w:t xml:space="preserve">Solide, en croissance continue</w:t>
            </w:r>
          </w:p>
        </w:tc>
      </w:tr>
      <w:tr>
        <w:tc>
          <w:tcPr/>
          <w:p>
            <w:pPr>
              <w:pStyle w:val="Compact"/>
            </w:pPr>
            <w:r>
              <w:t xml:space="preserve">Intégration avec l’écosystème Windows déjà en place</w:t>
            </w:r>
          </w:p>
        </w:tc>
        <w:tc>
          <w:tcPr/>
          <w:p>
            <w:pPr>
              <w:pStyle w:val="Compact"/>
            </w:pPr>
            <w:r>
              <w:t xml:space="preserve">Bonne, mais nécessite un produit tiers</w:t>
            </w:r>
          </w:p>
        </w:tc>
        <w:tc>
          <w:tcPr/>
          <w:p>
            <w:pPr>
              <w:pStyle w:val="Compact"/>
            </w:pPr>
            <w:r>
              <w:t xml:space="preserve">Native, s’appuie directement sur des compétences déjà acquises (chapitre 13)</w:t>
            </w:r>
          </w:p>
        </w:tc>
      </w:tr>
      <w:tr>
        <w:tc>
          <w:tcPr/>
          <w:p>
            <w:pPr>
              <w:pStyle w:val="Compact"/>
            </w:pPr>
            <w:r>
              <w:t xml:space="preserve">Support des charges de travail Linux</w:t>
            </w:r>
          </w:p>
        </w:tc>
        <w:tc>
          <w:tcPr/>
          <w:p>
            <w:pPr>
              <w:pStyle w:val="Compact"/>
            </w:pPr>
            <w:r>
              <w:t xml:space="preserve">Excellent, agnostique</w:t>
            </w:r>
          </w:p>
        </w:tc>
        <w:tc>
          <w:tcPr/>
          <w:p>
            <w:pPr>
              <w:pStyle w:val="Compact"/>
            </w:pPr>
            <w:r>
              <w:t xml:space="preserve">Bon, mais l’écosystème reste historiquement plus orienté Windows</w:t>
            </w:r>
          </w:p>
        </w:tc>
      </w:tr>
    </w:tbl>
    <w:p>
      <w:pPr>
        <w:pStyle w:val="BodyText"/>
      </w:pPr>
      <w:r>
        <w:t xml:space="preserve">✅ Bonne pratique — une coexistence des deux, plutôt qu’un choix exclusif</w:t>
      </w:r>
      <w:r>
        <w:t xml:space="preserve"> </w:t>
      </w:r>
      <w:r>
        <w:t xml:space="preserve">Exactement comme le scénario de ce manuel le suggère (VMware pour les contrôleurs de domaine les plus critiques au chapitre 34, Hyper-V pour le reste du parc dans ce chapitre), de nombreuses organisations font coexister plusieurs hyperviseurs selon le contexte économique et technique de chaque périmètre — une décision à documenter explicitement (chapitre 3), avec sa justification, plutôt qu’un choix arbitraire ou hérité sans réflexion.</w:t>
      </w:r>
    </w:p>
    <w:bookmarkEnd w:id="877"/>
    <w:bookmarkStart w:id="878" w:name="X60003aef8293226df5bd76b99e3db61bdb87f3e"/>
    <w:p>
      <w:pPr>
        <w:pStyle w:val="Heading2"/>
      </w:pPr>
      <w:r>
        <w:t xml:space="preserve">Atelier — Comparer le coût réel des deux options pour le scénario d’ouverture</w:t>
      </w:r>
    </w:p>
    <w:p>
      <w:pPr>
        <w:pStyle w:val="FirstParagraph"/>
      </w:pPr>
      <w:r>
        <w:t xml:space="preserve">🛠️ Atelier 35 — Justifier le choix d’Hyper-V pour le second périmètre</w:t>
      </w:r>
    </w:p>
    <w:p>
      <w:pPr>
        <w:pStyle w:val="BodyText"/>
      </w:pPr>
      <w:r>
        <w:rPr>
          <w:b/>
          <w:bCs/>
        </w:rPr>
        <w:t xml:space="preserve">Objectif</w:t>
      </w:r>
      <w:r>
        <w:t xml:space="preserve"> </w:t>
      </w:r>
      <w:r>
        <w:t xml:space="preserve">: construire une comparaison économique concrète entre VMware et Hyper-V pour le scénario d’ouverture, et prévenir le piège de synchronisation temporelle si l’entreprise décide de virtualiser un futur contrôleur de domaine supplémentaire sous Hyper-V.</w:t>
      </w:r>
    </w:p>
    <w:p>
      <w:pPr>
        <w:pStyle w:val="BodyText"/>
      </w:pPr>
      <w:r>
        <w:rPr>
          <w:b/>
          <w:bCs/>
        </w:rPr>
        <w:t xml:space="preserve">Préparation</w:t>
      </w:r>
      <w:r>
        <w:t xml:space="preserve"> </w:t>
      </w:r>
      <w:r>
        <w:t xml:space="preserve">: aucune installation nécessaire — cet atelier est un exercice d’argumentation et de configuration préventive.</w:t>
      </w:r>
    </w:p>
    <w:p>
      <w:pPr>
        <w:pStyle w:val="BodyText"/>
      </w:pPr>
      <w:r>
        <w:rPr>
          <w:b/>
          <w:bCs/>
        </w:rPr>
        <w:t xml:space="preserve">Étapes détaillées</w:t>
      </w:r>
      <w:r>
        <w:t xml:space="preserve"> </w:t>
      </w:r>
      <w:r>
        <w:t xml:space="preserve">:</w:t>
      </w:r>
    </w:p>
    <w:p>
      <w:pPr>
        <w:pStyle w:val="Compact"/>
        <w:numPr>
          <w:ilvl w:val="0"/>
          <w:numId w:val="1805"/>
        </w:numPr>
      </w:pPr>
      <w:r>
        <w:t xml:space="preserve">Liste les arguments économiques en faveur d’Hyper-V pour le second périmètre de virtualisation (serveur portail, serveur de gestion documentaire), en t’appuyant sur la section 35.2.</w:t>
      </w:r>
    </w:p>
    <w:p>
      <w:pPr>
        <w:pStyle w:val="Compact"/>
        <w:numPr>
          <w:ilvl w:val="0"/>
          <w:numId w:val="1805"/>
        </w:numPr>
      </w:pPr>
      <w:r>
        <w:t xml:space="preserve">Identifie une limite ou une nuance à ne pas négliger dans cet argument (indice : reviens à l’encadré attention de la section 35.2).</w:t>
      </w:r>
    </w:p>
    <w:p>
      <w:pPr>
        <w:pStyle w:val="Compact"/>
        <w:numPr>
          <w:ilvl w:val="0"/>
          <w:numId w:val="1805"/>
        </w:numPr>
      </w:pPr>
      <w:r>
        <w:t xml:space="preserve">Rédige la commande PowerShell nécessaire pour prévenir le piège de synchronisation temporelle, en anticipation d’un futur contrôleur de domaine sous Hyper-V.</w:t>
      </w:r>
    </w:p>
    <w:p>
      <w:pPr>
        <w:pStyle w:val="Compact"/>
        <w:numPr>
          <w:ilvl w:val="0"/>
          <w:numId w:val="1805"/>
        </w:numPr>
      </w:pPr>
      <w:r>
        <w:t xml:space="preserve">Compare ta démarche à la section</w:t>
      </w:r>
      <w:r>
        <w:t xml:space="preserve"> </w:t>
      </w:r>
      <w:r>
        <w:t xml:space="preserve">“Résultat attendu”</w:t>
      </w:r>
      <w:r>
        <w:t xml:space="preserve">.</w:t>
      </w:r>
    </w:p>
    <w:p>
      <w:pPr>
        <w:pStyle w:val="FirstParagraph"/>
      </w:pPr>
      <w:r>
        <w:rPr>
          <w:b/>
          <w:bCs/>
        </w:rPr>
        <w:t xml:space="preserve">Résultat attendu</w:t>
      </w:r>
      <w:r>
        <w:t xml:space="preserve"> </w:t>
      </w:r>
      <w:r>
        <w:t xml:space="preserve">: l’argument économique principal est que les licences Windows Server Datacenter déjà possédées incluent des droits de virtualisation illimités pour des VM Windows Server, rendant Hyper-V quasiment gratuit pour ce second périmètre par rapport à l’achat de licences VMware supplémentaires. La nuance à ne pas négliger : cet avantage économique ne s’applique qu’aux VM Windows Server, pas au serveur Rocky Linux de gestion documentaire, dont l’hébergement sous Hyper-V n’a pas le même impact de licence. La commande</w:t>
      </w:r>
      <w:r>
        <w:t xml:space="preserve"> </w:t>
      </w:r>
      <w:r>
        <w:rPr>
          <w:rStyle w:val="VerbatimChar"/>
        </w:rPr>
        <w:t xml:space="preserve">Disable-VMIntegrationService -VMName "NomDuDC" -Name "Time Synchronization"</w:t>
      </w:r>
      <w:r>
        <w:t xml:space="preserve"> </w:t>
      </w:r>
      <w:r>
        <w:t xml:space="preserve">prévient exactement le même piège que celui rencontré avec VMware au chapitre 34.</w:t>
      </w:r>
    </w:p>
    <w:p>
      <w:pPr>
        <w:pStyle w:val="BodyText"/>
      </w:pPr>
      <w:r>
        <w:rPr>
          <w:b/>
          <w:bCs/>
        </w:rPr>
        <w:t xml:space="preserve">Dépannage</w:t>
      </w:r>
      <w:r>
        <w:t xml:space="preserve"> </w:t>
      </w:r>
      <w:r>
        <w:t xml:space="preserve">: si tu hésites sur la pertinence économique réelle pour le serveur Linux, rappelle-toi que le coût d’hébergement Hyper-V lui-même reste nul indépendamment du système d’exploitation invité — seul l’argument spécifique des licences Windows Server Datacenter ne s’applique pas à ce cas précis, sans que cela remette en cause la pertinence générale d’Hyper-V pour ce serveur.</w:t>
      </w:r>
    </w:p>
    <w:bookmarkEnd w:id="878"/>
    <w:bookmarkStart w:id="879" w:name="erreurs-fréquentes-34"/>
    <w:p>
      <w:pPr>
        <w:pStyle w:val="Heading2"/>
      </w:pPr>
      <w:r>
        <w:t xml:space="preserve">Erreurs fréquentes</w:t>
      </w:r>
    </w:p>
    <w:p>
      <w:pPr>
        <w:pStyle w:val="FirstParagraph"/>
      </w:pPr>
      <w:r>
        <w:t xml:space="preserve">⚠️ Erreur n°1 — oublier de désactiver la synchronisation de l’heure sur un contrôleur de domaine Hyper-V</w:t>
      </w:r>
      <w:r>
        <w:t xml:space="preserve"> </w:t>
      </w:r>
      <w:r>
        <w:t xml:space="preserve">Exactement le même piège que celui rencontré avec VMware au chapitre 34, détaillé en section 35.6 — une erreur d’autant plus facile à commettre si l’administrateur suppose, à tort, qu’il s’agit d’un problème spécifique à VMware et non à la virtualisation en général.</w:t>
      </w:r>
    </w:p>
    <w:p>
      <w:pPr>
        <w:pStyle w:val="BodyText"/>
      </w:pPr>
      <w:r>
        <w:t xml:space="preserve">⚠️ Erreur n°2 — appliquer l’argument économique des licences Datacenter à des VM non-Windows</w:t>
      </w:r>
      <w:r>
        <w:t xml:space="preserve"> </w:t>
      </w:r>
      <w:r>
        <w:t xml:space="preserve">Rappel de la section 35.2 : les droits de virtualisation illimités ne couvrent que les VM Windows Server, une nuance à ne pas négliger dans un calcul économique global.</w:t>
      </w:r>
    </w:p>
    <w:p>
      <w:pPr>
        <w:pStyle w:val="BodyText"/>
      </w:pPr>
      <w:r>
        <w:t xml:space="preserve">⚠️ Erreur n°3 — négliger le quorum de cluster en configurant Hyper-V en haute disponibilité</w:t>
      </w:r>
      <w:r>
        <w:t xml:space="preserve"> </w:t>
      </w:r>
      <w:r>
        <w:t xml:space="preserve">Rappel direct du chapitre 13 : un cluster Hyper-V mal configuré côté quorum reste vulnérable aux mêmes risques de split-brain déjà expliqués pour le clustering Windows Server en général.</w:t>
      </w:r>
    </w:p>
    <w:bookmarkEnd w:id="879"/>
    <w:bookmarkStart w:id="880" w:name="X8be33167be719f977675be2785734d4642cf5d3"/>
    <w:p>
      <w:pPr>
        <w:pStyle w:val="Heading2"/>
      </w:pPr>
      <w:r>
        <w:t xml:space="preserve">Diagnostiquer un problème de temps sur une VM Hyper-V</w:t>
      </w:r>
    </w:p>
    <w:p>
      <w:pPr>
        <w:pStyle w:val="FirstParagraph"/>
      </w:pPr>
      <w:r>
        <w:t xml:space="preserve">🩺 Situation : erreurs Kerberos intermittentes sur un contrôleur de domaine virtualisé sous Hyper-V</w:t>
      </w:r>
    </w:p>
    <w:p>
      <w:pPr>
        <w:pStyle w:val="Compact"/>
        <w:numPr>
          <w:ilvl w:val="0"/>
          <w:numId w:val="1806"/>
        </w:numPr>
      </w:pPr>
      <w:r>
        <w:rPr>
          <w:b/>
          <w:bCs/>
        </w:rPr>
        <w:t xml:space="preserve">Diagnostic</w:t>
      </w:r>
      <w:r>
        <w:t xml:space="preserve"> </w:t>
      </w:r>
      <w:r>
        <w:t xml:space="preserve">: exactement la même démarche que celle du chapitre 34 pour VMware, adaptée à Hyper-V — vérifier si le service d’intégration de synchronisation de l’heure est actif, en plus des vérifications NTP/w32time classiques du chapitre 23.</w:t>
      </w:r>
    </w:p>
    <w:p>
      <w:pPr>
        <w:pStyle w:val="Compact"/>
        <w:numPr>
          <w:ilvl w:val="0"/>
          <w:numId w:val="1806"/>
        </w:numPr>
      </w:pPr>
      <w:r>
        <w:rPr>
          <w:b/>
          <w:bCs/>
        </w:rPr>
        <w:t xml:space="preserve">Comment vérifier</w:t>
      </w:r>
      <w:r>
        <w:t xml:space="preserve"> </w:t>
      </w:r>
      <w:r>
        <w:t xml:space="preserve">:</w:t>
      </w:r>
      <w:r>
        <w:t xml:space="preserve"> </w:t>
      </w:r>
      <w:r>
        <w:rPr>
          <w:rStyle w:val="VerbatimChar"/>
        </w:rPr>
        <w:t xml:space="preserve">Get-VMIntegrationService -VMName "NomDuDC"</w:t>
      </w:r>
      <w:r>
        <w:t xml:space="preserve"> </w:t>
      </w:r>
      <w:r>
        <w:t xml:space="preserve">affiche l’état de chaque service d’intégration, y compris la synchronisation de l’heure.</w:t>
      </w:r>
    </w:p>
    <w:p>
      <w:pPr>
        <w:pStyle w:val="Compact"/>
        <w:numPr>
          <w:ilvl w:val="0"/>
          <w:numId w:val="1806"/>
        </w:numPr>
      </w:pPr>
      <w:r>
        <w:rPr>
          <w:b/>
          <w:bCs/>
        </w:rPr>
        <w:t xml:space="preserve">Résolution</w:t>
      </w:r>
      <w:r>
        <w:t xml:space="preserve"> </w:t>
      </w:r>
      <w:r>
        <w:t xml:space="preserve">:</w:t>
      </w:r>
      <w:r>
        <w:t xml:space="preserve"> </w:t>
      </w:r>
      <w:r>
        <w:rPr>
          <w:rStyle w:val="VerbatimChar"/>
        </w:rPr>
        <w:t xml:space="preserve">Disable-VMIntegrationService</w:t>
      </w:r>
      <w:r>
        <w:t xml:space="preserve"> </w:t>
      </w:r>
      <w:r>
        <w:t xml:space="preserve">sur ce service précis, en confirmant que le service de temps Windows natif reste l’unique source de vérité temporelle.</w:t>
      </w:r>
    </w:p>
    <w:bookmarkEnd w:id="880"/>
    <w:bookmarkStart w:id="881" w:name="en-entreprise-34"/>
    <w:p>
      <w:pPr>
        <w:pStyle w:val="Heading2"/>
      </w:pPr>
      <w:r>
        <w:t xml:space="preserve">En entreprise</w:t>
      </w:r>
    </w:p>
    <w:p>
      <w:pPr>
        <w:pStyle w:val="Compact"/>
        <w:numPr>
          <w:ilvl w:val="0"/>
          <w:numId w:val="1807"/>
        </w:numPr>
      </w:pPr>
      <w:r>
        <w:rPr>
          <w:b/>
          <w:bCs/>
        </w:rPr>
        <w:t xml:space="preserve">Bonne pratique répandue</w:t>
      </w:r>
      <w:r>
        <w:t xml:space="preserve"> </w:t>
      </w:r>
      <w:r>
        <w:t xml:space="preserve">: réévaluer périodiquement le modèle de licence Windows Server en vigueur à mesure que le nombre de VM augmente — le seuil de rentabilité entre licence Standard (2 VM) et Datacenter (illimité) se déplace naturellement avec la croissance de l’infrastructure.</w:t>
      </w:r>
    </w:p>
    <w:p>
      <w:pPr>
        <w:pStyle w:val="Compact"/>
        <w:numPr>
          <w:ilvl w:val="0"/>
          <w:numId w:val="1807"/>
        </w:numPr>
      </w:pPr>
      <w:r>
        <w:rPr>
          <w:b/>
          <w:bCs/>
        </w:rPr>
        <w:t xml:space="preserve">Bonne pratique répandue</w:t>
      </w:r>
      <w:r>
        <w:t xml:space="preserve"> </w:t>
      </w:r>
      <w:r>
        <w:t xml:space="preserve">: documenter (chapitre 3) explicitement quel hyperviseur héberge quelle charge de travail et pourquoi, en particulier dans une infrastructure mixte VMware/Hyper-V comme celle du scénario de ce manuel.</w:t>
      </w:r>
    </w:p>
    <w:p>
      <w:pPr>
        <w:pStyle w:val="Compact"/>
        <w:numPr>
          <w:ilvl w:val="0"/>
          <w:numId w:val="1807"/>
        </w:numPr>
      </w:pPr>
      <w:r>
        <w:rPr>
          <w:b/>
          <w:bCs/>
        </w:rPr>
        <w:t xml:space="preserve">Erreur classique observée</w:t>
      </w:r>
      <w:r>
        <w:t xml:space="preserve"> </w:t>
      </w:r>
      <w:r>
        <w:t xml:space="preserve">: une organisation qui découvre après plusieurs années qu’elle paie pour des licences VMware alors que des licences Windows Server Datacenter déjà possédées auraient couvert une partie significative du besoin sans coût additionnel — un audit de licences périodique (rejoignant l’esprit de l’inventaire du chapitre 3) évite cette découverte tardive et coûteuse.</w:t>
      </w:r>
    </w:p>
    <w:bookmarkEnd w:id="881"/>
    <w:bookmarkStart w:id="882" w:name="entretien-technique-34"/>
    <w:p>
      <w:pPr>
        <w:pStyle w:val="Heading2"/>
      </w:pPr>
      <w:r>
        <w:t xml:space="preserve">Entretien technique</w:t>
      </w:r>
    </w:p>
    <w:p>
      <w:pPr>
        <w:pStyle w:val="FirstParagraph"/>
      </w:pPr>
      <w:r>
        <w:t xml:space="preserve">💼 Questions fréquemment posées en entretien</w:t>
      </w:r>
    </w:p>
    <w:p>
      <w:pPr>
        <w:pStyle w:val="BodyText"/>
      </w:pPr>
      <w:r>
        <w:rPr>
          <w:b/>
          <w:bCs/>
        </w:rPr>
        <w:t xml:space="preserve">Q1.</w:t>
      </w:r>
      <w:r>
        <w:rPr>
          <w:b/>
          <w:bCs/>
        </w:rPr>
        <w:t xml:space="preserve"> </w:t>
      </w:r>
      <w:r>
        <w:rPr>
          <w:b/>
          <w:bCs/>
        </w:rPr>
        <w:t xml:space="preserve">“Quelle est la différence fondamentale d’installation entre Hyper-V et VMware ESXi ?”</w:t>
      </w:r>
      <w:r>
        <w:t xml:space="preserve"> </w:t>
      </w:r>
      <w:r>
        <w:t xml:space="preserve">Réponse attendue : Hyper-V s’installe comme un rôle de Windows Server, sur un système d’exploitation Windows Server existant ; ESXi est un système d’exploitation dédié à la virtualisation, installé directement sur le matériel physique — les deux restent des hyperviseurs de Type 1, mais avec des approches d’installation différentes.</w:t>
      </w:r>
    </w:p>
    <w:p>
      <w:pPr>
        <w:pStyle w:val="BodyText"/>
      </w:pPr>
      <w:r>
        <w:rPr>
          <w:b/>
          <w:bCs/>
        </w:rPr>
        <w:t xml:space="preserve">Q2.</w:t>
      </w:r>
      <w:r>
        <w:rPr>
          <w:b/>
          <w:bCs/>
        </w:rPr>
        <w:t xml:space="preserve"> </w:t>
      </w:r>
      <w:r>
        <w:rPr>
          <w:b/>
          <w:bCs/>
        </w:rPr>
        <w:t xml:space="preserve">“Comment le modèle de licence Windows Server influence-t-il le choix entre VMware et Hyper-V ?”</w:t>
      </w:r>
      <w:r>
        <w:t xml:space="preserve"> </w:t>
      </w:r>
      <w:r>
        <w:t xml:space="preserve">Réponse attendue : une licence Windows Server Datacenter inclut des droits de virtualisation illimités pour des VM Windows Server sur le matériel couvert, rendant Hyper-V quasiment gratuit pour ce cas d’usage par rapport à des licences VMware facturées séparément — un argument économique déterminant pour une entreprise déjà largement équipée en Windows Server.</w:t>
      </w:r>
    </w:p>
    <w:p>
      <w:pPr>
        <w:pStyle w:val="BodyText"/>
      </w:pPr>
      <w:r>
        <w:rPr>
          <w:b/>
          <w:bCs/>
        </w:rPr>
        <w:t xml:space="preserve">Q3.</w:t>
      </w:r>
      <w:r>
        <w:rPr>
          <w:b/>
          <w:bCs/>
        </w:rPr>
        <w:t xml:space="preserve"> </w:t>
      </w:r>
      <w:r>
        <w:rPr>
          <w:b/>
          <w:bCs/>
        </w:rPr>
        <w:t xml:space="preserve">“Pourquoi le piège de synchronisation temporelle rencontré avec VMware se reproduit-il aussi sur Hyper-V ?”</w:t>
      </w:r>
      <w:r>
        <w:t xml:space="preserve"> </w:t>
      </w:r>
      <w:r>
        <w:t xml:space="preserve">Réponse attendue : ce n’est pas une coïncidence propre à un fournisseur — tout hyperviseur propose typiquement un mécanisme de synchronisation temporelle entre l’hôte et la VM, qui entre en conflit avec le service de temps natif d’un contrôleur de domaine si les deux mécanismes restent actifs simultanément. Le problème est structurel à la virtualisation elle-même, pas spécifique à VMware ou à Microsoft.</w:t>
      </w:r>
    </w:p>
    <w:bookmarkEnd w:id="882"/>
    <w:bookmarkStart w:id="883" w:name="X1af919264e467a79116ff5daebf3695a837992e"/>
    <w:p>
      <w:pPr>
        <w:pStyle w:val="Heading2"/>
      </w:pPr>
      <w:r>
        <w:t xml:space="preserve">Optimisation, sécurité et maintenabilité — les réflexes dès ce chapitre</w:t>
      </w:r>
    </w:p>
    <w:p>
      <w:pPr>
        <w:pStyle w:val="FirstParagraph"/>
      </w:pPr>
      <w:r>
        <w:t xml:space="preserve">🔒 Sécurité</w:t>
      </w:r>
      <w:r>
        <w:t xml:space="preserve"> </w:t>
      </w:r>
      <w:r>
        <w:t xml:space="preserve">Applique la même vigilance de synchronisation temporelle sur Hyper-V que sur VMware (section 35.6) — un réflexe à généraliser à tout hyperviseur rencontré à l’avenir, y compris Proxmox (chapitre suivant), plutôt qu’une correction ponctuelle propre à un seul produit.</w:t>
      </w:r>
    </w:p>
    <w:p>
      <w:pPr>
        <w:pStyle w:val="BodyText"/>
      </w:pPr>
      <w:r>
        <w:t xml:space="preserve">✅ Maintenabilité</w:t>
      </w:r>
      <w:r>
        <w:t xml:space="preserve"> </w:t>
      </w:r>
      <w:r>
        <w:t xml:space="preserve">Documente (chapitre 3) le modèle de licence Windows Server en vigueur pour chaque hôte Hyper-V, avec le nombre de VM couvertes et la marge disponible avant d’atteindre une limite de licence — une information qui évite une surprise de conformité lors d’un futur audit de licences.</w:t>
      </w:r>
    </w:p>
    <w:p>
      <w:pPr>
        <w:pStyle w:val="BodyText"/>
      </w:pPr>
      <w:r>
        <w:t xml:space="preserve">🚀 Performance</w:t>
      </w:r>
      <w:r>
        <w:t xml:space="preserve"> </w:t>
      </w:r>
      <w:r>
        <w:t xml:space="preserve">Live Migration, comme vMotion, nécessite un stockage partagé performant (chapitres 28-29) — un stockage sous-dimensionné limiterait la fréquence à laquelle des migrations à chaud peuvent raisonnablement être effectuées sans dégrader les performances des VM concernées pendant le transfert.</w:t>
      </w:r>
    </w:p>
    <w:bookmarkEnd w:id="883"/>
    <w:bookmarkStart w:id="884" w:name="résumé-du-chapitre-34"/>
    <w:p>
      <w:pPr>
        <w:pStyle w:val="Heading2"/>
      </w:pPr>
      <w:r>
        <w:t xml:space="preserve">Résumé du chapitre</w:t>
      </w:r>
    </w:p>
    <w:p>
      <w:pPr>
        <w:pStyle w:val="Compact"/>
        <w:numPr>
          <w:ilvl w:val="0"/>
          <w:numId w:val="1808"/>
        </w:numPr>
      </w:pPr>
      <w:r>
        <w:t xml:space="preserve">Hyper-V s’installe comme un rôle de Windows Server, contrairement à VMware ESXi qui est un système d’exploitation dédié.</w:t>
      </w:r>
    </w:p>
    <w:p>
      <w:pPr>
        <w:pStyle w:val="Compact"/>
        <w:numPr>
          <w:ilvl w:val="0"/>
          <w:numId w:val="1808"/>
        </w:numPr>
      </w:pPr>
      <w:r>
        <w:t xml:space="preserve">Une licence Windows Server Datacenter inclut des droits de virtualisation illimités pour des VM Windows Server, un argument économique déterminant face à VMware pour ce cas d’usage.</w:t>
      </w:r>
    </w:p>
    <w:p>
      <w:pPr>
        <w:pStyle w:val="Compact"/>
        <w:numPr>
          <w:ilvl w:val="0"/>
          <w:numId w:val="1808"/>
        </w:numPr>
      </w:pPr>
      <w:r>
        <w:t xml:space="preserve">Live Migration (Hyper-V) et vMotion (VMware) jouent le même rôle : migration à chaud sans interruption de service.</w:t>
      </w:r>
    </w:p>
    <w:p>
      <w:pPr>
        <w:pStyle w:val="Compact"/>
        <w:numPr>
          <w:ilvl w:val="0"/>
          <w:numId w:val="1808"/>
        </w:numPr>
      </w:pPr>
      <w:r>
        <w:t xml:space="preserve">Le clustering Hyper-V s’appuie directement sur le Failover Clustering déjà couvert au chapitre 13, y compris le concept de quorum.</w:t>
      </w:r>
    </w:p>
    <w:p>
      <w:pPr>
        <w:pStyle w:val="Compact"/>
        <w:numPr>
          <w:ilvl w:val="0"/>
          <w:numId w:val="1808"/>
        </w:numPr>
      </w:pPr>
      <w:r>
        <w:t xml:space="preserve">Les checkpoints Hyper-V suivent exactement la même logique et la même mise en garde que les snapshots VMware (chapitre 33) : jamais un substitut à une sauvegarde.</w:t>
      </w:r>
    </w:p>
    <w:p>
      <w:pPr>
        <w:pStyle w:val="Compact"/>
        <w:numPr>
          <w:ilvl w:val="0"/>
          <w:numId w:val="1808"/>
        </w:numPr>
      </w:pPr>
      <w:r>
        <w:t xml:space="preserve">Le piège de synchronisation temporelle sur un contrôleur de domaine virtualisé n’est pas spécifique à VMware — il se reproduit à l’identique sur Hyper-V, un problème structurel à la virtualisation elle-même.</w:t>
      </w:r>
    </w:p>
    <w:bookmarkEnd w:id="884"/>
    <w:bookmarkStart w:id="885" w:name="quiz-34"/>
    <w:p>
      <w:pPr>
        <w:pStyle w:val="Heading2"/>
      </w:pPr>
      <w:r>
        <w:t xml:space="preserve">Quiz</w:t>
      </w:r>
    </w:p>
    <w:p>
      <w:pPr>
        <w:pStyle w:val="FirstParagraph"/>
      </w:pPr>
      <w:r>
        <w:t xml:space="preserve">📝 QCM (une seule bonne réponse par question)</w:t>
      </w:r>
    </w:p>
    <w:p>
      <w:pPr>
        <w:pStyle w:val="Compact"/>
        <w:numPr>
          <w:ilvl w:val="0"/>
          <w:numId w:val="1809"/>
        </w:numPr>
      </w:pPr>
      <w:r>
        <w:t xml:space="preserve">Hyper-V s’installe :</w:t>
      </w:r>
    </w:p>
    <w:p>
      <w:pPr>
        <w:pStyle w:val="Compact"/>
        <w:numPr>
          <w:ilvl w:val="1"/>
          <w:numId w:val="1810"/>
        </w:numPr>
      </w:pPr>
    </w:p>
    <w:p>
      <w:pPr>
        <w:pStyle w:val="Compact"/>
        <w:numPr>
          <w:ilvl w:val="2"/>
          <w:numId w:val="1811"/>
        </w:numPr>
      </w:pPr>
      <w:r>
        <w:t xml:space="preserve">Comme un système d’exploitation dédié, directement sur le matériel</w:t>
      </w:r>
    </w:p>
    <w:p>
      <w:pPr>
        <w:pStyle w:val="Compact"/>
        <w:numPr>
          <w:ilvl w:val="1"/>
          <w:numId w:val="1810"/>
        </w:numPr>
      </w:pPr>
    </w:p>
    <w:p>
      <w:pPr>
        <w:pStyle w:val="Compact"/>
        <w:numPr>
          <w:ilvl w:val="2"/>
          <w:numId w:val="1812"/>
        </w:numPr>
      </w:pPr>
      <w:r>
        <w:t xml:space="preserve">Comme un rôle de Windows Server</w:t>
      </w:r>
    </w:p>
    <w:p>
      <w:pPr>
        <w:pStyle w:val="Compact"/>
        <w:numPr>
          <w:ilvl w:val="1"/>
          <w:numId w:val="1810"/>
        </w:numPr>
      </w:pPr>
    </w:p>
    <w:p>
      <w:pPr>
        <w:pStyle w:val="Compact"/>
        <w:numPr>
          <w:ilvl w:val="2"/>
          <w:numId w:val="1813"/>
        </w:numPr>
      </w:pPr>
      <w:r>
        <w:t xml:space="preserve">Uniquement sur Linux</w:t>
      </w:r>
    </w:p>
    <w:p>
      <w:pPr>
        <w:pStyle w:val="Compact"/>
        <w:numPr>
          <w:ilvl w:val="1"/>
          <w:numId w:val="1810"/>
        </w:numPr>
      </w:pPr>
    </w:p>
    <w:p>
      <w:pPr>
        <w:pStyle w:val="Compact"/>
        <w:numPr>
          <w:ilvl w:val="2"/>
          <w:numId w:val="1814"/>
        </w:numPr>
      </w:pPr>
      <w:r>
        <w:t xml:space="preserve">Comme une extension de navigateur</w:t>
      </w:r>
    </w:p>
    <w:p>
      <w:pPr>
        <w:pStyle w:val="Compact"/>
        <w:numPr>
          <w:ilvl w:val="0"/>
          <w:numId w:val="1809"/>
        </w:numPr>
      </w:pPr>
      <w:r>
        <w:t xml:space="preserve">Une licence Windows Server Datacenter inclut :</w:t>
      </w:r>
    </w:p>
    <w:p>
      <w:pPr>
        <w:pStyle w:val="Compact"/>
        <w:numPr>
          <w:ilvl w:val="1"/>
          <w:numId w:val="1815"/>
        </w:numPr>
      </w:pPr>
    </w:p>
    <w:p>
      <w:pPr>
        <w:pStyle w:val="Compact"/>
        <w:numPr>
          <w:ilvl w:val="2"/>
          <w:numId w:val="1816"/>
        </w:numPr>
      </w:pPr>
      <w:r>
        <w:t xml:space="preserve">Deux VM Windows Server maximum</w:t>
      </w:r>
    </w:p>
    <w:p>
      <w:pPr>
        <w:pStyle w:val="Compact"/>
        <w:numPr>
          <w:ilvl w:val="1"/>
          <w:numId w:val="1815"/>
        </w:numPr>
      </w:pPr>
    </w:p>
    <w:p>
      <w:pPr>
        <w:pStyle w:val="Compact"/>
        <w:numPr>
          <w:ilvl w:val="2"/>
          <w:numId w:val="1817"/>
        </w:numPr>
      </w:pPr>
      <w:r>
        <w:t xml:space="preserve">Un nombre illimité de VM Windows Server sur le matériel couvert</w:t>
      </w:r>
    </w:p>
    <w:p>
      <w:pPr>
        <w:pStyle w:val="Compact"/>
        <w:numPr>
          <w:ilvl w:val="1"/>
          <w:numId w:val="1815"/>
        </w:numPr>
      </w:pPr>
    </w:p>
    <w:p>
      <w:pPr>
        <w:pStyle w:val="Compact"/>
        <w:numPr>
          <w:ilvl w:val="2"/>
          <w:numId w:val="1818"/>
        </w:numPr>
      </w:pPr>
      <w:r>
        <w:t xml:space="preserve">Aucun droit de virtualisation</w:t>
      </w:r>
    </w:p>
    <w:p>
      <w:pPr>
        <w:pStyle w:val="Compact"/>
        <w:numPr>
          <w:ilvl w:val="1"/>
          <w:numId w:val="1815"/>
        </w:numPr>
      </w:pPr>
    </w:p>
    <w:p>
      <w:pPr>
        <w:pStyle w:val="Compact"/>
        <w:numPr>
          <w:ilvl w:val="2"/>
          <w:numId w:val="1819"/>
        </w:numPr>
      </w:pPr>
      <w:r>
        <w:t xml:space="preserve">Uniquement des VM Linux</w:t>
      </w:r>
    </w:p>
    <w:p>
      <w:pPr>
        <w:pStyle w:val="Compact"/>
        <w:numPr>
          <w:ilvl w:val="0"/>
          <w:numId w:val="1809"/>
        </w:numPr>
      </w:pPr>
      <w:r>
        <w:t xml:space="preserve">Le piège de synchronisation temporelle sur un contrôleur de domaine virtualisé :</w:t>
      </w:r>
    </w:p>
    <w:p>
      <w:pPr>
        <w:pStyle w:val="Compact"/>
        <w:numPr>
          <w:ilvl w:val="1"/>
          <w:numId w:val="1820"/>
        </w:numPr>
      </w:pPr>
    </w:p>
    <w:p>
      <w:pPr>
        <w:pStyle w:val="Compact"/>
        <w:numPr>
          <w:ilvl w:val="2"/>
          <w:numId w:val="1821"/>
        </w:numPr>
      </w:pPr>
      <w:r>
        <w:t xml:space="preserve">Ne concerne que VMware</w:t>
      </w:r>
    </w:p>
    <w:p>
      <w:pPr>
        <w:pStyle w:val="Compact"/>
        <w:numPr>
          <w:ilvl w:val="1"/>
          <w:numId w:val="1820"/>
        </w:numPr>
      </w:pPr>
    </w:p>
    <w:p>
      <w:pPr>
        <w:pStyle w:val="Compact"/>
        <w:numPr>
          <w:ilvl w:val="2"/>
          <w:numId w:val="1822"/>
        </w:numPr>
      </w:pPr>
      <w:r>
        <w:t xml:space="preserve">Ne concerne que Hyper-V</w:t>
      </w:r>
    </w:p>
    <w:p>
      <w:pPr>
        <w:pStyle w:val="Compact"/>
        <w:numPr>
          <w:ilvl w:val="1"/>
          <w:numId w:val="1820"/>
        </w:numPr>
      </w:pPr>
    </w:p>
    <w:p>
      <w:pPr>
        <w:pStyle w:val="Compact"/>
        <w:numPr>
          <w:ilvl w:val="2"/>
          <w:numId w:val="1823"/>
        </w:numPr>
      </w:pPr>
      <w:r>
        <w:t xml:space="preserve">Concerne tout hyperviseur proposant un mécanisme de synchronisation hôte-VM</w:t>
      </w:r>
    </w:p>
    <w:p>
      <w:pPr>
        <w:pStyle w:val="Compact"/>
        <w:numPr>
          <w:ilvl w:val="1"/>
          <w:numId w:val="1820"/>
        </w:numPr>
      </w:pPr>
    </w:p>
    <w:p>
      <w:pPr>
        <w:pStyle w:val="Compact"/>
        <w:numPr>
          <w:ilvl w:val="2"/>
          <w:numId w:val="1824"/>
        </w:numPr>
      </w:pPr>
      <w:r>
        <w:t xml:space="preserve">N’existe pas réellement, c’est un mythe</w:t>
      </w:r>
    </w:p>
    <w:p>
      <w:pPr>
        <w:pStyle w:val="FirstParagraph"/>
      </w:pPr>
      <w:r>
        <w:rPr>
          <w:b/>
          <w:bCs/>
        </w:rPr>
        <w:t xml:space="preserve">Corrigé</w:t>
      </w:r>
      <w:r>
        <w:t xml:space="preserve"> </w:t>
      </w:r>
      <w:r>
        <w:t xml:space="preserve">: 1-b, 2-b, 3-c.</w:t>
      </w:r>
    </w:p>
    <w:p>
      <w:pPr>
        <w:pStyle w:val="BodyText"/>
      </w:pPr>
      <w:r>
        <w:t xml:space="preserve">📝 Vrai ou Faux</w:t>
      </w:r>
    </w:p>
    <w:p>
      <w:pPr>
        <w:pStyle w:val="Compact"/>
        <w:numPr>
          <w:ilvl w:val="0"/>
          <w:numId w:val="1825"/>
        </w:numPr>
      </w:pPr>
      <w:r>
        <w:t xml:space="preserve">Live Migration et vMotion jouent exactement le même rôle, sous des noms différents. —</w:t>
      </w:r>
      <w:r>
        <w:t xml:space="preserve"> </w:t>
      </w:r>
      <w:r>
        <w:rPr>
          <w:b/>
          <w:bCs/>
        </w:rPr>
        <w:t xml:space="preserve">Vrai</w:t>
      </w:r>
      <w:r>
        <w:t xml:space="preserve">.</w:t>
      </w:r>
    </w:p>
    <w:p>
      <w:pPr>
        <w:pStyle w:val="Compact"/>
        <w:numPr>
          <w:ilvl w:val="0"/>
          <w:numId w:val="1825"/>
        </w:numPr>
      </w:pPr>
      <w:r>
        <w:t xml:space="preserve">Le clustering Hyper-V utilise un mécanisme totalement indépendant du Failover Clustering du chapitre 13. —</w:t>
      </w:r>
      <w:r>
        <w:t xml:space="preserve"> </w:t>
      </w:r>
      <w:r>
        <w:rPr>
          <w:b/>
          <w:bCs/>
        </w:rPr>
        <w:t xml:space="preserve">Faux</w:t>
      </w:r>
      <w:r>
        <w:t xml:space="preserve"> </w:t>
      </w:r>
      <w:r>
        <w:t xml:space="preserve">(il s’appuie directement dessus, section 35.4).</w:t>
      </w:r>
    </w:p>
    <w:p>
      <w:pPr>
        <w:pStyle w:val="Compact"/>
        <w:numPr>
          <w:ilvl w:val="0"/>
          <w:numId w:val="1825"/>
        </w:numPr>
      </w:pPr>
      <w:r>
        <w:t xml:space="preserve">Les droits de virtualisation d’une licence Windows Server Datacenter s’appliquent aussi bien aux VM Windows qu’aux VM Linux. —</w:t>
      </w:r>
      <w:r>
        <w:t xml:space="preserve"> </w:t>
      </w:r>
      <w:r>
        <w:rPr>
          <w:b/>
          <w:bCs/>
        </w:rPr>
        <w:t xml:space="preserve">Faux</w:t>
      </w:r>
      <w:r>
        <w:t xml:space="preserve"> </w:t>
      </w:r>
      <w:r>
        <w:t xml:space="preserve">(uniquement aux VM Windows Server, section 35.2).</w:t>
      </w:r>
    </w:p>
    <w:p>
      <w:pPr>
        <w:pStyle w:val="Compact"/>
        <w:numPr>
          <w:ilvl w:val="0"/>
          <w:numId w:val="1825"/>
        </w:numPr>
      </w:pPr>
      <w:r>
        <w:t xml:space="preserve">Un checkpoint Hyper-V laissé actif indéfiniment peut dégrader les performances de la VM. —</w:t>
      </w:r>
      <w:r>
        <w:t xml:space="preserve"> </w:t>
      </w:r>
      <w:r>
        <w:rPr>
          <w:b/>
          <w:bCs/>
        </w:rPr>
        <w:t xml:space="preserve">Vrai</w:t>
      </w:r>
      <w:r>
        <w:t xml:space="preserve"> </w:t>
      </w:r>
      <w:r>
        <w:t xml:space="preserve">(même principe que les snapshots, chapitre 33).</w:t>
      </w:r>
    </w:p>
    <w:p>
      <w:pPr>
        <w:pStyle w:val="FirstParagraph"/>
      </w:pPr>
      <w:r>
        <w:t xml:space="preserve">📝 Questions ouvertes</w:t>
      </w:r>
    </w:p>
    <w:p>
      <w:pPr>
        <w:pStyle w:val="Compact"/>
        <w:numPr>
          <w:ilvl w:val="0"/>
          <w:numId w:val="1826"/>
        </w:numPr>
      </w:pPr>
      <w:r>
        <w:t xml:space="preserve">Explique pourquoi la découverte du scénario d’ouverture (licences Datacenter déjà possédées) change fondamentalement le calcul économique de la virtualisation du second périmètre.</w:t>
      </w:r>
    </w:p>
    <w:p>
      <w:pPr>
        <w:pStyle w:val="Compact"/>
        <w:numPr>
          <w:ilvl w:val="0"/>
          <w:numId w:val="1826"/>
        </w:numPr>
      </w:pPr>
      <w:r>
        <w:t xml:space="preserve">Reprends la section 35.6. Explique pourquoi ce parallèle exact avec le chapitre 34 renforce la valeur pédagogique d’avoir étudié Kerberos (chapitre 23) avant les hyperviseurs spécifiques.</w:t>
      </w:r>
    </w:p>
    <w:p>
      <w:pPr>
        <w:pStyle w:val="FirstParagraph"/>
      </w:pPr>
      <w:r>
        <w:rPr>
          <w:b/>
          <w:bCs/>
        </w:rPr>
        <w:t xml:space="preserve">Corrigé 1</w:t>
      </w:r>
      <w:r>
        <w:t xml:space="preserve"> </w:t>
      </w:r>
      <w:r>
        <w:t xml:space="preserve">: sans cette découverte, l’entreprise aurait probablement envisagé d’étendre ses licences VMware existantes pour couvrir le second périmètre, un coût significatif et récurrent. La découverte que des licences Windows Server Datacenter déjà possédées incluent des droits de virtualisation illimités transforme Hyper-V en option quasiment gratuite pour ce même besoin (au moins pour les VM Windows Server) — un changement d’équation économique qui aurait pu passer inaperçu sans un audit attentif des droits déjà acquis, exactement le type de vérification qu’un bon administrateur système devrait effectuer avant tout nouvel investissement.</w:t>
      </w:r>
    </w:p>
    <w:p>
      <w:pPr>
        <w:pStyle w:val="BodyText"/>
      </w:pPr>
      <w:r>
        <w:rPr>
          <w:b/>
          <w:bCs/>
        </w:rPr>
        <w:t xml:space="preserve">Corrigé 2</w:t>
      </w:r>
      <w:r>
        <w:t xml:space="preserve"> </w:t>
      </w:r>
      <w:r>
        <w:t xml:space="preserve">: si le chapitre 34 avait présenté le piège de synchronisation temporelle comme une simple bizarrerie propre à VMware, sa réapparition à l’identique sur Hyper-V pourrait sembler être une coïncidence surprenante. Mais ayant compris au chapitre 23 le mécanisme précis de la tolérance d’horloge Kerberos (pourquoi deux sources de synchronisation concurrentes posent structurellement problème), ce chapitre confirme que le piège n’est ni propre à VMware ni à Microsoft — c’est une conséquence logique et prévisible de la virtualisation elle-même, applicable à tout futur hyperviseur rencontré, y compris Proxmox au chapitre suivant.</w:t>
      </w:r>
    </w:p>
    <w:bookmarkEnd w:id="885"/>
    <w:bookmarkStart w:id="886" w:name="exercices-34"/>
    <w:p>
      <w:pPr>
        <w:pStyle w:val="Heading2"/>
      </w:pPr>
      <w:r>
        <w:t xml:space="preserve">Exercices</w:t>
      </w:r>
    </w:p>
    <w:p>
      <w:pPr>
        <w:pStyle w:val="FirstParagraph"/>
      </w:pPr>
      <w:r>
        <w:t xml:space="preserve">📝 Exercice 35.1</w:t>
      </w:r>
    </w:p>
    <w:p>
      <w:pPr>
        <w:pStyle w:val="BodyText"/>
      </w:pPr>
      <w:r>
        <w:t xml:space="preserve">Une entreprise possède 5 licences Windows Server Standard (2 VM chacune) et envisage d’héberger 15 VM Windows Server sur son infrastructure. Calcule si ces licences suffisent, et propose une alternative si ce n’est pas le cas.</w:t>
      </w:r>
    </w:p>
    <w:p>
      <w:pPr>
        <w:pStyle w:val="BodyText"/>
      </w:pPr>
      <w:r>
        <w:rPr>
          <w:b/>
          <w:bCs/>
        </w:rPr>
        <w:t xml:space="preserve">Corrigé :</w:t>
      </w:r>
      <w:r>
        <w:t xml:space="preserve"> </w:t>
      </w:r>
      <w:r>
        <w:t xml:space="preserve">5 licences Standard × 2 VM chacune = 10 VM Windows Server couvertes au maximum — insuffisant pour les 15 VM envisagées (un déficit de 5 VM non couvertes). Deux alternatives possibles : acheter des licences Standard supplémentaires pour couvrir les 5 VM manquantes, ou migrer vers des licences Datacenter (qui deviennent économiquement plus avantageuses au-delà d’un certain seuil de VM par serveur physique, un calcul à effectuer précisément selon les tarifs en vigueur) pour bénéficier de droits de virtualisation illimités sur le matériel physique couvert, éliminant ce type de contrainte pour toute croissance future du nombre de VM.</w:t>
      </w:r>
    </w:p>
    <w:p>
      <w:pPr>
        <w:pStyle w:val="BodyText"/>
      </w:pPr>
      <w:r>
        <w:t xml:space="preserve">📝 Exercice 35.2</w:t>
      </w:r>
    </w:p>
    <w:p>
      <w:pPr>
        <w:pStyle w:val="BodyText"/>
      </w:pPr>
      <w:r>
        <w:t xml:space="preserve">Rédige, en 3 à 5 phrases, pourquoi une infrastructure mixte VMware/Hyper-V (comme celle envisagée dans ce manuel) nécessite une documentation particulièrement rigoureuse, en t’appuyant sur le chapitre 3.</w:t>
      </w:r>
    </w:p>
    <w:p>
      <w:pPr>
        <w:pStyle w:val="BodyText"/>
      </w:pPr>
      <w:r>
        <w:rPr>
          <w:b/>
          <w:bCs/>
        </w:rPr>
        <w:t xml:space="preserve">Corrigé (exemple de réponse) :</w:t>
      </w:r>
      <w:r>
        <w:t xml:space="preserve"> </w:t>
      </w:r>
      <w:r>
        <w:t xml:space="preserve">Une infrastructure mixte introduit une complexité supplémentaire par rapport à un environnement homogène : chaque hyperviseur a son propre vocabulaire (vMotion vs Live Migration, snapshot vs checkpoint), ses propres outils de gestion, et ses propres pièges spécifiques à connaître. Sans documentation claire (chapitre 3) indiquant quel hyperviseur héberge quelle charge de travail et pourquoi, une personne intervenant sur cette infrastructure pourrait perdre un temps précieux à identifier quel ensemble de compétences et d’outils s’applique à quel serveur, ou pire, appliquer par erreur une procédure adaptée à un hyperviseur sur un serveur hébergé par l’autre.</w:t>
      </w:r>
    </w:p>
    <w:bookmarkEnd w:id="886"/>
    <w:bookmarkStart w:id="887" w:name="checklist-de-fin-de-chapitre-34"/>
    <w:p>
      <w:pPr>
        <w:pStyle w:val="Heading2"/>
      </w:pPr>
      <w:r>
        <w:t xml:space="preserve">Checklist de fin de chapitre</w:t>
      </w:r>
    </w:p>
    <w:p>
      <w:pPr>
        <w:pStyle w:val="FirstParagraph"/>
      </w:pPr>
      <w:r>
        <w:t xml:space="preserve">☐ Je comprends qu’Hyper-V s’installe comme un rôle de Windows Server, contrairement à ESXi.</w:t>
      </w:r>
    </w:p>
    <w:p>
      <w:pPr>
        <w:pStyle w:val="BodyText"/>
      </w:pPr>
      <w:r>
        <w:t xml:space="preserve">☐ Je sais expliquer l’impact du modèle de licence Windows Server Datacenter sur le coût de la virtualisation.</w:t>
      </w:r>
    </w:p>
    <w:p>
      <w:pPr>
        <w:pStyle w:val="BodyText"/>
      </w:pPr>
      <w:r>
        <w:t xml:space="preserve">☐ Je sais que Live Migration joue le même rôle que vMotion.</w:t>
      </w:r>
    </w:p>
    <w:p>
      <w:pPr>
        <w:pStyle w:val="BodyText"/>
      </w:pPr>
      <w:r>
        <w:t xml:space="preserve">☐ Je comprends que le clustering Hyper-V s’appuie directement sur le Failover Clustering du chapitre 13.</w:t>
      </w:r>
    </w:p>
    <w:p>
      <w:pPr>
        <w:pStyle w:val="BodyText"/>
      </w:pPr>
      <w:r>
        <w:t xml:space="preserve">☐ Je sais désactiver le service d’intégration de synchronisation de l’heure sur un contrôleur de domaine Hyper-V.</w:t>
      </w:r>
    </w:p>
    <w:p>
      <w:pPr>
        <w:pStyle w:val="BodyText"/>
      </w:pPr>
      <w:r>
        <w:t xml:space="preserve">☐ Je sais comparer VMware et Hyper-V selon des critères concrets, pas une préférence de marque.</w:t>
      </w:r>
    </w:p>
    <w:bookmarkEnd w:id="887"/>
    <w:bookmarkStart w:id="888" w:name="faq-34"/>
    <w:p>
      <w:pPr>
        <w:pStyle w:val="Heading2"/>
      </w:pPr>
      <w:r>
        <w:t xml:space="preserve">FAQ</w:t>
      </w:r>
    </w:p>
    <w:p>
      <w:pPr>
        <w:pStyle w:val="FirstParagraph"/>
      </w:pPr>
      <w:r>
        <w:t xml:space="preserve">Hyper-V peut-il gérer plusieurs hôtes de façon centralisée, comme vCenter pour VMware ?</w:t>
      </w:r>
    </w:p>
    <w:p>
      <w:pPr>
        <w:pStyle w:val="BodyText"/>
      </w:pPr>
      <w:r>
        <w:t xml:space="preserve">Oui, via Windows Admin Center (déjà rencontré au chapitre 4) ou System Center Virtual Machine Manager (SCVMM) pour une gestion plus avancée à grande échelle — un équivalent fonctionnel à vCenter, avec ses propres spécificités d’écosystème Microsoft.</w:t>
      </w:r>
    </w:p>
    <w:p>
      <w:pPr>
        <w:pStyle w:val="BodyText"/>
      </w:pPr>
      <w:r>
        <w:t xml:space="preserve">Peut-on faire tourner des VM Linux sur Hyper-V aussi efficacement que sur VMware ?</w:t>
      </w:r>
    </w:p>
    <w:p>
      <w:pPr>
        <w:pStyle w:val="BodyText"/>
      </w:pPr>
      <w:r>
        <w:t xml:space="preserve">Oui, Hyper-V supporte officiellement de nombreuses distributions Linux avec de bonnes performances via ses propres services d’intégration Linux — l’écart de maturité historique par rapport à VMware sur ce terrain s’est considérablement réduit ces dernières années.</w:t>
      </w:r>
    </w:p>
    <w:p>
      <w:pPr>
        <w:pStyle w:val="BodyText"/>
      </w:pPr>
      <w:r>
        <w:t xml:space="preserve">Le quorum de cluster Hyper-V fonctionne-t-il exactement comme celui du chapitre 13 ?</w:t>
      </w:r>
    </w:p>
    <w:p>
      <w:pPr>
        <w:pStyle w:val="BodyText"/>
      </w:pPr>
      <w:r>
        <w:t xml:space="preserve">Oui, c’est littéralement le même mécanisme sous-jacent de Failover Clustering Windows Server — un cluster Hyper-V est un cas d’usage particulier de la technologie de clustering déjà détaillée au chapitre 13, pas un mécanisme distinct à réapprendre.</w:t>
      </w:r>
    </w:p>
    <w:p>
      <w:pPr>
        <w:pStyle w:val="BodyText"/>
      </w:pPr>
      <w:r>
        <w:t xml:space="preserve">Faut-il désactiver la synchronisation de l’heure sur toutes les VM, ou seulement les contrôleurs de domaine ?</w:t>
      </w:r>
    </w:p>
    <w:p>
      <w:pPr>
        <w:pStyle w:val="BodyText"/>
      </w:pPr>
      <w:r>
        <w:t xml:space="preserve">La recommandation stricte s’applique spécifiquement aux contrôleurs de domaine (et plus généralement à tout système possédant déjà son propre service de temps fiable et faisant autorité) — pour une VM standard sans rôle de serveur de temps particulier, la synchronisation via l’hyperviseur reste généralement sans risque et même pratique.</w:t>
      </w:r>
    </w:p>
    <w:bookmarkEnd w:id="888"/>
    <w:bookmarkStart w:id="892" w:name="références-et-pour-aller-plus-loin-34"/>
    <w:p>
      <w:pPr>
        <w:pStyle w:val="Heading2"/>
      </w:pPr>
      <w:r>
        <w:t xml:space="preserve">Références et pour aller plus loin</w:t>
      </w:r>
    </w:p>
    <w:p>
      <w:pPr>
        <w:pStyle w:val="Compact"/>
        <w:numPr>
          <w:ilvl w:val="0"/>
          <w:numId w:val="1827"/>
        </w:numPr>
      </w:pPr>
      <w:r>
        <w:t xml:space="preserve">Microsoft Learn — Vue d’ensemble d’Hyper-V :</w:t>
      </w:r>
      <w:r>
        <w:t xml:space="preserve"> </w:t>
      </w:r>
      <w:hyperlink r:id="rId889">
        <w:r>
          <w:rPr>
            <w:rStyle w:val="Hyperlink"/>
          </w:rPr>
          <w:t xml:space="preserve">https://learn.microsoft.com/fr-fr/windows-server/virtualization/hyper-v/hyper-v-technology-overview</w:t>
        </w:r>
      </w:hyperlink>
    </w:p>
    <w:p>
      <w:pPr>
        <w:pStyle w:val="Compact"/>
        <w:numPr>
          <w:ilvl w:val="0"/>
          <w:numId w:val="1827"/>
        </w:numPr>
      </w:pPr>
      <w:r>
        <w:t xml:space="preserve">Microsoft Learn — Droits d’utilisation des licences Windows Server :</w:t>
      </w:r>
      <w:r>
        <w:t xml:space="preserve"> </w:t>
      </w:r>
      <w:hyperlink r:id="rId890">
        <w:r>
          <w:rPr>
            <w:rStyle w:val="Hyperlink"/>
          </w:rPr>
          <w:t xml:space="preserve">https://learn.microsoft.com/fr-fr/windows-server/get-started/licensing-editions</w:t>
        </w:r>
      </w:hyperlink>
    </w:p>
    <w:p>
      <w:pPr>
        <w:pStyle w:val="Compact"/>
        <w:numPr>
          <w:ilvl w:val="0"/>
          <w:numId w:val="1827"/>
        </w:numPr>
      </w:pPr>
      <w:r>
        <w:t xml:space="preserve">Microsoft Learn — Services d’intégration Hyper-V et synchronisation de l’heure :</w:t>
      </w:r>
      <w:r>
        <w:t xml:space="preserve"> </w:t>
      </w:r>
      <w:hyperlink r:id="rId891">
        <w:r>
          <w:rPr>
            <w:rStyle w:val="Hyperlink"/>
          </w:rPr>
          <w:t xml:space="preserve">https://learn.microsoft.com/fr-fr/windows-server/virtualization/hyper-v/manage/manage-hyper-v-integration-services</w:t>
        </w:r>
      </w:hyperlink>
    </w:p>
    <w:p>
      <w:pPr>
        <w:pStyle w:val="FirstParagraph"/>
      </w:pPr>
      <w:r>
        <w:rPr>
          <w:i/>
          <w:iCs/>
        </w:rPr>
        <w:t xml:space="preserve">Chapitre suivant : Proxmox VE — l’alternative open source et gratuite, pour compléter la comparaison des trois grands hyperviseurs de ce manuel.</w:t>
      </w:r>
    </w:p>
    <w:p>
      <w:pPr>
        <w:pStyle w:val="BodyText"/>
      </w:pPr>
      <w:r>
        <w:t xml:space="preserve">CHAPITRE 36</w:t>
      </w:r>
    </w:p>
    <w:bookmarkEnd w:id="892"/>
    <w:bookmarkEnd w:id="893"/>
    <w:bookmarkStart w:id="915" w:name="proxmox-ve"/>
    <w:p>
      <w:pPr>
        <w:pStyle w:val="Heading1"/>
      </w:pPr>
      <w:r>
        <w:t xml:space="preserve">Proxmox VE</w:t>
      </w:r>
    </w:p>
    <w:p>
      <w:pPr>
        <w:pStyle w:val="FirstParagraph"/>
      </w:pPr>
      <w:r>
        <w:t xml:space="preserve">🎯 Objectif du chapitre</w:t>
      </w:r>
      <w:r>
        <w:t xml:space="preserve"> </w:t>
      </w:r>
      <w:r>
        <w:t xml:space="preserve">Découvrir Proxmox VE, l’hyperviseur open source et gratuit qui complète le panorama VMware (chapitre 34) et Hyper-V (chapitre 35), avec un modèle économique radicalement différent. À la fin de ce chapitre, tu sauras distinguer les VM complètes (KVM) des conteneurs légers (LXC) que Proxmox propose tous deux nativement, comprendre l’intérêt du système de fichiers ZFS pour l’intégrité des données, et justifier objectivement le choix de Proxmox pour un contexte précis plutôt que par simple préférence pour la gratuité.</w:t>
      </w:r>
    </w:p>
    <w:p>
      <w:pPr>
        <w:pStyle w:val="BodyText"/>
      </w:pPr>
      <w:r>
        <w:t xml:space="preserve">🎬 Mise en situation</w:t>
      </w:r>
      <w:r>
        <w:t xml:space="preserve"> </w:t>
      </w:r>
      <w:r>
        <w:t xml:space="preserve">Le bureau du Cap-Haïtien, plus petit que celui de Port-au-Prince (rappel du chapitre 5), a besoin de sa propre capacité de virtualisation locale — rappel direct du chapitre 6 sur l’autonomie de chaque site en cas de coupure réseau, un principe qui s’applique tout autant à la disponibilité des services virtualisés qu’à l’authentification. Mais étendre les licences VMware (chapitre 34) ou Windows Server Datacenter (chapitre 35) à ce second site représenterait un coût difficile à justifier pour un bureau de cette taille. Le DSI demande une option</w:t>
      </w:r>
      <w:r>
        <w:t xml:space="preserve"> </w:t>
      </w:r>
      <w:r>
        <w:t xml:space="preserve">“sans coût de licence, mais toujours sérieuse et professionnelle”</w:t>
      </w:r>
      <w:r>
        <w:t xml:space="preserve"> </w:t>
      </w:r>
      <w:r>
        <w:t xml:space="preserve">— exactement le positionnement de Proxmox VE, l’objet de ce chapitre.</w:t>
      </w:r>
    </w:p>
    <w:bookmarkStart w:id="894" w:name="proxmox-ve-debian-kvm-et-lxc-réunis"/>
    <w:p>
      <w:pPr>
        <w:pStyle w:val="Heading2"/>
      </w:pPr>
      <w:r>
        <w:t xml:space="preserve">36.1 Proxmox VE : Debian, KVM et LXC réunis</w:t>
      </w:r>
    </w:p>
    <w:p>
      <w:pPr>
        <w:pStyle w:val="FirstParagraph"/>
      </w:pPr>
      <w:r>
        <w:t xml:space="preserve">📌 À retenir</w:t>
      </w:r>
      <w:r>
        <w:t xml:space="preserve"> </w:t>
      </w:r>
      <w:r>
        <w:rPr>
          <w:b/>
          <w:bCs/>
        </w:rPr>
        <w:t xml:space="preserve">Proxmox VE</w:t>
      </w:r>
      <w:r>
        <w:t xml:space="preserve"> </w:t>
      </w:r>
      <w:r>
        <w:t xml:space="preserve">(</w:t>
      </w:r>
      <w:r>
        <w:rPr>
          <w:i/>
          <w:iCs/>
        </w:rPr>
        <w:t xml:space="preserve">Virtual Environment</w:t>
      </w:r>
      <w:r>
        <w:t xml:space="preserve">) est construit par-dessus</w:t>
      </w:r>
      <w:r>
        <w:t xml:space="preserve"> </w:t>
      </w:r>
      <w:r>
        <w:rPr>
          <w:b/>
          <w:bCs/>
        </w:rPr>
        <w:t xml:space="preserve">Debian</w:t>
      </w:r>
      <w:r>
        <w:t xml:space="preserve"> </w:t>
      </w:r>
      <w:r>
        <w:t xml:space="preserve">(rappel direct du chapitre 14 sur les familles de distributions Linux), avec deux technologies de virtualisation intégrées nativement :</w:t>
      </w:r>
      <w:r>
        <w:t xml:space="preserve"> </w:t>
      </w:r>
      <w:r>
        <w:rPr>
          <w:b/>
          <w:bCs/>
        </w:rPr>
        <w:t xml:space="preserve">KVM</w:t>
      </w:r>
      <w:r>
        <w:t xml:space="preserve"> </w:t>
      </w:r>
      <w:r>
        <w:t xml:space="preserve">(</w:t>
      </w:r>
      <w:r>
        <w:rPr>
          <w:i/>
          <w:iCs/>
        </w:rPr>
        <w:t xml:space="preserve">Kernel-based Virtual Machine</w:t>
      </w:r>
      <w:r>
        <w:t xml:space="preserve">, des machines virtuelles complètes, comme sur VMware ou Hyper-V) et</w:t>
      </w:r>
      <w:r>
        <w:t xml:space="preserve"> </w:t>
      </w:r>
      <w:r>
        <w:rPr>
          <w:b/>
          <w:bCs/>
        </w:rPr>
        <w:t xml:space="preserve">LXC</w:t>
      </w:r>
      <w:r>
        <w:t xml:space="preserve"> </w:t>
      </w:r>
      <w:r>
        <w:t xml:space="preserve">(</w:t>
      </w:r>
      <w:r>
        <w:rPr>
          <w:i/>
          <w:iCs/>
        </w:rPr>
        <w:t xml:space="preserve">Linux Containers</w:t>
      </w:r>
      <w:r>
        <w:t xml:space="preserve">, des conteneurs légers, une anticipation directe de la Partie 7 de ce manuel sur la conteneurisation). Cette double capacité, native et intégrée dans une seule interface de gestion, distingue Proxmox des deux hyperviseurs précédents.</w:t>
      </w:r>
    </w:p>
    <w:bookmarkEnd w:id="894"/>
    <w:bookmarkStart w:id="895" w:name="X2d97a31fc5d09b1ec716cb33092b0b5c6ec8074"/>
    <w:p>
      <w:pPr>
        <w:pStyle w:val="Heading2"/>
      </w:pPr>
      <w:r>
        <w:t xml:space="preserve">36.2 Le modèle économique : gratuit, avec support optionnel</w:t>
      </w:r>
    </w:p>
    <w:p>
      <w:pPr>
        <w:pStyle w:val="FirstParagraph"/>
      </w:pPr>
      <w:r>
        <w:t xml:space="preserve">✅ Un contraste direct avec les chapitres 34 et 35</w:t>
      </w:r>
      <w:r>
        <w:t xml:space="preserve"> </w:t>
      </w:r>
      <w:r>
        <w:t xml:space="preserve">Proxmox VE est entièrement</w:t>
      </w:r>
      <w:r>
        <w:t xml:space="preserve"> </w:t>
      </w:r>
      <w:r>
        <w:rPr>
          <w:b/>
          <w:bCs/>
        </w:rPr>
        <w:t xml:space="preserve">open source et gratuit</w:t>
      </w:r>
      <w:r>
        <w:t xml:space="preserve"> </w:t>
      </w:r>
      <w:r>
        <w:t xml:space="preserve">à utiliser, sans limitation de fonctionnalités — contrairement à VMware (licences pour les fonctionnalités avancées, chapitre 34) et à Hyper-V (avantageux uniquement si des licences Windows Server Datacenter sont déjà possédées, chapitre 35). Une souscription payante optionnelle donne accès à un dépôt de paquets plus stable et à un support commercial officiel — un modèle économique qui rejoint directement celui de Rocky Linux face à RHEL, déjà comparé au chapitre 14.</w:t>
      </w:r>
    </w:p>
    <w:p>
      <w:pPr>
        <w:pStyle w:val="BodyText"/>
      </w:pPr>
      <w:r>
        <w:t xml:space="preserve">💡 Répondre précisément à la demande du DSI</w:t>
      </w:r>
      <w:r>
        <w:t xml:space="preserve"> </w:t>
      </w:r>
      <w:r>
        <w:t xml:space="preserve">Le DSI du scénario d’ouverture a raison de vouloir éviter une extension de licence coûteuse pour le bureau du Cap-Haïtien, mais</w:t>
      </w:r>
      <w:r>
        <w:t xml:space="preserve"> </w:t>
      </w:r>
      <w:r>
        <w:t xml:space="preserve">“gratuit”</w:t>
      </w:r>
      <w:r>
        <w:t xml:space="preserve"> </w:t>
      </w:r>
      <w:r>
        <w:t xml:space="preserve">ne doit jamais vouloir dire</w:t>
      </w:r>
      <w:r>
        <w:t xml:space="preserve"> </w:t>
      </w:r>
      <w:r>
        <w:t xml:space="preserve">“sans rigueur professionnelle”</w:t>
      </w:r>
      <w:r>
        <w:t xml:space="preserve"> </w:t>
      </w:r>
      <w:r>
        <w:t xml:space="preserve">— une souscription de support Proxmox, même pour un site secondaire, reste une dépense raisonnable à envisager sérieusement si la criticité du site le justifie, plutôt que de partir du principe que la gratuité totale du logiciel dispense de tout investissement dans sa fiabilité opérationnelle.</w:t>
      </w:r>
    </w:p>
    <w:bookmarkEnd w:id="895"/>
    <w:bookmarkStart w:id="896" w:name="X5d51c42fd8c5adf980c42bb30e181a1c25ccb83"/>
    <w:p>
      <w:pPr>
        <w:pStyle w:val="Heading2"/>
      </w:pPr>
      <w:r>
        <w:t xml:space="preserve">36.3 KVM vs LXC : deux niveaux d’isolation différents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Critère</w:t>
            </w:r>
          </w:p>
        </w:tc>
        <w:tc>
          <w:tcPr/>
          <w:p>
            <w:pPr>
              <w:pStyle w:val="Compact"/>
            </w:pPr>
            <w:r>
              <w:t xml:space="preserve">KVM (VM complète)</w:t>
            </w:r>
          </w:p>
        </w:tc>
        <w:tc>
          <w:tcPr/>
          <w:p>
            <w:pPr>
              <w:pStyle w:val="Compact"/>
            </w:pPr>
            <w:r>
              <w:t xml:space="preserve">LXC (conteneur)</w:t>
            </w:r>
          </w:p>
        </w:tc>
      </w:tr>
      <w:tr>
        <w:tc>
          <w:tcPr/>
          <w:p>
            <w:pPr>
              <w:pStyle w:val="Compact"/>
            </w:pPr>
            <w:r>
              <w:t xml:space="preserve">Isolation</w:t>
            </w:r>
          </w:p>
        </w:tc>
        <w:tc>
          <w:tcPr/>
          <w:p>
            <w:pPr>
              <w:pStyle w:val="Compact"/>
            </w:pPr>
            <w:r>
              <w:t xml:space="preserve">Complète — noyau propre, totalement indépendant de l’hôte</w:t>
            </w:r>
          </w:p>
        </w:tc>
        <w:tc>
          <w:tcPr/>
          <w:p>
            <w:pPr>
              <w:pStyle w:val="Compact"/>
            </w:pPr>
            <w:r>
              <w:t xml:space="preserve">Partagée — utilise le noyau Linux de l’hôte</w:t>
            </w:r>
          </w:p>
        </w:tc>
      </w:tr>
      <w:tr>
        <w:tc>
          <w:tcPr/>
          <w:p>
            <w:pPr>
              <w:pStyle w:val="Compact"/>
            </w:pPr>
            <w:r>
              <w:t xml:space="preserve">Flexibilité de système d’exploitation</w:t>
            </w:r>
          </w:p>
        </w:tc>
        <w:tc>
          <w:tcPr/>
          <w:p>
            <w:pPr>
              <w:pStyle w:val="Compact"/>
            </w:pPr>
            <w:r>
              <w:t xml:space="preserve">N’importe quel OS (Windows, toute distribution Linux)</w:t>
            </w:r>
          </w:p>
        </w:tc>
        <w:tc>
          <w:tcPr/>
          <w:p>
            <w:pPr>
              <w:pStyle w:val="Compact"/>
            </w:pPr>
            <w:r>
              <w:t xml:space="preserve">Linux uniquement, compatible avec le noyau de l’hôte</w:t>
            </w:r>
          </w:p>
        </w:tc>
      </w:tr>
      <w:tr>
        <w:tc>
          <w:tcPr/>
          <w:p>
            <w:pPr>
              <w:pStyle w:val="Compact"/>
            </w:pPr>
            <w:r>
              <w:t xml:space="preserve">Performance et légèreté</w:t>
            </w:r>
          </w:p>
        </w:tc>
        <w:tc>
          <w:tcPr/>
          <w:p>
            <w:pPr>
              <w:pStyle w:val="Compact"/>
            </w:pPr>
            <w:r>
              <w:t xml:space="preserve">Bonne, avec une surcharge de virtualisation classique</w:t>
            </w:r>
          </w:p>
        </w:tc>
        <w:tc>
          <w:tcPr/>
          <w:p>
            <w:pPr>
              <w:pStyle w:val="Compact"/>
            </w:pPr>
            <w:r>
              <w:t xml:space="preserve">Excellente — démarrage quasi instantané, très faible surcharge</w:t>
            </w:r>
          </w:p>
        </w:tc>
      </w:tr>
      <w:tr>
        <w:tc>
          <w:tcPr/>
          <w:p>
            <w:pPr>
              <w:pStyle w:val="Compact"/>
            </w:pPr>
            <w:r>
              <w:t xml:space="preserve">Cas d’usage typique</w:t>
            </w:r>
          </w:p>
        </w:tc>
        <w:tc>
          <w:tcPr/>
          <w:p>
            <w:pPr>
              <w:pStyle w:val="Compact"/>
            </w:pPr>
            <w:r>
              <w:t xml:space="preserve">Contrôleur de domaine, serveur applicatif Windows, isolation stricte requise</w:t>
            </w:r>
          </w:p>
        </w:tc>
        <w:tc>
          <w:tcPr/>
          <w:p>
            <w:pPr>
              <w:pStyle w:val="Compact"/>
            </w:pPr>
            <w:r>
              <w:t xml:space="preserve">Services Linux légers, environnements de test rapides</w:t>
            </w:r>
          </w:p>
        </w:tc>
      </w:tr>
    </w:tbl>
    <w:p>
      <w:pPr>
        <w:pStyle w:val="BodyText"/>
      </w:pPr>
      <w:r>
        <w:t xml:space="preserve">⚠️ LXC n’offre pas la même isolation de sécurité qu’une VM complète</w:t>
      </w:r>
      <w:r>
        <w:t xml:space="preserve"> </w:t>
      </w:r>
      <w:r>
        <w:t xml:space="preserve">Un conteneur LXC, partageant le noyau de l’hôte, présente une surface d’isolation plus fine qu’une VM KVM complète — une vulnérabilité du noyau pourrait, dans certains scénarios, affecter l’hôte ou d’autres conteneurs d’une façon qu’une VM KVM totalement isolée ne permettrait pas. Ce compromis (léger et rapide, mais moins isolé) doit être évalué selon la criticité et la sensibilité de la charge de travail concernée — un contrôleur de domaine, par exemple, mérite l’isolation complète d’une VM KVM plutôt qu’un conteneur LXC.</w:t>
      </w:r>
    </w:p>
    <w:bookmarkEnd w:id="896"/>
    <w:bookmarkStart w:id="897" w:name="cluster-proxmox-et-migration-à-chaud"/>
    <w:p>
      <w:pPr>
        <w:pStyle w:val="Heading2"/>
      </w:pPr>
      <w:r>
        <w:t xml:space="preserve">36.4 Cluster Proxmox et migration à chaud</w:t>
      </w:r>
    </w:p>
    <w:p>
      <w:pPr>
        <w:pStyle w:val="FirstParagraph"/>
      </w:pPr>
      <w:r>
        <w:t xml:space="preserve">💡 Le même besoin, une troisième implémentation</w:t>
      </w:r>
      <w:r>
        <w:t xml:space="preserve"> </w:t>
      </w:r>
      <w:r>
        <w:t xml:space="preserve">Proxmox propose sa propre migration à chaud (équivalente à vMotion et Live Migration, chapitres 34-35) et son propre mécanisme de cluster, basé sur</w:t>
      </w:r>
      <w:r>
        <w:t xml:space="preserve"> </w:t>
      </w:r>
      <w:r>
        <w:rPr>
          <w:b/>
          <w:bCs/>
        </w:rPr>
        <w:t xml:space="preserve">Corosync</w:t>
      </w:r>
      <w:r>
        <w:t xml:space="preserve"> </w:t>
      </w:r>
      <w:r>
        <w:t xml:space="preserve">pour la communication entre nœuds — le même besoin de quorum déjà rencontré au chapitre 13 (et rappelé au chapitre 35 pour Hyper-V) s’applique ici aussi : une majorité de nœuds doit s’accorder sur l’état du cluster pour éviter un split-brain, avec un nombre impair de nœuds généralement recommandé pour faciliter l’obtention d’une majorité claire.</w:t>
      </w:r>
    </w:p>
    <w:bookmarkEnd w:id="897"/>
    <w:bookmarkStart w:id="898" w:name="Xa4a6af5d4f571ffa09b55010737577b3fa3e916"/>
    <w:p>
      <w:pPr>
        <w:pStyle w:val="Heading2"/>
      </w:pPr>
      <w:r>
        <w:t xml:space="preserve">36.5 ZFS : un système de fichiers pensé pour l’intégrité des données</w:t>
      </w:r>
    </w:p>
    <w:p>
      <w:pPr>
        <w:pStyle w:val="FirstParagraph"/>
      </w:pPr>
      <w:r>
        <w:t xml:space="preserve">✅ ZFS, le choix de stockage recommandé pour Proxmox en production</w:t>
      </w:r>
      <w:r>
        <w:t xml:space="preserve"> </w:t>
      </w:r>
      <w:r>
        <w:rPr>
          <w:b/>
          <w:bCs/>
        </w:rPr>
        <w:t xml:space="preserve">ZFS</w:t>
      </w:r>
      <w:r>
        <w:t xml:space="preserve"> </w:t>
      </w:r>
      <w:r>
        <w:t xml:space="preserve">est un système de fichiers avancé, largement recommandé pour Proxmox VE, qui combine plusieurs fonctionnalités déjà rencontrées séparément dans ce manuel — la gestion de volumes flexible (rappel du LVM, chapitre 17), le RAID logiciel intégré (rappel du chapitre 17 et 27), et des</w:t>
      </w:r>
      <w:r>
        <w:t xml:space="preserve"> </w:t>
      </w:r>
      <w:r>
        <w:rPr>
          <w:b/>
          <w:bCs/>
        </w:rPr>
        <w:t xml:space="preserve">snapshots natifs très légers</w:t>
      </w:r>
      <w:r>
        <w:t xml:space="preserve">. Sa particularité distinctive : un</w:t>
      </w:r>
      <w:r>
        <w:t xml:space="preserve"> </w:t>
      </w:r>
      <w:r>
        <w:rPr>
          <w:b/>
          <w:bCs/>
        </w:rPr>
        <w:t xml:space="preserve">checksumming</w:t>
      </w:r>
      <w:r>
        <w:t xml:space="preserve"> </w:t>
      </w:r>
      <w:r>
        <w:t xml:space="preserve">systématique de chaque bloc de données, qui détecte et corrige automatiquement une corruption silencieuse de données (</w:t>
      </w:r>
      <w:r>
        <w:rPr>
          <w:i/>
          <w:iCs/>
        </w:rPr>
        <w:t xml:space="preserve">bit rot</w:t>
      </w:r>
      <w:r>
        <w:t xml:space="preserve">) — un risque réel sur le long terme que les systèmes de fichiers plus traditionnels (ext4, NTFS) ne détectent généralement pas activement.</w:t>
      </w:r>
    </w:p>
    <w:p>
      <w:pPr>
        <w:pStyle w:val="BodyText"/>
      </w:pPr>
      <w:r>
        <w:t xml:space="preserve">🔒 Sécurité — les snapshots ZFS restent soumis au même principe déjà établi</w:t>
      </w:r>
      <w:r>
        <w:t xml:space="preserve"> </w:t>
      </w:r>
      <w:r>
        <w:t xml:space="preserve">Rappel direct du chapitre 33 (snapshots de VM) et du chapitre 28 (snapshots NAS) : même si les snapshots ZFS sont particulièrement légers et rapides à créer, ils restent stockés sur le même pool de stockage physique que les données qu’ils protègent — le même principe s’applique sans exception : un snapshot ZFS ne remplace jamais une sauvegarde vers un support physiquement distinct (chapitre 30).</w:t>
      </w:r>
    </w:p>
    <w:bookmarkEnd w:id="898"/>
    <w:bookmarkStart w:id="899" w:name="X43d84b9fd8f413d23f4c14326fd6433b597cb2c"/>
    <w:p>
      <w:pPr>
        <w:pStyle w:val="Heading2"/>
      </w:pPr>
      <w:r>
        <w:t xml:space="preserve">36.6 Sauvegardes intégrées : Proxmox Backup Server</w:t>
      </w:r>
    </w:p>
    <w:p>
      <w:pPr>
        <w:pStyle w:val="FirstParagraph"/>
      </w:pPr>
      <w:r>
        <w:t xml:space="preserve">🚀 Performance — une solution de sauvegarde pensée nativement pour la virtualisation</w:t>
      </w:r>
      <w:r>
        <w:t xml:space="preserve"> </w:t>
      </w:r>
      <w:r>
        <w:rPr>
          <w:b/>
          <w:bCs/>
        </w:rPr>
        <w:t xml:space="preserve">Proxmox Backup Server</w:t>
      </w:r>
      <w:r>
        <w:t xml:space="preserve"> </w:t>
      </w:r>
      <w:r>
        <w:t xml:space="preserve">est une solution de sauvegarde dédiée, intégrée à l’écosystème Proxmox, offrant une déduplication efficace et des sauvegardes incrémentielles rapides de VM et de conteneurs — une application directe des principes déjà posés au chapitre 30 (RTO/RPO, tests de restauration réguliers, règle 3-2-1), avec un outil spécifiquement optimisé pour ce cas d’usage plutôt qu’un outil de sauvegarde générique adapté après coup à la virtualisation.</w:t>
      </w:r>
    </w:p>
    <w:bookmarkEnd w:id="899"/>
    <w:bookmarkStart w:id="900" w:name="X7cbd821205f4fbb448dbd09e8dfd59bb5b1a22b"/>
    <w:p>
      <w:pPr>
        <w:pStyle w:val="Heading2"/>
      </w:pPr>
      <w:r>
        <w:t xml:space="preserve">36.7 Le bilan économique complet pour le scénario d’ouverture</w:t>
      </w:r>
    </w:p>
    <w:p>
      <w:pPr>
        <w:pStyle w:val="FirstParagraph"/>
      </w:pPr>
      <w:r>
        <w:t xml:space="preserve">🧠 À mémoriser — un bilan honnête, pas seulement</w:t>
      </w:r>
      <w:r>
        <w:t xml:space="preserve"> </w:t>
      </w:r>
      <w:r>
        <w:t xml:space="preserve">“c’est gratuit”</w:t>
      </w:r>
      <w:r>
        <w:t xml:space="preserve"> </w:t>
      </w:r>
      <w:r>
        <w:t xml:space="preserve">Pour le bureau du Cap-Haïtien : Proxmox VE élimine le coût de licence d’hyperviseur (contrairement à VMware) et ne dépend pas de licences Windows Server Datacenter déjà possédées (contrairement à l’argument spécifique du chapitre 35, qui ne s’appliquerait de toute façon pas à un nouveau site sans cette même base de licences). Le bilan honnête doit néanmoins inclure : le temps de montée en compétence de l’équipe sur un nouvel écosystème (rappel du critère d’expertise déjà présent aux chapitres 14 et 33), et l’éventuelle souscription de support si la criticité du site le justifie — un choix économiquement avantageux, mais qui reste une vraie décision à documenter, pas un choix</w:t>
      </w:r>
      <w:r>
        <w:t xml:space="preserve"> </w:t>
      </w:r>
      <w:r>
        <w:t xml:space="preserve">“par défaut”</w:t>
      </w:r>
      <w:r>
        <w:t xml:space="preserve"> </w:t>
      </w:r>
      <w:r>
        <w:t xml:space="preserve">sans réflexion.</w:t>
      </w:r>
    </w:p>
    <w:bookmarkEnd w:id="900"/>
    <w:bookmarkStart w:id="901" w:name="X129ceef4ca95d425f21dd84cbc74435c8545436"/>
    <w:p>
      <w:pPr>
        <w:pStyle w:val="Heading2"/>
      </w:pPr>
      <w:r>
        <w:t xml:space="preserve">Atelier — Recommander une architecture Proxmox pour le Cap-Haïtien</w:t>
      </w:r>
    </w:p>
    <w:p>
      <w:pPr>
        <w:pStyle w:val="FirstParagraph"/>
      </w:pPr>
      <w:r>
        <w:t xml:space="preserve">🛠️ Atelier 36 — Concevoir la réponse au DSI</w:t>
      </w:r>
    </w:p>
    <w:p>
      <w:pPr>
        <w:pStyle w:val="BodyText"/>
      </w:pPr>
      <w:r>
        <w:rPr>
          <w:b/>
          <w:bCs/>
        </w:rPr>
        <w:t xml:space="preserve">Objectif</w:t>
      </w:r>
      <w:r>
        <w:t xml:space="preserve"> </w:t>
      </w:r>
      <w:r>
        <w:t xml:space="preserve">: proposer une architecture Proxmox VE concrète pour le bureau du Cap-Haïtien, en tenant compte de sa taille et de sa criticité.</w:t>
      </w:r>
    </w:p>
    <w:p>
      <w:pPr>
        <w:pStyle w:val="BodyText"/>
      </w:pPr>
      <w:r>
        <w:rPr>
          <w:b/>
          <w:bCs/>
        </w:rPr>
        <w:t xml:space="preserve">Préparation</w:t>
      </w:r>
      <w:r>
        <w:t xml:space="preserve"> </w:t>
      </w:r>
      <w:r>
        <w:t xml:space="preserve">: aucune installation nécessaire — cet atelier est un exercice de conception argumentée.</w:t>
      </w:r>
    </w:p>
    <w:p>
      <w:pPr>
        <w:pStyle w:val="BodyText"/>
      </w:pPr>
      <w:r>
        <w:rPr>
          <w:b/>
          <w:bCs/>
        </w:rPr>
        <w:t xml:space="preserve">Étapes détaillées</w:t>
      </w:r>
      <w:r>
        <w:t xml:space="preserve"> </w:t>
      </w:r>
      <w:r>
        <w:t xml:space="preserve">:</w:t>
      </w:r>
    </w:p>
    <w:p>
      <w:pPr>
        <w:pStyle w:val="Compact"/>
        <w:numPr>
          <w:ilvl w:val="0"/>
          <w:numId w:val="1828"/>
        </w:numPr>
      </w:pPr>
      <w:r>
        <w:t xml:space="preserve">Propose un choix entre KVM et LXC pour héberger un contrôleur de domaine local du Cap-Haïtien (rappel du chapitre 6 sur l’autonomie de chaque site), en justifiant ton choix à partir de la section 36.3.</w:t>
      </w:r>
    </w:p>
    <w:p>
      <w:pPr>
        <w:pStyle w:val="Compact"/>
        <w:numPr>
          <w:ilvl w:val="0"/>
          <w:numId w:val="1828"/>
        </w:numPr>
      </w:pPr>
      <w:r>
        <w:t xml:space="preserve">Propose un système de fichiers de stockage pour cette infrastructure, en justifiant ton choix à partir de la section 36.5.</w:t>
      </w:r>
    </w:p>
    <w:p>
      <w:pPr>
        <w:pStyle w:val="Compact"/>
        <w:numPr>
          <w:ilvl w:val="0"/>
          <w:numId w:val="1828"/>
        </w:numPr>
      </w:pPr>
      <w:r>
        <w:t xml:space="preserve">Recommande, ou déconseille, une souscription de support Proxmox pour ce site, en justifiant ta position à partir de la section 36.7.</w:t>
      </w:r>
    </w:p>
    <w:p>
      <w:pPr>
        <w:pStyle w:val="Compact"/>
        <w:numPr>
          <w:ilvl w:val="0"/>
          <w:numId w:val="1828"/>
        </w:numPr>
      </w:pPr>
      <w:r>
        <w:t xml:space="preserve">Compare ta démarche à la section</w:t>
      </w:r>
      <w:r>
        <w:t xml:space="preserve"> </w:t>
      </w:r>
      <w:r>
        <w:t xml:space="preserve">“Résultat attendu”</w:t>
      </w:r>
      <w:r>
        <w:t xml:space="preserve">.</w:t>
      </w:r>
    </w:p>
    <w:p>
      <w:pPr>
        <w:pStyle w:val="FirstParagraph"/>
      </w:pPr>
      <w:r>
        <w:rPr>
          <w:b/>
          <w:bCs/>
        </w:rPr>
        <w:t xml:space="preserve">Résultat attendu</w:t>
      </w:r>
      <w:r>
        <w:t xml:space="preserve"> </w:t>
      </w:r>
      <w:r>
        <w:t xml:space="preserve">: KVM est le choix approprié pour un contrôleur de domaine, malgré la légèreté de LXC, car l’isolation complète reste préférable pour un service aussi critique et sensible que l’authentification de tout un site (section 36.3). ZFS est recommandé pour son intégrité de données renforcée et ses snapshots légers, particulièrement utile pour un site avec potentiellement moins de personnel technique disponible pour surveiller manuellement l’intégrité du stockage. Une souscription de support est recommandée si le Cap-Haïtien héberge effectivement un contrôleur de domaine critique pour l’autonomie du site (rappel du chapitre 6) — la criticité de ce service justifie l’investissement modeste d’un support commercial, même pour un site de taille plus réduite.</w:t>
      </w:r>
    </w:p>
    <w:p>
      <w:pPr>
        <w:pStyle w:val="BodyText"/>
      </w:pPr>
      <w:r>
        <w:rPr>
          <w:b/>
          <w:bCs/>
        </w:rPr>
        <w:t xml:space="preserve">Dépannage</w:t>
      </w:r>
      <w:r>
        <w:t xml:space="preserve"> </w:t>
      </w:r>
      <w:r>
        <w:t xml:space="preserve">: si tu hésites sur la nécessité du support commercial, reviens à la question centrale du chapitre 1 sur le principe de gestion des risques : quel est l’impact réel si ce service tombe en panne sans accès à un support professionnel réactif, comparé au coût de la souscription elle-même ?</w:t>
      </w:r>
    </w:p>
    <w:bookmarkEnd w:id="901"/>
    <w:bookmarkStart w:id="902" w:name="erreurs-fréquentes-35"/>
    <w:p>
      <w:pPr>
        <w:pStyle w:val="Heading2"/>
      </w:pPr>
      <w:r>
        <w:t xml:space="preserve">Erreurs fréquentes</w:t>
      </w:r>
    </w:p>
    <w:p>
      <w:pPr>
        <w:pStyle w:val="FirstParagraph"/>
      </w:pPr>
      <w:r>
        <w:t xml:space="preserve">⚠️ Erreur n°1 — utiliser LXC pour une charge de travail nécessitant une isolation stricte</w:t>
      </w:r>
      <w:r>
        <w:t xml:space="preserve"> </w:t>
      </w:r>
      <w:r>
        <w:t xml:space="preserve">Rappel de la section 36.3 : la légèreté et la rapidité de LXC ont un coût en termes d’isolation, à ne jamais négliger pour des services critiques ou sensibles.</w:t>
      </w:r>
    </w:p>
    <w:p>
      <w:pPr>
        <w:pStyle w:val="BodyText"/>
      </w:pPr>
      <w:r>
        <w:t xml:space="preserve">⚠️ Erreur n°2 — confondre la gratuité de la licence avec l’absence de besoin de rigueur opérationnelle</w:t>
      </w:r>
      <w:r>
        <w:t xml:space="preserve"> </w:t>
      </w:r>
      <w:r>
        <w:t xml:space="preserve">Rappel de la section 36.2 : un système gratuit mérite exactement la même discipline de sauvegarde, de surveillance et de documentation qu’un système sous licence payante.</w:t>
      </w:r>
    </w:p>
    <w:p>
      <w:pPr>
        <w:pStyle w:val="BodyText"/>
      </w:pPr>
      <w:r>
        <w:t xml:space="preserve">⚠️ Erreur n°3 — compter sur les snapshots ZFS comme seule protection des données</w:t>
      </w:r>
      <w:r>
        <w:t xml:space="preserve"> </w:t>
      </w:r>
      <w:r>
        <w:t xml:space="preserve">Rappel de la section 36.5 : malgré leur légèreté et leur rapidité impressionnantes, les snapshots ZFS restent soumis au même principe déjà établi tout au long de ce manuel — ils ne remplacent jamais une sauvegarde externe.</w:t>
      </w:r>
    </w:p>
    <w:bookmarkEnd w:id="902"/>
    <w:bookmarkStart w:id="903" w:name="diagnostiquer-un-choix-entre-kvm-et-lxc"/>
    <w:p>
      <w:pPr>
        <w:pStyle w:val="Heading2"/>
      </w:pPr>
      <w:r>
        <w:t xml:space="preserve">Diagnostiquer un choix entre KVM et LXC</w:t>
      </w:r>
    </w:p>
    <w:p>
      <w:pPr>
        <w:pStyle w:val="FirstParagraph"/>
      </w:pPr>
      <w:r>
        <w:t xml:space="preserve">🩺 Situation :</w:t>
      </w:r>
      <w:r>
        <w:t xml:space="preserve"> </w:t>
      </w:r>
      <w:r>
        <w:t xml:space="preserve">“Je ne sais pas si je dois déployer ce service en VM KVM ou en conteneur LXC”</w:t>
      </w:r>
    </w:p>
    <w:p>
      <w:pPr>
        <w:pStyle w:val="Compact"/>
        <w:numPr>
          <w:ilvl w:val="0"/>
          <w:numId w:val="1829"/>
        </w:numPr>
      </w:pPr>
      <w:r>
        <w:rPr>
          <w:b/>
          <w:bCs/>
        </w:rPr>
        <w:t xml:space="preserve">Diagnostic</w:t>
      </w:r>
      <w:r>
        <w:t xml:space="preserve"> </w:t>
      </w:r>
      <w:r>
        <w:t xml:space="preserve">: poser la question centrale de la section 36.3 — ce service a-t-il besoin d’un système d’exploitation autre que Linux, ou d’une isolation stricte au niveau du noyau (sécurité renforcée, séparation complète des ressources) ?</w:t>
      </w:r>
    </w:p>
    <w:p>
      <w:pPr>
        <w:pStyle w:val="Compact"/>
        <w:numPr>
          <w:ilvl w:val="0"/>
          <w:numId w:val="1829"/>
        </w:numPr>
      </w:pPr>
      <w:r>
        <w:rPr>
          <w:b/>
          <w:bCs/>
        </w:rPr>
        <w:t xml:space="preserve">Comment vérifier</w:t>
      </w:r>
      <w:r>
        <w:t xml:space="preserve"> </w:t>
      </w:r>
      <w:r>
        <w:t xml:space="preserve">: si la réponse est oui à l’une de ces deux questions, KVM s’impose ; si le service est un service Linux léger sans exigence de sécurité renforcée particulière, LXC offre un gain de performance et de rapidité de déploiement réel.</w:t>
      </w:r>
    </w:p>
    <w:p>
      <w:pPr>
        <w:pStyle w:val="Compact"/>
        <w:numPr>
          <w:ilvl w:val="0"/>
          <w:numId w:val="1829"/>
        </w:numPr>
      </w:pPr>
      <w:r>
        <w:rPr>
          <w:b/>
          <w:bCs/>
        </w:rPr>
        <w:t xml:space="preserve">Résolution</w:t>
      </w:r>
      <w:r>
        <w:t xml:space="preserve"> </w:t>
      </w:r>
      <w:r>
        <w:t xml:space="preserve">: en cas de doute persistant sur la criticité réelle du service, privilégier KVM par prudence — le surcoût de performance reste généralement modéré, alors qu’une isolation insuffisante pour un service qui s’avérerait finalement sensible pourrait avoir des conséquences bien plus coûteuses.</w:t>
      </w:r>
    </w:p>
    <w:bookmarkEnd w:id="903"/>
    <w:bookmarkStart w:id="904" w:name="en-entreprise-35"/>
    <w:p>
      <w:pPr>
        <w:pStyle w:val="Heading2"/>
      </w:pPr>
      <w:r>
        <w:t xml:space="preserve">En entreprise</w:t>
      </w:r>
    </w:p>
    <w:p>
      <w:pPr>
        <w:pStyle w:val="Compact"/>
        <w:numPr>
          <w:ilvl w:val="0"/>
          <w:numId w:val="1830"/>
        </w:numPr>
      </w:pPr>
      <w:r>
        <w:rPr>
          <w:b/>
          <w:bCs/>
        </w:rPr>
        <w:t xml:space="preserve">Bonne pratique répandue</w:t>
      </w:r>
      <w:r>
        <w:t xml:space="preserve"> </w:t>
      </w:r>
      <w:r>
        <w:t xml:space="preserve">: documenter (chapitre 3) le choix entre KVM et LXC pour chaque charge de travail déployée sous Proxmox, avec sa justification — une distinction moins évidente à deviner après coup que le simple choix d’un hyperviseur unique.</w:t>
      </w:r>
    </w:p>
    <w:p>
      <w:pPr>
        <w:pStyle w:val="Compact"/>
        <w:numPr>
          <w:ilvl w:val="0"/>
          <w:numId w:val="1830"/>
        </w:numPr>
      </w:pPr>
      <w:r>
        <w:rPr>
          <w:b/>
          <w:bCs/>
        </w:rPr>
        <w:t xml:space="preserve">Bonne pratique répandue</w:t>
      </w:r>
      <w:r>
        <w:t xml:space="preserve"> </w:t>
      </w:r>
      <w:r>
        <w:t xml:space="preserve">: utiliser Proxmox Backup Server (section 36.6) plutôt qu’une solution de sauvegarde générique non spécifiquement conçue pour la virtualisation, pour bénéficier de la déduplication et de l’efficacité native de l’outil.</w:t>
      </w:r>
    </w:p>
    <w:p>
      <w:pPr>
        <w:pStyle w:val="Compact"/>
        <w:numPr>
          <w:ilvl w:val="0"/>
          <w:numId w:val="1830"/>
        </w:numPr>
      </w:pPr>
      <w:r>
        <w:rPr>
          <w:b/>
          <w:bCs/>
        </w:rPr>
        <w:t xml:space="preserve">Erreur classique observée</w:t>
      </w:r>
      <w:r>
        <w:t xml:space="preserve"> </w:t>
      </w:r>
      <w:r>
        <w:t xml:space="preserve">: une infrastructure Proxmox déployée en LXC</w:t>
      </w:r>
      <w:r>
        <w:t xml:space="preserve"> </w:t>
      </w:r>
      <w:r>
        <w:t xml:space="preserve">“par défaut”</w:t>
      </w:r>
      <w:r>
        <w:t xml:space="preserve"> </w:t>
      </w:r>
      <w:r>
        <w:t xml:space="preserve">pour tous les services, y compris des services sensibles, sans réflexion consciente sur le compromis d’isolation — un choix de facilité initiale qui peut devenir un risque de sécurité non anticipé.</w:t>
      </w:r>
    </w:p>
    <w:bookmarkEnd w:id="904"/>
    <w:bookmarkStart w:id="905" w:name="entretien-technique-35"/>
    <w:p>
      <w:pPr>
        <w:pStyle w:val="Heading2"/>
      </w:pPr>
      <w:r>
        <w:t xml:space="preserve">Entretien technique</w:t>
      </w:r>
    </w:p>
    <w:p>
      <w:pPr>
        <w:pStyle w:val="FirstParagraph"/>
      </w:pPr>
      <w:r>
        <w:t xml:space="preserve">💼 Questions fréquemment posées en entretien</w:t>
      </w:r>
    </w:p>
    <w:p>
      <w:pPr>
        <w:pStyle w:val="BodyText"/>
      </w:pPr>
      <w:r>
        <w:rPr>
          <w:b/>
          <w:bCs/>
        </w:rPr>
        <w:t xml:space="preserve">Q1.</w:t>
      </w:r>
      <w:r>
        <w:rPr>
          <w:b/>
          <w:bCs/>
        </w:rPr>
        <w:t xml:space="preserve"> </w:t>
      </w:r>
      <w:r>
        <w:rPr>
          <w:b/>
          <w:bCs/>
        </w:rPr>
        <w:t xml:space="preserve">“Quelle est la différence entre KVM et LXC sur Proxmox ?”</w:t>
      </w:r>
      <w:r>
        <w:t xml:space="preserve"> </w:t>
      </w:r>
      <w:r>
        <w:t xml:space="preserve">Réponse attendue : KVM crée des machines virtuelles complètes avec leur propre noyau, offrant une isolation totale et la possibilité d’exécuter n’importe quel système d’exploitation ; LXC crée des conteneurs légers partageant le noyau Linux de l’hôte, plus rapides et légers mais avec une isolation moins stricte, limités aux systèmes Linux.</w:t>
      </w:r>
    </w:p>
    <w:p>
      <w:pPr>
        <w:pStyle w:val="BodyText"/>
      </w:pPr>
      <w:r>
        <w:rPr>
          <w:b/>
          <w:bCs/>
        </w:rPr>
        <w:t xml:space="preserve">Q2.</w:t>
      </w:r>
      <w:r>
        <w:rPr>
          <w:b/>
          <w:bCs/>
        </w:rPr>
        <w:t xml:space="preserve"> </w:t>
      </w:r>
      <w:r>
        <w:rPr>
          <w:b/>
          <w:bCs/>
        </w:rPr>
        <w:t xml:space="preserve">“Pourquoi ZFS est-il souvent recommandé comme système de fichiers pour Proxmox ?”</w:t>
      </w:r>
      <w:r>
        <w:t xml:space="preserve"> </w:t>
      </w:r>
      <w:r>
        <w:t xml:space="preserve">Réponse attendue : ZFS combine gestion de volumes flexible, RAID logiciel intégré et checksumming systématique des données, détectant et corrigeant automatiquement une corruption silencieuse (bit rot) que des systèmes de fichiers plus traditionnels ne détectent pas activement — un gain d’intégrité des données significatif pour un stockage de production.</w:t>
      </w:r>
    </w:p>
    <w:p>
      <w:pPr>
        <w:pStyle w:val="BodyText"/>
      </w:pPr>
      <w:r>
        <w:rPr>
          <w:b/>
          <w:bCs/>
        </w:rPr>
        <w:t xml:space="preserve">Q3.</w:t>
      </w:r>
      <w:r>
        <w:rPr>
          <w:b/>
          <w:bCs/>
        </w:rPr>
        <w:t xml:space="preserve"> </w:t>
      </w:r>
      <w:r>
        <w:rPr>
          <w:b/>
          <w:bCs/>
        </w:rPr>
        <w:t xml:space="preserve">“Le fait que Proxmox soit gratuit signifie-t-il qu’il convient moins bien à un usage professionnel critique que VMware ?”</w:t>
      </w:r>
      <w:r>
        <w:t xml:space="preserve"> </w:t>
      </w:r>
      <w:r>
        <w:t xml:space="preserve">Réponse attendue : non, la gratuité de la licence n’implique aucune infériorité technique fondamentale — Proxmox propose des fonctionnalités de production sérieuses (cluster, migration à chaud, sauvegarde dédiée). Le vrai critère de décision reste, comme pour tout choix technique de ce manuel, l’adéquation au contexte précis (coût, expertise disponible, criticité du service), pas un jugement de valeur automatique sur la gratuité.</w:t>
      </w:r>
    </w:p>
    <w:bookmarkEnd w:id="905"/>
    <w:bookmarkStart w:id="906" w:name="X9204cdd109370e4ef318fdbd51fe045bf752f3c"/>
    <w:p>
      <w:pPr>
        <w:pStyle w:val="Heading2"/>
      </w:pPr>
      <w:r>
        <w:t xml:space="preserve">Optimisation, sécurité et maintenabilité — les réflexes dès ce chapitre</w:t>
      </w:r>
    </w:p>
    <w:p>
      <w:pPr>
        <w:pStyle w:val="FirstParagraph"/>
      </w:pPr>
      <w:r>
        <w:t xml:space="preserve">🔒 Sécurité</w:t>
      </w:r>
      <w:r>
        <w:t xml:space="preserve"> </w:t>
      </w:r>
      <w:r>
        <w:t xml:space="preserve">Choisis KVM plutôt que LXC pour tout service critique ou sensible nécessitant une isolation stricte, malgré la tentation de la rapidité et de la légèreté de LXC — le compromis d’isolation doit être une décision consciente, jamais un choix par défaut sans réflexion.</w:t>
      </w:r>
    </w:p>
    <w:p>
      <w:pPr>
        <w:pStyle w:val="BodyText"/>
      </w:pPr>
      <w:r>
        <w:t xml:space="preserve">✅ Maintenabilité</w:t>
      </w:r>
      <w:r>
        <w:t xml:space="preserve"> </w:t>
      </w:r>
      <w:r>
        <w:t xml:space="preserve">Documente (chapitre 3) la décision de souscrire ou non au support Proxmox pour chaque site, avec sa justification liée à la criticité réelle du service concerné — une décision économique qui mérite la même rigueur de documentation que tout autre choix d’architecture.</w:t>
      </w:r>
    </w:p>
    <w:p>
      <w:pPr>
        <w:pStyle w:val="BodyText"/>
      </w:pPr>
      <w:r>
        <w:t xml:space="preserve">🚀 Performance</w:t>
      </w:r>
      <w:r>
        <w:t xml:space="preserve"> </w:t>
      </w:r>
      <w:r>
        <w:t xml:space="preserve">Exploite les snapshots ZFS légers (section 36.5) pour des tests rapides et des retours en arrière fréquents pendant le développement ou la validation de changements (chapitre 2), tout en maintenant une vraie stratégie de sauvegarde externe (chapitre 30) pour la protection réelle des données à long terme.</w:t>
      </w:r>
    </w:p>
    <w:bookmarkEnd w:id="906"/>
    <w:bookmarkStart w:id="907" w:name="résumé-du-chapitre-35"/>
    <w:p>
      <w:pPr>
        <w:pStyle w:val="Heading2"/>
      </w:pPr>
      <w:r>
        <w:t xml:space="preserve">Résumé du chapitre</w:t>
      </w:r>
    </w:p>
    <w:p>
      <w:pPr>
        <w:pStyle w:val="Compact"/>
        <w:numPr>
          <w:ilvl w:val="0"/>
          <w:numId w:val="1831"/>
        </w:numPr>
      </w:pPr>
      <w:r>
        <w:t xml:space="preserve">Proxmox VE, construit sur Debian, combine nativement KVM (VM complètes) et LXC (conteneurs légers) dans une seule interface de gestion.</w:t>
      </w:r>
    </w:p>
    <w:p>
      <w:pPr>
        <w:pStyle w:val="Compact"/>
        <w:numPr>
          <w:ilvl w:val="0"/>
          <w:numId w:val="1831"/>
        </w:numPr>
      </w:pPr>
      <w:r>
        <w:t xml:space="preserve">Le modèle économique de Proxmox est gratuit et open source, avec une souscription de support optionnelle — un contraste direct avec les modèles de licence de VMware et Hyper-V.</w:t>
      </w:r>
    </w:p>
    <w:p>
      <w:pPr>
        <w:pStyle w:val="Compact"/>
        <w:numPr>
          <w:ilvl w:val="0"/>
          <w:numId w:val="1831"/>
        </w:numPr>
      </w:pPr>
      <w:r>
        <w:t xml:space="preserve">KVM offre une isolation complète adaptée aux services critiques ; LXC offre légèreté et rapidité, au prix d’une isolation moins stricte, limitée aux charges Linux.</w:t>
      </w:r>
    </w:p>
    <w:p>
      <w:pPr>
        <w:pStyle w:val="Compact"/>
        <w:numPr>
          <w:ilvl w:val="0"/>
          <w:numId w:val="1831"/>
        </w:numPr>
      </w:pPr>
      <w:r>
        <w:t xml:space="preserve">ZFS, largement recommandé pour Proxmox, ajoute un checksumming systématique détectant la corruption silencieuse de données, en plus de ses snapshots légers.</w:t>
      </w:r>
    </w:p>
    <w:p>
      <w:pPr>
        <w:pStyle w:val="Compact"/>
        <w:numPr>
          <w:ilvl w:val="0"/>
          <w:numId w:val="1831"/>
        </w:numPr>
      </w:pPr>
      <w:r>
        <w:t xml:space="preserve">Proxmox Backup Server complète l’écosystème avec une solution de sauvegarde dédiée, respectant les mêmes principes déjà établis au chapitre 30.</w:t>
      </w:r>
    </w:p>
    <w:p>
      <w:pPr>
        <w:pStyle w:val="Compact"/>
        <w:numPr>
          <w:ilvl w:val="0"/>
          <w:numId w:val="1831"/>
        </w:numPr>
      </w:pPr>
      <w:r>
        <w:t xml:space="preserve">La gratuité de licence ne dispense jamais de la rigueur opérationnelle habituelle (sauvegarde, surveillance, documentation, éventuel support commercial selon la criticité).</w:t>
      </w:r>
    </w:p>
    <w:bookmarkEnd w:id="907"/>
    <w:bookmarkStart w:id="908" w:name="quiz-35"/>
    <w:p>
      <w:pPr>
        <w:pStyle w:val="Heading2"/>
      </w:pPr>
      <w:r>
        <w:t xml:space="preserve">Quiz</w:t>
      </w:r>
    </w:p>
    <w:p>
      <w:pPr>
        <w:pStyle w:val="FirstParagraph"/>
      </w:pPr>
      <w:r>
        <w:t xml:space="preserve">📝 QCM (une seule bonne réponse par question)</w:t>
      </w:r>
    </w:p>
    <w:p>
      <w:pPr>
        <w:pStyle w:val="Compact"/>
        <w:numPr>
          <w:ilvl w:val="0"/>
          <w:numId w:val="1832"/>
        </w:numPr>
      </w:pPr>
      <w:r>
        <w:t xml:space="preserve">Proxmox VE est construit par-dessus :</w:t>
      </w:r>
    </w:p>
    <w:p>
      <w:pPr>
        <w:pStyle w:val="Compact"/>
        <w:numPr>
          <w:ilvl w:val="1"/>
          <w:numId w:val="1833"/>
        </w:numPr>
      </w:pPr>
    </w:p>
    <w:p>
      <w:pPr>
        <w:pStyle w:val="Compact"/>
        <w:numPr>
          <w:ilvl w:val="2"/>
          <w:numId w:val="1834"/>
        </w:numPr>
      </w:pPr>
      <w:r>
        <w:t xml:space="preserve">Windows Server</w:t>
      </w:r>
    </w:p>
    <w:p>
      <w:pPr>
        <w:pStyle w:val="Compact"/>
        <w:numPr>
          <w:ilvl w:val="1"/>
          <w:numId w:val="1833"/>
        </w:numPr>
      </w:pPr>
    </w:p>
    <w:p>
      <w:pPr>
        <w:pStyle w:val="Compact"/>
        <w:numPr>
          <w:ilvl w:val="2"/>
          <w:numId w:val="1835"/>
        </w:numPr>
      </w:pPr>
      <w:r>
        <w:t xml:space="preserve">Debian</w:t>
      </w:r>
    </w:p>
    <w:p>
      <w:pPr>
        <w:pStyle w:val="Compact"/>
        <w:numPr>
          <w:ilvl w:val="1"/>
          <w:numId w:val="1833"/>
        </w:numPr>
      </w:pPr>
    </w:p>
    <w:p>
      <w:pPr>
        <w:pStyle w:val="Compact"/>
        <w:numPr>
          <w:ilvl w:val="2"/>
          <w:numId w:val="1836"/>
        </w:numPr>
      </w:pPr>
      <w:r>
        <w:t xml:space="preserve">Rocky Linux</w:t>
      </w:r>
    </w:p>
    <w:p>
      <w:pPr>
        <w:pStyle w:val="Compact"/>
        <w:numPr>
          <w:ilvl w:val="1"/>
          <w:numId w:val="1833"/>
        </w:numPr>
      </w:pPr>
    </w:p>
    <w:p>
      <w:pPr>
        <w:pStyle w:val="Compact"/>
        <w:numPr>
          <w:ilvl w:val="2"/>
          <w:numId w:val="1837"/>
        </w:numPr>
      </w:pPr>
      <w:r>
        <w:t xml:space="preserve">macOS</w:t>
      </w:r>
    </w:p>
    <w:p>
      <w:pPr>
        <w:pStyle w:val="Compact"/>
        <w:numPr>
          <w:ilvl w:val="0"/>
          <w:numId w:val="1832"/>
        </w:numPr>
      </w:pPr>
      <w:r>
        <w:t xml:space="preserve">LXC se distingue de KVM car il :</w:t>
      </w:r>
    </w:p>
    <w:p>
      <w:pPr>
        <w:pStyle w:val="Compact"/>
        <w:numPr>
          <w:ilvl w:val="1"/>
          <w:numId w:val="1838"/>
        </w:numPr>
      </w:pPr>
    </w:p>
    <w:p>
      <w:pPr>
        <w:pStyle w:val="Compact"/>
        <w:numPr>
          <w:ilvl w:val="2"/>
          <w:numId w:val="1839"/>
        </w:numPr>
      </w:pPr>
      <w:r>
        <w:t xml:space="preserve">Offre une isolation totale avec son propre noyau</w:t>
      </w:r>
    </w:p>
    <w:p>
      <w:pPr>
        <w:pStyle w:val="Compact"/>
        <w:numPr>
          <w:ilvl w:val="1"/>
          <w:numId w:val="1838"/>
        </w:numPr>
      </w:pPr>
    </w:p>
    <w:p>
      <w:pPr>
        <w:pStyle w:val="Compact"/>
        <w:numPr>
          <w:ilvl w:val="2"/>
          <w:numId w:val="1840"/>
        </w:numPr>
      </w:pPr>
      <w:r>
        <w:t xml:space="preserve">Partage le noyau Linux de l’hôte, offrant légèreté mais isolation moindre</w:t>
      </w:r>
    </w:p>
    <w:p>
      <w:pPr>
        <w:pStyle w:val="Compact"/>
        <w:numPr>
          <w:ilvl w:val="1"/>
          <w:numId w:val="1838"/>
        </w:numPr>
      </w:pPr>
    </w:p>
    <w:p>
      <w:pPr>
        <w:pStyle w:val="Compact"/>
        <w:numPr>
          <w:ilvl w:val="2"/>
          <w:numId w:val="1841"/>
        </w:numPr>
      </w:pPr>
      <w:r>
        <w:t xml:space="preserve">Ne peut héberger que des VM Windows</w:t>
      </w:r>
    </w:p>
    <w:p>
      <w:pPr>
        <w:pStyle w:val="Compact"/>
        <w:numPr>
          <w:ilvl w:val="1"/>
          <w:numId w:val="1838"/>
        </w:numPr>
      </w:pPr>
    </w:p>
    <w:p>
      <w:pPr>
        <w:pStyle w:val="Compact"/>
        <w:numPr>
          <w:ilvl w:val="2"/>
          <w:numId w:val="1842"/>
        </w:numPr>
      </w:pPr>
      <w:r>
        <w:t xml:space="preserve">Nécessite toujours une licence payante</w:t>
      </w:r>
    </w:p>
    <w:p>
      <w:pPr>
        <w:pStyle w:val="Compact"/>
        <w:numPr>
          <w:ilvl w:val="0"/>
          <w:numId w:val="1832"/>
        </w:numPr>
      </w:pPr>
      <w:r>
        <w:t xml:space="preserve">ZFS est particulièrement apprécié pour Proxmox car il :</w:t>
      </w:r>
    </w:p>
    <w:p>
      <w:pPr>
        <w:pStyle w:val="Compact"/>
        <w:numPr>
          <w:ilvl w:val="1"/>
          <w:numId w:val="1843"/>
        </w:numPr>
      </w:pPr>
    </w:p>
    <w:p>
      <w:pPr>
        <w:pStyle w:val="Compact"/>
        <w:numPr>
          <w:ilvl w:val="2"/>
          <w:numId w:val="1844"/>
        </w:numPr>
      </w:pPr>
      <w:r>
        <w:t xml:space="preserve">Élimine totalement le besoin de sauvegardes</w:t>
      </w:r>
    </w:p>
    <w:p>
      <w:pPr>
        <w:pStyle w:val="Compact"/>
        <w:numPr>
          <w:ilvl w:val="1"/>
          <w:numId w:val="1843"/>
        </w:numPr>
      </w:pPr>
    </w:p>
    <w:p>
      <w:pPr>
        <w:pStyle w:val="Compact"/>
        <w:numPr>
          <w:ilvl w:val="2"/>
          <w:numId w:val="1845"/>
        </w:numPr>
      </w:pPr>
      <w:r>
        <w:t xml:space="preserve">Détecte et corrige automatiquement la corruption silencieuse de données</w:t>
      </w:r>
    </w:p>
    <w:p>
      <w:pPr>
        <w:pStyle w:val="Compact"/>
        <w:numPr>
          <w:ilvl w:val="1"/>
          <w:numId w:val="1843"/>
        </w:numPr>
      </w:pPr>
    </w:p>
    <w:p>
      <w:pPr>
        <w:pStyle w:val="Compact"/>
        <w:numPr>
          <w:ilvl w:val="2"/>
          <w:numId w:val="1846"/>
        </w:numPr>
      </w:pPr>
      <w:r>
        <w:t xml:space="preserve">Fonctionne uniquement sur Windows</w:t>
      </w:r>
    </w:p>
    <w:p>
      <w:pPr>
        <w:pStyle w:val="Compact"/>
        <w:numPr>
          <w:ilvl w:val="1"/>
          <w:numId w:val="1843"/>
        </w:numPr>
      </w:pPr>
    </w:p>
    <w:p>
      <w:pPr>
        <w:pStyle w:val="Compact"/>
        <w:numPr>
          <w:ilvl w:val="2"/>
          <w:numId w:val="1847"/>
        </w:numPr>
      </w:pPr>
      <w:r>
        <w:t xml:space="preserve">Remplace le besoin de RAID</w:t>
      </w:r>
    </w:p>
    <w:p>
      <w:pPr>
        <w:pStyle w:val="FirstParagraph"/>
      </w:pPr>
      <w:r>
        <w:rPr>
          <w:b/>
          <w:bCs/>
        </w:rPr>
        <w:t xml:space="preserve">Corrigé</w:t>
      </w:r>
      <w:r>
        <w:t xml:space="preserve"> </w:t>
      </w:r>
      <w:r>
        <w:t xml:space="preserve">: 1-b, 2-b, 3-b.</w:t>
      </w:r>
    </w:p>
    <w:p>
      <w:pPr>
        <w:pStyle w:val="BodyText"/>
      </w:pPr>
      <w:r>
        <w:t xml:space="preserve">📝 Vrai ou Faux</w:t>
      </w:r>
    </w:p>
    <w:p>
      <w:pPr>
        <w:pStyle w:val="Compact"/>
        <w:numPr>
          <w:ilvl w:val="0"/>
          <w:numId w:val="1848"/>
        </w:numPr>
      </w:pPr>
      <w:r>
        <w:t xml:space="preserve">Proxmox VE ne propose aucune fonctionnalité de cluster ou de migration à chaud, contrairement à VMware et Hyper-V. —</w:t>
      </w:r>
      <w:r>
        <w:t xml:space="preserve"> </w:t>
      </w:r>
      <w:r>
        <w:rPr>
          <w:b/>
          <w:bCs/>
        </w:rPr>
        <w:t xml:space="preserve">Faux</w:t>
      </w:r>
      <w:r>
        <w:t xml:space="preserve"> </w:t>
      </w:r>
      <w:r>
        <w:t xml:space="preserve">(il propose ses propres équivalents, section 36.4).</w:t>
      </w:r>
    </w:p>
    <w:p>
      <w:pPr>
        <w:pStyle w:val="Compact"/>
        <w:numPr>
          <w:ilvl w:val="0"/>
          <w:numId w:val="1848"/>
        </w:numPr>
      </w:pPr>
      <w:r>
        <w:t xml:space="preserve">LXC convient mieux qu’KVM pour héberger un contrôleur de domaine critique. —</w:t>
      </w:r>
      <w:r>
        <w:t xml:space="preserve"> </w:t>
      </w:r>
      <w:r>
        <w:rPr>
          <w:b/>
          <w:bCs/>
        </w:rPr>
        <w:t xml:space="preserve">Faux</w:t>
      </w:r>
      <w:r>
        <w:t xml:space="preserve"> </w:t>
      </w:r>
      <w:r>
        <w:t xml:space="preserve">(KVM offre une isolation plus adaptée, section 36.3).</w:t>
      </w:r>
    </w:p>
    <w:p>
      <w:pPr>
        <w:pStyle w:val="Compact"/>
        <w:numPr>
          <w:ilvl w:val="0"/>
          <w:numId w:val="1848"/>
        </w:numPr>
      </w:pPr>
      <w:r>
        <w:t xml:space="preserve">Un snapshot ZFS remplace le besoin d’une sauvegarde externe. —</w:t>
      </w:r>
      <w:r>
        <w:t xml:space="preserve"> </w:t>
      </w:r>
      <w:r>
        <w:rPr>
          <w:b/>
          <w:bCs/>
        </w:rPr>
        <w:t xml:space="preserve">Faux</w:t>
      </w:r>
      <w:r>
        <w:t xml:space="preserve"> </w:t>
      </w:r>
      <w:r>
        <w:t xml:space="preserve">(même principe que tout snapshot déjà établi dans ce manuel, section 36.5).</w:t>
      </w:r>
    </w:p>
    <w:p>
      <w:pPr>
        <w:pStyle w:val="Compact"/>
        <w:numPr>
          <w:ilvl w:val="0"/>
          <w:numId w:val="1848"/>
        </w:numPr>
      </w:pPr>
      <w:r>
        <w:t xml:space="preserve">La gratuité de Proxmox n’empêche pas de souscrire à un support commercial optionnel. —</w:t>
      </w:r>
      <w:r>
        <w:t xml:space="preserve"> </w:t>
      </w:r>
      <w:r>
        <w:rPr>
          <w:b/>
          <w:bCs/>
        </w:rPr>
        <w:t xml:space="preserve">Vrai</w:t>
      </w:r>
      <w:r>
        <w:t xml:space="preserve">.</w:t>
      </w:r>
    </w:p>
    <w:p>
      <w:pPr>
        <w:pStyle w:val="FirstParagraph"/>
      </w:pPr>
      <w:r>
        <w:t xml:space="preserve">📝 Questions ouvertes</w:t>
      </w:r>
    </w:p>
    <w:p>
      <w:pPr>
        <w:pStyle w:val="Compact"/>
        <w:numPr>
          <w:ilvl w:val="0"/>
          <w:numId w:val="1849"/>
        </w:numPr>
      </w:pPr>
      <w:r>
        <w:t xml:space="preserve">Explique pourquoi le choix entre KVM et LXC est une décision à prendre service par service, plutôt qu’un choix unique pour toute l’infrastructure Proxmox.</w:t>
      </w:r>
    </w:p>
    <w:p>
      <w:pPr>
        <w:pStyle w:val="Compact"/>
        <w:numPr>
          <w:ilvl w:val="0"/>
          <w:numId w:val="1849"/>
        </w:numPr>
      </w:pPr>
      <w:r>
        <w:t xml:space="preserve">Reprends le scénario d’ouverture. Explique pourquoi</w:t>
      </w:r>
      <w:r>
        <w:t xml:space="preserve"> </w:t>
      </w:r>
      <w:r>
        <w:t xml:space="preserve">“c’est gratuit”</w:t>
      </w:r>
      <w:r>
        <w:t xml:space="preserve"> </w:t>
      </w:r>
      <w:r>
        <w:t xml:space="preserve">ne devrait jamais être le seul argument présenté au DSI pour justifier le choix de Proxmox.</w:t>
      </w:r>
    </w:p>
    <w:p>
      <w:pPr>
        <w:pStyle w:val="FirstParagraph"/>
      </w:pPr>
      <w:r>
        <w:rPr>
          <w:b/>
          <w:bCs/>
        </w:rPr>
        <w:t xml:space="preserve">Corrigé 1</w:t>
      </w:r>
      <w:r>
        <w:t xml:space="preserve"> </w:t>
      </w:r>
      <w:r>
        <w:t xml:space="preserve">: chaque service a un profil de risque et un besoin d’isolation différents — un contrôleur de domaine critique justifie l’isolation complète de KVM, tandis qu’un service de test léger ou un outil interne peu sensible peut bénéficier pleinement de la rapidité et de la légèreté de LXC sans risque disproportionné. Imposer un choix unique pour toute l’infrastructure reviendrait soit à sur-sécuriser inutilement des services peu sensibles (gaspillage de ressources), soit à sous-sécuriser des services critiques (risque de sécurité réel) — la décision doit rester contextuelle à chaque service, exactement le même principe déjà appliqué au choix de distribution Linux (chapitre 14) ou au choix RAID (chapitre 27).</w:t>
      </w:r>
    </w:p>
    <w:p>
      <w:pPr>
        <w:pStyle w:val="BodyText"/>
      </w:pPr>
      <w:r>
        <w:rPr>
          <w:b/>
          <w:bCs/>
        </w:rPr>
        <w:t xml:space="preserve">Corrigé 2</w:t>
      </w:r>
      <w:r>
        <w:t xml:space="preserve"> </w:t>
      </w:r>
      <w:r>
        <w:t xml:space="preserve">: un argument limité à la gratuité ignorerait les vrais coûts et compromis réels — le temps de montée en compétence de l’équipe sur un nouvel écosystème, la nécessité éventuelle d’une souscription de support pour un service critique, et la responsabilité accrue de l’équipe interne pour la maintenance sans le filet de sécurité d’un support commercial systématique. Une présentation honnête au DSI doit inclure ce bilan complet (section 36.7), pas seulement l’absence de coût de licence, pour permettre une décision réellement informée plutôt qu’une décision fondée sur un seul critère incomplet.</w:t>
      </w:r>
    </w:p>
    <w:bookmarkEnd w:id="908"/>
    <w:bookmarkStart w:id="909" w:name="exercices-35"/>
    <w:p>
      <w:pPr>
        <w:pStyle w:val="Heading2"/>
      </w:pPr>
      <w:r>
        <w:t xml:space="preserve">Exercices</w:t>
      </w:r>
    </w:p>
    <w:p>
      <w:pPr>
        <w:pStyle w:val="FirstParagraph"/>
      </w:pPr>
      <w:r>
        <w:t xml:space="preserve">📝 Exercice 36.1</w:t>
      </w:r>
    </w:p>
    <w:p>
      <w:pPr>
        <w:pStyle w:val="BodyText"/>
      </w:pPr>
      <w:r>
        <w:t xml:space="preserve">Une équipe déploie un environnement de développement temporaire, destiné à être détruit après deux semaines de tests, sur Proxmox. Recommande KVM ou LXC pour ce cas précis, et justifie ta réponse.</w:t>
      </w:r>
    </w:p>
    <w:p>
      <w:pPr>
        <w:pStyle w:val="BodyText"/>
      </w:pPr>
      <w:r>
        <w:rPr>
          <w:b/>
          <w:bCs/>
        </w:rPr>
        <w:t xml:space="preserve">Corrigé :</w:t>
      </w:r>
      <w:r>
        <w:t xml:space="preserve"> </w:t>
      </w:r>
      <w:r>
        <w:t xml:space="preserve">LXC est le choix approprié pour ce cas précis — un environnement de développement temporaire et de courte durée bénéficie directement de la rapidité de déploiement et de démarrage de LXC, sans nécessiter l’isolation complète et le surcoût de performance d’une VM KVM. La nature temporaire et non critique de cet environnement (contrairement à un contrôleur de domaine ou un service de production sensible, section 36.3) rend le compromis d’isolation de LXC parfaitement acceptable ici, l’objectif principal étant la rapidité d’itération plutôt qu’une sécurité renforcée pour un environnement destiné à être détruit après seulement deux semaines.</w:t>
      </w:r>
    </w:p>
    <w:p>
      <w:pPr>
        <w:pStyle w:val="BodyText"/>
      </w:pPr>
      <w:r>
        <w:t xml:space="preserve">📝 Exercice 36.2</w:t>
      </w:r>
    </w:p>
    <w:p>
      <w:pPr>
        <w:pStyle w:val="BodyText"/>
      </w:pPr>
      <w:r>
        <w:t xml:space="preserve">Rédige, en 3 à 5 phrases, pourquoi le choix entre VMware, Hyper-V et Proxmox (chapitres 34-36) ne devrait jamais reposer sur une seule ligne directrice universelle appliquée à toute l’entreprise, en synthétisant les trois chapitres.</w:t>
      </w:r>
    </w:p>
    <w:p>
      <w:pPr>
        <w:pStyle w:val="BodyText"/>
      </w:pPr>
      <w:r>
        <w:rPr>
          <w:b/>
          <w:bCs/>
        </w:rPr>
        <w:t xml:space="preserve">Corrigé (exemple de réponse) :</w:t>
      </w:r>
      <w:r>
        <w:t xml:space="preserve"> </w:t>
      </w:r>
      <w:r>
        <w:t xml:space="preserve">Chaque hyperviseur présente un profil de compromis différent — VMware pour sa maturité et son écosystème établi malgré un coût de licence significatif (chapitre 34), Hyper-V pour son intégration native et son économie réelle si des licences Windows Server Datacenter sont déjà possédées (chapitre 35), Proxmox pour sa gratuité totale et sa flexibilité KVM/LXC combinée (ce chapitre). L’entreprise de ce manuel illustre d’ailleurs cette réalité en choisissant VMware pour ses contrôleurs de domaine les plus critiques, Hyper-V pour son second périmètre grâce à des licences déjà possédées, et Proxmox pour un site secondaire à budget plus contraint — une coexistence de plusieurs hyperviseurs justifiée par le contexte spécifique de chaque périmètre, plutôt qu’un choix unique et universel qui ignorerait ces différences réelles de contexte.</w:t>
      </w:r>
    </w:p>
    <w:bookmarkEnd w:id="909"/>
    <w:bookmarkStart w:id="910" w:name="checklist-de-fin-de-chapitre-35"/>
    <w:p>
      <w:pPr>
        <w:pStyle w:val="Heading2"/>
      </w:pPr>
      <w:r>
        <w:t xml:space="preserve">Checklist de fin de chapitre</w:t>
      </w:r>
    </w:p>
    <w:p>
      <w:pPr>
        <w:pStyle w:val="FirstParagraph"/>
      </w:pPr>
      <w:r>
        <w:t xml:space="preserve">☐ Je comprends que Proxmox VE est construit sur Debian, combinant KVM et LXC nativement.</w:t>
      </w:r>
    </w:p>
    <w:p>
      <w:pPr>
        <w:pStyle w:val="BodyText"/>
      </w:pPr>
      <w:r>
        <w:t xml:space="preserve">☐ Je sais distinguer KVM (VM complète, isolation totale) de LXC (conteneur léger, isolation partielle).</w:t>
      </w:r>
    </w:p>
    <w:p>
      <w:pPr>
        <w:pStyle w:val="BodyText"/>
      </w:pPr>
      <w:r>
        <w:t xml:space="preserve">☐ Je comprends le modèle économique de Proxmox (gratuit, support optionnel) et ses implications.</w:t>
      </w:r>
    </w:p>
    <w:p>
      <w:pPr>
        <w:pStyle w:val="BodyText"/>
      </w:pPr>
      <w:r>
        <w:t xml:space="preserve">☐ Je connais l’intérêt de ZFS pour l’intégrité des données (checksumming) au-delà du simple RAID.</w:t>
      </w:r>
    </w:p>
    <w:p>
      <w:pPr>
        <w:pStyle w:val="BodyText"/>
      </w:pPr>
      <w:r>
        <w:t xml:space="preserve">☐ Je sais pourquoi un snapshot ZFS ne remplace jamais une sauvegarde externe.</w:t>
      </w:r>
    </w:p>
    <w:p>
      <w:pPr>
        <w:pStyle w:val="BodyText"/>
      </w:pPr>
      <w:r>
        <w:t xml:space="preserve">☐ Je sais choisir entre KVM et LXC selon la criticité et la sensibilité d’un service donné.</w:t>
      </w:r>
    </w:p>
    <w:bookmarkEnd w:id="910"/>
    <w:bookmarkStart w:id="911" w:name="faq-35"/>
    <w:p>
      <w:pPr>
        <w:pStyle w:val="Heading2"/>
      </w:pPr>
      <w:r>
        <w:t xml:space="preserve">FAQ</w:t>
      </w:r>
    </w:p>
    <w:p>
      <w:pPr>
        <w:pStyle w:val="FirstParagraph"/>
      </w:pPr>
      <w:r>
        <w:t xml:space="preserve">Proxmox peut-il cohabiter avec VMware et Hyper-V dans la même infrastructure, comme le suggère ce manuel ?</w:t>
      </w:r>
    </w:p>
    <w:p>
      <w:pPr>
        <w:pStyle w:val="BodyText"/>
      </w:pPr>
      <w:r>
        <w:t xml:space="preserve">Oui, techniquement chaque hyperviseur gère son propre périmètre d’hôtes indépendamment — la cohabitation est courante en pratique, avec la même exigence de documentation claire déjà évoquée au chapitre 35 pour éviter la confusion entre écosystèmes différents.</w:t>
      </w:r>
    </w:p>
    <w:p>
      <w:pPr>
        <w:pStyle w:val="BodyText"/>
      </w:pPr>
      <w:r>
        <w:t xml:space="preserve">Peut-on migrer une VM existante de VMware ou Hyper-V vers Proxmox ?</w:t>
      </w:r>
    </w:p>
    <w:p>
      <w:pPr>
        <w:pStyle w:val="BodyText"/>
      </w:pPr>
      <w:r>
        <w:t xml:space="preserve">Oui, des outils et des procédures existent pour ce type de migration, mais rarement de façon totalement transparente — le sujet est approfondi au chapitre 38 (migration et interopérabilité entre hyperviseurs), qui couvre les défis réels de ce type d’opération quel que soit le sens de la migration.</w:t>
      </w:r>
    </w:p>
    <w:p>
      <w:pPr>
        <w:pStyle w:val="BodyText"/>
      </w:pPr>
      <w:r>
        <w:t xml:space="preserve">LXC est-il comparable aux conteneurs Docker déjà mentionnés dans ce manuel ?</w:t>
      </w:r>
    </w:p>
    <w:p>
      <w:pPr>
        <w:pStyle w:val="BodyText"/>
      </w:pPr>
      <w:r>
        <w:t xml:space="preserve">Les deux reposent sur des principes de conteneurisation Linux proches (partage du noyau de l’hôte), mais avec des philosophies différentes : LXC vise à conteneuriser un système Linux complet (proche d’une VM légère), tandis que Docker (Partie 7) vise à conteneuriser une application unique — une distinction approfondie au chapitre 39.</w:t>
      </w:r>
    </w:p>
    <w:p>
      <w:pPr>
        <w:pStyle w:val="BodyText"/>
      </w:pPr>
      <w:r>
        <w:t xml:space="preserve">ZFS est-il obligatoire pour utiliser Proxmox ?</w:t>
      </w:r>
    </w:p>
    <w:p>
      <w:pPr>
        <w:pStyle w:val="BodyText"/>
      </w:pPr>
      <w:r>
        <w:t xml:space="preserve">Non, Proxmox supporte plusieurs systèmes de fichiers et technologies de stockage (LVM classique, ext4, Ceph pour du stockage distribué à plus grande échelle) — ZFS reste une recommandation forte pour ses bénéfices d’intégrité des données, pas une obligation technique absolue.</w:t>
      </w:r>
    </w:p>
    <w:bookmarkEnd w:id="911"/>
    <w:bookmarkStart w:id="914" w:name="références-et-pour-aller-plus-loin-35"/>
    <w:p>
      <w:pPr>
        <w:pStyle w:val="Heading2"/>
      </w:pPr>
      <w:r>
        <w:t xml:space="preserve">Références et pour aller plus loin</w:t>
      </w:r>
    </w:p>
    <w:p>
      <w:pPr>
        <w:pStyle w:val="Compact"/>
        <w:numPr>
          <w:ilvl w:val="0"/>
          <w:numId w:val="1850"/>
        </w:numPr>
      </w:pPr>
      <w:r>
        <w:t xml:space="preserve">Documentation officielle Proxmox VE :</w:t>
      </w:r>
      <w:r>
        <w:t xml:space="preserve"> </w:t>
      </w:r>
      <w:hyperlink r:id="rId838">
        <w:r>
          <w:rPr>
            <w:rStyle w:val="Hyperlink"/>
          </w:rPr>
          <w:t xml:space="preserve">https://pve.proxmox.com/pve-docs/</w:t>
        </w:r>
      </w:hyperlink>
    </w:p>
    <w:p>
      <w:pPr>
        <w:pStyle w:val="Compact"/>
        <w:numPr>
          <w:ilvl w:val="0"/>
          <w:numId w:val="1850"/>
        </w:numPr>
      </w:pPr>
      <w:r>
        <w:t xml:space="preserve">Documentation officielle ZFS on Linux :</w:t>
      </w:r>
      <w:r>
        <w:t xml:space="preserve"> </w:t>
      </w:r>
      <w:hyperlink r:id="rId912">
        <w:r>
          <w:rPr>
            <w:rStyle w:val="Hyperlink"/>
          </w:rPr>
          <w:t xml:space="preserve">https://openzfs.github.io/openzfs-docs/</w:t>
        </w:r>
      </w:hyperlink>
    </w:p>
    <w:p>
      <w:pPr>
        <w:pStyle w:val="Compact"/>
        <w:numPr>
          <w:ilvl w:val="0"/>
          <w:numId w:val="1850"/>
        </w:numPr>
      </w:pPr>
      <w:r>
        <w:t xml:space="preserve">Documentation officielle Proxmox Backup Server :</w:t>
      </w:r>
      <w:r>
        <w:t xml:space="preserve"> </w:t>
      </w:r>
      <w:hyperlink r:id="rId913">
        <w:r>
          <w:rPr>
            <w:rStyle w:val="Hyperlink"/>
          </w:rPr>
          <w:t xml:space="preserve">https://pbs.proxmox.com/docs/</w:t>
        </w:r>
      </w:hyperlink>
    </w:p>
    <w:p>
      <w:pPr>
        <w:pStyle w:val="FirstParagraph"/>
      </w:pPr>
      <w:r>
        <w:rPr>
          <w:i/>
          <w:iCs/>
        </w:rPr>
        <w:t xml:space="preserve">Chapitre suivant : VirtualBox — l’hyperviseur de Type 2 destiné à l’apprentissage et aux tests personnels, complétant le panorama de la virtualisation avant d’aborder la migration entre hyperviseurs.</w:t>
      </w:r>
    </w:p>
    <w:p>
      <w:pPr>
        <w:pStyle w:val="BodyText"/>
      </w:pPr>
      <w:r>
        <w:t xml:space="preserve">CHAPITRE 37</w:t>
      </w:r>
    </w:p>
    <w:bookmarkEnd w:id="914"/>
    <w:bookmarkEnd w:id="915"/>
    <w:bookmarkStart w:id="936" w:name="virtualbox-pour-le-lab-et-les-tests"/>
    <w:p>
      <w:pPr>
        <w:pStyle w:val="Heading1"/>
      </w:pPr>
      <w:r>
        <w:t xml:space="preserve">VirtualBox pour le lab et les tests</w:t>
      </w:r>
    </w:p>
    <w:p>
      <w:pPr>
        <w:pStyle w:val="FirstParagraph"/>
      </w:pPr>
      <w:r>
        <w:t xml:space="preserve">🎯 Objectif du chapitre</w:t>
      </w:r>
      <w:r>
        <w:t xml:space="preserve"> </w:t>
      </w:r>
      <w:r>
        <w:t xml:space="preserve">Comprendre la place légitime de VirtualBox, un hyperviseur de Type 2 (chapitre 33), dans un parcours d’apprentissage et dans une pratique professionnelle rigoureuse — jamais en production, mais comme outil indispensable pour apprendre, tester et reproduire un problème avant de toucher un système réel. À la fin de ce chapitre, tu sauras construire un petit laboratoire personnel reproduisant les briques essentielles de ce manuel, et comprendre les types de réseaux virtuels disponibles.</w:t>
      </w:r>
    </w:p>
    <w:p>
      <w:pPr>
        <w:pStyle w:val="BodyText"/>
      </w:pPr>
      <w:r>
        <w:t xml:space="preserve">🎬 Mise en situation</w:t>
      </w:r>
      <w:r>
        <w:t xml:space="preserve"> </w:t>
      </w:r>
      <w:r>
        <w:t xml:space="preserve">Un nouveau collègue junior rejoint l’équipe infrastructure — la même situation que celle vécue par le lecteur de ce manuel au chapitre 1. Avant de lui donner un accès, même limité, aux systèmes de production (bastion, chapitre 4), le DSI insiste :</w:t>
      </w:r>
      <w:r>
        <w:t xml:space="preserve"> </w:t>
      </w:r>
      <w:r>
        <w:t xml:space="preserve">“Je veux qu’il puisse s’entraîner, se tromper, recommencer, sans jamais risquer de casser quoi que ce soit de réel.”</w:t>
      </w:r>
      <w:r>
        <w:t xml:space="preserve"> </w:t>
      </w:r>
      <w:r>
        <w:t xml:space="preserve">Sur son propre poste de travail, sans budget matériel supplémentaire ni accès à l’infrastructure de production, ce collègue a besoin d’un espace d’expérimentation totalement sûr. C’est exactement le rôle de VirtualBox — l’objet de ce chapitre, qui clôt le tour d’horizon des hyperviseurs par celui destiné non pas à la production, mais à l’apprentissage.</w:t>
      </w:r>
    </w:p>
    <w:bookmarkStart w:id="916" w:name="X04dec3a3f11b283ad0f1f60ee55ab7462ad1416"/>
    <w:p>
      <w:pPr>
        <w:pStyle w:val="Heading2"/>
      </w:pPr>
      <w:r>
        <w:t xml:space="preserve">37.1 VirtualBox : le bon outil pour le bon usage</w:t>
      </w:r>
    </w:p>
    <w:p>
      <w:pPr>
        <w:pStyle w:val="FirstParagraph"/>
      </w:pPr>
      <w:r>
        <w:t xml:space="preserve">📌 À retenir — rappel direct du chapitre 33</w:t>
      </w:r>
      <w:r>
        <w:t xml:space="preserve"> </w:t>
      </w:r>
      <w:r>
        <w:t xml:space="preserve">VirtualBox est un hyperviseur de</w:t>
      </w:r>
      <w:r>
        <w:t xml:space="preserve"> </w:t>
      </w:r>
      <w:r>
        <w:rPr>
          <w:b/>
          <w:bCs/>
        </w:rPr>
        <w:t xml:space="preserve">Type 2</w:t>
      </w:r>
      <w:r>
        <w:t xml:space="preserve"> </w:t>
      </w:r>
      <w:r>
        <w:t xml:space="preserve">: il s’installe comme une application classique par-dessus un système d’exploitation existant (Windows, macOS, Linux), contrairement aux hyperviseurs de Type 1 des chapitres 34 à 36. Cette différence n’est pas un défaut à corriger — c’est exactement ce qui rend VirtualBox adapté à son usage principal : cohabiter avec les autres logiciels du poste de travail personnel d’un collègue, sans dédier une machine entière à la virtualisation.</w:t>
      </w:r>
    </w:p>
    <w:bookmarkEnd w:id="916"/>
    <w:bookmarkStart w:id="917" w:name="les-cas-dusage-légitimes-de-virtualbox"/>
    <w:p>
      <w:pPr>
        <w:pStyle w:val="Heading2"/>
      </w:pPr>
      <w:r>
        <w:t xml:space="preserve">37.2 Les cas d’usage légitimes de VirtualBox</w:t>
      </w:r>
    </w:p>
    <w:p>
      <w:pPr>
        <w:pStyle w:val="FirstParagraph"/>
      </w:pPr>
      <w:r>
        <w:t xml:space="preserve">💡 Trois usages professionnels réels, pas seulement</w:t>
      </w:r>
      <w:r>
        <w:t xml:space="preserve"> </w:t>
      </w:r>
      <w:r>
        <w:t xml:space="preserve">“pour s’amuser”</w:t>
      </w:r>
      <w:r>
        <w:t xml:space="preserve"> </w:t>
      </w:r>
      <w:r>
        <w:t xml:space="preserve">-</w:t>
      </w:r>
      <w:r>
        <w:t xml:space="preserve"> </w:t>
      </w:r>
      <w:r>
        <w:rPr>
          <w:b/>
          <w:bCs/>
        </w:rPr>
        <w:t xml:space="preserve">Apprentissage</w:t>
      </w:r>
      <w:r>
        <w:t xml:space="preserve"> </w:t>
      </w:r>
      <w:r>
        <w:t xml:space="preserve">: exactement le besoin du scénario d’ouverture — pratiquer les concepts de ce manuel sans aucun risque pour des systèmes réels.</w:t>
      </w:r>
      <w:r>
        <w:t xml:space="preserve"> </w:t>
      </w:r>
      <w:r>
        <w:t xml:space="preserve">-</w:t>
      </w:r>
      <w:r>
        <w:t xml:space="preserve"> </w:t>
      </w:r>
      <w:r>
        <w:rPr>
          <w:b/>
          <w:bCs/>
        </w:rPr>
        <w:t xml:space="preserve">Test avant production</w:t>
      </w:r>
      <w:r>
        <w:t xml:space="preserve"> </w:t>
      </w:r>
      <w:r>
        <w:t xml:space="preserve">: valider un changement risqué (une mise à jour WSUS, chapitre 12, ou une nouvelle GPO, chapitre 7) sur une réplique miniature avant de l’appliquer selon le processus de changement du chapitre 2, en complément — jamais en remplacement — d’un vrai environnement de test de pré-production.</w:t>
      </w:r>
      <w:r>
        <w:t xml:space="preserve"> </w:t>
      </w:r>
      <w:r>
        <w:t xml:space="preserve">-</w:t>
      </w:r>
      <w:r>
        <w:t xml:space="preserve"> </w:t>
      </w:r>
      <w:r>
        <w:rPr>
          <w:b/>
          <w:bCs/>
        </w:rPr>
        <w:t xml:space="preserve">Reproduction d’un bug</w:t>
      </w:r>
      <w:r>
        <w:t xml:space="preserve"> </w:t>
      </w:r>
      <w:r>
        <w:t xml:space="preserve">: recréer les conditions précises d’un incident (une version d’OS spécifique, une configuration particulière) pour le diagnostiquer méthodiquement, sans perturber le système de production concerné pendant l’investigation.</w:t>
      </w:r>
    </w:p>
    <w:bookmarkEnd w:id="917"/>
    <w:bookmarkStart w:id="918" w:name="X073955cd77cd9f01db895dff0da1849861a8446"/>
    <w:p>
      <w:pPr>
        <w:pStyle w:val="Heading2"/>
      </w:pPr>
      <w:r>
        <w:t xml:space="preserve">37.3 Snapshots VirtualBox : ici, un usage parfaitement légitime</w:t>
      </w:r>
    </w:p>
    <w:p>
      <w:pPr>
        <w:pStyle w:val="FirstParagraph"/>
      </w:pPr>
      <w:r>
        <w:t xml:space="preserve">✅ Une nuance importante par rapport aux avertissements précédents de ce manuel</w:t>
      </w:r>
      <w:r>
        <w:t xml:space="preserve"> </w:t>
      </w:r>
      <w:r>
        <w:t xml:space="preserve">Les chapitres précédents (28, 33, 36) ont répété qu’un snapshot ne remplace jamais une sauvegarde — un principe qui reste entièrement vrai. Mais dans un contexte de</w:t>
      </w:r>
      <w:r>
        <w:t xml:space="preserve"> </w:t>
      </w:r>
      <w:r>
        <w:rPr>
          <w:b/>
          <w:bCs/>
        </w:rPr>
        <w:t xml:space="preserve">laboratoire d’apprentissage</w:t>
      </w:r>
      <w:r>
        <w:t xml:space="preserve">, l’usage des snapshots change de nature : ici, l’objectif n’est jamais de protéger des données réelles à long terme, mais de pouvoir</w:t>
      </w:r>
      <w:r>
        <w:t xml:space="preserve"> </w:t>
      </w:r>
      <w:r>
        <w:rPr>
          <w:b/>
          <w:bCs/>
        </w:rPr>
        <w:t xml:space="preserve">revenir en arrière rapidement</w:t>
      </w:r>
      <w:r>
        <w:t xml:space="preserve"> </w:t>
      </w:r>
      <w:r>
        <w:t xml:space="preserve">après une expérimentation ratée volontaire — casser délibérément une configuration pour apprendre à la réparer, par exemple, puis revenir à un état propre pour recommencer. C’est exactement l’usage pour lequel un snapshot est parfaitement adapté, sans aucune confusion possible avec une stratégie de sauvegarde puisqu’aucune donnée réelle n’est en jeu.</w:t>
      </w:r>
    </w:p>
    <w:bookmarkEnd w:id="918"/>
    <w:bookmarkStart w:id="919" w:name="les-types-de-réseaux-virtuels-virtualbox"/>
    <w:p>
      <w:pPr>
        <w:pStyle w:val="Heading2"/>
      </w:pPr>
      <w:r>
        <w:t xml:space="preserve">37.4 Les types de réseaux virtuels VirtualBox</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Type de réseau</w:t>
            </w:r>
          </w:p>
        </w:tc>
        <w:tc>
          <w:tcPr/>
          <w:p>
            <w:pPr>
              <w:pStyle w:val="Compact"/>
            </w:pPr>
            <w:r>
              <w:t xml:space="preserve">Comportement</w:t>
            </w:r>
          </w:p>
        </w:tc>
      </w:tr>
      <w:tr>
        <w:tc>
          <w:tcPr/>
          <w:p>
            <w:pPr>
              <w:pStyle w:val="Compact"/>
            </w:pPr>
            <w:r>
              <w:rPr>
                <w:b/>
                <w:bCs/>
              </w:rPr>
              <w:t xml:space="preserve">NAT</w:t>
            </w:r>
          </w:p>
        </w:tc>
        <w:tc>
          <w:tcPr/>
          <w:p>
            <w:pPr>
              <w:pStyle w:val="Compact"/>
            </w:pPr>
            <w:r>
              <w:t xml:space="preserve">La VM accède à Internet via l’hôte, mais reste invisible et inaccessible depuis le réseau local — le mode par défaut, le plus sûr pour un premier lab</w:t>
            </w:r>
          </w:p>
        </w:tc>
      </w:tr>
      <w:tr>
        <w:tc>
          <w:tcPr/>
          <w:p>
            <w:pPr>
              <w:pStyle w:val="Compact"/>
            </w:pPr>
            <w:r>
              <w:rPr>
                <w:b/>
                <w:bCs/>
              </w:rPr>
              <w:t xml:space="preserve">Bridged</w:t>
            </w:r>
            <w:r>
              <w:t xml:space="preserve"> </w:t>
            </w:r>
            <w:r>
              <w:t xml:space="preserve">(Pont)</w:t>
            </w:r>
          </w:p>
        </w:tc>
        <w:tc>
          <w:tcPr/>
          <w:p>
            <w:pPr>
              <w:pStyle w:val="Compact"/>
            </w:pPr>
            <w:r>
              <w:t xml:space="preserve">La VM apparaît comme une machine à part entière sur le réseau local de l’hôte, avec sa propre adresse IP visible</w:t>
            </w:r>
          </w:p>
        </w:tc>
      </w:tr>
      <w:tr>
        <w:tc>
          <w:tcPr/>
          <w:p>
            <w:pPr>
              <w:pStyle w:val="Compact"/>
            </w:pPr>
            <w:r>
              <w:rPr>
                <w:b/>
                <w:bCs/>
              </w:rPr>
              <w:t xml:space="preserve">Host-only</w:t>
            </w:r>
          </w:p>
        </w:tc>
        <w:tc>
          <w:tcPr/>
          <w:p>
            <w:pPr>
              <w:pStyle w:val="Compact"/>
            </w:pPr>
            <w:r>
              <w:t xml:space="preserve">La VM communique uniquement avec l’hôte et d’autres VM en Host-only, jamais avec le réseau local ni Internet — idéal pour un lab totalement isolé</w:t>
            </w:r>
          </w:p>
        </w:tc>
      </w:tr>
      <w:tr>
        <w:tc>
          <w:tcPr/>
          <w:p>
            <w:pPr>
              <w:pStyle w:val="Compact"/>
            </w:pPr>
            <w:r>
              <w:rPr>
                <w:b/>
                <w:bCs/>
              </w:rPr>
              <w:t xml:space="preserve">Internal</w:t>
            </w:r>
          </w:p>
        </w:tc>
        <w:tc>
          <w:tcPr/>
          <w:p>
            <w:pPr>
              <w:pStyle w:val="Compact"/>
            </w:pPr>
            <w:r>
              <w:t xml:space="preserve">Les VM communiquent uniquement entre elles, même pas avec l’hôte — un réseau totalement fermé</w:t>
            </w:r>
          </w:p>
        </w:tc>
      </w:tr>
    </w:tbl>
    <w:p>
      <w:pPr>
        <w:pStyle w:val="BodyText"/>
      </w:pPr>
      <w:r>
        <w:t xml:space="preserve">🔒 Sécurité — choisir le réseau selon le besoin réel du lab</w:t>
      </w:r>
      <w:r>
        <w:t xml:space="preserve"> </w:t>
      </w:r>
      <w:r>
        <w:t xml:space="preserve">Pour reconstituer un petit Active Directory de laboratoire (comme dans l’atelier de ce chapitre), le mode</w:t>
      </w:r>
      <w:r>
        <w:t xml:space="preserve"> </w:t>
      </w:r>
      <w:r>
        <w:rPr>
          <w:b/>
          <w:bCs/>
        </w:rPr>
        <w:t xml:space="preserve">Host-only</w:t>
      </w:r>
      <w:r>
        <w:t xml:space="preserve"> </w:t>
      </w:r>
      <w:r>
        <w:t xml:space="preserve">ou</w:t>
      </w:r>
      <w:r>
        <w:t xml:space="preserve"> </w:t>
      </w:r>
      <w:r>
        <w:rPr>
          <w:b/>
          <w:bCs/>
        </w:rPr>
        <w:t xml:space="preserve">Internal</w:t>
      </w:r>
      <w:r>
        <w:t xml:space="preserve"> </w:t>
      </w:r>
      <w:r>
        <w:t xml:space="preserve">est généralement préférable au mode Bridged : il évite qu’un service de test (comme un serveur DHCP de laboratoire, chapitre 10) n’entre accidentellement en conflit avec le réseau réel de l’entreprise si le lab tourne sur le même poste de travail connecté au réseau professionnel — un risque réel et documenté, où un DHCP de test mal isolé peut perturber tout un réseau de production.</w:t>
      </w:r>
    </w:p>
    <w:bookmarkEnd w:id="919"/>
    <w:bookmarkStart w:id="920" w:name="X9807d0efaaf54e76544c43ecbb5e04b118ca0e1"/>
    <w:p>
      <w:pPr>
        <w:pStyle w:val="Heading2"/>
      </w:pPr>
      <w:r>
        <w:t xml:space="preserve">37.5 Construire un mini-lab reproduisant l’infrastructure de ce manuel</w:t>
      </w:r>
    </w:p>
    <w:p>
      <w:pPr>
        <w:pStyle w:val="FirstParagraph"/>
      </w:pPr>
      <w:r>
        <w:t xml:space="preserve">💡 Un lab minimal, mais représentatif</w:t>
      </w:r>
      <w:r>
        <w:t xml:space="preserve"> </w:t>
      </w:r>
      <w:r>
        <w:t xml:space="preserve">Un laboratoire d’apprentissage efficace n’a pas besoin de reproduire l’intégralité de l’infrastructure de ce manuel — un contrôleur de domaine Windows Server (chapitre 5), un serveur Linux (chapitre 14) rejoint au domaine via SSSD (chapitre 22), et un poste client Windows suffisent largement à pratiquer la grande majorité des concepts des Parties 2 à 4 : création d’utilisateurs et de GPO (chapitre 7), gestion de paquets (chapitre 15), permissions (chapitre 18), et même la reproduction volontaire du piège</w:t>
      </w:r>
      <w:r>
        <w:t xml:space="preserve"> </w:t>
      </w:r>
      <w:r>
        <w:t xml:space="preserve">“Clock skew too great”</w:t>
      </w:r>
      <w:r>
        <w:t xml:space="preserve"> </w:t>
      </w:r>
      <w:r>
        <w:t xml:space="preserve">(chapitre 23) en désynchronisant intentionnellement l’horloge d’une VM.</w:t>
      </w:r>
    </w:p>
    <w:bookmarkEnd w:id="920"/>
    <w:bookmarkStart w:id="921" w:name="la-limite-absolue-jamais-en-production"/>
    <w:p>
      <w:pPr>
        <w:pStyle w:val="Heading2"/>
      </w:pPr>
      <w:r>
        <w:t xml:space="preserve">37.6 La limite absolue : jamais en production</w:t>
      </w:r>
    </w:p>
    <w:p>
      <w:pPr>
        <w:pStyle w:val="FirstParagraph"/>
      </w:pPr>
      <w:r>
        <w:t xml:space="preserve">⚠️ Rappel direct et sans exception du chapitre 33</w:t>
      </w:r>
      <w:r>
        <w:t xml:space="preserve"> </w:t>
      </w:r>
      <w:r>
        <w:t xml:space="preserve">Quelle que soit la pression budgétaire ou temporelle, VirtualBox ne doit</w:t>
      </w:r>
      <w:r>
        <w:t xml:space="preserve"> </w:t>
      </w:r>
      <w:r>
        <w:rPr>
          <w:b/>
          <w:bCs/>
        </w:rPr>
        <w:t xml:space="preserve">jamais</w:t>
      </w:r>
      <w:r>
        <w:t xml:space="preserve"> </w:t>
      </w:r>
      <w:r>
        <w:t xml:space="preserve">héberger une charge de travail de production réelle — les hyperviseurs de Type 1 (chapitres 34-36) restent la seule option légitime pour ce périmètre, pour des raisons de performance et de fiabilité déjà détaillées au chapitre 33. Un lab VirtualBox qui</w:t>
      </w:r>
      <w:r>
        <w:t xml:space="preserve"> </w:t>
      </w:r>
      <w:r>
        <w:t xml:space="preserve">“fonctionne si bien qu’on pourrait presque l’utiliser en vrai”</w:t>
      </w:r>
      <w:r>
        <w:t xml:space="preserve"> </w:t>
      </w:r>
      <w:r>
        <w:t xml:space="preserve">est un piège à éviter consciemment, pas un raccourci économique acceptable.</w:t>
      </w:r>
    </w:p>
    <w:bookmarkEnd w:id="921"/>
    <w:bookmarkStart w:id="922" w:name="X1015a97ca2b75e5191adc4fe1e825dc51ff45fb"/>
    <w:p>
      <w:pPr>
        <w:pStyle w:val="Heading2"/>
      </w:pPr>
      <w:r>
        <w:t xml:space="preserve">Atelier — Concevoir le lab d’apprentissage du nouveau collègue</w:t>
      </w:r>
    </w:p>
    <w:p>
      <w:pPr>
        <w:pStyle w:val="FirstParagraph"/>
      </w:pPr>
      <w:r>
        <w:t xml:space="preserve">🛠️ Atelier 37 — Bâtir un environnement de pratique sûr</w:t>
      </w:r>
    </w:p>
    <w:p>
      <w:pPr>
        <w:pStyle w:val="BodyText"/>
      </w:pPr>
      <w:r>
        <w:rPr>
          <w:b/>
          <w:bCs/>
        </w:rPr>
        <w:t xml:space="preserve">Objectif</w:t>
      </w:r>
      <w:r>
        <w:t xml:space="preserve"> </w:t>
      </w:r>
      <w:r>
        <w:t xml:space="preserve">: concevoir un lab VirtualBox permettant au collègue junior du scénario d’ouverture de pratiquer les concepts essentiels de ce manuel sans risque.</w:t>
      </w:r>
    </w:p>
    <w:p>
      <w:pPr>
        <w:pStyle w:val="BodyText"/>
      </w:pPr>
      <w:r>
        <w:rPr>
          <w:b/>
          <w:bCs/>
        </w:rPr>
        <w:t xml:space="preserve">Préparation</w:t>
      </w:r>
      <w:r>
        <w:t xml:space="preserve"> </w:t>
      </w:r>
      <w:r>
        <w:t xml:space="preserve">: aucune installation nécessaire pour cet atelier conceptuel, ou VirtualBox réellement installé pour le pratiquer.</w:t>
      </w:r>
    </w:p>
    <w:p>
      <w:pPr>
        <w:pStyle w:val="BodyText"/>
      </w:pPr>
      <w:r>
        <w:rPr>
          <w:b/>
          <w:bCs/>
        </w:rPr>
        <w:t xml:space="preserve">Étapes détaillées</w:t>
      </w:r>
      <w:r>
        <w:t xml:space="preserve"> </w:t>
      </w:r>
      <w:r>
        <w:t xml:space="preserve">:</w:t>
      </w:r>
    </w:p>
    <w:p>
      <w:pPr>
        <w:pStyle w:val="Compact"/>
        <w:numPr>
          <w:ilvl w:val="0"/>
          <w:numId w:val="1851"/>
        </w:numPr>
      </w:pPr>
      <w:r>
        <w:t xml:space="preserve">Liste les VM minimales nécessaires pour ce lab, en t’appuyant sur la section 37.5.</w:t>
      </w:r>
    </w:p>
    <w:p>
      <w:pPr>
        <w:pStyle w:val="Compact"/>
        <w:numPr>
          <w:ilvl w:val="0"/>
          <w:numId w:val="1851"/>
        </w:numPr>
      </w:pPr>
      <w:r>
        <w:t xml:space="preserve">Choisis un type de réseau virtuel adapté, en justifiant ton choix à partir de la section 37.4.</w:t>
      </w:r>
    </w:p>
    <w:p>
      <w:pPr>
        <w:pStyle w:val="Compact"/>
        <w:numPr>
          <w:ilvl w:val="0"/>
          <w:numId w:val="1851"/>
        </w:numPr>
      </w:pPr>
      <w:r>
        <w:t xml:space="preserve">Propose un exercice pratique concret que ce lab permettrait de réaliser en toute sécurité, en référençant un chapitre précédent de ce manuel.</w:t>
      </w:r>
    </w:p>
    <w:p>
      <w:pPr>
        <w:pStyle w:val="Compact"/>
        <w:numPr>
          <w:ilvl w:val="0"/>
          <w:numId w:val="1851"/>
        </w:numPr>
      </w:pPr>
      <w:r>
        <w:t xml:space="preserve">Compare ta démarche à la section</w:t>
      </w:r>
      <w:r>
        <w:t xml:space="preserve"> </w:t>
      </w:r>
      <w:r>
        <w:t xml:space="preserve">“Résultat attendu”</w:t>
      </w:r>
      <w:r>
        <w:t xml:space="preserve">.</w:t>
      </w:r>
    </w:p>
    <w:p>
      <w:pPr>
        <w:pStyle w:val="FirstParagraph"/>
      </w:pPr>
      <w:r>
        <w:rPr>
          <w:b/>
          <w:bCs/>
        </w:rPr>
        <w:t xml:space="preserve">Résultat attendu</w:t>
      </w:r>
      <w:r>
        <w:t xml:space="preserve"> </w:t>
      </w:r>
      <w:r>
        <w:t xml:space="preserve">: un contrôleur de domaine, un serveur Linux et un poste client suffisent. Le mode Host-only ou Internal (section 37.4) protège le réseau réel de l’entreprise de toute interférence accidentelle. Un exercice concret pourrait être de reproduire volontairement le piège</w:t>
      </w:r>
      <w:r>
        <w:t xml:space="preserve"> </w:t>
      </w:r>
      <w:r>
        <w:t xml:space="preserve">“Clock skew too great”</w:t>
      </w:r>
      <w:r>
        <w:t xml:space="preserve"> </w:t>
      </w:r>
      <w:r>
        <w:t xml:space="preserve">(chapitre 23) en désynchronisant l’horloge d’une VM cliente, observer l’erreur, puis la corriger — un apprentissage par la pratique bien plus efficace et mémorable qu’une lecture seule, réalisable sans aucun risque pour l’infrastructure réelle.</w:t>
      </w:r>
    </w:p>
    <w:p>
      <w:pPr>
        <w:pStyle w:val="BodyText"/>
      </w:pPr>
      <w:r>
        <w:rPr>
          <w:b/>
          <w:bCs/>
        </w:rPr>
        <w:t xml:space="preserve">Dépannage</w:t>
      </w:r>
      <w:r>
        <w:t xml:space="preserve"> </w:t>
      </w:r>
      <w:r>
        <w:t xml:space="preserve">: si les ressources du poste de travail personnel du collègue sont limitées, réduis le nombre de VM simultanées ou leur allocation de vRAM (rappel du chapitre 33 sur les composants virtuels) — un lab d’apprentissage n’a pas besoin des mêmes performances qu’un environnement de production, l’objectif étant la compréhension conceptuelle, pas la vitesse d’exécution.</w:t>
      </w:r>
    </w:p>
    <w:bookmarkEnd w:id="922"/>
    <w:bookmarkStart w:id="923" w:name="erreurs-fréquentes-36"/>
    <w:p>
      <w:pPr>
        <w:pStyle w:val="Heading2"/>
      </w:pPr>
      <w:r>
        <w:t xml:space="preserve">Erreurs fréquentes</w:t>
      </w:r>
    </w:p>
    <w:p>
      <w:pPr>
        <w:pStyle w:val="FirstParagraph"/>
      </w:pPr>
      <w:r>
        <w:t xml:space="preserve">⚠️ Erreur n°1 — utiliser VirtualBox pour une charge de travail de production</w:t>
      </w:r>
      <w:r>
        <w:t xml:space="preserve"> </w:t>
      </w:r>
      <w:r>
        <w:t xml:space="preserve">“temporairement”</w:t>
      </w:r>
      <w:r>
        <w:t xml:space="preserve"> </w:t>
      </w:r>
      <w:r>
        <w:t xml:space="preserve">Rappel de la section 37.6 : ce</w:t>
      </w:r>
      <w:r>
        <w:t xml:space="preserve"> </w:t>
      </w:r>
      <w:r>
        <w:t xml:space="preserve">“temporaire”</w:t>
      </w:r>
      <w:r>
        <w:t xml:space="preserve"> </w:t>
      </w:r>
      <w:r>
        <w:t xml:space="preserve">a une fâcheuse tendance à devenir permanent par inertie, un piège budgétaire à éviter dès le départ plutôt qu’à corriger après coup.</w:t>
      </w:r>
    </w:p>
    <w:p>
      <w:pPr>
        <w:pStyle w:val="BodyText"/>
      </w:pPr>
      <w:r>
        <w:t xml:space="preserve">⚠️ Erreur n°2 — un réseau virtuel mal choisi qui interfère avec le réseau réel</w:t>
      </w:r>
      <w:r>
        <w:t xml:space="preserve"> </w:t>
      </w:r>
      <w:r>
        <w:t xml:space="preserve">Rappel de la section 37.4 : un mode Bridged mal réfléchi peut exposer un service de test à l’ensemble du réseau de l’entreprise, voire y provoquer des conflits, un risque évitable avec le bon choix de réseau virtuel isolé.</w:t>
      </w:r>
    </w:p>
    <w:p>
      <w:pPr>
        <w:pStyle w:val="BodyText"/>
      </w:pPr>
      <w:r>
        <w:t xml:space="preserve">⚠️ Erreur n°3 — accumuler des snapshots de test jamais nettoyés</w:t>
      </w:r>
      <w:r>
        <w:t xml:space="preserve"> </w:t>
      </w:r>
      <w:r>
        <w:t xml:space="preserve">Même dans un contexte de laboratoire où les snapshots sont un usage légitime (section 37.3), les laisser s’accumuler indéfiniment consomme un espace disque croissant sur le poste de travail personnel, rejoignant la même mise en garde de performance déjà évoquée pour tout snapshot dans ce manuel.</w:t>
      </w:r>
    </w:p>
    <w:bookmarkEnd w:id="923"/>
    <w:bookmarkStart w:id="924" w:name="Xa618072d85cad211bb12c6b4e756cf59932bd73"/>
    <w:p>
      <w:pPr>
        <w:pStyle w:val="Heading2"/>
      </w:pPr>
      <w:r>
        <w:t xml:space="preserve">Diagnostiquer un problème de réseau dans un lab VirtualBox</w:t>
      </w:r>
    </w:p>
    <w:p>
      <w:pPr>
        <w:pStyle w:val="FirstParagraph"/>
      </w:pPr>
      <w:r>
        <w:t xml:space="preserve">🩺 Situation :</w:t>
      </w:r>
      <w:r>
        <w:t xml:space="preserve"> </w:t>
      </w:r>
      <w:r>
        <w:t xml:space="preserve">“Les VM du lab ne peuvent pas communiquer entre elles”</w:t>
      </w:r>
    </w:p>
    <w:p>
      <w:pPr>
        <w:pStyle w:val="Compact"/>
        <w:numPr>
          <w:ilvl w:val="0"/>
          <w:numId w:val="1852"/>
        </w:numPr>
      </w:pPr>
      <w:r>
        <w:rPr>
          <w:b/>
          <w:bCs/>
        </w:rPr>
        <w:t xml:space="preserve">Diagnostic</w:t>
      </w:r>
      <w:r>
        <w:t xml:space="preserve"> </w:t>
      </w:r>
      <w:r>
        <w:t xml:space="preserve">: vérifier en priorité le type de réseau virtuel configuré sur chaque VM (section 37.4) — une cause de confusion fréquente pour un débutant est de configurer une VM en NAT et une autre en Host-only, deux modes qui ne communiquent pas entre eux par défaut.</w:t>
      </w:r>
    </w:p>
    <w:p>
      <w:pPr>
        <w:pStyle w:val="Compact"/>
        <w:numPr>
          <w:ilvl w:val="0"/>
          <w:numId w:val="1852"/>
        </w:numPr>
      </w:pPr>
      <w:r>
        <w:rPr>
          <w:b/>
          <w:bCs/>
        </w:rPr>
        <w:t xml:space="preserve">Comment vérifier</w:t>
      </w:r>
      <w:r>
        <w:t xml:space="preserve"> </w:t>
      </w:r>
      <w:r>
        <w:t xml:space="preserve">: dans les paramètres réseau de chaque VM, confirmer que toutes les VM destinées à communiquer entre elles utilisent le même type de réseau (typiquement Host-only ou Internal pour un lab isolé, section 37.4).</w:t>
      </w:r>
    </w:p>
    <w:p>
      <w:pPr>
        <w:pStyle w:val="Compact"/>
        <w:numPr>
          <w:ilvl w:val="0"/>
          <w:numId w:val="1852"/>
        </w:numPr>
      </w:pPr>
      <w:r>
        <w:rPr>
          <w:b/>
          <w:bCs/>
        </w:rPr>
        <w:t xml:space="preserve">Résolution</w:t>
      </w:r>
      <w:r>
        <w:t xml:space="preserve"> </w:t>
      </w:r>
      <w:r>
        <w:t xml:space="preserve">: uniformiser le type de réseau sur l’ensemble des VM du lab selon le besoin identifié en section 37.4, puis redémarrer les VM concernées pour que le changement de configuration réseau prenne effet.</w:t>
      </w:r>
    </w:p>
    <w:bookmarkEnd w:id="924"/>
    <w:bookmarkStart w:id="925" w:name="en-entreprise-36"/>
    <w:p>
      <w:pPr>
        <w:pStyle w:val="Heading2"/>
      </w:pPr>
      <w:r>
        <w:t xml:space="preserve">En entreprise</w:t>
      </w:r>
    </w:p>
    <w:p>
      <w:pPr>
        <w:pStyle w:val="Compact"/>
        <w:numPr>
          <w:ilvl w:val="0"/>
          <w:numId w:val="1853"/>
        </w:numPr>
      </w:pPr>
      <w:r>
        <w:rPr>
          <w:b/>
          <w:bCs/>
        </w:rPr>
        <w:t xml:space="preserve">Bonne pratique répandue</w:t>
      </w:r>
      <w:r>
        <w:t xml:space="preserve"> </w:t>
      </w:r>
      <w:r>
        <w:t xml:space="preserve">: encourager systématiquement les nouveaux membres d’une équipe infrastructure à construire leur propre lab d’apprentissage avant de leur donner un accès de production, même limité — une pratique qui réduit le risque d’erreur coûteuse par méconnaissance, tout en accélérant la montée en compétence réelle.</w:t>
      </w:r>
    </w:p>
    <w:p>
      <w:pPr>
        <w:pStyle w:val="Compact"/>
        <w:numPr>
          <w:ilvl w:val="0"/>
          <w:numId w:val="1853"/>
        </w:numPr>
      </w:pPr>
      <w:r>
        <w:rPr>
          <w:b/>
          <w:bCs/>
        </w:rPr>
        <w:t xml:space="preserve">Bonne pratique répandue</w:t>
      </w:r>
      <w:r>
        <w:t xml:space="preserve"> </w:t>
      </w:r>
      <w:r>
        <w:t xml:space="preserve">: utiliser un lab local pour une première validation rapide d’une idée ou d’une hypothèse de diagnostic, avant de mobiliser un vrai environnement de pré-production partagé (plus coûteux en temps de coordination avec l’équipe).</w:t>
      </w:r>
    </w:p>
    <w:p>
      <w:pPr>
        <w:pStyle w:val="Compact"/>
        <w:numPr>
          <w:ilvl w:val="0"/>
          <w:numId w:val="1853"/>
        </w:numPr>
      </w:pPr>
      <w:r>
        <w:rPr>
          <w:b/>
          <w:bCs/>
        </w:rPr>
        <w:t xml:space="preserve">Erreur classique observée</w:t>
      </w:r>
      <w:r>
        <w:t xml:space="preserve"> </w:t>
      </w:r>
      <w:r>
        <w:t xml:space="preserve">: une</w:t>
      </w:r>
      <w:r>
        <w:t xml:space="preserve"> </w:t>
      </w:r>
      <w:r>
        <w:t xml:space="preserve">“solution temporaire”</w:t>
      </w:r>
      <w:r>
        <w:t xml:space="preserve"> </w:t>
      </w:r>
      <w:r>
        <w:t xml:space="preserve">VirtualBox déployée dans l’urgence pour un besoin ponctuel, jamais migrée vers un hyperviseur de production approprié, découverte des mois plus tard comme un point de fragilité inattendu de l’infrastructure.</w:t>
      </w:r>
    </w:p>
    <w:bookmarkEnd w:id="925"/>
    <w:bookmarkStart w:id="926" w:name="entretien-technique-36"/>
    <w:p>
      <w:pPr>
        <w:pStyle w:val="Heading2"/>
      </w:pPr>
      <w:r>
        <w:t xml:space="preserve">Entretien technique</w:t>
      </w:r>
    </w:p>
    <w:p>
      <w:pPr>
        <w:pStyle w:val="FirstParagraph"/>
      </w:pPr>
      <w:r>
        <w:t xml:space="preserve">💼 Questions fréquemment posées en entretien</w:t>
      </w:r>
    </w:p>
    <w:p>
      <w:pPr>
        <w:pStyle w:val="BodyText"/>
      </w:pPr>
      <w:r>
        <w:rPr>
          <w:b/>
          <w:bCs/>
        </w:rPr>
        <w:t xml:space="preserve">Q1.</w:t>
      </w:r>
      <w:r>
        <w:rPr>
          <w:b/>
          <w:bCs/>
        </w:rPr>
        <w:t xml:space="preserve"> </w:t>
      </w:r>
      <w:r>
        <w:rPr>
          <w:b/>
          <w:bCs/>
        </w:rPr>
        <w:t xml:space="preserve">“Pourquoi VirtualBox ne convient-il pas à un usage de production, contrairement à ESXi, Hyper-V ou Proxmox ?”</w:t>
      </w:r>
      <w:r>
        <w:t xml:space="preserve"> </w:t>
      </w:r>
      <w:r>
        <w:t xml:space="preserve">Réponse attendue : VirtualBox est un hyperviseur de Type 2, avec une couche de système d’exploitation hôte intermédiaire qui réduit les performances et la fiabilité par rapport à un hyperviseur de Type 1 bare-metal — un compromis acceptable pour l’apprentissage et les tests, mais pas pour héberger des charges de travail critiques d’entreprise.</w:t>
      </w:r>
    </w:p>
    <w:p>
      <w:pPr>
        <w:pStyle w:val="BodyText"/>
      </w:pPr>
      <w:r>
        <w:rPr>
          <w:b/>
          <w:bCs/>
        </w:rPr>
        <w:t xml:space="preserve">Q2.</w:t>
      </w:r>
      <w:r>
        <w:rPr>
          <w:b/>
          <w:bCs/>
        </w:rPr>
        <w:t xml:space="preserve"> </w:t>
      </w:r>
      <w:r>
        <w:rPr>
          <w:b/>
          <w:bCs/>
        </w:rPr>
        <w:t xml:space="preserve">“Comment isolerais-tu un lab VirtualBox du réseau réel de l’entreprise ?”</w:t>
      </w:r>
      <w:r>
        <w:t xml:space="preserve"> </w:t>
      </w:r>
      <w:r>
        <w:t xml:space="preserve">Réponse attendue : en choisissant un type de réseau virtuel Host-only ou Internal plutôt que Bridged, garantissant que les VM du lab ne peuvent pas interférer avec le réseau de production ni y être accessibles, tout en conservant la possibilité pour les VM du lab de communiquer entre elles selon le besoin.</w:t>
      </w:r>
    </w:p>
    <w:p>
      <w:pPr>
        <w:pStyle w:val="BodyText"/>
      </w:pPr>
      <w:r>
        <w:rPr>
          <w:b/>
          <w:bCs/>
        </w:rPr>
        <w:t xml:space="preserve">Q3.</w:t>
      </w:r>
      <w:r>
        <w:rPr>
          <w:b/>
          <w:bCs/>
        </w:rPr>
        <w:t xml:space="preserve"> </w:t>
      </w:r>
      <w:r>
        <w:rPr>
          <w:b/>
          <w:bCs/>
        </w:rPr>
        <w:t xml:space="preserve">“Dans quel contexte les snapshots deviennent-ils un outil parfaitement approprié, malgré les mises en garde habituelles de ce manuel ?”</w:t>
      </w:r>
      <w:r>
        <w:t xml:space="preserve"> </w:t>
      </w:r>
      <w:r>
        <w:t xml:space="preserve">Réponse attendue : dans un contexte de laboratoire d’apprentissage ou de test, où aucune donnée réelle critique n’est en jeu — l’objectif y est de revenir rapidement à un état propre après une expérimentation volontaire, un usage totalement différent de la protection de données réelles pour laquelle un snapshot seul reste insuffisant.</w:t>
      </w:r>
    </w:p>
    <w:bookmarkEnd w:id="926"/>
    <w:bookmarkStart w:id="927" w:name="Xa91708ec44d2b62b8a857adcdaf192ea4a25090"/>
    <w:p>
      <w:pPr>
        <w:pStyle w:val="Heading2"/>
      </w:pPr>
      <w:r>
        <w:t xml:space="preserve">Optimisation, sécurité et maintenabilité — les réflexes dès ce chapitre</w:t>
      </w:r>
    </w:p>
    <w:p>
      <w:pPr>
        <w:pStyle w:val="FirstParagraph"/>
      </w:pPr>
      <w:r>
        <w:t xml:space="preserve">🔒 Sécurité</w:t>
      </w:r>
      <w:r>
        <w:t xml:space="preserve"> </w:t>
      </w:r>
      <w:r>
        <w:t xml:space="preserve">Isole systématiquement tout lab VirtualBox du réseau de production via un réseau virtuel Host-only ou Internal (section 37.4) — un réflexe simple qui évite qu’une expérimentation d’apprentissage ne perturbe accidentellement des systèmes réels.</w:t>
      </w:r>
    </w:p>
    <w:p>
      <w:pPr>
        <w:pStyle w:val="BodyText"/>
      </w:pPr>
      <w:r>
        <w:t xml:space="preserve">✅ Maintenabilité</w:t>
      </w:r>
      <w:r>
        <w:t xml:space="preserve"> </w:t>
      </w:r>
      <w:r>
        <w:t xml:space="preserve">Documente (même de façon informelle, chapitre 3) la configuration de ton propre lab personnel — une pratique qui, au-delà de son utilité immédiate, développe directement le réflexe professionnel de documentation qui sera attendu sur des systèmes réels.</w:t>
      </w:r>
    </w:p>
    <w:p>
      <w:pPr>
        <w:pStyle w:val="BodyText"/>
      </w:pPr>
      <w:r>
        <w:t xml:space="preserve">🚀 Performance</w:t>
      </w:r>
      <w:r>
        <w:t xml:space="preserve"> </w:t>
      </w:r>
      <w:r>
        <w:t xml:space="preserve">Alloue des ressources modestes à chaque VM de lab (quelques Go de vRAM suffisent généralement pour pratiquer les concepts de ce manuel) — l’objectif d’un lab d’apprentissage est la compréhension conceptuelle, jamais la performance de production, contrairement aux dimensionnements des chapitres 34 à 36.</w:t>
      </w:r>
    </w:p>
    <w:bookmarkEnd w:id="927"/>
    <w:bookmarkStart w:id="928" w:name="résumé-du-chapitre-36"/>
    <w:p>
      <w:pPr>
        <w:pStyle w:val="Heading2"/>
      </w:pPr>
      <w:r>
        <w:t xml:space="preserve">Résumé du chapitre</w:t>
      </w:r>
    </w:p>
    <w:p>
      <w:pPr>
        <w:pStyle w:val="Compact"/>
        <w:numPr>
          <w:ilvl w:val="0"/>
          <w:numId w:val="1854"/>
        </w:numPr>
      </w:pPr>
      <w:r>
        <w:t xml:space="preserve">VirtualBox, hyperviseur de Type 2, est l’outil approprié pour l’apprentissage, les tests avant production, et la reproduction de bugs — jamais pour la production réelle.</w:t>
      </w:r>
    </w:p>
    <w:p>
      <w:pPr>
        <w:pStyle w:val="Compact"/>
        <w:numPr>
          <w:ilvl w:val="0"/>
          <w:numId w:val="1854"/>
        </w:numPr>
      </w:pPr>
      <w:r>
        <w:t xml:space="preserve">Contrairement aux avertissements répétés sur les snapshots dans ce manuel, un usage de snapshot dans un contexte de laboratoire d’apprentissage reste parfaitement légitime, aucune donnée réelle n’étant en jeu.</w:t>
      </w:r>
    </w:p>
    <w:p>
      <w:pPr>
        <w:pStyle w:val="Compact"/>
        <w:numPr>
          <w:ilvl w:val="0"/>
          <w:numId w:val="1854"/>
        </w:numPr>
      </w:pPr>
      <w:r>
        <w:t xml:space="preserve">Les quatre types de réseaux virtuels (NAT, Bridged, Host-only, Internal) répondent à des besoins d’isolation différents — Host-only ou Internal conviennent généralement le mieux à un lab isolé du réseau de production.</w:t>
      </w:r>
    </w:p>
    <w:p>
      <w:pPr>
        <w:pStyle w:val="Compact"/>
        <w:numPr>
          <w:ilvl w:val="0"/>
          <w:numId w:val="1854"/>
        </w:numPr>
      </w:pPr>
      <w:r>
        <w:t xml:space="preserve">Un lab minimal (un contrôleur de domaine, un serveur Linux, un poste client) suffit à pratiquer la grande majorité des concepts de ce manuel.</w:t>
      </w:r>
    </w:p>
    <w:p>
      <w:pPr>
        <w:pStyle w:val="Compact"/>
        <w:numPr>
          <w:ilvl w:val="0"/>
          <w:numId w:val="1854"/>
        </w:numPr>
      </w:pPr>
      <w:r>
        <w:t xml:space="preserve">La limite absolue reste inchangée : ne jamais héberger de charge de travail de production sur VirtualBox, quelle que soit la pression budgétaire.</w:t>
      </w:r>
    </w:p>
    <w:bookmarkEnd w:id="928"/>
    <w:bookmarkStart w:id="929" w:name="quiz-36"/>
    <w:p>
      <w:pPr>
        <w:pStyle w:val="Heading2"/>
      </w:pPr>
      <w:r>
        <w:t xml:space="preserve">Quiz</w:t>
      </w:r>
    </w:p>
    <w:p>
      <w:pPr>
        <w:pStyle w:val="FirstParagraph"/>
      </w:pPr>
      <w:r>
        <w:t xml:space="preserve">📝 QCM (une seule bonne réponse par question)</w:t>
      </w:r>
    </w:p>
    <w:p>
      <w:pPr>
        <w:pStyle w:val="Compact"/>
        <w:numPr>
          <w:ilvl w:val="0"/>
          <w:numId w:val="1855"/>
        </w:numPr>
      </w:pPr>
      <w:r>
        <w:t xml:space="preserve">VirtualBox est un hyperviseur de :</w:t>
      </w:r>
    </w:p>
    <w:p>
      <w:pPr>
        <w:pStyle w:val="Compact"/>
        <w:numPr>
          <w:ilvl w:val="1"/>
          <w:numId w:val="1856"/>
        </w:numPr>
      </w:pPr>
    </w:p>
    <w:p>
      <w:pPr>
        <w:pStyle w:val="Compact"/>
        <w:numPr>
          <w:ilvl w:val="2"/>
          <w:numId w:val="1857"/>
        </w:numPr>
      </w:pPr>
      <w:r>
        <w:t xml:space="preserve">Type 1 (bare-metal)</w:t>
      </w:r>
    </w:p>
    <w:p>
      <w:pPr>
        <w:pStyle w:val="Compact"/>
        <w:numPr>
          <w:ilvl w:val="1"/>
          <w:numId w:val="1856"/>
        </w:numPr>
      </w:pPr>
    </w:p>
    <w:p>
      <w:pPr>
        <w:pStyle w:val="Compact"/>
        <w:numPr>
          <w:ilvl w:val="2"/>
          <w:numId w:val="1858"/>
        </w:numPr>
      </w:pPr>
      <w:r>
        <w:t xml:space="preserve">Type 2 (hébergé)</w:t>
      </w:r>
    </w:p>
    <w:p>
      <w:pPr>
        <w:pStyle w:val="Compact"/>
        <w:numPr>
          <w:ilvl w:val="1"/>
          <w:numId w:val="1856"/>
        </w:numPr>
      </w:pPr>
    </w:p>
    <w:p>
      <w:pPr>
        <w:pStyle w:val="Compact"/>
        <w:numPr>
          <w:ilvl w:val="2"/>
          <w:numId w:val="1859"/>
        </w:numPr>
      </w:pPr>
      <w:r>
        <w:t xml:space="preserve">Type 3, une catégorie propre à VirtualBox</w:t>
      </w:r>
    </w:p>
    <w:p>
      <w:pPr>
        <w:pStyle w:val="Compact"/>
        <w:numPr>
          <w:ilvl w:val="1"/>
          <w:numId w:val="1856"/>
        </w:numPr>
      </w:pPr>
    </w:p>
    <w:p>
      <w:pPr>
        <w:pStyle w:val="Compact"/>
        <w:numPr>
          <w:ilvl w:val="2"/>
          <w:numId w:val="1860"/>
        </w:numPr>
      </w:pPr>
      <w:r>
        <w:t xml:space="preserve">Aucun des deux, ce n’est pas un hyperviseur</w:t>
      </w:r>
    </w:p>
    <w:p>
      <w:pPr>
        <w:pStyle w:val="Compact"/>
        <w:numPr>
          <w:ilvl w:val="0"/>
          <w:numId w:val="1855"/>
        </w:numPr>
      </w:pPr>
      <w:r>
        <w:t xml:space="preserve">Le type de réseau virtuel qui isole le mieux un lab du réseau de production, tout en permettant aux VM du lab de communiquer entre elles, est :</w:t>
      </w:r>
    </w:p>
    <w:p>
      <w:pPr>
        <w:pStyle w:val="Compact"/>
        <w:numPr>
          <w:ilvl w:val="1"/>
          <w:numId w:val="1861"/>
        </w:numPr>
      </w:pPr>
    </w:p>
    <w:p>
      <w:pPr>
        <w:pStyle w:val="Compact"/>
        <w:numPr>
          <w:ilvl w:val="2"/>
          <w:numId w:val="1862"/>
        </w:numPr>
      </w:pPr>
      <w:r>
        <w:t xml:space="preserve">Bridged</w:t>
      </w:r>
    </w:p>
    <w:p>
      <w:pPr>
        <w:pStyle w:val="Compact"/>
        <w:numPr>
          <w:ilvl w:val="1"/>
          <w:numId w:val="1861"/>
        </w:numPr>
      </w:pPr>
    </w:p>
    <w:p>
      <w:pPr>
        <w:pStyle w:val="Compact"/>
        <w:numPr>
          <w:ilvl w:val="2"/>
          <w:numId w:val="1863"/>
        </w:numPr>
      </w:pPr>
      <w:r>
        <w:t xml:space="preserve">Host-only ou Internal</w:t>
      </w:r>
    </w:p>
    <w:p>
      <w:pPr>
        <w:pStyle w:val="Compact"/>
        <w:numPr>
          <w:ilvl w:val="1"/>
          <w:numId w:val="1861"/>
        </w:numPr>
      </w:pPr>
    </w:p>
    <w:p>
      <w:pPr>
        <w:pStyle w:val="Compact"/>
        <w:numPr>
          <w:ilvl w:val="2"/>
          <w:numId w:val="1864"/>
        </w:numPr>
      </w:pPr>
      <w:r>
        <w:t xml:space="preserve">NAT uniquement</w:t>
      </w:r>
    </w:p>
    <w:p>
      <w:pPr>
        <w:pStyle w:val="Compact"/>
        <w:numPr>
          <w:ilvl w:val="1"/>
          <w:numId w:val="1861"/>
        </w:numPr>
      </w:pPr>
    </w:p>
    <w:p>
      <w:pPr>
        <w:pStyle w:val="Compact"/>
        <w:numPr>
          <w:ilvl w:val="2"/>
          <w:numId w:val="1865"/>
        </w:numPr>
      </w:pPr>
      <w:r>
        <w:t xml:space="preserve">Aucun réseau n’est nécessaire</w:t>
      </w:r>
    </w:p>
    <w:p>
      <w:pPr>
        <w:pStyle w:val="Compact"/>
        <w:numPr>
          <w:ilvl w:val="0"/>
          <w:numId w:val="1855"/>
        </w:numPr>
      </w:pPr>
      <w:r>
        <w:t xml:space="preserve">L’usage des snapshots dans un contexte de laboratoire d’apprentissage est :</w:t>
      </w:r>
    </w:p>
    <w:p>
      <w:pPr>
        <w:pStyle w:val="Compact"/>
        <w:numPr>
          <w:ilvl w:val="1"/>
          <w:numId w:val="1866"/>
        </w:numPr>
      </w:pPr>
    </w:p>
    <w:p>
      <w:pPr>
        <w:pStyle w:val="Compact"/>
        <w:numPr>
          <w:ilvl w:val="2"/>
          <w:numId w:val="1867"/>
        </w:numPr>
      </w:pPr>
      <w:r>
        <w:t xml:space="preserve">Toujours dangereux, comme en production</w:t>
      </w:r>
    </w:p>
    <w:p>
      <w:pPr>
        <w:pStyle w:val="Compact"/>
        <w:numPr>
          <w:ilvl w:val="1"/>
          <w:numId w:val="1866"/>
        </w:numPr>
      </w:pPr>
    </w:p>
    <w:p>
      <w:pPr>
        <w:pStyle w:val="Compact"/>
        <w:numPr>
          <w:ilvl w:val="2"/>
          <w:numId w:val="1868"/>
        </w:numPr>
      </w:pPr>
      <w:r>
        <w:t xml:space="preserve">Parfaitement légitime, aucune donnée réelle n’étant en jeu</w:t>
      </w:r>
    </w:p>
    <w:p>
      <w:pPr>
        <w:pStyle w:val="Compact"/>
        <w:numPr>
          <w:ilvl w:val="1"/>
          <w:numId w:val="1866"/>
        </w:numPr>
      </w:pPr>
    </w:p>
    <w:p>
      <w:pPr>
        <w:pStyle w:val="Compact"/>
        <w:numPr>
          <w:ilvl w:val="2"/>
          <w:numId w:val="1869"/>
        </w:numPr>
      </w:pPr>
      <w:r>
        <w:t xml:space="preserve">Interdit par principe</w:t>
      </w:r>
    </w:p>
    <w:p>
      <w:pPr>
        <w:pStyle w:val="Compact"/>
        <w:numPr>
          <w:ilvl w:val="1"/>
          <w:numId w:val="1866"/>
        </w:numPr>
      </w:pPr>
    </w:p>
    <w:p>
      <w:pPr>
        <w:pStyle w:val="Compact"/>
        <w:numPr>
          <w:ilvl w:val="2"/>
          <w:numId w:val="1870"/>
        </w:numPr>
      </w:pPr>
      <w:r>
        <w:t xml:space="preserve">Réservé uniquement aux administrateurs seniors</w:t>
      </w:r>
    </w:p>
    <w:p>
      <w:pPr>
        <w:pStyle w:val="FirstParagraph"/>
      </w:pPr>
      <w:r>
        <w:rPr>
          <w:b/>
          <w:bCs/>
        </w:rPr>
        <w:t xml:space="preserve">Corrigé</w:t>
      </w:r>
      <w:r>
        <w:t xml:space="preserve"> </w:t>
      </w:r>
      <w:r>
        <w:t xml:space="preserve">: 1-b, 2-b, 3-b.</w:t>
      </w:r>
    </w:p>
    <w:p>
      <w:pPr>
        <w:pStyle w:val="BodyText"/>
      </w:pPr>
      <w:r>
        <w:t xml:space="preserve">📝 Vrai ou Faux</w:t>
      </w:r>
    </w:p>
    <w:p>
      <w:pPr>
        <w:pStyle w:val="Compact"/>
        <w:numPr>
          <w:ilvl w:val="0"/>
          <w:numId w:val="1871"/>
        </w:numPr>
      </w:pPr>
      <w:r>
        <w:t xml:space="preserve">VirtualBox peut légitimement héberger une charge de travail de production si le budget ne permet pas un hyperviseur de Type 1. —</w:t>
      </w:r>
      <w:r>
        <w:t xml:space="preserve"> </w:t>
      </w:r>
      <w:r>
        <w:rPr>
          <w:b/>
          <w:bCs/>
        </w:rPr>
        <w:t xml:space="preserve">Faux</w:t>
      </w:r>
      <w:r>
        <w:t xml:space="preserve"> </w:t>
      </w:r>
      <w:r>
        <w:t xml:space="preserve">(jamais en production, section 37.6).</w:t>
      </w:r>
    </w:p>
    <w:p>
      <w:pPr>
        <w:pStyle w:val="Compact"/>
        <w:numPr>
          <w:ilvl w:val="0"/>
          <w:numId w:val="1871"/>
        </w:numPr>
      </w:pPr>
      <w:r>
        <w:t xml:space="preserve">Le mode réseau Bridged rend une VM visible comme une machine à part entière sur le réseau local. —</w:t>
      </w:r>
      <w:r>
        <w:t xml:space="preserve"> </w:t>
      </w:r>
      <w:r>
        <w:rPr>
          <w:b/>
          <w:bCs/>
        </w:rPr>
        <w:t xml:space="preserve">Vrai</w:t>
      </w:r>
      <w:r>
        <w:t xml:space="preserve">.</w:t>
      </w:r>
    </w:p>
    <w:p>
      <w:pPr>
        <w:pStyle w:val="Compact"/>
        <w:numPr>
          <w:ilvl w:val="0"/>
          <w:numId w:val="1871"/>
        </w:numPr>
      </w:pPr>
      <w:r>
        <w:t xml:space="preserve">Un lab VirtualBox nécessite de reproduire l’intégralité de l’infrastructure de production pour être utile. —</w:t>
      </w:r>
      <w:r>
        <w:t xml:space="preserve"> </w:t>
      </w:r>
      <w:r>
        <w:rPr>
          <w:b/>
          <w:bCs/>
        </w:rPr>
        <w:t xml:space="preserve">Faux</w:t>
      </w:r>
      <w:r>
        <w:t xml:space="preserve"> </w:t>
      </w:r>
      <w:r>
        <w:t xml:space="preserve">(un lab minimal représentatif suffit, section 37.5).</w:t>
      </w:r>
    </w:p>
    <w:p>
      <w:pPr>
        <w:pStyle w:val="Compact"/>
        <w:numPr>
          <w:ilvl w:val="0"/>
          <w:numId w:val="1871"/>
        </w:numPr>
      </w:pPr>
      <w:r>
        <w:t xml:space="preserve">Les snapshots restent déconseillés même dans un contexte de laboratoire d’apprentissage. —</w:t>
      </w:r>
      <w:r>
        <w:t xml:space="preserve"> </w:t>
      </w:r>
      <w:r>
        <w:rPr>
          <w:b/>
          <w:bCs/>
        </w:rPr>
        <w:t xml:space="preserve">Faux</w:t>
      </w:r>
      <w:r>
        <w:t xml:space="preserve"> </w:t>
      </w:r>
      <w:r>
        <w:t xml:space="preserve">(ils sont parfaitement appropriés dans ce contexte précis, section 37.3).</w:t>
      </w:r>
    </w:p>
    <w:p>
      <w:pPr>
        <w:pStyle w:val="FirstParagraph"/>
      </w:pPr>
      <w:r>
        <w:t xml:space="preserve">📝 Questions ouvertes</w:t>
      </w:r>
    </w:p>
    <w:p>
      <w:pPr>
        <w:pStyle w:val="Compact"/>
        <w:numPr>
          <w:ilvl w:val="0"/>
          <w:numId w:val="1872"/>
        </w:numPr>
      </w:pPr>
      <w:r>
        <w:t xml:space="preserve">Explique pourquoi la mise en garde habituelle</w:t>
      </w:r>
      <w:r>
        <w:t xml:space="preserve"> </w:t>
      </w:r>
      <w:r>
        <w:t xml:space="preserve">“un snapshot n’est pas une sauvegarde”</w:t>
      </w:r>
      <w:r>
        <w:t xml:space="preserve"> </w:t>
      </w:r>
      <w:r>
        <w:t xml:space="preserve">ne s’applique pas de la même façon dans un contexte de laboratoire d’apprentissage.</w:t>
      </w:r>
    </w:p>
    <w:p>
      <w:pPr>
        <w:pStyle w:val="Compact"/>
        <w:numPr>
          <w:ilvl w:val="0"/>
          <w:numId w:val="1872"/>
        </w:numPr>
      </w:pPr>
      <w:r>
        <w:t xml:space="preserve">Reprends le scénario d’ouverture. Explique pourquoi donner au nouveau collègue un accès à un lab VirtualBox avant un accès de production réduit réellement le risque pour l’entreprise.</w:t>
      </w:r>
    </w:p>
    <w:p>
      <w:pPr>
        <w:pStyle w:val="FirstParagraph"/>
      </w:pPr>
      <w:r>
        <w:rPr>
          <w:b/>
          <w:bCs/>
        </w:rPr>
        <w:t xml:space="preserve">Corrigé 1</w:t>
      </w:r>
      <w:r>
        <w:t xml:space="preserve"> </w:t>
      </w:r>
      <w:r>
        <w:t xml:space="preserve">: la mise en garde sur les snapshots (chapitres 28, 33, 36) protège contre la perte de données réelles et critiques en cas de panne du support physique sous-jacent — un risque qui n’existe simplement pas dans un lab d’apprentissage, où aucune donnée réelle de l’entreprise n’est stockée. L’usage du snapshot y devient purement un outil de commodité pour l’expérimentation (revenir à un état propre après un test), sans aucun enjeu de protection de données à long terme, ce qui change complètement la nature du risque associé.</w:t>
      </w:r>
    </w:p>
    <w:p>
      <w:pPr>
        <w:pStyle w:val="BodyText"/>
      </w:pPr>
      <w:r>
        <w:rPr>
          <w:b/>
          <w:bCs/>
        </w:rPr>
        <w:t xml:space="preserve">Corrigé 2</w:t>
      </w:r>
      <w:r>
        <w:t xml:space="preserve"> </w:t>
      </w:r>
      <w:r>
        <w:t xml:space="preserve">: un lab VirtualBox permet au nouveau collègue de faire des erreurs, de se tromper, de recommencer autant de fois que nécessaire, sans qu’aucune de ces erreurs ne puisse affecter un système réel de l’entreprise — un espace d’apprentissage par la pratique sans risque. Une fois les concepts fondamentaux réellement maîtrisés dans cet environnement sûr, l’accès à la production (même limité au départ, rappel du principe du moindre privilège du chapitre 1) présente un risque d’erreur nettement réduit, comparé à un collègue qui découvrirait ces concepts directement sur des systèmes réels et critiques.</w:t>
      </w:r>
    </w:p>
    <w:bookmarkEnd w:id="929"/>
    <w:bookmarkStart w:id="930" w:name="exercices-36"/>
    <w:p>
      <w:pPr>
        <w:pStyle w:val="Heading2"/>
      </w:pPr>
      <w:r>
        <w:t xml:space="preserve">Exercices</w:t>
      </w:r>
    </w:p>
    <w:p>
      <w:pPr>
        <w:pStyle w:val="FirstParagraph"/>
      </w:pPr>
      <w:r>
        <w:t xml:space="preserve">📝 Exercice 37.1</w:t>
      </w:r>
    </w:p>
    <w:p>
      <w:pPr>
        <w:pStyle w:val="BodyText"/>
      </w:pPr>
      <w:r>
        <w:t xml:space="preserve">Un collègue configure son lab VirtualBox en mode réseau Bridged</w:t>
      </w:r>
      <w:r>
        <w:t xml:space="preserve"> </w:t>
      </w:r>
      <w:r>
        <w:t xml:space="preserve">“parce que c’est plus simple à comprendre”</w:t>
      </w:r>
      <w:r>
        <w:t xml:space="preserve">, sur un poste de travail connecté au réseau de l’entreprise. Explique le risque concret de ce choix, en t’appuyant sur la section 37.4.</w:t>
      </w:r>
    </w:p>
    <w:p>
      <w:pPr>
        <w:pStyle w:val="BodyText"/>
      </w:pPr>
      <w:r>
        <w:rPr>
          <w:b/>
          <w:bCs/>
        </w:rPr>
        <w:t xml:space="preserve">Corrigé :</w:t>
      </w:r>
      <w:r>
        <w:t xml:space="preserve"> </w:t>
      </w:r>
      <w:r>
        <w:t xml:space="preserve">En mode Bridged, chaque VM du lab apparaît comme une machine à part entière sur le réseau réel de l’entreprise, avec sa propre adresse IP visible par tous les autres systèmes du réseau. Si l’une de ces VM exécute un service réseau de test (comme un serveur DHCP de laboratoire, chapitre 10, ou un contrôleur de domaine de test avec le même nom qu’un système réel), elle pourrait entrer en conflit avec l’infrastructure réelle de l’entreprise — un risque concret et documenté, qui aurait pu être totalement évité en choisissant un mode Host-only ou Internal (section 37.4), isolant le lab du réseau réel sans compromettre sa capacité à pratiquer les concepts recherchés.</w:t>
      </w:r>
    </w:p>
    <w:p>
      <w:pPr>
        <w:pStyle w:val="BodyText"/>
      </w:pPr>
      <w:r>
        <w:t xml:space="preserve">📝 Exercice 37.2</w:t>
      </w:r>
    </w:p>
    <w:p>
      <w:pPr>
        <w:pStyle w:val="BodyText"/>
      </w:pPr>
      <w:r>
        <w:t xml:space="preserve">Rédige, en 3 à 5 phrases, un plan d’apprentissage progressif pour le nouveau collègue du scénario d’ouverture, combinant le lab VirtualBox de ce chapitre avec un accès de production graduel, en t’appuyant sur le principe du moindre privilège (chapitre 1).</w:t>
      </w:r>
    </w:p>
    <w:p>
      <w:pPr>
        <w:pStyle w:val="BodyText"/>
      </w:pPr>
      <w:r>
        <w:rPr>
          <w:b/>
          <w:bCs/>
        </w:rPr>
        <w:t xml:space="preserve">Corrigé (exemple de réponse) :</w:t>
      </w:r>
      <w:r>
        <w:t xml:space="preserve"> </w:t>
      </w:r>
      <w:r>
        <w:t xml:space="preserve">Le collègue commencerait par pratiquer les concepts fondamentaux (création de comptes, GPO, permissions) entièrement dans son lab VirtualBox personnel, sans aucun accès de production, jusqu’à démontrer une compréhension solide des mécanismes sous-jacents. Un premier accès de production très restreint (par exemple, uniquement en lecture sur la CMDB du chapitre 3, ou une règle sudo granulaire limitée à une commande précise du chapitre 18) suivrait ensuite, avec une supervision rapprochée d’un collègue plus expérimenté. Les privilèges s’élargiraient ensuite progressivement, à mesure que la confiance et la compétence démontrée augmentent, exactement le principe du moindre privilège appliqué non pas de façon statique mais comme une trajectoire progressive de montée en compétence, plutôt qu’un accès large accordé prématurément par simple confort administratif.</w:t>
      </w:r>
    </w:p>
    <w:bookmarkEnd w:id="930"/>
    <w:bookmarkStart w:id="931" w:name="checklist-de-fin-de-chapitre-36"/>
    <w:p>
      <w:pPr>
        <w:pStyle w:val="Heading2"/>
      </w:pPr>
      <w:r>
        <w:t xml:space="preserve">Checklist de fin de chapitre</w:t>
      </w:r>
    </w:p>
    <w:p>
      <w:pPr>
        <w:pStyle w:val="FirstParagraph"/>
      </w:pPr>
      <w:r>
        <w:t xml:space="preserve">☐ Je comprends pourquoi VirtualBox, hyperviseur de Type 2, ne convient pas à la production.</w:t>
      </w:r>
    </w:p>
    <w:p>
      <w:pPr>
        <w:pStyle w:val="BodyText"/>
      </w:pPr>
      <w:r>
        <w:t xml:space="preserve">☐ Je sais identifier les cas d’usage légitimes de VirtualBox (apprentissage, test, reproduction de bug).</w:t>
      </w:r>
    </w:p>
    <w:p>
      <w:pPr>
        <w:pStyle w:val="BodyText"/>
      </w:pPr>
      <w:r>
        <w:t xml:space="preserve">☐ Je comprends pourquoi l’usage des snapshots change de nature dans un contexte de laboratoire.</w:t>
      </w:r>
    </w:p>
    <w:p>
      <w:pPr>
        <w:pStyle w:val="BodyText"/>
      </w:pPr>
      <w:r>
        <w:t xml:space="preserve">☐ Je sais distinguer les quatre types de réseaux virtuels (NAT, Bridged, Host-only, Internal) et choisir le bon selon le besoin.</w:t>
      </w:r>
    </w:p>
    <w:p>
      <w:pPr>
        <w:pStyle w:val="BodyText"/>
      </w:pPr>
      <w:r>
        <w:t xml:space="preserve">☐ Je sais concevoir un lab minimal représentatif pour pratiquer les concepts de ce manuel.</w:t>
      </w:r>
    </w:p>
    <w:p>
      <w:pPr>
        <w:pStyle w:val="BodyText"/>
      </w:pPr>
      <w:r>
        <w:t xml:space="preserve">☐ Je sais diagnostiquer un problème de communication réseau entre VM dans un lab.</w:t>
      </w:r>
    </w:p>
    <w:bookmarkEnd w:id="931"/>
    <w:bookmarkStart w:id="932" w:name="faq-36"/>
    <w:p>
      <w:pPr>
        <w:pStyle w:val="Heading2"/>
      </w:pPr>
      <w:r>
        <w:t xml:space="preserve">FAQ</w:t>
      </w:r>
    </w:p>
    <w:p>
      <w:pPr>
        <w:pStyle w:val="FirstParagraph"/>
      </w:pPr>
      <w:r>
        <w:t xml:space="preserve">VirtualBox est-il gratuit, comme Proxmox ?</w:t>
      </w:r>
    </w:p>
    <w:p>
      <w:pPr>
        <w:pStyle w:val="BodyText"/>
      </w:pPr>
      <w:r>
        <w:t xml:space="preserve">Oui, VirtualBox est open source et gratuit pour la plupart des usages — un atout supplémentaire pour un lab d’apprentissage personnel, sans barrière financière à l’entrée pour un nouveau collègue ou un étudiant utilisant ce manuel.</w:t>
      </w:r>
    </w:p>
    <w:p>
      <w:pPr>
        <w:pStyle w:val="BodyText"/>
      </w:pPr>
      <w:r>
        <w:t xml:space="preserve">Peut-on utiliser VirtualBox sur un ordinateur portable aux ressources limitées ?</w:t>
      </w:r>
    </w:p>
    <w:p>
      <w:pPr>
        <w:pStyle w:val="BodyText"/>
      </w:pPr>
      <w:r>
        <w:t xml:space="preserve">Oui, avec des attentes réalistes — un lab minimal (section 37.5) avec des VM légèrement dimensionnées reste praticable sur un poste de travail modeste, même si les performances resteront naturellement en retrait par rapport à un serveur physique dédié.</w:t>
      </w:r>
    </w:p>
    <w:p>
      <w:pPr>
        <w:pStyle w:val="BodyText"/>
      </w:pPr>
      <w:r>
        <w:t xml:space="preserve">Faut-il apprendre VirtualBox avant les hyperviseurs de production (chapitres 34-36) ?</w:t>
      </w:r>
    </w:p>
    <w:p>
      <w:pPr>
        <w:pStyle w:val="BodyText"/>
      </w:pPr>
      <w:r>
        <w:t xml:space="preserve">Ce n’est pas un prérequis strict, mais c’est souvent l’approche la plus pratique pour un débutant : pratiquer les concepts de virtualisation de base (chapitre 33) sur VirtualBox, sans risque ni coût, avant d’aborder les spécificités de chaque hyperviseur de production.</w:t>
      </w:r>
    </w:p>
    <w:p>
      <w:pPr>
        <w:pStyle w:val="BodyText"/>
      </w:pPr>
      <w:r>
        <w:t xml:space="preserve">Un lab VirtualBox peut-il remplacer un vrai environnement de pré-production d’entreprise ?</w:t>
      </w:r>
    </w:p>
    <w:p>
      <w:pPr>
        <w:pStyle w:val="BodyText"/>
      </w:pPr>
      <w:r>
        <w:t xml:space="preserve">Non — un lab personnel reste utile pour une première validation rapide ou pour l’apprentissage individuel, mais un environnement de pré-production partagé par l’équipe, plus proche de la configuration réelle de production, reste indispensable pour valider un changement avant son déploiement réel (chapitre 2), les deux outils répondant à des besoins complémentaires plutôt que substituables.</w:t>
      </w:r>
    </w:p>
    <w:bookmarkEnd w:id="932"/>
    <w:bookmarkStart w:id="935" w:name="références-et-pour-aller-plus-loin-36"/>
    <w:p>
      <w:pPr>
        <w:pStyle w:val="Heading2"/>
      </w:pPr>
      <w:r>
        <w:t xml:space="preserve">Références et pour aller plus loin</w:t>
      </w:r>
    </w:p>
    <w:p>
      <w:pPr>
        <w:pStyle w:val="Compact"/>
        <w:numPr>
          <w:ilvl w:val="0"/>
          <w:numId w:val="1873"/>
        </w:numPr>
      </w:pPr>
      <w:r>
        <w:t xml:space="preserve">Documentation officielle Oracle VirtualBox :</w:t>
      </w:r>
      <w:r>
        <w:t xml:space="preserve"> </w:t>
      </w:r>
      <w:hyperlink r:id="rId933">
        <w:r>
          <w:rPr>
            <w:rStyle w:val="Hyperlink"/>
          </w:rPr>
          <w:t xml:space="preserve">https://www.virtualbox.org/manual/</w:t>
        </w:r>
      </w:hyperlink>
    </w:p>
    <w:p>
      <w:pPr>
        <w:pStyle w:val="Compact"/>
        <w:numPr>
          <w:ilvl w:val="0"/>
          <w:numId w:val="1873"/>
        </w:numPr>
      </w:pPr>
      <w:r>
        <w:t xml:space="preserve">Documentation officielle sur les modes réseau VirtualBox :</w:t>
      </w:r>
      <w:r>
        <w:t xml:space="preserve"> </w:t>
      </w:r>
      <w:hyperlink r:id="rId934">
        <w:r>
          <w:rPr>
            <w:rStyle w:val="Hyperlink"/>
          </w:rPr>
          <w:t xml:space="preserve">https://www.virtualbox.org/manual/ch06.html</w:t>
        </w:r>
      </w:hyperlink>
    </w:p>
    <w:p>
      <w:pPr>
        <w:pStyle w:val="FirstParagraph"/>
      </w:pPr>
      <w:r>
        <w:rPr>
          <w:i/>
          <w:iCs/>
        </w:rPr>
        <w:t xml:space="preserve">Chapitre suivant : migration et interopérabilité entre hyperviseurs — comment déplacer une charge de travail d’un hyperviseur à un autre, un besoin réel dans une infrastructure qui, comme celle de ce manuel, combine déjà VMware, Hyper-V et Proxmox.</w:t>
      </w:r>
    </w:p>
    <w:p>
      <w:pPr>
        <w:pStyle w:val="BodyText"/>
      </w:pPr>
      <w:r>
        <w:t xml:space="preserve">CHAPITRE 38</w:t>
      </w:r>
    </w:p>
    <w:bookmarkEnd w:id="935"/>
    <w:bookmarkEnd w:id="936"/>
    <w:bookmarkStart w:id="959" w:name="Xff07d64e3401d3ca3942d48cb7b26f2e849ba31"/>
    <w:p>
      <w:pPr>
        <w:pStyle w:val="Heading1"/>
      </w:pPr>
      <w:r>
        <w:t xml:space="preserve">Migration et interopérabilité entre hyperviseurs</w:t>
      </w:r>
    </w:p>
    <w:p>
      <w:pPr>
        <w:pStyle w:val="FirstParagraph"/>
      </w:pPr>
      <w:r>
        <w:t xml:space="preserve">🎯 Objectif du chapitre</w:t>
      </w:r>
      <w:r>
        <w:t xml:space="preserve"> </w:t>
      </w:r>
      <w:r>
        <w:t xml:space="preserve">Comprendre comment déplacer une machine virtuelle d’un hyperviseur vers un autre — un besoin réel, pas théorique, dans une infrastructure qui combine déjà VMware, Hyper-V et Proxmox comme celle de ce manuel. À la fin de ce chapitre, tu sauras planifier une migration entre hyperviseurs comme un changement maîtrisé (chapitre 2), utiliser les formats d’échange standards, et éviter les pièges les plus fréquents liés aux résidus de pilotes de l’hyperviseur d’origine.</w:t>
      </w:r>
    </w:p>
    <w:p>
      <w:pPr>
        <w:pStyle w:val="BodyText"/>
      </w:pPr>
      <w:r>
        <w:t xml:space="preserve">🎬 Mise en situation</w:t>
      </w:r>
      <w:r>
        <w:t xml:space="preserve"> </w:t>
      </w:r>
      <w:r>
        <w:t xml:space="preserve">Dix-huit mois après la migration des contrôleurs de domaine vers VMware (chapitre 34), l’éditeur annonce une refonte majeure de sa politique de licence, avec une hausse de coût significative pour l’entreprise — une situation bien réelle qu’ont vécue de nombreuses organisations ces dernières années suite à des changements de politique commerciale de grands éditeurs de virtualisation. Le DSI, échaudé, demande une évaluation sérieuse : peut-on migrer certaines charges de travail VMware vers Proxmox (chapitre 36), dont le succès au Cap-Haïtien a déjà fait ses preuves, pour réduire cette dépendance et ce coût ? Ce chapitre répond à cette question bien réelle du marché de la virtualisation d’entreprise : la portabilité entre hyperviseurs n’est jamais totalement transparente, mais elle est loin d’être impossible avec une méthode rigoureuse.</w:t>
      </w:r>
    </w:p>
    <w:bookmarkStart w:id="937" w:name="X145420b725042d3b25c91ce05ecbb5be7af19c5"/>
    <w:p>
      <w:pPr>
        <w:pStyle w:val="Heading2"/>
      </w:pPr>
      <w:r>
        <w:t xml:space="preserve">38.1 Pourquoi la portabilité entre hyperviseurs compte réellement</w:t>
      </w:r>
    </w:p>
    <w:p>
      <w:pPr>
        <w:pStyle w:val="FirstParagraph"/>
      </w:pPr>
      <w:r>
        <w:t xml:space="preserve">🧠 À mémoriser — le risque de dépendance à un fournisseur unique (vendor lock-in)</w:t>
      </w:r>
      <w:r>
        <w:t xml:space="preserve"> </w:t>
      </w:r>
      <w:r>
        <w:t xml:space="preserve">Le scénario d’ouverture illustre un risque stratégique réel : une dépendance trop forte à un seul fournisseur d’hyperviseur expose l’organisation aux décisions commerciales de ce fournisseur, hors de son contrôle. Ce n’est pas un argument contre le choix initial de VMware (parfaitement justifié au chapitre 34 pour sa maturité), mais une raison supplémentaire de comprendre comment une migration reste possible si le contexte économique ou stratégique évolue — la portabilité comme option de secours, pas comme critère de choix initial exclusif.</w:t>
      </w:r>
    </w:p>
    <w:bookmarkEnd w:id="937"/>
    <w:bookmarkStart w:id="938" w:name="Xd15d6a1a28fb85694c90a9059bdc21921da866d"/>
    <w:p>
      <w:pPr>
        <w:pStyle w:val="Heading2"/>
      </w:pPr>
      <w:r>
        <w:t xml:space="preserve">38.2 Les formats d’échange : standards ouverts vs formats propriétaires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Format</w:t>
            </w:r>
          </w:p>
        </w:tc>
        <w:tc>
          <w:tcPr/>
          <w:p>
            <w:pPr>
              <w:pStyle w:val="Compact"/>
            </w:pPr>
            <w:r>
              <w:t xml:space="preserve">Nature</w:t>
            </w:r>
          </w:p>
        </w:tc>
        <w:tc>
          <w:tcPr/>
          <w:p>
            <w:pPr>
              <w:pStyle w:val="Compact"/>
            </w:pPr>
            <w:r>
              <w:t xml:space="preserve">Compatibilité</w:t>
            </w:r>
          </w:p>
        </w:tc>
      </w:tr>
      <w:tr>
        <w:tc>
          <w:tcPr/>
          <w:p>
            <w:pPr>
              <w:pStyle w:val="Compact"/>
            </w:pPr>
            <w:r>
              <w:rPr>
                <w:b/>
                <w:bCs/>
              </w:rPr>
              <w:t xml:space="preserve">OVA/OVF</w:t>
            </w:r>
            <w:r>
              <w:t xml:space="preserve"> </w:t>
            </w:r>
            <w:r>
              <w:t xml:space="preserve">(</w:t>
            </w:r>
            <w:r>
              <w:rPr>
                <w:i/>
                <w:iCs/>
              </w:rPr>
              <w:t xml:space="preserve">Open Virtualization Format</w:t>
            </w:r>
            <w:r>
              <w:t xml:space="preserve">)</w:t>
            </w:r>
          </w:p>
        </w:tc>
        <w:tc>
          <w:tcPr/>
          <w:p>
            <w:pPr>
              <w:pStyle w:val="Compact"/>
            </w:pPr>
            <w:r>
              <w:t xml:space="preserve">Standard ouvert, indépendant du fournisseur</w:t>
            </w:r>
          </w:p>
        </w:tc>
        <w:tc>
          <w:tcPr/>
          <w:p>
            <w:pPr>
              <w:pStyle w:val="Compact"/>
            </w:pPr>
            <w:r>
              <w:t xml:space="preserve">Largement supporté en import/export par la plupart des hyperviseurs</w:t>
            </w:r>
          </w:p>
        </w:tc>
      </w:tr>
      <w:tr>
        <w:tc>
          <w:tcPr/>
          <w:p>
            <w:pPr>
              <w:pStyle w:val="Compact"/>
            </w:pPr>
            <w:r>
              <w:rPr>
                <w:b/>
                <w:bCs/>
              </w:rPr>
              <w:t xml:space="preserve">VMDK</w:t>
            </w:r>
          </w:p>
        </w:tc>
        <w:tc>
          <w:tcPr/>
          <w:p>
            <w:pPr>
              <w:pStyle w:val="Compact"/>
            </w:pPr>
            <w:r>
              <w:t xml:space="preserve">Format de disque propriétaire VMware</w:t>
            </w:r>
          </w:p>
        </w:tc>
        <w:tc>
          <w:tcPr/>
          <w:p>
            <w:pPr>
              <w:pStyle w:val="Compact"/>
            </w:pPr>
            <w:r>
              <w:t xml:space="preserve">Natif VMware, lisible par certains autres outils avec conversion</w:t>
            </w:r>
          </w:p>
        </w:tc>
      </w:tr>
      <w:tr>
        <w:tc>
          <w:tcPr/>
          <w:p>
            <w:pPr>
              <w:pStyle w:val="Compact"/>
            </w:pPr>
            <w:r>
              <w:rPr>
                <w:b/>
                <w:bCs/>
              </w:rPr>
              <w:t xml:space="preserve">VHDX</w:t>
            </w:r>
          </w:p>
        </w:tc>
        <w:tc>
          <w:tcPr/>
          <w:p>
            <w:pPr>
              <w:pStyle w:val="Compact"/>
            </w:pPr>
            <w:r>
              <w:t xml:space="preserve">Format de disque propriétaire Microsoft</w:t>
            </w:r>
          </w:p>
        </w:tc>
        <w:tc>
          <w:tcPr/>
          <w:p>
            <w:pPr>
              <w:pStyle w:val="Compact"/>
            </w:pPr>
            <w:r>
              <w:t xml:space="preserve">Natif Hyper-V</w:t>
            </w:r>
          </w:p>
        </w:tc>
      </w:tr>
      <w:tr>
        <w:tc>
          <w:tcPr/>
          <w:p>
            <w:pPr>
              <w:pStyle w:val="Compact"/>
            </w:pPr>
            <w:r>
              <w:rPr>
                <w:b/>
                <w:bCs/>
              </w:rPr>
              <w:t xml:space="preserve">qcow2</w:t>
            </w:r>
          </w:p>
        </w:tc>
        <w:tc>
          <w:tcPr/>
          <w:p>
            <w:pPr>
              <w:pStyle w:val="Compact"/>
            </w:pPr>
            <w:r>
              <w:t xml:space="preserve">Format de disque natif de KVM/QEMU</w:t>
            </w:r>
          </w:p>
        </w:tc>
        <w:tc>
          <w:tcPr/>
          <w:p>
            <w:pPr>
              <w:pStyle w:val="Compact"/>
            </w:pPr>
            <w:r>
              <w:t xml:space="preserve">Natif Proxmox (et Linux/KVM en général)</w:t>
            </w:r>
          </w:p>
        </w:tc>
      </w:tr>
    </w:tbl>
    <w:p>
      <w:pPr>
        <w:pStyle w:val="BodyText"/>
      </w:pPr>
      <w:r>
        <w:t xml:space="preserve">💡 OVA/OVF comme dénominateur commun</w:t>
      </w:r>
      <w:r>
        <w:t xml:space="preserve"> </w:t>
      </w:r>
      <w:r>
        <w:t xml:space="preserve">Exporter une VM au format OVA/OVF (une archive contenant la définition de la VM et ses disques) offre le chemin de migration le plus largement supporté entre hyperviseurs différents — même s’il ne garantit jamais une compatibilité à 100% sans ajustement, exactement comme un fichier bureautique exporté dans un format standard reste généralement plus portable qu’un format propriétaire, mais peut nécessiter des ajustements mineurs de mise en forme après import dans un autre logiciel.</w:t>
      </w:r>
    </w:p>
    <w:bookmarkEnd w:id="938"/>
    <w:bookmarkStart w:id="939" w:name="p2v-et-v2v-deux-directions-de-conversion"/>
    <w:p>
      <w:pPr>
        <w:pStyle w:val="Heading2"/>
      </w:pPr>
      <w:r>
        <w:t xml:space="preserve">38.3 P2V et V2V : deux directions de conversion</w:t>
      </w:r>
    </w:p>
    <w:p>
      <w:pPr>
        <w:pStyle w:val="FirstParagraph"/>
      </w:pPr>
      <w:r>
        <w:t xml:space="preserve">📌 À retenir</w:t>
      </w:r>
      <w:r>
        <w:t xml:space="preserve"> </w:t>
      </w:r>
      <w:r>
        <w:rPr>
          <w:b/>
          <w:bCs/>
        </w:rPr>
        <w:t xml:space="preserve">P2V</w:t>
      </w:r>
      <w:r>
        <w:t xml:space="preserve"> </w:t>
      </w:r>
      <w:r>
        <w:t xml:space="preserve">(</w:t>
      </w:r>
      <w:r>
        <w:rPr>
          <w:i/>
          <w:iCs/>
        </w:rPr>
        <w:t xml:space="preserve">Physical to Virtual</w:t>
      </w:r>
      <w:r>
        <w:t xml:space="preserve">) convertit un serveur physique existant en machine virtuelle — un besoin historique, moins fréquent aujourd’hui dans une infrastructure déjà largement virtualisée comme celle de ce manuel, mais toujours pertinent pour un dernier serveur physique legacy.</w:t>
      </w:r>
      <w:r>
        <w:t xml:space="preserve"> </w:t>
      </w:r>
      <w:r>
        <w:rPr>
          <w:b/>
          <w:bCs/>
        </w:rPr>
        <w:t xml:space="preserve">V2V</w:t>
      </w:r>
      <w:r>
        <w:t xml:space="preserve"> </w:t>
      </w:r>
      <w:r>
        <w:t xml:space="preserve">(</w:t>
      </w:r>
      <w:r>
        <w:rPr>
          <w:i/>
          <w:iCs/>
        </w:rPr>
        <w:t xml:space="preserve">Virtual to Virtual</w:t>
      </w:r>
      <w:r>
        <w:t xml:space="preserve">) convertit une VM d’un hyperviseur vers un autre — exactement le besoin du scénario d’ouverture, migrer une VM VMware vers Proxmox.</w:t>
      </w:r>
    </w:p>
    <w:bookmarkEnd w:id="939"/>
    <w:bookmarkStart w:id="940" w:name="X009933f9ee5b4a76784d61fd6a17d910222dd18"/>
    <w:p>
      <w:pPr>
        <w:pStyle w:val="Heading2"/>
      </w:pPr>
      <w:r>
        <w:t xml:space="preserve">38.4 Outils concrets pour une migration V2V vers Proxmox</w:t>
      </w:r>
    </w:p>
    <w:p>
      <w:pPr>
        <w:pStyle w:val="SourceCode"/>
      </w:pPr>
      <w:r>
        <w:rPr>
          <w:rStyle w:val="VerbatimChar"/>
        </w:rPr>
        <w:t xml:space="preserve"># Sur Proxmox, importer un disque virtuel exporte depuis VMware</w:t>
      </w:r>
      <w:r>
        <w:br/>
      </w:r>
      <w:r>
        <w:rPr>
          <w:rStyle w:val="VerbatimChar"/>
        </w:rPr>
        <w:t xml:space="preserve"># (converti prealablement au format qcow2 ou directement compatible)</w:t>
      </w:r>
      <w:r>
        <w:br/>
      </w:r>
      <w:r>
        <w:rPr>
          <w:rStyle w:val="VerbatimChar"/>
        </w:rPr>
        <w:t xml:space="preserve">qm importdisk &lt;id-vm&gt; chemin/vers/disque.vmdk &lt;stockage-cible&gt;</w:t>
      </w:r>
      <w:r>
        <w:br/>
      </w:r>
      <w:r>
        <w:br/>
      </w:r>
      <w:r>
        <w:rPr>
          <w:rStyle w:val="VerbatimChar"/>
        </w:rPr>
        <w:t xml:space="preserve"># Exemple : importer le disque d'une VM ID 105 vers le stockage local-lvm</w:t>
      </w:r>
      <w:r>
        <w:br/>
      </w:r>
      <w:r>
        <w:rPr>
          <w:rStyle w:val="VerbatimChar"/>
        </w:rPr>
        <w:t xml:space="preserve">qm importdisk 105 dc-pap-01-disk.vmdk local-lvm</w:t>
      </w:r>
    </w:p>
    <w:p>
      <w:pPr>
        <w:pStyle w:val="FirstParagraph"/>
      </w:pPr>
      <w:r>
        <w:t xml:space="preserve">✅ Bonne pratique — ne jamais migrer directement un système en production sans copie de test</w:t>
      </w:r>
      <w:r>
        <w:t xml:space="preserve"> </w:t>
      </w:r>
      <w:r>
        <w:t xml:space="preserve">Rappel direct du principe de test déjà établi aux chapitres 30 et 31 : la première tentative de migration V2V ne doit jamais porter sur le système de production lui-même, mais sur une copie de test — exactement le même principe qu’un test de restauration de sauvegarde, appliqué ici à une migration entre hyperviseurs plutôt qu’à une reprise après sinistre.</w:t>
      </w:r>
    </w:p>
    <w:bookmarkEnd w:id="940"/>
    <w:bookmarkStart w:id="941" w:name="Xa4b9bccea9e76cc2815d555bdebbfa91af02d35"/>
    <w:p>
      <w:pPr>
        <w:pStyle w:val="Heading2"/>
      </w:pPr>
      <w:r>
        <w:t xml:space="preserve">38.5 Le piège classique : les résidus de pilotes de l’ancien hyperviseur</w:t>
      </w:r>
    </w:p>
    <w:p>
      <w:pPr>
        <w:pStyle w:val="FirstParagraph"/>
      </w:pPr>
      <w:r>
        <w:t xml:space="preserve">⚠️ VMware Tools ou les Services d’intégration Hyper-V ne disparaissent pas automatiquement</w:t>
      </w:r>
      <w:r>
        <w:t xml:space="preserve"> </w:t>
      </w:r>
      <w:r>
        <w:t xml:space="preserve">Après une migration V2V, les outils d’intégration spécifiques à l’ancien hyperviseur (VMware Tools, chapitre 34 ; Services d’intégration Hyper-V, chapitre 35) restent généralement installés dans le système d’exploitation invité, même s’ils ne servent plus à rien sur le nouvel hyperviseur — au mieux inutiles, au pire source de comportements imprévisibles (pilotes orphelins, services qui échouent silencieusement à démarrer). Un nettoyage explicite de ces composants après migration doit faire partie intégrante de toute procédure de migration V2V, jamais une étape</w:t>
      </w:r>
      <w:r>
        <w:t xml:space="preserve"> </w:t>
      </w:r>
      <w:r>
        <w:t xml:space="preserve">“si on y pense”</w:t>
      </w:r>
      <w:r>
        <w:t xml:space="preserve">.</w:t>
      </w:r>
    </w:p>
    <w:bookmarkEnd w:id="941"/>
    <w:bookmarkStart w:id="942" w:name="Xae2caaf0bcba5097a37cc3edbbecc33ecc2ea15"/>
    <w:p>
      <w:pPr>
        <w:pStyle w:val="Heading2"/>
      </w:pPr>
      <w:r>
        <w:t xml:space="preserve">38.6 Revérifier systématiquement la synchronisation temporelle après toute migration</w:t>
      </w:r>
    </w:p>
    <w:p>
      <w:pPr>
        <w:pStyle w:val="FirstParagraph"/>
      </w:pPr>
      <w:r>
        <w:t xml:space="preserve">🔒 Sécurité — le piège des chapitres 34 et 35 se pose à nouveau, dans l’autre sens</w:t>
      </w:r>
      <w:r>
        <w:t xml:space="preserve"> </w:t>
      </w:r>
      <w:r>
        <w:t xml:space="preserve">Rappel direct : si une VM migre de VMware (où la synchronisation temporelle VMware Tools avait été correctement désactivée, chapitre 34) vers Proxmox, il faut vérifier qu’aucun mécanisme équivalent propre à Proxmox/KVM ne réintroduit le même risque pour un contrôleur de domaine migré. Ce réflexe de vérification — jamais supposer qu’une configuration correcte sur l’ancien hyperviseur reste automatiquement correcte sur le nouveau — s’applique à bien plus que la seule synchronisation temporelle, mais elle en reste l’exemple le plus documenté et le plus fréquemment oublié.</w:t>
      </w:r>
    </w:p>
    <w:bookmarkEnd w:id="942"/>
    <w:bookmarkStart w:id="943" w:name="X0e6896597ec21939194ead016768bd78340983f"/>
    <w:p>
      <w:pPr>
        <w:pStyle w:val="Heading2"/>
      </w:pPr>
      <w:r>
        <w:t xml:space="preserve">38.7 Tester avant de considérer une migration terminée</w:t>
      </w:r>
    </w:p>
    <w:p>
      <w:pPr>
        <w:pStyle w:val="FirstParagraph"/>
      </w:pPr>
      <w:r>
        <w:t xml:space="preserve">🚀 Performance — une checklist de validation post-migration, pas une simple vérification de démarrage</w:t>
      </w:r>
      <w:r>
        <w:t xml:space="preserve"> </w:t>
      </w:r>
      <w:r>
        <w:t xml:space="preserve">Rappel du principe déjà établi au chapitre 30 (tester une restauration) et au chapitre 31 (tester un PRA) : une VM qui démarre après migration n’est pas une VM dont la migration est validée. Pour un contrôleur de domaine migré, par exemple, la validation doit inclure un test d’authentification réel (chapitre 5), une vérification de la réplication avec les autres contrôleurs (chapitre 6), et la confirmation de l’absence d’erreur Kerberos (chapitre 23) — une checklist de validation fonctionnelle complète, pas seulement</w:t>
      </w:r>
      <w:r>
        <w:t xml:space="preserve"> </w:t>
      </w:r>
      <w:r>
        <w:t xml:space="preserve">“l’écran de connexion Windows s’affiche”</w:t>
      </w:r>
      <w:r>
        <w:t xml:space="preserve">.</w:t>
      </w:r>
    </w:p>
    <w:bookmarkEnd w:id="943"/>
    <w:bookmarkStart w:id="944" w:name="X481447bc33b41bfd4114c15e99c2286fa75a495"/>
    <w:p>
      <w:pPr>
        <w:pStyle w:val="Heading2"/>
      </w:pPr>
      <w:r>
        <w:t xml:space="preserve">38.8 Planifier une migration comme un changement maîtrisé</w:t>
      </w:r>
    </w:p>
    <w:p>
      <w:pPr>
        <w:pStyle w:val="FirstParagraph"/>
      </w:pPr>
      <w:r>
        <w:t xml:space="preserve">✅ Bonne pratique — appliquer intégralement le processus du chapitre 2</w:t>
      </w:r>
      <w:r>
        <w:t xml:space="preserve"> </w:t>
      </w:r>
      <w:r>
        <w:t xml:space="preserve">Une migration V2V entre hyperviseurs de production répond exactement à la définition d’un</w:t>
      </w:r>
      <w:r>
        <w:t xml:space="preserve"> </w:t>
      </w:r>
      <w:r>
        <w:rPr>
          <w:b/>
          <w:bCs/>
        </w:rPr>
        <w:t xml:space="preserve">changement normal</w:t>
      </w:r>
      <w:r>
        <w:t xml:space="preserve"> </w:t>
      </w:r>
      <w:r>
        <w:t xml:space="preserve">du chapitre 2 : un risque réel, nécessitant une évaluation au cas par cas, une fenêtre de maintenance, et surtout un</w:t>
      </w:r>
      <w:r>
        <w:t xml:space="preserve"> </w:t>
      </w:r>
      <w:r>
        <w:rPr>
          <w:b/>
          <w:bCs/>
        </w:rPr>
        <w:t xml:space="preserve">plan de retour arrière</w:t>
      </w:r>
      <w:r>
        <w:t xml:space="preserve"> </w:t>
      </w:r>
      <w:r>
        <w:t xml:space="preserve">explicite — dans ce cas, la VM d’origine sur l’ancien hyperviseur, qui ne doit jamais être supprimée avant que la migration ne soit entièrement validée en conditions réelles sur le nouvel hyperviseur.</w:t>
      </w:r>
    </w:p>
    <w:bookmarkEnd w:id="944"/>
    <w:bookmarkStart w:id="945" w:name="Xf6290e6f2cfa0856b080649cac56ceb2f20a4bf"/>
    <w:p>
      <w:pPr>
        <w:pStyle w:val="Heading2"/>
      </w:pPr>
      <w:r>
        <w:t xml:space="preserve">Atelier — Planifier la migration du scénario d’ouverture</w:t>
      </w:r>
    </w:p>
    <w:p>
      <w:pPr>
        <w:pStyle w:val="FirstParagraph"/>
      </w:pPr>
      <w:r>
        <w:t xml:space="preserve">🛠️ Atelier 38 — Rédiger une checklist de migration V2V complète</w:t>
      </w:r>
    </w:p>
    <w:p>
      <w:pPr>
        <w:pStyle w:val="BodyText"/>
      </w:pPr>
      <w:r>
        <w:rPr>
          <w:b/>
          <w:bCs/>
        </w:rPr>
        <w:t xml:space="preserve">Objectif</w:t>
      </w:r>
      <w:r>
        <w:t xml:space="preserve"> </w:t>
      </w:r>
      <w:r>
        <w:t xml:space="preserve">: construire une checklist de migration complète pour un contrôleur de domaine, du VMware du chapitre 34 vers le Proxmox du chapitre 36, en réponse au scénario d’ouverture.</w:t>
      </w:r>
    </w:p>
    <w:p>
      <w:pPr>
        <w:pStyle w:val="BodyText"/>
      </w:pPr>
      <w:r>
        <w:rPr>
          <w:b/>
          <w:bCs/>
        </w:rPr>
        <w:t xml:space="preserve">Préparation</w:t>
      </w:r>
      <w:r>
        <w:t xml:space="preserve"> </w:t>
      </w:r>
      <w:r>
        <w:t xml:space="preserve">: aucune installation nécessaire — cet atelier est un exercice de planification structurée.</w:t>
      </w:r>
    </w:p>
    <w:p>
      <w:pPr>
        <w:pStyle w:val="BodyText"/>
      </w:pPr>
      <w:r>
        <w:rPr>
          <w:b/>
          <w:bCs/>
        </w:rPr>
        <w:t xml:space="preserve">Étapes détaillées</w:t>
      </w:r>
      <w:r>
        <w:t xml:space="preserve"> </w:t>
      </w:r>
      <w:r>
        <w:t xml:space="preserve">:</w:t>
      </w:r>
    </w:p>
    <w:p>
      <w:pPr>
        <w:pStyle w:val="Compact"/>
        <w:numPr>
          <w:ilvl w:val="0"/>
          <w:numId w:val="1874"/>
        </w:numPr>
      </w:pPr>
      <w:r>
        <w:t xml:space="preserve">Liste les étapes de préparation avant toute migration, en t’appuyant sur les sections 38.4 et 38.8.</w:t>
      </w:r>
    </w:p>
    <w:p>
      <w:pPr>
        <w:pStyle w:val="Compact"/>
        <w:numPr>
          <w:ilvl w:val="0"/>
          <w:numId w:val="1874"/>
        </w:numPr>
      </w:pPr>
      <w:r>
        <w:t xml:space="preserve">Liste les étapes de nettoyage post-migration nécessaires, en t’appuyant sur la section 38.5.</w:t>
      </w:r>
    </w:p>
    <w:p>
      <w:pPr>
        <w:pStyle w:val="Compact"/>
        <w:numPr>
          <w:ilvl w:val="0"/>
          <w:numId w:val="1874"/>
        </w:numPr>
      </w:pPr>
      <w:r>
        <w:t xml:space="preserve">Liste les vérifications de validation fonctionnelle avant de considérer la migration terminée, en t’appuyant sur les sections 38.6 et 38.7.</w:t>
      </w:r>
    </w:p>
    <w:p>
      <w:pPr>
        <w:pStyle w:val="Compact"/>
        <w:numPr>
          <w:ilvl w:val="0"/>
          <w:numId w:val="1874"/>
        </w:numPr>
      </w:pPr>
      <w:r>
        <w:t xml:space="preserve">Compare ta démarche à la section</w:t>
      </w:r>
      <w:r>
        <w:t xml:space="preserve"> </w:t>
      </w:r>
      <w:r>
        <w:t xml:space="preserve">“Résultat attendu”</w:t>
      </w:r>
      <w:r>
        <w:t xml:space="preserve">.</w:t>
      </w:r>
    </w:p>
    <w:p>
      <w:pPr>
        <w:pStyle w:val="FirstParagraph"/>
      </w:pPr>
      <w:r>
        <w:rPr>
          <w:b/>
          <w:bCs/>
        </w:rPr>
        <w:t xml:space="preserve">Résultat attendu</w:t>
      </w:r>
      <w:r>
        <w:t xml:space="preserve"> </w:t>
      </w:r>
      <w:r>
        <w:t xml:space="preserve">: la préparation inclut l’export au format OVA/OVF ou la conversion de disque appropriée, un test préalable sur une copie non productive, et une fenêtre de maintenance planifiée avec plan de retour arrière (garder la VM d’origine intacte sur VMware). Le nettoyage post-migration inclut la désinstallation de VMware Tools et l’installation des outils d’intégration natifs Proxmox/KVM le cas échéant. La validation fonctionnelle inclut un test d’authentification réel, une vérification de la réplication Active Directory (chapitre 6), une confirmation de l’absence d’erreur Kerberos, et une vérification explicite de la configuration de synchronisation temporelle sur le nouvel hyperviseur — la VM d’origine sur VMware n’étant supprimée qu’après validation complète et une période d’observation raisonnable.</w:t>
      </w:r>
    </w:p>
    <w:p>
      <w:pPr>
        <w:pStyle w:val="BodyText"/>
      </w:pPr>
      <w:r>
        <w:rPr>
          <w:b/>
          <w:bCs/>
        </w:rPr>
        <w:t xml:space="preserve">Dépannage</w:t>
      </w:r>
      <w:r>
        <w:t xml:space="preserve"> </w:t>
      </w:r>
      <w:r>
        <w:t xml:space="preserve">: si tu hésites sur la durée de la période d’observation avant de supprimer la VM d’origine, reviens au principe du chapitre 2 sur les fenêtres de test progressives — une période d’une à deux semaines de fonctionnement stable sur le nouvel hyperviseur est une référence raisonnable pour un système aussi critique qu’un contrôleur de domaine, à ajuster selon la criticité réelle du système migré.</w:t>
      </w:r>
    </w:p>
    <w:bookmarkEnd w:id="945"/>
    <w:bookmarkStart w:id="946" w:name="erreurs-fréquentes-37"/>
    <w:p>
      <w:pPr>
        <w:pStyle w:val="Heading2"/>
      </w:pPr>
      <w:r>
        <w:t xml:space="preserve">Erreurs fréquentes</w:t>
      </w:r>
    </w:p>
    <w:p>
      <w:pPr>
        <w:pStyle w:val="FirstParagraph"/>
      </w:pPr>
      <w:r>
        <w:t xml:space="preserve">⚠️ Erreur n°1 — supprimer la VM d’origine immédiatement après la migration</w:t>
      </w:r>
      <w:r>
        <w:t xml:space="preserve"> </w:t>
      </w:r>
      <w:r>
        <w:t xml:space="preserve">Rappel de la section 38.8 : sans période de validation ni plan de retour arrière conservé, une migration qui semblait réussie mais révèle un problème après quelques jours devient bien plus difficile à corriger.</w:t>
      </w:r>
    </w:p>
    <w:p>
      <w:pPr>
        <w:pStyle w:val="BodyText"/>
      </w:pPr>
      <w:r>
        <w:t xml:space="preserve">⚠️ Erreur n°2 — ne pas nettoyer les résidus de pilotes de l’ancien hyperviseur</w:t>
      </w:r>
      <w:r>
        <w:t xml:space="preserve"> </w:t>
      </w:r>
      <w:r>
        <w:t xml:space="preserve">Rappel de la section 38.5 : des composants orphelins peuvent provoquer des comportements imprévisibles, parfois bien après la migration elle-même, rendant le diagnostic ultérieur plus complexe qu’il ne devrait l’être.</w:t>
      </w:r>
    </w:p>
    <w:p>
      <w:pPr>
        <w:pStyle w:val="BodyText"/>
      </w:pPr>
      <w:r>
        <w:t xml:space="preserve">⚠️ Erreur n°3 — considérer un simple démarrage réussi comme une validation suffisante</w:t>
      </w:r>
      <w:r>
        <w:t xml:space="preserve"> </w:t>
      </w:r>
      <w:r>
        <w:t xml:space="preserve">Rappel de la section 38.7 : une VM qui démarre n’est pas une VM entièrement fonctionnelle — seule une checklist de validation fonctionnelle complète confirme réellement le succès d’une migration.</w:t>
      </w:r>
    </w:p>
    <w:bookmarkEnd w:id="946"/>
    <w:bookmarkStart w:id="947" w:name="Xa765d64247dadd7b6a55718808596adceedd521"/>
    <w:p>
      <w:pPr>
        <w:pStyle w:val="Heading2"/>
      </w:pPr>
      <w:r>
        <w:t xml:space="preserve">Diagnostiquer une VM qui démarre mal après migration</w:t>
      </w:r>
    </w:p>
    <w:p>
      <w:pPr>
        <w:pStyle w:val="FirstParagraph"/>
      </w:pPr>
      <w:r>
        <w:t xml:space="preserve">🩺 Symptôme : une VM migrée démarre mais présente des comportements anormaux (services en erreur, lenteurs inexpliquées)</w:t>
      </w:r>
    </w:p>
    <w:p>
      <w:pPr>
        <w:pStyle w:val="Compact"/>
        <w:numPr>
          <w:ilvl w:val="0"/>
          <w:numId w:val="1875"/>
        </w:numPr>
      </w:pPr>
      <w:r>
        <w:rPr>
          <w:b/>
          <w:bCs/>
        </w:rPr>
        <w:t xml:space="preserve">Diagnostic</w:t>
      </w:r>
      <w:r>
        <w:t xml:space="preserve"> </w:t>
      </w:r>
      <w:r>
        <w:t xml:space="preserve">: vérifier en priorité la présence de résidus de pilotes de l’ancien hyperviseur (section 38.5) — une cause fréquente de comportements anormaux après une migration V2V, souvent négligée au profit d’hypothèses plus complexes.</w:t>
      </w:r>
    </w:p>
    <w:p>
      <w:pPr>
        <w:pStyle w:val="Compact"/>
        <w:numPr>
          <w:ilvl w:val="0"/>
          <w:numId w:val="1875"/>
        </w:numPr>
      </w:pPr>
      <w:r>
        <w:rPr>
          <w:b/>
          <w:bCs/>
        </w:rPr>
        <w:t xml:space="preserve">Comment vérifier</w:t>
      </w:r>
      <w:r>
        <w:t xml:space="preserve"> </w:t>
      </w:r>
      <w:r>
        <w:t xml:space="preserve">: consulter la liste des services et pilotes installés (rappel du chapitre 16 pour systemd sur Linux, ou le Gestionnaire de périphériques sur Windows) à la recherche de composants spécifiques à l’ancien hyperviseur encore présents.</w:t>
      </w:r>
    </w:p>
    <w:p>
      <w:pPr>
        <w:pStyle w:val="Compact"/>
        <w:numPr>
          <w:ilvl w:val="0"/>
          <w:numId w:val="1875"/>
        </w:numPr>
      </w:pPr>
      <w:r>
        <w:rPr>
          <w:b/>
          <w:bCs/>
        </w:rPr>
        <w:t xml:space="preserve">Résolution</w:t>
      </w:r>
      <w:r>
        <w:t xml:space="preserve"> </w:t>
      </w:r>
      <w:r>
        <w:t xml:space="preserve">: désinstaller proprement les composants de l’ancien hyperviseur et installer les outils d’intégration natifs du nouvel hyperviseur, puis redémarrer et revalider entièrement selon la checklist de la section 38.7.</w:t>
      </w:r>
    </w:p>
    <w:bookmarkEnd w:id="947"/>
    <w:bookmarkStart w:id="948" w:name="en-entreprise-37"/>
    <w:p>
      <w:pPr>
        <w:pStyle w:val="Heading2"/>
      </w:pPr>
      <w:r>
        <w:t xml:space="preserve">En entreprise</w:t>
      </w:r>
    </w:p>
    <w:p>
      <w:pPr>
        <w:pStyle w:val="Compact"/>
        <w:numPr>
          <w:ilvl w:val="0"/>
          <w:numId w:val="1876"/>
        </w:numPr>
      </w:pPr>
      <w:r>
        <w:rPr>
          <w:b/>
          <w:bCs/>
        </w:rPr>
        <w:t xml:space="preserve">Bonne pratique répandue</w:t>
      </w:r>
      <w:r>
        <w:t xml:space="preserve"> </w:t>
      </w:r>
      <w:r>
        <w:t xml:space="preserve">: maintenir une compétence minimale sur au moins deux hyperviseurs différents au sein de l’équipe infrastructure, précisément pour réduire le risque de dépendance opérationnelle en cas de nécessité de migration future, rejoignant le risque de</w:t>
      </w:r>
      <w:r>
        <w:t xml:space="preserve"> </w:t>
      </w:r>
      <w:r>
        <w:t xml:space="preserve">“bus factor”</w:t>
      </w:r>
      <w:r>
        <w:t xml:space="preserve"> </w:t>
      </w:r>
      <w:r>
        <w:t xml:space="preserve">déjà évoqué au chapitre 1, appliqué ici à l’expertise technologique plutôt qu’aux connaissances d’un système précis.</w:t>
      </w:r>
    </w:p>
    <w:p>
      <w:pPr>
        <w:pStyle w:val="Compact"/>
        <w:numPr>
          <w:ilvl w:val="0"/>
          <w:numId w:val="1876"/>
        </w:numPr>
      </w:pPr>
      <w:r>
        <w:rPr>
          <w:b/>
          <w:bCs/>
        </w:rPr>
        <w:t xml:space="preserve">Bonne pratique répandue</w:t>
      </w:r>
      <w:r>
        <w:t xml:space="preserve"> </w:t>
      </w:r>
      <w:r>
        <w:t xml:space="preserve">: documenter (chapitre 3) toute migration V2V réalisée, avec sa date, sa justification et les problèmes rencontrés pendant le processus — une référence précieuse pour toute migration future similaire.</w:t>
      </w:r>
    </w:p>
    <w:p>
      <w:pPr>
        <w:pStyle w:val="Compact"/>
        <w:numPr>
          <w:ilvl w:val="0"/>
          <w:numId w:val="1876"/>
        </w:numPr>
      </w:pPr>
      <w:r>
        <w:rPr>
          <w:b/>
          <w:bCs/>
        </w:rPr>
        <w:t xml:space="preserve">Erreur classique observée</w:t>
      </w:r>
      <w:r>
        <w:t xml:space="preserve"> </w:t>
      </w:r>
      <w:r>
        <w:t xml:space="preserve">: une organisation qui découvre, seulement au moment où une migration devient nécessaire pour des raisons économiques urgentes (comme dans le scénario d’ouverture), qu’aucune procédure ni compétence de migration n’a jamais été anticipée ni testée à l’avance.</w:t>
      </w:r>
    </w:p>
    <w:bookmarkEnd w:id="948"/>
    <w:bookmarkStart w:id="949" w:name="entretien-technique-37"/>
    <w:p>
      <w:pPr>
        <w:pStyle w:val="Heading2"/>
      </w:pPr>
      <w:r>
        <w:t xml:space="preserve">Entretien technique</w:t>
      </w:r>
    </w:p>
    <w:p>
      <w:pPr>
        <w:pStyle w:val="FirstParagraph"/>
      </w:pPr>
      <w:r>
        <w:t xml:space="preserve">💼 Questions fréquemment posées en entretien</w:t>
      </w:r>
    </w:p>
    <w:p>
      <w:pPr>
        <w:pStyle w:val="BodyText"/>
      </w:pPr>
      <w:r>
        <w:rPr>
          <w:b/>
          <w:bCs/>
        </w:rPr>
        <w:t xml:space="preserve">Q1.</w:t>
      </w:r>
      <w:r>
        <w:rPr>
          <w:b/>
          <w:bCs/>
        </w:rPr>
        <w:t xml:space="preserve"> </w:t>
      </w:r>
      <w:r>
        <w:rPr>
          <w:b/>
          <w:bCs/>
        </w:rPr>
        <w:t xml:space="preserve">“Pourquoi une entreprise choisirait-elle de migrer une charge de travail d’un hyperviseur à un autre ?”</w:t>
      </w:r>
      <w:r>
        <w:t xml:space="preserve"> </w:t>
      </w:r>
      <w:r>
        <w:t xml:space="preserve">Réponse attendue : plusieurs raisons possibles — un changement de politique de licence ou de tarification de l’éditeur (le scénario le plus documenté ces dernières années), une consolidation stratégique vers un écosystème unique, ou une réduction de coûts. La portabilité entre hyperviseurs constitue une option stratégique de secours face à ce type de risque de dépendance à un fournisseur unique.</w:t>
      </w:r>
    </w:p>
    <w:p>
      <w:pPr>
        <w:pStyle w:val="BodyText"/>
      </w:pPr>
      <w:r>
        <w:rPr>
          <w:b/>
          <w:bCs/>
        </w:rPr>
        <w:t xml:space="preserve">Q2.</w:t>
      </w:r>
      <w:r>
        <w:rPr>
          <w:b/>
          <w:bCs/>
        </w:rPr>
        <w:t xml:space="preserve"> </w:t>
      </w:r>
      <w:r>
        <w:rPr>
          <w:b/>
          <w:bCs/>
        </w:rPr>
        <w:t xml:space="preserve">“Quel est le principal piège technique d’une migration V2V entre hyperviseurs différents ?”</w:t>
      </w:r>
      <w:r>
        <w:t xml:space="preserve"> </w:t>
      </w:r>
      <w:r>
        <w:t xml:space="preserve">Réponse attendue : les résidus de pilotes et d’outils d’intégration spécifiques à l’ancien hyperviseur (VMware Tools, Services d’intégration Hyper-V), qui restent installés après migration et peuvent provoquer des comportements imprévisibles — un nettoyage explicite reste indispensable, jamais automatique.</w:t>
      </w:r>
    </w:p>
    <w:p>
      <w:pPr>
        <w:pStyle w:val="BodyText"/>
      </w:pPr>
      <w:r>
        <w:rPr>
          <w:b/>
          <w:bCs/>
        </w:rPr>
        <w:t xml:space="preserve">Q3.</w:t>
      </w:r>
      <w:r>
        <w:rPr>
          <w:b/>
          <w:bCs/>
        </w:rPr>
        <w:t xml:space="preserve"> </w:t>
      </w:r>
      <w:r>
        <w:rPr>
          <w:b/>
          <w:bCs/>
        </w:rPr>
        <w:t xml:space="preserve">“Comment appliquerais-tu le processus de gestion du changement du chapitre 2 à une migration entre hyperviseurs ?”</w:t>
      </w:r>
      <w:r>
        <w:t xml:space="preserve"> </w:t>
      </w:r>
      <w:r>
        <w:t xml:space="preserve">Réponse attendue : traiter la migration comme un changement normal à risque réel, avec une évaluation préalable, un test sur une copie non productive, une fenêtre de maintenance planifiée, et surtout un plan de retour arrière explicite (conserver la VM d’origine intacte jusqu’à validation complète du succès de la migration).</w:t>
      </w:r>
    </w:p>
    <w:bookmarkEnd w:id="949"/>
    <w:bookmarkStart w:id="950" w:name="Xbb01149dca5e0ea476b00eb9a7a26dce08849c3"/>
    <w:p>
      <w:pPr>
        <w:pStyle w:val="Heading2"/>
      </w:pPr>
      <w:r>
        <w:t xml:space="preserve">Optimisation, sécurité et maintenabilité — les réflexes dès ce chapitre</w:t>
      </w:r>
    </w:p>
    <w:p>
      <w:pPr>
        <w:pStyle w:val="FirstParagraph"/>
      </w:pPr>
      <w:r>
        <w:t xml:space="preserve">🔒 Sécurité</w:t>
      </w:r>
      <w:r>
        <w:t xml:space="preserve"> </w:t>
      </w:r>
      <w:r>
        <w:t xml:space="preserve">Ne supprime jamais la VM d’origine avant une période de validation suffisante sur le nouvel hyperviseur (section 38.8) — un plan de retour arrière n’a de valeur que s’il reste réellement disponible, pas seulement documenté en théorie.</w:t>
      </w:r>
    </w:p>
    <w:p>
      <w:pPr>
        <w:pStyle w:val="BodyText"/>
      </w:pPr>
      <w:r>
        <w:t xml:space="preserve">✅ Maintenabilité</w:t>
      </w:r>
      <w:r>
        <w:t xml:space="preserve"> </w:t>
      </w:r>
      <w:r>
        <w:t xml:space="preserve">Documente (chapitre 3) chaque migration V2V réalisée, avec la checklist complète utilisée et les éventuels problèmes rencontrés — une base de connaissance précieuse pour accélérer et fiabiliser toute migration future similaire.</w:t>
      </w:r>
    </w:p>
    <w:p>
      <w:pPr>
        <w:pStyle w:val="BodyText"/>
      </w:pPr>
      <w:r>
        <w:t xml:space="preserve">🚀 Performance</w:t>
      </w:r>
      <w:r>
        <w:t xml:space="preserve"> </w:t>
      </w:r>
      <w:r>
        <w:t xml:space="preserve">Teste systématiquement une migration sur une copie non productive avant toute tentative sur un système réel — le temps investi dans ce test préalable reste toujours inférieur au coût d’une migration ratée en production, un principe déjà établi pour les sauvegardes (chapitre 30) et directement transposable ici.</w:t>
      </w:r>
    </w:p>
    <w:bookmarkEnd w:id="950"/>
    <w:bookmarkStart w:id="951" w:name="résumé-du-chapitre-37"/>
    <w:p>
      <w:pPr>
        <w:pStyle w:val="Heading2"/>
      </w:pPr>
      <w:r>
        <w:t xml:space="preserve">Résumé du chapitre</w:t>
      </w:r>
    </w:p>
    <w:p>
      <w:pPr>
        <w:pStyle w:val="Compact"/>
        <w:numPr>
          <w:ilvl w:val="0"/>
          <w:numId w:val="1877"/>
        </w:numPr>
      </w:pPr>
      <w:r>
        <w:t xml:space="preserve">La portabilité entre hyperviseurs réduit le risque de dépendance à un fournisseur unique (vendor lock-in), un risque stratégique bien réel et documenté sur le marché de la virtualisation.</w:t>
      </w:r>
    </w:p>
    <w:p>
      <w:pPr>
        <w:pStyle w:val="Compact"/>
        <w:numPr>
          <w:ilvl w:val="0"/>
          <w:numId w:val="1877"/>
        </w:numPr>
      </w:pPr>
      <w:r>
        <w:t xml:space="preserve">OVA/OVF constitue le format d’échange le plus largement supporté entre hyperviseurs différents, même s’il ne garantit jamais une compatibilité parfaite sans ajustement.</w:t>
      </w:r>
    </w:p>
    <w:p>
      <w:pPr>
        <w:pStyle w:val="Compact"/>
        <w:numPr>
          <w:ilvl w:val="0"/>
          <w:numId w:val="1877"/>
        </w:numPr>
      </w:pPr>
      <w:r>
        <w:t xml:space="preserve">P2V convertit un serveur physique en VM ; V2V convertit une VM d’un hyperviseur vers un autre.</w:t>
      </w:r>
    </w:p>
    <w:p>
      <w:pPr>
        <w:pStyle w:val="Compact"/>
        <w:numPr>
          <w:ilvl w:val="0"/>
          <w:numId w:val="1877"/>
        </w:numPr>
      </w:pPr>
      <w:r>
        <w:t xml:space="preserve">Les résidus de pilotes de l’ancien hyperviseur (VMware Tools, Services d’intégration Hyper-V) doivent être nettoyés explicitement après toute migration V2V.</w:t>
      </w:r>
    </w:p>
    <w:p>
      <w:pPr>
        <w:pStyle w:val="Compact"/>
        <w:numPr>
          <w:ilvl w:val="0"/>
          <w:numId w:val="1877"/>
        </w:numPr>
      </w:pPr>
      <w:r>
        <w:t xml:space="preserve">La synchronisation temporelle doit être revérifiée après chaque migration, jamais supposée automatiquement correcte simplement parce qu’elle l’était sur l’ancien hyperviseur.</w:t>
      </w:r>
    </w:p>
    <w:p>
      <w:pPr>
        <w:pStyle w:val="Compact"/>
        <w:numPr>
          <w:ilvl w:val="0"/>
          <w:numId w:val="1877"/>
        </w:numPr>
      </w:pPr>
      <w:r>
        <w:t xml:space="preserve">Une migration entre hyperviseurs de production doit suivre le processus de changement du chapitre 2, avec un plan de retour arrière conservé jusqu’à validation complète.</w:t>
      </w:r>
    </w:p>
    <w:bookmarkEnd w:id="951"/>
    <w:bookmarkStart w:id="952" w:name="quiz-37"/>
    <w:p>
      <w:pPr>
        <w:pStyle w:val="Heading2"/>
      </w:pPr>
      <w:r>
        <w:t xml:space="preserve">Quiz</w:t>
      </w:r>
    </w:p>
    <w:p>
      <w:pPr>
        <w:pStyle w:val="FirstParagraph"/>
      </w:pPr>
      <w:r>
        <w:t xml:space="preserve">📝 QCM (une seule bonne réponse par question)</w:t>
      </w:r>
    </w:p>
    <w:p>
      <w:pPr>
        <w:pStyle w:val="Compact"/>
        <w:numPr>
          <w:ilvl w:val="0"/>
          <w:numId w:val="1878"/>
        </w:numPr>
      </w:pPr>
      <w:r>
        <w:t xml:space="preserve">OVA/OVF est :</w:t>
      </w:r>
    </w:p>
    <w:p>
      <w:pPr>
        <w:pStyle w:val="Compact"/>
        <w:numPr>
          <w:ilvl w:val="1"/>
          <w:numId w:val="1879"/>
        </w:numPr>
      </w:pPr>
    </w:p>
    <w:p>
      <w:pPr>
        <w:pStyle w:val="Compact"/>
        <w:numPr>
          <w:ilvl w:val="2"/>
          <w:numId w:val="1880"/>
        </w:numPr>
      </w:pPr>
      <w:r>
        <w:t xml:space="preserve">Un format propriétaire exclusif à VMware</w:t>
      </w:r>
    </w:p>
    <w:p>
      <w:pPr>
        <w:pStyle w:val="Compact"/>
        <w:numPr>
          <w:ilvl w:val="1"/>
          <w:numId w:val="1879"/>
        </w:numPr>
      </w:pPr>
    </w:p>
    <w:p>
      <w:pPr>
        <w:pStyle w:val="Compact"/>
        <w:numPr>
          <w:ilvl w:val="2"/>
          <w:numId w:val="1881"/>
        </w:numPr>
      </w:pPr>
      <w:r>
        <w:t xml:space="preserve">Un standard ouvert largement supporté entre différents hyperviseurs</w:t>
      </w:r>
    </w:p>
    <w:p>
      <w:pPr>
        <w:pStyle w:val="Compact"/>
        <w:numPr>
          <w:ilvl w:val="1"/>
          <w:numId w:val="1879"/>
        </w:numPr>
      </w:pPr>
    </w:p>
    <w:p>
      <w:pPr>
        <w:pStyle w:val="Compact"/>
        <w:numPr>
          <w:ilvl w:val="2"/>
          <w:numId w:val="1882"/>
        </w:numPr>
      </w:pPr>
      <w:r>
        <w:t xml:space="preserve">Un protocole réseau</w:t>
      </w:r>
    </w:p>
    <w:p>
      <w:pPr>
        <w:pStyle w:val="Compact"/>
        <w:numPr>
          <w:ilvl w:val="1"/>
          <w:numId w:val="1879"/>
        </w:numPr>
      </w:pPr>
    </w:p>
    <w:p>
      <w:pPr>
        <w:pStyle w:val="Compact"/>
        <w:numPr>
          <w:ilvl w:val="2"/>
          <w:numId w:val="1883"/>
        </w:numPr>
      </w:pPr>
      <w:r>
        <w:t xml:space="preserve">Un outil de sauvegarde</w:t>
      </w:r>
    </w:p>
    <w:p>
      <w:pPr>
        <w:pStyle w:val="Compact"/>
        <w:numPr>
          <w:ilvl w:val="0"/>
          <w:numId w:val="1878"/>
        </w:numPr>
      </w:pPr>
      <w:r>
        <w:t xml:space="preserve">V2V désigne :</w:t>
      </w:r>
    </w:p>
    <w:p>
      <w:pPr>
        <w:pStyle w:val="Compact"/>
        <w:numPr>
          <w:ilvl w:val="1"/>
          <w:numId w:val="1884"/>
        </w:numPr>
      </w:pPr>
    </w:p>
    <w:p>
      <w:pPr>
        <w:pStyle w:val="Compact"/>
        <w:numPr>
          <w:ilvl w:val="2"/>
          <w:numId w:val="1885"/>
        </w:numPr>
      </w:pPr>
      <w:r>
        <w:t xml:space="preserve">La conversion d’un serveur physique en VM</w:t>
      </w:r>
    </w:p>
    <w:p>
      <w:pPr>
        <w:pStyle w:val="Compact"/>
        <w:numPr>
          <w:ilvl w:val="1"/>
          <w:numId w:val="1884"/>
        </w:numPr>
      </w:pPr>
    </w:p>
    <w:p>
      <w:pPr>
        <w:pStyle w:val="Compact"/>
        <w:numPr>
          <w:ilvl w:val="2"/>
          <w:numId w:val="1886"/>
        </w:numPr>
      </w:pPr>
      <w:r>
        <w:t xml:space="preserve">La conversion d’une VM d’un hyperviseur vers un autre</w:t>
      </w:r>
    </w:p>
    <w:p>
      <w:pPr>
        <w:pStyle w:val="Compact"/>
        <w:numPr>
          <w:ilvl w:val="1"/>
          <w:numId w:val="1884"/>
        </w:numPr>
      </w:pPr>
    </w:p>
    <w:p>
      <w:pPr>
        <w:pStyle w:val="Compact"/>
        <w:numPr>
          <w:ilvl w:val="2"/>
          <w:numId w:val="1887"/>
        </w:numPr>
      </w:pPr>
      <w:r>
        <w:t xml:space="preserve">La virtualisation d’un réseau</w:t>
      </w:r>
    </w:p>
    <w:p>
      <w:pPr>
        <w:pStyle w:val="Compact"/>
        <w:numPr>
          <w:ilvl w:val="1"/>
          <w:numId w:val="1884"/>
        </w:numPr>
      </w:pPr>
    </w:p>
    <w:p>
      <w:pPr>
        <w:pStyle w:val="Compact"/>
        <w:numPr>
          <w:ilvl w:val="2"/>
          <w:numId w:val="1888"/>
        </w:numPr>
      </w:pPr>
      <w:r>
        <w:t xml:space="preserve">Une méthode de chiffrement</w:t>
      </w:r>
    </w:p>
    <w:p>
      <w:pPr>
        <w:pStyle w:val="Compact"/>
        <w:numPr>
          <w:ilvl w:val="0"/>
          <w:numId w:val="1878"/>
        </w:numPr>
      </w:pPr>
      <w:r>
        <w:t xml:space="preserve">Après une migration V2V, la première cause de comportements anormaux à vérifier est généralement :</w:t>
      </w:r>
    </w:p>
    <w:p>
      <w:pPr>
        <w:pStyle w:val="Compact"/>
        <w:numPr>
          <w:ilvl w:val="1"/>
          <w:numId w:val="1889"/>
        </w:numPr>
      </w:pPr>
    </w:p>
    <w:p>
      <w:pPr>
        <w:pStyle w:val="Compact"/>
        <w:numPr>
          <w:ilvl w:val="2"/>
          <w:numId w:val="1890"/>
        </w:numPr>
      </w:pPr>
      <w:r>
        <w:t xml:space="preserve">Un problème de mot de passe</w:t>
      </w:r>
    </w:p>
    <w:p>
      <w:pPr>
        <w:pStyle w:val="Compact"/>
        <w:numPr>
          <w:ilvl w:val="1"/>
          <w:numId w:val="1889"/>
        </w:numPr>
      </w:pPr>
    </w:p>
    <w:p>
      <w:pPr>
        <w:pStyle w:val="Compact"/>
        <w:numPr>
          <w:ilvl w:val="2"/>
          <w:numId w:val="1891"/>
        </w:numPr>
      </w:pPr>
      <w:r>
        <w:t xml:space="preserve">Des résidus de pilotes de l’ancien hyperviseur</w:t>
      </w:r>
    </w:p>
    <w:p>
      <w:pPr>
        <w:pStyle w:val="Compact"/>
        <w:numPr>
          <w:ilvl w:val="1"/>
          <w:numId w:val="1889"/>
        </w:numPr>
      </w:pPr>
    </w:p>
    <w:p>
      <w:pPr>
        <w:pStyle w:val="Compact"/>
        <w:numPr>
          <w:ilvl w:val="2"/>
          <w:numId w:val="1892"/>
        </w:numPr>
      </w:pPr>
      <w:r>
        <w:t xml:space="preserve">Une panne du réseau physique</w:t>
      </w:r>
    </w:p>
    <w:p>
      <w:pPr>
        <w:pStyle w:val="Compact"/>
        <w:numPr>
          <w:ilvl w:val="1"/>
          <w:numId w:val="1889"/>
        </w:numPr>
      </w:pPr>
    </w:p>
    <w:p>
      <w:pPr>
        <w:pStyle w:val="Compact"/>
        <w:numPr>
          <w:ilvl w:val="2"/>
          <w:numId w:val="1893"/>
        </w:numPr>
      </w:pPr>
      <w:r>
        <w:t xml:space="preserve">Un problème de licence Windows</w:t>
      </w:r>
    </w:p>
    <w:p>
      <w:pPr>
        <w:pStyle w:val="FirstParagraph"/>
      </w:pPr>
      <w:r>
        <w:rPr>
          <w:b/>
          <w:bCs/>
        </w:rPr>
        <w:t xml:space="preserve">Corrigé</w:t>
      </w:r>
      <w:r>
        <w:t xml:space="preserve"> </w:t>
      </w:r>
      <w:r>
        <w:t xml:space="preserve">: 1-b, 2-b, 3-b.</w:t>
      </w:r>
    </w:p>
    <w:p>
      <w:pPr>
        <w:pStyle w:val="BodyText"/>
      </w:pPr>
      <w:r>
        <w:t xml:space="preserve">📝 Vrai ou Faux</w:t>
      </w:r>
    </w:p>
    <w:p>
      <w:pPr>
        <w:pStyle w:val="Compact"/>
        <w:numPr>
          <w:ilvl w:val="0"/>
          <w:numId w:val="1894"/>
        </w:numPr>
      </w:pPr>
      <w:r>
        <w:t xml:space="preserve">Une migration V2V entre hyperviseurs différents est toujours parfaitement transparente, sans aucun ajustement nécessaire. —</w:t>
      </w:r>
      <w:r>
        <w:t xml:space="preserve"> </w:t>
      </w:r>
      <w:r>
        <w:rPr>
          <w:b/>
          <w:bCs/>
        </w:rPr>
        <w:t xml:space="preserve">Faux</w:t>
      </w:r>
      <w:r>
        <w:t xml:space="preserve"> </w:t>
      </w:r>
      <w:r>
        <w:t xml:space="preserve">(des ajustements et un nettoyage restent généralement nécessaires, section 38.5).</w:t>
      </w:r>
    </w:p>
    <w:p>
      <w:pPr>
        <w:pStyle w:val="Compact"/>
        <w:numPr>
          <w:ilvl w:val="0"/>
          <w:numId w:val="1894"/>
        </w:numPr>
      </w:pPr>
      <w:r>
        <w:t xml:space="preserve">La VM d’origine devrait être supprimée immédiatement après une migration réussie, pour économiser de l’espace de stockage. —</w:t>
      </w:r>
      <w:r>
        <w:t xml:space="preserve"> </w:t>
      </w:r>
      <w:r>
        <w:rPr>
          <w:b/>
          <w:bCs/>
        </w:rPr>
        <w:t xml:space="preserve">Faux</w:t>
      </w:r>
      <w:r>
        <w:t xml:space="preserve"> </w:t>
      </w:r>
      <w:r>
        <w:t xml:space="preserve">(elle doit être conservée jusqu’à validation complète, section 38.8).</w:t>
      </w:r>
    </w:p>
    <w:p>
      <w:pPr>
        <w:pStyle w:val="Compact"/>
        <w:numPr>
          <w:ilvl w:val="0"/>
          <w:numId w:val="1894"/>
        </w:numPr>
      </w:pPr>
      <w:r>
        <w:t xml:space="preserve">Une VM qui démarre correctement après migration est automatiquement considérée comme entièrement validée. —</w:t>
      </w:r>
      <w:r>
        <w:t xml:space="preserve"> </w:t>
      </w:r>
      <w:r>
        <w:rPr>
          <w:b/>
          <w:bCs/>
        </w:rPr>
        <w:t xml:space="preserve">Faux</w:t>
      </w:r>
      <w:r>
        <w:t xml:space="preserve"> </w:t>
      </w:r>
      <w:r>
        <w:t xml:space="preserve">(une checklist de validation fonctionnelle complète reste nécessaire, section 38.7).</w:t>
      </w:r>
    </w:p>
    <w:p>
      <w:pPr>
        <w:pStyle w:val="Compact"/>
        <w:numPr>
          <w:ilvl w:val="0"/>
          <w:numId w:val="1894"/>
        </w:numPr>
      </w:pPr>
      <w:r>
        <w:t xml:space="preserve">La dépendance à un fournisseur unique d’hyperviseur (vendor lock-in) représente un risque stratégique réel pour une organisation. —</w:t>
      </w:r>
      <w:r>
        <w:t xml:space="preserve"> </w:t>
      </w:r>
      <w:r>
        <w:rPr>
          <w:b/>
          <w:bCs/>
        </w:rPr>
        <w:t xml:space="preserve">Vrai</w:t>
      </w:r>
      <w:r>
        <w:t xml:space="preserve">.</w:t>
      </w:r>
    </w:p>
    <w:p>
      <w:pPr>
        <w:pStyle w:val="FirstParagraph"/>
      </w:pPr>
      <w:r>
        <w:t xml:space="preserve">📝 Questions ouvertes</w:t>
      </w:r>
    </w:p>
    <w:p>
      <w:pPr>
        <w:pStyle w:val="Compact"/>
        <w:numPr>
          <w:ilvl w:val="0"/>
          <w:numId w:val="1895"/>
        </w:numPr>
      </w:pPr>
      <w:r>
        <w:t xml:space="preserve">Explique pourquoi une migration entre hyperviseurs devrait toujours être traitée comme un changement normal du chapitre 2, jamais comme une simple opération technique routinière.</w:t>
      </w:r>
    </w:p>
    <w:p>
      <w:pPr>
        <w:pStyle w:val="Compact"/>
        <w:numPr>
          <w:ilvl w:val="0"/>
          <w:numId w:val="1895"/>
        </w:numPr>
      </w:pPr>
      <w:r>
        <w:t xml:space="preserve">Reprends le scénario d’ouverture. Explique pourquoi ce type de situation illustre l’intérêt d’avoir déjà une infrastructure multi-hyperviseurs (VMware, Hyper-V, Proxmox) plutôt qu’un choix unique et exclusif.</w:t>
      </w:r>
    </w:p>
    <w:p>
      <w:pPr>
        <w:pStyle w:val="FirstParagraph"/>
      </w:pPr>
      <w:r>
        <w:rPr>
          <w:b/>
          <w:bCs/>
        </w:rPr>
        <w:t xml:space="preserve">Corrigé 1</w:t>
      </w:r>
      <w:r>
        <w:t xml:space="preserve"> </w:t>
      </w:r>
      <w:r>
        <w:t xml:space="preserve">: une migration entre hyperviseurs comporte un risque réel de dysfonctionnement (résidus de pilotes, comportements imprévisibles, sections 38.5-38.6), touchant potentiellement un système critique comme un contrôleur de domaine — exactement le type de risque que le processus de changement du chapitre 2 est conçu pour maîtriser, avec une évaluation préalable, un test, et surtout un plan de retour arrière. Traiter cette opération comme une simple tâche technique routinière, sans cette rigueur, exposerait l’entreprise à un risque disproportionné par rapport au bénéfice recherché.</w:t>
      </w:r>
    </w:p>
    <w:p>
      <w:pPr>
        <w:pStyle w:val="BodyText"/>
      </w:pPr>
      <w:r>
        <w:rPr>
          <w:b/>
          <w:bCs/>
        </w:rPr>
        <w:t xml:space="preserve">Corrigé 2</w:t>
      </w:r>
      <w:r>
        <w:t xml:space="preserve"> </w:t>
      </w:r>
      <w:r>
        <w:t xml:space="preserve">: une infrastructure déjà partiellement diversifiée entre plusieurs hyperviseurs (comme celle construite au fil de ce manuel) offre une option de repli immédiate et déjà éprouvée (Proxmox, déjà utilisé avec succès au Cap-Haïtien) face à un changement défavorable chez un fournisseur — contrairement à une organisation entièrement dépendante d’un seul hyperviseur, qui devrait à la fois apprendre un nouvel écosystème ET migrer dans l’urgence, cumulant les risques et les délais. La diversification, même partielle, réduit concrètement l’impact d’un risque de dépendance à un fournisseur unique, exactement l’argument central de la section 38.1.</w:t>
      </w:r>
    </w:p>
    <w:bookmarkEnd w:id="952"/>
    <w:bookmarkStart w:id="953" w:name="exercices-37"/>
    <w:p>
      <w:pPr>
        <w:pStyle w:val="Heading2"/>
      </w:pPr>
      <w:r>
        <w:t xml:space="preserve">Exercices</w:t>
      </w:r>
    </w:p>
    <w:p>
      <w:pPr>
        <w:pStyle w:val="FirstParagraph"/>
      </w:pPr>
      <w:r>
        <w:t xml:space="preserve">📝 Exercice 38.1</w:t>
      </w:r>
    </w:p>
    <w:p>
      <w:pPr>
        <w:pStyle w:val="BodyText"/>
      </w:pPr>
      <w:r>
        <w:t xml:space="preserve">Une VM migrée de VMware vers Proxmox démarre normalement, mais un service applicatif qui dépendait auparavant d’une intégration spécifique à VMware Tools (par exemple, un script de sauvegarde automatisé qui interrogeait des informations fournies par VMware Tools) échoue silencieusement. Explique la cause probable et la démarche de correction.</w:t>
      </w:r>
    </w:p>
    <w:p>
      <w:pPr>
        <w:pStyle w:val="BodyText"/>
      </w:pPr>
      <w:r>
        <w:rPr>
          <w:b/>
          <w:bCs/>
        </w:rPr>
        <w:t xml:space="preserve">Corrigé :</w:t>
      </w:r>
      <w:r>
        <w:t xml:space="preserve"> </w:t>
      </w:r>
      <w:r>
        <w:t xml:space="preserve">La cause probable est la dépendance du script à une fonctionnalité ou une information spécifiquement fournie par VMware Tools (section 38.5), qui n’a plus d’équivalent après la migration vers Proxmox sans adaptation. La démarche de correction consiste à identifier précisément cette dépendance (en consultant la documentation ou le code du script concerné), puis à l’adapter pour utiliser l’équivalent natif de Proxmox/KVM si disponible, ou à repenser cette fonctionnalité différemment — un exemple concret de pourquoi la checklist de validation post-migration (section 38.7) doit couvrir explicitement tous les scripts et automatisations dépendant potentiellement de l’ancien hyperviseur, pas seulement le système d’exploitation de base.</w:t>
      </w:r>
    </w:p>
    <w:p>
      <w:pPr>
        <w:pStyle w:val="BodyText"/>
      </w:pPr>
      <w:r>
        <w:t xml:space="preserve">📝 Exercice 38.2</w:t>
      </w:r>
    </w:p>
    <w:p>
      <w:pPr>
        <w:pStyle w:val="BodyText"/>
      </w:pPr>
      <w:r>
        <w:t xml:space="preserve">Rédige, en 3 à 5 phrases, pourquoi documenter (chapitre 3) chaque migration V2V réalisée constitue un investissement qui profite à l’organisation bien au-delà de la migration elle-même.</w:t>
      </w:r>
    </w:p>
    <w:p>
      <w:pPr>
        <w:pStyle w:val="BodyText"/>
      </w:pPr>
      <w:r>
        <w:rPr>
          <w:b/>
          <w:bCs/>
        </w:rPr>
        <w:t xml:space="preserve">Corrigé (exemple de réponse) :</w:t>
      </w:r>
      <w:r>
        <w:t xml:space="preserve"> </w:t>
      </w:r>
      <w:r>
        <w:t xml:space="preserve">Documenter une migration V2V — les étapes suivies, les problèmes rencontrés, les solutions appliquées — crée une référence directement réutilisable pour toute migration future similaire, réduisant le temps et le risque d’erreur la prochaine fois qu’une situation comparable se présente. Cette documentation devient particulièrement précieuse si l’entreprise doit un jour migrer plusieurs charges de travail similaires (comme dans le scénario d’ouverture, où plusieurs VM VMware pourraient nécessiter une migration suite au changement de politique de licence) — chaque migration suivante bénéficiant de l’expérience déjà acquise et documentée, plutôt que de repartir de zéro à chaque fois, exactement le même principe de valeur cumulative déjà établi pour les runbooks au chapitre 3.</w:t>
      </w:r>
    </w:p>
    <w:bookmarkEnd w:id="953"/>
    <w:bookmarkStart w:id="954" w:name="checklist-de-fin-de-chapitre-37"/>
    <w:p>
      <w:pPr>
        <w:pStyle w:val="Heading2"/>
      </w:pPr>
      <w:r>
        <w:t xml:space="preserve">Checklist de fin de chapitre</w:t>
      </w:r>
    </w:p>
    <w:p>
      <w:pPr>
        <w:pStyle w:val="FirstParagraph"/>
      </w:pPr>
      <w:r>
        <w:t xml:space="preserve">☐ Je comprends le risque de dépendance à un fournisseur unique (vendor lock-in) et son lien avec la portabilité entre hyperviseurs.</w:t>
      </w:r>
    </w:p>
    <w:p>
      <w:pPr>
        <w:pStyle w:val="BodyText"/>
      </w:pPr>
      <w:r>
        <w:t xml:space="preserve">☐ Je connais le rôle du format OVA/OVF comme dénominateur commun entre hyperviseurs différents.</w:t>
      </w:r>
    </w:p>
    <w:p>
      <w:pPr>
        <w:pStyle w:val="BodyText"/>
      </w:pPr>
      <w:r>
        <w:t xml:space="preserve">☐ Je sais distinguer P2V et V2V.</w:t>
      </w:r>
    </w:p>
    <w:p>
      <w:pPr>
        <w:pStyle w:val="BodyText"/>
      </w:pPr>
      <w:r>
        <w:t xml:space="preserve">☐ Je sais pourquoi les résidus de pilotes de l’ancien hyperviseur doivent être nettoyés après toute migration V2V.</w:t>
      </w:r>
    </w:p>
    <w:p>
      <w:pPr>
        <w:pStyle w:val="BodyText"/>
      </w:pPr>
      <w:r>
        <w:t xml:space="preserve">☐ Je sais pourquoi la synchronisation temporelle doit être revérifiée après chaque migration.</w:t>
      </w:r>
    </w:p>
    <w:p>
      <w:pPr>
        <w:pStyle w:val="BodyText"/>
      </w:pPr>
      <w:r>
        <w:t xml:space="preserve">☐ Je sais planifier une migration entre hyperviseurs comme un changement maîtrisé, avec un plan de retour arrière.</w:t>
      </w:r>
    </w:p>
    <w:bookmarkEnd w:id="954"/>
    <w:bookmarkStart w:id="955" w:name="faq-37"/>
    <w:p>
      <w:pPr>
        <w:pStyle w:val="Heading2"/>
      </w:pPr>
      <w:r>
        <w:t xml:space="preserve">FAQ</w:t>
      </w:r>
    </w:p>
    <w:p>
      <w:pPr>
        <w:pStyle w:val="FirstParagraph"/>
      </w:pPr>
      <w:r>
        <w:t xml:space="preserve">Une migration V2V entraîne-t-elle toujours une interruption de service ?</w:t>
      </w:r>
    </w:p>
    <w:p>
      <w:pPr>
        <w:pStyle w:val="BodyText"/>
      </w:pPr>
      <w:r>
        <w:t xml:space="preserve">Généralement oui, sauf outils spécialisés de migration à chaud entre hyperviseurs différents (plus rares et souvent limités que la migration à chaud au sein d’un même écosystème, comme vMotion ou Live Migration) — une fenêtre de maintenance planifiée (chapitre 2) reste l’approche la plus courante et la plus fiable pour ce type de migration.</w:t>
      </w:r>
    </w:p>
    <w:p>
      <w:pPr>
        <w:pStyle w:val="BodyText"/>
      </w:pPr>
      <w:r>
        <w:t xml:space="preserve">Faut-il migrer toute l’infrastructure d’un coup, ou progressivement ?</w:t>
      </w:r>
    </w:p>
    <w:p>
      <w:pPr>
        <w:pStyle w:val="BodyText"/>
      </w:pPr>
      <w:r>
        <w:t xml:space="preserve">Une approche progressive est fortement recommandée, en commençant par les systèmes les moins critiques pour valider la méthode avant de l’appliquer à des systèmes plus sensibles — exactement le même principe de déploiement pilote déjà recommandé pour les GPO au chapitre 7.</w:t>
      </w:r>
    </w:p>
    <w:p>
      <w:pPr>
        <w:pStyle w:val="BodyText"/>
      </w:pPr>
      <w:r>
        <w:t xml:space="preserve">Les licences logicielles du système d’exploitation invité sont-elles affectées par une migration V2V ?</w:t>
      </w:r>
    </w:p>
    <w:p>
      <w:pPr>
        <w:pStyle w:val="BodyText"/>
      </w:pPr>
      <w:r>
        <w:t xml:space="preserve">Cela dépend des conditions de licence spécifiques du système d’exploitation et des logiciels installés — certaines licences sont liées au matériel physique sous-jacent ou à des identifiants spécifiques à l’hyperviseur d’origine, un point à vérifier attentivement avant toute migration pour éviter une invalidation de licence inattendue.</w:t>
      </w:r>
    </w:p>
    <w:p>
      <w:pPr>
        <w:pStyle w:val="BodyText"/>
      </w:pPr>
      <w:r>
        <w:t xml:space="preserve">Existe-t-il des outils qui automatisent entièrement une migration V2V ?</w:t>
      </w:r>
    </w:p>
    <w:p>
      <w:pPr>
        <w:pStyle w:val="BodyText"/>
      </w:pPr>
      <w:r>
        <w:t xml:space="preserve">Des outils facilitent certaines étapes (conversion de format, transfert de disque), mais aucun outil ne remplace entièrement la vigilance humaine nécessaire au nettoyage des résidus et à la validation fonctionnelle complète décrite dans ce chapitre — l’automatisation aide, elle ne dispense jamais de la rigueur de vérification.</w:t>
      </w:r>
    </w:p>
    <w:bookmarkEnd w:id="955"/>
    <w:bookmarkStart w:id="958" w:name="références-et-pour-aller-plus-loin-37"/>
    <w:p>
      <w:pPr>
        <w:pStyle w:val="Heading2"/>
      </w:pPr>
      <w:r>
        <w:t xml:space="preserve">Références et pour aller plus loin</w:t>
      </w:r>
    </w:p>
    <w:p>
      <w:pPr>
        <w:pStyle w:val="Compact"/>
        <w:numPr>
          <w:ilvl w:val="0"/>
          <w:numId w:val="1896"/>
        </w:numPr>
      </w:pPr>
      <w:r>
        <w:t xml:space="preserve">Documentation officielle Proxmox — Importation de VM depuis d’autres hyperviseurs :</w:t>
      </w:r>
      <w:r>
        <w:t xml:space="preserve"> </w:t>
      </w:r>
      <w:hyperlink r:id="rId838">
        <w:r>
          <w:rPr>
            <w:rStyle w:val="Hyperlink"/>
          </w:rPr>
          <w:t xml:space="preserve">https://pve.proxmox.com/pve-docs/</w:t>
        </w:r>
      </w:hyperlink>
    </w:p>
    <w:p>
      <w:pPr>
        <w:pStyle w:val="Compact"/>
        <w:numPr>
          <w:ilvl w:val="0"/>
          <w:numId w:val="1896"/>
        </w:numPr>
      </w:pPr>
      <w:r>
        <w:t xml:space="preserve">Spécification OVF (DMTF) :</w:t>
      </w:r>
      <w:r>
        <w:t xml:space="preserve"> </w:t>
      </w:r>
      <w:hyperlink r:id="rId956">
        <w:r>
          <w:rPr>
            <w:rStyle w:val="Hyperlink"/>
          </w:rPr>
          <w:t xml:space="preserve">https://www.dmtf.org/standards/ovf</w:t>
        </w:r>
      </w:hyperlink>
    </w:p>
    <w:p>
      <w:pPr>
        <w:pStyle w:val="Compact"/>
        <w:numPr>
          <w:ilvl w:val="0"/>
          <w:numId w:val="1896"/>
        </w:numPr>
      </w:pPr>
      <w:r>
        <w:t xml:space="preserve">Microsoft Learn — Importer et exporter des machines virtuelles Hyper-V :</w:t>
      </w:r>
      <w:r>
        <w:t xml:space="preserve"> </w:t>
      </w:r>
      <w:hyperlink r:id="rId957">
        <w:r>
          <w:rPr>
            <w:rStyle w:val="Hyperlink"/>
          </w:rPr>
          <w:t xml:space="preserve">https://learn.microsoft.com/fr-fr/windows-server/virtualization/hyper-v/deploy/export-and-import-virtual-machines</w:t>
        </w:r>
      </w:hyperlink>
    </w:p>
    <w:p>
      <w:pPr>
        <w:pStyle w:val="FirstParagraph"/>
      </w:pPr>
      <w:r>
        <w:rPr>
          <w:i/>
          <w:iCs/>
        </w:rPr>
        <w:t xml:space="preserve">Fin de la Partie 6. La Partie 7 aborde maintenant la conteneurisation — Docker et Kubernetes — un niveau d’abstraction supplémentaire au-delà de la VM, pour des applications packagées et déployées différemment de tout ce qui a été couvert jusqu’ici.</w:t>
      </w:r>
    </w:p>
    <w:p>
      <w:pPr>
        <w:pStyle w:val="BodyText"/>
      </w:pPr>
      <w:r>
        <w:t xml:space="preserve">CHAPITRE 39</w:t>
      </w:r>
    </w:p>
    <w:bookmarkEnd w:id="958"/>
    <w:bookmarkEnd w:id="959"/>
    <w:bookmarkStart w:id="985" w:name="concepts-docker"/>
    <w:p>
      <w:pPr>
        <w:pStyle w:val="Heading1"/>
      </w:pPr>
      <w:r>
        <w:t xml:space="preserve">Concepts Docker</w:t>
      </w:r>
    </w:p>
    <w:p>
      <w:pPr>
        <w:pStyle w:val="FirstParagraph"/>
      </w:pPr>
      <w:r>
        <w:t xml:space="preserve">🎯 Objectif du chapitre</w:t>
      </w:r>
      <w:r>
        <w:t xml:space="preserve"> </w:t>
      </w:r>
      <w:r>
        <w:t xml:space="preserve">Comprendre la conteneurisation comme un niveau d’abstraction distinct de la virtualisation (Partie 6) : plus léger, plus rapide à déployer, mais avec un modèle d’isolation différent. À la fin de ce chapitre, tu sauras expliquer la différence entre une image et un conteneur, comprendre pourquoi les conteneurs partagent le noyau de l’hôte, et choisir consciemment entre un conteneur et une VM selon le besoin réel.</w:t>
      </w:r>
    </w:p>
    <w:p>
      <w:pPr>
        <w:pStyle w:val="BodyText"/>
      </w:pPr>
      <w:r>
        <w:t xml:space="preserve">🎬 Mise en situation</w:t>
      </w:r>
      <w:r>
        <w:t xml:space="preserve"> </w:t>
      </w:r>
      <w:r>
        <w:t xml:space="preserve">Le développeur du portail client (chapitre 15) se plaint d’un problème récurrent : l’application fonctionne parfaitement sur son poste de développement, mais échoue régulièrement lors du déploiement sur le serveur de test, puis à nouveau différemment en production — une version de Node.js légèrement différente ici, une bibliothèque système manquante là.</w:t>
      </w:r>
      <w:r>
        <w:t xml:space="preserve"> </w:t>
      </w:r>
      <w:r>
        <w:t xml:space="preserve">“Ça marche sur ma machine”</w:t>
      </w:r>
      <w:r>
        <w:t xml:space="preserve"> </w:t>
      </w:r>
      <w:r>
        <w:t xml:space="preserve">devient une phrase récurrente et frustrante pour toute l’équipe. Installer manuellement chaque dépendance sur chaque environnement (rappel du chapitre 15) fonctionne, mais reste lent et sujet à l’erreur humaine à chaque reproduction. Ce chapitre présente Docker, la technologie qui résout précisément ce problème en empaquetant une application avec exactement son environnement d’exécution.</w:t>
      </w:r>
    </w:p>
    <w:bookmarkStart w:id="960" w:name="le-problème-que-docker-résout"/>
    <w:p>
      <w:pPr>
        <w:pStyle w:val="Heading2"/>
      </w:pPr>
      <w:r>
        <w:t xml:space="preserve">39.1 Le problème que Docker résout</w:t>
      </w:r>
    </w:p>
    <w:p>
      <w:pPr>
        <w:pStyle w:val="FirstParagraph"/>
      </w:pPr>
      <w:r>
        <w:t xml:space="preserve">💡 Analogie — le kit de meuble complet vs les pièces détachées commandées séparément</w:t>
      </w:r>
      <w:r>
        <w:t xml:space="preserve"> </w:t>
      </w:r>
      <w:r>
        <w:t xml:space="preserve">Installer une application en suivant une liste de dépendances (chapitre 15) ressemble à assembler un meuble en achetant chaque pièce séparément dans différents magasins, en espérant qu’elles soient toutes exactement compatibles entre elles. Un conteneur Docker ressemble à un kit de meuble complet, avec absolument toutes les pièces nécessaires incluses dans la même boîte, testées ensemble par le fabricant — l’assemblage final produit un résultat identique, peu importe qui l’assemble ou où.</w:t>
      </w:r>
    </w:p>
    <w:bookmarkEnd w:id="960"/>
    <w:bookmarkStart w:id="964" w:name="conteneurs-vs-vm-rappel-et-distinction"/>
    <w:p>
      <w:pPr>
        <w:pStyle w:val="Heading2"/>
      </w:pPr>
      <w:r>
        <w:t xml:space="preserve">39.2 Conteneurs vs VM : rappel et distinction</w:t>
      </w:r>
    </w:p>
    <w:p>
      <w:pPr>
        <w:pStyle w:val="FirstParagraph"/>
      </w:pPr>
      <w:r>
        <w:t xml:space="preserve">📌 À retenir — le contraste fondamental avec la Partie 6</w:t>
      </w:r>
      <w:r>
        <w:t xml:space="preserve"> </w:t>
      </w:r>
      <w:r>
        <w:t xml:space="preserve">Une VM (Partie 6) virtualise un</w:t>
      </w:r>
      <w:r>
        <w:t xml:space="preserve"> </w:t>
      </w:r>
      <w:r>
        <w:rPr>
          <w:b/>
          <w:bCs/>
        </w:rPr>
        <w:t xml:space="preserve">matériel complet</w:t>
      </w:r>
      <w:r>
        <w:t xml:space="preserve">, exécutant son propre noyau de système d’exploitation indépendant — l’isolation est totale, mais le coût en ressources et en temps de démarrage est réel. Un conteneur virtualise à un niveau plus élevé : il</w:t>
      </w:r>
      <w:r>
        <w:t xml:space="preserve"> </w:t>
      </w:r>
      <w:r>
        <w:rPr>
          <w:b/>
          <w:bCs/>
        </w:rPr>
        <w:t xml:space="preserve">partage le noyau de l’hôte</w:t>
      </w:r>
      <w:r>
        <w:t xml:space="preserve">, isolant uniquement les processus, le système de fichiers et le réseau de l’application elle-même — beaucoup plus léger et rapide à démarrer (en millisecondes plutôt qu’en minutes), au prix d’une isolation moins complète que celle d’une VM.</w:t>
      </w:r>
    </w:p>
    <w:p>
      <w:pPr>
        <w:pStyle w:val="BodyText"/>
      </w:pPr>
      <w:r>
        <w:t xml:space="preserve">🧠 À mémoriser — un principe déjà rencontré au chapitre 36</w:t>
      </w:r>
      <w:r>
        <w:t xml:space="preserve"> </w:t>
      </w:r>
      <w:r>
        <w:t xml:space="preserve">Ce compromis exact (légèreté et rapidité contre isolation moindre) a déjà été présenté au chapitre 36 en comparant LXC (conteneurs Linux système) à KVM (VM complètes) sur Proxmox. Docker applique la même logique fondamentale, mais avec un objectif différent : LXC conteneurise un</w:t>
      </w:r>
      <w:r>
        <w:t xml:space="preserve"> </w:t>
      </w:r>
      <w:r>
        <w:rPr>
          <w:b/>
          <w:bCs/>
        </w:rPr>
        <w:t xml:space="preserve">système Linux complet</w:t>
      </w:r>
      <w:r>
        <w:t xml:space="preserve"> </w:t>
      </w:r>
      <w:r>
        <w:t xml:space="preserve">(proche d’une VM légère) ; Docker conteneurise une</w:t>
      </w:r>
      <w:r>
        <w:t xml:space="preserve"> </w:t>
      </w:r>
      <w:r>
        <w:rPr>
          <w:b/>
          <w:bCs/>
        </w:rPr>
        <w:t xml:space="preserve">application unique</w:t>
      </w:r>
      <w:r>
        <w:t xml:space="preserve"> </w:t>
      </w:r>
      <w:r>
        <w:t xml:space="preserve">avec ses dépendances précises, pas un système d’exploitation entier.</w:t>
      </w:r>
    </w:p>
    <w:p>
      <w:pPr>
        <w:pStyle w:val="CaptionedFigure"/>
      </w:pPr>
      <w:r>
        <w:drawing>
          <wp:inline>
            <wp:extent cx="5334000" cy="1253168"/>
            <wp:effectExtent b="0" l="0" r="0" t="0"/>
            <wp:docPr descr="Diagramme" title="" id="962" name="Picture"/>
            <a:graphic>
              <a:graphicData uri="http://schemas.openxmlformats.org/drawingml/2006/picture">
                <pic:pic>
                  <pic:nvPicPr>
                    <pic:cNvPr descr="C:/Users/ingja/Desktop/jarvis-starter-kit/livrables/formations/manuel-administration-systeme/assets/diagrams/d-39-concepts-docker-diagramme-1.png" id="963" name="Picture"/>
                    <pic:cNvPicPr>
                      <a:picLocks noChangeArrowheads="1" noChangeAspect="1"/>
                    </pic:cNvPicPr>
                  </pic:nvPicPr>
                  <pic:blipFill>
                    <a:blip r:embed="rId961"/>
                    <a:stretch>
                      <a:fillRect/>
                    </a:stretch>
                  </pic:blipFill>
                  <pic:spPr bwMode="auto">
                    <a:xfrm>
                      <a:off x="0" y="0"/>
                      <a:ext cx="5334000" cy="1253168"/>
                    </a:xfrm>
                    <a:prstGeom prst="rect">
                      <a:avLst/>
                    </a:prstGeom>
                    <a:noFill/>
                    <a:ln w="9525">
                      <a:noFill/>
                      <a:headEnd/>
                      <a:tailEnd/>
                    </a:ln>
                  </pic:spPr>
                </pic:pic>
              </a:graphicData>
            </a:graphic>
          </wp:inline>
        </w:drawing>
      </w:r>
    </w:p>
    <w:p>
      <w:pPr>
        <w:pStyle w:val="ImageCaption"/>
      </w:pPr>
      <w:r>
        <w:t xml:space="preserve">Diagramme</w:t>
      </w:r>
    </w:p>
    <w:bookmarkEnd w:id="964"/>
    <w:bookmarkStart w:id="965" w:name="X303d72db31d4179f535285a5dae75aebaa03a78"/>
    <w:p>
      <w:pPr>
        <w:pStyle w:val="Heading2"/>
      </w:pPr>
      <w:r>
        <w:t xml:space="preserve">39.3 Image et conteneur : une distinction fondamentale</w:t>
      </w:r>
    </w:p>
    <w:p>
      <w:pPr>
        <w:pStyle w:val="FirstParagraph"/>
      </w:pPr>
      <w:r>
        <w:t xml:space="preserve">📌 À retenir</w:t>
      </w:r>
      <w:r>
        <w:t xml:space="preserve"> </w:t>
      </w:r>
      <w:r>
        <w:t xml:space="preserve">Une</w:t>
      </w:r>
      <w:r>
        <w:t xml:space="preserve"> </w:t>
      </w:r>
      <w:r>
        <w:rPr>
          <w:b/>
          <w:bCs/>
        </w:rPr>
        <w:t xml:space="preserve">image</w:t>
      </w:r>
      <w:r>
        <w:t xml:space="preserve"> </w:t>
      </w:r>
      <w:r>
        <w:t xml:space="preserve">est un modèle immuable, en lecture seule, contenant l’application et toutes ses dépendances — comparable au fichier ISO d’installation d’un système d’exploitation. Un</w:t>
      </w:r>
      <w:r>
        <w:t xml:space="preserve"> </w:t>
      </w:r>
      <w:r>
        <w:rPr>
          <w:b/>
          <w:bCs/>
        </w:rPr>
        <w:t xml:space="preserve">conteneur</w:t>
      </w:r>
      <w:r>
        <w:t xml:space="preserve"> </w:t>
      </w:r>
      <w:r>
        <w:t xml:space="preserve">est une</w:t>
      </w:r>
      <w:r>
        <w:t xml:space="preserve"> </w:t>
      </w:r>
      <w:r>
        <w:rPr>
          <w:b/>
          <w:bCs/>
        </w:rPr>
        <w:t xml:space="preserve">instance en cours d’exécution</w:t>
      </w:r>
      <w:r>
        <w:t xml:space="preserve"> </w:t>
      </w:r>
      <w:r>
        <w:t xml:space="preserve">de cette image, avec sa propre couche d’écriture temporaire par-dessus — exactement comme plusieurs VM peuvent être créées à partir du même modèle de VM, plusieurs conteneurs peuvent être lancés à partir de la même image, chacun s’exécutant indépendamment des autres.</w:t>
      </w:r>
    </w:p>
    <w:p>
      <w:pPr>
        <w:pStyle w:val="SourceCode"/>
      </w:pPr>
      <w:r>
        <w:rPr>
          <w:rStyle w:val="VerbatimChar"/>
        </w:rPr>
        <w:t xml:space="preserve"># Lister les images Docker disponibles localement</w:t>
      </w:r>
      <w:r>
        <w:br/>
      </w:r>
      <w:r>
        <w:rPr>
          <w:rStyle w:val="VerbatimChar"/>
        </w:rPr>
        <w:t xml:space="preserve">docker images</w:t>
      </w:r>
      <w:r>
        <w:br/>
      </w:r>
      <w:r>
        <w:br/>
      </w:r>
      <w:r>
        <w:rPr>
          <w:rStyle w:val="VerbatimChar"/>
        </w:rPr>
        <w:t xml:space="preserve"># Lister les conteneurs actuellement en cours d'execution</w:t>
      </w:r>
      <w:r>
        <w:br/>
      </w:r>
      <w:r>
        <w:rPr>
          <w:rStyle w:val="VerbatimChar"/>
        </w:rPr>
        <w:t xml:space="preserve">docker ps</w:t>
      </w:r>
      <w:r>
        <w:br/>
      </w:r>
      <w:r>
        <w:br/>
      </w:r>
      <w:r>
        <w:rPr>
          <w:rStyle w:val="VerbatimChar"/>
        </w:rPr>
        <w:t xml:space="preserve"># Lancer un conteneur a partir d'une image (ici, Nginx, deja</w:t>
      </w:r>
      <w:r>
        <w:br/>
      </w:r>
      <w:r>
        <w:rPr>
          <w:rStyle w:val="VerbatimChar"/>
        </w:rPr>
        <w:t xml:space="preserve"># rencontre au chapitre 15)</w:t>
      </w:r>
      <w:r>
        <w:br/>
      </w:r>
      <w:r>
        <w:rPr>
          <w:rStyle w:val="VerbatimChar"/>
        </w:rPr>
        <w:t xml:space="preserve">docker run -d --name mon-nginx nginx</w:t>
      </w:r>
    </w:p>
    <w:bookmarkEnd w:id="965"/>
    <w:bookmarkStart w:id="966" w:name="X3822b2cf88a99532dc8e88ac6921f6245142b53"/>
    <w:p>
      <w:pPr>
        <w:pStyle w:val="Heading2"/>
      </w:pPr>
      <w:r>
        <w:t xml:space="preserve">39.4 Le Docker Engine : une architecture en couches</w:t>
      </w:r>
    </w:p>
    <w:p>
      <w:pPr>
        <w:pStyle w:val="FirstParagraph"/>
      </w:pPr>
      <w:r>
        <w:t xml:space="preserve">💡 Un aperçu suffisant pour ce chapitre introductif</w:t>
      </w:r>
      <w:r>
        <w:t xml:space="preserve"> </w:t>
      </w:r>
      <w:r>
        <w:t xml:space="preserve">Le</w:t>
      </w:r>
      <w:r>
        <w:t xml:space="preserve"> </w:t>
      </w:r>
      <w:r>
        <w:rPr>
          <w:b/>
          <w:bCs/>
        </w:rPr>
        <w:t xml:space="preserve">Docker Engine</w:t>
      </w:r>
      <w:r>
        <w:t xml:space="preserve"> </w:t>
      </w:r>
      <w:r>
        <w:t xml:space="preserve">orchestre plusieurs composants :</w:t>
      </w:r>
      <w:r>
        <w:t xml:space="preserve"> </w:t>
      </w:r>
      <w:r>
        <w:rPr>
          <w:rStyle w:val="VerbatimChar"/>
        </w:rPr>
        <w:t xml:space="preserve">dockerd</w:t>
      </w:r>
      <w:r>
        <w:t xml:space="preserve"> </w:t>
      </w:r>
      <w:r>
        <w:t xml:space="preserve">(le démon principal qui reçoit les commandes),</w:t>
      </w:r>
      <w:r>
        <w:t xml:space="preserve"> </w:t>
      </w:r>
      <w:r>
        <w:rPr>
          <w:rStyle w:val="VerbatimChar"/>
        </w:rPr>
        <w:t xml:space="preserve">containerd</w:t>
      </w:r>
      <w:r>
        <w:t xml:space="preserve"> </w:t>
      </w:r>
      <w:r>
        <w:t xml:space="preserve">(qui gère le cycle de vie des conteneurs) et</w:t>
      </w:r>
      <w:r>
        <w:t xml:space="preserve"> </w:t>
      </w:r>
      <w:r>
        <w:rPr>
          <w:rStyle w:val="VerbatimChar"/>
        </w:rPr>
        <w:t xml:space="preserve">runc</w:t>
      </w:r>
      <w:r>
        <w:t xml:space="preserve"> </w:t>
      </w:r>
      <w:r>
        <w:t xml:space="preserve">(qui crée réellement l’isolation au niveau du noyau, via les mécanismes détaillés en section 39.6). Cette architecture en couches n’a pas besoin d’être maîtrisée en détail pour utiliser Docker efficacement au quotidien — elle explique cependant pourquoi Docker s’appuie sur des standards ouverts (OCI,</w:t>
      </w:r>
      <w:r>
        <w:t xml:space="preserve"> </w:t>
      </w:r>
      <w:r>
        <w:rPr>
          <w:i/>
          <w:iCs/>
        </w:rPr>
        <w:t xml:space="preserve">Open Container Initiative</w:t>
      </w:r>
      <w:r>
        <w:t xml:space="preserve">) plutôt que sur une implémentation propriétaire fermée.</w:t>
      </w:r>
    </w:p>
    <w:bookmarkEnd w:id="966"/>
    <w:bookmarkStart w:id="967" w:name="Xa96474e6984b437027a7f4878c9d19fc1204f0a"/>
    <w:p>
      <w:pPr>
        <w:pStyle w:val="Heading2"/>
      </w:pPr>
      <w:r>
        <w:t xml:space="preserve">39.5 Les registries : rappel direct du chapitre 15 sur la provenance des paquets</w:t>
      </w:r>
    </w:p>
    <w:p>
      <w:pPr>
        <w:pStyle w:val="FirstParagraph"/>
      </w:pPr>
      <w:r>
        <w:t xml:space="preserve">🔒 Sécurité — le même principe de confiance que pour les dépôts de paquets</w:t>
      </w:r>
      <w:r>
        <w:t xml:space="preserve"> </w:t>
      </w:r>
      <w:r>
        <w:t xml:space="preserve">Un</w:t>
      </w:r>
      <w:r>
        <w:t xml:space="preserve"> </w:t>
      </w:r>
      <w:r>
        <w:rPr>
          <w:b/>
          <w:bCs/>
        </w:rPr>
        <w:t xml:space="preserve">registry</w:t>
      </w:r>
      <w:r>
        <w:t xml:space="preserve"> </w:t>
      </w:r>
      <w:r>
        <w:t xml:space="preserve">(comme</w:t>
      </w:r>
      <w:r>
        <w:t xml:space="preserve"> </w:t>
      </w:r>
      <w:r>
        <w:rPr>
          <w:b/>
          <w:bCs/>
        </w:rPr>
        <w:t xml:space="preserve">Docker Hub</w:t>
      </w:r>
      <w:r>
        <w:t xml:space="preserve">, le plus utilisé) héberge des images Docker, exactement comme un dépôt APT ou DNF héberge des paquets (chapitre 15). Le même principe de vigilance s’applique intégralement : privilégier les</w:t>
      </w:r>
      <w:r>
        <w:t xml:space="preserve"> </w:t>
      </w:r>
      <w:r>
        <w:rPr>
          <w:b/>
          <w:bCs/>
        </w:rPr>
        <w:t xml:space="preserve">images officielles</w:t>
      </w:r>
      <w:r>
        <w:t xml:space="preserve"> </w:t>
      </w:r>
      <w:r>
        <w:t xml:space="preserve">(vérifiées et maintenues par l’éditeur du logiciel ou par Docker lui-même) plutôt qu’une image publiée par un utilisateur anonyme sans garantie de provenance ni de maintenance — une image Docker compromise ou piégée présente exactement le même risque qu’un paquet ou qu’un script</w:t>
      </w:r>
      <w:r>
        <w:t xml:space="preserve"> </w:t>
      </w:r>
      <w:r>
        <w:rPr>
          <w:rStyle w:val="VerbatimChar"/>
        </w:rPr>
        <w:t xml:space="preserve">curl | bash</w:t>
      </w:r>
      <w:r>
        <w:t xml:space="preserve"> </w:t>
      </w:r>
      <w:r>
        <w:t xml:space="preserve">non vérifié, déjà dénoncés au chapitre 15.</w:t>
      </w:r>
    </w:p>
    <w:p>
      <w:pPr>
        <w:pStyle w:val="SourceCode"/>
      </w:pPr>
      <w:r>
        <w:rPr>
          <w:rStyle w:val="VerbatimChar"/>
        </w:rPr>
        <w:t xml:space="preserve"># Rechercher une image sur Docker Hub, en privilegiant les</w:t>
      </w:r>
      <w:r>
        <w:br/>
      </w:r>
      <w:r>
        <w:rPr>
          <w:rStyle w:val="VerbatimChar"/>
        </w:rPr>
        <w:t xml:space="preserve"># images officielles (marquees "Official Image")</w:t>
      </w:r>
      <w:r>
        <w:br/>
      </w:r>
      <w:r>
        <w:rPr>
          <w:rStyle w:val="VerbatimChar"/>
        </w:rPr>
        <w:t xml:space="preserve">docker search postgres</w:t>
      </w:r>
      <w:r>
        <w:br/>
      </w:r>
      <w:r>
        <w:br/>
      </w:r>
      <w:r>
        <w:rPr>
          <w:rStyle w:val="VerbatimChar"/>
        </w:rPr>
        <w:t xml:space="preserve"># Toujours preferer une version precise (un "tag") a "latest",</w:t>
      </w:r>
      <w:r>
        <w:br/>
      </w:r>
      <w:r>
        <w:rPr>
          <w:rStyle w:val="VerbatimChar"/>
        </w:rPr>
        <w:t xml:space="preserve"># pour une reproductibilite garantie entre environnements --</w:t>
      </w:r>
      <w:r>
        <w:br/>
      </w:r>
      <w:r>
        <w:rPr>
          <w:rStyle w:val="VerbatimChar"/>
        </w:rPr>
        <w:t xml:space="preserve"># exactement le probleme du scenario d'ouverture</w:t>
      </w:r>
      <w:r>
        <w:br/>
      </w:r>
      <w:r>
        <w:rPr>
          <w:rStyle w:val="VerbatimChar"/>
        </w:rPr>
        <w:t xml:space="preserve">docker pull postgres:16</w:t>
      </w:r>
    </w:p>
    <w:p>
      <w:pPr>
        <w:pStyle w:val="FirstParagraph"/>
      </w:pPr>
      <w:r>
        <w:t xml:space="preserve">⚠️ Le piège du tag</w:t>
      </w:r>
      <w:r>
        <w:t xml:space="preserve"> </w:t>
      </w:r>
      <w:r>
        <w:t xml:space="preserve">“latest”</w:t>
      </w:r>
      <w:r>
        <w:t xml:space="preserve"> </w:t>
      </w:r>
      <w:r>
        <w:t xml:space="preserve">Utiliser systématiquement le tag</w:t>
      </w:r>
      <w:r>
        <w:t xml:space="preserve"> </w:t>
      </w:r>
      <w:r>
        <w:rPr>
          <w:rStyle w:val="VerbatimChar"/>
        </w:rPr>
        <w:t xml:space="preserve">latest</w:t>
      </w:r>
      <w:r>
        <w:t xml:space="preserve"> </w:t>
      </w:r>
      <w:r>
        <w:t xml:space="preserve">(la version la plus récente disponible au moment du téléchargement, sans précision) reproduit exactement le problème du scénario d’ouverture : l’image téléchargée aujourd’hui peut différer de celle téléchargée la semaine prochaine, sans qu’aucun changement explicite n’ait été demandé — épinglé une version précise (</w:t>
      </w:r>
      <w:r>
        <w:rPr>
          <w:rStyle w:val="VerbatimChar"/>
        </w:rPr>
        <w:t xml:space="preserve">postgres:16</w:t>
      </w:r>
      <w:r>
        <w:t xml:space="preserve"> </w:t>
      </w:r>
      <w:r>
        <w:t xml:space="preserve">plutôt que</w:t>
      </w:r>
      <w:r>
        <w:t xml:space="preserve"> </w:t>
      </w:r>
      <w:r>
        <w:rPr>
          <w:rStyle w:val="VerbatimChar"/>
        </w:rPr>
        <w:t xml:space="preserve">postgres:latest</w:t>
      </w:r>
      <w:r>
        <w:t xml:space="preserve">) garantit une reproductibilité réelle entre les environnements de développement, de test et de production.</w:t>
      </w:r>
    </w:p>
    <w:bookmarkEnd w:id="967"/>
    <w:bookmarkStart w:id="968" w:name="isolation-namespaces-et-cgroups-en-bref"/>
    <w:p>
      <w:pPr>
        <w:pStyle w:val="Heading2"/>
      </w:pPr>
      <w:r>
        <w:t xml:space="preserve">39.6 Isolation : namespaces et cgroups, en bref</w:t>
      </w:r>
    </w:p>
    <w:p>
      <w:pPr>
        <w:pStyle w:val="FirstParagraph"/>
      </w:pPr>
      <w:r>
        <w:t xml:space="preserve">💡 Deux mécanismes du noyau Linux, pas une invention de Docker</w:t>
      </w:r>
      <w:r>
        <w:t xml:space="preserve"> </w:t>
      </w:r>
      <w:r>
        <w:t xml:space="preserve">Docker s’appuie sur deux fonctionnalités natives du noyau Linux, pas sur une technologie propriétaire : les</w:t>
      </w:r>
      <w:r>
        <w:t xml:space="preserve"> </w:t>
      </w:r>
      <w:r>
        <w:rPr>
          <w:b/>
          <w:bCs/>
        </w:rPr>
        <w:t xml:space="preserve">namespaces</w:t>
      </w:r>
      <w:r>
        <w:t xml:space="preserve"> </w:t>
      </w:r>
      <w:r>
        <w:t xml:space="preserve">isolent ce qu’un processus peut</w:t>
      </w:r>
      <w:r>
        <w:t xml:space="preserve"> </w:t>
      </w:r>
      <w:r>
        <w:rPr>
          <w:i/>
          <w:iCs/>
        </w:rPr>
        <w:t xml:space="preserve">voir</w:t>
      </w:r>
      <w:r>
        <w:t xml:space="preserve"> </w:t>
      </w:r>
      <w:r>
        <w:t xml:space="preserve">(son propre système de fichiers, ses propres processus, son propre réseau, sans visibilité sur ceux des autres conteneurs) ; les</w:t>
      </w:r>
      <w:r>
        <w:t xml:space="preserve"> </w:t>
      </w:r>
      <w:r>
        <w:rPr>
          <w:b/>
          <w:bCs/>
        </w:rPr>
        <w:t xml:space="preserve">cgroups</w:t>
      </w:r>
      <w:r>
        <w:t xml:space="preserve"> </w:t>
      </w:r>
      <w:r>
        <w:t xml:space="preserve">(</w:t>
      </w:r>
      <w:r>
        <w:rPr>
          <w:i/>
          <w:iCs/>
        </w:rPr>
        <w:t xml:space="preserve">control groups</w:t>
      </w:r>
      <w:r>
        <w:t xml:space="preserve">) limitent ce qu’un processus peut</w:t>
      </w:r>
      <w:r>
        <w:t xml:space="preserve"> </w:t>
      </w:r>
      <w:r>
        <w:rPr>
          <w:i/>
          <w:iCs/>
        </w:rPr>
        <w:t xml:space="preserve">consommer</w:t>
      </w:r>
      <w:r>
        <w:t xml:space="preserve"> </w:t>
      </w:r>
      <w:r>
        <w:t xml:space="preserve">(CPU, mémoire), empêchant un conteneur de monopoliser toutes les ressources de l’hôte — un mécanisme de limitation qui rejoint directement l’esprit de la surallocation surveillée déjà évoquée au chapitre 33, appliqué ici au niveau du conteneur plutôt qu’à celui de la VM.</w:t>
      </w:r>
    </w:p>
    <w:bookmarkEnd w:id="968"/>
    <w:bookmarkStart w:id="969" w:name="X7c41f207f4475769b86f84617b93afab6e2ce5c"/>
    <w:p>
      <w:pPr>
        <w:pStyle w:val="Heading2"/>
      </w:pPr>
      <w:r>
        <w:t xml:space="preserve">39.7 Docker ou VM : un choix contextuel, pas un dogme</w:t>
      </w:r>
    </w:p>
    <w:p>
      <w:pPr>
        <w:pStyle w:val="FirstParagraph"/>
      </w:pPr>
      <w:r>
        <w:t xml:space="preserve">✅ Le même cadre de décision contextuelle que tout au long de ce manuel</w:t>
      </w:r>
      <w:r>
        <w:t xml:space="preserve"> </w:t>
      </w:r>
      <w:r>
        <w:t xml:space="preserve">Docker n’est pas objectivement</w:t>
      </w:r>
      <w:r>
        <w:t xml:space="preserve"> </w:t>
      </w:r>
      <w:r>
        <w:t xml:space="preserve">“meilleur”</w:t>
      </w:r>
      <w:r>
        <w:t xml:space="preserve"> </w:t>
      </w:r>
      <w:r>
        <w:t xml:space="preserve">qu’une VM — c’est un outil adapté à un besoin différent. Docker excelle pour des applications qui doivent être déployées rapidement et de façon reproductible sur plusieurs environnements (exactement le besoin du scénario d’ouverture) ; une VM reste préférable pour isoler complètement un système nécessitant son propre noyau, sa propre configuration réseau bas niveau, ou un niveau de sécurité maximal (comme un contrôleur de domaine, section 39.2) — le même principe de décision contextuelle déjà appliqué à chaque choix technologique de ce manuel, du chapitre 14 au chapitre 36.</w:t>
      </w:r>
    </w:p>
    <w:bookmarkEnd w:id="969"/>
    <w:bookmarkStart w:id="970" w:name="X251fc652193d3dc696dd657c6d326b4336018ad"/>
    <w:p>
      <w:pPr>
        <w:pStyle w:val="Heading2"/>
      </w:pPr>
      <w:r>
        <w:t xml:space="preserve">Atelier — Choisir Docker ou VM pour les services du manuel</w:t>
      </w:r>
    </w:p>
    <w:p>
      <w:pPr>
        <w:pStyle w:val="FirstParagraph"/>
      </w:pPr>
      <w:r>
        <w:t xml:space="preserve">🛠️ Atelier 39 — Appliquer le cadre de décision aux services déjà rencontrés</w:t>
      </w:r>
    </w:p>
    <w:p>
      <w:pPr>
        <w:pStyle w:val="BodyText"/>
      </w:pPr>
      <w:r>
        <w:rPr>
          <w:b/>
          <w:bCs/>
        </w:rPr>
        <w:t xml:space="preserve">Objectif</w:t>
      </w:r>
      <w:r>
        <w:t xml:space="preserve"> </w:t>
      </w:r>
      <w:r>
        <w:t xml:space="preserve">: s’entraîner à choisir consciemment entre conteneurisation et virtualisation pour des services déjà connus de ce manuel.</w:t>
      </w:r>
    </w:p>
    <w:p>
      <w:pPr>
        <w:pStyle w:val="BodyText"/>
      </w:pPr>
      <w:r>
        <w:rPr>
          <w:b/>
          <w:bCs/>
        </w:rPr>
        <w:t xml:space="preserve">Préparation</w:t>
      </w:r>
      <w:r>
        <w:t xml:space="preserve"> </w:t>
      </w:r>
      <w:r>
        <w:t xml:space="preserve">: aucune installation nécessaire.</w:t>
      </w:r>
    </w:p>
    <w:p>
      <w:pPr>
        <w:pStyle w:val="BodyText"/>
      </w:pPr>
      <w:r>
        <w:rPr>
          <w:b/>
          <w:bCs/>
        </w:rPr>
        <w:t xml:space="preserve">Étapes détaillées</w:t>
      </w:r>
      <w:r>
        <w:t xml:space="preserve"> </w:t>
      </w:r>
      <w:r>
        <w:t xml:space="preserve">:</w:t>
      </w:r>
    </w:p>
    <w:p>
      <w:pPr>
        <w:pStyle w:val="Compact"/>
        <w:numPr>
          <w:ilvl w:val="0"/>
          <w:numId w:val="1897"/>
        </w:numPr>
      </w:pPr>
      <w:r>
        <w:t xml:space="preserve">Pour chacun des services suivants, recommande Docker ou une VM (rappel de la Partie 6), en justifiant ton choix : (a) un contrôleur de domaine Active Directory (chapitre 5) ; (b) l’application Node.js du portail client (chapitre 15) ; (c) une base de données PostgreSQL pour un environnement de test rapide, recréé plusieurs fois par jour pendant le développement.</w:t>
      </w:r>
    </w:p>
    <w:p>
      <w:pPr>
        <w:pStyle w:val="Compact"/>
        <w:numPr>
          <w:ilvl w:val="0"/>
          <w:numId w:val="1897"/>
        </w:numPr>
      </w:pPr>
      <w:r>
        <w:t xml:space="preserve">Compare tes réponses à la section</w:t>
      </w:r>
      <w:r>
        <w:t xml:space="preserve"> </w:t>
      </w:r>
      <w:r>
        <w:t xml:space="preserve">“Résultat attendu”</w:t>
      </w:r>
      <w:r>
        <w:t xml:space="preserve">.</w:t>
      </w:r>
    </w:p>
    <w:p>
      <w:pPr>
        <w:pStyle w:val="FirstParagraph"/>
      </w:pPr>
      <w:r>
        <w:rPr>
          <w:b/>
          <w:bCs/>
        </w:rPr>
        <w:t xml:space="preserve">Résultat attendu</w:t>
      </w:r>
      <w:r>
        <w:t xml:space="preserve"> </w:t>
      </w:r>
      <w:r>
        <w:t xml:space="preserve">: (a) une VM reste indispensable pour un contrôleur de domaine, qui nécessite son propre noyau Windows Server complet et une isolation maximale (section 39.2) — Docker ne convient pas à ce cas d’usage. (b) Docker est bien adapté à l’application Node.js, exactement le besoin exprimé dans le scénario d’ouverture : reproductibilité garantie entre environnements de développement, test et production. (c) Docker excelle particulièrement pour ce cas : un conteneur PostgreSQL peut être créé et détruit en quelques secondes pour chaque cycle de test, un gain de temps considérable comparé au provisionnement d’une VM complète pour le même usage répétitif.</w:t>
      </w:r>
    </w:p>
    <w:p>
      <w:pPr>
        <w:pStyle w:val="BodyText"/>
      </w:pPr>
      <w:r>
        <w:rPr>
          <w:b/>
          <w:bCs/>
        </w:rPr>
        <w:t xml:space="preserve">Dépannage</w:t>
      </w:r>
      <w:r>
        <w:t xml:space="preserve"> </w:t>
      </w:r>
      <w:r>
        <w:t xml:space="preserve">: si tu hésites entre les deux options pour un cas donné, pose-toi la question centrale de la section 39.2 — ce service a-t-il besoin de son propre noyau et d’une isolation complète, ou principalement d’une reproductibilité rapide de son environnement applicatif ?</w:t>
      </w:r>
    </w:p>
    <w:bookmarkEnd w:id="970"/>
    <w:bookmarkStart w:id="971" w:name="erreurs-fréquentes-38"/>
    <w:p>
      <w:pPr>
        <w:pStyle w:val="Heading2"/>
      </w:pPr>
      <w:r>
        <w:t xml:space="preserve">Erreurs fréquentes</w:t>
      </w:r>
    </w:p>
    <w:p>
      <w:pPr>
        <w:pStyle w:val="FirstParagraph"/>
      </w:pPr>
      <w:r>
        <w:t xml:space="preserve">⚠️ Erreur n°1 — confondre image et conteneur</w:t>
      </w:r>
      <w:r>
        <w:t xml:space="preserve"> </w:t>
      </w:r>
      <w:r>
        <w:t xml:space="preserve">Rappel de la section 39.3 : l’image est le modèle immuable, le conteneur est son instance en cours d’exécution — une confusion fréquente chez les débutants qui peut mener à des commandes incorrectes ou des attentes erronées sur la persistance des données.</w:t>
      </w:r>
    </w:p>
    <w:p>
      <w:pPr>
        <w:pStyle w:val="BodyText"/>
      </w:pPr>
      <w:r>
        <w:t xml:space="preserve">⚠️ Erreur n°2 — penser qu’un conteneur offre la même isolation qu’une VM</w:t>
      </w:r>
      <w:r>
        <w:t xml:space="preserve"> </w:t>
      </w:r>
      <w:r>
        <w:t xml:space="preserve">Rappel de la section 39.2 : le partage du noyau hôte signifie une isolation moins complète qu’une VM — un service nécessitant une sécurité maximale ne devrait jamais reposer uniquement sur l’isolation d’un conteneur.</w:t>
      </w:r>
    </w:p>
    <w:p>
      <w:pPr>
        <w:pStyle w:val="BodyText"/>
      </w:pPr>
      <w:r>
        <w:t xml:space="preserve">⚠️ Erreur n°3 — utiliser systématiquement le tag</w:t>
      </w:r>
      <w:r>
        <w:t xml:space="preserve"> </w:t>
      </w:r>
      <w:r>
        <w:rPr>
          <w:rStyle w:val="VerbatimChar"/>
        </w:rPr>
        <w:t xml:space="preserve">latest</w:t>
      </w:r>
      <w:r>
        <w:t xml:space="preserve"> </w:t>
      </w:r>
      <w:r>
        <w:t xml:space="preserve">sans version précise</w:t>
      </w:r>
      <w:r>
        <w:t xml:space="preserve"> </w:t>
      </w:r>
      <w:r>
        <w:t xml:space="preserve">Rappel de la section 39.5 : exactement le problème</w:t>
      </w:r>
      <w:r>
        <w:t xml:space="preserve"> </w:t>
      </w:r>
      <w:r>
        <w:t xml:space="preserve">“ça marche sur ma machine”</w:t>
      </w:r>
      <w:r>
        <w:t xml:space="preserve"> </w:t>
      </w:r>
      <w:r>
        <w:t xml:space="preserve">du scénario d’ouverture, reproduit à l’identique si les versions d’images ne sont jamais épinglées explicitement.</w:t>
      </w:r>
    </w:p>
    <w:bookmarkEnd w:id="971"/>
    <w:bookmarkStart w:id="972" w:name="X472f89f1fabc9a2da2c750abd8a1d453866e48e"/>
    <w:p>
      <w:pPr>
        <w:pStyle w:val="Heading2"/>
      </w:pPr>
      <w:r>
        <w:t xml:space="preserve">Diagnostiquer un conteneur qui ne démarre pas</w:t>
      </w:r>
    </w:p>
    <w:p>
      <w:pPr>
        <w:pStyle w:val="FirstParagraph"/>
      </w:pPr>
      <w:r>
        <w:t xml:space="preserve">🩺 Symptôme : un conteneur se lance puis s’arrête immédiatement (quitte avec un code d’erreur)</w:t>
      </w:r>
    </w:p>
    <w:p>
      <w:pPr>
        <w:pStyle w:val="Compact"/>
        <w:numPr>
          <w:ilvl w:val="0"/>
          <w:numId w:val="1898"/>
        </w:numPr>
      </w:pPr>
      <w:r>
        <w:rPr>
          <w:b/>
          <w:bCs/>
        </w:rPr>
        <w:t xml:space="preserve">Diagnostic</w:t>
      </w:r>
      <w:r>
        <w:t xml:space="preserve"> </w:t>
      </w:r>
      <w:r>
        <w:t xml:space="preserve">: contrairement à une VM qui reste allumée même sans processus actif, un conteneur Docker s’arrête dès que son processus principal se termine — un conteneur qui</w:t>
      </w:r>
      <w:r>
        <w:t xml:space="preserve"> </w:t>
      </w:r>
      <w:r>
        <w:t xml:space="preserve">“quitte immédiatement”</w:t>
      </w:r>
      <w:r>
        <w:t xml:space="preserve"> </w:t>
      </w:r>
      <w:r>
        <w:t xml:space="preserve">indique presque toujours que ce processus principal a rencontré une erreur ou s’est terminé normalement trop tôt.</w:t>
      </w:r>
    </w:p>
    <w:p>
      <w:pPr>
        <w:pStyle w:val="Compact"/>
        <w:numPr>
          <w:ilvl w:val="0"/>
          <w:numId w:val="1898"/>
        </w:numPr>
      </w:pPr>
      <w:r>
        <w:rPr>
          <w:b/>
          <w:bCs/>
        </w:rPr>
        <w:t xml:space="preserve">Comment vérifier</w:t>
      </w:r>
      <w:r>
        <w:t xml:space="preserve"> </w:t>
      </w:r>
      <w:r>
        <w:t xml:space="preserve">:</w:t>
      </w:r>
      <w:r>
        <w:t xml:space="preserve"> </w:t>
      </w:r>
      <w:r>
        <w:rPr>
          <w:rStyle w:val="VerbatimChar"/>
        </w:rPr>
        <w:t xml:space="preserve">docker logs nom-du-conteneur</w:t>
      </w:r>
      <w:r>
        <w:t xml:space="preserve"> </w:t>
      </w:r>
      <w:r>
        <w:t xml:space="preserve">affiche la sortie du processus principal, révélant généralement directement la cause de l’arrêt — une erreur de configuration, une dépendance manquante, ou un port déjà utilisé.</w:t>
      </w:r>
    </w:p>
    <w:p>
      <w:pPr>
        <w:pStyle w:val="Compact"/>
        <w:numPr>
          <w:ilvl w:val="0"/>
          <w:numId w:val="1898"/>
        </w:numPr>
      </w:pPr>
      <w:r>
        <w:rPr>
          <w:b/>
          <w:bCs/>
        </w:rPr>
        <w:t xml:space="preserve">Résolution</w:t>
      </w:r>
      <w:r>
        <w:t xml:space="preserve"> </w:t>
      </w:r>
      <w:r>
        <w:t xml:space="preserve">: corriger la cause identifiée dans les journaux (souvent une variable d’environnement manquante ou une commande de démarrage incorrecte, approfondi au chapitre 40) avant de relancer le conteneur.</w:t>
      </w:r>
    </w:p>
    <w:bookmarkEnd w:id="972"/>
    <w:bookmarkStart w:id="973" w:name="en-entreprise-38"/>
    <w:p>
      <w:pPr>
        <w:pStyle w:val="Heading2"/>
      </w:pPr>
      <w:r>
        <w:t xml:space="preserve">En entreprise</w:t>
      </w:r>
    </w:p>
    <w:p>
      <w:pPr>
        <w:pStyle w:val="Compact"/>
        <w:numPr>
          <w:ilvl w:val="0"/>
          <w:numId w:val="1899"/>
        </w:numPr>
      </w:pPr>
      <w:r>
        <w:rPr>
          <w:b/>
          <w:bCs/>
        </w:rPr>
        <w:t xml:space="preserve">Bonne pratique répandue</w:t>
      </w:r>
      <w:r>
        <w:t xml:space="preserve"> </w:t>
      </w:r>
      <w:r>
        <w:t xml:space="preserve">: épingler systématiquement une version précise pour chaque image utilisée en production, jamais</w:t>
      </w:r>
      <w:r>
        <w:t xml:space="preserve"> </w:t>
      </w:r>
      <w:r>
        <w:rPr>
          <w:rStyle w:val="VerbatimChar"/>
        </w:rPr>
        <w:t xml:space="preserve">latest</w:t>
      </w:r>
      <w:r>
        <w:t xml:space="preserve">, garantissant une reproductibilité fiable entre tous les environnements.</w:t>
      </w:r>
    </w:p>
    <w:p>
      <w:pPr>
        <w:pStyle w:val="Compact"/>
        <w:numPr>
          <w:ilvl w:val="0"/>
          <w:numId w:val="1899"/>
        </w:numPr>
      </w:pPr>
      <w:r>
        <w:rPr>
          <w:b/>
          <w:bCs/>
        </w:rPr>
        <w:t xml:space="preserve">Bonne pratique répandue</w:t>
      </w:r>
      <w:r>
        <w:t xml:space="preserve"> </w:t>
      </w:r>
      <w:r>
        <w:t xml:space="preserve">: maintenir une liste d’images approuvées et vérifiées (chapitre 3), plutôt que de laisser chaque développeur choisir librement des images de provenance inconnue sur Docker Hub.</w:t>
      </w:r>
    </w:p>
    <w:p>
      <w:pPr>
        <w:pStyle w:val="Compact"/>
        <w:numPr>
          <w:ilvl w:val="0"/>
          <w:numId w:val="1899"/>
        </w:numPr>
      </w:pPr>
      <w:r>
        <w:rPr>
          <w:b/>
          <w:bCs/>
        </w:rPr>
        <w:t xml:space="preserve">Erreur classique observée</w:t>
      </w:r>
      <w:r>
        <w:t xml:space="preserve"> </w:t>
      </w:r>
      <w:r>
        <w:t xml:space="preserve">: une équipe qui adopte Docker pour résoudre le problème</w:t>
      </w:r>
      <w:r>
        <w:t xml:space="preserve"> </w:t>
      </w:r>
      <w:r>
        <w:t xml:space="preserve">“ça marche sur ma machine”</w:t>
      </w:r>
      <w:r>
        <w:t xml:space="preserve">, mais qui continue d’utiliser</w:t>
      </w:r>
      <w:r>
        <w:t xml:space="preserve"> </w:t>
      </w:r>
      <w:r>
        <w:rPr>
          <w:rStyle w:val="VerbatimChar"/>
        </w:rPr>
        <w:t xml:space="preserve">latest</w:t>
      </w:r>
      <w:r>
        <w:t xml:space="preserve"> </w:t>
      </w:r>
      <w:r>
        <w:t xml:space="preserve">partout — reproduisant exactement le même problème sous une forme légèrement différente, sans en avoir réellement traité la cause racine.</w:t>
      </w:r>
    </w:p>
    <w:bookmarkEnd w:id="973"/>
    <w:bookmarkStart w:id="974" w:name="entretien-technique-38"/>
    <w:p>
      <w:pPr>
        <w:pStyle w:val="Heading2"/>
      </w:pPr>
      <w:r>
        <w:t xml:space="preserve">Entretien technique</w:t>
      </w:r>
    </w:p>
    <w:p>
      <w:pPr>
        <w:pStyle w:val="FirstParagraph"/>
      </w:pPr>
      <w:r>
        <w:t xml:space="preserve">💼 Questions fréquemment posées en entretien</w:t>
      </w:r>
    </w:p>
    <w:p>
      <w:pPr>
        <w:pStyle w:val="BodyText"/>
      </w:pPr>
      <w:r>
        <w:rPr>
          <w:b/>
          <w:bCs/>
        </w:rPr>
        <w:t xml:space="preserve">Q1.</w:t>
      </w:r>
      <w:r>
        <w:rPr>
          <w:b/>
          <w:bCs/>
        </w:rPr>
        <w:t xml:space="preserve"> </w:t>
      </w:r>
      <w:r>
        <w:rPr>
          <w:b/>
          <w:bCs/>
        </w:rPr>
        <w:t xml:space="preserve">“Quelle est la différence entre une image Docker et un conteneur ?”</w:t>
      </w:r>
      <w:r>
        <w:t xml:space="preserve"> </w:t>
      </w:r>
      <w:r>
        <w:t xml:space="preserve">Réponse attendue : une image est un modèle immuable en lecture seule contenant l’application et ses dépendances ; un conteneur est une instance en cours d’exécution de cette image, avec sa propre couche d’écriture temporaire — plusieurs conteneurs peuvent être lancés à partir de la même image.</w:t>
      </w:r>
    </w:p>
    <w:p>
      <w:pPr>
        <w:pStyle w:val="BodyText"/>
      </w:pPr>
      <w:r>
        <w:rPr>
          <w:b/>
          <w:bCs/>
        </w:rPr>
        <w:t xml:space="preserve">Q2.</w:t>
      </w:r>
      <w:r>
        <w:rPr>
          <w:b/>
          <w:bCs/>
        </w:rPr>
        <w:t xml:space="preserve"> </w:t>
      </w:r>
      <w:r>
        <w:rPr>
          <w:b/>
          <w:bCs/>
        </w:rPr>
        <w:t xml:space="preserve">“Pourquoi un conteneur démarre-t-il tellement plus vite qu’une VM ?”</w:t>
      </w:r>
      <w:r>
        <w:t xml:space="preserve"> </w:t>
      </w:r>
      <w:r>
        <w:t xml:space="preserve">Réponse attendue : un conteneur partage le noyau du système d’exploitation hôte plutôt que de démarrer son propre noyau complet — il n’y a pas de séquence de démarrage d’un système d’exploitation entier à attendre, seulement le lancement du processus applicatif lui-même.</w:t>
      </w:r>
    </w:p>
    <w:p>
      <w:pPr>
        <w:pStyle w:val="BodyText"/>
      </w:pPr>
      <w:r>
        <w:rPr>
          <w:b/>
          <w:bCs/>
        </w:rPr>
        <w:t xml:space="preserve">Q3.</w:t>
      </w:r>
      <w:r>
        <w:rPr>
          <w:b/>
          <w:bCs/>
        </w:rPr>
        <w:t xml:space="preserve"> </w:t>
      </w:r>
      <w:r>
        <w:rPr>
          <w:b/>
          <w:bCs/>
        </w:rPr>
        <w:t xml:space="preserve">“Dans quel cas préférerais-tu une VM à un conteneur Docker ?”</w:t>
      </w:r>
      <w:r>
        <w:t xml:space="preserve"> </w:t>
      </w:r>
      <w:r>
        <w:t xml:space="preserve">Réponse attendue : pour tout service nécessitant son propre noyau (un système d’exploitation différent de l’hôte), une isolation de sécurité maximale (comme un contrôleur de domaine), ou un contrôle bas niveau sur le matériel virtuel — les conteneurs restent mieux adaptés à des applications nécessitant une reproductibilité et une légèreté de déploiement, pas une isolation totale.</w:t>
      </w:r>
    </w:p>
    <w:bookmarkEnd w:id="974"/>
    <w:bookmarkStart w:id="975" w:name="X90af38e43aa470ec69292e13494984f1b40d370"/>
    <w:p>
      <w:pPr>
        <w:pStyle w:val="Heading2"/>
      </w:pPr>
      <w:r>
        <w:t xml:space="preserve">Optimisation, sécurité et maintenabilité — les réflexes dès ce chapitre</w:t>
      </w:r>
    </w:p>
    <w:p>
      <w:pPr>
        <w:pStyle w:val="FirstParagraph"/>
      </w:pPr>
      <w:r>
        <w:t xml:space="preserve">🔒 Sécurité</w:t>
      </w:r>
      <w:r>
        <w:t xml:space="preserve"> </w:t>
      </w:r>
      <w:r>
        <w:t xml:space="preserve">Privilégie systématiquement les images officielles et vérifiées, avec une version précise épinglée — le même réflexe de vigilance sur la provenance déjà établi pour les paquets système au chapitre 15, appliqué ici aux images de conteneurs.</w:t>
      </w:r>
    </w:p>
    <w:p>
      <w:pPr>
        <w:pStyle w:val="BodyText"/>
      </w:pPr>
      <w:r>
        <w:t xml:space="preserve">✅ Maintenabilité</w:t>
      </w:r>
      <w:r>
        <w:t xml:space="preserve"> </w:t>
      </w:r>
      <w:r>
        <w:t xml:space="preserve">Documente (chapitre 3) les images et versions utilisées pour chaque service conteneurisé — une information indispensable pour reproduire fidèlement un environnement, diagnostiquer un problème, ou planifier une mise à jour de version de façon contrôlée.</w:t>
      </w:r>
    </w:p>
    <w:p>
      <w:pPr>
        <w:pStyle w:val="BodyText"/>
      </w:pPr>
      <w:r>
        <w:t xml:space="preserve">🚀 Performance</w:t>
      </w:r>
      <w:r>
        <w:t xml:space="preserve"> </w:t>
      </w:r>
      <w:r>
        <w:t xml:space="preserve">La légèreté des conteneurs permet une densité bien supérieure à des VM sur le même matériel physique — un avantage direct pour des environnements de test ou de développement nécessitant de nombreuses instances éphémères, comme l’exemple PostgreSQL de l’atelier de ce chapitre.</w:t>
      </w:r>
    </w:p>
    <w:bookmarkEnd w:id="975"/>
    <w:bookmarkStart w:id="976" w:name="résumé-du-chapitre-38"/>
    <w:p>
      <w:pPr>
        <w:pStyle w:val="Heading2"/>
      </w:pPr>
      <w:r>
        <w:t xml:space="preserve">Résumé du chapitre</w:t>
      </w:r>
    </w:p>
    <w:p>
      <w:pPr>
        <w:pStyle w:val="Compact"/>
        <w:numPr>
          <w:ilvl w:val="0"/>
          <w:numId w:val="1900"/>
        </w:numPr>
      </w:pPr>
      <w:r>
        <w:t xml:space="preserve">Docker résout le problème</w:t>
      </w:r>
      <w:r>
        <w:t xml:space="preserve"> </w:t>
      </w:r>
      <w:r>
        <w:t xml:space="preserve">“ça marche sur ma machine”</w:t>
      </w:r>
      <w:r>
        <w:t xml:space="preserve"> </w:t>
      </w:r>
      <w:r>
        <w:t xml:space="preserve">en empaquetant une application avec exactement ses dépendances, garantissant une reproductibilité entre environnements.</w:t>
      </w:r>
    </w:p>
    <w:p>
      <w:pPr>
        <w:pStyle w:val="Compact"/>
        <w:numPr>
          <w:ilvl w:val="0"/>
          <w:numId w:val="1900"/>
        </w:numPr>
      </w:pPr>
      <w:r>
        <w:t xml:space="preserve">Un conteneur partage le noyau de l’hôte (isolation moindre mais démarrage quasi instantané), contrairement à une VM qui virtualise un matériel complet avec son propre noyau.</w:t>
      </w:r>
    </w:p>
    <w:p>
      <w:pPr>
        <w:pStyle w:val="Compact"/>
        <w:numPr>
          <w:ilvl w:val="0"/>
          <w:numId w:val="1900"/>
        </w:numPr>
      </w:pPr>
      <w:r>
        <w:t xml:space="preserve">Une image est un modèle immuable ; un conteneur est son instance en cours d’exécution — plusieurs conteneurs peuvent naître de la même image.</w:t>
      </w:r>
    </w:p>
    <w:p>
      <w:pPr>
        <w:pStyle w:val="Compact"/>
        <w:numPr>
          <w:ilvl w:val="0"/>
          <w:numId w:val="1900"/>
        </w:numPr>
      </w:pPr>
      <w:r>
        <w:t xml:space="preserve">Le même principe de vigilance sur la provenance déjà établi pour les paquets système (chapitre 15) s’applique aux images Docker : privilégier les images officielles, épingler une version précise plutôt que</w:t>
      </w:r>
      <w:r>
        <w:t xml:space="preserve"> </w:t>
      </w:r>
      <w:r>
        <w:rPr>
          <w:rStyle w:val="VerbatimChar"/>
        </w:rPr>
        <w:t xml:space="preserve">latest</w:t>
      </w:r>
      <w:r>
        <w:t xml:space="preserve">.</w:t>
      </w:r>
    </w:p>
    <w:p>
      <w:pPr>
        <w:pStyle w:val="Compact"/>
        <w:numPr>
          <w:ilvl w:val="0"/>
          <w:numId w:val="1900"/>
        </w:numPr>
      </w:pPr>
      <w:r>
        <w:t xml:space="preserve">Le choix entre Docker et VM reste contextuel, jamais un dogme — chacun répond à un besoin différent selon le niveau d’isolation requis.</w:t>
      </w:r>
    </w:p>
    <w:bookmarkEnd w:id="976"/>
    <w:bookmarkStart w:id="977" w:name="quiz-38"/>
    <w:p>
      <w:pPr>
        <w:pStyle w:val="Heading2"/>
      </w:pPr>
      <w:r>
        <w:t xml:space="preserve">Quiz</w:t>
      </w:r>
    </w:p>
    <w:p>
      <w:pPr>
        <w:pStyle w:val="FirstParagraph"/>
      </w:pPr>
      <w:r>
        <w:t xml:space="preserve">📝 QCM (une seule bonne réponse par question)</w:t>
      </w:r>
    </w:p>
    <w:p>
      <w:pPr>
        <w:pStyle w:val="Compact"/>
        <w:numPr>
          <w:ilvl w:val="0"/>
          <w:numId w:val="1901"/>
        </w:numPr>
      </w:pPr>
      <w:r>
        <w:t xml:space="preserve">Un conteneur Docker, contrairement à une VM :</w:t>
      </w:r>
    </w:p>
    <w:p>
      <w:pPr>
        <w:pStyle w:val="Compact"/>
        <w:numPr>
          <w:ilvl w:val="1"/>
          <w:numId w:val="1902"/>
        </w:numPr>
      </w:pPr>
    </w:p>
    <w:p>
      <w:pPr>
        <w:pStyle w:val="Compact"/>
        <w:numPr>
          <w:ilvl w:val="2"/>
          <w:numId w:val="1903"/>
        </w:numPr>
      </w:pPr>
      <w:r>
        <w:t xml:space="preserve">Exécute son propre noyau complet et indépendant</w:t>
      </w:r>
    </w:p>
    <w:p>
      <w:pPr>
        <w:pStyle w:val="Compact"/>
        <w:numPr>
          <w:ilvl w:val="1"/>
          <w:numId w:val="1902"/>
        </w:numPr>
      </w:pPr>
    </w:p>
    <w:p>
      <w:pPr>
        <w:pStyle w:val="Compact"/>
        <w:numPr>
          <w:ilvl w:val="2"/>
          <w:numId w:val="1904"/>
        </w:numPr>
      </w:pPr>
      <w:r>
        <w:t xml:space="preserve">Partage le noyau du système d’exploitation hôte</w:t>
      </w:r>
    </w:p>
    <w:p>
      <w:pPr>
        <w:pStyle w:val="Compact"/>
        <w:numPr>
          <w:ilvl w:val="1"/>
          <w:numId w:val="1902"/>
        </w:numPr>
      </w:pPr>
    </w:p>
    <w:p>
      <w:pPr>
        <w:pStyle w:val="Compact"/>
        <w:numPr>
          <w:ilvl w:val="2"/>
          <w:numId w:val="1905"/>
        </w:numPr>
      </w:pPr>
      <w:r>
        <w:t xml:space="preserve">Nécessite toujours un hyperviseur de Type 1</w:t>
      </w:r>
    </w:p>
    <w:p>
      <w:pPr>
        <w:pStyle w:val="Compact"/>
        <w:numPr>
          <w:ilvl w:val="1"/>
          <w:numId w:val="1902"/>
        </w:numPr>
      </w:pPr>
    </w:p>
    <w:p>
      <w:pPr>
        <w:pStyle w:val="Compact"/>
        <w:numPr>
          <w:ilvl w:val="2"/>
          <w:numId w:val="1906"/>
        </w:numPr>
      </w:pPr>
      <w:r>
        <w:t xml:space="preserve">Ne peut jamais accéder au réseau</w:t>
      </w:r>
    </w:p>
    <w:p>
      <w:pPr>
        <w:pStyle w:val="Compact"/>
        <w:numPr>
          <w:ilvl w:val="0"/>
          <w:numId w:val="1901"/>
        </w:numPr>
      </w:pPr>
      <w:r>
        <w:t xml:space="preserve">Une image Docker est :</w:t>
      </w:r>
    </w:p>
    <w:p>
      <w:pPr>
        <w:pStyle w:val="Compact"/>
        <w:numPr>
          <w:ilvl w:val="1"/>
          <w:numId w:val="1907"/>
        </w:numPr>
      </w:pPr>
    </w:p>
    <w:p>
      <w:pPr>
        <w:pStyle w:val="Compact"/>
        <w:numPr>
          <w:ilvl w:val="2"/>
          <w:numId w:val="1908"/>
        </w:numPr>
      </w:pPr>
      <w:r>
        <w:t xml:space="preserve">Une instance en cours d’exécution</w:t>
      </w:r>
    </w:p>
    <w:p>
      <w:pPr>
        <w:pStyle w:val="Compact"/>
        <w:numPr>
          <w:ilvl w:val="1"/>
          <w:numId w:val="1907"/>
        </w:numPr>
      </w:pPr>
    </w:p>
    <w:p>
      <w:pPr>
        <w:pStyle w:val="Compact"/>
        <w:numPr>
          <w:ilvl w:val="2"/>
          <w:numId w:val="1909"/>
        </w:numPr>
      </w:pPr>
      <w:r>
        <w:t xml:space="preserve">Un modèle immuable, en lecture seule, contenant l’application et ses dépendances</w:t>
      </w:r>
    </w:p>
    <w:p>
      <w:pPr>
        <w:pStyle w:val="Compact"/>
        <w:numPr>
          <w:ilvl w:val="1"/>
          <w:numId w:val="1907"/>
        </w:numPr>
      </w:pPr>
    </w:p>
    <w:p>
      <w:pPr>
        <w:pStyle w:val="Compact"/>
        <w:numPr>
          <w:ilvl w:val="2"/>
          <w:numId w:val="1910"/>
        </w:numPr>
      </w:pPr>
      <w:r>
        <w:t xml:space="preserve">Un fichier de configuration réseau</w:t>
      </w:r>
    </w:p>
    <w:p>
      <w:pPr>
        <w:pStyle w:val="Compact"/>
        <w:numPr>
          <w:ilvl w:val="1"/>
          <w:numId w:val="1907"/>
        </w:numPr>
      </w:pPr>
    </w:p>
    <w:p>
      <w:pPr>
        <w:pStyle w:val="Compact"/>
        <w:numPr>
          <w:ilvl w:val="2"/>
          <w:numId w:val="1911"/>
        </w:numPr>
      </w:pPr>
      <w:r>
        <w:t xml:space="preserve">Un type de VM</w:t>
      </w:r>
    </w:p>
    <w:p>
      <w:pPr>
        <w:pStyle w:val="Compact"/>
        <w:numPr>
          <w:ilvl w:val="0"/>
          <w:numId w:val="1901"/>
        </w:numPr>
      </w:pPr>
      <w:r>
        <w:t xml:space="preserve">Utiliser systématiquement le tag</w:t>
      </w:r>
      <w:r>
        <w:t xml:space="preserve"> </w:t>
      </w:r>
      <w:r>
        <w:rPr>
          <w:rStyle w:val="VerbatimChar"/>
        </w:rPr>
        <w:t xml:space="preserve">latest</w:t>
      </w:r>
      <w:r>
        <w:t xml:space="preserve"> </w:t>
      </w:r>
      <w:r>
        <w:t xml:space="preserve">pour une image Docker :</w:t>
      </w:r>
    </w:p>
    <w:p>
      <w:pPr>
        <w:pStyle w:val="Compact"/>
        <w:numPr>
          <w:ilvl w:val="1"/>
          <w:numId w:val="1912"/>
        </w:numPr>
      </w:pPr>
    </w:p>
    <w:p>
      <w:pPr>
        <w:pStyle w:val="Compact"/>
        <w:numPr>
          <w:ilvl w:val="2"/>
          <w:numId w:val="1913"/>
        </w:numPr>
      </w:pPr>
      <w:r>
        <w:t xml:space="preserve">Garantit toujours la même version entre les environnements</w:t>
      </w:r>
    </w:p>
    <w:p>
      <w:pPr>
        <w:pStyle w:val="Compact"/>
        <w:numPr>
          <w:ilvl w:val="1"/>
          <w:numId w:val="1912"/>
        </w:numPr>
      </w:pPr>
    </w:p>
    <w:p>
      <w:pPr>
        <w:pStyle w:val="Compact"/>
        <w:numPr>
          <w:ilvl w:val="2"/>
          <w:numId w:val="1914"/>
        </w:numPr>
      </w:pPr>
      <w:r>
        <w:t xml:space="preserve">Peut provoquer des différences de version imprévues entre environnements, reproduisant</w:t>
      </w:r>
      <w:r>
        <w:t xml:space="preserve"> </w:t>
      </w:r>
      <w:r>
        <w:t xml:space="preserve">“ça marche sur ma machine”</w:t>
      </w:r>
    </w:p>
    <w:p>
      <w:pPr>
        <w:pStyle w:val="Compact"/>
        <w:numPr>
          <w:ilvl w:val="1"/>
          <w:numId w:val="1912"/>
        </w:numPr>
      </w:pPr>
    </w:p>
    <w:p>
      <w:pPr>
        <w:pStyle w:val="Compact"/>
        <w:numPr>
          <w:ilvl w:val="2"/>
          <w:numId w:val="1915"/>
        </w:numPr>
      </w:pPr>
      <w:r>
        <w:t xml:space="preserve">Est la seule pratique recommandée en production</w:t>
      </w:r>
    </w:p>
    <w:p>
      <w:pPr>
        <w:pStyle w:val="Compact"/>
        <w:numPr>
          <w:ilvl w:val="1"/>
          <w:numId w:val="1912"/>
        </w:numPr>
      </w:pPr>
    </w:p>
    <w:p>
      <w:pPr>
        <w:pStyle w:val="Compact"/>
        <w:numPr>
          <w:ilvl w:val="2"/>
          <w:numId w:val="1916"/>
        </w:numPr>
      </w:pPr>
      <w:r>
        <w:t xml:space="preserve">Améliore automatiquement la sécurité</w:t>
      </w:r>
    </w:p>
    <w:p>
      <w:pPr>
        <w:pStyle w:val="FirstParagraph"/>
      </w:pPr>
      <w:r>
        <w:rPr>
          <w:b/>
          <w:bCs/>
        </w:rPr>
        <w:t xml:space="preserve">Corrigé</w:t>
      </w:r>
      <w:r>
        <w:t xml:space="preserve"> </w:t>
      </w:r>
      <w:r>
        <w:t xml:space="preserve">: 1-b, 2-b, 3-b.</w:t>
      </w:r>
    </w:p>
    <w:p>
      <w:pPr>
        <w:pStyle w:val="BodyText"/>
      </w:pPr>
      <w:r>
        <w:t xml:space="preserve">📝 Vrai ou Faux</w:t>
      </w:r>
    </w:p>
    <w:p>
      <w:pPr>
        <w:pStyle w:val="Compact"/>
        <w:numPr>
          <w:ilvl w:val="0"/>
          <w:numId w:val="1917"/>
        </w:numPr>
      </w:pPr>
      <w:r>
        <w:t xml:space="preserve">Un conteneur offre exactement le même niveau d’isolation qu’une VM. —</w:t>
      </w:r>
      <w:r>
        <w:t xml:space="preserve"> </w:t>
      </w:r>
      <w:r>
        <w:rPr>
          <w:b/>
          <w:bCs/>
        </w:rPr>
        <w:t xml:space="preserve">Faux</w:t>
      </w:r>
      <w:r>
        <w:t xml:space="preserve"> </w:t>
      </w:r>
      <w:r>
        <w:t xml:space="preserve">(isolation moindre, partage du noyau hôte, section 39.2).</w:t>
      </w:r>
    </w:p>
    <w:p>
      <w:pPr>
        <w:pStyle w:val="Compact"/>
        <w:numPr>
          <w:ilvl w:val="0"/>
          <w:numId w:val="1917"/>
        </w:numPr>
      </w:pPr>
      <w:r>
        <w:t xml:space="preserve">Plusieurs conteneurs peuvent être créés à partir de la même image. —</w:t>
      </w:r>
      <w:r>
        <w:t xml:space="preserve"> </w:t>
      </w:r>
      <w:r>
        <w:rPr>
          <w:b/>
          <w:bCs/>
        </w:rPr>
        <w:t xml:space="preserve">Vrai</w:t>
      </w:r>
      <w:r>
        <w:t xml:space="preserve">.</w:t>
      </w:r>
    </w:p>
    <w:p>
      <w:pPr>
        <w:pStyle w:val="Compact"/>
        <w:numPr>
          <w:ilvl w:val="0"/>
          <w:numId w:val="1917"/>
        </w:numPr>
      </w:pPr>
      <w:r>
        <w:t xml:space="preserve">Les cgroups limitent les ressources (CPU, mémoire) qu’un conteneur peut consommer. —</w:t>
      </w:r>
      <w:r>
        <w:t xml:space="preserve"> </w:t>
      </w:r>
      <w:r>
        <w:rPr>
          <w:b/>
          <w:bCs/>
        </w:rPr>
        <w:t xml:space="preserve">Vrai</w:t>
      </w:r>
      <w:r>
        <w:t xml:space="preserve">.</w:t>
      </w:r>
    </w:p>
    <w:p>
      <w:pPr>
        <w:pStyle w:val="Compact"/>
        <w:numPr>
          <w:ilvl w:val="0"/>
          <w:numId w:val="1917"/>
        </w:numPr>
      </w:pPr>
      <w:r>
        <w:t xml:space="preserve">Un contrôleur de domaine Active Directory est un bon candidat pour la conteneurisation Docker plutôt qu’une VM. —</w:t>
      </w:r>
      <w:r>
        <w:t xml:space="preserve"> </w:t>
      </w:r>
      <w:r>
        <w:rPr>
          <w:b/>
          <w:bCs/>
        </w:rPr>
        <w:t xml:space="preserve">Faux</w:t>
      </w:r>
      <w:r>
        <w:t xml:space="preserve"> </w:t>
      </w:r>
      <w:r>
        <w:t xml:space="preserve">(nécessite une isolation complète et son propre noyau, section 39.2).</w:t>
      </w:r>
    </w:p>
    <w:p>
      <w:pPr>
        <w:pStyle w:val="FirstParagraph"/>
      </w:pPr>
      <w:r>
        <w:t xml:space="preserve">📝 Questions ouvertes</w:t>
      </w:r>
    </w:p>
    <w:p>
      <w:pPr>
        <w:pStyle w:val="Compact"/>
        <w:numPr>
          <w:ilvl w:val="0"/>
          <w:numId w:val="1918"/>
        </w:numPr>
      </w:pPr>
      <w:r>
        <w:t xml:space="preserve">Explique pourquoi le problème</w:t>
      </w:r>
      <w:r>
        <w:t xml:space="preserve"> </w:t>
      </w:r>
      <w:r>
        <w:t xml:space="preserve">“ça marche sur ma machine”</w:t>
      </w:r>
      <w:r>
        <w:t xml:space="preserve"> </w:t>
      </w:r>
      <w:r>
        <w:t xml:space="preserve">du scénario d’ouverture n’est pas résolu par Docker si l’équipe continue d’utiliser le tag</w:t>
      </w:r>
      <w:r>
        <w:t xml:space="preserve"> </w:t>
      </w:r>
      <w:r>
        <w:rPr>
          <w:rStyle w:val="VerbatimChar"/>
        </w:rPr>
        <w:t xml:space="preserve">latest</w:t>
      </w:r>
      <w:r>
        <w:t xml:space="preserve"> </w:t>
      </w:r>
      <w:r>
        <w:t xml:space="preserve">sans discipline.</w:t>
      </w:r>
    </w:p>
    <w:p>
      <w:pPr>
        <w:pStyle w:val="Compact"/>
        <w:numPr>
          <w:ilvl w:val="0"/>
          <w:numId w:val="1918"/>
        </w:numPr>
      </w:pPr>
      <w:r>
        <w:t xml:space="preserve">Reprends l’atelier de ce chapitre. Explique pourquoi la légèreté de Docker est particulièrement avantageuse pour un environnement de test recréé plusieurs fois par jour, par rapport à une VM.</w:t>
      </w:r>
    </w:p>
    <w:p>
      <w:pPr>
        <w:pStyle w:val="FirstParagraph"/>
      </w:pPr>
      <w:r>
        <w:rPr>
          <w:b/>
          <w:bCs/>
        </w:rPr>
        <w:t xml:space="preserve">Corrigé 1</w:t>
      </w:r>
      <w:r>
        <w:t xml:space="preserve"> </w:t>
      </w:r>
      <w:r>
        <w:t xml:space="preserve">: Docker résout le problème de reproductibilité de l’environnement d’exécution (mêmes dépendances, mêmes versions de bibliothèques) uniquement si l’image utilisée reste identique entre les environnements — utiliser</w:t>
      </w:r>
      <w:r>
        <w:t xml:space="preserve"> </w:t>
      </w:r>
      <w:r>
        <w:rPr>
          <w:rStyle w:val="VerbatimChar"/>
        </w:rPr>
        <w:t xml:space="preserve">latest</w:t>
      </w:r>
      <w:r>
        <w:t xml:space="preserve"> </w:t>
      </w:r>
      <w:r>
        <w:t xml:space="preserve">réintroduit exactement la même incertitude que le problème initial, puisque l’image téléchargée peut différer d’un environnement à l’autre selon le moment du téléchargement. La discipline d’épingler une version précise (section 39.5) est ce qui transforme réellement Docker en solution au problème, pas la simple adoption de l’outil en elle-même.</w:t>
      </w:r>
    </w:p>
    <w:p>
      <w:pPr>
        <w:pStyle w:val="BodyText"/>
      </w:pPr>
      <w:r>
        <w:rPr>
          <w:b/>
          <w:bCs/>
        </w:rPr>
        <w:t xml:space="preserve">Corrigé 2</w:t>
      </w:r>
      <w:r>
        <w:t xml:space="preserve"> </w:t>
      </w:r>
      <w:r>
        <w:t xml:space="preserve">: une VM nécessite de démarrer un système d’exploitation complet à chaque création, un processus qui prend généralement plusieurs dizaines de secondes à quelques minutes — un coût de temps significatif s’il doit être répété plusieurs fois par jour pour des cycles de test rapides. Un conteneur, partageant le noyau de l’hôte, démarre en quelques millisecondes à quelques secondes, rendant les cycles de création/destruction répétés bien plus efficaces et moins coûteux en temps pour l’équipe de développement, exactement le gain recherché dans ce cas d’usage précis.</w:t>
      </w:r>
    </w:p>
    <w:bookmarkEnd w:id="977"/>
    <w:bookmarkStart w:id="978" w:name="exercices-38"/>
    <w:p>
      <w:pPr>
        <w:pStyle w:val="Heading2"/>
      </w:pPr>
      <w:r>
        <w:t xml:space="preserve">Exercices</w:t>
      </w:r>
    </w:p>
    <w:p>
      <w:pPr>
        <w:pStyle w:val="FirstParagraph"/>
      </w:pPr>
      <w:r>
        <w:t xml:space="preserve">📝 Exercice 39.1</w:t>
      </w:r>
    </w:p>
    <w:p>
      <w:pPr>
        <w:pStyle w:val="BodyText"/>
      </w:pPr>
      <w:r>
        <w:t xml:space="preserve">Un développeur télécharge une image Docker trouvée sur un forum, publiée par un utilisateur individuel non vérifié, pour accélérer son travail. Explique le risque de cette pratique, en t’appuyant sur la section 39.5 et le chapitre 15.</w:t>
      </w:r>
    </w:p>
    <w:p>
      <w:pPr>
        <w:pStyle w:val="BodyText"/>
      </w:pPr>
      <w:r>
        <w:rPr>
          <w:b/>
          <w:bCs/>
        </w:rPr>
        <w:t xml:space="preserve">Corrigé :</w:t>
      </w:r>
      <w:r>
        <w:t xml:space="preserve"> </w:t>
      </w:r>
      <w:r>
        <w:t xml:space="preserve">Exactement le même risque que l’exécution d’un script</w:t>
      </w:r>
      <w:r>
        <w:t xml:space="preserve"> </w:t>
      </w:r>
      <w:r>
        <w:rPr>
          <w:rStyle w:val="VerbatimChar"/>
        </w:rPr>
        <w:t xml:space="preserve">curl | bash</w:t>
      </w:r>
      <w:r>
        <w:t xml:space="preserve"> </w:t>
      </w:r>
      <w:r>
        <w:t xml:space="preserve">non vérifié (chapitre 15) : une image Docker publiée par un utilisateur non vérifié n’offre aucune garantie de provenance ni d’absence de code malveillant intégré — elle pourrait contenir une porte dérobée, un mineur de cryptomonnaie caché, ou simplement une configuration non sécurisée. La bonne pratique reste de privilégier les images officielles (marquées comme telles sur Docker Hub) ou de construire sa propre image à partir d’une base officielle vérifiée (approfondi au chapitre 40), plutôt que de faire confiance à une source non vérifiée par simple gain de temps immédiat.</w:t>
      </w:r>
    </w:p>
    <w:p>
      <w:pPr>
        <w:pStyle w:val="BodyText"/>
      </w:pPr>
      <w:r>
        <w:t xml:space="preserve">📝 Exercice 39.2</w:t>
      </w:r>
    </w:p>
    <w:p>
      <w:pPr>
        <w:pStyle w:val="BodyText"/>
      </w:pPr>
      <w:r>
        <w:t xml:space="preserve">Rédige, en 3 à 5 phrases, pourquoi la distinction entre</w:t>
      </w:r>
      <w:r>
        <w:t xml:space="preserve"> </w:t>
      </w:r>
      <w:r>
        <w:t xml:space="preserve">“ce qu’un conteneur peut voir”</w:t>
      </w:r>
      <w:r>
        <w:t xml:space="preserve"> </w:t>
      </w:r>
      <w:r>
        <w:t xml:space="preserve">(namespaces) et</w:t>
      </w:r>
      <w:r>
        <w:t xml:space="preserve"> </w:t>
      </w:r>
      <w:r>
        <w:t xml:space="preserve">“ce qu’un conteneur peut consommer”</w:t>
      </w:r>
      <w:r>
        <w:t xml:space="preserve"> </w:t>
      </w:r>
      <w:r>
        <w:t xml:space="preserve">(cgroups) est utile à comprendre, même sans maîtriser les détails techniques du noyau Linux.</w:t>
      </w:r>
    </w:p>
    <w:p>
      <w:pPr>
        <w:pStyle w:val="BodyText"/>
      </w:pPr>
      <w:r>
        <w:rPr>
          <w:b/>
          <w:bCs/>
        </w:rPr>
        <w:t xml:space="preserve">Corrigé (exemple de réponse) :</w:t>
      </w:r>
      <w:r>
        <w:t xml:space="preserve"> </w:t>
      </w:r>
      <w:r>
        <w:t xml:space="preserve">Cette distinction aide à diagnostiquer deux catégories de problèmes différentes : un conteneur qui accède à des données qu’il ne devrait pas voir relève d’un problème de namespaces (isolation de visibilité) ; un conteneur qui ralentit tout l’hôte en consommant excessivement les ressources relève d’un problème de cgroups (limitation de consommation), un sujet directement lié à la surveillance de la surallocation déjà évoquée au chapitre 33. Comprendre cette distinction, même sans maîtriser l’implémentation exacte au niveau du noyau, permet d’orienter rapidement un diagnostic vers la bonne catégorie de cause, plutôt que de chercher au hasard entre des symptômes de nature très différente.</w:t>
      </w:r>
    </w:p>
    <w:bookmarkEnd w:id="978"/>
    <w:bookmarkStart w:id="979" w:name="checklist-de-fin-de-chapitre-38"/>
    <w:p>
      <w:pPr>
        <w:pStyle w:val="Heading2"/>
      </w:pPr>
      <w:r>
        <w:t xml:space="preserve">Checklist de fin de chapitre</w:t>
      </w:r>
    </w:p>
    <w:p>
      <w:pPr>
        <w:pStyle w:val="FirstParagraph"/>
      </w:pPr>
      <w:r>
        <w:t xml:space="preserve">☐ Je comprends le problème</w:t>
      </w:r>
      <w:r>
        <w:t xml:space="preserve"> </w:t>
      </w:r>
      <w:r>
        <w:t xml:space="preserve">“ça marche sur ma machine”</w:t>
      </w:r>
      <w:r>
        <w:t xml:space="preserve"> </w:t>
      </w:r>
      <w:r>
        <w:t xml:space="preserve">que Docker résout.</w:t>
      </w:r>
    </w:p>
    <w:p>
      <w:pPr>
        <w:pStyle w:val="BodyText"/>
      </w:pPr>
      <w:r>
        <w:t xml:space="preserve">☐ Je sais expliquer la différence entre un conteneur et une VM en termes d’isolation et de partage du noyau.</w:t>
      </w:r>
    </w:p>
    <w:p>
      <w:pPr>
        <w:pStyle w:val="BodyText"/>
      </w:pPr>
      <w:r>
        <w:t xml:space="preserve">☐ Je sais distinguer une image (modèle immuable) d’un conteneur (instance en cours d’exécution).</w:t>
      </w:r>
    </w:p>
    <w:p>
      <w:pPr>
        <w:pStyle w:val="BodyText"/>
      </w:pPr>
      <w:r>
        <w:t xml:space="preserve">☐ Je sais pourquoi privilégier une image officielle avec une version épinglée plutôt que</w:t>
      </w:r>
      <w:r>
        <w:t xml:space="preserve"> </w:t>
      </w:r>
      <w:r>
        <w:rPr>
          <w:rStyle w:val="VerbatimChar"/>
        </w:rPr>
        <w:t xml:space="preserve">latest</w:t>
      </w:r>
      <w:r>
        <w:t xml:space="preserve">.</w:t>
      </w:r>
    </w:p>
    <w:p>
      <w:pPr>
        <w:pStyle w:val="BodyText"/>
      </w:pPr>
      <w:r>
        <w:t xml:space="preserve">☐ Je comprends le rôle des namespaces (isolation de visibilité) et des cgroups (limitation de ressources).</w:t>
      </w:r>
    </w:p>
    <w:p>
      <w:pPr>
        <w:pStyle w:val="BodyText"/>
      </w:pPr>
      <w:r>
        <w:t xml:space="preserve">☐ Je sais choisir consciemment entre Docker et une VM selon le besoin réel d’isolation.</w:t>
      </w:r>
    </w:p>
    <w:bookmarkEnd w:id="979"/>
    <w:bookmarkStart w:id="980" w:name="faq-38"/>
    <w:p>
      <w:pPr>
        <w:pStyle w:val="Heading2"/>
      </w:pPr>
      <w:r>
        <w:t xml:space="preserve">FAQ</w:t>
      </w:r>
    </w:p>
    <w:p>
      <w:pPr>
        <w:pStyle w:val="FirstParagraph"/>
      </w:pPr>
      <w:r>
        <w:t xml:space="preserve">Docker fonctionne-t-il nativement sur Windows ?</w:t>
      </w:r>
    </w:p>
    <w:p>
      <w:pPr>
        <w:pStyle w:val="BodyText"/>
      </w:pPr>
      <w:r>
        <w:t xml:space="preserve">Docker sur Windows s’appuie généralement sur une couche de virtualisation légère (WSL2 ou une VM Hyper-V légère en arrière-plan, rappel du chapitre 35) pour fournir un noyau Linux, les conteneurs Linux restant les plus répandus — Docker propose aussi des conteneurs Windows natifs pour des cas d’usage spécifiques, mais avec un écosystème moins développé.</w:t>
      </w:r>
    </w:p>
    <w:p>
      <w:pPr>
        <w:pStyle w:val="BodyText"/>
      </w:pPr>
      <w:r>
        <w:t xml:space="preserve">Un conteneur peut-il exécuter plusieurs processus, comme une VM ?</w:t>
      </w:r>
    </w:p>
    <w:p>
      <w:pPr>
        <w:pStyle w:val="BodyText"/>
      </w:pPr>
      <w:r>
        <w:t xml:space="preserve">Techniquement possible, mais fortement déconseillé comme pratique standard — la convention Docker recommande un processus principal par conteneur, favorisant la modularité et la facilité de diagnostic (un conteneur, une responsabilité claire), un principe approfondi au chapitre 40.</w:t>
      </w:r>
    </w:p>
    <w:p>
      <w:pPr>
        <w:pStyle w:val="BodyText"/>
      </w:pPr>
      <w:r>
        <w:t xml:space="preserve">Que devient les données créées à l’intérieur d’un conteneur quand il s’arrête ?</w:t>
      </w:r>
    </w:p>
    <w:p>
      <w:pPr>
        <w:pStyle w:val="BodyText"/>
      </w:pPr>
      <w:r>
        <w:t xml:space="preserve">Par défaut, les données créées dans la couche d’écriture temporaire du conteneur sont perdues à sa suppression — un point crucial à connaître avant de conteneuriser un service avec des données à conserver, un sujet central du chapitre 40 (volumes).</w:t>
      </w:r>
    </w:p>
    <w:p>
      <w:pPr>
        <w:pStyle w:val="BodyText"/>
      </w:pPr>
      <w:r>
        <w:t xml:space="preserve">Docker remplace-t-il le besoin de scripts Bash ou Python (chapitres 20-21) ?</w:t>
      </w:r>
    </w:p>
    <w:p>
      <w:pPr>
        <w:pStyle w:val="BodyText"/>
      </w:pPr>
      <w:r>
        <w:t xml:space="preserve">Non, ces outils restent complémentaires — Docker empaquette et exécute une application, tandis que les scripts continuent de servir à l’automatisation de tâches d’administration système, y compris la gestion des conteneurs eux-mêmes.</w:t>
      </w:r>
    </w:p>
    <w:bookmarkEnd w:id="980"/>
    <w:bookmarkStart w:id="984" w:name="références-et-pour-aller-plus-loin-38"/>
    <w:p>
      <w:pPr>
        <w:pStyle w:val="Heading2"/>
      </w:pPr>
      <w:r>
        <w:t xml:space="preserve">Références et pour aller plus loin</w:t>
      </w:r>
    </w:p>
    <w:p>
      <w:pPr>
        <w:pStyle w:val="Compact"/>
        <w:numPr>
          <w:ilvl w:val="0"/>
          <w:numId w:val="1919"/>
        </w:numPr>
      </w:pPr>
      <w:r>
        <w:t xml:space="preserve">Documentation officielle Docker :</w:t>
      </w:r>
      <w:r>
        <w:t xml:space="preserve"> </w:t>
      </w:r>
      <w:hyperlink r:id="rId981">
        <w:r>
          <w:rPr>
            <w:rStyle w:val="Hyperlink"/>
          </w:rPr>
          <w:t xml:space="preserve">https://docs.docker.com/</w:t>
        </w:r>
      </w:hyperlink>
    </w:p>
    <w:p>
      <w:pPr>
        <w:pStyle w:val="Compact"/>
        <w:numPr>
          <w:ilvl w:val="0"/>
          <w:numId w:val="1919"/>
        </w:numPr>
      </w:pPr>
      <w:r>
        <w:t xml:space="preserve">Open Container Initiative (standards ouverts sous-jacents à Docker) :</w:t>
      </w:r>
      <w:r>
        <w:t xml:space="preserve"> </w:t>
      </w:r>
      <w:hyperlink r:id="rId982">
        <w:r>
          <w:rPr>
            <w:rStyle w:val="Hyperlink"/>
          </w:rPr>
          <w:t xml:space="preserve">https://opencontainers.org/</w:t>
        </w:r>
      </w:hyperlink>
    </w:p>
    <w:p>
      <w:pPr>
        <w:pStyle w:val="Compact"/>
        <w:numPr>
          <w:ilvl w:val="0"/>
          <w:numId w:val="1919"/>
        </w:numPr>
      </w:pPr>
      <w:r>
        <w:t xml:space="preserve">Docker Hub — registry officiel :</w:t>
      </w:r>
      <w:r>
        <w:t xml:space="preserve"> </w:t>
      </w:r>
      <w:hyperlink r:id="rId983">
        <w:r>
          <w:rPr>
            <w:rStyle w:val="Hyperlink"/>
          </w:rPr>
          <w:t xml:space="preserve">https://hub.docker.com/</w:t>
        </w:r>
      </w:hyperlink>
    </w:p>
    <w:p>
      <w:pPr>
        <w:pStyle w:val="FirstParagraph"/>
      </w:pPr>
      <w:r>
        <w:rPr>
          <w:i/>
          <w:iCs/>
        </w:rPr>
        <w:t xml:space="preserve">Chapitre suivant : Docker en pratique — Dockerfile, volumes et réseaux, pour construire ses propres images et faire persister des données au-delà de la durée de vie d’un conteneur.</w:t>
      </w:r>
    </w:p>
    <w:p>
      <w:pPr>
        <w:pStyle w:val="BodyText"/>
      </w:pPr>
      <w:r>
        <w:t xml:space="preserve">CHAPITRE 40</w:t>
      </w:r>
    </w:p>
    <w:bookmarkEnd w:id="984"/>
    <w:bookmarkEnd w:id="985"/>
    <w:bookmarkStart w:id="1006" w:name="Xfcad7eadb96be42eafba525989570b3b6f34050"/>
    <w:p>
      <w:pPr>
        <w:pStyle w:val="Heading1"/>
      </w:pPr>
      <w:r>
        <w:t xml:space="preserve">Docker en pratique : Dockerfile, volumes et réseaux</w:t>
      </w:r>
    </w:p>
    <w:p>
      <w:pPr>
        <w:pStyle w:val="FirstParagraph"/>
      </w:pPr>
      <w:r>
        <w:t xml:space="preserve">🎯 Objectif du chapitre</w:t>
      </w:r>
      <w:r>
        <w:t xml:space="preserve"> </w:t>
      </w:r>
      <w:r>
        <w:t xml:space="preserve">Passer de l’usage d’images existantes (chapitre 39) à la construction de sa propre image via un Dockerfile, comprendre pourquoi les données d’un conteneur disparaissent à sa suppression sans un volume, et faire communiquer deux conteneurs entre eux via un réseau Docker. À la fin de ce chapitre, tu sauras conteneuriser une application complète avec sa base de données, en respectant les bonnes pratiques de sécurité déjà établies dans ce manuel.</w:t>
      </w:r>
    </w:p>
    <w:p>
      <w:pPr>
        <w:pStyle w:val="BodyText"/>
      </w:pPr>
      <w:r>
        <w:t xml:space="preserve">🎬 Mise en situation</w:t>
      </w:r>
      <w:r>
        <w:t xml:space="preserve"> </w:t>
      </w:r>
      <w:r>
        <w:t xml:space="preserve">Convaincu par les explications du chapitre 39, le développeur du portail client souhaite maintenant conteneuriser réellement son application Node.js, plutôt que de continuer à l’installer manuellement sur chaque serveur (chapitre 15). Il te pose deux questions concrètes :</w:t>
      </w:r>
      <w:r>
        <w:t xml:space="preserve"> </w:t>
      </w:r>
      <w:r>
        <w:t xml:space="preserve">“Comment je construis une image qui contient mon code, pas seulement Nginx tout seul ? Et si je conteneurise aussi PostgreSQL, est-ce que je ne vais pas perdre toutes mes données à chaque fois que je redémarre le conteneur ?”</w:t>
      </w:r>
      <w:r>
        <w:t xml:space="preserve"> </w:t>
      </w:r>
      <w:r>
        <w:t xml:space="preserve">Ce chapitre répond aux deux questions, en construisant progressivement l’architecture conteneurisée complète du portail.</w:t>
      </w:r>
    </w:p>
    <w:bookmarkStart w:id="986" w:name="le-dockerfile-construire-sa-propre-image"/>
    <w:p>
      <w:pPr>
        <w:pStyle w:val="Heading2"/>
      </w:pPr>
      <w:r>
        <w:t xml:space="preserve">40.1 Le Dockerfile : construire sa propre image</w:t>
      </w:r>
    </w:p>
    <w:p>
      <w:pPr>
        <w:pStyle w:val="FirstParagraph"/>
      </w:pPr>
      <w:r>
        <w:t xml:space="preserve">Un</w:t>
      </w:r>
      <w:r>
        <w:t xml:space="preserve"> </w:t>
      </w:r>
      <w:r>
        <w:rPr>
          <w:b/>
          <w:bCs/>
        </w:rPr>
        <w:t xml:space="preserve">Dockerfile</w:t>
      </w:r>
      <w:r>
        <w:t xml:space="preserve"> </w:t>
      </w:r>
      <w:r>
        <w:t xml:space="preserve">est un fichier texte décrivant, étape par étape, comment construire une image Docker — exactement le même besoin que les commandes d’installation manuelles du chapitre 15, mais capturées dans un fichier reproductible plutôt qu’exécutées à la main à chaque fois.</w:t>
      </w:r>
    </w:p>
    <w:p>
      <w:pPr>
        <w:pStyle w:val="SourceCode"/>
      </w:pPr>
      <w:r>
        <w:rPr>
          <w:rStyle w:val="CommentTok"/>
        </w:rPr>
        <w:t xml:space="preserve"># Dockerfile pour l'application Node.js du portail client</w:t>
      </w:r>
      <w:r>
        <w:br/>
      </w:r>
      <w:r>
        <w:rPr>
          <w:rStyle w:val="KeywordTok"/>
        </w:rPr>
        <w:t xml:space="preserve">FROM</w:t>
      </w:r>
      <w:r>
        <w:rPr>
          <w:rStyle w:val="NormalTok"/>
        </w:rPr>
        <w:t xml:space="preserve"> node:20-slim</w:t>
      </w:r>
      <w:r>
        <w:br/>
      </w:r>
      <w:r>
        <w:br/>
      </w:r>
      <w:r>
        <w:rPr>
          <w:rStyle w:val="CommentTok"/>
        </w:rPr>
        <w:t xml:space="preserve"># Definir le repertoire de travail a l'interieur de l'image</w:t>
      </w:r>
      <w:r>
        <w:br/>
      </w:r>
      <w:r>
        <w:rPr>
          <w:rStyle w:val="KeywordTok"/>
        </w:rPr>
        <w:t xml:space="preserve">WORKDIR</w:t>
      </w:r>
      <w:r>
        <w:rPr>
          <w:rStyle w:val="NormalTok"/>
        </w:rPr>
        <w:t xml:space="preserve"> /app</w:t>
      </w:r>
      <w:r>
        <w:br/>
      </w:r>
      <w:r>
        <w:br/>
      </w:r>
      <w:r>
        <w:rPr>
          <w:rStyle w:val="CommentTok"/>
        </w:rPr>
        <w:t xml:space="preserve"># Copier d'abord les fichiers de dependances seuls (voir section 40.3</w:t>
      </w:r>
      <w:r>
        <w:br/>
      </w:r>
      <w:r>
        <w:rPr>
          <w:rStyle w:val="CommentTok"/>
        </w:rPr>
        <w:t xml:space="preserve"># pour l'optimisation que cet ordre precis permet)</w:t>
      </w:r>
      <w:r>
        <w:br/>
      </w:r>
      <w:r>
        <w:rPr>
          <w:rStyle w:val="KeywordTok"/>
        </w:rPr>
        <w:t xml:space="preserve">COPY</w:t>
      </w:r>
      <w:r>
        <w:rPr>
          <w:rStyle w:val="NormalTok"/>
        </w:rPr>
        <w:t xml:space="preserve"> package*.json ./</w:t>
      </w:r>
      <w:r>
        <w:br/>
      </w:r>
      <w:r>
        <w:rPr>
          <w:rStyle w:val="KeywordTok"/>
        </w:rPr>
        <w:t xml:space="preserve">RUN</w:t>
      </w:r>
      <w:r>
        <w:rPr>
          <w:rStyle w:val="NormalTok"/>
        </w:rPr>
        <w:t xml:space="preserve"> </w:t>
      </w:r>
      <w:r>
        <w:rPr>
          <w:rStyle w:val="ExtensionTok"/>
        </w:rPr>
        <w:t xml:space="preserve">npm</w:t>
      </w:r>
      <w:r>
        <w:rPr>
          <w:rStyle w:val="NormalTok"/>
        </w:rPr>
        <w:t xml:space="preserve"> install </w:t>
      </w:r>
      <w:r>
        <w:rPr>
          <w:rStyle w:val="AttributeTok"/>
        </w:rPr>
        <w:t xml:space="preserve">--production</w:t>
      </w:r>
      <w:r>
        <w:br/>
      </w:r>
      <w:r>
        <w:br/>
      </w:r>
      <w:r>
        <w:rPr>
          <w:rStyle w:val="CommentTok"/>
        </w:rPr>
        <w:t xml:space="preserve"># Copier le reste du code applicatif</w:t>
      </w:r>
      <w:r>
        <w:br/>
      </w:r>
      <w:r>
        <w:rPr>
          <w:rStyle w:val="KeywordTok"/>
        </w:rPr>
        <w:t xml:space="preserve">COPY</w:t>
      </w:r>
      <w:r>
        <w:rPr>
          <w:rStyle w:val="NormalTok"/>
        </w:rPr>
        <w:t xml:space="preserve"> . .</w:t>
      </w:r>
      <w:r>
        <w:br/>
      </w:r>
      <w:r>
        <w:br/>
      </w:r>
      <w:r>
        <w:rPr>
          <w:rStyle w:val="CommentTok"/>
        </w:rPr>
        <w:t xml:space="preserve"># Documenter le port utilise par l'application (n'ouvre rien</w:t>
      </w:r>
      <w:r>
        <w:br/>
      </w:r>
      <w:r>
        <w:rPr>
          <w:rStyle w:val="CommentTok"/>
        </w:rPr>
        <w:t xml:space="preserve"># automatiquement, une information pour quiconque lit ce Dockerfile)</w:t>
      </w:r>
      <w:r>
        <w:br/>
      </w:r>
      <w:r>
        <w:rPr>
          <w:rStyle w:val="KeywordTok"/>
        </w:rPr>
        <w:t xml:space="preserve">EXPOSE</w:t>
      </w:r>
      <w:r>
        <w:rPr>
          <w:rStyle w:val="NormalTok"/>
        </w:rPr>
        <w:t xml:space="preserve"> 3000</w:t>
      </w:r>
      <w:r>
        <w:br/>
      </w:r>
      <w:r>
        <w:br/>
      </w:r>
      <w:r>
        <w:rPr>
          <w:rStyle w:val="CommentTok"/>
        </w:rPr>
        <w:t xml:space="preserve"># Commande executee au demarrage du conteneur</w:t>
      </w:r>
      <w:r>
        <w:br/>
      </w:r>
      <w:r>
        <w:rPr>
          <w:rStyle w:val="KeywordTok"/>
        </w:rPr>
        <w:t xml:space="preserve">CMD</w:t>
      </w:r>
      <w:r>
        <w:rPr>
          <w:rStyle w:val="NormalTok"/>
        </w:rPr>
        <w:t xml:space="preserve"> [</w:t>
      </w:r>
      <w:r>
        <w:rPr>
          <w:rStyle w:val="StringTok"/>
        </w:rPr>
        <w:t xml:space="preserve">"node"</w:t>
      </w:r>
      <w:r>
        <w:rPr>
          <w:rStyle w:val="NormalTok"/>
        </w:rPr>
        <w:t xml:space="preserve">, </w:t>
      </w:r>
      <w:r>
        <w:rPr>
          <w:rStyle w:val="StringTok"/>
        </w:rPr>
        <w:t xml:space="preserve">"server.js"</w:t>
      </w:r>
      <w:r>
        <w:rPr>
          <w:rStyle w:val="NormalTok"/>
        </w:rPr>
        <w:t xml:space="preserve">]</w:t>
      </w:r>
    </w:p>
    <w:p>
      <w:pPr>
        <w:pStyle w:val="FirstParagraph"/>
      </w:pPr>
      <w:r>
        <w:t xml:space="preserve">💡 Explication des instructions clés</w:t>
      </w:r>
      <w:r>
        <w:t xml:space="preserve"> </w:t>
      </w:r>
      <w:r>
        <w:t xml:space="preserve">FROM</w:t>
      </w:r>
      <w:r>
        <w:t xml:space="preserve"> </w:t>
      </w:r>
      <w:r>
        <w:t xml:space="preserve">définit l’image de base (ici, une version officielle de Node.js — rappel du chapitre 39 sur les images officielles).</w:t>
      </w:r>
      <w:r>
        <w:t xml:space="preserve"> </w:t>
      </w:r>
      <w:r>
        <w:t xml:space="preserve">WORKDIR</w:t>
      </w:r>
      <w:r>
        <w:t xml:space="preserve"> </w:t>
      </w:r>
      <w:r>
        <w:t xml:space="preserve">définit le répertoire de travail à l’intérieur de l’image.</w:t>
      </w:r>
      <w:r>
        <w:t xml:space="preserve"> </w:t>
      </w:r>
      <w:r>
        <w:t xml:space="preserve">COPY</w:t>
      </w:r>
      <w:r>
        <w:t xml:space="preserve"> </w:t>
      </w:r>
      <w:r>
        <w:t xml:space="preserve">copie des fichiers depuis la machine qui construit l’image vers l’image elle-même.</w:t>
      </w:r>
      <w:r>
        <w:t xml:space="preserve"> </w:t>
      </w:r>
      <w:r>
        <w:t xml:space="preserve">RUN</w:t>
      </w:r>
      <w:r>
        <w:t xml:space="preserve"> </w:t>
      </w:r>
      <w:r>
        <w:t xml:space="preserve">exécute une commande pendant la construction (ici, l’installation des dépendances, rappel du chapitre 15).</w:t>
      </w:r>
      <w:r>
        <w:t xml:space="preserve"> </w:t>
      </w:r>
      <w:r>
        <w:t xml:space="preserve">CMD</w:t>
      </w:r>
      <w:r>
        <w:t xml:space="preserve"> </w:t>
      </w:r>
      <w:r>
        <w:t xml:space="preserve">définit la commande exécutée quand un conteneur démarre à partir de cette image.</w:t>
      </w:r>
    </w:p>
    <w:p>
      <w:pPr>
        <w:pStyle w:val="SourceCode"/>
      </w:pPr>
      <w:r>
        <w:rPr>
          <w:rStyle w:val="VerbatimChar"/>
        </w:rPr>
        <w:t xml:space="preserve"># Construire l'image a partir du Dockerfile present dans le</w:t>
      </w:r>
      <w:r>
        <w:br/>
      </w:r>
      <w:r>
        <w:rPr>
          <w:rStyle w:val="VerbatimChar"/>
        </w:rPr>
        <w:t xml:space="preserve"># repertoire courant</w:t>
      </w:r>
      <w:r>
        <w:br/>
      </w:r>
      <w:r>
        <w:rPr>
          <w:rStyle w:val="VerbatimChar"/>
        </w:rPr>
        <w:t xml:space="preserve">docker build -t portail-client:1.0 .</w:t>
      </w:r>
      <w:r>
        <w:br/>
      </w:r>
      <w:r>
        <w:br/>
      </w:r>
      <w:r>
        <w:rPr>
          <w:rStyle w:val="VerbatimChar"/>
        </w:rPr>
        <w:t xml:space="preserve"># Lancer un conteneur a partir de cette image nouvellement construite</w:t>
      </w:r>
      <w:r>
        <w:br/>
      </w:r>
      <w:r>
        <w:rPr>
          <w:rStyle w:val="VerbatimChar"/>
        </w:rPr>
        <w:t xml:space="preserve">docker run -d -p 3000:3000 --name portail portail-client:1.0</w:t>
      </w:r>
    </w:p>
    <w:bookmarkEnd w:id="986"/>
    <w:bookmarkStart w:id="987" w:name="X475346a57d94317360056d9e710fcdd8d8c4e97"/>
    <w:p>
      <w:pPr>
        <w:pStyle w:val="Heading2"/>
      </w:pPr>
      <w:r>
        <w:t xml:space="preserve">40.2 Bonnes pratiques Dockerfile : rappels directs de chapitres précédents</w:t>
      </w:r>
    </w:p>
    <w:p>
      <w:pPr>
        <w:pStyle w:val="FirstParagraph"/>
      </w:pPr>
      <w:r>
        <w:t xml:space="preserve">🔒 Sécurité — ne jamais coder un secret en dur dans un Dockerfile</w:t>
      </w:r>
      <w:r>
        <w:t xml:space="preserve"> </w:t>
      </w:r>
      <w:r>
        <w:t xml:space="preserve">Rappel direct du chapitre 20 (scripts Bash) : un mot de passe ou une clé d’API écrit directement dans un Dockerfile est visible par quiconque a accès à l’image ou à son historique de construction, exactement le même risque que pour un script versionné dans Git. Les secrets doivent être injectés au moment de l’exécution du conteneur (variables d’environnement, ou un gestionnaire de secrets dédié approfondi en Partie 9), jamais figés dans l’image elle-même.</w:t>
      </w:r>
    </w:p>
    <w:p>
      <w:pPr>
        <w:pStyle w:val="BodyText"/>
      </w:pPr>
      <w:r>
        <w:t xml:space="preserve">✅ Bonne pratique — ne jamais exécuter un conteneur en tant que root par défaut</w:t>
      </w:r>
      <w:r>
        <w:t xml:space="preserve"> </w:t>
      </w:r>
      <w:r>
        <w:t xml:space="preserve">Rappel direct du chapitre 16 (systemd, directive</w:t>
      </w:r>
      <w:r>
        <w:t xml:space="preserve"> </w:t>
      </w:r>
      <w:r>
        <w:t xml:space="preserve">User=</w:t>
      </w:r>
      <w:r>
        <w:t xml:space="preserve">) : un conteneur qui tourne en tant que root, sans raison spécifique, s’expose au même risque déjà expliqué pour un service systemd — en cas de compromission de l’application, un accès root offre un impact disproportionné. Un Dockerfile bien conçu crée et utilise un utilisateur dédié à privilèges limités :</w:t>
      </w:r>
    </w:p>
    <w:p>
      <w:pPr>
        <w:pStyle w:val="SourceCode"/>
      </w:pPr>
      <w:r>
        <w:rPr>
          <w:rStyle w:val="CommentTok"/>
        </w:rPr>
        <w:t xml:space="preserve"># Ajout a la fin du Dockerfile precedent : creer et utiliser un</w:t>
      </w:r>
      <w:r>
        <w:br/>
      </w:r>
      <w:r>
        <w:rPr>
          <w:rStyle w:val="CommentTok"/>
        </w:rPr>
        <w:t xml:space="preserve"># utilisateur dedie plutot que de rester en root par defaut</w:t>
      </w:r>
      <w:r>
        <w:br/>
      </w:r>
      <w:r>
        <w:rPr>
          <w:rStyle w:val="KeywordTok"/>
        </w:rPr>
        <w:t xml:space="preserve">RUN</w:t>
      </w:r>
      <w:r>
        <w:rPr>
          <w:rStyle w:val="NormalTok"/>
        </w:rPr>
        <w:t xml:space="preserve"> </w:t>
      </w:r>
      <w:r>
        <w:rPr>
          <w:rStyle w:val="ExtensionTok"/>
        </w:rPr>
        <w:t xml:space="preserve">adduser</w:t>
      </w:r>
      <w:r>
        <w:rPr>
          <w:rStyle w:val="NormalTok"/>
        </w:rPr>
        <w:t xml:space="preserve"> </w:t>
      </w:r>
      <w:r>
        <w:rPr>
          <w:rStyle w:val="AttributeTok"/>
        </w:rPr>
        <w:t xml:space="preserve">--disabled-password</w:t>
      </w:r>
      <w:r>
        <w:rPr>
          <w:rStyle w:val="NormalTok"/>
        </w:rPr>
        <w:t xml:space="preserve"> </w:t>
      </w:r>
      <w:r>
        <w:rPr>
          <w:rStyle w:val="AttributeTok"/>
        </w:rPr>
        <w:t xml:space="preserve">--gecos</w:t>
      </w:r>
      <w:r>
        <w:rPr>
          <w:rStyle w:val="NormalTok"/>
        </w:rPr>
        <w:t xml:space="preserve"> </w:t>
      </w:r>
      <w:r>
        <w:rPr>
          <w:rStyle w:val="StringTok"/>
        </w:rPr>
        <w:t xml:space="preserve">""</w:t>
      </w:r>
      <w:r>
        <w:rPr>
          <w:rStyle w:val="NormalTok"/>
        </w:rPr>
        <w:t xml:space="preserve"> appuser</w:t>
      </w:r>
      <w:r>
        <w:br/>
      </w:r>
      <w:r>
        <w:rPr>
          <w:rStyle w:val="KeywordTok"/>
        </w:rPr>
        <w:t xml:space="preserve">USER</w:t>
      </w:r>
      <w:r>
        <w:rPr>
          <w:rStyle w:val="NormalTok"/>
        </w:rPr>
        <w:t xml:space="preserve"> appuser</w:t>
      </w:r>
      <w:r>
        <w:br/>
      </w:r>
      <w:r>
        <w:rPr>
          <w:rStyle w:val="KeywordTok"/>
        </w:rPr>
        <w:t xml:space="preserve">CMD</w:t>
      </w:r>
      <w:r>
        <w:rPr>
          <w:rStyle w:val="NormalTok"/>
        </w:rPr>
        <w:t xml:space="preserve"> [</w:t>
      </w:r>
      <w:r>
        <w:rPr>
          <w:rStyle w:val="StringTok"/>
        </w:rPr>
        <w:t xml:space="preserve">"node"</w:t>
      </w:r>
      <w:r>
        <w:rPr>
          <w:rStyle w:val="NormalTok"/>
        </w:rPr>
        <w:t xml:space="preserve">, </w:t>
      </w:r>
      <w:r>
        <w:rPr>
          <w:rStyle w:val="StringTok"/>
        </w:rPr>
        <w:t xml:space="preserve">"server.js"</w:t>
      </w:r>
      <w:r>
        <w:rPr>
          <w:rStyle w:val="NormalTok"/>
        </w:rPr>
        <w:t xml:space="preserve">]</w:t>
      </w:r>
    </w:p>
    <w:p>
      <w:pPr>
        <w:pStyle w:val="FirstParagraph"/>
      </w:pPr>
      <w:r>
        <w:t xml:space="preserve">🚀 Performance — l’ordre des instructions COPY compte réellement</w:t>
      </w:r>
      <w:r>
        <w:t xml:space="preserve"> </w:t>
      </w:r>
      <w:r>
        <w:t xml:space="preserve">Copier d’abord</w:t>
      </w:r>
      <w:r>
        <w:t xml:space="preserve"> </w:t>
      </w:r>
      <w:r>
        <w:rPr>
          <w:rStyle w:val="VerbatimChar"/>
        </w:rPr>
        <w:t xml:space="preserve">package*.json</w:t>
      </w:r>
      <w:r>
        <w:t xml:space="preserve"> </w:t>
      </w:r>
      <w:r>
        <w:t xml:space="preserve">seul, installer les dépendances, puis copier le reste du code (comme dans le Dockerfile de la section 40.1) exploite le système de cache de Docker : si seul le code applicatif change (pas les dépendances), Docker réutilise la couche déjà construite de l’installation des dépendances, accélérant considérablement les reconstructions successives — un gain de temps concret et cumulatif pour une équipe qui reconstruit l’image plusieurs fois par jour pendant le développement.</w:t>
      </w:r>
    </w:p>
    <w:bookmarkEnd w:id="987"/>
    <w:bookmarkStart w:id="988" w:name="Xdfbff5bd4197dd07e0144c1b5faf0fa1434f2c7"/>
    <w:p>
      <w:pPr>
        <w:pStyle w:val="Heading2"/>
      </w:pPr>
      <w:r>
        <w:t xml:space="preserve">40.3 Le piège de la persistance : répondre à la seconde question du développeur</w:t>
      </w:r>
    </w:p>
    <w:p>
      <w:pPr>
        <w:pStyle w:val="FirstParagraph"/>
      </w:pPr>
      <w:r>
        <w:t xml:space="preserve">⚠️ Rappel direct de la FAQ du chapitre 39</w:t>
      </w:r>
      <w:r>
        <w:t xml:space="preserve"> </w:t>
      </w:r>
      <w:r>
        <w:t xml:space="preserve">Par défaut, toutes les données créées à l’intérieur d’un conteneur (comme les tables et enregistrements d’une base PostgreSQL) résident dans la couche d’écriture temporaire du conteneur — supprimées définitivement dès que le conteneur lui-même est supprimé. C’est exactement l’inquiétude légitime du développeur dans le scénario d’ouverture, et exactement le problème que les</w:t>
      </w:r>
      <w:r>
        <w:t xml:space="preserve"> </w:t>
      </w:r>
      <w:r>
        <w:rPr>
          <w:b/>
          <w:bCs/>
        </w:rPr>
        <w:t xml:space="preserve">volumes</w:t>
      </w:r>
      <w:r>
        <w:t xml:space="preserve"> </w:t>
      </w:r>
      <w:r>
        <w:t xml:space="preserve">résolvent.</w:t>
      </w:r>
    </w:p>
    <w:bookmarkEnd w:id="988"/>
    <w:bookmarkStart w:id="989" w:name="les-volumes-faire-persister-les-données"/>
    <w:p>
      <w:pPr>
        <w:pStyle w:val="Heading2"/>
      </w:pPr>
      <w:r>
        <w:t xml:space="preserve">40.4 Les volumes : faire persister les données</w:t>
      </w:r>
    </w:p>
    <w:p>
      <w:pPr>
        <w:pStyle w:val="SourceCode"/>
      </w:pPr>
      <w:r>
        <w:rPr>
          <w:rStyle w:val="VerbatimChar"/>
        </w:rPr>
        <w:t xml:space="preserve"># Creer un volume nomme, gere par Docker</w:t>
      </w:r>
      <w:r>
        <w:br/>
      </w:r>
      <w:r>
        <w:rPr>
          <w:rStyle w:val="VerbatimChar"/>
        </w:rPr>
        <w:t xml:space="preserve">docker volume create donnees-portail-db</w:t>
      </w:r>
      <w:r>
        <w:br/>
      </w:r>
      <w:r>
        <w:br/>
      </w:r>
      <w:r>
        <w:rPr>
          <w:rStyle w:val="VerbatimChar"/>
        </w:rPr>
        <w:t xml:space="preserve"># Lancer PostgreSQL en montant ce volume sur le repertoire ou</w:t>
      </w:r>
      <w:r>
        <w:br/>
      </w:r>
      <w:r>
        <w:rPr>
          <w:rStyle w:val="VerbatimChar"/>
        </w:rPr>
        <w:t xml:space="preserve"># PostgreSQL stocke reellement ses donnees</w:t>
      </w:r>
      <w:r>
        <w:br/>
      </w:r>
      <w:r>
        <w:rPr>
          <w:rStyle w:val="VerbatimChar"/>
        </w:rPr>
        <w:t xml:space="preserve">docker run -d --name portail-db \</w:t>
      </w:r>
      <w:r>
        <w:br/>
      </w:r>
      <w:r>
        <w:rPr>
          <w:rStyle w:val="VerbatimChar"/>
        </w:rPr>
        <w:t xml:space="preserve">  -e POSTGRES_PASSWORD_FILE=/run/secrets/db-password \</w:t>
      </w:r>
      <w:r>
        <w:br/>
      </w:r>
      <w:r>
        <w:rPr>
          <w:rStyle w:val="VerbatimChar"/>
        </w:rPr>
        <w:t xml:space="preserve">  -v donnees-portail-db:/var/lib/postgresql/data \</w:t>
      </w:r>
      <w:r>
        <w:br/>
      </w:r>
      <w:r>
        <w:rPr>
          <w:rStyle w:val="VerbatimChar"/>
        </w:rPr>
        <w:t xml:space="preserve">  postgres:16</w:t>
      </w:r>
    </w:p>
    <w:p>
      <w:pPr>
        <w:pStyle w:val="FirstParagraph"/>
      </w:pPr>
      <w:r>
        <w:t xml:space="preserve">📌 À retenir</w:t>
      </w:r>
      <w:r>
        <w:t xml:space="preserve"> </w:t>
      </w:r>
      <w:r>
        <w:t xml:space="preserve">Un</w:t>
      </w:r>
      <w:r>
        <w:t xml:space="preserve"> </w:t>
      </w:r>
      <w:r>
        <w:rPr>
          <w:b/>
          <w:bCs/>
        </w:rPr>
        <w:t xml:space="preserve">volume</w:t>
      </w:r>
      <w:r>
        <w:t xml:space="preserve"> </w:t>
      </w:r>
      <w:r>
        <w:t xml:space="preserve">existe indépendamment du cycle de vie d’un conteneur précis — supprimer le conteneur PostgreSQL et en recréer un nouveau, en remontant le même volume, restaure immédiatement l’accès à toutes les données précédentes. C’est la réponse directe à la question du développeur : les données ne sont jamais perdues, à condition qu’elles soient explicitement stockées dans un volume plutôt que dans la couche temporaire du conteneur lui-même.</w:t>
      </w:r>
    </w:p>
    <w:p>
      <w:pPr>
        <w:pStyle w:val="BodyText"/>
      </w:pPr>
      <w:r>
        <w:t xml:space="preserve">🔒 Sécurité — remarque sur</w:t>
      </w:r>
      <w:r>
        <w:t xml:space="preserve"> </w:t>
      </w:r>
      <w:r>
        <w:rPr>
          <w:rStyle w:val="VerbatimChar"/>
        </w:rPr>
        <w:t xml:space="preserve">POSTGRES_PASSWORD_FILE</w:t>
      </w:r>
      <w:r>
        <w:t xml:space="preserve"> </w:t>
      </w:r>
      <w:r>
        <w:t xml:space="preserve">L’exemple ci-dessus utilise</w:t>
      </w:r>
      <w:r>
        <w:t xml:space="preserve"> </w:t>
      </w:r>
      <w:r>
        <w:t xml:space="preserve">POSTGRES_PASSWORD_FILE</w:t>
      </w:r>
      <w:r>
        <w:t xml:space="preserve"> </w:t>
      </w:r>
      <w:r>
        <w:t xml:space="preserve">plutôt qu’une variable d’environnement</w:t>
      </w:r>
      <w:r>
        <w:t xml:space="preserve"> </w:t>
      </w:r>
      <w:r>
        <w:t xml:space="preserve">POSTGRES_PASSWORD</w:t>
      </w:r>
      <w:r>
        <w:t xml:space="preserve"> </w:t>
      </w:r>
      <w:r>
        <w:t xml:space="preserve">directe — un mot de passe passé en variable d’environnement reste visible via</w:t>
      </w:r>
      <w:r>
        <w:t xml:space="preserve"> </w:t>
      </w:r>
      <w:r>
        <w:t xml:space="preserve">docker inspect</w:t>
      </w:r>
      <w:r>
        <w:t xml:space="preserve"> </w:t>
      </w:r>
      <w:r>
        <w:t xml:space="preserve">ou dans les journaux système, alors qu’un fichier de secret monté séparément (approche approfondie en Partie 9 avec des gestionnaires de secrets dédiés) réduit cette exposition, exactement le même souci de protection des secrets déjà évoqué en section 40.2.</w:t>
      </w:r>
    </w:p>
    <w:bookmarkEnd w:id="989"/>
    <w:bookmarkStart w:id="990" w:name="X6934f6b384433d8ad7fa79f1d94eee51c0e6739"/>
    <w:p>
      <w:pPr>
        <w:pStyle w:val="Heading2"/>
      </w:pPr>
      <w:r>
        <w:t xml:space="preserve">40.5 Les réseaux Docker : faire communiquer deux conteneurs</w:t>
      </w:r>
    </w:p>
    <w:p>
      <w:pPr>
        <w:pStyle w:val="FirstParagraph"/>
      </w:pPr>
      <w:r>
        <w:t xml:space="preserve">💡 Chaque conteneur est isolé par défaut, exactement comme prévu par les namespaces (chapitre 39)</w:t>
      </w:r>
      <w:r>
        <w:t xml:space="preserve"> </w:t>
      </w:r>
      <w:r>
        <w:t xml:space="preserve">Deux conteneurs lancés indépendamment ne peuvent pas se joindre l’un l’autre par défaut — un</w:t>
      </w:r>
      <w:r>
        <w:t xml:space="preserve"> </w:t>
      </w:r>
      <w:r>
        <w:rPr>
          <w:b/>
          <w:bCs/>
        </w:rPr>
        <w:t xml:space="preserve">réseau Docker</w:t>
      </w:r>
      <w:r>
        <w:t xml:space="preserve"> </w:t>
      </w:r>
      <w:r>
        <w:t xml:space="preserve">dédié doit être créé pour leur permettre de communiquer, l’application du portail devant atteindre sa base de données PostgreSQL.</w:t>
      </w:r>
    </w:p>
    <w:p>
      <w:pPr>
        <w:pStyle w:val="SourceCode"/>
      </w:pPr>
      <w:r>
        <w:rPr>
          <w:rStyle w:val="VerbatimChar"/>
        </w:rPr>
        <w:t xml:space="preserve"># Creer un reseau Docker dedie a l'application portail</w:t>
      </w:r>
      <w:r>
        <w:br/>
      </w:r>
      <w:r>
        <w:rPr>
          <w:rStyle w:val="VerbatimChar"/>
        </w:rPr>
        <w:t xml:space="preserve">docker network create reseau-portail</w:t>
      </w:r>
      <w:r>
        <w:br/>
      </w:r>
      <w:r>
        <w:br/>
      </w:r>
      <w:r>
        <w:rPr>
          <w:rStyle w:val="VerbatimChar"/>
        </w:rPr>
        <w:t xml:space="preserve"># Relancer les deux conteneurs sur ce meme reseau, en utilisant</w:t>
      </w:r>
      <w:r>
        <w:br/>
      </w:r>
      <w:r>
        <w:rPr>
          <w:rStyle w:val="VerbatimChar"/>
        </w:rPr>
        <w:t xml:space="preserve"># --network plutot que les options par defaut</w:t>
      </w:r>
      <w:r>
        <w:br/>
      </w:r>
      <w:r>
        <w:rPr>
          <w:rStyle w:val="VerbatimChar"/>
        </w:rPr>
        <w:t xml:space="preserve">docker run -d --name portail-db --network reseau-portail \</w:t>
      </w:r>
      <w:r>
        <w:br/>
      </w:r>
      <w:r>
        <w:rPr>
          <w:rStyle w:val="VerbatimChar"/>
        </w:rPr>
        <w:t xml:space="preserve">  -v donnees-portail-db:/var/lib/postgresql/data postgres:16</w:t>
      </w:r>
      <w:r>
        <w:br/>
      </w:r>
      <w:r>
        <w:br/>
      </w:r>
      <w:r>
        <w:rPr>
          <w:rStyle w:val="VerbatimChar"/>
        </w:rPr>
        <w:t xml:space="preserve">docker run -d --name portail --network reseau-portail \</w:t>
      </w:r>
      <w:r>
        <w:br/>
      </w:r>
      <w:r>
        <w:rPr>
          <w:rStyle w:val="VerbatimChar"/>
        </w:rPr>
        <w:t xml:space="preserve">  -p 3000:3000 portail-client:1.0</w:t>
      </w:r>
    </w:p>
    <w:p>
      <w:pPr>
        <w:pStyle w:val="FirstParagraph"/>
      </w:pPr>
      <w:r>
        <w:t xml:space="preserve">✅ Bonne pratique — la résolution de noms automatique entre conteneurs</w:t>
      </w:r>
      <w:r>
        <w:t xml:space="preserve"> </w:t>
      </w:r>
      <w:r>
        <w:t xml:space="preserve">Sur un réseau Docker dédié, les conteneurs peuvent se joindre par leur</w:t>
      </w:r>
      <w:r>
        <w:t xml:space="preserve"> </w:t>
      </w:r>
      <w:r>
        <w:rPr>
          <w:b/>
          <w:bCs/>
        </w:rPr>
        <w:t xml:space="preserve">nom</w:t>
      </w:r>
      <w:r>
        <w:t xml:space="preserve"> </w:t>
      </w:r>
      <w:r>
        <w:t xml:space="preserve">plutôt que par une adresse IP — l’application du portail peut se connecter à sa base de données simplement en la désignant comme</w:t>
      </w:r>
      <w:r>
        <w:t xml:space="preserve"> </w:t>
      </w:r>
      <w:r>
        <w:rPr>
          <w:rStyle w:val="VerbatimChar"/>
        </w:rPr>
        <w:t xml:space="preserve">portail-db</w:t>
      </w:r>
      <w:r>
        <w:t xml:space="preserve"> </w:t>
      </w:r>
      <w:r>
        <w:t xml:space="preserve">dans sa configuration de connexion, sans jamais avoir besoin de connaître ou de coder en dur une adresse IP susceptible de changer, un écho direct à la résolution DNS déjà expliquée en profondeur au chapitre 9, appliquée ici à l’échelle d’un réseau Docker local.</w:t>
      </w:r>
    </w:p>
    <w:bookmarkEnd w:id="990"/>
    <w:bookmarkStart w:id="991" w:name="X4f5923aba399992155fe55084d06e1174009085"/>
    <w:p>
      <w:pPr>
        <w:pStyle w:val="Heading2"/>
      </w:pPr>
      <w:r>
        <w:t xml:space="preserve">Atelier — Conteneuriser complètement le portail client</w:t>
      </w:r>
    </w:p>
    <w:p>
      <w:pPr>
        <w:pStyle w:val="FirstParagraph"/>
      </w:pPr>
      <w:r>
        <w:t xml:space="preserve">🛠️ Atelier 40 — Assembler Dockerfile, volume et réseau</w:t>
      </w:r>
    </w:p>
    <w:p>
      <w:pPr>
        <w:pStyle w:val="BodyText"/>
      </w:pPr>
      <w:r>
        <w:rPr>
          <w:b/>
          <w:bCs/>
        </w:rPr>
        <w:t xml:space="preserve">Objectif</w:t>
      </w:r>
      <w:r>
        <w:t xml:space="preserve"> </w:t>
      </w:r>
      <w:r>
        <w:t xml:space="preserve">: construire une architecture conteneurisée complète du portail client, répondant aux deux questions du scénario d’ouverture.</w:t>
      </w:r>
    </w:p>
    <w:p>
      <w:pPr>
        <w:pStyle w:val="BodyText"/>
      </w:pPr>
      <w:r>
        <w:rPr>
          <w:b/>
          <w:bCs/>
        </w:rPr>
        <w:t xml:space="preserve">Préparation</w:t>
      </w:r>
      <w:r>
        <w:t xml:space="preserve"> </w:t>
      </w:r>
      <w:r>
        <w:t xml:space="preserve">: accès à un environnement Docker de test, ou une lecture attentive suffit pour cet atelier conceptuel.</w:t>
      </w:r>
    </w:p>
    <w:p>
      <w:pPr>
        <w:pStyle w:val="BodyText"/>
      </w:pPr>
      <w:r>
        <w:rPr>
          <w:b/>
          <w:bCs/>
        </w:rPr>
        <w:t xml:space="preserve">Étapes détaillées</w:t>
      </w:r>
      <w:r>
        <w:t xml:space="preserve"> </w:t>
      </w:r>
      <w:r>
        <w:t xml:space="preserve">:</w:t>
      </w:r>
    </w:p>
    <w:p>
      <w:pPr>
        <w:pStyle w:val="Compact"/>
        <w:numPr>
          <w:ilvl w:val="0"/>
          <w:numId w:val="1920"/>
        </w:numPr>
      </w:pPr>
      <w:r>
        <w:t xml:space="preserve">Identifie les trois éléments distincts nécessaires pour que l’architecture soit à la fois fonctionnelle et fiable (rappel des sections 40.1, 40.4 et 40.5).</w:t>
      </w:r>
    </w:p>
    <w:p>
      <w:pPr>
        <w:pStyle w:val="Compact"/>
        <w:numPr>
          <w:ilvl w:val="0"/>
          <w:numId w:val="1920"/>
        </w:numPr>
      </w:pPr>
      <w:r>
        <w:t xml:space="preserve">Explique pourquoi l’ordre de création (réseau, puis volume, puis conteneurs) est logique.</w:t>
      </w:r>
    </w:p>
    <w:p>
      <w:pPr>
        <w:pStyle w:val="Compact"/>
        <w:numPr>
          <w:ilvl w:val="0"/>
          <w:numId w:val="1920"/>
        </w:numPr>
      </w:pPr>
      <w:r>
        <w:t xml:space="preserve">Propose une réponse claire aux deux questions initiales du développeur.</w:t>
      </w:r>
    </w:p>
    <w:p>
      <w:pPr>
        <w:pStyle w:val="Compact"/>
        <w:numPr>
          <w:ilvl w:val="0"/>
          <w:numId w:val="1920"/>
        </w:numPr>
      </w:pPr>
      <w:r>
        <w:t xml:space="preserve">Compare ta démarche à la section</w:t>
      </w:r>
      <w:r>
        <w:t xml:space="preserve"> </w:t>
      </w:r>
      <w:r>
        <w:t xml:space="preserve">“Résultat attendu”</w:t>
      </w:r>
      <w:r>
        <w:t xml:space="preserve">.</w:t>
      </w:r>
    </w:p>
    <w:p>
      <w:pPr>
        <w:pStyle w:val="FirstParagraph"/>
      </w:pPr>
      <w:r>
        <w:rPr>
          <w:b/>
          <w:bCs/>
        </w:rPr>
        <w:t xml:space="preserve">Résultat attendu</w:t>
      </w:r>
      <w:r>
        <w:t xml:space="preserve"> </w:t>
      </w:r>
      <w:r>
        <w:t xml:space="preserve">: les trois éléments sont un Dockerfile pour construire l’image de l’application (section 40.1), un volume pour la persistance des données PostgreSQL (section 40.4), et un réseau Docker dédié pour la communication entre les deux conteneurs (section 40.5). L’ordre logique découle de la dépendance : le réseau et le volume doivent exister avant de lancer les conteneurs qui vont les utiliser. La réponse au développeur : son propre code est bien inclus dans l’image via le Dockerfile (pas seulement Nginx) ; ses données PostgreSQL ne seront jamais perdues tant qu’elles résident dans le volume nommé, indépendant du cycle de vie du conteneur lui-même.</w:t>
      </w:r>
    </w:p>
    <w:p>
      <w:pPr>
        <w:pStyle w:val="BodyText"/>
      </w:pPr>
      <w:r>
        <w:rPr>
          <w:b/>
          <w:bCs/>
        </w:rPr>
        <w:t xml:space="preserve">Dépannage</w:t>
      </w:r>
      <w:r>
        <w:t xml:space="preserve"> </w:t>
      </w:r>
      <w:r>
        <w:t xml:space="preserve">: si les deux conteneurs ne parviennent pas à communiquer malgré le réseau créé, vérifie qu’ils utilisent bien exactement le même nom de réseau (</w:t>
      </w:r>
      <w:r>
        <w:rPr>
          <w:rStyle w:val="VerbatimChar"/>
        </w:rPr>
        <w:t xml:space="preserve">--network reseau-portail</w:t>
      </w:r>
      <w:r>
        <w:t xml:space="preserve"> </w:t>
      </w:r>
      <w:r>
        <w:t xml:space="preserve">sur les deux commandes) — une faute de frappe ou un oubli sur l’un des deux conteneurs les laisserait sur des réseaux distincts, reproduisant le problème d’isolation par défaut.</w:t>
      </w:r>
    </w:p>
    <w:bookmarkEnd w:id="991"/>
    <w:bookmarkStart w:id="992" w:name="erreurs-fréquentes-39"/>
    <w:p>
      <w:pPr>
        <w:pStyle w:val="Heading2"/>
      </w:pPr>
      <w:r>
        <w:t xml:space="preserve">Erreurs fréquentes</w:t>
      </w:r>
    </w:p>
    <w:p>
      <w:pPr>
        <w:pStyle w:val="FirstParagraph"/>
      </w:pPr>
      <w:r>
        <w:t xml:space="preserve">⚠️ Erreur n°1 — oublier un volume pour des données à conserver</w:t>
      </w:r>
      <w:r>
        <w:t xml:space="preserve"> </w:t>
      </w:r>
      <w:r>
        <w:t xml:space="preserve">Rappel de la section 40.3 : exactement l’inquiétude légitime du scénario d’ouverture — sans volume explicite, toute donnée disparaît à la suppression du conteneur.</w:t>
      </w:r>
    </w:p>
    <w:p>
      <w:pPr>
        <w:pStyle w:val="BodyText"/>
      </w:pPr>
      <w:r>
        <w:t xml:space="preserve">⚠️ Erreur n°2 — coder un secret en dur dans le Dockerfile</w:t>
      </w:r>
      <w:r>
        <w:t xml:space="preserve"> </w:t>
      </w:r>
      <w:r>
        <w:t xml:space="preserve">Rappel de la section 40.2 : un secret figé dans l’image devient visible par quiconque a accès à cette image, un risque de sécurité direct.</w:t>
      </w:r>
    </w:p>
    <w:p>
      <w:pPr>
        <w:pStyle w:val="BodyText"/>
      </w:pPr>
      <w:r>
        <w:t xml:space="preserve">⚠️ Erreur n°3 — laisser un conteneur tourner en root sans raison</w:t>
      </w:r>
      <w:r>
        <w:t xml:space="preserve"> </w:t>
      </w:r>
      <w:r>
        <w:t xml:space="preserve">Rappel de la section 40.2 : le même principe de moindre privilège déjà établi tout au long de ce manuel, appliqué ici à l’utilisateur d’exécution à l’intérieur du conteneur.</w:t>
      </w:r>
    </w:p>
    <w:bookmarkEnd w:id="992"/>
    <w:bookmarkStart w:id="993" w:name="X28452731e370deec1d874de8f4d48686b2c4b3d"/>
    <w:p>
      <w:pPr>
        <w:pStyle w:val="Heading2"/>
      </w:pPr>
      <w:r>
        <w:t xml:space="preserve">Diagnostiquer une perte de données après redémarrage</w:t>
      </w:r>
    </w:p>
    <w:p>
      <w:pPr>
        <w:pStyle w:val="FirstParagraph"/>
      </w:pPr>
      <w:r>
        <w:t xml:space="preserve">🩺 Symptôme : les données d’une base de données conteneurisée disparaissent après un redémarrage du conteneur</w:t>
      </w:r>
    </w:p>
    <w:p>
      <w:pPr>
        <w:pStyle w:val="Compact"/>
        <w:numPr>
          <w:ilvl w:val="0"/>
          <w:numId w:val="1921"/>
        </w:numPr>
      </w:pPr>
      <w:r>
        <w:rPr>
          <w:b/>
          <w:bCs/>
        </w:rPr>
        <w:t xml:space="preserve">Diagnostic</w:t>
      </w:r>
      <w:r>
        <w:t xml:space="preserve"> </w:t>
      </w:r>
      <w:r>
        <w:t xml:space="preserve">: vérifier si un volume a réellement été monté sur le répertoire de données du conteneur, ou si les données résidaient uniquement dans la couche d’écriture temporaire par défaut (section 40.3).</w:t>
      </w:r>
    </w:p>
    <w:p>
      <w:pPr>
        <w:pStyle w:val="Compact"/>
        <w:numPr>
          <w:ilvl w:val="0"/>
          <w:numId w:val="1921"/>
        </w:numPr>
      </w:pPr>
      <w:r>
        <w:rPr>
          <w:b/>
          <w:bCs/>
        </w:rPr>
        <w:t xml:space="preserve">Comment vérifier</w:t>
      </w:r>
      <w:r>
        <w:t xml:space="preserve"> </w:t>
      </w:r>
      <w:r>
        <w:t xml:space="preserve">:</w:t>
      </w:r>
      <w:r>
        <w:t xml:space="preserve"> </w:t>
      </w:r>
      <w:r>
        <w:rPr>
          <w:rStyle w:val="VerbatimChar"/>
        </w:rPr>
        <w:t xml:space="preserve">docker inspect nom-du-conteneur</w:t>
      </w:r>
      <w:r>
        <w:t xml:space="preserve"> </w:t>
      </w:r>
      <w:r>
        <w:t xml:space="preserve">révèle les montages configurés — l’absence d’un montage vers le répertoire de données attendu confirme immédiatement l’hypothèse.</w:t>
      </w:r>
    </w:p>
    <w:p>
      <w:pPr>
        <w:pStyle w:val="Compact"/>
        <w:numPr>
          <w:ilvl w:val="0"/>
          <w:numId w:val="1921"/>
        </w:numPr>
      </w:pPr>
      <w:r>
        <w:rPr>
          <w:b/>
          <w:bCs/>
        </w:rPr>
        <w:t xml:space="preserve">Résolution</w:t>
      </w:r>
      <w:r>
        <w:t xml:space="preserve"> </w:t>
      </w:r>
      <w:r>
        <w:t xml:space="preserve">: recréer le conteneur avec un volume correctement monté (section 40.4) — malheureusement, les données déjà perdues d’un conteneur précédent sans volume ne peuvent généralement pas être récupérées après coup, une raison supplémentaire de configurer les volumes dès la conception initiale plutôt qu’en réaction à une perte déjà survenue.</w:t>
      </w:r>
    </w:p>
    <w:bookmarkEnd w:id="993"/>
    <w:bookmarkStart w:id="994" w:name="en-entreprise-39"/>
    <w:p>
      <w:pPr>
        <w:pStyle w:val="Heading2"/>
      </w:pPr>
      <w:r>
        <w:t xml:space="preserve">En entreprise</w:t>
      </w:r>
    </w:p>
    <w:p>
      <w:pPr>
        <w:pStyle w:val="Compact"/>
        <w:numPr>
          <w:ilvl w:val="0"/>
          <w:numId w:val="1922"/>
        </w:numPr>
      </w:pPr>
      <w:r>
        <w:rPr>
          <w:b/>
          <w:bCs/>
        </w:rPr>
        <w:t xml:space="preserve">Bonne pratique répandue</w:t>
      </w:r>
      <w:r>
        <w:t xml:space="preserve"> </w:t>
      </w:r>
      <w:r>
        <w:t xml:space="preserve">: versionner les Dockerfile dans le même dépôt Git que le code applicatif (rappel du chapitre 20), garantissant que l’image et le code qu’elle contient restent toujours synchronisés.</w:t>
      </w:r>
    </w:p>
    <w:p>
      <w:pPr>
        <w:pStyle w:val="Compact"/>
        <w:numPr>
          <w:ilvl w:val="0"/>
          <w:numId w:val="1922"/>
        </w:numPr>
      </w:pPr>
      <w:r>
        <w:rPr>
          <w:b/>
          <w:bCs/>
        </w:rPr>
        <w:t xml:space="preserve">Bonne pratique répandue</w:t>
      </w:r>
      <w:r>
        <w:t xml:space="preserve"> </w:t>
      </w:r>
      <w:r>
        <w:t xml:space="preserve">: documenter (chapitre 3) quels volumes contiennent des données critiques nécessitant une stratégie de sauvegarde dédiée (rappel du chapitre 30) — un volume Docker n’est pas automatiquement sauvegardé, il mérite la même rigueur que tout autre stockage de données critique.</w:t>
      </w:r>
    </w:p>
    <w:p>
      <w:pPr>
        <w:pStyle w:val="Compact"/>
        <w:numPr>
          <w:ilvl w:val="0"/>
          <w:numId w:val="1922"/>
        </w:numPr>
      </w:pPr>
      <w:r>
        <w:rPr>
          <w:b/>
          <w:bCs/>
        </w:rPr>
        <w:t xml:space="preserve">Erreur classique observée</w:t>
      </w:r>
      <w:r>
        <w:t xml:space="preserve"> </w:t>
      </w:r>
      <w:r>
        <w:t xml:space="preserve">: une base de données conteneurisée en production sans volume correctement configuré, découverte seulement après une perte de données lors d’une mise à jour de routine de l’image — un incident totalement évitable avec la discipline de ce chapitre.</w:t>
      </w:r>
    </w:p>
    <w:bookmarkEnd w:id="994"/>
    <w:bookmarkStart w:id="995" w:name="entretien-technique-39"/>
    <w:p>
      <w:pPr>
        <w:pStyle w:val="Heading2"/>
      </w:pPr>
      <w:r>
        <w:t xml:space="preserve">Entretien technique</w:t>
      </w:r>
    </w:p>
    <w:p>
      <w:pPr>
        <w:pStyle w:val="FirstParagraph"/>
      </w:pPr>
      <w:r>
        <w:t xml:space="preserve">💼 Questions fréquemment posées en entretien</w:t>
      </w:r>
    </w:p>
    <w:p>
      <w:pPr>
        <w:pStyle w:val="BodyText"/>
      </w:pPr>
      <w:r>
        <w:rPr>
          <w:b/>
          <w:bCs/>
        </w:rPr>
        <w:t xml:space="preserve">Q1.</w:t>
      </w:r>
      <w:r>
        <w:rPr>
          <w:b/>
          <w:bCs/>
        </w:rPr>
        <w:t xml:space="preserve"> </w:t>
      </w:r>
      <w:r>
        <w:rPr>
          <w:b/>
          <w:bCs/>
        </w:rPr>
        <w:t xml:space="preserve">“Pourquoi les données d’un conteneur disparaissent-elles à sa suppression, sauf configuration particulière ?”</w:t>
      </w:r>
      <w:r>
        <w:t xml:space="preserve"> </w:t>
      </w:r>
      <w:r>
        <w:t xml:space="preserve">Réponse attendue : les données créées à l’intérieur d’un conteneur résident par défaut dans sa couche d’écriture temporaire, propre à ce conteneur précis — un volume Docker doit être explicitement monté pour que les données persistent indépendamment du cycle de vie du conteneur.</w:t>
      </w:r>
    </w:p>
    <w:p>
      <w:pPr>
        <w:pStyle w:val="BodyText"/>
      </w:pPr>
      <w:r>
        <w:rPr>
          <w:b/>
          <w:bCs/>
        </w:rPr>
        <w:t xml:space="preserve">Q2.</w:t>
      </w:r>
      <w:r>
        <w:rPr>
          <w:b/>
          <w:bCs/>
        </w:rPr>
        <w:t xml:space="preserve"> </w:t>
      </w:r>
      <w:r>
        <w:rPr>
          <w:b/>
          <w:bCs/>
        </w:rPr>
        <w:t xml:space="preserve">“Pourquoi l’ordre des instructions COPY dans un Dockerfile peut-il affecter significativement le temps de construction ?”</w:t>
      </w:r>
      <w:r>
        <w:t xml:space="preserve"> </w:t>
      </w:r>
      <w:r>
        <w:t xml:space="preserve">Réponse attendue : Docker met en cache chaque couche construite ; copier d’abord les fichiers de dépendances (qui changent rarement) avant d’installer ces dépendances, puis copier le reste du code (qui change souvent) permet de réutiliser le cache des couches de dépendances lors des reconstructions ultérieures si seul le code applicatif a changé.</w:t>
      </w:r>
    </w:p>
    <w:p>
      <w:pPr>
        <w:pStyle w:val="BodyText"/>
      </w:pPr>
      <w:r>
        <w:rPr>
          <w:b/>
          <w:bCs/>
        </w:rPr>
        <w:t xml:space="preserve">Q3.</w:t>
      </w:r>
      <w:r>
        <w:rPr>
          <w:b/>
          <w:bCs/>
        </w:rPr>
        <w:t xml:space="preserve"> </w:t>
      </w:r>
      <w:r>
        <w:rPr>
          <w:b/>
          <w:bCs/>
        </w:rPr>
        <w:t xml:space="preserve">“Comment deux conteneurs peuvent-ils communiquer entre eux, alors que chacun est isolé par défaut ?”</w:t>
      </w:r>
      <w:r>
        <w:t xml:space="preserve"> </w:t>
      </w:r>
      <w:r>
        <w:t xml:space="preserve">Réponse attendue : en les rattachant à un même réseau Docker dédié, créé explicitement — sur ce réseau, les conteneurs peuvent se joindre par leur nom grâce à la résolution DNS automatique fournie par Docker, sans nécessiter de coder en dur une adresse IP.</w:t>
      </w:r>
    </w:p>
    <w:bookmarkEnd w:id="995"/>
    <w:bookmarkStart w:id="996" w:name="Xe41e6b8cc2864cdd7779a532c4bc851cec4f6ae"/>
    <w:p>
      <w:pPr>
        <w:pStyle w:val="Heading2"/>
      </w:pPr>
      <w:r>
        <w:t xml:space="preserve">Optimisation, sécurité et maintenabilité — les réflexes dès ce chapitre</w:t>
      </w:r>
    </w:p>
    <w:p>
      <w:pPr>
        <w:pStyle w:val="FirstParagraph"/>
      </w:pPr>
      <w:r>
        <w:t xml:space="preserve">🔒 Sécurité</w:t>
      </w:r>
      <w:r>
        <w:t xml:space="preserve"> </w:t>
      </w:r>
      <w:r>
        <w:t xml:space="preserve">N’écris jamais un secret directement dans un Dockerfile ; utilise systématiquement un utilisateur non-root dans l’image finale — les deux réflexes de sécurité les plus importants de ce chapitre, directement transposés de principes déjà établis aux chapitres 16 et 20.</w:t>
      </w:r>
    </w:p>
    <w:p>
      <w:pPr>
        <w:pStyle w:val="BodyText"/>
      </w:pPr>
      <w:r>
        <w:t xml:space="preserve">✅ Maintenabilité</w:t>
      </w:r>
      <w:r>
        <w:t xml:space="preserve"> </w:t>
      </w:r>
      <w:r>
        <w:t xml:space="preserve">Documente (chapitre 3) l’architecture de conteneurs de chaque application — quelles images, quels volumes, quels réseaux — une information indispensable pour toute personne reprenant la maintenance de l’application conteneurisée après toi.</w:t>
      </w:r>
    </w:p>
    <w:p>
      <w:pPr>
        <w:pStyle w:val="BodyText"/>
      </w:pPr>
      <w:r>
        <w:t xml:space="preserve">🚀 Performance</w:t>
      </w:r>
      <w:r>
        <w:t xml:space="preserve"> </w:t>
      </w:r>
      <w:r>
        <w:t xml:space="preserve">Structure ton Dockerfile pour exploiter le cache de construction (section 40.2) — un réflexe simple qui accélère considérablement les itérations de développement quotidiennes, un gain cumulatif important sur la durée d’un projet.</w:t>
      </w:r>
    </w:p>
    <w:bookmarkEnd w:id="996"/>
    <w:bookmarkStart w:id="997" w:name="résumé-du-chapitre-39"/>
    <w:p>
      <w:pPr>
        <w:pStyle w:val="Heading2"/>
      </w:pPr>
      <w:r>
        <w:t xml:space="preserve">Résumé du chapitre</w:t>
      </w:r>
    </w:p>
    <w:p>
      <w:pPr>
        <w:pStyle w:val="Compact"/>
        <w:numPr>
          <w:ilvl w:val="0"/>
          <w:numId w:val="1923"/>
        </w:numPr>
      </w:pPr>
      <w:r>
        <w:t xml:space="preserve">Un Dockerfile décrit, étape par étape, comment construire une image Docker personnalisée, reproductible et versionnable.</w:t>
      </w:r>
    </w:p>
    <w:p>
      <w:pPr>
        <w:pStyle w:val="Compact"/>
        <w:numPr>
          <w:ilvl w:val="0"/>
          <w:numId w:val="1923"/>
        </w:numPr>
      </w:pPr>
      <w:r>
        <w:t xml:space="preserve">Les secrets ne doivent jamais être codés en dur dans un Dockerfile ; un conteneur ne devrait jamais tourner en root sans raison spécifique.</w:t>
      </w:r>
    </w:p>
    <w:p>
      <w:pPr>
        <w:pStyle w:val="Compact"/>
        <w:numPr>
          <w:ilvl w:val="0"/>
          <w:numId w:val="1923"/>
        </w:numPr>
      </w:pPr>
      <w:r>
        <w:t xml:space="preserve">Sans volume explicite, les données créées dans un conteneur disparaissent à sa suppression — un volume Docker fait persister les données indépendamment du cycle de vie du conteneur.</w:t>
      </w:r>
    </w:p>
    <w:p>
      <w:pPr>
        <w:pStyle w:val="Compact"/>
        <w:numPr>
          <w:ilvl w:val="0"/>
          <w:numId w:val="1923"/>
        </w:numPr>
      </w:pPr>
      <w:r>
        <w:t xml:space="preserve">Un réseau Docker dédié permet à plusieurs conteneurs de communiquer entre eux par leur nom, grâce à une résolution DNS automatique.</w:t>
      </w:r>
    </w:p>
    <w:p>
      <w:pPr>
        <w:pStyle w:val="Compact"/>
        <w:numPr>
          <w:ilvl w:val="0"/>
          <w:numId w:val="1923"/>
        </w:numPr>
      </w:pPr>
      <w:r>
        <w:t xml:space="preserve">L’ordre des instructions dans un Dockerfile affecte directement l’efficacité du cache de construction, un gain de temps cumulatif significatif.</w:t>
      </w:r>
    </w:p>
    <w:bookmarkEnd w:id="997"/>
    <w:bookmarkStart w:id="998" w:name="quiz-39"/>
    <w:p>
      <w:pPr>
        <w:pStyle w:val="Heading2"/>
      </w:pPr>
      <w:r>
        <w:t xml:space="preserve">Quiz</w:t>
      </w:r>
    </w:p>
    <w:p>
      <w:pPr>
        <w:pStyle w:val="FirstParagraph"/>
      </w:pPr>
      <w:r>
        <w:t xml:space="preserve">📝 QCM (une seule bonne réponse par question)</w:t>
      </w:r>
    </w:p>
    <w:p>
      <w:pPr>
        <w:pStyle w:val="Compact"/>
        <w:numPr>
          <w:ilvl w:val="0"/>
          <w:numId w:val="1924"/>
        </w:numPr>
      </w:pPr>
      <w:r>
        <w:t xml:space="preserve">Un Dockerfile sert à :</w:t>
      </w:r>
    </w:p>
    <w:p>
      <w:pPr>
        <w:pStyle w:val="Compact"/>
        <w:numPr>
          <w:ilvl w:val="1"/>
          <w:numId w:val="1925"/>
        </w:numPr>
      </w:pPr>
    </w:p>
    <w:p>
      <w:pPr>
        <w:pStyle w:val="Compact"/>
        <w:numPr>
          <w:ilvl w:val="2"/>
          <w:numId w:val="1926"/>
        </w:numPr>
      </w:pPr>
      <w:r>
        <w:t xml:space="preserve">Exécuter un conteneur existant</w:t>
      </w:r>
    </w:p>
    <w:p>
      <w:pPr>
        <w:pStyle w:val="Compact"/>
        <w:numPr>
          <w:ilvl w:val="1"/>
          <w:numId w:val="1925"/>
        </w:numPr>
      </w:pPr>
    </w:p>
    <w:p>
      <w:pPr>
        <w:pStyle w:val="Compact"/>
        <w:numPr>
          <w:ilvl w:val="2"/>
          <w:numId w:val="1927"/>
        </w:numPr>
      </w:pPr>
      <w:r>
        <w:t xml:space="preserve">Décrire, étape par étape, comment construire une image Docker personnalisée</w:t>
      </w:r>
    </w:p>
    <w:p>
      <w:pPr>
        <w:pStyle w:val="Compact"/>
        <w:numPr>
          <w:ilvl w:val="1"/>
          <w:numId w:val="1925"/>
        </w:numPr>
      </w:pPr>
    </w:p>
    <w:p>
      <w:pPr>
        <w:pStyle w:val="Compact"/>
        <w:numPr>
          <w:ilvl w:val="2"/>
          <w:numId w:val="1928"/>
        </w:numPr>
      </w:pPr>
      <w:r>
        <w:t xml:space="preserve">Sauvegarder automatiquement un conteneur</w:t>
      </w:r>
    </w:p>
    <w:p>
      <w:pPr>
        <w:pStyle w:val="Compact"/>
        <w:numPr>
          <w:ilvl w:val="1"/>
          <w:numId w:val="1925"/>
        </w:numPr>
      </w:pPr>
    </w:p>
    <w:p>
      <w:pPr>
        <w:pStyle w:val="Compact"/>
        <w:numPr>
          <w:ilvl w:val="2"/>
          <w:numId w:val="1929"/>
        </w:numPr>
      </w:pPr>
      <w:r>
        <w:t xml:space="preserve">Configurer un réseau physique</w:t>
      </w:r>
    </w:p>
    <w:p>
      <w:pPr>
        <w:pStyle w:val="Compact"/>
        <w:numPr>
          <w:ilvl w:val="0"/>
          <w:numId w:val="1924"/>
        </w:numPr>
      </w:pPr>
      <w:r>
        <w:t xml:space="preserve">Sans volume explicite, les données créées dans un conteneur :</w:t>
      </w:r>
    </w:p>
    <w:p>
      <w:pPr>
        <w:pStyle w:val="Compact"/>
        <w:numPr>
          <w:ilvl w:val="1"/>
          <w:numId w:val="1930"/>
        </w:numPr>
      </w:pPr>
    </w:p>
    <w:p>
      <w:pPr>
        <w:pStyle w:val="Compact"/>
        <w:numPr>
          <w:ilvl w:val="2"/>
          <w:numId w:val="1931"/>
        </w:numPr>
      </w:pPr>
      <w:r>
        <w:t xml:space="preserve">Sont automatiquement sauvegardées</w:t>
      </w:r>
    </w:p>
    <w:p>
      <w:pPr>
        <w:pStyle w:val="Compact"/>
        <w:numPr>
          <w:ilvl w:val="1"/>
          <w:numId w:val="1930"/>
        </w:numPr>
      </w:pPr>
    </w:p>
    <w:p>
      <w:pPr>
        <w:pStyle w:val="Compact"/>
        <w:numPr>
          <w:ilvl w:val="2"/>
          <w:numId w:val="1932"/>
        </w:numPr>
      </w:pPr>
      <w:r>
        <w:t xml:space="preserve">Disparaissent à la suppression du conteneur</w:t>
      </w:r>
    </w:p>
    <w:p>
      <w:pPr>
        <w:pStyle w:val="Compact"/>
        <w:numPr>
          <w:ilvl w:val="1"/>
          <w:numId w:val="1930"/>
        </w:numPr>
      </w:pPr>
    </w:p>
    <w:p>
      <w:pPr>
        <w:pStyle w:val="Compact"/>
        <w:numPr>
          <w:ilvl w:val="2"/>
          <w:numId w:val="1933"/>
        </w:numPr>
      </w:pPr>
      <w:r>
        <w:t xml:space="preserve">Sont répliquées sur tous les autres conteneurs</w:t>
      </w:r>
    </w:p>
    <w:p>
      <w:pPr>
        <w:pStyle w:val="Compact"/>
        <w:numPr>
          <w:ilvl w:val="1"/>
          <w:numId w:val="1930"/>
        </w:numPr>
      </w:pPr>
    </w:p>
    <w:p>
      <w:pPr>
        <w:pStyle w:val="Compact"/>
        <w:numPr>
          <w:ilvl w:val="2"/>
          <w:numId w:val="1934"/>
        </w:numPr>
      </w:pPr>
      <w:r>
        <w:t xml:space="preserve">Deviennent immédiatement en lecture seule</w:t>
      </w:r>
    </w:p>
    <w:p>
      <w:pPr>
        <w:pStyle w:val="Compact"/>
        <w:numPr>
          <w:ilvl w:val="0"/>
          <w:numId w:val="1924"/>
        </w:numPr>
      </w:pPr>
      <w:r>
        <w:t xml:space="preserve">Deux conteneurs peuvent communiquer par leur nom si :</w:t>
      </w:r>
    </w:p>
    <w:p>
      <w:pPr>
        <w:pStyle w:val="Compact"/>
        <w:numPr>
          <w:ilvl w:val="1"/>
          <w:numId w:val="1935"/>
        </w:numPr>
      </w:pPr>
    </w:p>
    <w:p>
      <w:pPr>
        <w:pStyle w:val="Compact"/>
        <w:numPr>
          <w:ilvl w:val="2"/>
          <w:numId w:val="1936"/>
        </w:numPr>
      </w:pPr>
      <w:r>
        <w:t xml:space="preserve">Ils partagent le même Dockerfile</w:t>
      </w:r>
    </w:p>
    <w:p>
      <w:pPr>
        <w:pStyle w:val="Compact"/>
        <w:numPr>
          <w:ilvl w:val="1"/>
          <w:numId w:val="1935"/>
        </w:numPr>
      </w:pPr>
    </w:p>
    <w:p>
      <w:pPr>
        <w:pStyle w:val="Compact"/>
        <w:numPr>
          <w:ilvl w:val="2"/>
          <w:numId w:val="1937"/>
        </w:numPr>
      </w:pPr>
      <w:r>
        <w:t xml:space="preserve">Ils sont rattachés à un même réseau Docker dédié</w:t>
      </w:r>
    </w:p>
    <w:p>
      <w:pPr>
        <w:pStyle w:val="Compact"/>
        <w:numPr>
          <w:ilvl w:val="1"/>
          <w:numId w:val="1935"/>
        </w:numPr>
      </w:pPr>
    </w:p>
    <w:p>
      <w:pPr>
        <w:pStyle w:val="Compact"/>
        <w:numPr>
          <w:ilvl w:val="2"/>
          <w:numId w:val="1938"/>
        </w:numPr>
      </w:pPr>
      <w:r>
        <w:t xml:space="preserve">Ils utilisent la même image</w:t>
      </w:r>
    </w:p>
    <w:p>
      <w:pPr>
        <w:pStyle w:val="Compact"/>
        <w:numPr>
          <w:ilvl w:val="1"/>
          <w:numId w:val="1935"/>
        </w:numPr>
      </w:pPr>
    </w:p>
    <w:p>
      <w:pPr>
        <w:pStyle w:val="Compact"/>
        <w:numPr>
          <w:ilvl w:val="2"/>
          <w:numId w:val="1939"/>
        </w:numPr>
      </w:pPr>
      <w:r>
        <w:t xml:space="preserve">Ils sont lancés en tant que root</w:t>
      </w:r>
    </w:p>
    <w:p>
      <w:pPr>
        <w:pStyle w:val="FirstParagraph"/>
      </w:pPr>
      <w:r>
        <w:rPr>
          <w:b/>
          <w:bCs/>
        </w:rPr>
        <w:t xml:space="preserve">Corrigé</w:t>
      </w:r>
      <w:r>
        <w:t xml:space="preserve"> </w:t>
      </w:r>
      <w:r>
        <w:t xml:space="preserve">: 1-b, 2-b, 3-b.</w:t>
      </w:r>
    </w:p>
    <w:p>
      <w:pPr>
        <w:pStyle w:val="BodyText"/>
      </w:pPr>
      <w:r>
        <w:t xml:space="preserve">📝 Vrai ou Faux</w:t>
      </w:r>
    </w:p>
    <w:p>
      <w:pPr>
        <w:pStyle w:val="Compact"/>
        <w:numPr>
          <w:ilvl w:val="0"/>
          <w:numId w:val="1940"/>
        </w:numPr>
      </w:pPr>
      <w:r>
        <w:t xml:space="preserve">Un secret codé en dur dans un Dockerfile reste invisible dans l’image finale. —</w:t>
      </w:r>
      <w:r>
        <w:t xml:space="preserve"> </w:t>
      </w:r>
      <w:r>
        <w:rPr>
          <w:b/>
          <w:bCs/>
        </w:rPr>
        <w:t xml:space="preserve">Faux</w:t>
      </w:r>
      <w:r>
        <w:t xml:space="preserve"> </w:t>
      </w:r>
      <w:r>
        <w:t xml:space="preserve">(il reste visible par quiconque a accès à l’image ou à son historique, section 40.2).</w:t>
      </w:r>
    </w:p>
    <w:p>
      <w:pPr>
        <w:pStyle w:val="Compact"/>
        <w:numPr>
          <w:ilvl w:val="0"/>
          <w:numId w:val="1940"/>
        </w:numPr>
      </w:pPr>
      <w:r>
        <w:t xml:space="preserve">Un conteneur devrait, par bonne pratique, s’exécuter avec un utilisateur dédié plutôt qu’en root. —</w:t>
      </w:r>
      <w:r>
        <w:t xml:space="preserve"> </w:t>
      </w:r>
      <w:r>
        <w:rPr>
          <w:b/>
          <w:bCs/>
        </w:rPr>
        <w:t xml:space="preserve">Vrai</w:t>
      </w:r>
      <w:r>
        <w:t xml:space="preserve">.</w:t>
      </w:r>
    </w:p>
    <w:p>
      <w:pPr>
        <w:pStyle w:val="Compact"/>
        <w:numPr>
          <w:ilvl w:val="0"/>
          <w:numId w:val="1940"/>
        </w:numPr>
      </w:pPr>
      <w:r>
        <w:t xml:space="preserve">Un volume Docker est automatiquement sauvegardé par Docker lui-même. —</w:t>
      </w:r>
      <w:r>
        <w:t xml:space="preserve"> </w:t>
      </w:r>
      <w:r>
        <w:rPr>
          <w:b/>
          <w:bCs/>
        </w:rPr>
        <w:t xml:space="preserve">Faux</w:t>
      </w:r>
      <w:r>
        <w:t xml:space="preserve"> </w:t>
      </w:r>
      <w:r>
        <w:t xml:space="preserve">(il nécessite une stratégie de sauvegarde dédiée, comme tout autre stockage de données critique).</w:t>
      </w:r>
    </w:p>
    <w:p>
      <w:pPr>
        <w:pStyle w:val="Compact"/>
        <w:numPr>
          <w:ilvl w:val="0"/>
          <w:numId w:val="1940"/>
        </w:numPr>
      </w:pPr>
      <w:r>
        <w:t xml:space="preserve">L’ordre des instructions COPY dans un Dockerfile peut affecter significativement le temps de reconstruction de l’image. —</w:t>
      </w:r>
      <w:r>
        <w:t xml:space="preserve"> </w:t>
      </w:r>
      <w:r>
        <w:rPr>
          <w:b/>
          <w:bCs/>
        </w:rPr>
        <w:t xml:space="preserve">Vrai</w:t>
      </w:r>
      <w:r>
        <w:t xml:space="preserve">.</w:t>
      </w:r>
    </w:p>
    <w:p>
      <w:pPr>
        <w:pStyle w:val="FirstParagraph"/>
      </w:pPr>
      <w:r>
        <w:t xml:space="preserve">📝 Questions ouvertes</w:t>
      </w:r>
    </w:p>
    <w:p>
      <w:pPr>
        <w:pStyle w:val="Compact"/>
        <w:numPr>
          <w:ilvl w:val="0"/>
          <w:numId w:val="1941"/>
        </w:numPr>
      </w:pPr>
      <w:r>
        <w:t xml:space="preserve">Explique pourquoi</w:t>
      </w:r>
      <w:r>
        <w:t xml:space="preserve"> </w:t>
      </w:r>
      <w:r>
        <w:rPr>
          <w:rStyle w:val="VerbatimChar"/>
        </w:rPr>
        <w:t xml:space="preserve">POSTGRES_PASSWORD_FILE</w:t>
      </w:r>
      <w:r>
        <w:t xml:space="preserve"> </w:t>
      </w:r>
      <w:r>
        <w:t xml:space="preserve">est préférable à</w:t>
      </w:r>
      <w:r>
        <w:t xml:space="preserve"> </w:t>
      </w:r>
      <w:r>
        <w:rPr>
          <w:rStyle w:val="VerbatimChar"/>
        </w:rPr>
        <w:t xml:space="preserve">POSTGRES_PASSWORD</w:t>
      </w:r>
      <w:r>
        <w:t xml:space="preserve"> </w:t>
      </w:r>
      <w:r>
        <w:t xml:space="preserve">directement en variable d’environnement.</w:t>
      </w:r>
    </w:p>
    <w:p>
      <w:pPr>
        <w:pStyle w:val="Compact"/>
        <w:numPr>
          <w:ilvl w:val="0"/>
          <w:numId w:val="1941"/>
        </w:numPr>
      </w:pPr>
      <w:r>
        <w:t xml:space="preserve">Reprends le scénario d’ouverture. Explique en 3-4 phrases comment tu répondrais aux deux questions du développeur, en une explication claire et non technique.</w:t>
      </w:r>
    </w:p>
    <w:p>
      <w:pPr>
        <w:pStyle w:val="FirstParagraph"/>
      </w:pPr>
      <w:r>
        <w:rPr>
          <w:b/>
          <w:bCs/>
        </w:rPr>
        <w:t xml:space="preserve">Corrigé 1</w:t>
      </w:r>
      <w:r>
        <w:t xml:space="preserve"> </w:t>
      </w:r>
      <w:r>
        <w:t xml:space="preserve">: une variable d’environnement classique reste visible via des commandes comme</w:t>
      </w:r>
      <w:r>
        <w:t xml:space="preserve"> </w:t>
      </w:r>
      <w:r>
        <w:rPr>
          <w:rStyle w:val="VerbatimChar"/>
        </w:rPr>
        <w:t xml:space="preserve">docker inspect</w:t>
      </w:r>
      <w:r>
        <w:t xml:space="preserve">, potentiellement dans les journaux système, ou par quiconque a accès à la configuration du conteneur — un risque d’exposition du mot de passe. Un fichier de secret monté séparément réduit cette surface d’exposition, en ne rendant le secret accessible qu’au processus qui le lit réellement, un principe qui rejoint directement la protection des secrets déjà évoquée au chapitre 20 pour les scripts.</w:t>
      </w:r>
    </w:p>
    <w:p>
      <w:pPr>
        <w:pStyle w:val="BodyText"/>
      </w:pPr>
      <w:r>
        <w:rPr>
          <w:b/>
          <w:bCs/>
        </w:rPr>
        <w:t xml:space="preserve">Corrigé 2</w:t>
      </w:r>
      <w:r>
        <w:t xml:space="preserve"> </w:t>
      </w:r>
      <w:r>
        <w:t xml:space="preserve">: je lui expliquerais que le Dockerfile inclut désormais son propre code applicatif dans l’image (pas seulement Nginx tout seul comme avant), garantissant que l’application se comporte exactement de la même façon partout où cette image est lancée. Pour ses données PostgreSQL, je lui montrerais que le volume Docker fonctionne comme un disque externe branché au conteneur : le conteneur peut être supprimé et recréé autant de fois que nécessaire, les données du volume restent intactes tant que ce volume lui-même n’est pas explicitement supprimé.</w:t>
      </w:r>
    </w:p>
    <w:bookmarkEnd w:id="998"/>
    <w:bookmarkStart w:id="999" w:name="exercices-39"/>
    <w:p>
      <w:pPr>
        <w:pStyle w:val="Heading2"/>
      </w:pPr>
      <w:r>
        <w:t xml:space="preserve">Exercices</w:t>
      </w:r>
    </w:p>
    <w:p>
      <w:pPr>
        <w:pStyle w:val="FirstParagraph"/>
      </w:pPr>
      <w:r>
        <w:t xml:space="preserve">📝 Exercice 40.1</w:t>
      </w:r>
    </w:p>
    <w:p>
      <w:pPr>
        <w:pStyle w:val="BodyText"/>
      </w:pPr>
      <w:r>
        <w:t xml:space="preserve">Un Dockerfile copie tout le code de l’application (</w:t>
      </w:r>
      <w:r>
        <w:rPr>
          <w:rStyle w:val="VerbatimChar"/>
        </w:rPr>
        <w:t xml:space="preserve">COPY . .</w:t>
      </w:r>
      <w:r>
        <w:t xml:space="preserve">) avant d’installer les dépendances (</w:t>
      </w:r>
      <w:r>
        <w:rPr>
          <w:rStyle w:val="VerbatimChar"/>
        </w:rPr>
        <w:t xml:space="preserve">RUN npm install</w:t>
      </w:r>
      <w:r>
        <w:t xml:space="preserve">). Explique pourquoi cet ordre est moins efficace que celui présenté en section 40.1, en termes de temps de reconstruction.</w:t>
      </w:r>
    </w:p>
    <w:p>
      <w:pPr>
        <w:pStyle w:val="BodyText"/>
      </w:pPr>
      <w:r>
        <w:rPr>
          <w:b/>
          <w:bCs/>
        </w:rPr>
        <w:t xml:space="preserve">Corrigé :</w:t>
      </w:r>
      <w:r>
        <w:t xml:space="preserve"> </w:t>
      </w:r>
      <w:r>
        <w:t xml:space="preserve">Avec cet ordre inversé, chaque modification du code applicatif (même une modification mineure sans rapport avec les dépendances) invalide le cache de la couche</w:t>
      </w:r>
      <w:r>
        <w:t xml:space="preserve"> </w:t>
      </w:r>
      <w:r>
        <w:rPr>
          <w:rStyle w:val="VerbatimChar"/>
        </w:rPr>
        <w:t xml:space="preserve">COPY . .</w:t>
      </w:r>
      <w:r>
        <w:t xml:space="preserve">, forçant Docker à réexécuter également</w:t>
      </w:r>
      <w:r>
        <w:t xml:space="preserve"> </w:t>
      </w:r>
      <w:r>
        <w:rPr>
          <w:rStyle w:val="VerbatimChar"/>
        </w:rPr>
        <w:t xml:space="preserve">npm install</w:t>
      </w:r>
      <w:r>
        <w:t xml:space="preserve"> </w:t>
      </w:r>
      <w:r>
        <w:t xml:space="preserve">à chaque reconstruction — même si les dépendances elles-mêmes n’ont pas changé. L’ordre recommandé (copier d’abord les fichiers de dépendances, les installer, puis copier le reste du code, section 40.2) permet à Docker de réutiliser la couche d’installation des dépendances tant qu’elles ne changent pas, accélérant considérablement les reconstructions fréquentes pendant le développement itératif.</w:t>
      </w:r>
    </w:p>
    <w:p>
      <w:pPr>
        <w:pStyle w:val="BodyText"/>
      </w:pPr>
      <w:r>
        <w:t xml:space="preserve">📝 Exercice 40.2</w:t>
      </w:r>
    </w:p>
    <w:p>
      <w:pPr>
        <w:pStyle w:val="BodyText"/>
      </w:pPr>
      <w:r>
        <w:t xml:space="preserve">Rédige, en 3 à 5 phrases, pourquoi documenter quels volumes Docker contiennent des données critiques (chapitre 3) est particulièrement important dans une infrastructure conteneurisée, comparé à une infrastructure traditionnelle sur serveurs physiques ou VM.</w:t>
      </w:r>
    </w:p>
    <w:p>
      <w:pPr>
        <w:pStyle w:val="BodyText"/>
      </w:pPr>
      <w:r>
        <w:rPr>
          <w:b/>
          <w:bCs/>
        </w:rPr>
        <w:t xml:space="preserve">Corrigé (exemple de réponse) :</w:t>
      </w:r>
      <w:r>
        <w:t xml:space="preserve"> </w:t>
      </w:r>
      <w:r>
        <w:t xml:space="preserve">Dans une infrastructure conteneurisée, les conteneurs eux-mêmes sont conçus pour être éphémères et facilement recréés — une pratique courante qui peut faire perdre de vue, sans documentation explicite, que certaines données stockées dans des volumes spécifiques nécessitent absolument une stratégie de sauvegarde dédiée. Sans cette documentation claire, une personne moins familière avec l’architecture pourrait supprimer un volume par erreur en pensant qu’il s’agit simplement d’un artefact temporaire lié à un conteneur, causant une perte de données irréversible qui aurait été évitée par une simple annotation claire dans la CMDB indiquant la criticité réelle de ce volume précis.</w:t>
      </w:r>
    </w:p>
    <w:bookmarkEnd w:id="999"/>
    <w:bookmarkStart w:id="1000" w:name="checklist-de-fin-de-chapitre-39"/>
    <w:p>
      <w:pPr>
        <w:pStyle w:val="Heading2"/>
      </w:pPr>
      <w:r>
        <w:t xml:space="preserve">Checklist de fin de chapitre</w:t>
      </w:r>
    </w:p>
    <w:p>
      <w:pPr>
        <w:pStyle w:val="FirstParagraph"/>
      </w:pPr>
      <w:r>
        <w:t xml:space="preserve">☐ Je sais écrire un Dockerfile pour construire une image personnalisée.</w:t>
      </w:r>
    </w:p>
    <w:p>
      <w:pPr>
        <w:pStyle w:val="BodyText"/>
      </w:pPr>
      <w:r>
        <w:t xml:space="preserve">☐ Je comprends pourquoi ne jamais coder un secret en dur dans un Dockerfile.</w:t>
      </w:r>
    </w:p>
    <w:p>
      <w:pPr>
        <w:pStyle w:val="BodyText"/>
      </w:pPr>
      <w:r>
        <w:t xml:space="preserve">☐ Je sais pourquoi et comment utiliser un utilisateur non-root dans un conteneur.</w:t>
      </w:r>
    </w:p>
    <w:p>
      <w:pPr>
        <w:pStyle w:val="BodyText"/>
      </w:pPr>
      <w:r>
        <w:t xml:space="preserve">☐ Je comprends pourquoi les données d’un conteneur disparaissent à sa suppression sans volume.</w:t>
      </w:r>
    </w:p>
    <w:p>
      <w:pPr>
        <w:pStyle w:val="BodyText"/>
      </w:pPr>
      <w:r>
        <w:t xml:space="preserve">☐ Je sais créer et monter un volume Docker pour la persistance des données.</w:t>
      </w:r>
    </w:p>
    <w:p>
      <w:pPr>
        <w:pStyle w:val="BodyText"/>
      </w:pPr>
      <w:r>
        <w:t xml:space="preserve">☐ Je sais créer un réseau Docker pour permettre à deux conteneurs de communiquer par leur nom.</w:t>
      </w:r>
    </w:p>
    <w:bookmarkEnd w:id="1000"/>
    <w:bookmarkStart w:id="1001" w:name="faq-39"/>
    <w:p>
      <w:pPr>
        <w:pStyle w:val="Heading2"/>
      </w:pPr>
      <w:r>
        <w:t xml:space="preserve">FAQ</w:t>
      </w:r>
    </w:p>
    <w:p>
      <w:pPr>
        <w:pStyle w:val="FirstParagraph"/>
      </w:pPr>
      <w:r>
        <w:t xml:space="preserve">Peut-on monter un dossier de l’hôte directement dans un conteneur, plutôt qu’un volume nommé ?</w:t>
      </w:r>
    </w:p>
    <w:p>
      <w:pPr>
        <w:pStyle w:val="BodyText"/>
      </w:pPr>
      <w:r>
        <w:t xml:space="preserve">Oui, via un</w:t>
      </w:r>
      <w:r>
        <w:t xml:space="preserve"> </w:t>
      </w:r>
      <w:r>
        <w:t xml:space="preserve">“bind mount”</w:t>
      </w:r>
      <w:r>
        <w:t xml:space="preserve"> </w:t>
      </w:r>
      <w:r>
        <w:t xml:space="preserve">(montage direct d’un chemin de l’hôte) — utile pour le développement (voir immédiatement les changements de code sans reconstruire l’image), mais un volume nommé, géré entièrement par Docker, reste généralement préférable en production pour sa portabilité et sa gestion simplifiée.</w:t>
      </w:r>
    </w:p>
    <w:p>
      <w:pPr>
        <w:pStyle w:val="BodyText"/>
      </w:pPr>
      <w:r>
        <w:t xml:space="preserve">Combien de conteneurs peuvent partager le même volume ?</w:t>
      </w:r>
    </w:p>
    <w:p>
      <w:pPr>
        <w:pStyle w:val="BodyText"/>
      </w:pPr>
      <w:r>
        <w:t xml:space="preserve">Plusieurs conteneurs peuvent monter le même volume simultanément, mais attention aux accès concurrents en écriture selon le type de données stockées — certaines applications (comme une base de données) ne sont pas conçues pour un accès simultané par plusieurs instances au même stockage sous-jacent, un point à vérifier selon le logiciel concerné.</w:t>
      </w:r>
    </w:p>
    <w:p>
      <w:pPr>
        <w:pStyle w:val="BodyText"/>
      </w:pPr>
      <w:r>
        <w:t xml:space="preserve">Faut-il créer un réseau Docker distinct pour chaque application, ou un seul réseau partagé pour toute l’infrastructure ?</w:t>
      </w:r>
    </w:p>
    <w:p>
      <w:pPr>
        <w:pStyle w:val="BodyText"/>
      </w:pPr>
      <w:r>
        <w:t xml:space="preserve">Un réseau dédié par application (comme dans l’exemple de ce chapitre) est généralement recommandé pour l’isolation — un principe qui rejoint directement l’esprit de la segmentation réseau plus large déjà évoquée au chapitre 26 (Zero Trust), limitant l’exposition mutuelle entre applications qui n’ont pas besoin de communiquer entre elles.</w:t>
      </w:r>
    </w:p>
    <w:p>
      <w:pPr>
        <w:pStyle w:val="BodyText"/>
      </w:pPr>
      <w:r>
        <w:t xml:space="preserve">Comment mettre à jour une application conteneurisée sans perdre ses données ?</w:t>
      </w:r>
    </w:p>
    <w:p>
      <w:pPr>
        <w:pStyle w:val="BodyText"/>
      </w:pPr>
      <w:r>
        <w:t xml:space="preserve">Reconstruire une nouvelle image avec le code mis à jour, puis supprimer l’ancien conteneur et en lancer un nouveau à partir de cette nouvelle image, en remontant le même volume de données — le volume, indépendant du cycle de vie du conteneur (section 40.4), survit naturellement à ce remplacement.</w:t>
      </w:r>
    </w:p>
    <w:bookmarkEnd w:id="1001"/>
    <w:bookmarkStart w:id="1005" w:name="références-et-pour-aller-plus-loin-39"/>
    <w:p>
      <w:pPr>
        <w:pStyle w:val="Heading2"/>
      </w:pPr>
      <w:r>
        <w:t xml:space="preserve">Références et pour aller plus loin</w:t>
      </w:r>
    </w:p>
    <w:p>
      <w:pPr>
        <w:pStyle w:val="Compact"/>
        <w:numPr>
          <w:ilvl w:val="0"/>
          <w:numId w:val="1942"/>
        </w:numPr>
      </w:pPr>
      <w:r>
        <w:t xml:space="preserve">Documentation officielle Docker — Bonnes pratiques pour l’écriture de Dockerfile :</w:t>
      </w:r>
      <w:r>
        <w:t xml:space="preserve"> </w:t>
      </w:r>
      <w:hyperlink r:id="rId1002">
        <w:r>
          <w:rPr>
            <w:rStyle w:val="Hyperlink"/>
          </w:rPr>
          <w:t xml:space="preserve">https://docs.docker.com/build/building/best-practices/</w:t>
        </w:r>
      </w:hyperlink>
    </w:p>
    <w:p>
      <w:pPr>
        <w:pStyle w:val="Compact"/>
        <w:numPr>
          <w:ilvl w:val="0"/>
          <w:numId w:val="1942"/>
        </w:numPr>
      </w:pPr>
      <w:r>
        <w:t xml:space="preserve">Documentation officielle Docker — Volumes :</w:t>
      </w:r>
      <w:r>
        <w:t xml:space="preserve"> </w:t>
      </w:r>
      <w:hyperlink r:id="rId1003">
        <w:r>
          <w:rPr>
            <w:rStyle w:val="Hyperlink"/>
          </w:rPr>
          <w:t xml:space="preserve">https://docs.docker.com/storage/volumes/</w:t>
        </w:r>
      </w:hyperlink>
    </w:p>
    <w:p>
      <w:pPr>
        <w:pStyle w:val="Compact"/>
        <w:numPr>
          <w:ilvl w:val="0"/>
          <w:numId w:val="1942"/>
        </w:numPr>
      </w:pPr>
      <w:r>
        <w:t xml:space="preserve">Documentation officielle Docker — Réseaux :</w:t>
      </w:r>
      <w:r>
        <w:t xml:space="preserve"> </w:t>
      </w:r>
      <w:hyperlink r:id="rId1004">
        <w:r>
          <w:rPr>
            <w:rStyle w:val="Hyperlink"/>
          </w:rPr>
          <w:t xml:space="preserve">https://docs.docker.com/network/</w:t>
        </w:r>
      </w:hyperlink>
    </w:p>
    <w:p>
      <w:pPr>
        <w:pStyle w:val="FirstParagraph"/>
      </w:pPr>
      <w:r>
        <w:rPr>
          <w:i/>
          <w:iCs/>
        </w:rPr>
        <w:t xml:space="preserve">Chapitre suivant : Docker Compose — orchestrer plusieurs conteneurs (application, base de données, et plus) à partir d’un seul fichier de configuration, plutôt que d’enchaîner manuellement des commandes</w:t>
      </w:r>
      <w:r>
        <w:rPr>
          <w:i/>
          <w:iCs/>
        </w:rPr>
        <w:t xml:space="preserve"> </w:t>
      </w:r>
      <w:r>
        <w:rPr>
          <w:rStyle w:val="VerbatimChar"/>
          <w:i/>
          <w:iCs/>
        </w:rPr>
        <w:t xml:space="preserve">docker run</w:t>
      </w:r>
      <w:r>
        <w:rPr>
          <w:i/>
          <w:iCs/>
        </w:rPr>
        <w:t xml:space="preserve"> </w:t>
      </w:r>
      <w:r>
        <w:rPr>
          <w:i/>
          <w:iCs/>
        </w:rPr>
        <w:t xml:space="preserve">individuelles.</w:t>
      </w:r>
    </w:p>
    <w:p>
      <w:pPr>
        <w:pStyle w:val="BodyText"/>
      </w:pPr>
      <w:r>
        <w:t xml:space="preserve">CHAPITRE 41</w:t>
      </w:r>
    </w:p>
    <w:bookmarkEnd w:id="1005"/>
    <w:bookmarkEnd w:id="1006"/>
    <w:bookmarkStart w:id="1028" w:name="docker-compose"/>
    <w:p>
      <w:pPr>
        <w:pStyle w:val="Heading1"/>
      </w:pPr>
      <w:r>
        <w:t xml:space="preserve">Docker Compose</w:t>
      </w:r>
    </w:p>
    <w:p>
      <w:pPr>
        <w:pStyle w:val="FirstParagraph"/>
      </w:pPr>
      <w:r>
        <w:t xml:space="preserve">🎯 Objectif du chapitre</w:t>
      </w:r>
      <w:r>
        <w:t xml:space="preserve"> </w:t>
      </w:r>
      <w:r>
        <w:t xml:space="preserve">Remplacer l’enchaînement manuel de commandes</w:t>
      </w:r>
      <w:r>
        <w:t xml:space="preserve"> </w:t>
      </w:r>
      <w:r>
        <w:rPr>
          <w:rStyle w:val="VerbatimChar"/>
        </w:rPr>
        <w:t xml:space="preserve">docker run</w:t>
      </w:r>
      <w:r>
        <w:t xml:space="preserve">,</w:t>
      </w:r>
      <w:r>
        <w:t xml:space="preserve"> </w:t>
      </w:r>
      <w:r>
        <w:rPr>
          <w:rStyle w:val="VerbatimChar"/>
        </w:rPr>
        <w:t xml:space="preserve">docker volume create</w:t>
      </w:r>
      <w:r>
        <w:t xml:space="preserve"> </w:t>
      </w:r>
      <w:r>
        <w:t xml:space="preserve">et</w:t>
      </w:r>
      <w:r>
        <w:t xml:space="preserve"> </w:t>
      </w:r>
      <w:r>
        <w:rPr>
          <w:rStyle w:val="VerbatimChar"/>
        </w:rPr>
        <w:t xml:space="preserve">docker network create</w:t>
      </w:r>
      <w:r>
        <w:t xml:space="preserve"> </w:t>
      </w:r>
      <w:r>
        <w:t xml:space="preserve">du chapitre 40 par un seul fichier déclaratif — Docker Compose. À la fin de ce chapitre, tu sauras écrire un fichier</w:t>
      </w:r>
      <w:r>
        <w:t xml:space="preserve"> </w:t>
      </w:r>
      <w:r>
        <w:rPr>
          <w:rStyle w:val="VerbatimChar"/>
        </w:rPr>
        <w:t xml:space="preserve">docker-compose.yml</w:t>
      </w:r>
      <w:r>
        <w:t xml:space="preserve"> </w:t>
      </w:r>
      <w:r>
        <w:t xml:space="preserve">complet pour une application multi-conteneurs, gérer la configuration via des variables d’environnement, et éviter le piège classique de</w:t>
      </w:r>
      <w:r>
        <w:t xml:space="preserve"> </w:t>
      </w:r>
      <w:r>
        <w:rPr>
          <w:rStyle w:val="VerbatimChar"/>
        </w:rPr>
        <w:t xml:space="preserve">depends_on</w:t>
      </w:r>
      <w:r>
        <w:t xml:space="preserve">, souvent mal compris.</w:t>
      </w:r>
    </w:p>
    <w:p>
      <w:pPr>
        <w:pStyle w:val="BodyText"/>
      </w:pPr>
      <w:r>
        <w:t xml:space="preserve">🎬 Mise en situation</w:t>
      </w:r>
      <w:r>
        <w:t xml:space="preserve"> </w:t>
      </w:r>
      <w:r>
        <w:t xml:space="preserve">Un collègue du développeur, chargé de relancer l’environnement du portail après une mise à jour, oublie l’option</w:t>
      </w:r>
      <w:r>
        <w:t xml:space="preserve"> </w:t>
      </w:r>
      <w:r>
        <w:rPr>
          <w:rStyle w:val="VerbatimChar"/>
        </w:rPr>
        <w:t xml:space="preserve">--network</w:t>
      </w:r>
      <w:r>
        <w:t xml:space="preserve"> </w:t>
      </w:r>
      <w:r>
        <w:t xml:space="preserve">sur l’une des deux commandes</w:t>
      </w:r>
      <w:r>
        <w:t xml:space="preserve"> </w:t>
      </w:r>
      <w:r>
        <w:rPr>
          <w:rStyle w:val="VerbatimChar"/>
        </w:rPr>
        <w:t xml:space="preserve">docker run</w:t>
      </w:r>
      <w:r>
        <w:t xml:space="preserve"> </w:t>
      </w:r>
      <w:r>
        <w:t xml:space="preserve">du chapitre 40 — l’application et sa base de données se retrouvent sur des réseaux Docker différents, incapables de communiquer, et personne ne comprend immédiatement pourquoi</w:t>
      </w:r>
      <w:r>
        <w:t xml:space="preserve"> </w:t>
      </w:r>
      <w:r>
        <w:t xml:space="preserve">“ça marchait hier”</w:t>
      </w:r>
      <w:r>
        <w:t xml:space="preserve">.</w:t>
      </w:r>
      <w:r>
        <w:t xml:space="preserve"> </w:t>
      </w:r>
      <w:r>
        <w:t xml:space="preserve">“Il doit y avoir un moyen de ne pas avoir à retaper ces commandes à la main à chaque fois, avec le risque d’en oublier une,”</w:t>
      </w:r>
      <w:r>
        <w:t xml:space="preserve"> </w:t>
      </w:r>
      <w:r>
        <w:t xml:space="preserve">constate le développeur. C’est exactement le rôle de Docker Compose — l’objet de ce chapitre, qui transforme la suite de commandes manuelles du chapitre 40 en un seul fichier fiable et reproductible.</w:t>
      </w:r>
    </w:p>
    <w:bookmarkStart w:id="1007" w:name="X7c26f1e5f23ddae997fbcd99560cb5cc699f96b"/>
    <w:p>
      <w:pPr>
        <w:pStyle w:val="Heading2"/>
      </w:pPr>
      <w:r>
        <w:t xml:space="preserve">41.1 Le problème des commandes manuelles répétées</w:t>
      </w:r>
    </w:p>
    <w:p>
      <w:pPr>
        <w:pStyle w:val="FirstParagraph"/>
      </w:pPr>
      <w:r>
        <w:t xml:space="preserve">💡 Analogie — la recette de cuisine écrite vs les instructions retenues de mémoire</w:t>
      </w:r>
      <w:r>
        <w:t xml:space="preserve"> </w:t>
      </w:r>
      <w:r>
        <w:t xml:space="preserve">Enchaîner manuellement plusieurs commandes</w:t>
      </w:r>
      <w:r>
        <w:t xml:space="preserve"> </w:t>
      </w:r>
      <w:r>
        <w:rPr>
          <w:rStyle w:val="VerbatimChar"/>
        </w:rPr>
        <w:t xml:space="preserve">docker run</w:t>
      </w:r>
      <w:r>
        <w:t xml:space="preserve">,</w:t>
      </w:r>
      <w:r>
        <w:t xml:space="preserve"> </w:t>
      </w:r>
      <w:r>
        <w:rPr>
          <w:rStyle w:val="VerbatimChar"/>
        </w:rPr>
        <w:t xml:space="preserve">docker network create</w:t>
      </w:r>
      <w:r>
        <w:t xml:space="preserve"> </w:t>
      </w:r>
      <w:r>
        <w:t xml:space="preserve">et</w:t>
      </w:r>
      <w:r>
        <w:t xml:space="preserve"> </w:t>
      </w:r>
      <w:r>
        <w:rPr>
          <w:rStyle w:val="VerbatimChar"/>
        </w:rPr>
        <w:t xml:space="preserve">docker volume create</w:t>
      </w:r>
      <w:r>
        <w:t xml:space="preserve"> </w:t>
      </w:r>
      <w:r>
        <w:t xml:space="preserve">à chaque redémarrage ressemble à préparer un plat compliqué uniquement de mémoire, sans jamais l’écrire — fonctionnel tant que la même personne s’en souvient parfaitement, mais fragile dès qu’une étape est oubliée ou qu’une autre personne doit reproduire exactement la même recette. Docker Compose est la recette écrite : un seul fichier qui décrit l’ensemble de l’architecture, exécutable de façon identique par n’importe qui, à chaque fois.</w:t>
      </w:r>
    </w:p>
    <w:bookmarkEnd w:id="1007"/>
    <w:bookmarkStart w:id="1008" w:name="X659e5b4cd350bf1808c065628a3cdf388fc2e36"/>
    <w:p>
      <w:pPr>
        <w:pStyle w:val="Heading2"/>
      </w:pPr>
      <w:r>
        <w:t xml:space="preserve">41.2</w:t>
      </w:r>
      <w:r>
        <w:t xml:space="preserve"> </w:t>
      </w:r>
      <w:r>
        <w:rPr>
          <w:rStyle w:val="VerbatimChar"/>
        </w:rPr>
        <w:t xml:space="preserve">docker-compose.yml</w:t>
      </w:r>
      <w:r>
        <w:t xml:space="preserve"> </w:t>
      </w:r>
      <w:r>
        <w:t xml:space="preserve">: toute l’architecture en un seul fichier</w:t>
      </w:r>
    </w:p>
    <w:p>
      <w:pPr>
        <w:pStyle w:val="SourceCode"/>
      </w:pPr>
      <w:r>
        <w:rPr>
          <w:rStyle w:val="CommentTok"/>
        </w:rPr>
        <w:t xml:space="preserve"># docker-compose.yml</w:t>
      </w:r>
      <w:r>
        <w:br/>
      </w:r>
      <w:r>
        <w:rPr>
          <w:rStyle w:val="FunctionTok"/>
        </w:rPr>
        <w:t xml:space="preserve">services</w:t>
      </w:r>
      <w:r>
        <w:rPr>
          <w:rStyle w:val="KeywordTok"/>
        </w:rPr>
        <w:t xml:space="preserve">:</w:t>
      </w:r>
      <w:r>
        <w:br/>
      </w:r>
      <w:r>
        <w:rPr>
          <w:rStyle w:val="AttributeTok"/>
        </w:rPr>
        <w:t xml:space="preserve">  </w:t>
      </w:r>
      <w:r>
        <w:rPr>
          <w:rStyle w:val="FunctionTok"/>
        </w:rPr>
        <w:t xml:space="preserve">app</w:t>
      </w:r>
      <w:r>
        <w:rPr>
          <w:rStyle w:val="KeywordTok"/>
        </w:rPr>
        <w:t xml:space="preserve">:</w:t>
      </w:r>
      <w:r>
        <w:br/>
      </w:r>
      <w:r>
        <w:rPr>
          <w:rStyle w:val="AttributeTok"/>
        </w:rPr>
        <w:t xml:space="preserve">    </w:t>
      </w:r>
      <w:r>
        <w:rPr>
          <w:rStyle w:val="FunctionTok"/>
        </w:rPr>
        <w:t xml:space="preserve">build</w:t>
      </w:r>
      <w:r>
        <w:rPr>
          <w:rStyle w:val="KeywordTok"/>
        </w:rPr>
        <w:t xml:space="preserve">:</w:t>
      </w:r>
      <w:r>
        <w:rPr>
          <w:rStyle w:val="AttributeTok"/>
        </w:rPr>
        <w:t xml:space="preserve"> .</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"3000:3000"</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FunctionTok"/>
        </w:rPr>
        <w:t xml:space="preserve">DATABASE_HOST</w:t>
      </w:r>
      <w:r>
        <w:rPr>
          <w:rStyle w:val="KeywordTok"/>
        </w:rPr>
        <w:t xml:space="preserve">:</w:t>
      </w:r>
      <w:r>
        <w:rPr>
          <w:rStyle w:val="AttributeTok"/>
        </w:rPr>
        <w:t xml:space="preserve"> db</w:t>
      </w:r>
      <w:r>
        <w:br/>
      </w:r>
      <w:r>
        <w:rPr>
          <w:rStyle w:val="AttributeTok"/>
        </w:rPr>
        <w:t xml:space="preserve">    </w:t>
      </w:r>
      <w:r>
        <w:rPr>
          <w:rStyle w:val="FunctionTok"/>
        </w:rPr>
        <w:t xml:space="preserve">depends_on</w:t>
      </w:r>
      <w:r>
        <w:rPr>
          <w:rStyle w:val="KeywordTok"/>
        </w:rPr>
        <w:t xml:space="preserve">:</w:t>
      </w:r>
      <w:r>
        <w:br/>
      </w:r>
      <w:r>
        <w:rPr>
          <w:rStyle w:val="AttributeTok"/>
        </w:rPr>
        <w:t xml:space="preserve">      </w:t>
      </w:r>
      <w:r>
        <w:rPr>
          <w:rStyle w:val="KeywordTok"/>
        </w:rPr>
        <w:t xml:space="preserve">-</w:t>
      </w:r>
      <w:r>
        <w:rPr>
          <w:rStyle w:val="AttributeTok"/>
        </w:rPr>
        <w:t xml:space="preserve"> db</w:t>
      </w:r>
      <w:r>
        <w:br/>
      </w:r>
      <w:r>
        <w:rPr>
          <w:rStyle w:val="AttributeTok"/>
        </w:rPr>
        <w:t xml:space="preserve">    </w:t>
      </w:r>
      <w:r>
        <w:rPr>
          <w:rStyle w:val="FunctionTok"/>
        </w:rPr>
        <w:t xml:space="preserve">networks</w:t>
      </w:r>
      <w:r>
        <w:rPr>
          <w:rStyle w:val="KeywordTok"/>
        </w:rPr>
        <w:t xml:space="preserve">:</w:t>
      </w:r>
      <w:r>
        <w:br/>
      </w:r>
      <w:r>
        <w:rPr>
          <w:rStyle w:val="AttributeTok"/>
        </w:rPr>
        <w:t xml:space="preserve">      </w:t>
      </w:r>
      <w:r>
        <w:rPr>
          <w:rStyle w:val="KeywordTok"/>
        </w:rPr>
        <w:t xml:space="preserve">-</w:t>
      </w:r>
      <w:r>
        <w:rPr>
          <w:rStyle w:val="AttributeTok"/>
        </w:rPr>
        <w:t xml:space="preserve"> reseau-portail</w:t>
      </w:r>
      <w:r>
        <w:br/>
      </w:r>
      <w:r>
        <w:br/>
      </w:r>
      <w:r>
        <w:rPr>
          <w:rStyle w:val="AttributeTok"/>
        </w:rPr>
        <w:t xml:space="preserve">  </w:t>
      </w:r>
      <w:r>
        <w:rPr>
          <w:rStyle w:val="FunctionTok"/>
        </w:rPr>
        <w:t xml:space="preserve">db</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postgres:16</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FunctionTok"/>
        </w:rPr>
        <w:t xml:space="preserve">POSTGRES_PASSWORD_FILE</w:t>
      </w:r>
      <w:r>
        <w:rPr>
          <w:rStyle w:val="KeywordTok"/>
        </w:rPr>
        <w:t xml:space="preserve">:</w:t>
      </w:r>
      <w:r>
        <w:rPr>
          <w:rStyle w:val="AttributeTok"/>
        </w:rPr>
        <w:t xml:space="preserve"> /run/secrets/db-password</w:t>
      </w:r>
      <w:r>
        <w:br/>
      </w:r>
      <w:r>
        <w:rPr>
          <w:rStyle w:val="AttributeTok"/>
        </w:rPr>
        <w:t xml:space="preserve">    </w:t>
      </w:r>
      <w:r>
        <w:rPr>
          <w:rStyle w:val="FunctionTok"/>
        </w:rPr>
        <w:t xml:space="preserve">secrets</w:t>
      </w:r>
      <w:r>
        <w:rPr>
          <w:rStyle w:val="KeywordTok"/>
        </w:rPr>
        <w:t xml:space="preserve">:</w:t>
      </w:r>
      <w:r>
        <w:br/>
      </w:r>
      <w:r>
        <w:rPr>
          <w:rStyle w:val="AttributeTok"/>
        </w:rPr>
        <w:t xml:space="preserve">      </w:t>
      </w:r>
      <w:r>
        <w:rPr>
          <w:rStyle w:val="KeywordTok"/>
        </w:rPr>
        <w:t xml:space="preserve">-</w:t>
      </w:r>
      <w:r>
        <w:rPr>
          <w:rStyle w:val="AttributeTok"/>
        </w:rPr>
        <w:t xml:space="preserve"> db-password</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donnees-portail-db:/var/lib/postgresql/data</w:t>
      </w:r>
      <w:r>
        <w:br/>
      </w:r>
      <w:r>
        <w:rPr>
          <w:rStyle w:val="AttributeTok"/>
        </w:rPr>
        <w:t xml:space="preserve">    </w:t>
      </w:r>
      <w:r>
        <w:rPr>
          <w:rStyle w:val="FunctionTok"/>
        </w:rPr>
        <w:t xml:space="preserve">networks</w:t>
      </w:r>
      <w:r>
        <w:rPr>
          <w:rStyle w:val="KeywordTok"/>
        </w:rPr>
        <w:t xml:space="preserve">:</w:t>
      </w:r>
      <w:r>
        <w:br/>
      </w:r>
      <w:r>
        <w:rPr>
          <w:rStyle w:val="AttributeTok"/>
        </w:rPr>
        <w:t xml:space="preserve">      </w:t>
      </w:r>
      <w:r>
        <w:rPr>
          <w:rStyle w:val="KeywordTok"/>
        </w:rPr>
        <w:t xml:space="preserve">-</w:t>
      </w:r>
      <w:r>
        <w:rPr>
          <w:rStyle w:val="AttributeTok"/>
        </w:rPr>
        <w:t xml:space="preserve"> reseau-portail</w:t>
      </w:r>
      <w:r>
        <w:br/>
      </w:r>
      <w:r>
        <w:br/>
      </w:r>
      <w:r>
        <w:rPr>
          <w:rStyle w:val="FunctionTok"/>
        </w:rPr>
        <w:t xml:space="preserve">volumes</w:t>
      </w:r>
      <w:r>
        <w:rPr>
          <w:rStyle w:val="KeywordTok"/>
        </w:rPr>
        <w:t xml:space="preserve">:</w:t>
      </w:r>
      <w:r>
        <w:br/>
      </w:r>
      <w:r>
        <w:rPr>
          <w:rStyle w:val="AttributeTok"/>
        </w:rPr>
        <w:t xml:space="preserve">  </w:t>
      </w:r>
      <w:r>
        <w:rPr>
          <w:rStyle w:val="FunctionTok"/>
        </w:rPr>
        <w:t xml:space="preserve">donnees-portail-db</w:t>
      </w:r>
      <w:r>
        <w:rPr>
          <w:rStyle w:val="KeywordTok"/>
        </w:rPr>
        <w:t xml:space="preserve">:</w:t>
      </w:r>
      <w:r>
        <w:br/>
      </w:r>
      <w:r>
        <w:br/>
      </w:r>
      <w:r>
        <w:rPr>
          <w:rStyle w:val="FunctionTok"/>
        </w:rPr>
        <w:t xml:space="preserve">networks</w:t>
      </w:r>
      <w:r>
        <w:rPr>
          <w:rStyle w:val="KeywordTok"/>
        </w:rPr>
        <w:t xml:space="preserve">:</w:t>
      </w:r>
      <w:r>
        <w:br/>
      </w:r>
      <w:r>
        <w:rPr>
          <w:rStyle w:val="AttributeTok"/>
        </w:rPr>
        <w:t xml:space="preserve">  </w:t>
      </w:r>
      <w:r>
        <w:rPr>
          <w:rStyle w:val="FunctionTok"/>
        </w:rPr>
        <w:t xml:space="preserve">reseau-portail</w:t>
      </w:r>
      <w:r>
        <w:rPr>
          <w:rStyle w:val="KeywordTok"/>
        </w:rPr>
        <w:t xml:space="preserve">:</w:t>
      </w:r>
      <w:r>
        <w:br/>
      </w:r>
      <w:r>
        <w:br/>
      </w:r>
      <w:r>
        <w:rPr>
          <w:rStyle w:val="FunctionTok"/>
        </w:rPr>
        <w:t xml:space="preserve">secrets</w:t>
      </w:r>
      <w:r>
        <w:rPr>
          <w:rStyle w:val="KeywordTok"/>
        </w:rPr>
        <w:t xml:space="preserve">:</w:t>
      </w:r>
      <w:r>
        <w:br/>
      </w:r>
      <w:r>
        <w:rPr>
          <w:rStyle w:val="AttributeTok"/>
        </w:rPr>
        <w:t xml:space="preserve">  </w:t>
      </w:r>
      <w:r>
        <w:rPr>
          <w:rStyle w:val="FunctionTok"/>
        </w:rPr>
        <w:t xml:space="preserve">db-password</w:t>
      </w:r>
      <w:r>
        <w:rPr>
          <w:rStyle w:val="KeywordTok"/>
        </w:rPr>
        <w:t xml:space="preserve">:</w:t>
      </w:r>
      <w:r>
        <w:br/>
      </w:r>
      <w:r>
        <w:rPr>
          <w:rStyle w:val="AttributeTok"/>
        </w:rPr>
        <w:t xml:space="preserve">    </w:t>
      </w:r>
      <w:r>
        <w:rPr>
          <w:rStyle w:val="FunctionTok"/>
        </w:rPr>
        <w:t xml:space="preserve">file</w:t>
      </w:r>
      <w:r>
        <w:rPr>
          <w:rStyle w:val="KeywordTok"/>
        </w:rPr>
        <w:t xml:space="preserve">:</w:t>
      </w:r>
      <w:r>
        <w:rPr>
          <w:rStyle w:val="AttributeTok"/>
        </w:rPr>
        <w:t xml:space="preserve"> ./db-password.txt</w:t>
      </w:r>
    </w:p>
    <w:p>
      <w:pPr>
        <w:pStyle w:val="FirstParagraph"/>
      </w:pPr>
      <w:r>
        <w:t xml:space="preserve">💡 Ce fichier capture exactement l’architecture du chapitre 40</w:t>
      </w:r>
      <w:r>
        <w:t xml:space="preserve"> </w:t>
      </w:r>
      <w:r>
        <w:t xml:space="preserve">Chaque élément construit manuellement au chapitre précédent trouve sa place déclarative ici : le Dockerfile (via</w:t>
      </w:r>
      <w:r>
        <w:t xml:space="preserve"> </w:t>
      </w:r>
      <w:r>
        <w:t xml:space="preserve">build: .</w:t>
      </w:r>
      <w:r>
        <w:t xml:space="preserve">), le volume nommé pour la persistance des données PostgreSQL (section 40.4), le réseau dédié permettant aux deux conteneurs de communiquer par leur nom (section 40.5), et même la gestion du secret de mot de passe via un fichier plutôt qu’une variable en clair (section 40.4). Plus aucune commande à retaper de mémoire, plus aucun risque d’oublier une option comme</w:t>
      </w:r>
      <w:r>
        <w:t xml:space="preserve"> </w:t>
      </w:r>
      <w:r>
        <w:t xml:space="preserve">–network</w:t>
      </w:r>
      <w:r>
        <w:t xml:space="preserve">.</w:t>
      </w:r>
    </w:p>
    <w:bookmarkEnd w:id="1008"/>
    <w:bookmarkStart w:id="1009" w:name="X2c0a68e633ad168b1d1493602a67e87180244d0"/>
    <w:p>
      <w:pPr>
        <w:pStyle w:val="Heading2"/>
      </w:pPr>
      <w:r>
        <w:t xml:space="preserve">41.3 Le cycle de vie complet en une seule commande</w:t>
      </w:r>
    </w:p>
    <w:p>
      <w:pPr>
        <w:pStyle w:val="SourceCode"/>
      </w:pPr>
      <w:r>
        <w:rPr>
          <w:rStyle w:val="VerbatimChar"/>
        </w:rPr>
        <w:t xml:space="preserve"># Demarrer l'ensemble de l'architecture (construit l'image si</w:t>
      </w:r>
      <w:r>
        <w:br/>
      </w:r>
      <w:r>
        <w:rPr>
          <w:rStyle w:val="VerbatimChar"/>
        </w:rPr>
        <w:t xml:space="preserve"># necessaire, cree les volumes et reseaux, lance les conteneurs)</w:t>
      </w:r>
      <w:r>
        <w:br/>
      </w:r>
      <w:r>
        <w:rPr>
          <w:rStyle w:val="VerbatimChar"/>
        </w:rPr>
        <w:t xml:space="preserve">docker compose up -d</w:t>
      </w:r>
      <w:r>
        <w:br/>
      </w:r>
      <w:r>
        <w:br/>
      </w:r>
      <w:r>
        <w:rPr>
          <w:rStyle w:val="VerbatimChar"/>
        </w:rPr>
        <w:t xml:space="preserve"># Arreter et supprimer les conteneurs, en conservant les volumes</w:t>
      </w:r>
      <w:r>
        <w:br/>
      </w:r>
      <w:r>
        <w:rPr>
          <w:rStyle w:val="VerbatimChar"/>
        </w:rPr>
        <w:t xml:space="preserve"># (les donnees ne sont jamais perdues par cette commande)</w:t>
      </w:r>
      <w:r>
        <w:br/>
      </w:r>
      <w:r>
        <w:rPr>
          <w:rStyle w:val="VerbatimChar"/>
        </w:rPr>
        <w:t xml:space="preserve">docker compose down</w:t>
      </w:r>
      <w:r>
        <w:br/>
      </w:r>
      <w:r>
        <w:br/>
      </w:r>
      <w:r>
        <w:rPr>
          <w:rStyle w:val="VerbatimChar"/>
        </w:rPr>
        <w:t xml:space="preserve"># Consulter les journaux de l'ensemble des services simultanement</w:t>
      </w:r>
      <w:r>
        <w:br/>
      </w:r>
      <w:r>
        <w:rPr>
          <w:rStyle w:val="VerbatimChar"/>
        </w:rPr>
        <w:t xml:space="preserve">docker compose logs -f</w:t>
      </w:r>
    </w:p>
    <w:p>
      <w:pPr>
        <w:pStyle w:val="FirstParagraph"/>
      </w:pPr>
      <w:r>
        <w:t xml:space="preserve">✅ Bonne pratique —</w:t>
      </w:r>
      <w:r>
        <w:t xml:space="preserve"> </w:t>
      </w:r>
      <w:r>
        <w:rPr>
          <w:rStyle w:val="VerbatimChar"/>
        </w:rPr>
        <w:t xml:space="preserve">docker compose down</w:t>
      </w:r>
      <w:r>
        <w:t xml:space="preserve"> </w:t>
      </w:r>
      <w:r>
        <w:t xml:space="preserve">sans</w:t>
      </w:r>
      <w:r>
        <w:t xml:space="preserve"> </w:t>
      </w:r>
      <w:r>
        <w:rPr>
          <w:rStyle w:val="VerbatimChar"/>
        </w:rPr>
        <w:t xml:space="preserve">-v</w:t>
      </w:r>
      <w:r>
        <w:t xml:space="preserve"> </w:t>
      </w:r>
      <w:r>
        <w:t xml:space="preserve">préserve les données</w:t>
      </w:r>
      <w:r>
        <w:t xml:space="preserve"> </w:t>
      </w:r>
      <w:r>
        <w:t xml:space="preserve">Rappel direct du chapitre 40 : les volumes existent indépendamment du cycle de vie des conteneurs.</w:t>
      </w:r>
      <w:r>
        <w:t xml:space="preserve"> </w:t>
      </w:r>
      <w:r>
        <w:rPr>
          <w:rStyle w:val="VerbatimChar"/>
        </w:rPr>
        <w:t xml:space="preserve">docker compose down</w:t>
      </w:r>
      <w:r>
        <w:t xml:space="preserve"> </w:t>
      </w:r>
      <w:r>
        <w:t xml:space="preserve">supprime les conteneurs et le réseau, mais</w:t>
      </w:r>
      <w:r>
        <w:t xml:space="preserve"> </w:t>
      </w:r>
      <w:r>
        <w:rPr>
          <w:b/>
          <w:bCs/>
        </w:rPr>
        <w:t xml:space="preserve">conserve</w:t>
      </w:r>
      <w:r>
        <w:t xml:space="preserve"> </w:t>
      </w:r>
      <w:r>
        <w:t xml:space="preserve">les volumes par défaut — un comportement rassurant qui répond directement à l’inquiétude du développeur au chapitre précédent. Supprimer réellement les volumes nécessite l’option explicite</w:t>
      </w:r>
      <w:r>
        <w:t xml:space="preserve"> </w:t>
      </w:r>
      <w:r>
        <w:rPr>
          <w:rStyle w:val="VerbatimChar"/>
        </w:rPr>
        <w:t xml:space="preserve">-v</w:t>
      </w:r>
      <w:r>
        <w:t xml:space="preserve">, un geste volontaire et jamais accidentel par défaut.</w:t>
      </w:r>
    </w:p>
    <w:bookmarkEnd w:id="1009"/>
    <w:bookmarkStart w:id="1010" w:name="X94adc530974fbc04acaed50a2b5b2e2c77b0c17"/>
    <w:p>
      <w:pPr>
        <w:pStyle w:val="Heading2"/>
      </w:pPr>
      <w:r>
        <w:t xml:space="preserve">41.4 Variables d’environnement et fichiers</w:t>
      </w:r>
      <w:r>
        <w:t xml:space="preserve"> </w:t>
      </w:r>
      <w:r>
        <w:rPr>
          <w:rStyle w:val="VerbatimChar"/>
        </w:rPr>
        <w:t xml:space="preserve">.env</w:t>
      </w:r>
      <w:r>
        <w:t xml:space="preserve"> </w:t>
      </w:r>
      <w:r>
        <w:t xml:space="preserve">: rappel direct du chapitre 12</w:t>
      </w:r>
    </w:p>
    <w:p>
      <w:pPr>
        <w:pStyle w:val="SourceCode"/>
      </w:pPr>
      <w:r>
        <w:rPr>
          <w:rStyle w:val="VerbatimChar"/>
        </w:rPr>
        <w:t xml:space="preserve"># Fichier .env, JAMAIS committe dans Git (rappel direct du .gitignore</w:t>
      </w:r>
      <w:r>
        <w:br/>
      </w:r>
      <w:r>
        <w:rPr>
          <w:rStyle w:val="VerbatimChar"/>
        </w:rPr>
        <w:t xml:space="preserve"># deja pratique au chapitre 20 pour les secrets de script)</w:t>
      </w:r>
      <w:r>
        <w:br/>
      </w:r>
      <w:r>
        <w:rPr>
          <w:rStyle w:val="VerbatimChar"/>
        </w:rPr>
        <w:t xml:space="preserve">DATABASE_HOST=db</w:t>
      </w:r>
      <w:r>
        <w:br/>
      </w:r>
      <w:r>
        <w:rPr>
          <w:rStyle w:val="VerbatimChar"/>
        </w:rPr>
        <w:t xml:space="preserve">APP_PORT=3000</w:t>
      </w:r>
    </w:p>
    <w:p>
      <w:pPr>
        <w:pStyle w:val="SourceCode"/>
      </w:pPr>
      <w:r>
        <w:rPr>
          <w:rStyle w:val="CommentTok"/>
        </w:rPr>
        <w:t xml:space="preserve"># Reference dans docker-compose.yml</w:t>
      </w:r>
      <w:r>
        <w:br/>
      </w:r>
      <w:r>
        <w:rPr>
          <w:rStyle w:val="FunctionTok"/>
        </w:rPr>
        <w:t xml:space="preserve">services</w:t>
      </w:r>
      <w:r>
        <w:rPr>
          <w:rStyle w:val="KeywordTok"/>
        </w:rPr>
        <w:t xml:space="preserve">:</w:t>
      </w:r>
      <w:r>
        <w:br/>
      </w:r>
      <w:r>
        <w:rPr>
          <w:rStyle w:val="AttributeTok"/>
        </w:rPr>
        <w:t xml:space="preserve">  </w:t>
      </w:r>
      <w:r>
        <w:rPr>
          <w:rStyle w:val="FunctionTok"/>
        </w:rPr>
        <w:t xml:space="preserve">app</w:t>
      </w:r>
      <w:r>
        <w:rPr>
          <w:rStyle w:val="KeywordTok"/>
        </w:rPr>
        <w:t xml:space="preserve">:</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"${APP_PORT}:3000"</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FunctionTok"/>
        </w:rPr>
        <w:t xml:space="preserve">DATABASE_HOST</w:t>
      </w:r>
      <w:r>
        <w:rPr>
          <w:rStyle w:val="KeywordTok"/>
        </w:rPr>
        <w:t xml:space="preserve">:</w:t>
      </w:r>
      <w:r>
        <w:rPr>
          <w:rStyle w:val="AttributeTok"/>
        </w:rPr>
        <w:t xml:space="preserve"> ${DATABASE_HOST}</w:t>
      </w:r>
    </w:p>
    <w:p>
      <w:pPr>
        <w:pStyle w:val="FirstParagraph"/>
      </w:pPr>
      <w:r>
        <w:t xml:space="preserve">🔒 Sécurité — le même principe que les variables d’environnement du chapitre 12</w:t>
      </w:r>
      <w:r>
        <w:t xml:space="preserve"> </w:t>
      </w:r>
      <w:r>
        <w:t xml:space="preserve">Exactement le même mécanisme déjà expliqué au chapitre 12 pour séparer la configuration du code : un fichier</w:t>
      </w:r>
      <w:r>
        <w:t xml:space="preserve"> </w:t>
      </w:r>
      <w:r>
        <w:rPr>
          <w:rStyle w:val="VerbatimChar"/>
        </w:rPr>
        <w:t xml:space="preserve">.env</w:t>
      </w:r>
      <w:r>
        <w:t xml:space="preserve"> </w:t>
      </w:r>
      <w:r>
        <w:t xml:space="preserve">garde la configuration spécifique à un environnement (développement, test, production) hors du fichier</w:t>
      </w:r>
      <w:r>
        <w:t xml:space="preserve"> </w:t>
      </w:r>
      <w:r>
        <w:rPr>
          <w:rStyle w:val="VerbatimChar"/>
        </w:rPr>
        <w:t xml:space="preserve">docker-compose.yml</w:t>
      </w:r>
      <w:r>
        <w:t xml:space="preserve"> </w:t>
      </w:r>
      <w:r>
        <w:t xml:space="preserve">lui-même, qui reste identique et versionnable dans Git — jamais de valeur sensible ou spécifique à un environnement codée en dur dans le fichier compose partagé par toute l’équipe.</w:t>
      </w:r>
    </w:p>
    <w:bookmarkEnd w:id="1010"/>
    <w:bookmarkStart w:id="1011" w:name="le-piège-classique-de-depends_on"/>
    <w:p>
      <w:pPr>
        <w:pStyle w:val="Heading2"/>
      </w:pPr>
      <w:r>
        <w:t xml:space="preserve">41.5 Le piège classique de</w:t>
      </w:r>
      <w:r>
        <w:t xml:space="preserve"> </w:t>
      </w:r>
      <w:r>
        <w:rPr>
          <w:rStyle w:val="VerbatimChar"/>
        </w:rPr>
        <w:t xml:space="preserve">depends_on</w:t>
      </w:r>
    </w:p>
    <w:p>
      <w:pPr>
        <w:pStyle w:val="FirstParagraph"/>
      </w:pPr>
      <w:r>
        <w:t xml:space="preserve">⚠️</w:t>
      </w:r>
      <w:r>
        <w:t xml:space="preserve"> </w:t>
      </w:r>
      <w:r>
        <w:rPr>
          <w:rStyle w:val="VerbatimChar"/>
        </w:rPr>
        <w:t xml:space="preserve">depends_on</w:t>
      </w:r>
      <w:r>
        <w:t xml:space="preserve"> </w:t>
      </w:r>
      <w:r>
        <w:t xml:space="preserve">contrôle l’ordre de démarrage, pas la disponibilité réelle du service</w:t>
      </w:r>
      <w:r>
        <w:t xml:space="preserve"> </w:t>
      </w:r>
      <w:r>
        <w:t xml:space="preserve">C’est l’un des malentendus les plus fréquents et les plus documentés autour de Docker Compose :</w:t>
      </w:r>
      <w:r>
        <w:t xml:space="preserve"> </w:t>
      </w:r>
      <w:r>
        <w:rPr>
          <w:rStyle w:val="VerbatimChar"/>
        </w:rPr>
        <w:t xml:space="preserve">depends_on: - db</w:t>
      </w:r>
      <w:r>
        <w:t xml:space="preserve"> </w:t>
      </w:r>
      <w:r>
        <w:t xml:space="preserve">garantit que le conteneur</w:t>
      </w:r>
      <w:r>
        <w:t xml:space="preserve"> </w:t>
      </w:r>
      <w:r>
        <w:rPr>
          <w:rStyle w:val="VerbatimChar"/>
        </w:rPr>
        <w:t xml:space="preserve">db</w:t>
      </w:r>
      <w:r>
        <w:t xml:space="preserve"> </w:t>
      </w:r>
      <w:r>
        <w:rPr>
          <w:b/>
          <w:bCs/>
        </w:rPr>
        <w:t xml:space="preserve">démarre</w:t>
      </w:r>
      <w:r>
        <w:t xml:space="preserve"> </w:t>
      </w:r>
      <w:r>
        <w:t xml:space="preserve">avant le conteneur</w:t>
      </w:r>
      <w:r>
        <w:t xml:space="preserve"> </w:t>
      </w:r>
      <w:r>
        <w:rPr>
          <w:rStyle w:val="VerbatimChar"/>
        </w:rPr>
        <w:t xml:space="preserve">app</w:t>
      </w:r>
      <w:r>
        <w:t xml:space="preserve">, mais ne garantit absolument pas que PostgreSQL soit réellement</w:t>
      </w:r>
      <w:r>
        <w:t xml:space="preserve"> </w:t>
      </w:r>
      <w:r>
        <w:rPr>
          <w:b/>
          <w:bCs/>
        </w:rPr>
        <w:t xml:space="preserve">prêt à accepter des connexions</w:t>
      </w:r>
      <w:r>
        <w:t xml:space="preserve"> </w:t>
      </w:r>
      <w:r>
        <w:t xml:space="preserve">au moment où l’application tente de s’y connecter — un serveur de base de données peut mettre plusieurs secondes à devenir opérationnel après le démarrage de son processus. Une application qui tente de se connecter immédiatement peut donc échouer, malgré un</w:t>
      </w:r>
      <w:r>
        <w:t xml:space="preserve"> </w:t>
      </w:r>
      <w:r>
        <w:rPr>
          <w:rStyle w:val="VerbatimChar"/>
        </w:rPr>
        <w:t xml:space="preserve">depends_on</w:t>
      </w:r>
      <w:r>
        <w:t xml:space="preserve"> </w:t>
      </w:r>
      <w:r>
        <w:t xml:space="preserve">apparemment correct.</w:t>
      </w:r>
    </w:p>
    <w:p>
      <w:pPr>
        <w:pStyle w:val="SourceCode"/>
      </w:pPr>
      <w:r>
        <w:rPr>
          <w:rStyle w:val="CommentTok"/>
        </w:rPr>
        <w:t xml:space="preserve"># Une solution robuste : une verification de sante (healthcheck)</w:t>
      </w:r>
      <w:r>
        <w:br/>
      </w:r>
      <w:r>
        <w:rPr>
          <w:rStyle w:val="CommentTok"/>
        </w:rPr>
        <w:t xml:space="preserve"># explicite, que "depends_on" peut alors attendre reellement</w:t>
      </w:r>
      <w:r>
        <w:br/>
      </w:r>
      <w:r>
        <w:rPr>
          <w:rStyle w:val="FunctionTok"/>
        </w:rPr>
        <w:t xml:space="preserve">services</w:t>
      </w:r>
      <w:r>
        <w:rPr>
          <w:rStyle w:val="KeywordTok"/>
        </w:rPr>
        <w:t xml:space="preserve">:</w:t>
      </w:r>
      <w:r>
        <w:br/>
      </w:r>
      <w:r>
        <w:rPr>
          <w:rStyle w:val="AttributeTok"/>
        </w:rPr>
        <w:t xml:space="preserve">  </w:t>
      </w:r>
      <w:r>
        <w:rPr>
          <w:rStyle w:val="FunctionTok"/>
        </w:rPr>
        <w:t xml:space="preserve">db</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postgres:16</w:t>
      </w:r>
      <w:r>
        <w:br/>
      </w:r>
      <w:r>
        <w:rPr>
          <w:rStyle w:val="AttributeTok"/>
        </w:rPr>
        <w:t xml:space="preserve">    </w:t>
      </w:r>
      <w:r>
        <w:rPr>
          <w:rStyle w:val="FunctionTok"/>
        </w:rPr>
        <w:t xml:space="preserve">healthcheck</w:t>
      </w:r>
      <w:r>
        <w:rPr>
          <w:rStyle w:val="KeywordTok"/>
        </w:rPr>
        <w:t xml:space="preserve">:</w:t>
      </w:r>
      <w:r>
        <w:br/>
      </w:r>
      <w:r>
        <w:rPr>
          <w:rStyle w:val="AttributeTok"/>
        </w:rPr>
        <w:t xml:space="preserve">      </w:t>
      </w:r>
      <w:r>
        <w:rPr>
          <w:rStyle w:val="FunctionTok"/>
        </w:rPr>
        <w:t xml:space="preserve">test</w:t>
      </w:r>
      <w:r>
        <w:rPr>
          <w:rStyle w:val="KeywordTok"/>
        </w:rPr>
        <w:t xml:space="preserve">:</w:t>
      </w:r>
      <w:r>
        <w:rPr>
          <w:rStyle w:val="AttributeTok"/>
        </w:rPr>
        <w:t xml:space="preserve"> </w:t>
      </w:r>
      <w:r>
        <w:rPr>
          <w:rStyle w:val="KeywordTok"/>
        </w:rPr>
        <w:t xml:space="preserve">[</w:t>
      </w:r>
      <w:r>
        <w:rPr>
          <w:rStyle w:val="StringTok"/>
        </w:rPr>
        <w:t xml:space="preserve">"CMD-SHELL"</w:t>
      </w:r>
      <w:r>
        <w:rPr>
          <w:rStyle w:val="KeywordTok"/>
        </w:rPr>
        <w:t xml:space="preserve">,</w:t>
      </w:r>
      <w:r>
        <w:rPr>
          <w:rStyle w:val="AttributeTok"/>
        </w:rPr>
        <w:t xml:space="preserve"> </w:t>
      </w:r>
      <w:r>
        <w:rPr>
          <w:rStyle w:val="StringTok"/>
        </w:rPr>
        <w:t xml:space="preserve">"pg_isready -U postgres"</w:t>
      </w:r>
      <w:r>
        <w:rPr>
          <w:rStyle w:val="KeywordTok"/>
        </w:rPr>
        <w:t xml:space="preserve">]</w:t>
      </w:r>
      <w:r>
        <w:br/>
      </w:r>
      <w:r>
        <w:rPr>
          <w:rStyle w:val="AttributeTok"/>
        </w:rPr>
        <w:t xml:space="preserve">      </w:t>
      </w:r>
      <w:r>
        <w:rPr>
          <w:rStyle w:val="FunctionTok"/>
        </w:rPr>
        <w:t xml:space="preserve">interval</w:t>
      </w:r>
      <w:r>
        <w:rPr>
          <w:rStyle w:val="KeywordTok"/>
        </w:rPr>
        <w:t xml:space="preserve">:</w:t>
      </w:r>
      <w:r>
        <w:rPr>
          <w:rStyle w:val="AttributeTok"/>
        </w:rPr>
        <w:t xml:space="preserve"> 5s</w:t>
      </w:r>
      <w:r>
        <w:br/>
      </w:r>
      <w:r>
        <w:rPr>
          <w:rStyle w:val="AttributeTok"/>
        </w:rPr>
        <w:t xml:space="preserve">      </w:t>
      </w:r>
      <w:r>
        <w:rPr>
          <w:rStyle w:val="FunctionTok"/>
        </w:rPr>
        <w:t xml:space="preserve">timeout</w:t>
      </w:r>
      <w:r>
        <w:rPr>
          <w:rStyle w:val="KeywordTok"/>
        </w:rPr>
        <w:t xml:space="preserve">:</w:t>
      </w:r>
      <w:r>
        <w:rPr>
          <w:rStyle w:val="AttributeTok"/>
        </w:rPr>
        <w:t xml:space="preserve"> 5s</w:t>
      </w:r>
      <w:r>
        <w:br/>
      </w:r>
      <w:r>
        <w:rPr>
          <w:rStyle w:val="AttributeTok"/>
        </w:rPr>
        <w:t xml:space="preserve">      </w:t>
      </w:r>
      <w:r>
        <w:rPr>
          <w:rStyle w:val="FunctionTok"/>
        </w:rPr>
        <w:t xml:space="preserve">retries</w:t>
      </w:r>
      <w:r>
        <w:rPr>
          <w:rStyle w:val="KeywordTok"/>
        </w:rPr>
        <w:t xml:space="preserve">:</w:t>
      </w:r>
      <w:r>
        <w:rPr>
          <w:rStyle w:val="AttributeTok"/>
        </w:rPr>
        <w:t xml:space="preserve"> </w:t>
      </w:r>
      <w:r>
        <w:rPr>
          <w:rStyle w:val="DecValTok"/>
        </w:rPr>
        <w:t xml:space="preserve">5</w:t>
      </w:r>
      <w:r>
        <w:br/>
      </w:r>
      <w:r>
        <w:br/>
      </w:r>
      <w:r>
        <w:rPr>
          <w:rStyle w:val="AttributeTok"/>
        </w:rPr>
        <w:t xml:space="preserve">  </w:t>
      </w:r>
      <w:r>
        <w:rPr>
          <w:rStyle w:val="FunctionTok"/>
        </w:rPr>
        <w:t xml:space="preserve">app</w:t>
      </w:r>
      <w:r>
        <w:rPr>
          <w:rStyle w:val="KeywordTok"/>
        </w:rPr>
        <w:t xml:space="preserve">:</w:t>
      </w:r>
      <w:r>
        <w:br/>
      </w:r>
      <w:r>
        <w:rPr>
          <w:rStyle w:val="AttributeTok"/>
        </w:rPr>
        <w:t xml:space="preserve">    </w:t>
      </w:r>
      <w:r>
        <w:rPr>
          <w:rStyle w:val="FunctionTok"/>
        </w:rPr>
        <w:t xml:space="preserve">build</w:t>
      </w:r>
      <w:r>
        <w:rPr>
          <w:rStyle w:val="KeywordTok"/>
        </w:rPr>
        <w:t xml:space="preserve">:</w:t>
      </w:r>
      <w:r>
        <w:rPr>
          <w:rStyle w:val="AttributeTok"/>
        </w:rPr>
        <w:t xml:space="preserve"> .</w:t>
      </w:r>
      <w:r>
        <w:br/>
      </w:r>
      <w:r>
        <w:rPr>
          <w:rStyle w:val="AttributeTok"/>
        </w:rPr>
        <w:t xml:space="preserve">    </w:t>
      </w:r>
      <w:r>
        <w:rPr>
          <w:rStyle w:val="FunctionTok"/>
        </w:rPr>
        <w:t xml:space="preserve">depends_on</w:t>
      </w:r>
      <w:r>
        <w:rPr>
          <w:rStyle w:val="KeywordTok"/>
        </w:rPr>
        <w:t xml:space="preserve">:</w:t>
      </w:r>
      <w:r>
        <w:br/>
      </w:r>
      <w:r>
        <w:rPr>
          <w:rStyle w:val="AttributeTok"/>
        </w:rPr>
        <w:t xml:space="preserve">      </w:t>
      </w:r>
      <w:r>
        <w:rPr>
          <w:rStyle w:val="FunctionTok"/>
        </w:rPr>
        <w:t xml:space="preserve">db</w:t>
      </w:r>
      <w:r>
        <w:rPr>
          <w:rStyle w:val="KeywordTok"/>
        </w:rPr>
        <w:t xml:space="preserve">:</w:t>
      </w:r>
      <w:r>
        <w:br/>
      </w:r>
      <w:r>
        <w:rPr>
          <w:rStyle w:val="AttributeTok"/>
        </w:rPr>
        <w:t xml:space="preserve">        </w:t>
      </w:r>
      <w:r>
        <w:rPr>
          <w:rStyle w:val="FunctionTok"/>
        </w:rPr>
        <w:t xml:space="preserve">condition</w:t>
      </w:r>
      <w:r>
        <w:rPr>
          <w:rStyle w:val="KeywordTok"/>
        </w:rPr>
        <w:t xml:space="preserve">:</w:t>
      </w:r>
      <w:r>
        <w:rPr>
          <w:rStyle w:val="AttributeTok"/>
        </w:rPr>
        <w:t xml:space="preserve"> service_healthy</w:t>
      </w:r>
    </w:p>
    <w:p>
      <w:pPr>
        <w:pStyle w:val="FirstParagraph"/>
      </w:pPr>
      <w:r>
        <w:t xml:space="preserve">✅ Bonne pratique — combiner</w:t>
      </w:r>
      <w:r>
        <w:t xml:space="preserve"> </w:t>
      </w:r>
      <w:r>
        <w:rPr>
          <w:rStyle w:val="VerbatimChar"/>
        </w:rPr>
        <w:t xml:space="preserve">depends_on</w:t>
      </w:r>
      <w:r>
        <w:t xml:space="preserve"> </w:t>
      </w:r>
      <w:r>
        <w:t xml:space="preserve">avec une vérification de santé</w:t>
      </w:r>
      <w:r>
        <w:t xml:space="preserve"> </w:t>
      </w:r>
      <w:r>
        <w:t xml:space="preserve">La condition</w:t>
      </w:r>
      <w:r>
        <w:t xml:space="preserve"> </w:t>
      </w:r>
      <w:r>
        <w:rPr>
          <w:rStyle w:val="VerbatimChar"/>
        </w:rPr>
        <w:t xml:space="preserve">service_healthy</w:t>
      </w:r>
      <w:r>
        <w:t xml:space="preserve"> </w:t>
      </w:r>
      <w:r>
        <w:t xml:space="preserve">(plutôt qu’un simple</w:t>
      </w:r>
      <w:r>
        <w:t xml:space="preserve"> </w:t>
      </w:r>
      <w:r>
        <w:rPr>
          <w:rStyle w:val="VerbatimChar"/>
        </w:rPr>
        <w:t xml:space="preserve">depends_on</w:t>
      </w:r>
      <w:r>
        <w:t xml:space="preserve"> </w:t>
      </w:r>
      <w:r>
        <w:t xml:space="preserve">par défaut) attend réellement que le healthcheck du service</w:t>
      </w:r>
      <w:r>
        <w:t xml:space="preserve"> </w:t>
      </w:r>
      <w:r>
        <w:rPr>
          <w:rStyle w:val="VerbatimChar"/>
        </w:rPr>
        <w:t xml:space="preserve">db</w:t>
      </w:r>
      <w:r>
        <w:t xml:space="preserve"> </w:t>
      </w:r>
      <w:r>
        <w:t xml:space="preserve">confirme sa disponibilité effective avant de démarrer</w:t>
      </w:r>
      <w:r>
        <w:t xml:space="preserve"> </w:t>
      </w:r>
      <w:r>
        <w:rPr>
          <w:rStyle w:val="VerbatimChar"/>
        </w:rPr>
        <w:t xml:space="preserve">app</w:t>
      </w:r>
      <w:r>
        <w:t xml:space="preserve"> </w:t>
      </w:r>
      <w:r>
        <w:t xml:space="preserve">— la solution robuste au piège de la section 41.5, bien plus fiable qu’un simple ordre de démarrage séquentiel qui ne tient pas compte du temps réel d’initialisation du service.</w:t>
      </w:r>
    </w:p>
    <w:bookmarkEnd w:id="1011"/>
    <w:bookmarkStart w:id="1012" w:name="Xa07d17c82982494430d42f1da8cf1e3200eda48"/>
    <w:p>
      <w:pPr>
        <w:pStyle w:val="Heading2"/>
      </w:pPr>
      <w:r>
        <w:t xml:space="preserve">41.6 Docker Compose comme documentation vivante</w:t>
      </w:r>
    </w:p>
    <w:p>
      <w:pPr>
        <w:pStyle w:val="FirstParagraph"/>
      </w:pPr>
      <w:r>
        <w:t xml:space="preserve">✅ Un rappel direct du chapitre 3</w:t>
      </w:r>
      <w:r>
        <w:t xml:space="preserve"> </w:t>
      </w:r>
      <w:r>
        <w:t xml:space="preserve">Un fichier</w:t>
      </w:r>
      <w:r>
        <w:t xml:space="preserve"> </w:t>
      </w:r>
      <w:r>
        <w:rPr>
          <w:rStyle w:val="VerbatimChar"/>
        </w:rPr>
        <w:t xml:space="preserve">docker-compose.yml</w:t>
      </w:r>
      <w:r>
        <w:t xml:space="preserve"> </w:t>
      </w:r>
      <w:r>
        <w:t xml:space="preserve">bien structuré documente, par sa seule existence, l’architecture complète d’une application — quels services, quelles dépendances entre eux, quels volumes, quels réseaux — exactement le type de documentation vivante recherchée depuis le chapitre 3, mais qui a l’avantage supplémentaire d’être directement exécutable, ne pouvant donc jamais devenir aussi obsolète qu’un document écrit séparément du code qu’il décrit.</w:t>
      </w:r>
    </w:p>
    <w:bookmarkEnd w:id="1012"/>
    <w:bookmarkStart w:id="1013" w:name="Xfa178b172c7fad1c66f1e9703c0f87b4a2606e9"/>
    <w:p>
      <w:pPr>
        <w:pStyle w:val="Heading2"/>
      </w:pPr>
      <w:r>
        <w:t xml:space="preserve">Atelier — Convertir les commandes du chapitre 40 en Compose</w:t>
      </w:r>
    </w:p>
    <w:p>
      <w:pPr>
        <w:pStyle w:val="FirstParagraph"/>
      </w:pPr>
      <w:r>
        <w:t xml:space="preserve">🛠️ Atelier 41 — Éliminer le risque d’oubli du scénario d’ouverture</w:t>
      </w:r>
    </w:p>
    <w:p>
      <w:pPr>
        <w:pStyle w:val="BodyText"/>
      </w:pPr>
      <w:r>
        <w:rPr>
          <w:b/>
          <w:bCs/>
        </w:rPr>
        <w:t xml:space="preserve">Objectif</w:t>
      </w:r>
      <w:r>
        <w:t xml:space="preserve"> </w:t>
      </w:r>
      <w:r>
        <w:t xml:space="preserve">: traduire les commandes manuelles du chapitre 40 en un fichier</w:t>
      </w:r>
      <w:r>
        <w:t xml:space="preserve"> </w:t>
      </w:r>
      <w:r>
        <w:rPr>
          <w:rStyle w:val="VerbatimChar"/>
        </w:rPr>
        <w:t xml:space="preserve">docker-compose.yml</w:t>
      </w:r>
      <w:r>
        <w:t xml:space="preserve"> </w:t>
      </w:r>
      <w:r>
        <w:t xml:space="preserve">complet et fiable.</w:t>
      </w:r>
    </w:p>
    <w:p>
      <w:pPr>
        <w:pStyle w:val="BodyText"/>
      </w:pPr>
      <w:r>
        <w:rPr>
          <w:b/>
          <w:bCs/>
        </w:rPr>
        <w:t xml:space="preserve">Préparation</w:t>
      </w:r>
      <w:r>
        <w:t xml:space="preserve"> </w:t>
      </w:r>
      <w:r>
        <w:t xml:space="preserve">: accès à un environnement Docker de test, ou une lecture attentive suffit pour cet atelier conceptuel.</w:t>
      </w:r>
    </w:p>
    <w:p>
      <w:pPr>
        <w:pStyle w:val="BodyText"/>
      </w:pPr>
      <w:r>
        <w:rPr>
          <w:b/>
          <w:bCs/>
        </w:rPr>
        <w:t xml:space="preserve">Étapes détaillées</w:t>
      </w:r>
      <w:r>
        <w:t xml:space="preserve"> </w:t>
      </w:r>
      <w:r>
        <w:t xml:space="preserve">:</w:t>
      </w:r>
    </w:p>
    <w:p>
      <w:pPr>
        <w:pStyle w:val="Compact"/>
        <w:numPr>
          <w:ilvl w:val="0"/>
          <w:numId w:val="1943"/>
        </w:numPr>
      </w:pPr>
      <w:r>
        <w:t xml:space="preserve">Identifie chaque commande manuelle du chapitre 40 (création du réseau, création du volume, lancement de chaque conteneur) et son équivalent déclaratif dans un fichier Compose.</w:t>
      </w:r>
    </w:p>
    <w:p>
      <w:pPr>
        <w:pStyle w:val="Compact"/>
        <w:numPr>
          <w:ilvl w:val="0"/>
          <w:numId w:val="1943"/>
        </w:numPr>
      </w:pPr>
      <w:r>
        <w:t xml:space="preserve">Ajoute une vérification de santé (</w:t>
      </w:r>
      <w:r>
        <w:rPr>
          <w:rStyle w:val="VerbatimChar"/>
        </w:rPr>
        <w:t xml:space="preserve">healthcheck</w:t>
      </w:r>
      <w:r>
        <w:t xml:space="preserve">) pour le service de base de données, en t’appuyant sur la section 41.5.</w:t>
      </w:r>
    </w:p>
    <w:p>
      <w:pPr>
        <w:pStyle w:val="Compact"/>
        <w:numPr>
          <w:ilvl w:val="0"/>
          <w:numId w:val="1943"/>
        </w:numPr>
      </w:pPr>
      <w:r>
        <w:t xml:space="preserve">Explique pourquoi cette version élimine spécifiquement le risque qui a causé l’incident du scénario d’ouverture.</w:t>
      </w:r>
    </w:p>
    <w:p>
      <w:pPr>
        <w:pStyle w:val="Compact"/>
        <w:numPr>
          <w:ilvl w:val="0"/>
          <w:numId w:val="1943"/>
        </w:numPr>
      </w:pPr>
      <w:r>
        <w:t xml:space="preserve">Compare ta démarche à la section</w:t>
      </w:r>
      <w:r>
        <w:t xml:space="preserve"> </w:t>
      </w:r>
      <w:r>
        <w:t xml:space="preserve">“Résultat attendu”</w:t>
      </w:r>
      <w:r>
        <w:t xml:space="preserve">.</w:t>
      </w:r>
    </w:p>
    <w:p>
      <w:pPr>
        <w:pStyle w:val="FirstParagraph"/>
      </w:pPr>
      <w:r>
        <w:rPr>
          <w:b/>
          <w:bCs/>
        </w:rPr>
        <w:t xml:space="preserve">Résultat attendu</w:t>
      </w:r>
      <w:r>
        <w:t xml:space="preserve"> </w:t>
      </w:r>
      <w:r>
        <w:t xml:space="preserve">: le fichier reprend la structure de la section 41.2, avec l’ajout du</w:t>
      </w:r>
      <w:r>
        <w:t xml:space="preserve"> </w:t>
      </w:r>
      <w:r>
        <w:rPr>
          <w:rStyle w:val="VerbatimChar"/>
        </w:rPr>
        <w:t xml:space="preserve">healthcheck</w:t>
      </w:r>
      <w:r>
        <w:t xml:space="preserve"> </w:t>
      </w:r>
      <w:r>
        <w:t xml:space="preserve">de la section 41.5. Ce fichier élimine le risque de l’incident d’ouverture car le réseau</w:t>
      </w:r>
      <w:r>
        <w:t xml:space="preserve"> </w:t>
      </w:r>
      <w:r>
        <w:rPr>
          <w:rStyle w:val="VerbatimChar"/>
        </w:rPr>
        <w:t xml:space="preserve">reseau-portail</w:t>
      </w:r>
      <w:r>
        <w:t xml:space="preserve"> </w:t>
      </w:r>
      <w:r>
        <w:t xml:space="preserve">est automatiquement créé et attaché aux deux services par Docker Compose lui-même, à chaque exécution de</w:t>
      </w:r>
      <w:r>
        <w:t xml:space="preserve"> </w:t>
      </w:r>
      <w:r>
        <w:rPr>
          <w:rStyle w:val="VerbatimChar"/>
        </w:rPr>
        <w:t xml:space="preserve">docker compose up</w:t>
      </w:r>
      <w:r>
        <w:t xml:space="preserve"> </w:t>
      </w:r>
      <w:r>
        <w:t xml:space="preserve">— il devient structurellement impossible d’oublier d’attacher un des deux services au réseau, contrairement à une commande manuelle où cette étape peut être omise par erreur humaine.</w:t>
      </w:r>
    </w:p>
    <w:p>
      <w:pPr>
        <w:pStyle w:val="BodyText"/>
      </w:pPr>
      <w:r>
        <w:rPr>
          <w:b/>
          <w:bCs/>
        </w:rPr>
        <w:t xml:space="preserve">Dépannage</w:t>
      </w:r>
      <w:r>
        <w:t xml:space="preserve"> </w:t>
      </w:r>
      <w:r>
        <w:t xml:space="preserve">: si l’application échoue toujours à se connecter à la base de données malgré</w:t>
      </w:r>
      <w:r>
        <w:t xml:space="preserve"> </w:t>
      </w:r>
      <w:r>
        <w:rPr>
          <w:rStyle w:val="VerbatimChar"/>
        </w:rPr>
        <w:t xml:space="preserve">depends_on</w:t>
      </w:r>
      <w:r>
        <w:t xml:space="preserve">, vérifie que la condition</w:t>
      </w:r>
      <w:r>
        <w:t xml:space="preserve"> </w:t>
      </w:r>
      <w:r>
        <w:rPr>
          <w:rStyle w:val="VerbatimChar"/>
        </w:rPr>
        <w:t xml:space="preserve">service_healthy</w:t>
      </w:r>
      <w:r>
        <w:t xml:space="preserve"> </w:t>
      </w:r>
      <w:r>
        <w:t xml:space="preserve">est bien utilisée plutôt qu’un simple</w:t>
      </w:r>
      <w:r>
        <w:t xml:space="preserve"> </w:t>
      </w:r>
      <w:r>
        <w:rPr>
          <w:rStyle w:val="VerbatimChar"/>
        </w:rPr>
        <w:t xml:space="preserve">depends_on</w:t>
      </w:r>
      <w:r>
        <w:t xml:space="preserve"> </w:t>
      </w:r>
      <w:r>
        <w:t xml:space="preserve">par défaut (section 41.5) — l’erreur la plus fréquente à ce stade est de croire que</w:t>
      </w:r>
      <w:r>
        <w:t xml:space="preserve"> </w:t>
      </w:r>
      <w:r>
        <w:rPr>
          <w:rStyle w:val="VerbatimChar"/>
        </w:rPr>
        <w:t xml:space="preserve">depends_on</w:t>
      </w:r>
      <w:r>
        <w:t xml:space="preserve"> </w:t>
      </w:r>
      <w:r>
        <w:t xml:space="preserve">seul suffit à garantir la disponibilité réelle du service.</w:t>
      </w:r>
    </w:p>
    <w:bookmarkEnd w:id="1013"/>
    <w:bookmarkStart w:id="1014" w:name="erreurs-fréquentes-40"/>
    <w:p>
      <w:pPr>
        <w:pStyle w:val="Heading2"/>
      </w:pPr>
      <w:r>
        <w:t xml:space="preserve">Erreurs fréquentes</w:t>
      </w:r>
    </w:p>
    <w:p>
      <w:pPr>
        <w:pStyle w:val="FirstParagraph"/>
      </w:pPr>
      <w:r>
        <w:t xml:space="preserve">⚠️ Erreur n°1 — supposer que</w:t>
      </w:r>
      <w:r>
        <w:t xml:space="preserve"> </w:t>
      </w:r>
      <w:r>
        <w:rPr>
          <w:rStyle w:val="VerbatimChar"/>
        </w:rPr>
        <w:t xml:space="preserve">depends_on</w:t>
      </w:r>
      <w:r>
        <w:t xml:space="preserve"> </w:t>
      </w:r>
      <w:r>
        <w:t xml:space="preserve">seul garantit la disponibilité du service</w:t>
      </w:r>
      <w:r>
        <w:t xml:space="preserve"> </w:t>
      </w:r>
      <w:r>
        <w:t xml:space="preserve">Exactement le piège classique et bien documenté de la section 41.5 — une source très fréquente de bugs intermittents difficiles à diagnostiquer sans en connaître la cause précise.</w:t>
      </w:r>
    </w:p>
    <w:p>
      <w:pPr>
        <w:pStyle w:val="BodyText"/>
      </w:pPr>
      <w:r>
        <w:t xml:space="preserve">⚠️ Erreur n°2 — committer un fichier</w:t>
      </w:r>
      <w:r>
        <w:t xml:space="preserve"> </w:t>
      </w:r>
      <w:r>
        <w:rPr>
          <w:rStyle w:val="VerbatimChar"/>
        </w:rPr>
        <w:t xml:space="preserve">.env</w:t>
      </w:r>
      <w:r>
        <w:t xml:space="preserve"> </w:t>
      </w:r>
      <w:r>
        <w:t xml:space="preserve">contenant des secrets dans Git</w:t>
      </w:r>
      <w:r>
        <w:t xml:space="preserve"> </w:t>
      </w:r>
      <w:r>
        <w:t xml:space="preserve">Rappel direct du chapitre 20 : le fichier</w:t>
      </w:r>
      <w:r>
        <w:t xml:space="preserve"> </w:t>
      </w:r>
      <w:r>
        <w:rPr>
          <w:rStyle w:val="VerbatimChar"/>
        </w:rPr>
        <w:t xml:space="preserve">.env</w:t>
      </w:r>
      <w:r>
        <w:t xml:space="preserve"> </w:t>
      </w:r>
      <w:r>
        <w:t xml:space="preserve">doit systématiquement figurer dans</w:t>
      </w:r>
      <w:r>
        <w:t xml:space="preserve"> </w:t>
      </w:r>
      <w:r>
        <w:rPr>
          <w:rStyle w:val="VerbatimChar"/>
        </w:rPr>
        <w:t xml:space="preserve">.gitignore</w:t>
      </w:r>
      <w:r>
        <w:t xml:space="preserve">, exactement comme tout fichier de configuration contenant des informations sensibles ou spécifiques à un environnement.</w:t>
      </w:r>
    </w:p>
    <w:p>
      <w:pPr>
        <w:pStyle w:val="BodyText"/>
      </w:pPr>
      <w:r>
        <w:t xml:space="preserve">⚠️ Erreur n°3 — utiliser</w:t>
      </w:r>
      <w:r>
        <w:t xml:space="preserve"> </w:t>
      </w:r>
      <w:r>
        <w:rPr>
          <w:rStyle w:val="VerbatimChar"/>
        </w:rPr>
        <w:t xml:space="preserve">docker compose down -v</w:t>
      </w:r>
      <w:r>
        <w:t xml:space="preserve"> </w:t>
      </w:r>
      <w:r>
        <w:t xml:space="preserve">sans réfléchir</w:t>
      </w:r>
      <w:r>
        <w:t xml:space="preserve"> </w:t>
      </w:r>
      <w:r>
        <w:t xml:space="preserve">Rappel de la section 41.3 : l’option</w:t>
      </w:r>
      <w:r>
        <w:t xml:space="preserve"> </w:t>
      </w:r>
      <w:r>
        <w:rPr>
          <w:rStyle w:val="VerbatimChar"/>
        </w:rPr>
        <w:t xml:space="preserve">-v</w:t>
      </w:r>
      <w:r>
        <w:t xml:space="preserve"> </w:t>
      </w:r>
      <w:r>
        <w:t xml:space="preserve">supprime aussi les volumes, donc les données qu’ils contiennent — une commande à utiliser consciemment, jamais par réflexe ou par habitude d’un autre contexte.</w:t>
      </w:r>
    </w:p>
    <w:bookmarkEnd w:id="1014"/>
    <w:bookmarkStart w:id="1015" w:name="Xc3e78b24cccd8fd8f026952145a83da8e7ae30f"/>
    <w:p>
      <w:pPr>
        <w:pStyle w:val="Heading2"/>
      </w:pPr>
      <w:r>
        <w:t xml:space="preserve">Diagnostiquer une application qui démarre avant que sa base de données soit prête</w:t>
      </w:r>
    </w:p>
    <w:p>
      <w:pPr>
        <w:pStyle w:val="FirstParagraph"/>
      </w:pPr>
      <w:r>
        <w:t xml:space="preserve">🩺 Symptôme : l’application échoue à se connecter à la base de données au premier démarrage, malgré</w:t>
      </w:r>
      <w:r>
        <w:t xml:space="preserve"> </w:t>
      </w:r>
      <w:r>
        <w:rPr>
          <w:rStyle w:val="VerbatimChar"/>
        </w:rPr>
        <w:t xml:space="preserve">depends_on</w:t>
      </w:r>
    </w:p>
    <w:p>
      <w:pPr>
        <w:pStyle w:val="Compact"/>
        <w:numPr>
          <w:ilvl w:val="0"/>
          <w:numId w:val="1944"/>
        </w:numPr>
      </w:pPr>
      <w:r>
        <w:rPr>
          <w:b/>
          <w:bCs/>
        </w:rPr>
        <w:t xml:space="preserve">Diagnostic</w:t>
      </w:r>
      <w:r>
        <w:t xml:space="preserve"> </w:t>
      </w:r>
      <w:r>
        <w:t xml:space="preserve">: exactement le piège de la section 41.5 —</w:t>
      </w:r>
      <w:r>
        <w:t xml:space="preserve"> </w:t>
      </w:r>
      <w:r>
        <w:rPr>
          <w:rStyle w:val="VerbatimChar"/>
        </w:rPr>
        <w:t xml:space="preserve">depends_on</w:t>
      </w:r>
      <w:r>
        <w:t xml:space="preserve"> </w:t>
      </w:r>
      <w:r>
        <w:t xml:space="preserve">sans condition de santé garantit uniquement l’ordre de démarrage des processus, pas la disponibilité réelle du service de base de données.</w:t>
      </w:r>
    </w:p>
    <w:p>
      <w:pPr>
        <w:pStyle w:val="Compact"/>
        <w:numPr>
          <w:ilvl w:val="0"/>
          <w:numId w:val="1944"/>
        </w:numPr>
      </w:pPr>
      <w:r>
        <w:rPr>
          <w:b/>
          <w:bCs/>
        </w:rPr>
        <w:t xml:space="preserve">Comment vérifier</w:t>
      </w:r>
      <w:r>
        <w:t xml:space="preserve"> </w:t>
      </w:r>
      <w:r>
        <w:t xml:space="preserve">:</w:t>
      </w:r>
      <w:r>
        <w:t xml:space="preserve"> </w:t>
      </w:r>
      <w:r>
        <w:rPr>
          <w:rStyle w:val="VerbatimChar"/>
        </w:rPr>
        <w:t xml:space="preserve">docker compose logs db</w:t>
      </w:r>
      <w:r>
        <w:t xml:space="preserve"> </w:t>
      </w:r>
      <w:r>
        <w:t xml:space="preserve">révèle généralement si PostgreSQL était encore en cours d’initialisation au moment où l’application a tenté sa première connexion.</w:t>
      </w:r>
    </w:p>
    <w:p>
      <w:pPr>
        <w:pStyle w:val="Compact"/>
        <w:numPr>
          <w:ilvl w:val="0"/>
          <w:numId w:val="1944"/>
        </w:numPr>
      </w:pPr>
      <w:r>
        <w:rPr>
          <w:b/>
          <w:bCs/>
        </w:rPr>
        <w:t xml:space="preserve">Résolution</w:t>
      </w:r>
      <w:r>
        <w:t xml:space="preserve"> </w:t>
      </w:r>
      <w:r>
        <w:t xml:space="preserve">: ajouter un</w:t>
      </w:r>
      <w:r>
        <w:t xml:space="preserve"> </w:t>
      </w:r>
      <w:r>
        <w:rPr>
          <w:rStyle w:val="VerbatimChar"/>
        </w:rPr>
        <w:t xml:space="preserve">healthcheck</w:t>
      </w:r>
      <w:r>
        <w:t xml:space="preserve"> </w:t>
      </w:r>
      <w:r>
        <w:t xml:space="preserve">au service de base de données et utiliser</w:t>
      </w:r>
      <w:r>
        <w:t xml:space="preserve"> </w:t>
      </w:r>
      <w:r>
        <w:rPr>
          <w:rStyle w:val="VerbatimChar"/>
        </w:rPr>
        <w:t xml:space="preserve">condition: service_healthy</w:t>
      </w:r>
      <w:r>
        <w:t xml:space="preserve"> </w:t>
      </w:r>
      <w:r>
        <w:t xml:space="preserve">(section 41.5) plutôt qu’un</w:t>
      </w:r>
      <w:r>
        <w:t xml:space="preserve"> </w:t>
      </w:r>
      <w:r>
        <w:rPr>
          <w:rStyle w:val="VerbatimChar"/>
        </w:rPr>
        <w:t xml:space="preserve">depends_on</w:t>
      </w:r>
      <w:r>
        <w:t xml:space="preserve"> </w:t>
      </w:r>
      <w:r>
        <w:t xml:space="preserve">simple, garantissant une attente réelle de disponibilité plutôt qu’un simple ordre de lancement des processus.</w:t>
      </w:r>
    </w:p>
    <w:bookmarkEnd w:id="1015"/>
    <w:bookmarkStart w:id="1016" w:name="en-entreprise-40"/>
    <w:p>
      <w:pPr>
        <w:pStyle w:val="Heading2"/>
      </w:pPr>
      <w:r>
        <w:t xml:space="preserve">En entreprise</w:t>
      </w:r>
    </w:p>
    <w:p>
      <w:pPr>
        <w:pStyle w:val="Compact"/>
        <w:numPr>
          <w:ilvl w:val="0"/>
          <w:numId w:val="1945"/>
        </w:numPr>
      </w:pPr>
      <w:r>
        <w:rPr>
          <w:b/>
          <w:bCs/>
        </w:rPr>
        <w:t xml:space="preserve">Bonne pratique répandue</w:t>
      </w:r>
      <w:r>
        <w:t xml:space="preserve"> </w:t>
      </w:r>
      <w:r>
        <w:t xml:space="preserve">: versionner le fichier</w:t>
      </w:r>
      <w:r>
        <w:t xml:space="preserve"> </w:t>
      </w:r>
      <w:r>
        <w:rPr>
          <w:rStyle w:val="VerbatimChar"/>
        </w:rPr>
        <w:t xml:space="preserve">docker-compose.yml</w:t>
      </w:r>
      <w:r>
        <w:t xml:space="preserve"> </w:t>
      </w:r>
      <w:r>
        <w:t xml:space="preserve">dans le même dépôt Git que le code applicatif (rappel du chapitre 20), garantissant que l’architecture décrite reste toujours synchronisée avec le code qu’elle orchestre.</w:t>
      </w:r>
    </w:p>
    <w:p>
      <w:pPr>
        <w:pStyle w:val="Compact"/>
        <w:numPr>
          <w:ilvl w:val="0"/>
          <w:numId w:val="1945"/>
        </w:numPr>
      </w:pPr>
      <w:r>
        <w:rPr>
          <w:b/>
          <w:bCs/>
        </w:rPr>
        <w:t xml:space="preserve">Bonne pratique répandue</w:t>
      </w:r>
      <w:r>
        <w:t xml:space="preserve"> </w:t>
      </w:r>
      <w:r>
        <w:t xml:space="preserve">: utiliser des fichiers</w:t>
      </w:r>
      <w:r>
        <w:t xml:space="preserve"> </w:t>
      </w:r>
      <w:r>
        <w:rPr>
          <w:rStyle w:val="VerbatimChar"/>
        </w:rPr>
        <w:t xml:space="preserve">.env</w:t>
      </w:r>
      <w:r>
        <w:t xml:space="preserve"> </w:t>
      </w:r>
      <w:r>
        <w:t xml:space="preserve">distincts par environnement (développement, test, production), jamais un seul fichier</w:t>
      </w:r>
      <w:r>
        <w:t xml:space="preserve"> </w:t>
      </w:r>
      <w:r>
        <w:rPr>
          <w:rStyle w:val="VerbatimChar"/>
        </w:rPr>
        <w:t xml:space="preserve">.env</w:t>
      </w:r>
      <w:r>
        <w:t xml:space="preserve"> </w:t>
      </w:r>
      <w:r>
        <w:t xml:space="preserve">générique partagé entre tous les contextes.</w:t>
      </w:r>
    </w:p>
    <w:p>
      <w:pPr>
        <w:pStyle w:val="Compact"/>
        <w:numPr>
          <w:ilvl w:val="0"/>
          <w:numId w:val="1945"/>
        </w:numPr>
      </w:pPr>
      <w:r>
        <w:rPr>
          <w:b/>
          <w:bCs/>
        </w:rPr>
        <w:t xml:space="preserve">Erreur classique observée</w:t>
      </w:r>
      <w:r>
        <w:t xml:space="preserve"> </w:t>
      </w:r>
      <w:r>
        <w:t xml:space="preserve">: une équipe qui découvre le piège de</w:t>
      </w:r>
      <w:r>
        <w:t xml:space="preserve"> </w:t>
      </w:r>
      <w:r>
        <w:rPr>
          <w:rStyle w:val="VerbatimChar"/>
        </w:rPr>
        <w:t xml:space="preserve">depends_on</w:t>
      </w:r>
      <w:r>
        <w:t xml:space="preserve"> </w:t>
      </w:r>
      <w:r>
        <w:t xml:space="preserve">uniquement après plusieurs incidents intermittents en production, plutôt que de connaître cette limitation dès le départ et d’implémenter systématiquement des healthchecks appropriés.</w:t>
      </w:r>
    </w:p>
    <w:bookmarkEnd w:id="1016"/>
    <w:bookmarkStart w:id="1017" w:name="entretien-technique-40"/>
    <w:p>
      <w:pPr>
        <w:pStyle w:val="Heading2"/>
      </w:pPr>
      <w:r>
        <w:t xml:space="preserve">Entretien technique</w:t>
      </w:r>
    </w:p>
    <w:p>
      <w:pPr>
        <w:pStyle w:val="FirstParagraph"/>
      </w:pPr>
      <w:r>
        <w:t xml:space="preserve">💼 Questions fréquemment posées en entretien</w:t>
      </w:r>
    </w:p>
    <w:p>
      <w:pPr>
        <w:pStyle w:val="BodyText"/>
      </w:pPr>
      <w:r>
        <w:rPr>
          <w:b/>
          <w:bCs/>
        </w:rPr>
        <w:t xml:space="preserve">Q1.</w:t>
      </w:r>
      <w:r>
        <w:rPr>
          <w:b/>
          <w:bCs/>
        </w:rPr>
        <w:t xml:space="preserve"> </w:t>
      </w:r>
      <w:r>
        <w:rPr>
          <w:b/>
          <w:bCs/>
        </w:rPr>
        <w:t xml:space="preserve">“Quel problème Docker Compose résout-il par rapport à des commandes</w:t>
      </w:r>
      <w:r>
        <w:rPr>
          <w:b/>
          <w:bCs/>
        </w:rPr>
        <w:t xml:space="preserve"> </w:t>
      </w:r>
      <w:r>
        <w:rPr>
          <w:rStyle w:val="VerbatimChar"/>
          <w:b/>
          <w:bCs/>
        </w:rPr>
        <w:t xml:space="preserve">docker run</w:t>
      </w:r>
      <w:r>
        <w:rPr>
          <w:b/>
          <w:bCs/>
        </w:rPr>
        <w:t xml:space="preserve"> </w:t>
      </w:r>
      <w:r>
        <w:rPr>
          <w:b/>
          <w:bCs/>
        </w:rPr>
        <w:t xml:space="preserve">individuelles ?”</w:t>
      </w:r>
      <w:r>
        <w:t xml:space="preserve"> </w:t>
      </w:r>
      <w:r>
        <w:t xml:space="preserve">Réponse attendue : Compose déclare l’ensemble de l’architecture (services, volumes, réseaux) dans un seul fichier reproductible, éliminant le risque d’erreur humaine lié à l’exécution manuelle répétée de plusieurs commandes distinctes, et servant simultanément de documentation vivante de l’architecture.</w:t>
      </w:r>
    </w:p>
    <w:p>
      <w:pPr>
        <w:pStyle w:val="BodyText"/>
      </w:pPr>
      <w:r>
        <w:rPr>
          <w:b/>
          <w:bCs/>
        </w:rPr>
        <w:t xml:space="preserve">Q2.</w:t>
      </w:r>
      <w:r>
        <w:rPr>
          <w:b/>
          <w:bCs/>
        </w:rPr>
        <w:t xml:space="preserve"> </w:t>
      </w:r>
      <w:r>
        <w:rPr>
          <w:b/>
          <w:bCs/>
        </w:rPr>
        <w:t xml:space="preserve">“Pourquoi</w:t>
      </w:r>
      <w:r>
        <w:rPr>
          <w:b/>
          <w:bCs/>
        </w:rPr>
        <w:t xml:space="preserve"> </w:t>
      </w:r>
      <w:r>
        <w:rPr>
          <w:rStyle w:val="VerbatimChar"/>
          <w:b/>
          <w:bCs/>
        </w:rPr>
        <w:t xml:space="preserve">depends_on</w:t>
      </w:r>
      <w:r>
        <w:rPr>
          <w:b/>
          <w:bCs/>
        </w:rPr>
        <w:t xml:space="preserve"> </w:t>
      </w:r>
      <w:r>
        <w:rPr>
          <w:b/>
          <w:bCs/>
        </w:rPr>
        <w:t xml:space="preserve">seul ne garantit-il pas qu’un service dépendant soit réellement prêt ?”</w:t>
      </w:r>
      <w:r>
        <w:t xml:space="preserve"> </w:t>
      </w:r>
      <w:r>
        <w:t xml:space="preserve">Réponse attendue :</w:t>
      </w:r>
      <w:r>
        <w:t xml:space="preserve"> </w:t>
      </w:r>
      <w:r>
        <w:rPr>
          <w:rStyle w:val="VerbatimChar"/>
        </w:rPr>
        <w:t xml:space="preserve">depends_on</w:t>
      </w:r>
      <w:r>
        <w:t xml:space="preserve"> </w:t>
      </w:r>
      <w:r>
        <w:t xml:space="preserve">contrôle uniquement l’ordre de démarrage des conteneurs, pas le temps réel d’initialisation interne d’un service (comme une base de données qui met du temps à devenir opérationnelle après le lancement de son processus) — une vérification de santé (</w:t>
      </w:r>
      <w:r>
        <w:rPr>
          <w:rStyle w:val="VerbatimChar"/>
        </w:rPr>
        <w:t xml:space="preserve">healthcheck</w:t>
      </w:r>
      <w:r>
        <w:t xml:space="preserve">) combinée à</w:t>
      </w:r>
      <w:r>
        <w:t xml:space="preserve"> </w:t>
      </w:r>
      <w:r>
        <w:rPr>
          <w:rStyle w:val="VerbatimChar"/>
        </w:rPr>
        <w:t xml:space="preserve">condition: service_healthy</w:t>
      </w:r>
      <w:r>
        <w:t xml:space="preserve"> </w:t>
      </w:r>
      <w:r>
        <w:t xml:space="preserve">est nécessaire pour une attente réellement fiable.</w:t>
      </w:r>
    </w:p>
    <w:p>
      <w:pPr>
        <w:pStyle w:val="BodyText"/>
      </w:pPr>
      <w:r>
        <w:rPr>
          <w:b/>
          <w:bCs/>
        </w:rPr>
        <w:t xml:space="preserve">Q3.</w:t>
      </w:r>
      <w:r>
        <w:rPr>
          <w:b/>
          <w:bCs/>
        </w:rPr>
        <w:t xml:space="preserve"> </w:t>
      </w:r>
      <w:r>
        <w:rPr>
          <w:b/>
          <w:bCs/>
        </w:rPr>
        <w:t xml:space="preserve">“Comment gérer différemment la configuration entre un environnement de développement et de production avec Docker Compose ?”</w:t>
      </w:r>
      <w:r>
        <w:t xml:space="preserve"> </w:t>
      </w:r>
      <w:r>
        <w:t xml:space="preserve">Réponse attendue : via des fichiers</w:t>
      </w:r>
      <w:r>
        <w:t xml:space="preserve"> </w:t>
      </w:r>
      <w:r>
        <w:rPr>
          <w:rStyle w:val="VerbatimChar"/>
        </w:rPr>
        <w:t xml:space="preserve">.env</w:t>
      </w:r>
      <w:r>
        <w:t xml:space="preserve"> </w:t>
      </w:r>
      <w:r>
        <w:t xml:space="preserve">distincts par environnement, référencés dans le même fichier</w:t>
      </w:r>
      <w:r>
        <w:t xml:space="preserve"> </w:t>
      </w:r>
      <w:r>
        <w:rPr>
          <w:rStyle w:val="VerbatimChar"/>
        </w:rPr>
        <w:t xml:space="preserve">docker-compose.yml</w:t>
      </w:r>
      <w:r>
        <w:t xml:space="preserve"> </w:t>
      </w:r>
      <w:r>
        <w:t xml:space="preserve">versionné — le fichier Compose reste identique et partagé, seule la configuration spécifique à l’environnement change, exactement le même principe déjà établi au chapitre 12 pour les variables d’environnement en général.</w:t>
      </w:r>
    </w:p>
    <w:bookmarkEnd w:id="1017"/>
    <w:bookmarkStart w:id="1018" w:name="X7e3437b19bf2d5e6405f5732fe902c0ec045f62"/>
    <w:p>
      <w:pPr>
        <w:pStyle w:val="Heading2"/>
      </w:pPr>
      <w:r>
        <w:t xml:space="preserve">Optimisation, sécurité et maintenabilité — les réflexes dès ce chapitre</w:t>
      </w:r>
    </w:p>
    <w:p>
      <w:pPr>
        <w:pStyle w:val="FirstParagraph"/>
      </w:pPr>
      <w:r>
        <w:t xml:space="preserve">🔒 Sécurité</w:t>
      </w:r>
      <w:r>
        <w:t xml:space="preserve"> </w:t>
      </w:r>
      <w:r>
        <w:t xml:space="preserve">N’inclus jamais de secret en clair directement dans</w:t>
      </w:r>
      <w:r>
        <w:t xml:space="preserve"> </w:t>
      </w:r>
      <w:r>
        <w:rPr>
          <w:rStyle w:val="VerbatimChar"/>
        </w:rPr>
        <w:t xml:space="preserve">docker-compose.yml</w:t>
      </w:r>
      <w:r>
        <w:t xml:space="preserve"> </w:t>
      </w:r>
      <w:r>
        <w:t xml:space="preserve">— utilise systématiquement des fichiers</w:t>
      </w:r>
      <w:r>
        <w:t xml:space="preserve"> </w:t>
      </w:r>
      <w:r>
        <w:rPr>
          <w:rStyle w:val="VerbatimChar"/>
        </w:rPr>
        <w:t xml:space="preserve">.env</w:t>
      </w:r>
      <w:r>
        <w:t xml:space="preserve"> </w:t>
      </w:r>
      <w:r>
        <w:t xml:space="preserve">exclus de Git ou le mécanisme</w:t>
      </w:r>
      <w:r>
        <w:t xml:space="preserve"> </w:t>
      </w:r>
      <w:r>
        <w:rPr>
          <w:rStyle w:val="VerbatimChar"/>
        </w:rPr>
        <w:t xml:space="preserve">secrets</w:t>
      </w:r>
      <w:r>
        <w:t xml:space="preserve"> </w:t>
      </w:r>
      <w:r>
        <w:t xml:space="preserve">déjà illustré en section 41.2, dans le même esprit de protection déjà établi aux chapitres 20 et 40.</w:t>
      </w:r>
    </w:p>
    <w:p>
      <w:pPr>
        <w:pStyle w:val="BodyText"/>
      </w:pPr>
      <w:r>
        <w:t xml:space="preserve">✅ Maintenabilité</w:t>
      </w:r>
      <w:r>
        <w:t xml:space="preserve"> </w:t>
      </w:r>
      <w:r>
        <w:t xml:space="preserve">Traite le fichier</w:t>
      </w:r>
      <w:r>
        <w:t xml:space="preserve"> </w:t>
      </w:r>
      <w:r>
        <w:rPr>
          <w:rStyle w:val="VerbatimChar"/>
        </w:rPr>
        <w:t xml:space="preserve">docker-compose.yml</w:t>
      </w:r>
      <w:r>
        <w:t xml:space="preserve"> </w:t>
      </w:r>
      <w:r>
        <w:t xml:space="preserve">comme la documentation de référence de l’architecture d’une application — tenu à jour par nécessité, puisque toute divergence avec la réalité se manifeste immédiatement par un échec de</w:t>
      </w:r>
      <w:r>
        <w:t xml:space="preserve"> </w:t>
      </w:r>
      <w:r>
        <w:rPr>
          <w:rStyle w:val="VerbatimChar"/>
        </w:rPr>
        <w:t xml:space="preserve">docker compose up</w:t>
      </w:r>
      <w:r>
        <w:t xml:space="preserve">, contrairement à une documentation séparée qui peut silencieusement devenir obsolète.</w:t>
      </w:r>
    </w:p>
    <w:p>
      <w:pPr>
        <w:pStyle w:val="BodyText"/>
      </w:pPr>
      <w:r>
        <w:t xml:space="preserve">🚀 Performance</w:t>
      </w:r>
      <w:r>
        <w:t xml:space="preserve"> </w:t>
      </w:r>
      <w:r>
        <w:t xml:space="preserve">Utilise des healthchecks avec des intervalles raisonnables (ni trop fréquents, consommant des ressources inutilement, ni trop espacés, retardant la détection réelle de disponibilité) — un équilibre à ajuster selon le temps d’initialisation typique de chaque service concerné.</w:t>
      </w:r>
    </w:p>
    <w:bookmarkEnd w:id="1018"/>
    <w:bookmarkStart w:id="1019" w:name="résumé-du-chapitre-40"/>
    <w:p>
      <w:pPr>
        <w:pStyle w:val="Heading2"/>
      </w:pPr>
      <w:r>
        <w:t xml:space="preserve">Résumé du chapitre</w:t>
      </w:r>
    </w:p>
    <w:p>
      <w:pPr>
        <w:pStyle w:val="Compact"/>
        <w:numPr>
          <w:ilvl w:val="0"/>
          <w:numId w:val="1946"/>
        </w:numPr>
      </w:pPr>
      <w:r>
        <w:t xml:space="preserve">Docker Compose remplace l’enchaînement manuel de commandes</w:t>
      </w:r>
      <w:r>
        <w:t xml:space="preserve"> </w:t>
      </w:r>
      <w:r>
        <w:rPr>
          <w:rStyle w:val="VerbatimChar"/>
        </w:rPr>
        <w:t xml:space="preserve">docker run</w:t>
      </w:r>
      <w:r>
        <w:t xml:space="preserve"> </w:t>
      </w:r>
      <w:r>
        <w:t xml:space="preserve">par un seul fichier déclaratif, reproductible et versionnable.</w:t>
      </w:r>
    </w:p>
    <w:p>
      <w:pPr>
        <w:pStyle w:val="Compact"/>
        <w:numPr>
          <w:ilvl w:val="0"/>
          <w:numId w:val="1946"/>
        </w:numPr>
      </w:pPr>
      <w:r>
        <w:rPr>
          <w:rStyle w:val="VerbatimChar"/>
        </w:rPr>
        <w:t xml:space="preserve">docker compose down</w:t>
      </w:r>
      <w:r>
        <w:t xml:space="preserve"> </w:t>
      </w:r>
      <w:r>
        <w:t xml:space="preserve">conserve les volumes par défaut ; seule l’option explicite</w:t>
      </w:r>
      <w:r>
        <w:t xml:space="preserve"> </w:t>
      </w:r>
      <w:r>
        <w:rPr>
          <w:rStyle w:val="VerbatimChar"/>
        </w:rPr>
        <w:t xml:space="preserve">-v</w:t>
      </w:r>
      <w:r>
        <w:t xml:space="preserve"> </w:t>
      </w:r>
      <w:r>
        <w:t xml:space="preserve">les supprime, un geste toujours volontaire.</w:t>
      </w:r>
    </w:p>
    <w:p>
      <w:pPr>
        <w:pStyle w:val="Compact"/>
        <w:numPr>
          <w:ilvl w:val="0"/>
          <w:numId w:val="1946"/>
        </w:numPr>
      </w:pPr>
      <w:r>
        <w:t xml:space="preserve">Les fichiers</w:t>
      </w:r>
      <w:r>
        <w:t xml:space="preserve"> </w:t>
      </w:r>
      <w:r>
        <w:rPr>
          <w:rStyle w:val="VerbatimChar"/>
        </w:rPr>
        <w:t xml:space="preserve">.env</w:t>
      </w:r>
      <w:r>
        <w:t xml:space="preserve"> </w:t>
      </w:r>
      <w:r>
        <w:t xml:space="preserve">séparent la configuration spécifique à un environnement du fichier Compose lui-même, jamais committés dans Git s’ils contiennent des secrets.</w:t>
      </w:r>
    </w:p>
    <w:p>
      <w:pPr>
        <w:pStyle w:val="Compact"/>
        <w:numPr>
          <w:ilvl w:val="0"/>
          <w:numId w:val="1946"/>
        </w:numPr>
      </w:pPr>
      <w:r>
        <w:rPr>
          <w:rStyle w:val="VerbatimChar"/>
        </w:rPr>
        <w:t xml:space="preserve">depends_on</w:t>
      </w:r>
      <w:r>
        <w:t xml:space="preserve"> </w:t>
      </w:r>
      <w:r>
        <w:t xml:space="preserve">seul contrôle uniquement l’ordre de démarrage, pas la disponibilité réelle d’un service — un</w:t>
      </w:r>
      <w:r>
        <w:t xml:space="preserve"> </w:t>
      </w:r>
      <w:r>
        <w:rPr>
          <w:rStyle w:val="VerbatimChar"/>
        </w:rPr>
        <w:t xml:space="preserve">healthcheck</w:t>
      </w:r>
      <w:r>
        <w:t xml:space="preserve"> </w:t>
      </w:r>
      <w:r>
        <w:t xml:space="preserve">combiné à</w:t>
      </w:r>
      <w:r>
        <w:t xml:space="preserve"> </w:t>
      </w:r>
      <w:r>
        <w:rPr>
          <w:rStyle w:val="VerbatimChar"/>
        </w:rPr>
        <w:t xml:space="preserve">condition: service_healthy</w:t>
      </w:r>
      <w:r>
        <w:t xml:space="preserve"> </w:t>
      </w:r>
      <w:r>
        <w:t xml:space="preserve">est nécessaire pour une attente fiable.</w:t>
      </w:r>
    </w:p>
    <w:p>
      <w:pPr>
        <w:pStyle w:val="Compact"/>
        <w:numPr>
          <w:ilvl w:val="0"/>
          <w:numId w:val="1946"/>
        </w:numPr>
      </w:pPr>
      <w:r>
        <w:t xml:space="preserve">Un fichier Compose bien structuré constitue une documentation vivante et toujours à jour de l’architecture d’une application.</w:t>
      </w:r>
    </w:p>
    <w:bookmarkEnd w:id="1019"/>
    <w:bookmarkStart w:id="1020" w:name="quiz-40"/>
    <w:p>
      <w:pPr>
        <w:pStyle w:val="Heading2"/>
      </w:pPr>
      <w:r>
        <w:t xml:space="preserve">Quiz</w:t>
      </w:r>
    </w:p>
    <w:p>
      <w:pPr>
        <w:pStyle w:val="FirstParagraph"/>
      </w:pPr>
      <w:r>
        <w:t xml:space="preserve">📝 QCM (une seule bonne réponse par question)</w:t>
      </w:r>
    </w:p>
    <w:p>
      <w:pPr>
        <w:pStyle w:val="Compact"/>
        <w:numPr>
          <w:ilvl w:val="0"/>
          <w:numId w:val="1947"/>
        </w:numPr>
      </w:pPr>
      <w:r>
        <w:rPr>
          <w:rStyle w:val="VerbatimChar"/>
        </w:rPr>
        <w:t xml:space="preserve">docker compose down</w:t>
      </w:r>
      <w:r>
        <w:t xml:space="preserve">, sans option supplémentaire :</w:t>
      </w:r>
    </w:p>
    <w:p>
      <w:pPr>
        <w:pStyle w:val="Compact"/>
        <w:numPr>
          <w:ilvl w:val="1"/>
          <w:numId w:val="1948"/>
        </w:numPr>
      </w:pPr>
    </w:p>
    <w:p>
      <w:pPr>
        <w:pStyle w:val="Compact"/>
        <w:numPr>
          <w:ilvl w:val="2"/>
          <w:numId w:val="1949"/>
        </w:numPr>
      </w:pPr>
      <w:r>
        <w:t xml:space="preserve">Supprime aussi tous les volumes</w:t>
      </w:r>
    </w:p>
    <w:p>
      <w:pPr>
        <w:pStyle w:val="Compact"/>
        <w:numPr>
          <w:ilvl w:val="1"/>
          <w:numId w:val="1948"/>
        </w:numPr>
      </w:pPr>
    </w:p>
    <w:p>
      <w:pPr>
        <w:pStyle w:val="Compact"/>
        <w:numPr>
          <w:ilvl w:val="2"/>
          <w:numId w:val="1950"/>
        </w:numPr>
      </w:pPr>
      <w:r>
        <w:t xml:space="preserve">Conserve les volumes par défaut</w:t>
      </w:r>
    </w:p>
    <w:p>
      <w:pPr>
        <w:pStyle w:val="Compact"/>
        <w:numPr>
          <w:ilvl w:val="1"/>
          <w:numId w:val="1948"/>
        </w:numPr>
      </w:pPr>
    </w:p>
    <w:p>
      <w:pPr>
        <w:pStyle w:val="Compact"/>
        <w:numPr>
          <w:ilvl w:val="2"/>
          <w:numId w:val="1951"/>
        </w:numPr>
      </w:pPr>
      <w:r>
        <w:t xml:space="preserve">Supprime l’image utilisée</w:t>
      </w:r>
    </w:p>
    <w:p>
      <w:pPr>
        <w:pStyle w:val="Compact"/>
        <w:numPr>
          <w:ilvl w:val="1"/>
          <w:numId w:val="1948"/>
        </w:numPr>
      </w:pPr>
    </w:p>
    <w:p>
      <w:pPr>
        <w:pStyle w:val="Compact"/>
        <w:numPr>
          <w:ilvl w:val="2"/>
          <w:numId w:val="1952"/>
        </w:numPr>
      </w:pPr>
      <w:r>
        <w:t xml:space="preserve">Redémarre automatiquement les conteneurs</w:t>
      </w:r>
    </w:p>
    <w:p>
      <w:pPr>
        <w:pStyle w:val="Compact"/>
        <w:numPr>
          <w:ilvl w:val="0"/>
          <w:numId w:val="1947"/>
        </w:numPr>
      </w:pPr>
      <w:r>
        <w:rPr>
          <w:rStyle w:val="VerbatimChar"/>
        </w:rPr>
        <w:t xml:space="preserve">depends_on</w:t>
      </w:r>
      <w:r>
        <w:t xml:space="preserve"> </w:t>
      </w:r>
      <w:r>
        <w:t xml:space="preserve">seul, sans condition de santé, garantit :</w:t>
      </w:r>
    </w:p>
    <w:p>
      <w:pPr>
        <w:pStyle w:val="Compact"/>
        <w:numPr>
          <w:ilvl w:val="1"/>
          <w:numId w:val="1953"/>
        </w:numPr>
      </w:pPr>
    </w:p>
    <w:p>
      <w:pPr>
        <w:pStyle w:val="Compact"/>
        <w:numPr>
          <w:ilvl w:val="2"/>
          <w:numId w:val="1954"/>
        </w:numPr>
      </w:pPr>
      <w:r>
        <w:t xml:space="preserve">Que le service dépendant est pleinement opérationnel</w:t>
      </w:r>
    </w:p>
    <w:p>
      <w:pPr>
        <w:pStyle w:val="Compact"/>
        <w:numPr>
          <w:ilvl w:val="1"/>
          <w:numId w:val="1953"/>
        </w:numPr>
      </w:pPr>
    </w:p>
    <w:p>
      <w:pPr>
        <w:pStyle w:val="Compact"/>
        <w:numPr>
          <w:ilvl w:val="2"/>
          <w:numId w:val="1955"/>
        </w:numPr>
      </w:pPr>
      <w:r>
        <w:t xml:space="preserve">Uniquement l’ordre de démarrage des conteneurs</w:t>
      </w:r>
    </w:p>
    <w:p>
      <w:pPr>
        <w:pStyle w:val="Compact"/>
        <w:numPr>
          <w:ilvl w:val="1"/>
          <w:numId w:val="1953"/>
        </w:numPr>
      </w:pPr>
    </w:p>
    <w:p>
      <w:pPr>
        <w:pStyle w:val="Compact"/>
        <w:numPr>
          <w:ilvl w:val="2"/>
          <w:numId w:val="1956"/>
        </w:numPr>
      </w:pPr>
      <w:r>
        <w:t xml:space="preserve">Une connexion réseau chiffrée</w:t>
      </w:r>
    </w:p>
    <w:p>
      <w:pPr>
        <w:pStyle w:val="Compact"/>
        <w:numPr>
          <w:ilvl w:val="1"/>
          <w:numId w:val="1953"/>
        </w:numPr>
      </w:pPr>
    </w:p>
    <w:p>
      <w:pPr>
        <w:pStyle w:val="Compact"/>
        <w:numPr>
          <w:ilvl w:val="2"/>
          <w:numId w:val="1957"/>
        </w:numPr>
      </w:pPr>
      <w:r>
        <w:t xml:space="preserve">Rien du tout, l’option est ignorée</w:t>
      </w:r>
    </w:p>
    <w:p>
      <w:pPr>
        <w:pStyle w:val="Compact"/>
        <w:numPr>
          <w:ilvl w:val="0"/>
          <w:numId w:val="1947"/>
        </w:numPr>
      </w:pPr>
      <w:r>
        <w:t xml:space="preserve">Un fichier</w:t>
      </w:r>
      <w:r>
        <w:t xml:space="preserve"> </w:t>
      </w:r>
      <w:r>
        <w:rPr>
          <w:rStyle w:val="VerbatimChar"/>
        </w:rPr>
        <w:t xml:space="preserve">.env</w:t>
      </w:r>
      <w:r>
        <w:t xml:space="preserve"> </w:t>
      </w:r>
      <w:r>
        <w:t xml:space="preserve">contenant des secrets devrait :</w:t>
      </w:r>
    </w:p>
    <w:p>
      <w:pPr>
        <w:pStyle w:val="Compact"/>
        <w:numPr>
          <w:ilvl w:val="1"/>
          <w:numId w:val="1958"/>
        </w:numPr>
      </w:pPr>
    </w:p>
    <w:p>
      <w:pPr>
        <w:pStyle w:val="Compact"/>
        <w:numPr>
          <w:ilvl w:val="2"/>
          <w:numId w:val="1959"/>
        </w:numPr>
      </w:pPr>
      <w:r>
        <w:t xml:space="preserve">Être committé dans Git pour le partager avec l’équipe</w:t>
      </w:r>
    </w:p>
    <w:p>
      <w:pPr>
        <w:pStyle w:val="Compact"/>
        <w:numPr>
          <w:ilvl w:val="1"/>
          <w:numId w:val="1958"/>
        </w:numPr>
      </w:pPr>
    </w:p>
    <w:p>
      <w:pPr>
        <w:pStyle w:val="Compact"/>
        <w:numPr>
          <w:ilvl w:val="2"/>
          <w:numId w:val="1960"/>
        </w:numPr>
      </w:pPr>
      <w:r>
        <w:t xml:space="preserve">Être exclu de Git via</w:t>
      </w:r>
      <w:r>
        <w:t xml:space="preserve"> </w:t>
      </w:r>
      <w:r>
        <w:rPr>
          <w:rStyle w:val="VerbatimChar"/>
        </w:rPr>
        <w:t xml:space="preserve">.gitignore</w:t>
      </w:r>
    </w:p>
    <w:p>
      <w:pPr>
        <w:pStyle w:val="Compact"/>
        <w:numPr>
          <w:ilvl w:val="1"/>
          <w:numId w:val="1958"/>
        </w:numPr>
      </w:pPr>
    </w:p>
    <w:p>
      <w:pPr>
        <w:pStyle w:val="Compact"/>
        <w:numPr>
          <w:ilvl w:val="2"/>
          <w:numId w:val="1961"/>
        </w:numPr>
      </w:pPr>
      <w:r>
        <w:t xml:space="preserve">Être inclus directement dans le Dockerfile</w:t>
      </w:r>
    </w:p>
    <w:p>
      <w:pPr>
        <w:pStyle w:val="Compact"/>
        <w:numPr>
          <w:ilvl w:val="1"/>
          <w:numId w:val="1958"/>
        </w:numPr>
      </w:pPr>
    </w:p>
    <w:p>
      <w:pPr>
        <w:pStyle w:val="Compact"/>
        <w:numPr>
          <w:ilvl w:val="2"/>
          <w:numId w:val="1962"/>
        </w:numPr>
      </w:pPr>
      <w:r>
        <w:t xml:space="preserve">Être supprimé après chaque déploiement</w:t>
      </w:r>
    </w:p>
    <w:p>
      <w:pPr>
        <w:pStyle w:val="FirstParagraph"/>
      </w:pPr>
      <w:r>
        <w:rPr>
          <w:b/>
          <w:bCs/>
        </w:rPr>
        <w:t xml:space="preserve">Corrigé</w:t>
      </w:r>
      <w:r>
        <w:t xml:space="preserve"> </w:t>
      </w:r>
      <w:r>
        <w:t xml:space="preserve">: 1-b, 2-b, 3-b.</w:t>
      </w:r>
    </w:p>
    <w:p>
      <w:pPr>
        <w:pStyle w:val="BodyText"/>
      </w:pPr>
      <w:r>
        <w:t xml:space="preserve">📝 Vrai ou Faux</w:t>
      </w:r>
    </w:p>
    <w:p>
      <w:pPr>
        <w:pStyle w:val="Compact"/>
        <w:numPr>
          <w:ilvl w:val="0"/>
          <w:numId w:val="1963"/>
        </w:numPr>
      </w:pPr>
      <w:r>
        <w:t xml:space="preserve">Docker Compose élimine le risque d’oublier d’attacher un service à un réseau, contrairement à des commandes manuelles. —</w:t>
      </w:r>
      <w:r>
        <w:t xml:space="preserve"> </w:t>
      </w:r>
      <w:r>
        <w:rPr>
          <w:b/>
          <w:bCs/>
        </w:rPr>
        <w:t xml:space="preserve">Vrai</w:t>
      </w:r>
      <w:r>
        <w:t xml:space="preserve">.</w:t>
      </w:r>
    </w:p>
    <w:p>
      <w:pPr>
        <w:pStyle w:val="Compact"/>
        <w:numPr>
          <w:ilvl w:val="0"/>
          <w:numId w:val="1963"/>
        </w:numPr>
      </w:pPr>
      <w:r>
        <w:rPr>
          <w:rStyle w:val="VerbatimChar"/>
        </w:rPr>
        <w:t xml:space="preserve">depends_on: condition: service_healthy</w:t>
      </w:r>
      <w:r>
        <w:t xml:space="preserve"> </w:t>
      </w:r>
      <w:r>
        <w:t xml:space="preserve">attend une vérification de santé réelle avant de démarrer le service dépendant. —</w:t>
      </w:r>
      <w:r>
        <w:t xml:space="preserve"> </w:t>
      </w:r>
      <w:r>
        <w:rPr>
          <w:b/>
          <w:bCs/>
        </w:rPr>
        <w:t xml:space="preserve">Vrai</w:t>
      </w:r>
      <w:r>
        <w:t xml:space="preserve">.</w:t>
      </w:r>
    </w:p>
    <w:p>
      <w:pPr>
        <w:pStyle w:val="Compact"/>
        <w:numPr>
          <w:ilvl w:val="0"/>
          <w:numId w:val="1963"/>
        </w:numPr>
      </w:pPr>
      <w:r>
        <w:t xml:space="preserve">Le fichier</w:t>
      </w:r>
      <w:r>
        <w:t xml:space="preserve"> </w:t>
      </w:r>
      <w:r>
        <w:rPr>
          <w:rStyle w:val="VerbatimChar"/>
        </w:rPr>
        <w:t xml:space="preserve">docker-compose.yml</w:t>
      </w:r>
      <w:r>
        <w:t xml:space="preserve"> </w:t>
      </w:r>
      <w:r>
        <w:t xml:space="preserve">devrait toujours contenir les mots de passe en clair pour plus de simplicité. —</w:t>
      </w:r>
      <w:r>
        <w:t xml:space="preserve"> </w:t>
      </w:r>
      <w:r>
        <w:rPr>
          <w:b/>
          <w:bCs/>
        </w:rPr>
        <w:t xml:space="preserve">Faux</w:t>
      </w:r>
      <w:r>
        <w:t xml:space="preserve"> </w:t>
      </w:r>
      <w:r>
        <w:t xml:space="preserve">(à éviter systématiquement, section 41.4).</w:t>
      </w:r>
    </w:p>
    <w:p>
      <w:pPr>
        <w:pStyle w:val="Compact"/>
        <w:numPr>
          <w:ilvl w:val="0"/>
          <w:numId w:val="1963"/>
        </w:numPr>
      </w:pPr>
      <w:r>
        <w:rPr>
          <w:rStyle w:val="VerbatimChar"/>
        </w:rPr>
        <w:t xml:space="preserve">docker compose up -d</w:t>
      </w:r>
      <w:r>
        <w:t xml:space="preserve"> </w:t>
      </w:r>
      <w:r>
        <w:t xml:space="preserve">construit l’image si nécessaire et lance l’ensemble des services décrits dans le fichier. —</w:t>
      </w:r>
      <w:r>
        <w:t xml:space="preserve"> </w:t>
      </w:r>
      <w:r>
        <w:rPr>
          <w:b/>
          <w:bCs/>
        </w:rPr>
        <w:t xml:space="preserve">Vrai</w:t>
      </w:r>
      <w:r>
        <w:t xml:space="preserve">.</w:t>
      </w:r>
    </w:p>
    <w:p>
      <w:pPr>
        <w:pStyle w:val="FirstParagraph"/>
      </w:pPr>
      <w:r>
        <w:t xml:space="preserve">📝 Questions ouvertes</w:t>
      </w:r>
    </w:p>
    <w:p>
      <w:pPr>
        <w:pStyle w:val="Compact"/>
        <w:numPr>
          <w:ilvl w:val="0"/>
          <w:numId w:val="1964"/>
        </w:numPr>
      </w:pPr>
      <w:r>
        <w:t xml:space="preserve">Explique pourquoi Docker Compose constitue une meilleure documentation qu’un document écrit séparément décrivant la même architecture.</w:t>
      </w:r>
    </w:p>
    <w:p>
      <w:pPr>
        <w:pStyle w:val="Compact"/>
        <w:numPr>
          <w:ilvl w:val="0"/>
          <w:numId w:val="1964"/>
        </w:numPr>
      </w:pPr>
      <w:r>
        <w:t xml:space="preserve">Reprends le scénario d’ouverture. Explique pourquoi cet incident particulier (oubli du</w:t>
      </w:r>
      <w:r>
        <w:t xml:space="preserve"> </w:t>
      </w:r>
      <w:r>
        <w:rPr>
          <w:rStyle w:val="VerbatimChar"/>
        </w:rPr>
        <w:t xml:space="preserve">--network</w:t>
      </w:r>
      <w:r>
        <w:t xml:space="preserve">) ne peut structurellement plus se reproduire une fois le fichier Compose adopté par l’équipe.</w:t>
      </w:r>
    </w:p>
    <w:p>
      <w:pPr>
        <w:pStyle w:val="FirstParagraph"/>
      </w:pPr>
      <w:r>
        <w:rPr>
          <w:b/>
          <w:bCs/>
        </w:rPr>
        <w:t xml:space="preserve">Corrigé 1</w:t>
      </w:r>
      <w:r>
        <w:t xml:space="preserve"> </w:t>
      </w:r>
      <w:r>
        <w:t xml:space="preserve">: un document écrit séparément peut devenir obsolète sans que personne ne s’en rende compte immédiatement, puisque son inexactitude n’empêche jamais le système réel de continuer à fonctionner. Un fichier Docker Compose, à l’inverse, est directement exécutable — toute divergence entre ce qu’il décrit et ce qui devrait réellement fonctionner se manifeste immédiatement par un échec de</w:t>
      </w:r>
      <w:r>
        <w:t xml:space="preserve"> </w:t>
      </w:r>
      <w:r>
        <w:rPr>
          <w:rStyle w:val="VerbatimChar"/>
        </w:rPr>
        <w:t xml:space="preserve">docker compose up</w:t>
      </w:r>
      <w:r>
        <w:t xml:space="preserve">, forçant une correction rapide plutôt qu’une dérive silencieuse et invisible dans le temps.</w:t>
      </w:r>
    </w:p>
    <w:p>
      <w:pPr>
        <w:pStyle w:val="BodyText"/>
      </w:pPr>
      <w:r>
        <w:rPr>
          <w:b/>
          <w:bCs/>
        </w:rPr>
        <w:t xml:space="preserve">Corrigé 2</w:t>
      </w:r>
      <w:r>
        <w:t xml:space="preserve"> </w:t>
      </w:r>
      <w:r>
        <w:t xml:space="preserve">: dans le fichier Compose, le réseau</w:t>
      </w:r>
      <w:r>
        <w:t xml:space="preserve"> </w:t>
      </w:r>
      <w:r>
        <w:rPr>
          <w:rStyle w:val="VerbatimChar"/>
        </w:rPr>
        <w:t xml:space="preserve">reseau-portail</w:t>
      </w:r>
      <w:r>
        <w:t xml:space="preserve"> </w:t>
      </w:r>
      <w:r>
        <w:t xml:space="preserve">est défini une seule fois et automatiquement attaché à chaque service qui le référence dans sa section</w:t>
      </w:r>
      <w:r>
        <w:t xml:space="preserve"> </w:t>
      </w:r>
      <w:r>
        <w:rPr>
          <w:rStyle w:val="VerbatimChar"/>
        </w:rPr>
        <w:t xml:space="preserve">networks</w:t>
      </w:r>
      <w:r>
        <w:t xml:space="preserve"> </w:t>
      </w:r>
      <w:r>
        <w:t xml:space="preserve">— il n’existe plus de commande individuelle où quelqu’un pourrait, par erreur humaine, oublier d’inclure l’option réseau pour un seul des deux conteneurs. La déclaration centralisée élimine structurellement la possibilité même de ce type d’erreur, plutôt que de simplement rendre l’erreur moins probable.</w:t>
      </w:r>
    </w:p>
    <w:bookmarkEnd w:id="1020"/>
    <w:bookmarkStart w:id="1021" w:name="exercices-40"/>
    <w:p>
      <w:pPr>
        <w:pStyle w:val="Heading2"/>
      </w:pPr>
      <w:r>
        <w:t xml:space="preserve">Exercices</w:t>
      </w:r>
    </w:p>
    <w:p>
      <w:pPr>
        <w:pStyle w:val="FirstParagraph"/>
      </w:pPr>
      <w:r>
        <w:t xml:space="preserve">📝 Exercice 41.1</w:t>
      </w:r>
    </w:p>
    <w:p>
      <w:pPr>
        <w:pStyle w:val="BodyText"/>
      </w:pPr>
      <w:r>
        <w:t xml:space="preserve">Un fichier</w:t>
      </w:r>
      <w:r>
        <w:t xml:space="preserve"> </w:t>
      </w:r>
      <w:r>
        <w:rPr>
          <w:rStyle w:val="VerbatimChar"/>
        </w:rPr>
        <w:t xml:space="preserve">docker-compose.yml</w:t>
      </w:r>
      <w:r>
        <w:t xml:space="preserve"> </w:t>
      </w:r>
      <w:r>
        <w:t xml:space="preserve">définit un service</w:t>
      </w:r>
      <w:r>
        <w:t xml:space="preserve"> </w:t>
      </w:r>
      <w:r>
        <w:rPr>
          <w:rStyle w:val="VerbatimChar"/>
        </w:rPr>
        <w:t xml:space="preserve">app</w:t>
      </w:r>
      <w:r>
        <w:t xml:space="preserve"> </w:t>
      </w:r>
      <w:r>
        <w:t xml:space="preserve">avec</w:t>
      </w:r>
      <w:r>
        <w:t xml:space="preserve"> </w:t>
      </w:r>
      <w:r>
        <w:rPr>
          <w:rStyle w:val="VerbatimChar"/>
        </w:rPr>
        <w:t xml:space="preserve">depends_on: - db</w:t>
      </w:r>
      <w:r>
        <w:t xml:space="preserve">, sans healthcheck sur</w:t>
      </w:r>
      <w:r>
        <w:t xml:space="preserve"> </w:t>
      </w:r>
      <w:r>
        <w:rPr>
          <w:rStyle w:val="VerbatimChar"/>
        </w:rPr>
        <w:t xml:space="preserve">db</w:t>
      </w:r>
      <w:r>
        <w:t xml:space="preserve">. Explique pourquoi l’application pourrait échouer intermittemment à se connecter à la base de données, alors qu’un simple redémarrage manuel après quelques secondes résout systématiquement le problème.</w:t>
      </w:r>
    </w:p>
    <w:p>
      <w:pPr>
        <w:pStyle w:val="BodyText"/>
      </w:pPr>
      <w:r>
        <w:rPr>
          <w:b/>
          <w:bCs/>
        </w:rPr>
        <w:t xml:space="preserve">Corrigé :</w:t>
      </w:r>
      <w:r>
        <w:t xml:space="preserve"> </w:t>
      </w:r>
      <w:r>
        <w:t xml:space="preserve">Sans healthcheck,</w:t>
      </w:r>
      <w:r>
        <w:t xml:space="preserve"> </w:t>
      </w:r>
      <w:r>
        <w:rPr>
          <w:rStyle w:val="VerbatimChar"/>
        </w:rPr>
        <w:t xml:space="preserve">depends_on</w:t>
      </w:r>
      <w:r>
        <w:t xml:space="preserve"> </w:t>
      </w:r>
      <w:r>
        <w:t xml:space="preserve">garantit uniquement que le conteneur</w:t>
      </w:r>
      <w:r>
        <w:t xml:space="preserve"> </w:t>
      </w:r>
      <w:r>
        <w:rPr>
          <w:rStyle w:val="VerbatimChar"/>
        </w:rPr>
        <w:t xml:space="preserve">db</w:t>
      </w:r>
      <w:r>
        <w:t xml:space="preserve"> </w:t>
      </w:r>
      <w:r>
        <w:t xml:space="preserve">a été lancé avant</w:t>
      </w:r>
      <w:r>
        <w:t xml:space="preserve"> </w:t>
      </w:r>
      <w:r>
        <w:rPr>
          <w:rStyle w:val="VerbatimChar"/>
        </w:rPr>
        <w:t xml:space="preserve">app</w:t>
      </w:r>
      <w:r>
        <w:t xml:space="preserve">, pas que PostgreSQL a terminé son initialisation interne et accepte réellement des connexions (section 41.5). Si l’application tente de se connecter immédiatement après son propre démarrage, elle peut arriver avant que PostgreSQL ne soit prêt, provoquant un échec de connexion — un redémarrage manuel quelques secondes plus tard fonctionne simplement parce que, à ce moment-là, PostgreSQL a eu le temps de terminer son initialisation, masquant la cause réelle du problème plutôt que de la résoudre durablement.</w:t>
      </w:r>
    </w:p>
    <w:p>
      <w:pPr>
        <w:pStyle w:val="BodyText"/>
      </w:pPr>
      <w:r>
        <w:t xml:space="preserve">📝 Exercice 41.2</w:t>
      </w:r>
    </w:p>
    <w:p>
      <w:pPr>
        <w:pStyle w:val="BodyText"/>
      </w:pPr>
      <w:r>
        <w:t xml:space="preserve">Rédige, en 3 à 5 phrases, pourquoi versionner</w:t>
      </w:r>
      <w:r>
        <w:t xml:space="preserve"> </w:t>
      </w:r>
      <w:r>
        <w:rPr>
          <w:rStyle w:val="VerbatimChar"/>
        </w:rPr>
        <w:t xml:space="preserve">docker-compose.yml</w:t>
      </w:r>
      <w:r>
        <w:t xml:space="preserve"> </w:t>
      </w:r>
      <w:r>
        <w:t xml:space="preserve">dans Git, mais jamais le fichier</w:t>
      </w:r>
      <w:r>
        <w:t xml:space="preserve"> </w:t>
      </w:r>
      <w:r>
        <w:rPr>
          <w:rStyle w:val="VerbatimChar"/>
        </w:rPr>
        <w:t xml:space="preserve">.env</w:t>
      </w:r>
      <w:r>
        <w:t xml:space="preserve"> </w:t>
      </w:r>
      <w:r>
        <w:t xml:space="preserve">associé, constitue une bonne pratique cohérente plutôt qu’une contradiction.</w:t>
      </w:r>
    </w:p>
    <w:p>
      <w:pPr>
        <w:pStyle w:val="BodyText"/>
      </w:pPr>
      <w:r>
        <w:rPr>
          <w:b/>
          <w:bCs/>
        </w:rPr>
        <w:t xml:space="preserve">Corrigé (exemple de réponse) :</w:t>
      </w:r>
      <w:r>
        <w:t xml:space="preserve"> </w:t>
      </w:r>
      <w:r>
        <w:rPr>
          <w:rStyle w:val="VerbatimChar"/>
        </w:rPr>
        <w:t xml:space="preserve">docker-compose.yml</w:t>
      </w:r>
      <w:r>
        <w:t xml:space="preserve"> </w:t>
      </w:r>
      <w:r>
        <w:t xml:space="preserve">décrit la structure de l’architecture (quels services, quelles relations entre eux) — une information stable et identique pour toute l’équipe, qui mérite d’être versionnée et partagée comme le reste du code. Le fichier</w:t>
      </w:r>
      <w:r>
        <w:t xml:space="preserve"> </w:t>
      </w:r>
      <w:r>
        <w:rPr>
          <w:rStyle w:val="VerbatimChar"/>
        </w:rPr>
        <w:t xml:space="preserve">.env</w:t>
      </w:r>
      <w:r>
        <w:t xml:space="preserve">, à l’inverse, contient des valeurs spécifiques à un environnement précis (mots de passe, hôtes, ports), potentiellement sensibles et différentes entre le poste d’un développeur, l’environnement de test et la production — le versionner exposerait des secrets et créerait des conflits entre les configurations propres à chaque environnement. Cette séparation (structure versionnée, configuration spécifique exclue) applique exactement le même principe déjà établi au chapitre 12 pour les variables d’environnement en général, simplement transposé au contexte de Docker Compose.</w:t>
      </w:r>
    </w:p>
    <w:bookmarkEnd w:id="1021"/>
    <w:bookmarkStart w:id="1022" w:name="checklist-de-fin-de-chapitre-40"/>
    <w:p>
      <w:pPr>
        <w:pStyle w:val="Heading2"/>
      </w:pPr>
      <w:r>
        <w:t xml:space="preserve">Checklist de fin de chapitre</w:t>
      </w:r>
    </w:p>
    <w:p>
      <w:pPr>
        <w:pStyle w:val="FirstParagraph"/>
      </w:pPr>
      <w:r>
        <w:t xml:space="preserve">☐ Je sais écrire un fichier</w:t>
      </w:r>
      <w:r>
        <w:t xml:space="preserve"> </w:t>
      </w:r>
      <w:r>
        <w:rPr>
          <w:rStyle w:val="VerbatimChar"/>
        </w:rPr>
        <w:t xml:space="preserve">docker-compose.yml</w:t>
      </w:r>
      <w:r>
        <w:t xml:space="preserve"> </w:t>
      </w:r>
      <w:r>
        <w:t xml:space="preserve">décrivant plusieurs services, un volume et un réseau.</w:t>
      </w:r>
    </w:p>
    <w:p>
      <w:pPr>
        <w:pStyle w:val="BodyText"/>
      </w:pPr>
      <w:r>
        <w:t xml:space="preserve">☐ Je sais utiliser</w:t>
      </w:r>
      <w:r>
        <w:t xml:space="preserve"> </w:t>
      </w:r>
      <w:r>
        <w:rPr>
          <w:rStyle w:val="VerbatimChar"/>
        </w:rPr>
        <w:t xml:space="preserve">docker compose up</w:t>
      </w:r>
      <w:r>
        <w:t xml:space="preserve">,</w:t>
      </w:r>
      <w:r>
        <w:t xml:space="preserve"> </w:t>
      </w:r>
      <w:r>
        <w:rPr>
          <w:rStyle w:val="VerbatimChar"/>
        </w:rPr>
        <w:t xml:space="preserve">down</w:t>
      </w:r>
      <w:r>
        <w:t xml:space="preserve"> </w:t>
      </w:r>
      <w:r>
        <w:t xml:space="preserve">et</w:t>
      </w:r>
      <w:r>
        <w:t xml:space="preserve"> </w:t>
      </w:r>
      <w:r>
        <w:rPr>
          <w:rStyle w:val="VerbatimChar"/>
        </w:rPr>
        <w:t xml:space="preserve">logs</w:t>
      </w:r>
      <w:r>
        <w:t xml:space="preserve">.</w:t>
      </w:r>
    </w:p>
    <w:p>
      <w:pPr>
        <w:pStyle w:val="BodyText"/>
      </w:pPr>
      <w:r>
        <w:t xml:space="preserve">☐ Je comprends que</w:t>
      </w:r>
      <w:r>
        <w:t xml:space="preserve"> </w:t>
      </w:r>
      <w:r>
        <w:rPr>
          <w:rStyle w:val="VerbatimChar"/>
        </w:rPr>
        <w:t xml:space="preserve">docker compose down</w:t>
      </w:r>
      <w:r>
        <w:t xml:space="preserve"> </w:t>
      </w:r>
      <w:r>
        <w:t xml:space="preserve">conserve les volumes par défaut, sauf option</w:t>
      </w:r>
      <w:r>
        <w:t xml:space="preserve"> </w:t>
      </w:r>
      <w:r>
        <w:rPr>
          <w:rStyle w:val="VerbatimChar"/>
        </w:rPr>
        <w:t xml:space="preserve">-v</w:t>
      </w:r>
      <w:r>
        <w:t xml:space="preserve"> </w:t>
      </w:r>
      <w:r>
        <w:t xml:space="preserve">explicite.</w:t>
      </w:r>
    </w:p>
    <w:p>
      <w:pPr>
        <w:pStyle w:val="BodyText"/>
      </w:pPr>
      <w:r>
        <w:t xml:space="preserve">☐ Je sais utiliser un fichier</w:t>
      </w:r>
      <w:r>
        <w:t xml:space="preserve"> </w:t>
      </w:r>
      <w:r>
        <w:rPr>
          <w:rStyle w:val="VerbatimChar"/>
        </w:rPr>
        <w:t xml:space="preserve">.env</w:t>
      </w:r>
      <w:r>
        <w:t xml:space="preserve"> </w:t>
      </w:r>
      <w:r>
        <w:t xml:space="preserve">pour séparer la configuration du fichier Compose lui-même.</w:t>
      </w:r>
    </w:p>
    <w:p>
      <w:pPr>
        <w:pStyle w:val="BodyText"/>
      </w:pPr>
      <w:r>
        <w:t xml:space="preserve">☐ Je comprends pourquoi</w:t>
      </w:r>
      <w:r>
        <w:t xml:space="preserve"> </w:t>
      </w:r>
      <w:r>
        <w:rPr>
          <w:rStyle w:val="VerbatimChar"/>
        </w:rPr>
        <w:t xml:space="preserve">depends_on</w:t>
      </w:r>
      <w:r>
        <w:t xml:space="preserve"> </w:t>
      </w:r>
      <w:r>
        <w:t xml:space="preserve">seul ne garantit pas la disponibilité réelle d’un service.</w:t>
      </w:r>
    </w:p>
    <w:p>
      <w:pPr>
        <w:pStyle w:val="BodyText"/>
      </w:pPr>
      <w:r>
        <w:t xml:space="preserve">☐ Je sais ajouter un</w:t>
      </w:r>
      <w:r>
        <w:t xml:space="preserve"> </w:t>
      </w:r>
      <w:r>
        <w:rPr>
          <w:rStyle w:val="VerbatimChar"/>
        </w:rPr>
        <w:t xml:space="preserve">healthcheck</w:t>
      </w:r>
      <w:r>
        <w:t xml:space="preserve"> </w:t>
      </w:r>
      <w:r>
        <w:t xml:space="preserve">et l’utiliser avec</w:t>
      </w:r>
      <w:r>
        <w:t xml:space="preserve"> </w:t>
      </w:r>
      <w:r>
        <w:rPr>
          <w:rStyle w:val="VerbatimChar"/>
        </w:rPr>
        <w:t xml:space="preserve">condition: service_healthy</w:t>
      </w:r>
      <w:r>
        <w:t xml:space="preserve">.</w:t>
      </w:r>
    </w:p>
    <w:bookmarkEnd w:id="1022"/>
    <w:bookmarkStart w:id="1023" w:name="faq-40"/>
    <w:p>
      <w:pPr>
        <w:pStyle w:val="Heading2"/>
      </w:pPr>
      <w:r>
        <w:t xml:space="preserve">FAQ</w:t>
      </w:r>
    </w:p>
    <w:p>
      <w:pPr>
        <w:pStyle w:val="FirstParagraph"/>
      </w:pPr>
      <w:r>
        <w:t xml:space="preserve">Docker Compose convient-il à un déploiement à grande échelle avec de nombreux serveurs ?</w:t>
      </w:r>
    </w:p>
    <w:p>
      <w:pPr>
        <w:pStyle w:val="BodyText"/>
      </w:pPr>
      <w:r>
        <w:t xml:space="preserve">Non, Docker Compose reste conçu pour orchestrer des conteneurs sur une seule machine — au-delà de ce périmètre (plusieurs serveurs, mise à l’échelle automatique, tolérance de panne avancée), Kubernetes (chapitres 42-44) devient l’outil approprié, un changement d’échelle abordé dans les prochains chapitres.</w:t>
      </w:r>
    </w:p>
    <w:p>
      <w:pPr>
        <w:pStyle w:val="BodyText"/>
      </w:pPr>
      <w:r>
        <w:t xml:space="preserve">Peut-on utiliser Docker Compose en production, ou seulement en développement ?</w:t>
      </w:r>
    </w:p>
    <w:p>
      <w:pPr>
        <w:pStyle w:val="BodyText"/>
      </w:pPr>
      <w:r>
        <w:t xml:space="preserve">Il est utilisable en production pour des architectures simples sur un serveur unique, mais ses limites (pas de haute disponibilité native, pas de bascule automatique en cas de panne d’un hôte) le rendent moins adapté à des charges de production critiques à grande échelle — un choix à évaluer selon la même logique contextuelle que tous les choix technologiques de ce manuel.</w:t>
      </w:r>
    </w:p>
    <w:p>
      <w:pPr>
        <w:pStyle w:val="BodyText"/>
      </w:pPr>
      <w:r>
        <w:t xml:space="preserve">Comment mettre à jour une application gérée par Docker Compose sans interruption de service ?</w:t>
      </w:r>
    </w:p>
    <w:p>
      <w:pPr>
        <w:pStyle w:val="BodyText"/>
      </w:pPr>
      <w:r>
        <w:t xml:space="preserve">Docker Compose seul ne propose pas nativement de mise à jour progressive sans interruption (rolling update) — cette capacité, importante pour des applications critiques ne tolérant aucune coupure, est l’un des arguments centraux en faveur de Kubernetes, approfondi au chapitre 44.</w:t>
      </w:r>
    </w:p>
    <w:p>
      <w:pPr>
        <w:pStyle w:val="BodyText"/>
      </w:pPr>
      <w:r>
        <w:t xml:space="preserve">Faut-il connaître YAML en profondeur pour utiliser Docker Compose efficacement ?</w:t>
      </w:r>
    </w:p>
    <w:p>
      <w:pPr>
        <w:pStyle w:val="BodyText"/>
      </w:pPr>
      <w:r>
        <w:t xml:space="preserve">Une connaissance de base de la syntaxe YAML (indentation significative, listes, clés-valeurs) suffit largement pour la plupart des fichiers Compose courants — cette même syntaxe reviendra d’ailleurs directement utile pour Kubernetes dans les prochains chapitres, qui utilise également YAML pour ses définitions.</w:t>
      </w:r>
    </w:p>
    <w:bookmarkEnd w:id="1023"/>
    <w:bookmarkStart w:id="1027" w:name="références-et-pour-aller-plus-loin-40"/>
    <w:p>
      <w:pPr>
        <w:pStyle w:val="Heading2"/>
      </w:pPr>
      <w:r>
        <w:t xml:space="preserve">Références et pour aller plus loin</w:t>
      </w:r>
    </w:p>
    <w:p>
      <w:pPr>
        <w:pStyle w:val="Compact"/>
        <w:numPr>
          <w:ilvl w:val="0"/>
          <w:numId w:val="1965"/>
        </w:numPr>
      </w:pPr>
      <w:r>
        <w:t xml:space="preserve">Documentation officielle Docker Compose :</w:t>
      </w:r>
      <w:r>
        <w:t xml:space="preserve"> </w:t>
      </w:r>
      <w:hyperlink r:id="rId1024">
        <w:r>
          <w:rPr>
            <w:rStyle w:val="Hyperlink"/>
          </w:rPr>
          <w:t xml:space="preserve">https://docs.docker.com/compose/</w:t>
        </w:r>
      </w:hyperlink>
    </w:p>
    <w:p>
      <w:pPr>
        <w:pStyle w:val="Compact"/>
        <w:numPr>
          <w:ilvl w:val="0"/>
          <w:numId w:val="1965"/>
        </w:numPr>
      </w:pPr>
      <w:r>
        <w:t xml:space="preserve">Référence complète du fichier Compose :</w:t>
      </w:r>
      <w:r>
        <w:t xml:space="preserve"> </w:t>
      </w:r>
      <w:hyperlink r:id="rId1025">
        <w:r>
          <w:rPr>
            <w:rStyle w:val="Hyperlink"/>
          </w:rPr>
          <w:t xml:space="preserve">https://docs.docker.com/compose/compose-file/</w:t>
        </w:r>
      </w:hyperlink>
    </w:p>
    <w:p>
      <w:pPr>
        <w:pStyle w:val="Compact"/>
        <w:numPr>
          <w:ilvl w:val="0"/>
          <w:numId w:val="1965"/>
        </w:numPr>
      </w:pPr>
      <w:r>
        <w:t xml:space="preserve">Documentation officielle sur les healthchecks Docker :</w:t>
      </w:r>
      <w:r>
        <w:t xml:space="preserve"> </w:t>
      </w:r>
      <w:hyperlink r:id="rId1026">
        <w:r>
          <w:rPr>
            <w:rStyle w:val="Hyperlink"/>
          </w:rPr>
          <w:t xml:space="preserve">https://docs.docker.com/reference/dockerfile/#healthcheck</w:t>
        </w:r>
      </w:hyperlink>
    </w:p>
    <w:p>
      <w:pPr>
        <w:pStyle w:val="FirstParagraph"/>
      </w:pPr>
      <w:r>
        <w:rPr>
          <w:i/>
          <w:iCs/>
        </w:rPr>
        <w:t xml:space="preserve">Fin de la trilogie Docker de ce manuel. Le chapitre suivant introduit Kubernetes — l’outil qui prend le relais quand une infrastructure dépasse ce qu’un seul serveur et Docker Compose peuvent raisonnablement orchestrer.</w:t>
      </w:r>
    </w:p>
    <w:p>
      <w:pPr>
        <w:pStyle w:val="BodyText"/>
      </w:pPr>
      <w:r>
        <w:t xml:space="preserve">CHAPITRE 42</w:t>
      </w:r>
    </w:p>
    <w:bookmarkEnd w:id="1027"/>
    <w:bookmarkEnd w:id="1028"/>
    <w:bookmarkStart w:id="1056" w:name="introduction-à-kubernetes"/>
    <w:p>
      <w:pPr>
        <w:pStyle w:val="Heading1"/>
      </w:pPr>
      <w:r>
        <w:t xml:space="preserve">Introduction à Kubernetes</w:t>
      </w:r>
    </w:p>
    <w:p>
      <w:pPr>
        <w:pStyle w:val="FirstParagraph"/>
      </w:pPr>
      <w:r>
        <w:t xml:space="preserve">🎯 Objectif du chapitre</w:t>
      </w:r>
      <w:r>
        <w:t xml:space="preserve"> </w:t>
      </w:r>
      <w:r>
        <w:t xml:space="preserve">Comprendre pourquoi et quand Kubernetes prend le relais de Docker Compose (chapitre 41), et découvrir son vocabulaire fondamental : Pod, Deployment, Service. À la fin de ce chapitre, tu sauras expliquer l’architecture de base d’un cluster Kubernetes, comprendre l’auto-guérison et les mises à jour progressives, et surtout juger honnêtement si Kubernetes est réellement nécessaire pour un contexte donné, plutôt que de l’adopter par pure mode technologique.</w:t>
      </w:r>
    </w:p>
    <w:p>
      <w:pPr>
        <w:pStyle w:val="BodyText"/>
      </w:pPr>
      <w:r>
        <w:t xml:space="preserve">🎬 Mise en situation</w:t>
      </w:r>
      <w:r>
        <w:t xml:space="preserve"> </w:t>
      </w:r>
      <w:r>
        <w:t xml:space="preserve">Le succès du portail client dépasse les attentes : l’entreprise signe un partenariat avec un courtier régional, multipliant le trafic par plusieurs fois du jour au lendemain. Le serveur unique hébergeant l’architecture Docker Compose du chapitre 41 commence à saturer aux heures de pointe. Pire, une mise à jour de routine déployée un mardi après-midi (</w:t>
      </w:r>
      <w:r>
        <w:rPr>
          <w:rStyle w:val="VerbatimChar"/>
        </w:rPr>
        <w:t xml:space="preserve">docker compose up -d --build</w:t>
      </w:r>
      <w:r>
        <w:t xml:space="preserve">) a provoqué une coupure de service de plusieurs minutes — le temps que l’ancien conteneur s’arrête et que le nouveau démarre, sans aucune continuité de service entre les deux. Le DSI demande une solution qui encaisse la charge sur plusieurs serveurs et qui élimine cette coupure lors des déploiements. C’est exactement ce que Kubernetes résout — à un coût de complexité qu’il faut aussi honnêtement évaluer, l’objet de ce chapitre.</w:t>
      </w:r>
    </w:p>
    <w:bookmarkStart w:id="1029" w:name="Xc221dcd007ffd8797bc3c5f2fbd39e13d85e9a1"/>
    <w:p>
      <w:pPr>
        <w:pStyle w:val="Heading2"/>
      </w:pPr>
      <w:r>
        <w:t xml:space="preserve">42.1 Les limites de Docker Compose à cette échelle</w:t>
      </w:r>
    </w:p>
    <w:p>
      <w:pPr>
        <w:pStyle w:val="FirstParagraph"/>
      </w:pPr>
      <w:r>
        <w:t xml:space="preserve">📌 À retenir — rappel direct de la FAQ du chapitre 41</w:t>
      </w:r>
      <w:r>
        <w:t xml:space="preserve"> </w:t>
      </w:r>
      <w:r>
        <w:t xml:space="preserve">Docker Compose orchestre des conteneurs sur</w:t>
      </w:r>
      <w:r>
        <w:t xml:space="preserve"> </w:t>
      </w:r>
      <w:r>
        <w:rPr>
          <w:b/>
          <w:bCs/>
        </w:rPr>
        <w:t xml:space="preserve">une seule machine</w:t>
      </w:r>
      <w:r>
        <w:t xml:space="preserve"> </w:t>
      </w:r>
      <w:r>
        <w:t xml:space="preserve">— il ne peut pas répartir la charge du portail client sur plusieurs serveurs physiques ou virtuels. Il ne propose pas non plus nativement de mise à jour progressive (</w:t>
      </w:r>
      <w:r>
        <w:rPr>
          <w:i/>
          <w:iCs/>
        </w:rPr>
        <w:t xml:space="preserve">rolling update</w:t>
      </w:r>
      <w:r>
        <w:t xml:space="preserve">) sans interruption — exactement les deux limites qui bloquent l’entreprise dans le scénario d’ouverture, et exactement les deux problèmes que Kubernetes est conçu pour résoudre.</w:t>
      </w:r>
    </w:p>
    <w:bookmarkEnd w:id="1029"/>
    <w:bookmarkStart w:id="1030" w:name="quest-ce-que-kubernetes"/>
    <w:p>
      <w:pPr>
        <w:pStyle w:val="Heading2"/>
      </w:pPr>
      <w:r>
        <w:t xml:space="preserve">42.2 Qu’est-ce que Kubernetes</w:t>
      </w:r>
    </w:p>
    <w:p>
      <w:pPr>
        <w:pStyle w:val="FirstParagraph"/>
      </w:pPr>
      <w:r>
        <w:rPr>
          <w:b/>
          <w:bCs/>
        </w:rPr>
        <w:t xml:space="preserve">Kubernetes</w:t>
      </w:r>
      <w:r>
        <w:t xml:space="preserve"> </w:t>
      </w:r>
      <w:r>
        <w:t xml:space="preserve">(souvent abrégé K8s) est un système d’</w:t>
      </w:r>
      <w:r>
        <w:rPr>
          <w:b/>
          <w:bCs/>
        </w:rPr>
        <w:t xml:space="preserve">orchestration de conteneurs</w:t>
      </w:r>
      <w:r>
        <w:t xml:space="preserve"> </w:t>
      </w:r>
      <w:r>
        <w:t xml:space="preserve">à travers plusieurs machines, automatisant le déploiement, la mise à l’échelle et la gestion de la disponibilité des applications conteneurisées.</w:t>
      </w:r>
    </w:p>
    <w:p>
      <w:pPr>
        <w:pStyle w:val="BodyText"/>
      </w:pPr>
      <w:r>
        <w:t xml:space="preserve">💡 Analogie — le chef d’orchestre d’un ensemble de machines, pas d’une seule</w:t>
      </w:r>
      <w:r>
        <w:t xml:space="preserve"> </w:t>
      </w:r>
      <w:r>
        <w:t xml:space="preserve">Si Docker orchestre des conteneurs sur une seule machine, Kubernetes est un chef d’orchestre à une échelle supérieure : il coordonne des conteneurs répartis sur un ensemble de machines (appelées</w:t>
      </w:r>
      <w:r>
        <w:t xml:space="preserve"> </w:t>
      </w:r>
      <w:r>
        <w:rPr>
          <w:b/>
          <w:bCs/>
        </w:rPr>
        <w:t xml:space="preserve">nœuds</w:t>
      </w:r>
      <w:r>
        <w:t xml:space="preserve">, ou</w:t>
      </w:r>
      <w:r>
        <w:t xml:space="preserve"> </w:t>
      </w:r>
      <w:r>
        <w:rPr>
          <w:i/>
          <w:iCs/>
        </w:rPr>
        <w:t xml:space="preserve">nodes</w:t>
      </w:r>
      <w:r>
        <w:t xml:space="preserve">), décidant automatiquement où placer chaque charge de travail, redémarrant ce qui tombe en panne, et redistribuant le trafic entre plusieurs instances d’une même application — exactement le besoin du scénario d’ouverture, à l’échelle de plusieurs serveurs plutôt que d’un seul.</w:t>
      </w:r>
    </w:p>
    <w:bookmarkEnd w:id="1030"/>
    <w:bookmarkStart w:id="1034" w:name="X71b970d7b1ff8c96bc225ab98c26cb3d9330471"/>
    <w:p>
      <w:pPr>
        <w:pStyle w:val="Heading2"/>
      </w:pPr>
      <w:r>
        <w:t xml:space="preserve">42.3 L’architecture de base : plan de contrôle et nœuds de travail</w:t>
      </w:r>
    </w:p>
    <w:p>
      <w:pPr>
        <w:pStyle w:val="CaptionedFigure"/>
      </w:pPr>
      <w:r>
        <w:drawing>
          <wp:inline>
            <wp:extent cx="5334000" cy="2281409"/>
            <wp:effectExtent b="0" l="0" r="0" t="0"/>
            <wp:docPr descr="Diagramme" title="" id="1032" name="Picture"/>
            <a:graphic>
              <a:graphicData uri="http://schemas.openxmlformats.org/drawingml/2006/picture">
                <pic:pic>
                  <pic:nvPicPr>
                    <pic:cNvPr descr="C:/Users/ingja/Desktop/jarvis-starter-kit/livrables/formations/manuel-administration-systeme/assets/diagrams/d-42-introduction-kubernetes-diagramme-1.png" id="1033" name="Picture"/>
                    <pic:cNvPicPr>
                      <a:picLocks noChangeArrowheads="1" noChangeAspect="1"/>
                    </pic:cNvPicPr>
                  </pic:nvPicPr>
                  <pic:blipFill>
                    <a:blip r:embed="rId1031"/>
                    <a:stretch>
                      <a:fillRect/>
                    </a:stretch>
                  </pic:blipFill>
                  <pic:spPr bwMode="auto">
                    <a:xfrm>
                      <a:off x="0" y="0"/>
                      <a:ext cx="5334000" cy="2281409"/>
                    </a:xfrm>
                    <a:prstGeom prst="rect">
                      <a:avLst/>
                    </a:prstGeom>
                    <a:noFill/>
                    <a:ln w="9525">
                      <a:noFill/>
                      <a:headEnd/>
                      <a:tailEnd/>
                    </a:ln>
                  </pic:spPr>
                </pic:pic>
              </a:graphicData>
            </a:graphic>
          </wp:inline>
        </w:drawing>
      </w:r>
    </w:p>
    <w:p>
      <w:pPr>
        <w:pStyle w:val="ImageCaption"/>
      </w:pPr>
      <w:r>
        <w:t xml:space="preserve">Diagramme</w:t>
      </w:r>
    </w:p>
    <w:p>
      <w:pPr>
        <w:pStyle w:val="BodyText"/>
      </w:pPr>
      <w:r>
        <w:t xml:space="preserve">💡 Explication simplifiée, suffisante pour ce chapitre introductif</w:t>
      </w:r>
      <w:r>
        <w:t xml:space="preserve"> </w:t>
      </w:r>
      <w:r>
        <w:t xml:space="preserve">Le</w:t>
      </w:r>
      <w:r>
        <w:t xml:space="preserve"> </w:t>
      </w:r>
      <w:r>
        <w:rPr>
          <w:b/>
          <w:bCs/>
        </w:rPr>
        <w:t xml:space="preserve">plan de contrôle</w:t>
      </w:r>
      <w:r>
        <w:t xml:space="preserve"> </w:t>
      </w:r>
      <w:r>
        <w:t xml:space="preserve">(</w:t>
      </w:r>
      <w:r>
        <w:rPr>
          <w:i/>
          <w:iCs/>
        </w:rPr>
        <w:t xml:space="preserve">control plane</w:t>
      </w:r>
      <w:r>
        <w:t xml:space="preserve">) prend les décisions : l’API Server reçoit toutes les commandes (via</w:t>
      </w:r>
      <w:r>
        <w:t xml:space="preserve"> </w:t>
      </w:r>
      <w:r>
        <w:rPr>
          <w:rStyle w:val="VerbatimChar"/>
        </w:rPr>
        <w:t xml:space="preserve">kubectl</w:t>
      </w:r>
      <w:r>
        <w:t xml:space="preserve">, section 42.8),</w:t>
      </w:r>
      <w:r>
        <w:t xml:space="preserve"> </w:t>
      </w:r>
      <w:r>
        <w:t xml:space="preserve">etcd</w:t>
      </w:r>
      <w:r>
        <w:t xml:space="preserve"> </w:t>
      </w:r>
      <w:r>
        <w:t xml:space="preserve">stocke l’état complet et actuel du cluster (rappel du principe déjà rencontré avec Corosync au chapitre 36 pour Proxmox), le Scheduler décide sur quel nœud placer chaque nouvelle charge de travail, et le Controller Manager travaille en permanence à maintenir l’état réel du cluster identique à l’état désiré déclaré. Chaque</w:t>
      </w:r>
      <w:r>
        <w:t xml:space="preserve"> </w:t>
      </w:r>
      <w:r>
        <w:rPr>
          <w:b/>
          <w:bCs/>
        </w:rPr>
        <w:t xml:space="preserve">nœud de travail</w:t>
      </w:r>
      <w:r>
        <w:t xml:space="preserve"> </w:t>
      </w:r>
      <w:r>
        <w:t xml:space="preserve">exécute un</w:t>
      </w:r>
      <w:r>
        <w:t xml:space="preserve"> </w:t>
      </w:r>
      <w:r>
        <w:t xml:space="preserve">kubelet</w:t>
      </w:r>
      <w:r>
        <w:t xml:space="preserve"> </w:t>
      </w:r>
      <w:r>
        <w:t xml:space="preserve">(l’agent qui applique localement les décisions du plan de contrôle) et héberge les Pods eux-mêmes.</w:t>
      </w:r>
    </w:p>
    <w:bookmarkEnd w:id="1034"/>
    <w:bookmarkStart w:id="1035" w:name="le-pod-lunité-de-base-de-kubernetes"/>
    <w:p>
      <w:pPr>
        <w:pStyle w:val="Heading2"/>
      </w:pPr>
      <w:r>
        <w:t xml:space="preserve">42.4 Le Pod : l’unité de base de Kubernetes</w:t>
      </w:r>
    </w:p>
    <w:p>
      <w:pPr>
        <w:pStyle w:val="FirstParagraph"/>
      </w:pPr>
      <w:r>
        <w:t xml:space="preserve">📌 À retenir</w:t>
      </w:r>
      <w:r>
        <w:t xml:space="preserve"> </w:t>
      </w:r>
      <w:r>
        <w:t xml:space="preserve">Un</w:t>
      </w:r>
      <w:r>
        <w:t xml:space="preserve"> </w:t>
      </w:r>
      <w:r>
        <w:rPr>
          <w:b/>
          <w:bCs/>
        </w:rPr>
        <w:t xml:space="preserve">Pod</w:t>
      </w:r>
      <w:r>
        <w:t xml:space="preserve"> </w:t>
      </w:r>
      <w:r>
        <w:t xml:space="preserve">est la plus petite unité déployable dans Kubernetes — le plus souvent un seul conteneur (rappel du chapitre 39), mais techniquement capable d’en regrouper plusieurs partageant le même réseau et le même stockage, pour des cas d’usage précis (un conteneur principal et un conteneur</w:t>
      </w:r>
      <w:r>
        <w:t xml:space="preserve"> </w:t>
      </w:r>
      <w:r>
        <w:t xml:space="preserve">“side-car”</w:t>
      </w:r>
      <w:r>
        <w:t xml:space="preserve"> </w:t>
      </w:r>
      <w:r>
        <w:t xml:space="preserve">d’assistance, par exemple). Pour l’usage courant, retenir l’équivalence simplifiée</w:t>
      </w:r>
      <w:r>
        <w:t xml:space="preserve"> </w:t>
      </w:r>
      <w:r>
        <w:t xml:space="preserve">“un Pod héberge généralement un conteneur applicatif”</w:t>
      </w:r>
      <w:r>
        <w:t xml:space="preserve"> </w:t>
      </w:r>
      <w:r>
        <w:t xml:space="preserve">suffit largement à ce stade introductif.</w:t>
      </w:r>
    </w:p>
    <w:bookmarkEnd w:id="1035"/>
    <w:bookmarkStart w:id="1036" w:name="X88a7cca2bf4f92892d7325b16f8861c78978688"/>
    <w:p>
      <w:pPr>
        <w:pStyle w:val="Heading2"/>
      </w:pPr>
      <w:r>
        <w:t xml:space="preserve">42.5 Le Deployment : réplicas et mise à jour progressive</w:t>
      </w:r>
    </w:p>
    <w:p>
      <w:pPr>
        <w:pStyle w:val="FirstParagraph"/>
      </w:pPr>
      <w:r>
        <w:t xml:space="preserve">✅ La réponse directe à la coupure du scénario d’ouverture</w:t>
      </w:r>
      <w:r>
        <w:t xml:space="preserve"> </w:t>
      </w:r>
      <w:r>
        <w:t xml:space="preserve">Un</w:t>
      </w:r>
      <w:r>
        <w:t xml:space="preserve"> </w:t>
      </w:r>
      <w:r>
        <w:rPr>
          <w:b/>
          <w:bCs/>
        </w:rPr>
        <w:t xml:space="preserve">Deployment</w:t>
      </w:r>
      <w:r>
        <w:t xml:space="preserve"> </w:t>
      </w:r>
      <w:r>
        <w:t xml:space="preserve">déclare combien de</w:t>
      </w:r>
      <w:r>
        <w:t xml:space="preserve"> </w:t>
      </w:r>
      <w:r>
        <w:rPr>
          <w:b/>
          <w:bCs/>
        </w:rPr>
        <w:t xml:space="preserve">réplicas</w:t>
      </w:r>
      <w:r>
        <w:t xml:space="preserve"> </w:t>
      </w:r>
      <w:r>
        <w:t xml:space="preserve">(copies identiques) d’un Pod doivent tourner simultanément, et Kubernetes maintient continuellement ce nombre — si un Pod tombe en panne, un autre est automatiquement recréé pour compenser (section 42.7). Lors d’une mise à jour, un Deployment effectue par défaut une</w:t>
      </w:r>
      <w:r>
        <w:t xml:space="preserve"> </w:t>
      </w:r>
      <w:r>
        <w:rPr>
          <w:b/>
          <w:bCs/>
        </w:rPr>
        <w:t xml:space="preserve">mise à jour progressive</w:t>
      </w:r>
      <w:r>
        <w:t xml:space="preserve"> </w:t>
      </w:r>
      <w:r>
        <w:t xml:space="preserve">(</w:t>
      </w:r>
      <w:r>
        <w:rPr>
          <w:i/>
          <w:iCs/>
        </w:rPr>
        <w:t xml:space="preserve">rolling update</w:t>
      </w:r>
      <w:r>
        <w:t xml:space="preserve">) : de nouveaux Pods avec la nouvelle version démarrent progressivement, tandis que les anciens sont retirés un par un,</w:t>
      </w:r>
      <w:r>
        <w:t xml:space="preserve"> </w:t>
      </w:r>
      <w:r>
        <w:rPr>
          <w:b/>
          <w:bCs/>
        </w:rPr>
        <w:t xml:space="preserve">jamais tous simultanément</w:t>
      </w:r>
      <w:r>
        <w:t xml:space="preserve"> </w:t>
      </w:r>
      <w:r>
        <w:t xml:space="preserve">— éliminant exactement la coupure de service subie dans le scénario d’ouverture avec</w:t>
      </w:r>
      <w:r>
        <w:t xml:space="preserve"> </w:t>
      </w:r>
      <w:r>
        <w:rPr>
          <w:rStyle w:val="VerbatimChar"/>
        </w:rPr>
        <w:t xml:space="preserve">docker compose up -d --build</w:t>
      </w:r>
      <w:r>
        <w:t xml:space="preserve">.</w:t>
      </w:r>
    </w:p>
    <w:p>
      <w:pPr>
        <w:pStyle w:val="SourceCode"/>
      </w:pPr>
      <w:r>
        <w:rPr>
          <w:rStyle w:val="CommentTok"/>
        </w:rPr>
        <w:t xml:space="preserve"># Exemple simplifie d'un Deployment pour l'application du portail</w:t>
      </w:r>
      <w:r>
        <w:br/>
      </w:r>
      <w:r>
        <w:rPr>
          <w:rStyle w:val="FunctionTok"/>
        </w:rPr>
        <w:t xml:space="preserve">apiVersion</w:t>
      </w:r>
      <w:r>
        <w:rPr>
          <w:rStyle w:val="KeywordTok"/>
        </w:rPr>
        <w:t xml:space="preserve">:</w:t>
      </w:r>
      <w:r>
        <w:rPr>
          <w:rStyle w:val="AttributeTok"/>
        </w:rPr>
        <w:t xml:space="preserve"> apps/v1</w:t>
      </w:r>
      <w:r>
        <w:br/>
      </w:r>
      <w:r>
        <w:rPr>
          <w:rStyle w:val="FunctionTok"/>
        </w:rPr>
        <w:t xml:space="preserve">kind</w:t>
      </w:r>
      <w:r>
        <w:rPr>
          <w:rStyle w:val="KeywordTok"/>
        </w:rPr>
        <w:t xml:space="preserve">:</w:t>
      </w:r>
      <w:r>
        <w:rPr>
          <w:rStyle w:val="AttributeTok"/>
        </w:rPr>
        <w:t xml:space="preserve"> Deployment</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portail-app</w:t>
      </w:r>
      <w:r>
        <w:br/>
      </w:r>
      <w:r>
        <w:rPr>
          <w:rStyle w:val="FunctionTok"/>
        </w:rPr>
        <w:t xml:space="preserve">spec</w:t>
      </w:r>
      <w:r>
        <w:rPr>
          <w:rStyle w:val="KeywordTok"/>
        </w:rPr>
        <w:t xml:space="preserve">:</w:t>
      </w:r>
      <w:r>
        <w:br/>
      </w:r>
      <w:r>
        <w:rPr>
          <w:rStyle w:val="AttributeTok"/>
        </w:rPr>
        <w:t xml:space="preserve">  </w:t>
      </w:r>
      <w:r>
        <w:rPr>
          <w:rStyle w:val="FunctionTok"/>
        </w:rPr>
        <w:t xml:space="preserve">replicas</w:t>
      </w:r>
      <w:r>
        <w:rPr>
          <w:rStyle w:val="KeywordTok"/>
        </w:rPr>
        <w:t xml:space="preserve">:</w:t>
      </w:r>
      <w:r>
        <w:rPr>
          <w:rStyle w:val="AttributeTok"/>
        </w:rPr>
        <w:t xml:space="preserve"> </w:t>
      </w:r>
      <w:r>
        <w:rPr>
          <w:rStyle w:val="DecValTok"/>
        </w:rPr>
        <w:t xml:space="preserve">3</w:t>
      </w:r>
      <w:r>
        <w:br/>
      </w:r>
      <w:r>
        <w:rPr>
          <w:rStyle w:val="AttributeTok"/>
        </w:rPr>
        <w:t xml:space="preserve">  </w:t>
      </w:r>
      <w:r>
        <w:rPr>
          <w:rStyle w:val="FunctionTok"/>
        </w:rPr>
        <w:t xml:space="preserve">selector</w:t>
      </w:r>
      <w:r>
        <w:rPr>
          <w:rStyle w:val="KeywordTok"/>
        </w:rPr>
        <w:t xml:space="preserve">:</w:t>
      </w:r>
      <w:r>
        <w:br/>
      </w:r>
      <w:r>
        <w:rPr>
          <w:rStyle w:val="AttributeTok"/>
        </w:rPr>
        <w:t xml:space="preserve">    </w:t>
      </w:r>
      <w:r>
        <w:rPr>
          <w:rStyle w:val="FunctionTok"/>
        </w:rPr>
        <w:t xml:space="preserve">matchLabels</w:t>
      </w:r>
      <w:r>
        <w:rPr>
          <w:rStyle w:val="KeywordTok"/>
        </w:rPr>
        <w:t xml:space="preserve">:</w:t>
      </w:r>
      <w:r>
        <w:br/>
      </w:r>
      <w:r>
        <w:rPr>
          <w:rStyle w:val="AttributeTok"/>
        </w:rPr>
        <w:t xml:space="preserve">      </w:t>
      </w:r>
      <w:r>
        <w:rPr>
          <w:rStyle w:val="FunctionTok"/>
        </w:rPr>
        <w:t xml:space="preserve">app</w:t>
      </w:r>
      <w:r>
        <w:rPr>
          <w:rStyle w:val="KeywordTok"/>
        </w:rPr>
        <w:t xml:space="preserve">:</w:t>
      </w:r>
      <w:r>
        <w:rPr>
          <w:rStyle w:val="AttributeTok"/>
        </w:rPr>
        <w:t xml:space="preserve"> portail</w:t>
      </w:r>
      <w:r>
        <w:br/>
      </w:r>
      <w:r>
        <w:rPr>
          <w:rStyle w:val="AttributeTok"/>
        </w:rPr>
        <w:t xml:space="preserve">  </w:t>
      </w:r>
      <w:r>
        <w:rPr>
          <w:rStyle w:val="FunctionTok"/>
        </w:rPr>
        <w:t xml:space="preserve">template</w:t>
      </w:r>
      <w:r>
        <w:rPr>
          <w:rStyle w:val="KeywordTok"/>
        </w:rPr>
        <w:t xml:space="preserve">:</w:t>
      </w:r>
      <w:r>
        <w:br/>
      </w:r>
      <w:r>
        <w:rPr>
          <w:rStyle w:val="AttributeTok"/>
        </w:rPr>
        <w:t xml:space="preserve">    </w:t>
      </w:r>
      <w:r>
        <w:rPr>
          <w:rStyle w:val="FunctionTok"/>
        </w:rPr>
        <w:t xml:space="preserve">metadata</w:t>
      </w:r>
      <w:r>
        <w:rPr>
          <w:rStyle w:val="KeywordTok"/>
        </w:rPr>
        <w:t xml:space="preserve">:</w:t>
      </w:r>
      <w:r>
        <w:br/>
      </w:r>
      <w:r>
        <w:rPr>
          <w:rStyle w:val="AttributeTok"/>
        </w:rPr>
        <w:t xml:space="preserve">      </w:t>
      </w:r>
      <w:r>
        <w:rPr>
          <w:rStyle w:val="FunctionTok"/>
        </w:rPr>
        <w:t xml:space="preserve">labels</w:t>
      </w:r>
      <w:r>
        <w:rPr>
          <w:rStyle w:val="KeywordTok"/>
        </w:rPr>
        <w:t xml:space="preserve">:</w:t>
      </w:r>
      <w:r>
        <w:br/>
      </w:r>
      <w:r>
        <w:rPr>
          <w:rStyle w:val="AttributeTok"/>
        </w:rPr>
        <w:t xml:space="preserve">        </w:t>
      </w:r>
      <w:r>
        <w:rPr>
          <w:rStyle w:val="FunctionTok"/>
        </w:rPr>
        <w:t xml:space="preserve">app</w:t>
      </w:r>
      <w:r>
        <w:rPr>
          <w:rStyle w:val="KeywordTok"/>
        </w:rPr>
        <w:t xml:space="preserve">:</w:t>
      </w:r>
      <w:r>
        <w:rPr>
          <w:rStyle w:val="AttributeTok"/>
        </w:rPr>
        <w:t xml:space="preserve"> portail</w:t>
      </w:r>
      <w:r>
        <w:br/>
      </w:r>
      <w:r>
        <w:rPr>
          <w:rStyle w:val="AttributeTok"/>
        </w:rPr>
        <w:t xml:space="preserve">    </w:t>
      </w:r>
      <w:r>
        <w:rPr>
          <w:rStyle w:val="FunctionTok"/>
        </w:rPr>
        <w:t xml:space="preserve">spec</w:t>
      </w:r>
      <w:r>
        <w:rPr>
          <w:rStyle w:val="KeywordTok"/>
        </w:rPr>
        <w:t xml:space="preserve">:</w:t>
      </w:r>
      <w:r>
        <w:br/>
      </w:r>
      <w:r>
        <w:rPr>
          <w:rStyle w:val="AttributeTok"/>
        </w:rPr>
        <w:t xml:space="preserve">      </w:t>
      </w:r>
      <w:r>
        <w:rPr>
          <w:rStyle w:val="FunctionTok"/>
        </w:rPr>
        <w:t xml:space="preserve">containers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portail</w:t>
      </w:r>
      <w:r>
        <w:br/>
      </w:r>
      <w:r>
        <w:rPr>
          <w:rStyle w:val="AttributeTok"/>
        </w:rPr>
        <w:t xml:space="preserve">          </w:t>
      </w:r>
      <w:r>
        <w:rPr>
          <w:rStyle w:val="FunctionTok"/>
        </w:rPr>
        <w:t xml:space="preserve">image</w:t>
      </w:r>
      <w:r>
        <w:rPr>
          <w:rStyle w:val="KeywordTok"/>
        </w:rPr>
        <w:t xml:space="preserve">:</w:t>
      </w:r>
      <w:r>
        <w:rPr>
          <w:rStyle w:val="AttributeTok"/>
        </w:rPr>
        <w:t xml:space="preserve"> portail-client:1.0</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containerPort</w:t>
      </w:r>
      <w:r>
        <w:rPr>
          <w:rStyle w:val="KeywordTok"/>
        </w:rPr>
        <w:t xml:space="preserve">:</w:t>
      </w:r>
      <w:r>
        <w:rPr>
          <w:rStyle w:val="AttributeTok"/>
        </w:rPr>
        <w:t xml:space="preserve"> </w:t>
      </w:r>
      <w:r>
        <w:rPr>
          <w:rStyle w:val="DecValTok"/>
        </w:rPr>
        <w:t xml:space="preserve">3000</w:t>
      </w:r>
    </w:p>
    <w:bookmarkEnd w:id="1036"/>
    <w:bookmarkStart w:id="1037" w:name="Xc40e113be68aea9c29294185f598275500433c9"/>
    <w:p>
      <w:pPr>
        <w:pStyle w:val="Heading2"/>
      </w:pPr>
      <w:r>
        <w:t xml:space="preserve">42.6 Le Service : exposer les Pods de façon stable</w:t>
      </w:r>
    </w:p>
    <w:p>
      <w:pPr>
        <w:pStyle w:val="FirstParagraph"/>
      </w:pPr>
      <w:r>
        <w:t xml:space="preserve">💡 Un problème déjà résolu une fois, au chapitre 40</w:t>
      </w:r>
      <w:r>
        <w:t xml:space="preserve"> </w:t>
      </w:r>
      <w:r>
        <w:t xml:space="preserve">Les Pods sont par nature éphémères — recréés, remplacés, déplacés entre nœuds, chacun avec une adresse changeante. Un</w:t>
      </w:r>
      <w:r>
        <w:t xml:space="preserve"> </w:t>
      </w:r>
      <w:r>
        <w:rPr>
          <w:b/>
          <w:bCs/>
        </w:rPr>
        <w:t xml:space="preserve">Service</w:t>
      </w:r>
      <w:r>
        <w:t xml:space="preserve"> </w:t>
      </w:r>
      <w:r>
        <w:t xml:space="preserve">Kubernetes fournit un point d’accès stable et un nom DNS constant vers un ensemble de Pods correspondant à un label donné, répartissant automatiquement le trafic entre les réplicas disponibles — exactement le même besoin de résolution de noms stable déjà résolu par le réseau Docker au chapitre 40, mais à l’échelle de plusieurs nœuds physiques plutôt que d’un seul hôte.</w:t>
      </w:r>
    </w:p>
    <w:bookmarkEnd w:id="1037"/>
    <w:bookmarkStart w:id="1038" w:name="Xe17e4a80c80193c7741451bd9f03b029110cd84"/>
    <w:p>
      <w:pPr>
        <w:pStyle w:val="Heading2"/>
      </w:pPr>
      <w:r>
        <w:t xml:space="preserve">42.7 L’auto-guérison : Kubernetes redémarre ce qui échoue</w:t>
      </w:r>
    </w:p>
    <w:p>
      <w:pPr>
        <w:pStyle w:val="FirstParagraph"/>
      </w:pPr>
      <w:r>
        <w:t xml:space="preserve">🔒 Sécurité — un principe de haute disponibilité déjà rencontré, à un niveau différent</w:t>
      </w:r>
      <w:r>
        <w:t xml:space="preserve"> </w:t>
      </w:r>
      <w:r>
        <w:t xml:space="preserve">Rappel direct des chapitres 34-35 (HA VMware/Hyper-V, au niveau de la VM) et du chapitre 13 (Failover Clustering) : Kubernetes applique le même principe de tolérance de panne, mais au niveau applicatif plutôt qu’au niveau de la machine virtuelle ou physique entière. Si un Pod échoue (crash de l’application, healthcheck échoué), Kubernetes le redémarre automatiquement ; si un nœud entier tombe en panne, les Pods qu’il hébergeait sont recréés sur les nœuds restants disponibles — un mécanisme d’auto-guérison continu, sans intervention humaine nécessaire pour ce type d’incident courant.</w:t>
      </w:r>
    </w:p>
    <w:bookmarkEnd w:id="1038"/>
    <w:bookmarkStart w:id="1039" w:name="kubectl-premiers-pas"/>
    <w:p>
      <w:pPr>
        <w:pStyle w:val="Heading2"/>
      </w:pPr>
      <w:r>
        <w:t xml:space="preserve">42.8</w:t>
      </w:r>
      <w:r>
        <w:t xml:space="preserve"> </w:t>
      </w:r>
      <w:r>
        <w:rPr>
          <w:rStyle w:val="VerbatimChar"/>
        </w:rPr>
        <w:t xml:space="preserve">kubectl</w:t>
      </w:r>
      <w:r>
        <w:t xml:space="preserve"> </w:t>
      </w:r>
      <w:r>
        <w:t xml:space="preserve">: premiers pas</w:t>
      </w:r>
    </w:p>
    <w:p>
      <w:pPr>
        <w:pStyle w:val="SourceCode"/>
      </w:pPr>
      <w:r>
        <w:rPr>
          <w:rStyle w:val="VerbatimChar"/>
        </w:rPr>
        <w:t xml:space="preserve"># Voir l'etat des noeuds du cluster</w:t>
      </w:r>
      <w:r>
        <w:br/>
      </w:r>
      <w:r>
        <w:rPr>
          <w:rStyle w:val="VerbatimChar"/>
        </w:rPr>
        <w:t xml:space="preserve">kubectl get nodes</w:t>
      </w:r>
      <w:r>
        <w:br/>
      </w:r>
      <w:r>
        <w:br/>
      </w:r>
      <w:r>
        <w:rPr>
          <w:rStyle w:val="VerbatimChar"/>
        </w:rPr>
        <w:t xml:space="preserve"># Voir l'etat des Pods en cours d'execution</w:t>
      </w:r>
      <w:r>
        <w:br/>
      </w:r>
      <w:r>
        <w:rPr>
          <w:rStyle w:val="VerbatimChar"/>
        </w:rPr>
        <w:t xml:space="preserve">kubectl get pods</w:t>
      </w:r>
      <w:r>
        <w:br/>
      </w:r>
      <w:r>
        <w:br/>
      </w:r>
      <w:r>
        <w:rPr>
          <w:rStyle w:val="VerbatimChar"/>
        </w:rPr>
        <w:t xml:space="preserve"># Voir l'etat des Deployments</w:t>
      </w:r>
      <w:r>
        <w:br/>
      </w:r>
      <w:r>
        <w:rPr>
          <w:rStyle w:val="VerbatimChar"/>
        </w:rPr>
        <w:t xml:space="preserve">kubectl get deployments</w:t>
      </w:r>
      <w:r>
        <w:br/>
      </w:r>
      <w:r>
        <w:br/>
      </w:r>
      <w:r>
        <w:rPr>
          <w:rStyle w:val="VerbatimChar"/>
        </w:rPr>
        <w:t xml:space="preserve"># Consulter les journaux d'un Pod precis, exactement le meme</w:t>
      </w:r>
      <w:r>
        <w:br/>
      </w:r>
      <w:r>
        <w:rPr>
          <w:rStyle w:val="VerbatimChar"/>
        </w:rPr>
        <w:t xml:space="preserve"># reflexe de diagnostic que "docker compose logs" (chapitre 41)</w:t>
      </w:r>
      <w:r>
        <w:br/>
      </w:r>
      <w:r>
        <w:rPr>
          <w:rStyle w:val="VerbatimChar"/>
        </w:rPr>
        <w:t xml:space="preserve">kubectl logs nom-du-pod</w:t>
      </w:r>
    </w:p>
    <w:bookmarkEnd w:id="1039"/>
    <w:bookmarkStart w:id="1040" w:name="Xd6ebaaad46127c2df38eb0b4835a32bdaedff0e"/>
    <w:p>
      <w:pPr>
        <w:pStyle w:val="Heading2"/>
      </w:pPr>
      <w:r>
        <w:t xml:space="preserve">Le principe le plus important de ce chapitre : Kubernetes n’est pas toujours la bonne réponse</w:t>
      </w:r>
    </w:p>
    <w:p>
      <w:pPr>
        <w:pStyle w:val="FirstParagraph"/>
      </w:pPr>
      <w:r>
        <w:t xml:space="preserve">⚠️ Un coût de complexité réel, à ne jamais sous-estimer</w:t>
      </w:r>
      <w:r>
        <w:t xml:space="preserve"> </w:t>
      </w:r>
      <w:r>
        <w:t xml:space="preserve">Kubernetes résout des problèmes réels (section 42.1), mais introduit une complexité opérationnelle significative — un plan de contrôle à maintenir, un vocabulaire entièrement nouveau, une courbe d’apprentissage réelle pour l’équipe. Exactement le même principe de décision contextuelle appliqué à chaque choix technologique de ce manuel (chapitres 14, 27, 33, 36) : Kubernetes se justifie pour une application dont la charge, la criticité ou le besoin de haute disponibilité dépasse réellement ce que Docker Compose peut raisonnablement gérer — pas par défaut, et certainement pas</w:t>
      </w:r>
      <w:r>
        <w:t xml:space="preserve"> </w:t>
      </w:r>
      <w:r>
        <w:t xml:space="preserve">“parce que c’est la technologie la plus discutée du moment”</w:t>
      </w:r>
      <w:r>
        <w:t xml:space="preserve">.</w:t>
      </w:r>
    </w:p>
    <w:p>
      <w:pPr>
        <w:pStyle w:val="BodyText"/>
      </w:pPr>
      <w:r>
        <w:t xml:space="preserve">🧠 À mémoriser — le scénario d’ouverture justifie réellement ce choix</w:t>
      </w:r>
      <w:r>
        <w:t xml:space="preserve"> </w:t>
      </w:r>
      <w:r>
        <w:t xml:space="preserve">Le scénario d’ouverture de ce chapitre — un trafic qui dépasse la capacité d’un seul serveur, une exigence réelle de continuité de service pendant les déploiements — représente exactement le type de justification concrète qui rend Kubernetes pertinent, par opposition à une adoption anticipée</w:t>
      </w:r>
      <w:r>
        <w:t xml:space="preserve"> </w:t>
      </w:r>
      <w:r>
        <w:t xml:space="preserve">“au cas où”</w:t>
      </w:r>
      <w:r>
        <w:t xml:space="preserve">, pour une application qui n’aurait jamais réellement dépassé les capacités de Docker Compose.</w:t>
      </w:r>
    </w:p>
    <w:bookmarkEnd w:id="1040"/>
    <w:bookmarkStart w:id="1041" w:name="Xb3ee6239b93bd9155994b2be0896162c931acaf"/>
    <w:p>
      <w:pPr>
        <w:pStyle w:val="Heading2"/>
      </w:pPr>
      <w:r>
        <w:t xml:space="preserve">Atelier — Décider si Kubernetes se justifie pour d’autres services du manuel</w:t>
      </w:r>
    </w:p>
    <w:p>
      <w:pPr>
        <w:pStyle w:val="FirstParagraph"/>
      </w:pPr>
      <w:r>
        <w:t xml:space="preserve">🛠️ Atelier 42 — Appliquer le principe de décision contextuelle</w:t>
      </w:r>
    </w:p>
    <w:p>
      <w:pPr>
        <w:pStyle w:val="BodyText"/>
      </w:pPr>
      <w:r>
        <w:rPr>
          <w:b/>
          <w:bCs/>
        </w:rPr>
        <w:t xml:space="preserve">Objectif</w:t>
      </w:r>
      <w:r>
        <w:t xml:space="preserve"> </w:t>
      </w:r>
      <w:r>
        <w:t xml:space="preserve">: s’entraîner à juger objectivement si Kubernetes se justifie pour un service donné, plutôt que par réflexe technologique.</w:t>
      </w:r>
    </w:p>
    <w:p>
      <w:pPr>
        <w:pStyle w:val="BodyText"/>
      </w:pPr>
      <w:r>
        <w:rPr>
          <w:b/>
          <w:bCs/>
        </w:rPr>
        <w:t xml:space="preserve">Préparation</w:t>
      </w:r>
      <w:r>
        <w:t xml:space="preserve"> </w:t>
      </w:r>
      <w:r>
        <w:t xml:space="preserve">: aucune installation nécessaire.</w:t>
      </w:r>
    </w:p>
    <w:p>
      <w:pPr>
        <w:pStyle w:val="BodyText"/>
      </w:pPr>
      <w:r>
        <w:rPr>
          <w:b/>
          <w:bCs/>
        </w:rPr>
        <w:t xml:space="preserve">Étapes détaillées</w:t>
      </w:r>
      <w:r>
        <w:t xml:space="preserve"> </w:t>
      </w:r>
      <w:r>
        <w:t xml:space="preserve">:</w:t>
      </w:r>
    </w:p>
    <w:p>
      <w:pPr>
        <w:pStyle w:val="Compact"/>
        <w:numPr>
          <w:ilvl w:val="0"/>
          <w:numId w:val="1966"/>
        </w:numPr>
      </w:pPr>
      <w:r>
        <w:t xml:space="preserve">Pour chacun des services suivants déjà rencontrés dans ce manuel, juge si une migration vers Kubernetes se justifierait : (a) le portail client après la croissance de trafic du scénario d’ouverture ; (b) le serveur Rocky Linux de gestion documentaire (chapitre 19), à usage interne stable, sans pic de trafic notable ; (c) un environnement de test PostgreSQL recréé plusieurs fois par jour (atelier du chapitre 39).</w:t>
      </w:r>
    </w:p>
    <w:p>
      <w:pPr>
        <w:pStyle w:val="Compact"/>
        <w:numPr>
          <w:ilvl w:val="0"/>
          <w:numId w:val="1966"/>
        </w:numPr>
      </w:pPr>
      <w:r>
        <w:t xml:space="preserve">Compare tes réponses à la section</w:t>
      </w:r>
      <w:r>
        <w:t xml:space="preserve"> </w:t>
      </w:r>
      <w:r>
        <w:t xml:space="preserve">“Résultat attendu”</w:t>
      </w:r>
      <w:r>
        <w:t xml:space="preserve">.</w:t>
      </w:r>
    </w:p>
    <w:p>
      <w:pPr>
        <w:pStyle w:val="FirstParagraph"/>
      </w:pPr>
      <w:r>
        <w:rPr>
          <w:b/>
          <w:bCs/>
        </w:rPr>
        <w:t xml:space="preserve">Résultat attendu</w:t>
      </w:r>
      <w:r>
        <w:t xml:space="preserve"> </w:t>
      </w:r>
      <w:r>
        <w:t xml:space="preserve">: (a) Kubernetes se justifie clairement — la croissance de trafic et l’exigence de continuité de service pendant les déploiements correspondent exactement aux problèmes qu’il résout. (b) Kubernetes ne se justifie probablement pas pour ce service à usage interne stable, sans besoin de mise à l’échelle ni de déploiements fréquents sans interruption — Docker Compose, voire une installation directe (chapitre 15), resterait suffisant et plus simple à maintenir. (c) Kubernetes serait disproportionné pour un simple environnement de test éphémère — Docker seul (chapitre 39), sans même Compose, suffit largement à ce besoin ponctuel et léger.</w:t>
      </w:r>
    </w:p>
    <w:p>
      <w:pPr>
        <w:pStyle w:val="BodyText"/>
      </w:pPr>
      <w:r>
        <w:rPr>
          <w:b/>
          <w:bCs/>
        </w:rPr>
        <w:t xml:space="preserve">Dépannage</w:t>
      </w:r>
      <w:r>
        <w:t xml:space="preserve"> </w:t>
      </w:r>
      <w:r>
        <w:t xml:space="preserve">: si tu hésites sur un cas, reviens à la question centrale de la section</w:t>
      </w:r>
      <w:r>
        <w:t xml:space="preserve"> </w:t>
      </w:r>
      <w:r>
        <w:t xml:space="preserve">“Le principe le plus important de ce chapitre”</w:t>
      </w:r>
      <w:r>
        <w:t xml:space="preserve"> </w:t>
      </w:r>
      <w:r>
        <w:t xml:space="preserve">— le besoin dépasse-t-il réellement ce qu’un seul serveur avec Docker Compose peut gérer, ou l’attrait de Kubernetes vient-il principalement de sa popularité plutôt que d’un besoin concret démontré ?</w:t>
      </w:r>
    </w:p>
    <w:bookmarkEnd w:id="1041"/>
    <w:bookmarkStart w:id="1042" w:name="erreurs-fréquentes-41"/>
    <w:p>
      <w:pPr>
        <w:pStyle w:val="Heading2"/>
      </w:pPr>
      <w:r>
        <w:t xml:space="preserve">Erreurs fréquentes</w:t>
      </w:r>
    </w:p>
    <w:p>
      <w:pPr>
        <w:pStyle w:val="FirstParagraph"/>
      </w:pPr>
      <w:r>
        <w:t xml:space="preserve">⚠️ Erreur n°1 — adopter Kubernetes sans besoin réel démontré</w:t>
      </w:r>
      <w:r>
        <w:t xml:space="preserve"> </w:t>
      </w:r>
      <w:r>
        <w:t xml:space="preserve">Rappel de la section</w:t>
      </w:r>
      <w:r>
        <w:t xml:space="preserve"> </w:t>
      </w:r>
      <w:r>
        <w:t xml:space="preserve">“Le principe le plus important de ce chapitre”</w:t>
      </w:r>
      <w:r>
        <w:t xml:space="preserve"> </w:t>
      </w:r>
      <w:r>
        <w:t xml:space="preserve">— une des erreurs les plus fréquentes et les plus coûteuses en complexité opérationnelle inutile dans l’industrie, largement documentée.</w:t>
      </w:r>
    </w:p>
    <w:p>
      <w:pPr>
        <w:pStyle w:val="BodyText"/>
      </w:pPr>
      <w:r>
        <w:t xml:space="preserve">⚠️ Erreur n°2 — confondre Pod et conteneur systématiquement</w:t>
      </w:r>
      <w:r>
        <w:t xml:space="preserve"> </w:t>
      </w:r>
      <w:r>
        <w:t xml:space="preserve">Rappel de la section 42.4 : bien que souvent équivalents en pratique courante, un Pod est un concept Kubernetes distinct, capable techniquement de regrouper plusieurs conteneurs.</w:t>
      </w:r>
    </w:p>
    <w:p>
      <w:pPr>
        <w:pStyle w:val="BodyText"/>
      </w:pPr>
      <w:r>
        <w:t xml:space="preserve">⚠️ Erreur n°3 — sous-estimer la courbe d’apprentissage de l’équipe</w:t>
      </w:r>
      <w:r>
        <w:t xml:space="preserve"> </w:t>
      </w:r>
      <w:r>
        <w:t xml:space="preserve">Kubernetes introduit un vocabulaire et des concepts entièrement nouveaux — une migration réussie nécessite un investissement réel de formation de l’équipe, jamais une simple bascule technique du jour au lendemain sans préparation.</w:t>
      </w:r>
    </w:p>
    <w:bookmarkEnd w:id="1042"/>
    <w:bookmarkStart w:id="1043" w:name="diagnostiquer-un-pod-qui-ne-démarre-pas"/>
    <w:p>
      <w:pPr>
        <w:pStyle w:val="Heading2"/>
      </w:pPr>
      <w:r>
        <w:t xml:space="preserve">Diagnostiquer un Pod qui ne démarre pas</w:t>
      </w:r>
    </w:p>
    <w:p>
      <w:pPr>
        <w:pStyle w:val="FirstParagraph"/>
      </w:pPr>
      <w:r>
        <w:t xml:space="preserve">🩺 Symptôme : un Pod reste en état</w:t>
      </w:r>
      <w:r>
        <w:t xml:space="preserve"> </w:t>
      </w:r>
      <w:r>
        <w:t xml:space="preserve">“CrashLoopBackOff”</w:t>
      </w:r>
    </w:p>
    <w:p>
      <w:pPr>
        <w:pStyle w:val="Compact"/>
        <w:numPr>
          <w:ilvl w:val="0"/>
          <w:numId w:val="1967"/>
        </w:numPr>
      </w:pPr>
      <w:r>
        <w:rPr>
          <w:b/>
          <w:bCs/>
        </w:rPr>
        <w:t xml:space="preserve">Diagnostic</w:t>
      </w:r>
      <w:r>
        <w:t xml:space="preserve"> </w:t>
      </w:r>
      <w:r>
        <w:t xml:space="preserve">: cet état indique que le conteneur du Pod démarre puis s’arrête de façon répétée, exactement le même symptôme déjà rencontré au chapitre 39 pour un conteneur Docker isolé, mais avec le mécanisme de redémarrage automatique de Kubernetes rendant le cycle visible et répété.</w:t>
      </w:r>
    </w:p>
    <w:p>
      <w:pPr>
        <w:pStyle w:val="Compact"/>
        <w:numPr>
          <w:ilvl w:val="0"/>
          <w:numId w:val="1967"/>
        </w:numPr>
      </w:pPr>
      <w:r>
        <w:rPr>
          <w:b/>
          <w:bCs/>
        </w:rPr>
        <w:t xml:space="preserve">Comment vérifier</w:t>
      </w:r>
      <w:r>
        <w:t xml:space="preserve"> </w:t>
      </w:r>
      <w:r>
        <w:t xml:space="preserve">:</w:t>
      </w:r>
      <w:r>
        <w:t xml:space="preserve"> </w:t>
      </w:r>
      <w:r>
        <w:rPr>
          <w:rStyle w:val="VerbatimChar"/>
        </w:rPr>
        <w:t xml:space="preserve">kubectl logs nom-du-pod</w:t>
      </w:r>
      <w:r>
        <w:t xml:space="preserve"> </w:t>
      </w:r>
      <w:r>
        <w:t xml:space="preserve">révèle la sortie du conteneur au moment de son échec — la même démarche de diagnostic que</w:t>
      </w:r>
      <w:r>
        <w:t xml:space="preserve"> </w:t>
      </w:r>
      <w:r>
        <w:rPr>
          <w:rStyle w:val="VerbatimChar"/>
        </w:rPr>
        <w:t xml:space="preserve">docker logs</w:t>
      </w:r>
      <w:r>
        <w:t xml:space="preserve"> </w:t>
      </w:r>
      <w:r>
        <w:t xml:space="preserve">déjà pratiquée au chapitre 39, transposée à Kubernetes.</w:t>
      </w:r>
    </w:p>
    <w:p>
      <w:pPr>
        <w:pStyle w:val="Compact"/>
        <w:numPr>
          <w:ilvl w:val="0"/>
          <w:numId w:val="1967"/>
        </w:numPr>
      </w:pPr>
      <w:r>
        <w:rPr>
          <w:b/>
          <w:bCs/>
        </w:rPr>
        <w:t xml:space="preserve">Résolution</w:t>
      </w:r>
      <w:r>
        <w:t xml:space="preserve"> </w:t>
      </w:r>
      <w:r>
        <w:t xml:space="preserve">: corriger la cause identifiée dans les journaux (configuration manquante, dépendance non disponible, erreur applicative) avant que Kubernetes ne retente automatiquement le démarrage du Pod.</w:t>
      </w:r>
    </w:p>
    <w:bookmarkEnd w:id="1043"/>
    <w:bookmarkStart w:id="1044" w:name="en-entreprise-41"/>
    <w:p>
      <w:pPr>
        <w:pStyle w:val="Heading2"/>
      </w:pPr>
      <w:r>
        <w:t xml:space="preserve">En entreprise</w:t>
      </w:r>
    </w:p>
    <w:p>
      <w:pPr>
        <w:pStyle w:val="Compact"/>
        <w:numPr>
          <w:ilvl w:val="0"/>
          <w:numId w:val="1968"/>
        </w:numPr>
      </w:pPr>
      <w:r>
        <w:rPr>
          <w:b/>
          <w:bCs/>
        </w:rPr>
        <w:t xml:space="preserve">Bonne pratique répandue</w:t>
      </w:r>
      <w:r>
        <w:t xml:space="preserve"> </w:t>
      </w:r>
      <w:r>
        <w:t xml:space="preserve">: ne migrer vers Kubernetes qu’après avoir concrètement rencontré les limites de Docker Compose (section 42.1), jamais par anticipation d’un besoin hypothétique non démontré.</w:t>
      </w:r>
    </w:p>
    <w:p>
      <w:pPr>
        <w:pStyle w:val="Compact"/>
        <w:numPr>
          <w:ilvl w:val="0"/>
          <w:numId w:val="1968"/>
        </w:numPr>
      </w:pPr>
      <w:r>
        <w:rPr>
          <w:b/>
          <w:bCs/>
        </w:rPr>
        <w:t xml:space="preserve">Bonne pratique répandue</w:t>
      </w:r>
      <w:r>
        <w:t xml:space="preserve"> </w:t>
      </w:r>
      <w:r>
        <w:t xml:space="preserve">: investir dans la formation de l’équipe avant une migration Kubernetes en production — une adoption précipitée sans compétence suffisante génère souvent plus d’incidents que le problème initial qu’elle était censée résoudre.</w:t>
      </w:r>
    </w:p>
    <w:p>
      <w:pPr>
        <w:pStyle w:val="Compact"/>
        <w:numPr>
          <w:ilvl w:val="0"/>
          <w:numId w:val="1968"/>
        </w:numPr>
      </w:pPr>
      <w:r>
        <w:rPr>
          <w:b/>
          <w:bCs/>
        </w:rPr>
        <w:t xml:space="preserve">Erreur classique observée</w:t>
      </w:r>
      <w:r>
        <w:t xml:space="preserve"> </w:t>
      </w:r>
      <w:r>
        <w:t xml:space="preserve">: des organisations qui migrent vers Kubernetes pour une seule petite application à faible trafic,</w:t>
      </w:r>
      <w:r>
        <w:t xml:space="preserve"> </w:t>
      </w:r>
      <w:r>
        <w:t xml:space="preserve">“pour suivre la tendance du marché”</w:t>
      </w:r>
      <w:r>
        <w:t xml:space="preserve">, supportant ensuite une complexité opérationnelle disproportionnée par rapport au bénéfice réel obtenu.</w:t>
      </w:r>
    </w:p>
    <w:bookmarkEnd w:id="1044"/>
    <w:bookmarkStart w:id="1045" w:name="entretien-technique-41"/>
    <w:p>
      <w:pPr>
        <w:pStyle w:val="Heading2"/>
      </w:pPr>
      <w:r>
        <w:t xml:space="preserve">Entretien technique</w:t>
      </w:r>
    </w:p>
    <w:p>
      <w:pPr>
        <w:pStyle w:val="FirstParagraph"/>
      </w:pPr>
      <w:r>
        <w:t xml:space="preserve">💼 Questions fréquemment posées en entretien</w:t>
      </w:r>
    </w:p>
    <w:p>
      <w:pPr>
        <w:pStyle w:val="BodyText"/>
      </w:pPr>
      <w:r>
        <w:rPr>
          <w:b/>
          <w:bCs/>
        </w:rPr>
        <w:t xml:space="preserve">Q1.</w:t>
      </w:r>
      <w:r>
        <w:rPr>
          <w:b/>
          <w:bCs/>
        </w:rPr>
        <w:t xml:space="preserve"> </w:t>
      </w:r>
      <w:r>
        <w:rPr>
          <w:b/>
          <w:bCs/>
        </w:rPr>
        <w:t xml:space="preserve">“Quand choisirais-tu Kubernetes plutôt que Docker Compose ?”</w:t>
      </w:r>
      <w:r>
        <w:t xml:space="preserve"> </w:t>
      </w:r>
      <w:r>
        <w:t xml:space="preserve">Réponse attendue : quand le besoin dépasse réellement ce qu’un seul serveur peut gérer — répartition de charge sur plusieurs machines, exigence de continuité de service pendant les déploiements (rolling update), auto-guérison automatique en cas de panne — jamais par défaut ou par simple popularité de l’outil.</w:t>
      </w:r>
    </w:p>
    <w:p>
      <w:pPr>
        <w:pStyle w:val="BodyText"/>
      </w:pPr>
      <w:r>
        <w:rPr>
          <w:b/>
          <w:bCs/>
        </w:rPr>
        <w:t xml:space="preserve">Q2.</w:t>
      </w:r>
      <w:r>
        <w:rPr>
          <w:b/>
          <w:bCs/>
        </w:rPr>
        <w:t xml:space="preserve"> </w:t>
      </w:r>
      <w:r>
        <w:rPr>
          <w:b/>
          <w:bCs/>
        </w:rPr>
        <w:t xml:space="preserve">“Qu’est-ce qu’un Deployment Kubernetes, et en quoi diffère-t-il d’un simple Pod ?”</w:t>
      </w:r>
      <w:r>
        <w:t xml:space="preserve"> </w:t>
      </w:r>
      <w:r>
        <w:t xml:space="preserve">Réponse attendue : un Deployment déclare un nombre désiré de réplicas d’un Pod et maintient continuellement cet état, gérant automatiquement les mises à jour progressives et le remplacement des Pods défaillants — un Pod seul, sans Deployment, ne bénéficie ni de la réplication ni de l’auto-guérison automatique.</w:t>
      </w:r>
    </w:p>
    <w:p>
      <w:pPr>
        <w:pStyle w:val="BodyText"/>
      </w:pPr>
      <w:r>
        <w:rPr>
          <w:b/>
          <w:bCs/>
        </w:rPr>
        <w:t xml:space="preserve">Q3.</w:t>
      </w:r>
      <w:r>
        <w:rPr>
          <w:b/>
          <w:bCs/>
        </w:rPr>
        <w:t xml:space="preserve"> </w:t>
      </w:r>
      <w:r>
        <w:rPr>
          <w:b/>
          <w:bCs/>
        </w:rPr>
        <w:t xml:space="preserve">“Pourquoi un Service Kubernetes est-il nécessaire, alors que les Pods pourraient communiquer directement ?”</w:t>
      </w:r>
      <w:r>
        <w:t xml:space="preserve"> </w:t>
      </w:r>
      <w:r>
        <w:t xml:space="preserve">Réponse attendue : les Pods sont éphémères, recréés avec une adresse potentiellement différente à chaque fois — un Service fournit un point d’accès stable et un nom DNS constant vers un ensemble de Pods, indépendant des changements individuels de chaque Pod sous-jacent.</w:t>
      </w:r>
    </w:p>
    <w:bookmarkEnd w:id="1045"/>
    <w:bookmarkStart w:id="1046" w:name="Xa881ddc210ccd33891e2c45c5c75202b7a6eb37"/>
    <w:p>
      <w:pPr>
        <w:pStyle w:val="Heading2"/>
      </w:pPr>
      <w:r>
        <w:t xml:space="preserve">Optimisation, sécurité et maintenabilité — les réflexes dès ce chapitre</w:t>
      </w:r>
    </w:p>
    <w:p>
      <w:pPr>
        <w:pStyle w:val="FirstParagraph"/>
      </w:pPr>
      <w:r>
        <w:t xml:space="preserve">🔒 Sécurité</w:t>
      </w:r>
      <w:r>
        <w:t xml:space="preserve"> </w:t>
      </w:r>
      <w:r>
        <w:t xml:space="preserve">N’adopte Kubernetes qu’avec une équipe suffisamment formée pour le sécuriser correctement — un cluster mal configuré (accès non restreints, secrets mal gérés, un sujet approfondi au chapitre 44) peut introduire des risques de sécurité significatifs, plus complexes à maîtriser qu’une architecture Docker Compose plus simple.</w:t>
      </w:r>
    </w:p>
    <w:p>
      <w:pPr>
        <w:pStyle w:val="BodyText"/>
      </w:pPr>
      <w:r>
        <w:t xml:space="preserve">✅ Maintenabilité</w:t>
      </w:r>
      <w:r>
        <w:t xml:space="preserve"> </w:t>
      </w:r>
      <w:r>
        <w:t xml:space="preserve">Documente (chapitre 3) explicitement la justification du choix de Kubernetes pour chaque application migrée — le besoin concret démontré (comme la croissance de trafic du scénario d’ouverture), pas une décision implicite ou héritée sans réflexion consciente.</w:t>
      </w:r>
    </w:p>
    <w:p>
      <w:pPr>
        <w:pStyle w:val="BodyText"/>
      </w:pPr>
      <w:r>
        <w:t xml:space="preserve">🚀 Performance</w:t>
      </w:r>
      <w:r>
        <w:t xml:space="preserve"> </w:t>
      </w:r>
      <w:r>
        <w:t xml:space="preserve">L’auto-guérison et la répartition de charge de Kubernetes (sections 42.6-42.7) n’ont de valeur réelle que si le cluster dispose de suffisamment de nœuds et de ressources pour absorber la perte d’un nœud — un cluster à un seul nœud n’offre aucune des garanties de haute disponibilité qui justifient normalement l’adoption de Kubernetes.</w:t>
      </w:r>
    </w:p>
    <w:bookmarkEnd w:id="1046"/>
    <w:bookmarkStart w:id="1047" w:name="résumé-du-chapitre-41"/>
    <w:p>
      <w:pPr>
        <w:pStyle w:val="Heading2"/>
      </w:pPr>
      <w:r>
        <w:t xml:space="preserve">Résumé du chapitre</w:t>
      </w:r>
    </w:p>
    <w:p>
      <w:pPr>
        <w:pStyle w:val="Compact"/>
        <w:numPr>
          <w:ilvl w:val="0"/>
          <w:numId w:val="1969"/>
        </w:numPr>
      </w:pPr>
      <w:r>
        <w:t xml:space="preserve">Kubernetes orchestre des conteneurs à travers plusieurs machines, résolvant les limites de Docker Compose : répartition de charge multi-serveurs et mises à jour progressives sans interruption.</w:t>
      </w:r>
    </w:p>
    <w:p>
      <w:pPr>
        <w:pStyle w:val="Compact"/>
        <w:numPr>
          <w:ilvl w:val="0"/>
          <w:numId w:val="1969"/>
        </w:numPr>
      </w:pPr>
      <w:r>
        <w:t xml:space="preserve">L’architecture de base distingue le plan de contrôle (décisions) des nœuds de travail (exécution des Pods).</w:t>
      </w:r>
    </w:p>
    <w:p>
      <w:pPr>
        <w:pStyle w:val="Compact"/>
        <w:numPr>
          <w:ilvl w:val="0"/>
          <w:numId w:val="1969"/>
        </w:numPr>
      </w:pPr>
      <w:r>
        <w:t xml:space="preserve">Un Pod est la plus petite unité déployable ; un Deployment gère ses réplicas et ses mises à jour progressives ; un Service fournit un point d’accès stable.</w:t>
      </w:r>
    </w:p>
    <w:p>
      <w:pPr>
        <w:pStyle w:val="Compact"/>
        <w:numPr>
          <w:ilvl w:val="0"/>
          <w:numId w:val="1969"/>
        </w:numPr>
      </w:pPr>
      <w:r>
        <w:t xml:space="preserve">L’auto-guérison redémarre automatiquement un Pod défaillant ou le recrée sur un autre nœud en cas de panne — le même principe de haute disponibilité déjà rencontré en Partie 6, appliqué au niveau applicatif.</w:t>
      </w:r>
    </w:p>
    <w:p>
      <w:pPr>
        <w:pStyle w:val="Compact"/>
        <w:numPr>
          <w:ilvl w:val="0"/>
          <w:numId w:val="1969"/>
        </w:numPr>
      </w:pPr>
      <w:r>
        <w:t xml:space="preserve">Kubernetes introduit une complexité opérationnelle réelle — son adoption doit toujours répondre à un besoin concret démontré, jamais par défaut ou par simple tendance du marché.</w:t>
      </w:r>
    </w:p>
    <w:bookmarkEnd w:id="1047"/>
    <w:bookmarkStart w:id="1048" w:name="quiz-41"/>
    <w:p>
      <w:pPr>
        <w:pStyle w:val="Heading2"/>
      </w:pPr>
      <w:r>
        <w:t xml:space="preserve">Quiz</w:t>
      </w:r>
    </w:p>
    <w:p>
      <w:pPr>
        <w:pStyle w:val="FirstParagraph"/>
      </w:pPr>
      <w:r>
        <w:t xml:space="preserve">📝 QCM (une seule bonne réponse par question)</w:t>
      </w:r>
    </w:p>
    <w:p>
      <w:pPr>
        <w:pStyle w:val="Compact"/>
        <w:numPr>
          <w:ilvl w:val="0"/>
          <w:numId w:val="1970"/>
        </w:numPr>
      </w:pPr>
      <w:r>
        <w:t xml:space="preserve">Kubernetes résout principalement les limites de Docker Compose liées à :</w:t>
      </w:r>
    </w:p>
    <w:p>
      <w:pPr>
        <w:pStyle w:val="Compact"/>
        <w:numPr>
          <w:ilvl w:val="1"/>
          <w:numId w:val="1971"/>
        </w:numPr>
      </w:pPr>
    </w:p>
    <w:p>
      <w:pPr>
        <w:pStyle w:val="Compact"/>
        <w:numPr>
          <w:ilvl w:val="2"/>
          <w:numId w:val="1972"/>
        </w:numPr>
      </w:pPr>
      <w:r>
        <w:t xml:space="preserve">La sécurité des images</w:t>
      </w:r>
    </w:p>
    <w:p>
      <w:pPr>
        <w:pStyle w:val="Compact"/>
        <w:numPr>
          <w:ilvl w:val="1"/>
          <w:numId w:val="1971"/>
        </w:numPr>
      </w:pPr>
    </w:p>
    <w:p>
      <w:pPr>
        <w:pStyle w:val="Compact"/>
        <w:numPr>
          <w:ilvl w:val="2"/>
          <w:numId w:val="1973"/>
        </w:numPr>
      </w:pPr>
      <w:r>
        <w:t xml:space="preserve">L’orchestration sur une seule machine et l’absence de mise à jour progressive native</w:t>
      </w:r>
    </w:p>
    <w:p>
      <w:pPr>
        <w:pStyle w:val="Compact"/>
        <w:numPr>
          <w:ilvl w:val="1"/>
          <w:numId w:val="1971"/>
        </w:numPr>
      </w:pPr>
    </w:p>
    <w:p>
      <w:pPr>
        <w:pStyle w:val="Compact"/>
        <w:numPr>
          <w:ilvl w:val="2"/>
          <w:numId w:val="1974"/>
        </w:numPr>
      </w:pPr>
      <w:r>
        <w:t xml:space="preserve">Le coût des licences</w:t>
      </w:r>
    </w:p>
    <w:p>
      <w:pPr>
        <w:pStyle w:val="Compact"/>
        <w:numPr>
          <w:ilvl w:val="1"/>
          <w:numId w:val="1971"/>
        </w:numPr>
      </w:pPr>
    </w:p>
    <w:p>
      <w:pPr>
        <w:pStyle w:val="Compact"/>
        <w:numPr>
          <w:ilvl w:val="2"/>
          <w:numId w:val="1975"/>
        </w:numPr>
      </w:pPr>
      <w:r>
        <w:t xml:space="preserve">La compatibilité avec Windows</w:t>
      </w:r>
    </w:p>
    <w:p>
      <w:pPr>
        <w:pStyle w:val="Compact"/>
        <w:numPr>
          <w:ilvl w:val="0"/>
          <w:numId w:val="1970"/>
        </w:numPr>
      </w:pPr>
      <w:r>
        <w:t xml:space="preserve">Un Deployment Kubernetes sert à :</w:t>
      </w:r>
    </w:p>
    <w:p>
      <w:pPr>
        <w:pStyle w:val="Compact"/>
        <w:numPr>
          <w:ilvl w:val="1"/>
          <w:numId w:val="1976"/>
        </w:numPr>
      </w:pPr>
    </w:p>
    <w:p>
      <w:pPr>
        <w:pStyle w:val="Compact"/>
        <w:numPr>
          <w:ilvl w:val="2"/>
          <w:numId w:val="1977"/>
        </w:numPr>
      </w:pPr>
      <w:r>
        <w:t xml:space="preserve">Créer un seul conteneur isolé</w:t>
      </w:r>
    </w:p>
    <w:p>
      <w:pPr>
        <w:pStyle w:val="Compact"/>
        <w:numPr>
          <w:ilvl w:val="1"/>
          <w:numId w:val="1976"/>
        </w:numPr>
      </w:pPr>
    </w:p>
    <w:p>
      <w:pPr>
        <w:pStyle w:val="Compact"/>
        <w:numPr>
          <w:ilvl w:val="2"/>
          <w:numId w:val="1978"/>
        </w:numPr>
      </w:pPr>
      <w:r>
        <w:t xml:space="preserve">Gérer un nombre désiré de réplicas et les mises à jour progressives d’un Pod</w:t>
      </w:r>
    </w:p>
    <w:p>
      <w:pPr>
        <w:pStyle w:val="Compact"/>
        <w:numPr>
          <w:ilvl w:val="1"/>
          <w:numId w:val="1976"/>
        </w:numPr>
      </w:pPr>
    </w:p>
    <w:p>
      <w:pPr>
        <w:pStyle w:val="Compact"/>
        <w:numPr>
          <w:ilvl w:val="2"/>
          <w:numId w:val="1979"/>
        </w:numPr>
      </w:pPr>
      <w:r>
        <w:t xml:space="preserve">Configurer uniquement le réseau</w:t>
      </w:r>
    </w:p>
    <w:p>
      <w:pPr>
        <w:pStyle w:val="Compact"/>
        <w:numPr>
          <w:ilvl w:val="1"/>
          <w:numId w:val="1976"/>
        </w:numPr>
      </w:pPr>
    </w:p>
    <w:p>
      <w:pPr>
        <w:pStyle w:val="Compact"/>
        <w:numPr>
          <w:ilvl w:val="2"/>
          <w:numId w:val="1980"/>
        </w:numPr>
      </w:pPr>
      <w:r>
        <w:t xml:space="preserve">Remplacer entièrement un Service</w:t>
      </w:r>
    </w:p>
    <w:p>
      <w:pPr>
        <w:pStyle w:val="Compact"/>
        <w:numPr>
          <w:ilvl w:val="0"/>
          <w:numId w:val="1970"/>
        </w:numPr>
      </w:pPr>
      <w:r>
        <w:t xml:space="preserve">La bonne pratique concernant l’adoption de Kubernetes est de :</w:t>
      </w:r>
    </w:p>
    <w:p>
      <w:pPr>
        <w:pStyle w:val="Compact"/>
        <w:numPr>
          <w:ilvl w:val="1"/>
          <w:numId w:val="1981"/>
        </w:numPr>
      </w:pPr>
    </w:p>
    <w:p>
      <w:pPr>
        <w:pStyle w:val="Compact"/>
        <w:numPr>
          <w:ilvl w:val="2"/>
          <w:numId w:val="1982"/>
        </w:numPr>
      </w:pPr>
      <w:r>
        <w:t xml:space="preserve">L’adopter systématiquement pour toute nouvelle application</w:t>
      </w:r>
    </w:p>
    <w:p>
      <w:pPr>
        <w:pStyle w:val="Compact"/>
        <w:numPr>
          <w:ilvl w:val="1"/>
          <w:numId w:val="1981"/>
        </w:numPr>
      </w:pPr>
    </w:p>
    <w:p>
      <w:pPr>
        <w:pStyle w:val="Compact"/>
        <w:numPr>
          <w:ilvl w:val="2"/>
          <w:numId w:val="1983"/>
        </w:numPr>
      </w:pPr>
      <w:r>
        <w:t xml:space="preserve">L’adopter uniquement face à un besoin concret démontré, jamais par défaut</w:t>
      </w:r>
    </w:p>
    <w:p>
      <w:pPr>
        <w:pStyle w:val="Compact"/>
        <w:numPr>
          <w:ilvl w:val="1"/>
          <w:numId w:val="1981"/>
        </w:numPr>
      </w:pPr>
    </w:p>
    <w:p>
      <w:pPr>
        <w:pStyle w:val="Compact"/>
        <w:numPr>
          <w:ilvl w:val="2"/>
          <w:numId w:val="1984"/>
        </w:numPr>
      </w:pPr>
      <w:r>
        <w:t xml:space="preserve">L’éviter dans tous les cas au profit de Docker Compose</w:t>
      </w:r>
    </w:p>
    <w:p>
      <w:pPr>
        <w:pStyle w:val="Compact"/>
        <w:numPr>
          <w:ilvl w:val="1"/>
          <w:numId w:val="1981"/>
        </w:numPr>
      </w:pPr>
    </w:p>
    <w:p>
      <w:pPr>
        <w:pStyle w:val="Compact"/>
        <w:numPr>
          <w:ilvl w:val="2"/>
          <w:numId w:val="1985"/>
        </w:numPr>
      </w:pPr>
      <w:r>
        <w:t xml:space="preserve">L’utiliser uniquement pour des environnements de test</w:t>
      </w:r>
    </w:p>
    <w:p>
      <w:pPr>
        <w:pStyle w:val="FirstParagraph"/>
      </w:pPr>
      <w:r>
        <w:rPr>
          <w:b/>
          <w:bCs/>
        </w:rPr>
        <w:t xml:space="preserve">Corrigé</w:t>
      </w:r>
      <w:r>
        <w:t xml:space="preserve"> </w:t>
      </w:r>
      <w:r>
        <w:t xml:space="preserve">: 1-b, 2-b, 3-b.</w:t>
      </w:r>
    </w:p>
    <w:p>
      <w:pPr>
        <w:pStyle w:val="BodyText"/>
      </w:pPr>
      <w:r>
        <w:t xml:space="preserve">📝 Vrai ou Faux</w:t>
      </w:r>
    </w:p>
    <w:p>
      <w:pPr>
        <w:pStyle w:val="Compact"/>
        <w:numPr>
          <w:ilvl w:val="0"/>
          <w:numId w:val="1986"/>
        </w:numPr>
      </w:pPr>
      <w:r>
        <w:t xml:space="preserve">Un Pod héberge généralement un seul conteneur, bien qu’il puisse techniquement en regrouper plusieurs. —</w:t>
      </w:r>
      <w:r>
        <w:t xml:space="preserve"> </w:t>
      </w:r>
      <w:r>
        <w:rPr>
          <w:b/>
          <w:bCs/>
        </w:rPr>
        <w:t xml:space="preserve">Vrai</w:t>
      </w:r>
      <w:r>
        <w:t xml:space="preserve">.</w:t>
      </w:r>
    </w:p>
    <w:p>
      <w:pPr>
        <w:pStyle w:val="Compact"/>
        <w:numPr>
          <w:ilvl w:val="0"/>
          <w:numId w:val="1986"/>
        </w:numPr>
      </w:pPr>
      <w:r>
        <w:t xml:space="preserve">Docker Compose peut nativement répartir des conteneurs sur plusieurs serveurs physiques distincts. —</w:t>
      </w:r>
      <w:r>
        <w:t xml:space="preserve"> </w:t>
      </w:r>
      <w:r>
        <w:rPr>
          <w:b/>
          <w:bCs/>
        </w:rPr>
        <w:t xml:space="preserve">Faux</w:t>
      </w:r>
      <w:r>
        <w:t xml:space="preserve"> </w:t>
      </w:r>
      <w:r>
        <w:t xml:space="preserve">(limité à une seule machine, section 42.1).</w:t>
      </w:r>
    </w:p>
    <w:p>
      <w:pPr>
        <w:pStyle w:val="Compact"/>
        <w:numPr>
          <w:ilvl w:val="0"/>
          <w:numId w:val="1986"/>
        </w:numPr>
      </w:pPr>
      <w:r>
        <w:t xml:space="preserve">Un Service Kubernetes fournit un point d’accès stable, indépendant des changements individuels de chaque Pod. —</w:t>
      </w:r>
      <w:r>
        <w:t xml:space="preserve"> </w:t>
      </w:r>
      <w:r>
        <w:rPr>
          <w:b/>
          <w:bCs/>
        </w:rPr>
        <w:t xml:space="preserve">Vrai</w:t>
      </w:r>
      <w:r>
        <w:t xml:space="preserve">.</w:t>
      </w:r>
    </w:p>
    <w:p>
      <w:pPr>
        <w:pStyle w:val="Compact"/>
        <w:numPr>
          <w:ilvl w:val="0"/>
          <w:numId w:val="1986"/>
        </w:numPr>
      </w:pPr>
      <w:r>
        <w:t xml:space="preserve">Kubernetes devrait être adopté par défaut pour toute nouvelle application, quelle que soit sa charge attendue. —</w:t>
      </w:r>
      <w:r>
        <w:t xml:space="preserve"> </w:t>
      </w:r>
      <w:r>
        <w:rPr>
          <w:b/>
          <w:bCs/>
        </w:rPr>
        <w:t xml:space="preserve">Faux</w:t>
      </w:r>
      <w:r>
        <w:t xml:space="preserve"> </w:t>
      </w:r>
      <w:r>
        <w:t xml:space="preserve">(uniquement face à un besoin concret démontré).</w:t>
      </w:r>
    </w:p>
    <w:p>
      <w:pPr>
        <w:pStyle w:val="FirstParagraph"/>
      </w:pPr>
      <w:r>
        <w:t xml:space="preserve">📝 Questions ouvertes</w:t>
      </w:r>
    </w:p>
    <w:p>
      <w:pPr>
        <w:pStyle w:val="Compact"/>
        <w:numPr>
          <w:ilvl w:val="0"/>
          <w:numId w:val="1987"/>
        </w:numPr>
      </w:pPr>
      <w:r>
        <w:t xml:space="preserve">Explique pourquoi la coupure de service du scénario d’ouverture ne se serait pas produite avec un Deployment Kubernetes correctement configuré.</w:t>
      </w:r>
    </w:p>
    <w:p>
      <w:pPr>
        <w:pStyle w:val="Compact"/>
        <w:numPr>
          <w:ilvl w:val="0"/>
          <w:numId w:val="1987"/>
        </w:numPr>
      </w:pPr>
      <w:r>
        <w:t xml:space="preserve">Reprends l’atelier de ce chapitre. Explique pourquoi migrer le serveur de gestion documentaire (chapitre 19) vers Kubernetes serait probablement une mauvaise décision, malgré les capacités réelles et impressionnantes de l’outil.</w:t>
      </w:r>
    </w:p>
    <w:p>
      <w:pPr>
        <w:pStyle w:val="FirstParagraph"/>
      </w:pPr>
      <w:r>
        <w:rPr>
          <w:b/>
          <w:bCs/>
        </w:rPr>
        <w:t xml:space="preserve">Corrigé 1</w:t>
      </w:r>
      <w:r>
        <w:t xml:space="preserve"> </w:t>
      </w:r>
      <w:r>
        <w:t xml:space="preserve">: un Deployment Kubernetes effectue par défaut une mise à jour progressive — de nouveaux Pods avec la nouvelle version démarrent avant que les anciens ne soient retirés, garantissant qu’au moins certains Pods restent disponibles pour servir le trafic à tout moment pendant la transition. La commande</w:t>
      </w:r>
      <w:r>
        <w:t xml:space="preserve"> </w:t>
      </w:r>
      <w:r>
        <w:rPr>
          <w:rStyle w:val="VerbatimChar"/>
        </w:rPr>
        <w:t xml:space="preserve">docker compose up -d --build</w:t>
      </w:r>
      <w:r>
        <w:t xml:space="preserve"> </w:t>
      </w:r>
      <w:r>
        <w:t xml:space="preserve">du scénario d’ouverture, à l’inverse, remplace le conteneur en une seule opération, créant nécessairement une fenêtre sans aucune instance disponible entre l’arrêt de l’ancien conteneur et le démarrage du nouveau.</w:t>
      </w:r>
    </w:p>
    <w:p>
      <w:pPr>
        <w:pStyle w:val="BodyText"/>
      </w:pPr>
      <w:r>
        <w:rPr>
          <w:b/>
          <w:bCs/>
        </w:rPr>
        <w:t xml:space="preserve">Corrigé 2</w:t>
      </w:r>
      <w:r>
        <w:t xml:space="preserve"> </w:t>
      </w:r>
      <w:r>
        <w:t xml:space="preserve">: ce serveur, à usage interne et sans pic de trafic notable, ne rencontre aucune des limites que Kubernetes est conçu pour résoudre (section 42.1) — ni besoin de répartition de charge sur plusieurs serveurs, ni exigence de continuité de service pendant des déploiements fréquents. Migrer ce service vers Kubernetes ajouterait une complexité opérationnelle réelle (plan de contrôle à maintenir, nouveau vocabulaire à apprendre par l’équipe) sans bénéfice concret correspondant, exactement le piège dénoncé dans la section</w:t>
      </w:r>
      <w:r>
        <w:t xml:space="preserve"> </w:t>
      </w:r>
      <w:r>
        <w:t xml:space="preserve">“Le principe le plus important de ce chapitre”</w:t>
      </w:r>
      <w:r>
        <w:t xml:space="preserve"> </w:t>
      </w:r>
      <w:r>
        <w:t xml:space="preserve">— une adoption technologique motivée par la tendance plutôt que par un besoin réel.</w:t>
      </w:r>
    </w:p>
    <w:bookmarkEnd w:id="1048"/>
    <w:bookmarkStart w:id="1049" w:name="exercices-41"/>
    <w:p>
      <w:pPr>
        <w:pStyle w:val="Heading2"/>
      </w:pPr>
      <w:r>
        <w:t xml:space="preserve">Exercices</w:t>
      </w:r>
    </w:p>
    <w:p>
      <w:pPr>
        <w:pStyle w:val="FirstParagraph"/>
      </w:pPr>
      <w:r>
        <w:t xml:space="preserve">📝 Exercice 42.1</w:t>
      </w:r>
    </w:p>
    <w:p>
      <w:pPr>
        <w:pStyle w:val="BodyText"/>
      </w:pPr>
      <w:r>
        <w:t xml:space="preserve">Un Deployment Kubernetes est configuré avec</w:t>
      </w:r>
      <w:r>
        <w:t xml:space="preserve"> </w:t>
      </w:r>
      <w:r>
        <w:rPr>
          <w:rStyle w:val="VerbatimChar"/>
        </w:rPr>
        <w:t xml:space="preserve">replicas: 3</w:t>
      </w:r>
      <w:r>
        <w:t xml:space="preserve">. Un nœud du cluster tombe en panne, emportant avec lui un des trois Pods. Explique ce que Kubernetes fait automatiquement, sans intervention humaine.</w:t>
      </w:r>
    </w:p>
    <w:p>
      <w:pPr>
        <w:pStyle w:val="BodyText"/>
      </w:pPr>
      <w:r>
        <w:rPr>
          <w:b/>
          <w:bCs/>
        </w:rPr>
        <w:t xml:space="preserve">Corrigé :</w:t>
      </w:r>
      <w:r>
        <w:t xml:space="preserve"> </w:t>
      </w:r>
      <w:r>
        <w:t xml:space="preserve">Le Controller Manager (section 42.3) détecte que l’état réel du cluster (2 Pods actifs) ne correspond plus à l’état désiré déclaré par le Deployment (3 réplicas) — il demande alors au Scheduler de placer un nouveau Pod sur un des nœuds encore disponibles, restaurant automatiquement le nombre de réplicas à 3, sans qu’aucun administrateur n’ait besoin d’intervenir manuellement. C’est exactement le mécanisme d’auto-guérison de la section 42.7, un principe de haute disponibilité appliqué au niveau applicatif plutôt qu’au niveau de la machine virtuelle ou physique entière.</w:t>
      </w:r>
    </w:p>
    <w:p>
      <w:pPr>
        <w:pStyle w:val="BodyText"/>
      </w:pPr>
      <w:r>
        <w:t xml:space="preserve">📝 Exercice 42.2</w:t>
      </w:r>
    </w:p>
    <w:p>
      <w:pPr>
        <w:pStyle w:val="BodyText"/>
      </w:pPr>
      <w:r>
        <w:t xml:space="preserve">Rédige, en 3 à 5 phrases, une recommandation à donner à une petite équipe de deux développeurs qui envisage d’adopter Kubernetes pour une application interne à faible trafic,</w:t>
      </w:r>
      <w:r>
        <w:t xml:space="preserve"> </w:t>
      </w:r>
      <w:r>
        <w:t xml:space="preserve">“pour être prêt si ça grandit un jour”</w:t>
      </w:r>
      <w:r>
        <w:t xml:space="preserve">.</w:t>
      </w:r>
    </w:p>
    <w:p>
      <w:pPr>
        <w:pStyle w:val="BodyText"/>
      </w:pPr>
      <w:r>
        <w:rPr>
          <w:b/>
          <w:bCs/>
        </w:rPr>
        <w:t xml:space="preserve">Corrigé (exemple de réponse) :</w:t>
      </w:r>
      <w:r>
        <w:t xml:space="preserve"> </w:t>
      </w:r>
      <w:r>
        <w:t xml:space="preserve">Je recommanderais de rester sur Docker Compose (chapitre 41) tant que le besoin réel ne dépasse pas ce qu’il peut gérer — anticiper une croissance hypothétique en adoptant une complexité opérationnelle réelle dès maintenant coûte plus cher, en temps de formation et en risque d’erreur de configuration, que le bénéfice incertain d’être</w:t>
      </w:r>
      <w:r>
        <w:t xml:space="preserve"> </w:t>
      </w:r>
      <w:r>
        <w:t xml:space="preserve">“prêt”</w:t>
      </w:r>
      <w:r>
        <w:t xml:space="preserve"> </w:t>
      </w:r>
      <w:r>
        <w:t xml:space="preserve">pour un scénario qui pourrait ne jamais se matérialiser. Si la croissance survient réellement un jour (comme dans le scénario d’ouverture de ce chapitre), la migration de Docker Compose vers Kubernetes reste tout à fait réalisable à ce moment-là, avec une justification concrète et un dimensionnement d’équipe adapté à ce nouveau besoin démontré, plutôt qu’une adoption prématurée et disproportionnée par rapport à la réalité actuelle du projet.</w:t>
      </w:r>
    </w:p>
    <w:bookmarkEnd w:id="1049"/>
    <w:bookmarkStart w:id="1050" w:name="checklist-de-fin-de-chapitre-41"/>
    <w:p>
      <w:pPr>
        <w:pStyle w:val="Heading2"/>
      </w:pPr>
      <w:r>
        <w:t xml:space="preserve">Checklist de fin de chapitre</w:t>
      </w:r>
    </w:p>
    <w:p>
      <w:pPr>
        <w:pStyle w:val="FirstParagraph"/>
      </w:pPr>
      <w:r>
        <w:t xml:space="preserve">☐ Je comprends les limites de Docker Compose qui justifient l’adoption de Kubernetes.</w:t>
      </w:r>
    </w:p>
    <w:p>
      <w:pPr>
        <w:pStyle w:val="BodyText"/>
      </w:pPr>
      <w:r>
        <w:t xml:space="preserve">☐ Je sais expliquer l’architecture de base (plan de contrôle, nœuds de travail).</w:t>
      </w:r>
    </w:p>
    <w:p>
      <w:pPr>
        <w:pStyle w:val="BodyText"/>
      </w:pPr>
      <w:r>
        <w:t xml:space="preserve">☐ Je sais distinguer Pod, Deployment et Service.</w:t>
      </w:r>
    </w:p>
    <w:p>
      <w:pPr>
        <w:pStyle w:val="BodyText"/>
      </w:pPr>
      <w:r>
        <w:t xml:space="preserve">☐ Je comprends le principe de mise à jour progressive (rolling update) et son bénéfice concret.</w:t>
      </w:r>
    </w:p>
    <w:p>
      <w:pPr>
        <w:pStyle w:val="BodyText"/>
      </w:pPr>
      <w:r>
        <w:t xml:space="preserve">☐ Je comprends le principe d’auto-guérison de Kubernetes.</w:t>
      </w:r>
    </w:p>
    <w:p>
      <w:pPr>
        <w:pStyle w:val="BodyText"/>
      </w:pPr>
      <w:r>
        <w:t xml:space="preserve">☐ Je sais juger objectivement si Kubernetes se justifie pour un contexte donné, sans céder à l’effet de mode.</w:t>
      </w:r>
    </w:p>
    <w:bookmarkEnd w:id="1050"/>
    <w:bookmarkStart w:id="1051" w:name="faq-41"/>
    <w:p>
      <w:pPr>
        <w:pStyle w:val="Heading2"/>
      </w:pPr>
      <w:r>
        <w:t xml:space="preserve">FAQ</w:t>
      </w:r>
    </w:p>
    <w:p>
      <w:pPr>
        <w:pStyle w:val="FirstParagraph"/>
      </w:pPr>
      <w:r>
        <w:t xml:space="preserve">Faut-il maîtriser Docker avant d’aborder Kubernetes ?</w:t>
      </w:r>
    </w:p>
    <w:p>
      <w:pPr>
        <w:pStyle w:val="BodyText"/>
      </w:pPr>
      <w:r>
        <w:t xml:space="preserve">Oui, fortement recommandé — Kubernetes orchestre des conteneurs, sans en réinventer les concepts fondamentaux déjà couverts aux chapitres 39-41 (images, volumes, réseaux). Aborder Kubernetes sans cette base rendrait l’apprentissage significativement plus difficile.</w:t>
      </w:r>
    </w:p>
    <w:p>
      <w:pPr>
        <w:pStyle w:val="BodyText"/>
      </w:pPr>
      <w:r>
        <w:t xml:space="preserve">Existe-t-il des alternatives plus simples à Kubernetes pour un besoin intermédiaire, entre Docker Compose et Kubernetes complet ?</w:t>
      </w:r>
    </w:p>
    <w:p>
      <w:pPr>
        <w:pStyle w:val="BodyText"/>
      </w:pPr>
      <w:r>
        <w:t xml:space="preserve">Oui, plusieurs solutions existent (Docker Swarm, des services d’orchestration managés simplifiés par certains fournisseurs cloud) — un compromis à évaluer selon le même principe contextuel de ce chapitre, avant de s’engager directement vers la complexité complète de Kubernetes si un besoin intermédiaire suffit réellement.</w:t>
      </w:r>
    </w:p>
    <w:p>
      <w:pPr>
        <w:pStyle w:val="BodyText"/>
      </w:pPr>
      <w:r>
        <w:t xml:space="preserve">Combien de nœuds minimum faut-il pour un cluster Kubernetes de production sérieux ?</w:t>
      </w:r>
    </w:p>
    <w:p>
      <w:pPr>
        <w:pStyle w:val="BodyText"/>
      </w:pPr>
      <w:r>
        <w:t xml:space="preserve">Il n’existe pas de chiffre universel, mais un minimum de trois nœuds est une référence courante pour bénéficier réellement de la tolérance de panne — un cluster à un seul ou deux nœuds n’offre qu’une fraction limitée des garanties de haute disponibilité qui justifient normalement l’adoption de Kubernetes.</w:t>
      </w:r>
    </w:p>
    <w:p>
      <w:pPr>
        <w:pStyle w:val="BodyText"/>
      </w:pPr>
      <w:r>
        <w:t xml:space="preserve">Kubernetes peut-il tourner sur les hyperviseurs déjà présentés dans ce manuel (VMware, Hyper-V, Proxmox) ?</w:t>
      </w:r>
    </w:p>
    <w:p>
      <w:pPr>
        <w:pStyle w:val="BodyText"/>
      </w:pPr>
      <w:r>
        <w:t xml:space="preserve">Oui, un cluster Kubernetes s’installe couramment sur des VM hébergées par n’importe lequel de ces hyperviseurs (Partie 6) — Kubernetes orchestre des conteneurs à l’intérieur de machines qui, elles-mêmes, peuvent tout à fait être des VM virtualisées, les deux niveaux d’abstraction se combinant naturellement.</w:t>
      </w:r>
    </w:p>
    <w:bookmarkEnd w:id="1051"/>
    <w:bookmarkStart w:id="1055" w:name="références-et-pour-aller-plus-loin-41"/>
    <w:p>
      <w:pPr>
        <w:pStyle w:val="Heading2"/>
      </w:pPr>
      <w:r>
        <w:t xml:space="preserve">Références et pour aller plus loin</w:t>
      </w:r>
    </w:p>
    <w:p>
      <w:pPr>
        <w:pStyle w:val="Compact"/>
        <w:numPr>
          <w:ilvl w:val="0"/>
          <w:numId w:val="1988"/>
        </w:numPr>
      </w:pPr>
      <w:r>
        <w:t xml:space="preserve">Documentation officielle Kubernetes :</w:t>
      </w:r>
      <w:r>
        <w:t xml:space="preserve"> </w:t>
      </w:r>
      <w:hyperlink r:id="rId1052">
        <w:r>
          <w:rPr>
            <w:rStyle w:val="Hyperlink"/>
          </w:rPr>
          <w:t xml:space="preserve">https://kubernetes.io/fr/docs/home/</w:t>
        </w:r>
      </w:hyperlink>
    </w:p>
    <w:p>
      <w:pPr>
        <w:pStyle w:val="Compact"/>
        <w:numPr>
          <w:ilvl w:val="0"/>
          <w:numId w:val="1988"/>
        </w:numPr>
      </w:pPr>
      <w:r>
        <w:t xml:space="preserve">Kubernetes — Concepts de base (Pods, Deployments, Services) :</w:t>
      </w:r>
      <w:r>
        <w:t xml:space="preserve"> </w:t>
      </w:r>
      <w:hyperlink r:id="rId1053">
        <w:r>
          <w:rPr>
            <w:rStyle w:val="Hyperlink"/>
          </w:rPr>
          <w:t xml:space="preserve">https://kubernetes.io/fr/docs/concepts/</w:t>
        </w:r>
      </w:hyperlink>
    </w:p>
    <w:p>
      <w:pPr>
        <w:pStyle w:val="Compact"/>
        <w:numPr>
          <w:ilvl w:val="0"/>
          <w:numId w:val="1988"/>
        </w:numPr>
      </w:pPr>
      <w:r>
        <w:t xml:space="preserve">CNCF (Cloud Native Computing Foundation) — ressources sur l’écosystème Kubernetes :</w:t>
      </w:r>
      <w:r>
        <w:t xml:space="preserve"> </w:t>
      </w:r>
      <w:hyperlink r:id="rId1054">
        <w:r>
          <w:rPr>
            <w:rStyle w:val="Hyperlink"/>
          </w:rPr>
          <w:t xml:space="preserve">https://www.cncf.io/</w:t>
        </w:r>
      </w:hyperlink>
    </w:p>
    <w:p>
      <w:pPr>
        <w:pStyle w:val="FirstParagraph"/>
      </w:pPr>
      <w:r>
        <w:rPr>
          <w:i/>
          <w:iCs/>
        </w:rPr>
        <w:t xml:space="preserve">Chapitre suivant : Kubernetes en pratique — déployer réellement l’application du portail sur un cluster, avec pods, services et deployments manipulés concrètement via kubectl.</w:t>
      </w:r>
    </w:p>
    <w:p>
      <w:pPr>
        <w:pStyle w:val="BodyText"/>
      </w:pPr>
      <w:r>
        <w:t xml:space="preserve">CHAPITRE 43</w:t>
      </w:r>
    </w:p>
    <w:bookmarkEnd w:id="1055"/>
    <w:bookmarkEnd w:id="1056"/>
    <w:bookmarkStart w:id="1079" w:name="kubernetes-en-pratique"/>
    <w:p>
      <w:pPr>
        <w:pStyle w:val="Heading1"/>
      </w:pPr>
      <w:r>
        <w:t xml:space="preserve">Kubernetes en pratique</w:t>
      </w:r>
    </w:p>
    <w:p>
      <w:pPr>
        <w:pStyle w:val="FirstParagraph"/>
      </w:pPr>
      <w:r>
        <w:t xml:space="preserve">🎯 Objectif du chapitre</w:t>
      </w:r>
      <w:r>
        <w:t xml:space="preserve"> </w:t>
      </w:r>
      <w:r>
        <w:t xml:space="preserve">Déployer réellement l’application du portail sur un cluster Kubernetes, au-delà du vocabulaire théorique du chapitre 42 : écrire des manifestes complets, gérer la configuration et les secrets, exécuter et observer une mise à jour progressive réelle, et faire persister les données au-delà du cycle de vie d’un Pod. À la fin de ce chapitre, tu sauras déployer, mettre à jour, revenir en arrière et redimensionner une application sur Kubernetes avec confiance.</w:t>
      </w:r>
    </w:p>
    <w:p>
      <w:pPr>
        <w:pStyle w:val="BodyText"/>
      </w:pPr>
      <w:r>
        <w:t xml:space="preserve">🎬 Mise en situation</w:t>
      </w:r>
      <w:r>
        <w:t xml:space="preserve"> </w:t>
      </w:r>
      <w:r>
        <w:t xml:space="preserve">Le cluster Kubernetes décidé au chapitre précédent est provisionné. Le développeur du portail, encore hésitant face au nouveau vocabulaire, demande une démonstration concrète avant de faire confiance à l’outil pour la production :</w:t>
      </w:r>
      <w:r>
        <w:t xml:space="preserve"> </w:t>
      </w:r>
      <w:r>
        <w:t xml:space="preserve">“Montre-moi que ça marche vraiment — que je peux déployer une mise à jour sans coupure, et que si je me trompe, je peux revenir en arrière facilement.”</w:t>
      </w:r>
      <w:r>
        <w:t xml:space="preserve"> </w:t>
      </w:r>
      <w:r>
        <w:t xml:space="preserve">Ce chapitre construit cette démonstration pas à pas, du premier manifeste jusqu’au rollback réel.</w:t>
      </w:r>
    </w:p>
    <w:bookmarkStart w:id="1057" w:name="X5982f49913872fda73ab2b47f350a13d2c01c57"/>
    <w:p>
      <w:pPr>
        <w:pStyle w:val="Heading2"/>
      </w:pPr>
      <w:r>
        <w:t xml:space="preserve">43.1 Le manifeste complet : Deployment et Service</w:t>
      </w:r>
    </w:p>
    <w:p>
      <w:pPr>
        <w:pStyle w:val="SourceCode"/>
      </w:pPr>
      <w:r>
        <w:rPr>
          <w:rStyle w:val="CommentTok"/>
        </w:rPr>
        <w:t xml:space="preserve"># deployment.yaml</w:t>
      </w:r>
      <w:r>
        <w:br/>
      </w:r>
      <w:r>
        <w:rPr>
          <w:rStyle w:val="FunctionTok"/>
        </w:rPr>
        <w:t xml:space="preserve">apiVersion</w:t>
      </w:r>
      <w:r>
        <w:rPr>
          <w:rStyle w:val="KeywordTok"/>
        </w:rPr>
        <w:t xml:space="preserve">:</w:t>
      </w:r>
      <w:r>
        <w:rPr>
          <w:rStyle w:val="AttributeTok"/>
        </w:rPr>
        <w:t xml:space="preserve"> apps/v1</w:t>
      </w:r>
      <w:r>
        <w:br/>
      </w:r>
      <w:r>
        <w:rPr>
          <w:rStyle w:val="FunctionTok"/>
        </w:rPr>
        <w:t xml:space="preserve">kind</w:t>
      </w:r>
      <w:r>
        <w:rPr>
          <w:rStyle w:val="KeywordTok"/>
        </w:rPr>
        <w:t xml:space="preserve">:</w:t>
      </w:r>
      <w:r>
        <w:rPr>
          <w:rStyle w:val="AttributeTok"/>
        </w:rPr>
        <w:t xml:space="preserve"> Deployment</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portail-app</w:t>
      </w:r>
      <w:r>
        <w:br/>
      </w:r>
      <w:r>
        <w:rPr>
          <w:rStyle w:val="FunctionTok"/>
        </w:rPr>
        <w:t xml:space="preserve">spec</w:t>
      </w:r>
      <w:r>
        <w:rPr>
          <w:rStyle w:val="KeywordTok"/>
        </w:rPr>
        <w:t xml:space="preserve">:</w:t>
      </w:r>
      <w:r>
        <w:br/>
      </w:r>
      <w:r>
        <w:rPr>
          <w:rStyle w:val="AttributeTok"/>
        </w:rPr>
        <w:t xml:space="preserve">  </w:t>
      </w:r>
      <w:r>
        <w:rPr>
          <w:rStyle w:val="FunctionTok"/>
        </w:rPr>
        <w:t xml:space="preserve">replicas</w:t>
      </w:r>
      <w:r>
        <w:rPr>
          <w:rStyle w:val="KeywordTok"/>
        </w:rPr>
        <w:t xml:space="preserve">:</w:t>
      </w:r>
      <w:r>
        <w:rPr>
          <w:rStyle w:val="AttributeTok"/>
        </w:rPr>
        <w:t xml:space="preserve"> </w:t>
      </w:r>
      <w:r>
        <w:rPr>
          <w:rStyle w:val="DecValTok"/>
        </w:rPr>
        <w:t xml:space="preserve">3</w:t>
      </w:r>
      <w:r>
        <w:br/>
      </w:r>
      <w:r>
        <w:rPr>
          <w:rStyle w:val="AttributeTok"/>
        </w:rPr>
        <w:t xml:space="preserve">  </w:t>
      </w:r>
      <w:r>
        <w:rPr>
          <w:rStyle w:val="FunctionTok"/>
        </w:rPr>
        <w:t xml:space="preserve">selector</w:t>
      </w:r>
      <w:r>
        <w:rPr>
          <w:rStyle w:val="KeywordTok"/>
        </w:rPr>
        <w:t xml:space="preserve">:</w:t>
      </w:r>
      <w:r>
        <w:br/>
      </w:r>
      <w:r>
        <w:rPr>
          <w:rStyle w:val="AttributeTok"/>
        </w:rPr>
        <w:t xml:space="preserve">    </w:t>
      </w:r>
      <w:r>
        <w:rPr>
          <w:rStyle w:val="FunctionTok"/>
        </w:rPr>
        <w:t xml:space="preserve">matchLabels</w:t>
      </w:r>
      <w:r>
        <w:rPr>
          <w:rStyle w:val="KeywordTok"/>
        </w:rPr>
        <w:t xml:space="preserve">:</w:t>
      </w:r>
      <w:r>
        <w:br/>
      </w:r>
      <w:r>
        <w:rPr>
          <w:rStyle w:val="AttributeTok"/>
        </w:rPr>
        <w:t xml:space="preserve">      </w:t>
      </w:r>
      <w:r>
        <w:rPr>
          <w:rStyle w:val="FunctionTok"/>
        </w:rPr>
        <w:t xml:space="preserve">app</w:t>
      </w:r>
      <w:r>
        <w:rPr>
          <w:rStyle w:val="KeywordTok"/>
        </w:rPr>
        <w:t xml:space="preserve">:</w:t>
      </w:r>
      <w:r>
        <w:rPr>
          <w:rStyle w:val="AttributeTok"/>
        </w:rPr>
        <w:t xml:space="preserve"> portail</w:t>
      </w:r>
      <w:r>
        <w:br/>
      </w:r>
      <w:r>
        <w:rPr>
          <w:rStyle w:val="AttributeTok"/>
        </w:rPr>
        <w:t xml:space="preserve">  </w:t>
      </w:r>
      <w:r>
        <w:rPr>
          <w:rStyle w:val="FunctionTok"/>
        </w:rPr>
        <w:t xml:space="preserve">strategy</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RollingUpdate</w:t>
      </w:r>
      <w:r>
        <w:br/>
      </w:r>
      <w:r>
        <w:rPr>
          <w:rStyle w:val="AttributeTok"/>
        </w:rPr>
        <w:t xml:space="preserve">    </w:t>
      </w:r>
      <w:r>
        <w:rPr>
          <w:rStyle w:val="FunctionTok"/>
        </w:rPr>
        <w:t xml:space="preserve">rollingUpdate</w:t>
      </w:r>
      <w:r>
        <w:rPr>
          <w:rStyle w:val="KeywordTok"/>
        </w:rPr>
        <w:t xml:space="preserve">:</w:t>
      </w:r>
      <w:r>
        <w:br/>
      </w:r>
      <w:r>
        <w:rPr>
          <w:rStyle w:val="AttributeTok"/>
        </w:rPr>
        <w:t xml:space="preserve">      </w:t>
      </w:r>
      <w:r>
        <w:rPr>
          <w:rStyle w:val="FunctionTok"/>
        </w:rPr>
        <w:t xml:space="preserve">maxUnavailable</w:t>
      </w:r>
      <w:r>
        <w:rPr>
          <w:rStyle w:val="KeywordTok"/>
        </w:rPr>
        <w:t xml:space="preserve">:</w:t>
      </w:r>
      <w:r>
        <w:rPr>
          <w:rStyle w:val="AttributeTok"/>
        </w:rPr>
        <w:t xml:space="preserve"> </w:t>
      </w:r>
      <w:r>
        <w:rPr>
          <w:rStyle w:val="DecValTok"/>
        </w:rPr>
        <w:t xml:space="preserve">1</w:t>
      </w:r>
      <w:r>
        <w:br/>
      </w:r>
      <w:r>
        <w:rPr>
          <w:rStyle w:val="AttributeTok"/>
        </w:rPr>
        <w:t xml:space="preserve">      </w:t>
      </w:r>
      <w:r>
        <w:rPr>
          <w:rStyle w:val="FunctionTok"/>
        </w:rPr>
        <w:t xml:space="preserve">maxSurge</w:t>
      </w:r>
      <w:r>
        <w:rPr>
          <w:rStyle w:val="KeywordTok"/>
        </w:rPr>
        <w:t xml:space="preserve">:</w:t>
      </w:r>
      <w:r>
        <w:rPr>
          <w:rStyle w:val="AttributeTok"/>
        </w:rPr>
        <w:t xml:space="preserve"> </w:t>
      </w:r>
      <w:r>
        <w:rPr>
          <w:rStyle w:val="DecValTok"/>
        </w:rPr>
        <w:t xml:space="preserve">1</w:t>
      </w:r>
      <w:r>
        <w:br/>
      </w:r>
      <w:r>
        <w:rPr>
          <w:rStyle w:val="AttributeTok"/>
        </w:rPr>
        <w:t xml:space="preserve">  </w:t>
      </w:r>
      <w:r>
        <w:rPr>
          <w:rStyle w:val="FunctionTok"/>
        </w:rPr>
        <w:t xml:space="preserve">template</w:t>
      </w:r>
      <w:r>
        <w:rPr>
          <w:rStyle w:val="KeywordTok"/>
        </w:rPr>
        <w:t xml:space="preserve">:</w:t>
      </w:r>
      <w:r>
        <w:br/>
      </w:r>
      <w:r>
        <w:rPr>
          <w:rStyle w:val="AttributeTok"/>
        </w:rPr>
        <w:t xml:space="preserve">    </w:t>
      </w:r>
      <w:r>
        <w:rPr>
          <w:rStyle w:val="FunctionTok"/>
        </w:rPr>
        <w:t xml:space="preserve">metadata</w:t>
      </w:r>
      <w:r>
        <w:rPr>
          <w:rStyle w:val="KeywordTok"/>
        </w:rPr>
        <w:t xml:space="preserve">:</w:t>
      </w:r>
      <w:r>
        <w:br/>
      </w:r>
      <w:r>
        <w:rPr>
          <w:rStyle w:val="AttributeTok"/>
        </w:rPr>
        <w:t xml:space="preserve">      </w:t>
      </w:r>
      <w:r>
        <w:rPr>
          <w:rStyle w:val="FunctionTok"/>
        </w:rPr>
        <w:t xml:space="preserve">labels</w:t>
      </w:r>
      <w:r>
        <w:rPr>
          <w:rStyle w:val="KeywordTok"/>
        </w:rPr>
        <w:t xml:space="preserve">:</w:t>
      </w:r>
      <w:r>
        <w:br/>
      </w:r>
      <w:r>
        <w:rPr>
          <w:rStyle w:val="AttributeTok"/>
        </w:rPr>
        <w:t xml:space="preserve">        </w:t>
      </w:r>
      <w:r>
        <w:rPr>
          <w:rStyle w:val="FunctionTok"/>
        </w:rPr>
        <w:t xml:space="preserve">app</w:t>
      </w:r>
      <w:r>
        <w:rPr>
          <w:rStyle w:val="KeywordTok"/>
        </w:rPr>
        <w:t xml:space="preserve">:</w:t>
      </w:r>
      <w:r>
        <w:rPr>
          <w:rStyle w:val="AttributeTok"/>
        </w:rPr>
        <w:t xml:space="preserve"> portail</w:t>
      </w:r>
      <w:r>
        <w:br/>
      </w:r>
      <w:r>
        <w:rPr>
          <w:rStyle w:val="AttributeTok"/>
        </w:rPr>
        <w:t xml:space="preserve">    </w:t>
      </w:r>
      <w:r>
        <w:rPr>
          <w:rStyle w:val="FunctionTok"/>
        </w:rPr>
        <w:t xml:space="preserve">spec</w:t>
      </w:r>
      <w:r>
        <w:rPr>
          <w:rStyle w:val="KeywordTok"/>
        </w:rPr>
        <w:t xml:space="preserve">:</w:t>
      </w:r>
      <w:r>
        <w:br/>
      </w:r>
      <w:r>
        <w:rPr>
          <w:rStyle w:val="AttributeTok"/>
        </w:rPr>
        <w:t xml:space="preserve">      </w:t>
      </w:r>
      <w:r>
        <w:rPr>
          <w:rStyle w:val="FunctionTok"/>
        </w:rPr>
        <w:t xml:space="preserve">containers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portail</w:t>
      </w:r>
      <w:r>
        <w:br/>
      </w:r>
      <w:r>
        <w:rPr>
          <w:rStyle w:val="AttributeTok"/>
        </w:rPr>
        <w:t xml:space="preserve">          </w:t>
      </w:r>
      <w:r>
        <w:rPr>
          <w:rStyle w:val="FunctionTok"/>
        </w:rPr>
        <w:t xml:space="preserve">image</w:t>
      </w:r>
      <w:r>
        <w:rPr>
          <w:rStyle w:val="KeywordTok"/>
        </w:rPr>
        <w:t xml:space="preserve">:</w:t>
      </w:r>
      <w:r>
        <w:rPr>
          <w:rStyle w:val="AttributeTok"/>
        </w:rPr>
        <w:t xml:space="preserve"> portail-client:1.0</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containerPort</w:t>
      </w:r>
      <w:r>
        <w:rPr>
          <w:rStyle w:val="KeywordTok"/>
        </w:rPr>
        <w:t xml:space="preserve">:</w:t>
      </w:r>
      <w:r>
        <w:rPr>
          <w:rStyle w:val="AttributeTok"/>
        </w:rPr>
        <w:t xml:space="preserve"> </w:t>
      </w:r>
      <w:r>
        <w:rPr>
          <w:rStyle w:val="DecValTok"/>
        </w:rPr>
        <w:t xml:space="preserve">3000</w:t>
      </w:r>
      <w:r>
        <w:br/>
      </w:r>
      <w:r>
        <w:rPr>
          <w:rStyle w:val="PreprocessorTok"/>
        </w:rPr>
        <w:t xml:space="preserve">---</w:t>
      </w:r>
      <w:r>
        <w:br/>
      </w:r>
      <w:r>
        <w:rPr>
          <w:rStyle w:val="CommentTok"/>
        </w:rPr>
        <w:t xml:space="preserve"># service.yaml</w:t>
      </w:r>
      <w:r>
        <w:br/>
      </w:r>
      <w:r>
        <w:rPr>
          <w:rStyle w:val="FunctionTok"/>
        </w:rPr>
        <w:t xml:space="preserve">apiVersion</w:t>
      </w:r>
      <w:r>
        <w:rPr>
          <w:rStyle w:val="KeywordTok"/>
        </w:rPr>
        <w:t xml:space="preserve">:</w:t>
      </w:r>
      <w:r>
        <w:rPr>
          <w:rStyle w:val="AttributeTok"/>
        </w:rPr>
        <w:t xml:space="preserve"> v1</w:t>
      </w:r>
      <w:r>
        <w:br/>
      </w:r>
      <w:r>
        <w:rPr>
          <w:rStyle w:val="FunctionTok"/>
        </w:rPr>
        <w:t xml:space="preserve">kind</w:t>
      </w:r>
      <w:r>
        <w:rPr>
          <w:rStyle w:val="KeywordTok"/>
        </w:rPr>
        <w:t xml:space="preserve">:</w:t>
      </w:r>
      <w:r>
        <w:rPr>
          <w:rStyle w:val="AttributeTok"/>
        </w:rPr>
        <w:t xml:space="preserve"> Service</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portail-service</w:t>
      </w:r>
      <w:r>
        <w:br/>
      </w:r>
      <w:r>
        <w:rPr>
          <w:rStyle w:val="FunctionTok"/>
        </w:rPr>
        <w:t xml:space="preserve">spec</w:t>
      </w:r>
      <w:r>
        <w:rPr>
          <w:rStyle w:val="KeywordTok"/>
        </w:rPr>
        <w:t xml:space="preserve">:</w:t>
      </w:r>
      <w:r>
        <w:br/>
      </w:r>
      <w:r>
        <w:rPr>
          <w:rStyle w:val="AttributeTok"/>
        </w:rPr>
        <w:t xml:space="preserve">  </w:t>
      </w:r>
      <w:r>
        <w:rPr>
          <w:rStyle w:val="FunctionTok"/>
        </w:rPr>
        <w:t xml:space="preserve">selector</w:t>
      </w:r>
      <w:r>
        <w:rPr>
          <w:rStyle w:val="KeywordTok"/>
        </w:rPr>
        <w:t xml:space="preserve">:</w:t>
      </w:r>
      <w:r>
        <w:br/>
      </w:r>
      <w:r>
        <w:rPr>
          <w:rStyle w:val="AttributeTok"/>
        </w:rPr>
        <w:t xml:space="preserve">    </w:t>
      </w:r>
      <w:r>
        <w:rPr>
          <w:rStyle w:val="FunctionTok"/>
        </w:rPr>
        <w:t xml:space="preserve">app</w:t>
      </w:r>
      <w:r>
        <w:rPr>
          <w:rStyle w:val="KeywordTok"/>
        </w:rPr>
        <w:t xml:space="preserve">:</w:t>
      </w:r>
      <w:r>
        <w:rPr>
          <w:rStyle w:val="AttributeTok"/>
        </w:rPr>
        <w:t xml:space="preserve"> portail</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port</w:t>
      </w:r>
      <w:r>
        <w:rPr>
          <w:rStyle w:val="KeywordTok"/>
        </w:rPr>
        <w:t xml:space="preserve">:</w:t>
      </w:r>
      <w:r>
        <w:rPr>
          <w:rStyle w:val="AttributeTok"/>
        </w:rPr>
        <w:t xml:space="preserve"> </w:t>
      </w:r>
      <w:r>
        <w:rPr>
          <w:rStyle w:val="DecValTok"/>
        </w:rPr>
        <w:t xml:space="preserve">80</w:t>
      </w:r>
      <w:r>
        <w:br/>
      </w:r>
      <w:r>
        <w:rPr>
          <w:rStyle w:val="AttributeTok"/>
        </w:rPr>
        <w:t xml:space="preserve">      </w:t>
      </w:r>
      <w:r>
        <w:rPr>
          <w:rStyle w:val="FunctionTok"/>
        </w:rPr>
        <w:t xml:space="preserve">targetPort</w:t>
      </w:r>
      <w:r>
        <w:rPr>
          <w:rStyle w:val="KeywordTok"/>
        </w:rPr>
        <w:t xml:space="preserve">:</w:t>
      </w:r>
      <w:r>
        <w:rPr>
          <w:rStyle w:val="AttributeTok"/>
        </w:rPr>
        <w:t xml:space="preserve"> </w:t>
      </w:r>
      <w:r>
        <w:rPr>
          <w:rStyle w:val="DecValTok"/>
        </w:rPr>
        <w:t xml:space="preserve">3000</w:t>
      </w:r>
      <w:r>
        <w:br/>
      </w:r>
      <w:r>
        <w:rPr>
          <w:rStyle w:val="AttributeTok"/>
        </w:rPr>
        <w:t xml:space="preserve">  </w:t>
      </w:r>
      <w:r>
        <w:rPr>
          <w:rStyle w:val="FunctionTok"/>
        </w:rPr>
        <w:t xml:space="preserve">type</w:t>
      </w:r>
      <w:r>
        <w:rPr>
          <w:rStyle w:val="KeywordTok"/>
        </w:rPr>
        <w:t xml:space="preserve">:</w:t>
      </w:r>
      <w:r>
        <w:rPr>
          <w:rStyle w:val="AttributeTok"/>
        </w:rPr>
        <w:t xml:space="preserve"> ClusterIP</w:t>
      </w:r>
    </w:p>
    <w:p>
      <w:pPr>
        <w:pStyle w:val="FirstParagraph"/>
      </w:pPr>
      <w:r>
        <w:t xml:space="preserve">💡</w:t>
      </w:r>
      <w:r>
        <w:t xml:space="preserve"> </w:t>
      </w:r>
      <w:r>
        <w:rPr>
          <w:rStyle w:val="VerbatimChar"/>
        </w:rPr>
        <w:t xml:space="preserve">maxUnavailable</w:t>
      </w:r>
      <w:r>
        <w:t xml:space="preserve"> </w:t>
      </w:r>
      <w:r>
        <w:t xml:space="preserve">et</w:t>
      </w:r>
      <w:r>
        <w:t xml:space="preserve"> </w:t>
      </w:r>
      <w:r>
        <w:rPr>
          <w:rStyle w:val="VerbatimChar"/>
        </w:rPr>
        <w:t xml:space="preserve">maxSurge</w:t>
      </w:r>
      <w:r>
        <w:t xml:space="preserve"> </w:t>
      </w:r>
      <w:r>
        <w:t xml:space="preserve">: le réglage fin de la mise à jour progressive</w:t>
      </w:r>
      <w:r>
        <w:t xml:space="preserve"> </w:t>
      </w:r>
      <w:r>
        <w:t xml:space="preserve">Rappel direct du chapitre 42 : ces deux paramètres contrôlent précisément le rythme du</w:t>
      </w:r>
      <w:r>
        <w:t xml:space="preserve"> </w:t>
      </w:r>
      <w:r>
        <w:t xml:space="preserve">rolling update</w:t>
      </w:r>
      <w:r>
        <w:t xml:space="preserve">.</w:t>
      </w:r>
      <w:r>
        <w:t xml:space="preserve"> </w:t>
      </w:r>
      <w:r>
        <w:t xml:space="preserve">maxUnavailable: 1</w:t>
      </w:r>
      <w:r>
        <w:t xml:space="preserve"> </w:t>
      </w:r>
      <w:r>
        <w:t xml:space="preserve">garantit qu’au maximum un seul Pod peut être indisponible pendant la transition (sur 3 réplicas, au moins 2 restent toujours actifs) ;</w:t>
      </w:r>
      <w:r>
        <w:t xml:space="preserve"> </w:t>
      </w:r>
      <w:r>
        <w:t xml:space="preserve">maxSurge: 1</w:t>
      </w:r>
      <w:r>
        <w:t xml:space="preserve"> </w:t>
      </w:r>
      <w:r>
        <w:t xml:space="preserve">autorise un Pod supplémentaire temporaire pendant la mise à jour, accélérant la transition sans jamais descendre sous la capacité minimale garantie.</w:t>
      </w:r>
    </w:p>
    <w:bookmarkEnd w:id="1057"/>
    <w:bookmarkStart w:id="1058" w:name="Xd4bc2bba778ae383b885d8e06159e4d5d3fb577"/>
    <w:p>
      <w:pPr>
        <w:pStyle w:val="Heading2"/>
      </w:pPr>
      <w:r>
        <w:t xml:space="preserve">43.2 Appliquer les manifestes : Infrastructure as Code appliquée à Kubernetes</w:t>
      </w:r>
    </w:p>
    <w:p>
      <w:pPr>
        <w:pStyle w:val="SourceCode"/>
      </w:pPr>
      <w:r>
        <w:rPr>
          <w:rStyle w:val="VerbatimChar"/>
        </w:rPr>
        <w:t xml:space="preserve"># Appliquer un ou plusieurs manifestes -- cree ou met a jour les</w:t>
      </w:r>
      <w:r>
        <w:br/>
      </w:r>
      <w:r>
        <w:rPr>
          <w:rStyle w:val="VerbatimChar"/>
        </w:rPr>
        <w:t xml:space="preserve"># objets decrits pour correspondre exactement a ce fichier</w:t>
      </w:r>
      <w:r>
        <w:br/>
      </w:r>
      <w:r>
        <w:rPr>
          <w:rStyle w:val="VerbatimChar"/>
        </w:rPr>
        <w:t xml:space="preserve">kubectl apply -f deployment.yaml -f service.yaml</w:t>
      </w:r>
      <w:r>
        <w:br/>
      </w:r>
      <w:r>
        <w:br/>
      </w:r>
      <w:r>
        <w:rPr>
          <w:rStyle w:val="VerbatimChar"/>
        </w:rPr>
        <w:t xml:space="preserve"># Verifier l'etat apres application</w:t>
      </w:r>
      <w:r>
        <w:br/>
      </w:r>
      <w:r>
        <w:rPr>
          <w:rStyle w:val="VerbatimChar"/>
        </w:rPr>
        <w:t xml:space="preserve">kubectl get deployments</w:t>
      </w:r>
      <w:r>
        <w:br/>
      </w:r>
      <w:r>
        <w:rPr>
          <w:rStyle w:val="VerbatimChar"/>
        </w:rPr>
        <w:t xml:space="preserve">kubectl get services</w:t>
      </w:r>
    </w:p>
    <w:p>
      <w:pPr>
        <w:pStyle w:val="FirstParagraph"/>
      </w:pPr>
      <w:r>
        <w:t xml:space="preserve">✅ Bonne pratique — toujours modifier le manifeste, jamais l’objet en direct</w:t>
      </w:r>
      <w:r>
        <w:t xml:space="preserve"> </w:t>
      </w:r>
      <w:r>
        <w:t xml:space="preserve">Une commande comme</w:t>
      </w:r>
      <w:r>
        <w:t xml:space="preserve"> </w:t>
      </w:r>
      <w:r>
        <w:rPr>
          <w:rStyle w:val="VerbatimChar"/>
        </w:rPr>
        <w:t xml:space="preserve">kubectl edit deployment portail-app</w:t>
      </w:r>
      <w:r>
        <w:t xml:space="preserve"> </w:t>
      </w:r>
      <w:r>
        <w:t xml:space="preserve">permet de modifier un objet directement dans le cluster — mais cette modification n’existe alors que dans le cluster, absente du fichier YAML versionné dans Git. Exactement le même principe déjà établi pour Docker Compose (chapitre 41) et les scripts (chapitre 20) : toute modification doit passer par le fichier source, jamais directement sur le système en production, sous peine de dérive de configuration où plus personne ne sait exactement ce qui tourne réellement par rapport à ce qui est documenté.</w:t>
      </w:r>
    </w:p>
    <w:bookmarkEnd w:id="1058"/>
    <w:bookmarkStart w:id="1059" w:name="X347b1b4c1f8d96a631c79c7605efe0e601d8c96"/>
    <w:p>
      <w:pPr>
        <w:pStyle w:val="Heading2"/>
      </w:pPr>
      <w:r>
        <w:t xml:space="preserve">43.3 ConfigMap et Secret : configuration et secrets Kubernetes</w:t>
      </w:r>
    </w:p>
    <w:p>
      <w:pPr>
        <w:pStyle w:val="SourceCode"/>
      </w:pPr>
      <w:r>
        <w:rPr>
          <w:rStyle w:val="CommentTok"/>
        </w:rPr>
        <w:t xml:space="preserve"># configmap.yaml -- rappel direct du chapitre 12 sur les variables</w:t>
      </w:r>
      <w:r>
        <w:br/>
      </w:r>
      <w:r>
        <w:rPr>
          <w:rStyle w:val="CommentTok"/>
        </w:rPr>
        <w:t xml:space="preserve"># d'environnement, transpose a Kubernetes</w:t>
      </w:r>
      <w:r>
        <w:br/>
      </w:r>
      <w:r>
        <w:rPr>
          <w:rStyle w:val="FunctionTok"/>
        </w:rPr>
        <w:t xml:space="preserve">apiVersion</w:t>
      </w:r>
      <w:r>
        <w:rPr>
          <w:rStyle w:val="KeywordTok"/>
        </w:rPr>
        <w:t xml:space="preserve">:</w:t>
      </w:r>
      <w:r>
        <w:rPr>
          <w:rStyle w:val="AttributeTok"/>
        </w:rPr>
        <w:t xml:space="preserve"> v1</w:t>
      </w:r>
      <w:r>
        <w:br/>
      </w:r>
      <w:r>
        <w:rPr>
          <w:rStyle w:val="FunctionTok"/>
        </w:rPr>
        <w:t xml:space="preserve">kind</w:t>
      </w:r>
      <w:r>
        <w:rPr>
          <w:rStyle w:val="KeywordTok"/>
        </w:rPr>
        <w:t xml:space="preserve">:</w:t>
      </w:r>
      <w:r>
        <w:rPr>
          <w:rStyle w:val="AttributeTok"/>
        </w:rPr>
        <w:t xml:space="preserve"> ConfigMap</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portail-config</w:t>
      </w:r>
      <w:r>
        <w:br/>
      </w:r>
      <w:r>
        <w:rPr>
          <w:rStyle w:val="FunctionTok"/>
        </w:rPr>
        <w:t xml:space="preserve">data</w:t>
      </w:r>
      <w:r>
        <w:rPr>
          <w:rStyle w:val="KeywordTok"/>
        </w:rPr>
        <w:t xml:space="preserve">:</w:t>
      </w:r>
      <w:r>
        <w:br/>
      </w:r>
      <w:r>
        <w:rPr>
          <w:rStyle w:val="AttributeTok"/>
        </w:rPr>
        <w:t xml:space="preserve">  </w:t>
      </w:r>
      <w:r>
        <w:rPr>
          <w:rStyle w:val="FunctionTok"/>
        </w:rPr>
        <w:t xml:space="preserve">DATABASE_HOST</w:t>
      </w:r>
      <w:r>
        <w:rPr>
          <w:rStyle w:val="KeywordTok"/>
        </w:rPr>
        <w:t xml:space="preserve">:</w:t>
      </w:r>
      <w:r>
        <w:rPr>
          <w:rStyle w:val="AttributeTok"/>
        </w:rPr>
        <w:t xml:space="preserve"> </w:t>
      </w:r>
      <w:r>
        <w:rPr>
          <w:rStyle w:val="StringTok"/>
        </w:rPr>
        <w:t xml:space="preserve">"portail-db-service"</w:t>
      </w:r>
    </w:p>
    <w:p>
      <w:pPr>
        <w:pStyle w:val="FirstParagraph"/>
      </w:pPr>
      <w:r>
        <w:t xml:space="preserve">⚠️ Un Secret Kubernetes n’est PAS chiffré par défaut — un piège de sécurité réel et bien documenté</w:t>
      </w:r>
      <w:r>
        <w:t xml:space="preserve"> </w:t>
      </w:r>
      <w:r>
        <w:t xml:space="preserve">Un objet</w:t>
      </w:r>
      <w:r>
        <w:t xml:space="preserve"> </w:t>
      </w:r>
      <w:r>
        <w:rPr>
          <w:b/>
          <w:bCs/>
        </w:rPr>
        <w:t xml:space="preserve">Secret</w:t>
      </w:r>
      <w:r>
        <w:t xml:space="preserve"> </w:t>
      </w:r>
      <w:r>
        <w:t xml:space="preserve">Kubernetes encode ses valeurs en</w:t>
      </w:r>
      <w:r>
        <w:t xml:space="preserve"> </w:t>
      </w:r>
      <w:r>
        <w:rPr>
          <w:b/>
          <w:bCs/>
        </w:rPr>
        <w:t xml:space="preserve">base64</w:t>
      </w:r>
      <w:r>
        <w:t xml:space="preserve">, pas en chiffrement — base64 est un simple encodage réversible en une commande (</w:t>
      </w:r>
      <w:r>
        <w:rPr>
          <w:rStyle w:val="VerbatimChar"/>
        </w:rPr>
        <w:t xml:space="preserve">echo "..." | base64 -d</w:t>
      </w:r>
      <w:r>
        <w:t xml:space="preserve">), pas une protection cryptographique. Un Secret Kubernetes, dans sa configuration par défaut, offre une séparation logique commode de la configuration sensible, mais</w:t>
      </w:r>
      <w:r>
        <w:t xml:space="preserve"> </w:t>
      </w:r>
      <w:r>
        <w:rPr>
          <w:b/>
          <w:bCs/>
        </w:rPr>
        <w:t xml:space="preserve">pas</w:t>
      </w:r>
      <w:r>
        <w:t xml:space="preserve"> </w:t>
      </w:r>
      <w:r>
        <w:t xml:space="preserve">une confidentialité réelle face à quiconque a accès à</w:t>
      </w:r>
      <w:r>
        <w:t xml:space="preserve"> </w:t>
      </w:r>
      <w:r>
        <w:rPr>
          <w:rStyle w:val="VerbatimChar"/>
        </w:rPr>
        <w:t xml:space="preserve">etcd</w:t>
      </w:r>
      <w:r>
        <w:t xml:space="preserve"> </w:t>
      </w:r>
      <w:r>
        <w:t xml:space="preserve">(chapitre 42) ou aux permissions de lecture sur cet objet. Un chiffrement réel au repos nécessite une configuration supplémentaire explicite (chiffrement d’etcd, ou un gestionnaire de secrets externe intégré, approfondi en Partie 9) — un piège largement documenté dans l’industrie, responsable de fuites de secrets bien réelles quand cette limitation est ignorée.</w:t>
      </w:r>
    </w:p>
    <w:p>
      <w:pPr>
        <w:pStyle w:val="SourceCode"/>
      </w:pPr>
      <w:r>
        <w:rPr>
          <w:rStyle w:val="VerbatimChar"/>
        </w:rPr>
        <w:t xml:space="preserve"># Creer un Secret (le contenu sera encode en base64, PAS chiffre)</w:t>
      </w:r>
      <w:r>
        <w:br/>
      </w:r>
      <w:r>
        <w:rPr>
          <w:rStyle w:val="VerbatimChar"/>
        </w:rPr>
        <w:t xml:space="preserve">kubectl create secret generic portail-db-secret \</w:t>
      </w:r>
      <w:r>
        <w:br/>
      </w:r>
      <w:r>
        <w:rPr>
          <w:rStyle w:val="VerbatimChar"/>
        </w:rPr>
        <w:t xml:space="preserve">  --from-literal=DB_PASSWORD='mot-de-passe-a-proteger'</w:t>
      </w:r>
    </w:p>
    <w:bookmarkEnd w:id="1059"/>
    <w:bookmarkStart w:id="1060" w:name="X8c9d6df0d96303ab79983c73063f8063a06747e"/>
    <w:p>
      <w:pPr>
        <w:pStyle w:val="Heading2"/>
      </w:pPr>
      <w:r>
        <w:t xml:space="preserve">43.4 Observer une mise à jour progressive réelle</w:t>
      </w:r>
    </w:p>
    <w:p>
      <w:pPr>
        <w:pStyle w:val="SourceCode"/>
      </w:pPr>
      <w:r>
        <w:rPr>
          <w:rStyle w:val="VerbatimChar"/>
        </w:rPr>
        <w:t xml:space="preserve"># Declencher une mise a jour en changeant la version de l'image</w:t>
      </w:r>
      <w:r>
        <w:br/>
      </w:r>
      <w:r>
        <w:rPr>
          <w:rStyle w:val="VerbatimChar"/>
        </w:rPr>
        <w:t xml:space="preserve">kubectl set image deployment/portail-app portail=portail-client:1.1</w:t>
      </w:r>
      <w:r>
        <w:br/>
      </w:r>
      <w:r>
        <w:br/>
      </w:r>
      <w:r>
        <w:rPr>
          <w:rStyle w:val="VerbatimChar"/>
        </w:rPr>
        <w:t xml:space="preserve"># Observer le deroulement en temps reel</w:t>
      </w:r>
      <w:r>
        <w:br/>
      </w:r>
      <w:r>
        <w:rPr>
          <w:rStyle w:val="VerbatimChar"/>
        </w:rPr>
        <w:t xml:space="preserve">kubectl rollout status deployment/portail-app</w:t>
      </w:r>
      <w:r>
        <w:br/>
      </w:r>
      <w:r>
        <w:br/>
      </w:r>
      <w:r>
        <w:rPr>
          <w:rStyle w:val="VerbatimChar"/>
        </w:rPr>
        <w:t xml:space="preserve"># Consulter l'historique des deploiements</w:t>
      </w:r>
      <w:r>
        <w:br/>
      </w:r>
      <w:r>
        <w:rPr>
          <w:rStyle w:val="VerbatimChar"/>
        </w:rPr>
        <w:t xml:space="preserve">kubectl rollout history deployment/portail-app</w:t>
      </w:r>
      <w:r>
        <w:br/>
      </w:r>
      <w:r>
        <w:br/>
      </w:r>
      <w:r>
        <w:rPr>
          <w:rStyle w:val="VerbatimChar"/>
        </w:rPr>
        <w:t xml:space="preserve"># Revenir a la version precedente si un probleme est detecte</w:t>
      </w:r>
      <w:r>
        <w:br/>
      </w:r>
      <w:r>
        <w:rPr>
          <w:rStyle w:val="VerbatimChar"/>
        </w:rPr>
        <w:t xml:space="preserve">kubectl rollout undo deployment/portail-app</w:t>
      </w:r>
    </w:p>
    <w:p>
      <w:pPr>
        <w:pStyle w:val="FirstParagraph"/>
      </w:pPr>
      <w:r>
        <w:t xml:space="preserve">🚀 Performance — la réponse concrète à la demande du développeur</w:t>
      </w:r>
      <w:r>
        <w:t xml:space="preserve"> </w:t>
      </w:r>
      <w:r>
        <w:t xml:space="preserve">Cette séquence répond exactement à la demande du scénario d’ouverture :</w:t>
      </w:r>
      <w:r>
        <w:t xml:space="preserve"> </w:t>
      </w:r>
      <w:r>
        <w:rPr>
          <w:rStyle w:val="VerbatimChar"/>
        </w:rPr>
        <w:t xml:space="preserve">kubectl rollout status</w:t>
      </w:r>
      <w:r>
        <w:t xml:space="preserve"> </w:t>
      </w:r>
      <w:r>
        <w:t xml:space="preserve">permet d’observer, Pod par Pod, la transition progressive sans jamais tomber sous la capacité minimale garantie par</w:t>
      </w:r>
      <w:r>
        <w:t xml:space="preserve"> </w:t>
      </w:r>
      <w:r>
        <w:rPr>
          <w:rStyle w:val="VerbatimChar"/>
        </w:rPr>
        <w:t xml:space="preserve">maxUnavailable</w:t>
      </w:r>
      <w:r>
        <w:t xml:space="preserve">. Si la nouvelle version (</w:t>
      </w:r>
      <w:r>
        <w:rPr>
          <w:rStyle w:val="VerbatimChar"/>
        </w:rPr>
        <w:t xml:space="preserve">1.1</w:t>
      </w:r>
      <w:r>
        <w:t xml:space="preserve">) présente un problème détecté après coup,</w:t>
      </w:r>
      <w:r>
        <w:t xml:space="preserve"> </w:t>
      </w:r>
      <w:r>
        <w:rPr>
          <w:rStyle w:val="VerbatimChar"/>
        </w:rPr>
        <w:t xml:space="preserve">kubectl rollout undo</w:t>
      </w:r>
      <w:r>
        <w:t xml:space="preserve"> </w:t>
      </w:r>
      <w:r>
        <w:t xml:space="preserve">revient à la version précédente en quelques secondes, exactement le filet de sécurité recherché — un plan de retour arrière quasi instantané, très différent d’une restauration de sauvegarde classique (chapitre 30) qui prendrait bien plus de temps.</w:t>
      </w:r>
    </w:p>
    <w:bookmarkEnd w:id="1060"/>
    <w:bookmarkStart w:id="1061" w:name="X884d4d1ca3ee47809019549fdc1c40fa2a2240d"/>
    <w:p>
      <w:pPr>
        <w:pStyle w:val="Heading2"/>
      </w:pPr>
      <w:r>
        <w:t xml:space="preserve">43.5 Redimensionner : démonstration concrète de l’élasticité</w:t>
      </w:r>
    </w:p>
    <w:p>
      <w:pPr>
        <w:pStyle w:val="SourceCode"/>
      </w:pPr>
      <w:r>
        <w:rPr>
          <w:rStyle w:val="VerbatimChar"/>
        </w:rPr>
        <w:t xml:space="preserve"># Augmenter manuellement le nombre de replicas, par exemple</w:t>
      </w:r>
      <w:r>
        <w:br/>
      </w:r>
      <w:r>
        <w:rPr>
          <w:rStyle w:val="VerbatimChar"/>
        </w:rPr>
        <w:t xml:space="preserve"># en prevision d'un pic de trafic annonce</w:t>
      </w:r>
      <w:r>
        <w:br/>
      </w:r>
      <w:r>
        <w:rPr>
          <w:rStyle w:val="VerbatimChar"/>
        </w:rPr>
        <w:t xml:space="preserve">kubectl scale deployment/portail-app --replicas=6</w:t>
      </w:r>
    </w:p>
    <w:p>
      <w:pPr>
        <w:pStyle w:val="FirstParagraph"/>
      </w:pPr>
      <w:r>
        <w:t xml:space="preserve">💡 Une réponse directe et immédiate au trafic accru du chapitre 42</w:t>
      </w:r>
      <w:r>
        <w:t xml:space="preserve"> </w:t>
      </w:r>
      <w:r>
        <w:t xml:space="preserve">Cette seule commande répond directement au problème de saturation qui a motivé l’adoption de Kubernetes au chapitre 42 — répartir la charge sur davantage de réplicas, à condition que le cluster dispose de nœuds avec suffisamment de capacité disponible (rappel de la surveillance de la surallocation déjà établie au chapitre 33, applicable ici au niveau du cluster entier).</w:t>
      </w:r>
    </w:p>
    <w:bookmarkEnd w:id="1061"/>
    <w:bookmarkStart w:id="1062" w:name="Xa2eed1b8173594fb5c179b76b3eceb19b99f8b6"/>
    <w:p>
      <w:pPr>
        <w:pStyle w:val="Heading2"/>
      </w:pPr>
      <w:r>
        <w:t xml:space="preserve">43.6 Faire persister les données : PersistentVolume et PersistentVolumeClaim</w:t>
      </w:r>
    </w:p>
    <w:p>
      <w:pPr>
        <w:pStyle w:val="FirstParagraph"/>
      </w:pPr>
      <w:r>
        <w:t xml:space="preserve">📌 À retenir — le même besoin que le volume Docker du chapitre 40, à une échelle supérieure</w:t>
      </w:r>
      <w:r>
        <w:t xml:space="preserve"> </w:t>
      </w:r>
      <w:r>
        <w:t xml:space="preserve">Un</w:t>
      </w:r>
      <w:r>
        <w:t xml:space="preserve"> </w:t>
      </w:r>
      <w:r>
        <w:rPr>
          <w:b/>
          <w:bCs/>
        </w:rPr>
        <w:t xml:space="preserve">PersistentVolume</w:t>
      </w:r>
      <w:r>
        <w:t xml:space="preserve"> </w:t>
      </w:r>
      <w:r>
        <w:t xml:space="preserve">(PV) représente un espace de stockage réel, souvent fourni par le SAN déjà déployé au chapitre 29. Un</w:t>
      </w:r>
      <w:r>
        <w:t xml:space="preserve"> </w:t>
      </w:r>
      <w:r>
        <w:rPr>
          <w:b/>
          <w:bCs/>
        </w:rPr>
        <w:t xml:space="preserve">PersistentVolumeClaim</w:t>
      </w:r>
      <w:r>
        <w:t xml:space="preserve"> </w:t>
      </w:r>
      <w:r>
        <w:t xml:space="preserve">(PVC) est la demande qu’un Pod formule pour obtenir ce stockage — exactement le même besoin de faire persister des données au-delà du cycle de vie éphémère d’un conteneur, déjà résolu par les volumes Docker au chapitre 40, transposé ici à l’échelle d’un cluster multi-nœuds.</w:t>
      </w:r>
    </w:p>
    <w:p>
      <w:pPr>
        <w:pStyle w:val="SourceCode"/>
      </w:pPr>
      <w:r>
        <w:rPr>
          <w:rStyle w:val="CommentTok"/>
        </w:rPr>
        <w:t xml:space="preserve"># pvc.yaml -- pour la base de donnees PostgreSQL du portail</w:t>
      </w:r>
      <w:r>
        <w:br/>
      </w:r>
      <w:r>
        <w:rPr>
          <w:rStyle w:val="FunctionTok"/>
        </w:rPr>
        <w:t xml:space="preserve">apiVersion</w:t>
      </w:r>
      <w:r>
        <w:rPr>
          <w:rStyle w:val="KeywordTok"/>
        </w:rPr>
        <w:t xml:space="preserve">:</w:t>
      </w:r>
      <w:r>
        <w:rPr>
          <w:rStyle w:val="AttributeTok"/>
        </w:rPr>
        <w:t xml:space="preserve"> v1</w:t>
      </w:r>
      <w:r>
        <w:br/>
      </w:r>
      <w:r>
        <w:rPr>
          <w:rStyle w:val="FunctionTok"/>
        </w:rPr>
        <w:t xml:space="preserve">kind</w:t>
      </w:r>
      <w:r>
        <w:rPr>
          <w:rStyle w:val="KeywordTok"/>
        </w:rPr>
        <w:t xml:space="preserve">:</w:t>
      </w:r>
      <w:r>
        <w:rPr>
          <w:rStyle w:val="AttributeTok"/>
        </w:rPr>
        <w:t xml:space="preserve"> PersistentVolumeClaim</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portail-db-pvc</w:t>
      </w:r>
      <w:r>
        <w:br/>
      </w:r>
      <w:r>
        <w:rPr>
          <w:rStyle w:val="FunctionTok"/>
        </w:rPr>
        <w:t xml:space="preserve">spec</w:t>
      </w:r>
      <w:r>
        <w:rPr>
          <w:rStyle w:val="KeywordTok"/>
        </w:rPr>
        <w:t xml:space="preserve">:</w:t>
      </w:r>
      <w:r>
        <w:br/>
      </w:r>
      <w:r>
        <w:rPr>
          <w:rStyle w:val="AttributeTok"/>
        </w:rPr>
        <w:t xml:space="preserve">  </w:t>
      </w:r>
      <w:r>
        <w:rPr>
          <w:rStyle w:val="FunctionTok"/>
        </w:rPr>
        <w:t xml:space="preserve">accessModes</w:t>
      </w:r>
      <w:r>
        <w:rPr>
          <w:rStyle w:val="KeywordTok"/>
        </w:rPr>
        <w:t xml:space="preserve">:</w:t>
      </w:r>
      <w:r>
        <w:br/>
      </w:r>
      <w:r>
        <w:rPr>
          <w:rStyle w:val="AttributeTok"/>
        </w:rPr>
        <w:t xml:space="preserve">    </w:t>
      </w:r>
      <w:r>
        <w:rPr>
          <w:rStyle w:val="KeywordTok"/>
        </w:rPr>
        <w:t xml:space="preserve">-</w:t>
      </w:r>
      <w:r>
        <w:rPr>
          <w:rStyle w:val="AttributeTok"/>
        </w:rPr>
        <w:t xml:space="preserve"> ReadWriteOnce</w:t>
      </w:r>
      <w:r>
        <w:br/>
      </w:r>
      <w:r>
        <w:rPr>
          <w:rStyle w:val="AttributeTok"/>
        </w:rPr>
        <w:t xml:space="preserve">  </w:t>
      </w:r>
      <w:r>
        <w:rPr>
          <w:rStyle w:val="FunctionTok"/>
        </w:rPr>
        <w:t xml:space="preserve">resources</w:t>
      </w:r>
      <w:r>
        <w:rPr>
          <w:rStyle w:val="KeywordTok"/>
        </w:rPr>
        <w:t xml:space="preserve">:</w:t>
      </w:r>
      <w:r>
        <w:br/>
      </w:r>
      <w:r>
        <w:rPr>
          <w:rStyle w:val="AttributeTok"/>
        </w:rPr>
        <w:t xml:space="preserve">    </w:t>
      </w:r>
      <w:r>
        <w:rPr>
          <w:rStyle w:val="FunctionTok"/>
        </w:rPr>
        <w:t xml:space="preserve">requests</w:t>
      </w:r>
      <w:r>
        <w:rPr>
          <w:rStyle w:val="KeywordTok"/>
        </w:rPr>
        <w:t xml:space="preserve">:</w:t>
      </w:r>
      <w:r>
        <w:br/>
      </w:r>
      <w:r>
        <w:rPr>
          <w:rStyle w:val="AttributeTok"/>
        </w:rPr>
        <w:t xml:space="preserve">      </w:t>
      </w:r>
      <w:r>
        <w:rPr>
          <w:rStyle w:val="FunctionTok"/>
        </w:rPr>
        <w:t xml:space="preserve">storage</w:t>
      </w:r>
      <w:r>
        <w:rPr>
          <w:rStyle w:val="KeywordTok"/>
        </w:rPr>
        <w:t xml:space="preserve">:</w:t>
      </w:r>
      <w:r>
        <w:rPr>
          <w:rStyle w:val="AttributeTok"/>
        </w:rPr>
        <w:t xml:space="preserve"> 10Gi</w:t>
      </w:r>
    </w:p>
    <w:p>
      <w:pPr>
        <w:pStyle w:val="FirstParagraph"/>
      </w:pPr>
      <w:r>
        <w:t xml:space="preserve">🔒 Sécurité — sans PVC, les données disparaissent avec le Pod</w:t>
      </w:r>
      <w:r>
        <w:t xml:space="preserve"> </w:t>
      </w:r>
      <w:r>
        <w:t xml:space="preserve">Rappel direct du chapitre 40 : un Pod sans PersistentVolumeClaim stocke ses données dans une couche éphémère, perdue à sa suppression ou à son remplacement lors d’une mise à jour — exactement le même piège déjà dénoncé pour les conteneurs Docker isolés, transposé ici à Kubernetes sans aucune exception à cette règle.</w:t>
      </w:r>
    </w:p>
    <w:bookmarkEnd w:id="1062"/>
    <w:bookmarkStart w:id="1063" w:name="Xfba959bf627e82f80424f1d85d3fb9fdf9924d9"/>
    <w:p>
      <w:pPr>
        <w:pStyle w:val="Heading2"/>
      </w:pPr>
      <w:r>
        <w:t xml:space="preserve">43.7 Namespaces : organiser plusieurs environnements dans un même cluster</w:t>
      </w:r>
    </w:p>
    <w:p>
      <w:pPr>
        <w:pStyle w:val="SourceCode"/>
      </w:pPr>
      <w:r>
        <w:rPr>
          <w:rStyle w:val="VerbatimChar"/>
        </w:rPr>
        <w:t xml:space="preserve"># Creer des namespaces distincts pour separer les environnements</w:t>
      </w:r>
      <w:r>
        <w:br/>
      </w:r>
      <w:r>
        <w:rPr>
          <w:rStyle w:val="VerbatimChar"/>
        </w:rPr>
        <w:t xml:space="preserve">kubectl create namespace developpement</w:t>
      </w:r>
      <w:r>
        <w:br/>
      </w:r>
      <w:r>
        <w:rPr>
          <w:rStyle w:val="VerbatimChar"/>
        </w:rPr>
        <w:t xml:space="preserve">kubectl create namespace production</w:t>
      </w:r>
      <w:r>
        <w:br/>
      </w:r>
      <w:r>
        <w:br/>
      </w:r>
      <w:r>
        <w:rPr>
          <w:rStyle w:val="VerbatimChar"/>
        </w:rPr>
        <w:t xml:space="preserve"># Deployer dans un namespace precis</w:t>
      </w:r>
      <w:r>
        <w:br/>
      </w:r>
      <w:r>
        <w:rPr>
          <w:rStyle w:val="VerbatimChar"/>
        </w:rPr>
        <w:t xml:space="preserve">kubectl apply -f deployment.yaml -n production</w:t>
      </w:r>
    </w:p>
    <w:p>
      <w:pPr>
        <w:pStyle w:val="FirstParagraph"/>
      </w:pPr>
      <w:r>
        <w:t xml:space="preserve">✅ Bonne pratique — isoler les environnements, même au sein du même cluster</w:t>
      </w:r>
      <w:r>
        <w:t xml:space="preserve"> </w:t>
      </w:r>
      <w:r>
        <w:t xml:space="preserve">Les</w:t>
      </w:r>
      <w:r>
        <w:t xml:space="preserve"> </w:t>
      </w:r>
      <w:r>
        <w:rPr>
          <w:b/>
          <w:bCs/>
        </w:rPr>
        <w:t xml:space="preserve">namespaces</w:t>
      </w:r>
      <w:r>
        <w:t xml:space="preserve"> </w:t>
      </w:r>
      <w:r>
        <w:t xml:space="preserve">permettent de séparer logiquement plusieurs environnements ou projets (développement, test, production) au sein d’un même cluster physique, chacun avec ses propres objets, ses propres quotas de ressources, et des permissions d’accès potentiellement distinctes — un principe de segmentation qui rejoint directement l’esprit de la philosophie Zero Trust déjà établie au chapitre 26.</w:t>
      </w:r>
    </w:p>
    <w:bookmarkEnd w:id="1063"/>
    <w:bookmarkStart w:id="1064" w:name="X47b34996744e85717d9eaa01e07d50321d53bc2"/>
    <w:p>
      <w:pPr>
        <w:pStyle w:val="Heading2"/>
      </w:pPr>
      <w:r>
        <w:t xml:space="preserve">Atelier — Déployer et tester un rollback réel pour le portail</w:t>
      </w:r>
    </w:p>
    <w:p>
      <w:pPr>
        <w:pStyle w:val="FirstParagraph"/>
      </w:pPr>
      <w:r>
        <w:t xml:space="preserve">🛠️ Atelier 43 — Répondre concrètement à la demande du développeur</w:t>
      </w:r>
    </w:p>
    <w:p>
      <w:pPr>
        <w:pStyle w:val="BodyText"/>
      </w:pPr>
      <w:r>
        <w:rPr>
          <w:b/>
          <w:bCs/>
        </w:rPr>
        <w:t xml:space="preserve">Objectif</w:t>
      </w:r>
      <w:r>
        <w:t xml:space="preserve"> </w:t>
      </w:r>
      <w:r>
        <w:t xml:space="preserve">: construire et exécuter la démonstration demandée dans le scénario d’ouverture : un déploiement, une mise à jour progressive, et un retour en arrière.</w:t>
      </w:r>
    </w:p>
    <w:p>
      <w:pPr>
        <w:pStyle w:val="BodyText"/>
      </w:pPr>
      <w:r>
        <w:rPr>
          <w:b/>
          <w:bCs/>
        </w:rPr>
        <w:t xml:space="preserve">Préparation</w:t>
      </w:r>
      <w:r>
        <w:t xml:space="preserve"> </w:t>
      </w:r>
      <w:r>
        <w:t xml:space="preserve">: accès à un cluster Kubernetes de test (par exemple minikube ou k3s sur un lab, rappel du chapitre 37), ou une lecture attentive suffit pour cet atelier conceptuel.</w:t>
      </w:r>
    </w:p>
    <w:p>
      <w:pPr>
        <w:pStyle w:val="BodyText"/>
      </w:pPr>
      <w:r>
        <w:rPr>
          <w:b/>
          <w:bCs/>
        </w:rPr>
        <w:t xml:space="preserve">Étapes détaillées</w:t>
      </w:r>
      <w:r>
        <w:t xml:space="preserve"> </w:t>
      </w:r>
      <w:r>
        <w:t xml:space="preserve">:</w:t>
      </w:r>
    </w:p>
    <w:p>
      <w:pPr>
        <w:pStyle w:val="Compact"/>
        <w:numPr>
          <w:ilvl w:val="0"/>
          <w:numId w:val="1989"/>
        </w:numPr>
      </w:pPr>
      <w:r>
        <w:t xml:space="preserve">Rédige les manifestes Deployment, Service et PersistentVolumeClaim nécessaires pour le portail complet (application et base de données).</w:t>
      </w:r>
    </w:p>
    <w:p>
      <w:pPr>
        <w:pStyle w:val="Compact"/>
        <w:numPr>
          <w:ilvl w:val="0"/>
          <w:numId w:val="1989"/>
        </w:numPr>
      </w:pPr>
      <w:r>
        <w:t xml:space="preserve">Rédige la séquence de commandes pour appliquer ces manifestes, déclencher une mise à jour vers une nouvelle version, et l’observer.</w:t>
      </w:r>
    </w:p>
    <w:p>
      <w:pPr>
        <w:pStyle w:val="Compact"/>
        <w:numPr>
          <w:ilvl w:val="0"/>
          <w:numId w:val="1989"/>
        </w:numPr>
      </w:pPr>
      <w:r>
        <w:t xml:space="preserve">Rédige la commande pour simuler un problème détecté après la mise à jour et revenir à la version précédente.</w:t>
      </w:r>
    </w:p>
    <w:p>
      <w:pPr>
        <w:pStyle w:val="Compact"/>
        <w:numPr>
          <w:ilvl w:val="0"/>
          <w:numId w:val="1989"/>
        </w:numPr>
      </w:pPr>
      <w:r>
        <w:t xml:space="preserve">Compare ta démarche à la section</w:t>
      </w:r>
      <w:r>
        <w:t xml:space="preserve"> </w:t>
      </w:r>
      <w:r>
        <w:t xml:space="preserve">“Résultat attendu”</w:t>
      </w:r>
      <w:r>
        <w:t xml:space="preserve">.</w:t>
      </w:r>
    </w:p>
    <w:p>
      <w:pPr>
        <w:pStyle w:val="FirstParagraph"/>
      </w:pPr>
      <w:r>
        <w:rPr>
          <w:b/>
          <w:bCs/>
        </w:rPr>
        <w:t xml:space="preserve">Résultat attendu</w:t>
      </w:r>
      <w:r>
        <w:t xml:space="preserve"> </w:t>
      </w:r>
      <w:r>
        <w:t xml:space="preserve">:</w:t>
      </w:r>
      <w:r>
        <w:t xml:space="preserve"> </w:t>
      </w:r>
      <w:r>
        <w:rPr>
          <w:rStyle w:val="VerbatimChar"/>
        </w:rPr>
        <w:t xml:space="preserve">kubectl apply -f deployment.yaml -f service.yaml -f pvc.yaml</w:t>
      </w:r>
      <w:r>
        <w:t xml:space="preserve"> </w:t>
      </w:r>
      <w:r>
        <w:t xml:space="preserve">déploie l’ensemble.</w:t>
      </w:r>
      <w:r>
        <w:t xml:space="preserve"> </w:t>
      </w:r>
      <w:r>
        <w:rPr>
          <w:rStyle w:val="VerbatimChar"/>
        </w:rPr>
        <w:t xml:space="preserve">kubectl set image deployment/portail-app portail=portail-client:1.1</w:t>
      </w:r>
      <w:r>
        <w:t xml:space="preserve"> </w:t>
      </w:r>
      <w:r>
        <w:t xml:space="preserve">puis</w:t>
      </w:r>
      <w:r>
        <w:t xml:space="preserve"> </w:t>
      </w:r>
      <w:r>
        <w:rPr>
          <w:rStyle w:val="VerbatimChar"/>
        </w:rPr>
        <w:t xml:space="preserve">kubectl rollout status deployment/portail-app</w:t>
      </w:r>
      <w:r>
        <w:t xml:space="preserve"> </w:t>
      </w:r>
      <w:r>
        <w:t xml:space="preserve">déclenchent et observent la mise à jour progressive, sans jamais interrompre totalement le service (contrairement à la coupure du scénario d’ouverture du chapitre 42).</w:t>
      </w:r>
      <w:r>
        <w:t xml:space="preserve"> </w:t>
      </w:r>
      <w:r>
        <w:rPr>
          <w:rStyle w:val="VerbatimChar"/>
        </w:rPr>
        <w:t xml:space="preserve">kubectl rollout undo deployment/portail-app</w:t>
      </w:r>
      <w:r>
        <w:t xml:space="preserve"> </w:t>
      </w:r>
      <w:r>
        <w:t xml:space="preserve">revient à la version précédente en quelques secondes si un problème est détecté — la démonstration complète répondant exactement à la demande initiale du développeur.</w:t>
      </w:r>
    </w:p>
    <w:p>
      <w:pPr>
        <w:pStyle w:val="BodyText"/>
      </w:pPr>
      <w:r>
        <w:rPr>
          <w:b/>
          <w:bCs/>
        </w:rPr>
        <w:t xml:space="preserve">Dépannage</w:t>
      </w:r>
      <w:r>
        <w:t xml:space="preserve"> </w:t>
      </w:r>
      <w:r>
        <w:t xml:space="preserve">: si</w:t>
      </w:r>
      <w:r>
        <w:t xml:space="preserve"> </w:t>
      </w:r>
      <w:r>
        <w:rPr>
          <w:rStyle w:val="VerbatimChar"/>
        </w:rPr>
        <w:t xml:space="preserve">kubectl rollout status</w:t>
      </w:r>
      <w:r>
        <w:t xml:space="preserve"> </w:t>
      </w:r>
      <w:r>
        <w:t xml:space="preserve">semble bloqué indéfiniment, vérifie l’état des Pods avec</w:t>
      </w:r>
      <w:r>
        <w:t xml:space="preserve"> </w:t>
      </w:r>
      <w:r>
        <w:rPr>
          <w:rStyle w:val="VerbatimChar"/>
        </w:rPr>
        <w:t xml:space="preserve">kubectl get pods</w:t>
      </w:r>
      <w:r>
        <w:t xml:space="preserve"> </w:t>
      </w:r>
      <w:r>
        <w:t xml:space="preserve">et leurs journaux avec</w:t>
      </w:r>
      <w:r>
        <w:t xml:space="preserve"> </w:t>
      </w:r>
      <w:r>
        <w:rPr>
          <w:rStyle w:val="VerbatimChar"/>
        </w:rPr>
        <w:t xml:space="preserve">kubectl logs</w:t>
      </w:r>
      <w:r>
        <w:t xml:space="preserve"> </w:t>
      </w:r>
      <w:r>
        <w:t xml:space="preserve">(chapitre 42) — un blocage indique généralement que les nouveaux Pods n’arrivent pas à démarrer correctement, empêchant la suite normale de la transition progressive.</w:t>
      </w:r>
    </w:p>
    <w:bookmarkEnd w:id="1064"/>
    <w:bookmarkStart w:id="1065" w:name="erreurs-fréquentes-42"/>
    <w:p>
      <w:pPr>
        <w:pStyle w:val="Heading2"/>
      </w:pPr>
      <w:r>
        <w:t xml:space="preserve">Erreurs fréquentes</w:t>
      </w:r>
    </w:p>
    <w:p>
      <w:pPr>
        <w:pStyle w:val="FirstParagraph"/>
      </w:pPr>
      <w:r>
        <w:t xml:space="preserve">⚠️ Erreur n°1 — modifier un objet Kubernetes en direct plutôt que le manifeste</w:t>
      </w:r>
      <w:r>
        <w:t xml:space="preserve"> </w:t>
      </w:r>
      <w:r>
        <w:t xml:space="preserve">Rappel de la section 43.2 : une dérive de configuration invisible se crée immédiatement entre ce qui tourne réellement dans le cluster et ce que le fichier versionné décrit.</w:t>
      </w:r>
    </w:p>
    <w:p>
      <w:pPr>
        <w:pStyle w:val="BodyText"/>
      </w:pPr>
      <w:r>
        <w:t xml:space="preserve">⚠️ Erreur n°2 — considérer un Secret Kubernetes comme réellement chiffré par défaut</w:t>
      </w:r>
      <w:r>
        <w:t xml:space="preserve"> </w:t>
      </w:r>
      <w:r>
        <w:t xml:space="preserve">Rappel de la section 43.3 : base64 n’est pas un chiffrement — un piège de sécurité bien documenté et régulièrement responsable de fuites réelles dans l’industrie.</w:t>
      </w:r>
    </w:p>
    <w:p>
      <w:pPr>
        <w:pStyle w:val="BodyText"/>
      </w:pPr>
      <w:r>
        <w:t xml:space="preserve">⚠️ Erreur n°3 — oublier un PersistentVolumeClaim pour une base de données</w:t>
      </w:r>
      <w:r>
        <w:t xml:space="preserve"> </w:t>
      </w:r>
      <w:r>
        <w:t xml:space="preserve">Rappel de la section 43.6 : sans PVC, les données disparaissent exactement comme un conteneur Docker sans volume (chapitre 40) — une erreur aux conséquences potentiellement irréversibles.</w:t>
      </w:r>
    </w:p>
    <w:bookmarkEnd w:id="1065"/>
    <w:bookmarkStart w:id="1066" w:name="diagnostiquer-un-déploiement-qui-échoue"/>
    <w:p>
      <w:pPr>
        <w:pStyle w:val="Heading2"/>
      </w:pPr>
      <w:r>
        <w:t xml:space="preserve">Diagnostiquer un déploiement qui échoue</w:t>
      </w:r>
    </w:p>
    <w:p>
      <w:pPr>
        <w:pStyle w:val="FirstParagraph"/>
      </w:pPr>
      <w:r>
        <w:t xml:space="preserve">🩺 Situation :</w:t>
      </w:r>
      <w:r>
        <w:t xml:space="preserve"> </w:t>
      </w:r>
      <w:r>
        <w:rPr>
          <w:rStyle w:val="VerbatimChar"/>
        </w:rPr>
        <w:t xml:space="preserve">kubectl rollout status</w:t>
      </w:r>
      <w:r>
        <w:t xml:space="preserve"> </w:t>
      </w:r>
      <w:r>
        <w:t xml:space="preserve">reste bloqué, la mise à jour ne progresse pas</w:t>
      </w:r>
    </w:p>
    <w:p>
      <w:pPr>
        <w:pStyle w:val="Compact"/>
        <w:numPr>
          <w:ilvl w:val="0"/>
          <w:numId w:val="1990"/>
        </w:numPr>
      </w:pPr>
      <w:r>
        <w:rPr>
          <w:b/>
          <w:bCs/>
        </w:rPr>
        <w:t xml:space="preserve">Diagnostic</w:t>
      </w:r>
      <w:r>
        <w:t xml:space="preserve"> </w:t>
      </w:r>
      <w:r>
        <w:t xml:space="preserve">: les nouveaux Pods de la version cible n’atteignent probablement jamais un état sain, empêchant Kubernetes de poursuivre le remplacement progressif des anciens Pods.</w:t>
      </w:r>
    </w:p>
    <w:p>
      <w:pPr>
        <w:pStyle w:val="Compact"/>
        <w:numPr>
          <w:ilvl w:val="0"/>
          <w:numId w:val="1990"/>
        </w:numPr>
      </w:pPr>
      <w:r>
        <w:rPr>
          <w:b/>
          <w:bCs/>
        </w:rPr>
        <w:t xml:space="preserve">Comment vérifier</w:t>
      </w:r>
      <w:r>
        <w:t xml:space="preserve"> </w:t>
      </w:r>
      <w:r>
        <w:t xml:space="preserve">:</w:t>
      </w:r>
      <w:r>
        <w:t xml:space="preserve"> </w:t>
      </w:r>
      <w:r>
        <w:rPr>
          <w:rStyle w:val="VerbatimChar"/>
        </w:rPr>
        <w:t xml:space="preserve">kubectl get pods</w:t>
      </w:r>
      <w:r>
        <w:t xml:space="preserve"> </w:t>
      </w:r>
      <w:r>
        <w:t xml:space="preserve">révèle l’état de chaque Pod (</w:t>
      </w:r>
      <w:r>
        <w:rPr>
          <w:rStyle w:val="VerbatimChar"/>
        </w:rPr>
        <w:t xml:space="preserve">CrashLoopBackOff</w:t>
      </w:r>
      <w:r>
        <w:t xml:space="preserve">,</w:t>
      </w:r>
      <w:r>
        <w:t xml:space="preserve"> </w:t>
      </w:r>
      <w:r>
        <w:rPr>
          <w:rStyle w:val="VerbatimChar"/>
        </w:rPr>
        <w:t xml:space="preserve">ImagePullBackOff</w:t>
      </w:r>
      <w:r>
        <w:t xml:space="preserve">…) ;</w:t>
      </w:r>
      <w:r>
        <w:t xml:space="preserve"> </w:t>
      </w:r>
      <w:r>
        <w:rPr>
          <w:rStyle w:val="VerbatimChar"/>
        </w:rPr>
        <w:t xml:space="preserve">kubectl describe pod nom-du-pod</w:t>
      </w:r>
      <w:r>
        <w:t xml:space="preserve"> </w:t>
      </w:r>
      <w:r>
        <w:t xml:space="preserve">et</w:t>
      </w:r>
      <w:r>
        <w:t xml:space="preserve"> </w:t>
      </w:r>
      <w:r>
        <w:rPr>
          <w:rStyle w:val="VerbatimChar"/>
        </w:rPr>
        <w:t xml:space="preserve">kubectl logs nom-du-pod</w:t>
      </w:r>
      <w:r>
        <w:t xml:space="preserve"> </w:t>
      </w:r>
      <w:r>
        <w:t xml:space="preserve">(chapitre 42) précisent la cause exacte.</w:t>
      </w:r>
    </w:p>
    <w:p>
      <w:pPr>
        <w:pStyle w:val="Compact"/>
        <w:numPr>
          <w:ilvl w:val="0"/>
          <w:numId w:val="1990"/>
        </w:numPr>
      </w:pPr>
      <w:r>
        <w:rPr>
          <w:b/>
          <w:bCs/>
        </w:rPr>
        <w:t xml:space="preserve">Résolution</w:t>
      </w:r>
      <w:r>
        <w:t xml:space="preserve"> </w:t>
      </w:r>
      <w:r>
        <w:t xml:space="preserve">: corriger la cause identifiée (image introuvable, erreur de configuration, healthcheck échoué) puis relancer la mise à jour, ou exécuter</w:t>
      </w:r>
      <w:r>
        <w:t xml:space="preserve"> </w:t>
      </w:r>
      <w:r>
        <w:rPr>
          <w:rStyle w:val="VerbatimChar"/>
        </w:rPr>
        <w:t xml:space="preserve">kubectl rollout undo</w:t>
      </w:r>
      <w:r>
        <w:t xml:space="preserve"> </w:t>
      </w:r>
      <w:r>
        <w:t xml:space="preserve">immédiatement pour revenir à un état stable connu pendant l’investigation, sans laisser le service dans un état incertain plus longtemps que nécessaire.</w:t>
      </w:r>
    </w:p>
    <w:bookmarkEnd w:id="1066"/>
    <w:bookmarkStart w:id="1067" w:name="en-entreprise-42"/>
    <w:p>
      <w:pPr>
        <w:pStyle w:val="Heading2"/>
      </w:pPr>
      <w:r>
        <w:t xml:space="preserve">En entreprise</w:t>
      </w:r>
    </w:p>
    <w:p>
      <w:pPr>
        <w:pStyle w:val="Compact"/>
        <w:numPr>
          <w:ilvl w:val="0"/>
          <w:numId w:val="1991"/>
        </w:numPr>
      </w:pPr>
      <w:r>
        <w:rPr>
          <w:b/>
          <w:bCs/>
        </w:rPr>
        <w:t xml:space="preserve">Bonne pratique répandue</w:t>
      </w:r>
      <w:r>
        <w:t xml:space="preserve"> </w:t>
      </w:r>
      <w:r>
        <w:t xml:space="preserve">: versionner l’ensemble des manifestes Kubernetes dans Git, avec une revue avant tout changement significatif — exactement la même rigueur déjà appliquée aux Dockerfile (chapitre 40) et aux fichiers Compose (chapitre 41).</w:t>
      </w:r>
    </w:p>
    <w:p>
      <w:pPr>
        <w:pStyle w:val="Compact"/>
        <w:numPr>
          <w:ilvl w:val="0"/>
          <w:numId w:val="1991"/>
        </w:numPr>
      </w:pPr>
      <w:r>
        <w:rPr>
          <w:b/>
          <w:bCs/>
        </w:rPr>
        <w:t xml:space="preserve">Bonne pratique répandue</w:t>
      </w:r>
      <w:r>
        <w:t xml:space="preserve"> </w:t>
      </w:r>
      <w:r>
        <w:t xml:space="preserve">: utiliser un gestionnaire de secrets externe intégré à Kubernetes (approfondi en Partie 9) plutôt que de se fier uniquement aux Secrets natifs encodés en base64, pour toute donnée réellement sensible en production.</w:t>
      </w:r>
    </w:p>
    <w:p>
      <w:pPr>
        <w:pStyle w:val="Compact"/>
        <w:numPr>
          <w:ilvl w:val="0"/>
          <w:numId w:val="1991"/>
        </w:numPr>
      </w:pPr>
      <w:r>
        <w:rPr>
          <w:b/>
          <w:bCs/>
        </w:rPr>
        <w:t xml:space="preserve">Erreur classique observée</w:t>
      </w:r>
      <w:r>
        <w:t xml:space="preserve"> </w:t>
      </w:r>
      <w:r>
        <w:t xml:space="preserve">: une équipe qui découvre, lors d’un audit de sécurité, que des secrets de production stockés en Secrets Kubernetes natifs étaient lisibles en clair par quiconque avait accès en lecture à</w:t>
      </w:r>
      <w:r>
        <w:t xml:space="preserve"> </w:t>
      </w:r>
      <w:r>
        <w:rPr>
          <w:rStyle w:val="VerbatimChar"/>
        </w:rPr>
        <w:t xml:space="preserve">etcd</w:t>
      </w:r>
      <w:r>
        <w:t xml:space="preserve"> </w:t>
      </w:r>
      <w:r>
        <w:t xml:space="preserve">ou aux objets du namespace concerné — une découverte tardive et évitable avec la connaissance de la section 43.3.</w:t>
      </w:r>
    </w:p>
    <w:bookmarkEnd w:id="1067"/>
    <w:bookmarkStart w:id="1068" w:name="entretien-technique-42"/>
    <w:p>
      <w:pPr>
        <w:pStyle w:val="Heading2"/>
      </w:pPr>
      <w:r>
        <w:t xml:space="preserve">Entretien technique</w:t>
      </w:r>
    </w:p>
    <w:p>
      <w:pPr>
        <w:pStyle w:val="FirstParagraph"/>
      </w:pPr>
      <w:r>
        <w:t xml:space="preserve">💼 Questions fréquemment posées en entretien</w:t>
      </w:r>
    </w:p>
    <w:p>
      <w:pPr>
        <w:pStyle w:val="BodyText"/>
      </w:pPr>
      <w:r>
        <w:rPr>
          <w:b/>
          <w:bCs/>
        </w:rPr>
        <w:t xml:space="preserve">Q1.</w:t>
      </w:r>
      <w:r>
        <w:rPr>
          <w:b/>
          <w:bCs/>
        </w:rPr>
        <w:t xml:space="preserve"> </w:t>
      </w:r>
      <w:r>
        <w:rPr>
          <w:b/>
          <w:bCs/>
        </w:rPr>
        <w:t xml:space="preserve">“Comment déclenches-tu et surveilles-tu une mise à jour progressive sur Kubernetes ?”</w:t>
      </w:r>
      <w:r>
        <w:t xml:space="preserve"> </w:t>
      </w:r>
      <w:r>
        <w:t xml:space="preserve">Réponse attendue :</w:t>
      </w:r>
      <w:r>
        <w:t xml:space="preserve"> </w:t>
      </w:r>
      <w:r>
        <w:rPr>
          <w:rStyle w:val="VerbatimChar"/>
        </w:rPr>
        <w:t xml:space="preserve">kubectl set image</w:t>
      </w:r>
      <w:r>
        <w:t xml:space="preserve"> </w:t>
      </w:r>
      <w:r>
        <w:t xml:space="preserve">(ou une mise à jour du manifeste suivie de</w:t>
      </w:r>
      <w:r>
        <w:t xml:space="preserve"> </w:t>
      </w:r>
      <w:r>
        <w:rPr>
          <w:rStyle w:val="VerbatimChar"/>
        </w:rPr>
        <w:t xml:space="preserve">kubectl apply</w:t>
      </w:r>
      <w:r>
        <w:t xml:space="preserve">) déclenche la mise à jour ;</w:t>
      </w:r>
      <w:r>
        <w:t xml:space="preserve"> </w:t>
      </w:r>
      <w:r>
        <w:rPr>
          <w:rStyle w:val="VerbatimChar"/>
        </w:rPr>
        <w:t xml:space="preserve">kubectl rollout status</w:t>
      </w:r>
      <w:r>
        <w:t xml:space="preserve"> </w:t>
      </w:r>
      <w:r>
        <w:t xml:space="preserve">permet de suivre sa progression en temps réel ;</w:t>
      </w:r>
      <w:r>
        <w:t xml:space="preserve"> </w:t>
      </w:r>
      <w:r>
        <w:rPr>
          <w:rStyle w:val="VerbatimChar"/>
        </w:rPr>
        <w:t xml:space="preserve">kubectl rollout undo</w:t>
      </w:r>
      <w:r>
        <w:t xml:space="preserve"> </w:t>
      </w:r>
      <w:r>
        <w:t xml:space="preserve">permet un retour rapide à la version précédente en cas de problème détecté.</w:t>
      </w:r>
    </w:p>
    <w:p>
      <w:pPr>
        <w:pStyle w:val="BodyText"/>
      </w:pPr>
      <w:r>
        <w:rPr>
          <w:b/>
          <w:bCs/>
        </w:rPr>
        <w:t xml:space="preserve">Q2.</w:t>
      </w:r>
      <w:r>
        <w:rPr>
          <w:b/>
          <w:bCs/>
        </w:rPr>
        <w:t xml:space="preserve"> </w:t>
      </w:r>
      <w:r>
        <w:rPr>
          <w:b/>
          <w:bCs/>
        </w:rPr>
        <w:t xml:space="preserve">“Un Secret Kubernetes protège-t-il réellement un mot de passe contre toute lecture ?”</w:t>
      </w:r>
      <w:r>
        <w:t xml:space="preserve"> </w:t>
      </w:r>
      <w:r>
        <w:t xml:space="preserve">Réponse attendue : non, par défaut un Secret encode simplement sa valeur en base64, un encodage réversible en une seule commande, pas un chiffrement — une configuration supplémentaire (chiffrement d’etcd ou gestionnaire de secrets externe) est nécessaire pour une protection réelle, un piège de sécurité fréquemment mal compris.</w:t>
      </w:r>
    </w:p>
    <w:p>
      <w:pPr>
        <w:pStyle w:val="BodyText"/>
      </w:pPr>
      <w:r>
        <w:rPr>
          <w:b/>
          <w:bCs/>
        </w:rPr>
        <w:t xml:space="preserve">Q3.</w:t>
      </w:r>
      <w:r>
        <w:rPr>
          <w:b/>
          <w:bCs/>
        </w:rPr>
        <w:t xml:space="preserve"> </w:t>
      </w:r>
      <w:r>
        <w:rPr>
          <w:b/>
          <w:bCs/>
        </w:rPr>
        <w:t xml:space="preserve">“Que se passe-t-il si un Pod avec des données importantes est supprimé sans PersistentVolumeClaim ?”</w:t>
      </w:r>
      <w:r>
        <w:t xml:space="preserve"> </w:t>
      </w:r>
      <w:r>
        <w:t xml:space="preserve">Réponse attendue : les données stockées dans la couche éphémère du Pod sont définitivement perdues, exactement comme un conteneur Docker sans volume monté (chapitre 40) — un PersistentVolumeClaim doit être explicitement configuré pour que les données survivent au remplacement ou à la suppression du Pod.</w:t>
      </w:r>
    </w:p>
    <w:bookmarkEnd w:id="1068"/>
    <w:bookmarkStart w:id="1069" w:name="Xd97cdf40c2e4b83636bd0e9e86ef604171c96eb"/>
    <w:p>
      <w:pPr>
        <w:pStyle w:val="Heading2"/>
      </w:pPr>
      <w:r>
        <w:t xml:space="preserve">Optimisation, sécurité et maintenabilité — les réflexes dès ce chapitre</w:t>
      </w:r>
    </w:p>
    <w:p>
      <w:pPr>
        <w:pStyle w:val="FirstParagraph"/>
      </w:pPr>
      <w:r>
        <w:t xml:space="preserve">🔒 Sécurité</w:t>
      </w:r>
      <w:r>
        <w:t xml:space="preserve"> </w:t>
      </w:r>
      <w:r>
        <w:t xml:space="preserve">Ne considère jamais un Secret Kubernetes natif comme suffisant pour une donnée réellement critique sans configuration de chiffrement supplémentaire — le réflexe de vigilance le plus important de ce chapitre, à ne jamais négliger en production.</w:t>
      </w:r>
    </w:p>
    <w:p>
      <w:pPr>
        <w:pStyle w:val="BodyText"/>
      </w:pPr>
      <w:r>
        <w:t xml:space="preserve">✅ Maintenabilité</w:t>
      </w:r>
      <w:r>
        <w:t xml:space="preserve"> </w:t>
      </w:r>
      <w:r>
        <w:t xml:space="preserve">Modifie toujours le manifeste source avant d’appliquer un changement (</w:t>
      </w:r>
      <w:r>
        <w:rPr>
          <w:rStyle w:val="VerbatimChar"/>
        </w:rPr>
        <w:t xml:space="preserve">kubectl apply</w:t>
      </w:r>
      <w:r>
        <w:t xml:space="preserve">), jamais l’objet en direct via</w:t>
      </w:r>
      <w:r>
        <w:t xml:space="preserve"> </w:t>
      </w:r>
      <w:r>
        <w:rPr>
          <w:rStyle w:val="VerbatimChar"/>
        </w:rPr>
        <w:t xml:space="preserve">kubectl edit</w:t>
      </w:r>
      <w:r>
        <w:t xml:space="preserve"> </w:t>
      </w:r>
      <w:r>
        <w:t xml:space="preserve">— le même principe d’Infrastructure as Code déjà établi pour Docker Compose, prolongé ici sans exception.</w:t>
      </w:r>
    </w:p>
    <w:p>
      <w:pPr>
        <w:pStyle w:val="BodyText"/>
      </w:pPr>
      <w:r>
        <w:t xml:space="preserve">🚀 Performance</w:t>
      </w:r>
      <w:r>
        <w:t xml:space="preserve"> </w:t>
      </w:r>
      <w:r>
        <w:t xml:space="preserve">Ajuste</w:t>
      </w:r>
      <w:r>
        <w:t xml:space="preserve"> </w:t>
      </w:r>
      <w:r>
        <w:rPr>
          <w:rStyle w:val="VerbatimChar"/>
        </w:rPr>
        <w:t xml:space="preserve">maxUnavailable</w:t>
      </w:r>
      <w:r>
        <w:t xml:space="preserve"> </w:t>
      </w:r>
      <w:r>
        <w:t xml:space="preserve">et</w:t>
      </w:r>
      <w:r>
        <w:t xml:space="preserve"> </w:t>
      </w:r>
      <w:r>
        <w:rPr>
          <w:rStyle w:val="VerbatimChar"/>
        </w:rPr>
        <w:t xml:space="preserve">maxSurge</w:t>
      </w:r>
      <w:r>
        <w:t xml:space="preserve"> </w:t>
      </w:r>
      <w:r>
        <w:t xml:space="preserve">selon la criticité réelle du service et la capacité disponible du cluster — un réglage trop agressif de</w:t>
      </w:r>
      <w:r>
        <w:t xml:space="preserve"> </w:t>
      </w:r>
      <w:r>
        <w:rPr>
          <w:rStyle w:val="VerbatimChar"/>
        </w:rPr>
        <w:t xml:space="preserve">maxSurge</w:t>
      </w:r>
      <w:r>
        <w:t xml:space="preserve"> </w:t>
      </w:r>
      <w:r>
        <w:t xml:space="preserve">peut temporairement solliciter davantage de ressources que le cluster n’en dispose, ralentissant ou bloquant la mise à jour elle-même.</w:t>
      </w:r>
    </w:p>
    <w:bookmarkEnd w:id="1069"/>
    <w:bookmarkStart w:id="1070" w:name="résumé-du-chapitre-42"/>
    <w:p>
      <w:pPr>
        <w:pStyle w:val="Heading2"/>
      </w:pPr>
      <w:r>
        <w:t xml:space="preserve">Résumé du chapitre</w:t>
      </w:r>
    </w:p>
    <w:p>
      <w:pPr>
        <w:pStyle w:val="Compact"/>
        <w:numPr>
          <w:ilvl w:val="0"/>
          <w:numId w:val="1992"/>
        </w:numPr>
      </w:pPr>
      <w:r>
        <w:t xml:space="preserve">Un manifeste complet combine généralement Deployment (réplicas, stratégie de mise à jour) et Service (accès stable) pour une application donnée.</w:t>
      </w:r>
    </w:p>
    <w:p>
      <w:pPr>
        <w:pStyle w:val="Compact"/>
        <w:numPr>
          <w:ilvl w:val="0"/>
          <w:numId w:val="1992"/>
        </w:numPr>
      </w:pPr>
      <w:r>
        <w:t xml:space="preserve">Tout changement doit passer par une modification du manifeste suivie de</w:t>
      </w:r>
      <w:r>
        <w:t xml:space="preserve"> </w:t>
      </w:r>
      <w:r>
        <w:rPr>
          <w:rStyle w:val="VerbatimChar"/>
        </w:rPr>
        <w:t xml:space="preserve">kubectl apply</w:t>
      </w:r>
      <w:r>
        <w:t xml:space="preserve">, jamais une modification directe en production, sous peine de dérive de configuration.</w:t>
      </w:r>
    </w:p>
    <w:p>
      <w:pPr>
        <w:pStyle w:val="Compact"/>
        <w:numPr>
          <w:ilvl w:val="0"/>
          <w:numId w:val="1992"/>
        </w:numPr>
      </w:pPr>
      <w:r>
        <w:t xml:space="preserve">Un Secret Kubernetes encode ses valeurs en base64, pas en chiffrement réel — un piège de sécurité fréquemment mal compris qui nécessite une configuration supplémentaire pour une vraie protection.</w:t>
      </w:r>
    </w:p>
    <w:p>
      <w:pPr>
        <w:pStyle w:val="Compact"/>
        <w:numPr>
          <w:ilvl w:val="0"/>
          <w:numId w:val="1992"/>
        </w:numPr>
      </w:pPr>
      <w:r>
        <w:rPr>
          <w:rStyle w:val="VerbatimChar"/>
        </w:rPr>
        <w:t xml:space="preserve">kubectl rollout status</w:t>
      </w:r>
      <w:r>
        <w:t xml:space="preserve">,</w:t>
      </w:r>
      <w:r>
        <w:t xml:space="preserve"> </w:t>
      </w:r>
      <w:r>
        <w:rPr>
          <w:rStyle w:val="VerbatimChar"/>
        </w:rPr>
        <w:t xml:space="preserve">history</w:t>
      </w:r>
      <w:r>
        <w:t xml:space="preserve"> </w:t>
      </w:r>
      <w:r>
        <w:t xml:space="preserve">et</w:t>
      </w:r>
      <w:r>
        <w:t xml:space="preserve"> </w:t>
      </w:r>
      <w:r>
        <w:rPr>
          <w:rStyle w:val="VerbatimChar"/>
        </w:rPr>
        <w:t xml:space="preserve">undo</w:t>
      </w:r>
      <w:r>
        <w:t xml:space="preserve"> </w:t>
      </w:r>
      <w:r>
        <w:t xml:space="preserve">permettent d’observer une mise à jour progressive et de revenir rapidement en arrière en cas de problème.</w:t>
      </w:r>
    </w:p>
    <w:p>
      <w:pPr>
        <w:pStyle w:val="Compact"/>
        <w:numPr>
          <w:ilvl w:val="0"/>
          <w:numId w:val="1992"/>
        </w:numPr>
      </w:pPr>
      <w:r>
        <w:t xml:space="preserve">Un PersistentVolumeClaim est indispensable pour faire persister des données au-delà du cycle de vie d’un Pod, exactement comme un volume Docker au chapitre 40.</w:t>
      </w:r>
    </w:p>
    <w:p>
      <w:pPr>
        <w:pStyle w:val="Compact"/>
        <w:numPr>
          <w:ilvl w:val="0"/>
          <w:numId w:val="1992"/>
        </w:numPr>
      </w:pPr>
      <w:r>
        <w:t xml:space="preserve">Les namespaces isolent plusieurs environnements ou projets au sein d’un même cluster.</w:t>
      </w:r>
    </w:p>
    <w:bookmarkEnd w:id="1070"/>
    <w:bookmarkStart w:id="1071" w:name="quiz-42"/>
    <w:p>
      <w:pPr>
        <w:pStyle w:val="Heading2"/>
      </w:pPr>
      <w:r>
        <w:t xml:space="preserve">Quiz</w:t>
      </w:r>
    </w:p>
    <w:p>
      <w:pPr>
        <w:pStyle w:val="FirstParagraph"/>
      </w:pPr>
      <w:r>
        <w:t xml:space="preserve">📝 QCM (une seule bonne réponse par question)</w:t>
      </w:r>
    </w:p>
    <w:p>
      <w:pPr>
        <w:pStyle w:val="Compact"/>
        <w:numPr>
          <w:ilvl w:val="0"/>
          <w:numId w:val="1993"/>
        </w:numPr>
      </w:pPr>
      <w:r>
        <w:rPr>
          <w:rStyle w:val="VerbatimChar"/>
        </w:rPr>
        <w:t xml:space="preserve">kubectl rollout undo</w:t>
      </w:r>
      <w:r>
        <w:t xml:space="preserve"> </w:t>
      </w:r>
      <w:r>
        <w:t xml:space="preserve">sert à :</w:t>
      </w:r>
    </w:p>
    <w:p>
      <w:pPr>
        <w:pStyle w:val="Compact"/>
        <w:numPr>
          <w:ilvl w:val="1"/>
          <w:numId w:val="1994"/>
        </w:numPr>
      </w:pPr>
    </w:p>
    <w:p>
      <w:pPr>
        <w:pStyle w:val="Compact"/>
        <w:numPr>
          <w:ilvl w:val="2"/>
          <w:numId w:val="1995"/>
        </w:numPr>
      </w:pPr>
      <w:r>
        <w:t xml:space="preserve">Supprimer définitivement un Deployment</w:t>
      </w:r>
    </w:p>
    <w:p>
      <w:pPr>
        <w:pStyle w:val="Compact"/>
        <w:numPr>
          <w:ilvl w:val="1"/>
          <w:numId w:val="1994"/>
        </w:numPr>
      </w:pPr>
    </w:p>
    <w:p>
      <w:pPr>
        <w:pStyle w:val="Compact"/>
        <w:numPr>
          <w:ilvl w:val="2"/>
          <w:numId w:val="1996"/>
        </w:numPr>
      </w:pPr>
      <w:r>
        <w:t xml:space="preserve">Revenir à la version précédente d’un Deployment</w:t>
      </w:r>
    </w:p>
    <w:p>
      <w:pPr>
        <w:pStyle w:val="Compact"/>
        <w:numPr>
          <w:ilvl w:val="1"/>
          <w:numId w:val="1994"/>
        </w:numPr>
      </w:pPr>
    </w:p>
    <w:p>
      <w:pPr>
        <w:pStyle w:val="Compact"/>
        <w:numPr>
          <w:ilvl w:val="2"/>
          <w:numId w:val="1997"/>
        </w:numPr>
      </w:pPr>
      <w:r>
        <w:t xml:space="preserve">Créer un nouveau namespace</w:t>
      </w:r>
    </w:p>
    <w:p>
      <w:pPr>
        <w:pStyle w:val="Compact"/>
        <w:numPr>
          <w:ilvl w:val="1"/>
          <w:numId w:val="1994"/>
        </w:numPr>
      </w:pPr>
    </w:p>
    <w:p>
      <w:pPr>
        <w:pStyle w:val="Compact"/>
        <w:numPr>
          <w:ilvl w:val="2"/>
          <w:numId w:val="1998"/>
        </w:numPr>
      </w:pPr>
      <w:r>
        <w:t xml:space="preserve">Chiffrer un Secret</w:t>
      </w:r>
    </w:p>
    <w:p>
      <w:pPr>
        <w:pStyle w:val="Compact"/>
        <w:numPr>
          <w:ilvl w:val="0"/>
          <w:numId w:val="1993"/>
        </w:numPr>
      </w:pPr>
      <w:r>
        <w:t xml:space="preserve">Un Secret Kubernetes, par défaut :</w:t>
      </w:r>
    </w:p>
    <w:p>
      <w:pPr>
        <w:pStyle w:val="Compact"/>
        <w:numPr>
          <w:ilvl w:val="1"/>
          <w:numId w:val="1999"/>
        </w:numPr>
      </w:pPr>
    </w:p>
    <w:p>
      <w:pPr>
        <w:pStyle w:val="Compact"/>
        <w:numPr>
          <w:ilvl w:val="2"/>
          <w:numId w:val="2000"/>
        </w:numPr>
      </w:pPr>
      <w:r>
        <w:t xml:space="preserve">Chiffre réellement ses valeurs</w:t>
      </w:r>
    </w:p>
    <w:p>
      <w:pPr>
        <w:pStyle w:val="Compact"/>
        <w:numPr>
          <w:ilvl w:val="1"/>
          <w:numId w:val="1999"/>
        </w:numPr>
      </w:pPr>
    </w:p>
    <w:p>
      <w:pPr>
        <w:pStyle w:val="Compact"/>
        <w:numPr>
          <w:ilvl w:val="2"/>
          <w:numId w:val="2001"/>
        </w:numPr>
      </w:pPr>
      <w:r>
        <w:t xml:space="preserve">Encode ses valeurs en base64, sans chiffrement réel</w:t>
      </w:r>
    </w:p>
    <w:p>
      <w:pPr>
        <w:pStyle w:val="Compact"/>
        <w:numPr>
          <w:ilvl w:val="1"/>
          <w:numId w:val="1999"/>
        </w:numPr>
      </w:pPr>
    </w:p>
    <w:p>
      <w:pPr>
        <w:pStyle w:val="Compact"/>
        <w:numPr>
          <w:ilvl w:val="2"/>
          <w:numId w:val="2002"/>
        </w:numPr>
      </w:pPr>
      <w:r>
        <w:t xml:space="preserve">Ne peut jamais être lu par personne</w:t>
      </w:r>
    </w:p>
    <w:p>
      <w:pPr>
        <w:pStyle w:val="Compact"/>
        <w:numPr>
          <w:ilvl w:val="1"/>
          <w:numId w:val="1999"/>
        </w:numPr>
      </w:pPr>
    </w:p>
    <w:p>
      <w:pPr>
        <w:pStyle w:val="Compact"/>
        <w:numPr>
          <w:ilvl w:val="2"/>
          <w:numId w:val="2003"/>
        </w:numPr>
      </w:pPr>
      <w:r>
        <w:t xml:space="preserve">Est automatiquement supprimé après 24 heures</w:t>
      </w:r>
    </w:p>
    <w:p>
      <w:pPr>
        <w:pStyle w:val="Compact"/>
        <w:numPr>
          <w:ilvl w:val="0"/>
          <w:numId w:val="1993"/>
        </w:numPr>
      </w:pPr>
      <w:r>
        <w:t xml:space="preserve">Sans PersistentVolumeClaim, les données d’un Pod :</w:t>
      </w:r>
    </w:p>
    <w:p>
      <w:pPr>
        <w:pStyle w:val="Compact"/>
        <w:numPr>
          <w:ilvl w:val="1"/>
          <w:numId w:val="2004"/>
        </w:numPr>
      </w:pPr>
    </w:p>
    <w:p>
      <w:pPr>
        <w:pStyle w:val="Compact"/>
        <w:numPr>
          <w:ilvl w:val="2"/>
          <w:numId w:val="2005"/>
        </w:numPr>
      </w:pPr>
      <w:r>
        <w:t xml:space="preserve">Sont automatiquement sauvegardées ailleurs</w:t>
      </w:r>
    </w:p>
    <w:p>
      <w:pPr>
        <w:pStyle w:val="Compact"/>
        <w:numPr>
          <w:ilvl w:val="1"/>
          <w:numId w:val="2004"/>
        </w:numPr>
      </w:pPr>
    </w:p>
    <w:p>
      <w:pPr>
        <w:pStyle w:val="Compact"/>
        <w:numPr>
          <w:ilvl w:val="2"/>
          <w:numId w:val="2006"/>
        </w:numPr>
      </w:pPr>
      <w:r>
        <w:t xml:space="preserve">Disparaissent à la suppression ou au remplacement du Pod</w:t>
      </w:r>
    </w:p>
    <w:p>
      <w:pPr>
        <w:pStyle w:val="Compact"/>
        <w:numPr>
          <w:ilvl w:val="1"/>
          <w:numId w:val="2004"/>
        </w:numPr>
      </w:pPr>
    </w:p>
    <w:p>
      <w:pPr>
        <w:pStyle w:val="Compact"/>
        <w:numPr>
          <w:ilvl w:val="2"/>
          <w:numId w:val="2007"/>
        </w:numPr>
      </w:pPr>
      <w:r>
        <w:t xml:space="preserve">Sont répliquées sur tous les nœuds du cluster</w:t>
      </w:r>
    </w:p>
    <w:p>
      <w:pPr>
        <w:pStyle w:val="Compact"/>
        <w:numPr>
          <w:ilvl w:val="1"/>
          <w:numId w:val="2004"/>
        </w:numPr>
      </w:pPr>
    </w:p>
    <w:p>
      <w:pPr>
        <w:pStyle w:val="Compact"/>
        <w:numPr>
          <w:ilvl w:val="2"/>
          <w:numId w:val="2008"/>
        </w:numPr>
      </w:pPr>
      <w:r>
        <w:t xml:space="preserve">Deviennent en lecture seule</w:t>
      </w:r>
    </w:p>
    <w:p>
      <w:pPr>
        <w:pStyle w:val="FirstParagraph"/>
      </w:pPr>
      <w:r>
        <w:rPr>
          <w:b/>
          <w:bCs/>
        </w:rPr>
        <w:t xml:space="preserve">Corrigé</w:t>
      </w:r>
      <w:r>
        <w:t xml:space="preserve"> </w:t>
      </w:r>
      <w:r>
        <w:t xml:space="preserve">: 1-b, 2-b, 3-b.</w:t>
      </w:r>
    </w:p>
    <w:p>
      <w:pPr>
        <w:pStyle w:val="BodyText"/>
      </w:pPr>
      <w:r>
        <w:t xml:space="preserve">📝 Vrai ou Faux</w:t>
      </w:r>
    </w:p>
    <w:p>
      <w:pPr>
        <w:pStyle w:val="Compact"/>
        <w:numPr>
          <w:ilvl w:val="0"/>
          <w:numId w:val="2009"/>
        </w:numPr>
      </w:pPr>
      <w:r>
        <w:t xml:space="preserve">Modifier un objet Kubernetes directement avec</w:t>
      </w:r>
      <w:r>
        <w:t xml:space="preserve"> </w:t>
      </w:r>
      <w:r>
        <w:rPr>
          <w:rStyle w:val="VerbatimChar"/>
        </w:rPr>
        <w:t xml:space="preserve">kubectl edit</w:t>
      </w:r>
      <w:r>
        <w:t xml:space="preserve"> </w:t>
      </w:r>
      <w:r>
        <w:t xml:space="preserve">est équivalent à modifier le manifeste source. —</w:t>
      </w:r>
      <w:r>
        <w:t xml:space="preserve"> </w:t>
      </w:r>
      <w:r>
        <w:rPr>
          <w:b/>
          <w:bCs/>
        </w:rPr>
        <w:t xml:space="preserve">Faux</w:t>
      </w:r>
      <w:r>
        <w:t xml:space="preserve"> </w:t>
      </w:r>
      <w:r>
        <w:t xml:space="preserve">(crée une dérive de configuration, section 43.2).</w:t>
      </w:r>
    </w:p>
    <w:p>
      <w:pPr>
        <w:pStyle w:val="Compact"/>
        <w:numPr>
          <w:ilvl w:val="0"/>
          <w:numId w:val="2009"/>
        </w:numPr>
      </w:pPr>
      <w:r>
        <w:rPr>
          <w:rStyle w:val="VerbatimChar"/>
        </w:rPr>
        <w:t xml:space="preserve">maxUnavailable</w:t>
      </w:r>
      <w:r>
        <w:t xml:space="preserve"> </w:t>
      </w:r>
      <w:r>
        <w:t xml:space="preserve">et</w:t>
      </w:r>
      <w:r>
        <w:t xml:space="preserve"> </w:t>
      </w:r>
      <w:r>
        <w:rPr>
          <w:rStyle w:val="VerbatimChar"/>
        </w:rPr>
        <w:t xml:space="preserve">maxSurge</w:t>
      </w:r>
      <w:r>
        <w:t xml:space="preserve"> </w:t>
      </w:r>
      <w:r>
        <w:t xml:space="preserve">contrôlent le rythme d’une mise à jour progressive. —</w:t>
      </w:r>
      <w:r>
        <w:t xml:space="preserve"> </w:t>
      </w:r>
      <w:r>
        <w:rPr>
          <w:b/>
          <w:bCs/>
        </w:rPr>
        <w:t xml:space="preserve">Vrai</w:t>
      </w:r>
      <w:r>
        <w:t xml:space="preserve">.</w:t>
      </w:r>
    </w:p>
    <w:p>
      <w:pPr>
        <w:pStyle w:val="Compact"/>
        <w:numPr>
          <w:ilvl w:val="0"/>
          <w:numId w:val="2009"/>
        </w:numPr>
      </w:pPr>
      <w:r>
        <w:t xml:space="preserve">Un namespace Kubernetes permet d’isoler logiquement plusieurs environnements au sein d’un même cluster. —</w:t>
      </w:r>
      <w:r>
        <w:t xml:space="preserve"> </w:t>
      </w:r>
      <w:r>
        <w:rPr>
          <w:b/>
          <w:bCs/>
        </w:rPr>
        <w:t xml:space="preserve">Vrai</w:t>
      </w:r>
      <w:r>
        <w:t xml:space="preserve">.</w:t>
      </w:r>
    </w:p>
    <w:p>
      <w:pPr>
        <w:pStyle w:val="Compact"/>
        <w:numPr>
          <w:ilvl w:val="0"/>
          <w:numId w:val="2009"/>
        </w:numPr>
      </w:pPr>
      <w:r>
        <w:rPr>
          <w:rStyle w:val="VerbatimChar"/>
        </w:rPr>
        <w:t xml:space="preserve">kubectl scale</w:t>
      </w:r>
      <w:r>
        <w:t xml:space="preserve"> </w:t>
      </w:r>
      <w:r>
        <w:t xml:space="preserve">nécessite de réécrire entièrement le manifeste du Deployment. —</w:t>
      </w:r>
      <w:r>
        <w:t xml:space="preserve"> </w:t>
      </w:r>
      <w:r>
        <w:rPr>
          <w:b/>
          <w:bCs/>
        </w:rPr>
        <w:t xml:space="preserve">Faux</w:t>
      </w:r>
      <w:r>
        <w:t xml:space="preserve"> </w:t>
      </w:r>
      <w:r>
        <w:t xml:space="preserve">(une commande directe suffit, section 43.5, bien qu’il reste recommandé de refléter ce changement dans le manifeste source ensuite).</w:t>
      </w:r>
    </w:p>
    <w:p>
      <w:pPr>
        <w:pStyle w:val="FirstParagraph"/>
      </w:pPr>
      <w:r>
        <w:t xml:space="preserve">📝 Questions ouvertes</w:t>
      </w:r>
    </w:p>
    <w:p>
      <w:pPr>
        <w:pStyle w:val="Compact"/>
        <w:numPr>
          <w:ilvl w:val="0"/>
          <w:numId w:val="2010"/>
        </w:numPr>
      </w:pPr>
      <w:r>
        <w:t xml:space="preserve">Explique pourquoi</w:t>
      </w:r>
      <w:r>
        <w:t xml:space="preserve"> </w:t>
      </w:r>
      <w:r>
        <w:rPr>
          <w:rStyle w:val="VerbatimChar"/>
        </w:rPr>
        <w:t xml:space="preserve">kubectl rollout undo</w:t>
      </w:r>
      <w:r>
        <w:t xml:space="preserve"> </w:t>
      </w:r>
      <w:r>
        <w:t xml:space="preserve">constitue un filet de sécurité plus rapide qu’une restauration de sauvegarde classique (chapitre 30) pour corriger un déploiement problématique.</w:t>
      </w:r>
    </w:p>
    <w:p>
      <w:pPr>
        <w:pStyle w:val="Compact"/>
        <w:numPr>
          <w:ilvl w:val="0"/>
          <w:numId w:val="2010"/>
        </w:numPr>
      </w:pPr>
      <w:r>
        <w:t xml:space="preserve">Reprends le scénario d’ouverture. Explique comment la démonstration de ce chapitre répond concrètement aux deux exigences du développeur (mise à jour sans coupure, retour en arrière facile).</w:t>
      </w:r>
    </w:p>
    <w:p>
      <w:pPr>
        <w:pStyle w:val="FirstParagraph"/>
      </w:pPr>
      <w:r>
        <w:rPr>
          <w:b/>
          <w:bCs/>
        </w:rPr>
        <w:t xml:space="preserve">Corrigé 1</w:t>
      </w:r>
      <w:r>
        <w:t xml:space="preserve"> </w:t>
      </w:r>
      <w:r>
        <w:t xml:space="preserve">:</w:t>
      </w:r>
      <w:r>
        <w:t xml:space="preserve"> </w:t>
      </w:r>
      <w:r>
        <w:rPr>
          <w:rStyle w:val="VerbatimChar"/>
        </w:rPr>
        <w:t xml:space="preserve">kubectl rollout undo</w:t>
      </w:r>
      <w:r>
        <w:t xml:space="preserve"> </w:t>
      </w:r>
      <w:r>
        <w:t xml:space="preserve">ne restaure pas des données depuis une sauvegarde externe — il redéploie simplement la version précédente de l’application, déjà connue et déjà construite, via le même mécanisme de mise à jour progressive que le déploiement initial. Cette opération se mesure en quelques secondes à quelques minutes, bien plus rapide qu’une restauration de sauvegarde complète (chapitre 30), qui implique généralement de récupérer et de réappliquer des données depuis un stockage externe — les deux mécanismes restent complémentaires, le rollback couvrant les problèmes de version applicative, la sauvegarde couvrant la perte de données réelle.</w:t>
      </w:r>
    </w:p>
    <w:p>
      <w:pPr>
        <w:pStyle w:val="BodyText"/>
      </w:pPr>
      <w:r>
        <w:rPr>
          <w:b/>
          <w:bCs/>
        </w:rPr>
        <w:t xml:space="preserve">Corrigé 2</w:t>
      </w:r>
      <w:r>
        <w:t xml:space="preserve"> </w:t>
      </w:r>
      <w:r>
        <w:t xml:space="preserve">: la stratégie</w:t>
      </w:r>
      <w:r>
        <w:t xml:space="preserve"> </w:t>
      </w:r>
      <w:r>
        <w:rPr>
          <w:rStyle w:val="VerbatimChar"/>
        </w:rPr>
        <w:t xml:space="preserve">RollingUpdate</w:t>
      </w:r>
      <w:r>
        <w:t xml:space="preserve"> </w:t>
      </w:r>
      <w:r>
        <w:t xml:space="preserve">avec</w:t>
      </w:r>
      <w:r>
        <w:t xml:space="preserve"> </w:t>
      </w:r>
      <w:r>
        <w:rPr>
          <w:rStyle w:val="VerbatimChar"/>
        </w:rPr>
        <w:t xml:space="preserve">maxUnavailable: 1</w:t>
      </w:r>
      <w:r>
        <w:t xml:space="preserve"> </w:t>
      </w:r>
      <w:r>
        <w:t xml:space="preserve">(section 43.1) garantit qu’au moins deux des trois réplicas restent toujours disponibles pendant toute mise à jour, éliminant la coupure totale vécue avec Docker Compose au chapitre 42 — la première exigence est directement satisfaite.</w:t>
      </w:r>
      <w:r>
        <w:t xml:space="preserve"> </w:t>
      </w:r>
      <w:r>
        <w:rPr>
          <w:rStyle w:val="VerbatimChar"/>
        </w:rPr>
        <w:t xml:space="preserve">kubectl rollout undo</w:t>
      </w:r>
      <w:r>
        <w:t xml:space="preserve"> </w:t>
      </w:r>
      <w:r>
        <w:t xml:space="preserve">(section 43.4) permet un retour à la version précédente en une seule commande, sans reconstruction ni redéploiement manuel complexe — la seconde exigence, un retour en arrière facile, est également directement satisfaite par cette même fonctionnalité native de Kubernetes.</w:t>
      </w:r>
    </w:p>
    <w:bookmarkEnd w:id="1071"/>
    <w:bookmarkStart w:id="1072" w:name="exercices-42"/>
    <w:p>
      <w:pPr>
        <w:pStyle w:val="Heading2"/>
      </w:pPr>
      <w:r>
        <w:t xml:space="preserve">Exercices</w:t>
      </w:r>
    </w:p>
    <w:p>
      <w:pPr>
        <w:pStyle w:val="FirstParagraph"/>
      </w:pPr>
      <w:r>
        <w:t xml:space="preserve">📝 Exercice 43.1</w:t>
      </w:r>
    </w:p>
    <w:p>
      <w:pPr>
        <w:pStyle w:val="BodyText"/>
      </w:pPr>
      <w:r>
        <w:t xml:space="preserve">Un Deployment est configuré avec</w:t>
      </w:r>
      <w:r>
        <w:t xml:space="preserve"> </w:t>
      </w:r>
      <w:r>
        <w:rPr>
          <w:rStyle w:val="VerbatimChar"/>
        </w:rPr>
        <w:t xml:space="preserve">replicas: 4</w:t>
      </w:r>
      <w:r>
        <w:t xml:space="preserve">,</w:t>
      </w:r>
      <w:r>
        <w:t xml:space="preserve"> </w:t>
      </w:r>
      <w:r>
        <w:rPr>
          <w:rStyle w:val="VerbatimChar"/>
        </w:rPr>
        <w:t xml:space="preserve">maxUnavailable: 2</w:t>
      </w:r>
      <w:r>
        <w:t xml:space="preserve"> </w:t>
      </w:r>
      <w:r>
        <w:t xml:space="preserve">et</w:t>
      </w:r>
      <w:r>
        <w:t xml:space="preserve"> </w:t>
      </w:r>
      <w:r>
        <w:rPr>
          <w:rStyle w:val="VerbatimChar"/>
        </w:rPr>
        <w:t xml:space="preserve">maxSurge: 0</w:t>
      </w:r>
      <w:r>
        <w:t xml:space="preserve">. Explique combien de Pods au minimum restent disponibles pendant une mise à jour, et pourquoi ce réglage pourrait être risqué pour un service critique.</w:t>
      </w:r>
    </w:p>
    <w:p>
      <w:pPr>
        <w:pStyle w:val="BodyText"/>
      </w:pPr>
      <w:r>
        <w:rPr>
          <w:b/>
          <w:bCs/>
        </w:rPr>
        <w:t xml:space="preserve">Corrigé :</w:t>
      </w:r>
      <w:r>
        <w:t xml:space="preserve"> </w:t>
      </w:r>
      <w:r>
        <w:t xml:space="preserve">Avec</w:t>
      </w:r>
      <w:r>
        <w:t xml:space="preserve"> </w:t>
      </w:r>
      <w:r>
        <w:rPr>
          <w:rStyle w:val="VerbatimChar"/>
        </w:rPr>
        <w:t xml:space="preserve">maxUnavailable: 2</w:t>
      </w:r>
      <w:r>
        <w:t xml:space="preserve"> </w:t>
      </w:r>
      <w:r>
        <w:t xml:space="preserve">sur 4 réplicas, seulement 2 Pods minimum restent garantis disponibles pendant la transition (la moitié de la capacité normale) — un réglage qui pourrait s’avérer risqué pour un service critique à fort trafic, où cette réduction de moitié de la capacité pourrait provoquer une dégradation de performance notable ou une incapacité à absorber la charge normale pendant toute la durée de la mise à jour. Un réglage plus prudent pour un service critique privilégierait un</w:t>
      </w:r>
      <w:r>
        <w:t xml:space="preserve"> </w:t>
      </w:r>
      <w:r>
        <w:rPr>
          <w:rStyle w:val="VerbatimChar"/>
        </w:rPr>
        <w:t xml:space="preserve">maxUnavailable</w:t>
      </w:r>
      <w:r>
        <w:t xml:space="preserve"> </w:t>
      </w:r>
      <w:r>
        <w:t xml:space="preserve">plus faible (comme</w:t>
      </w:r>
      <w:r>
        <w:t xml:space="preserve"> </w:t>
      </w:r>
      <w:r>
        <w:rPr>
          <w:rStyle w:val="VerbatimChar"/>
        </w:rPr>
        <w:t xml:space="preserve">1</w:t>
      </w:r>
      <w:r>
        <w:t xml:space="preserve">, l’exemple de la section 43.1), quitte à ce que la mise à jour progresse plus lentement, pour garantir une capacité de service plus proche de la normale à tout moment de la transition.</w:t>
      </w:r>
    </w:p>
    <w:p>
      <w:pPr>
        <w:pStyle w:val="BodyText"/>
      </w:pPr>
      <w:r>
        <w:t xml:space="preserve">📝 Exercice 43.2</w:t>
      </w:r>
    </w:p>
    <w:p>
      <w:pPr>
        <w:pStyle w:val="BodyText"/>
      </w:pPr>
      <w:r>
        <w:t xml:space="preserve">Rédige, en 3 à 5 phrases, pourquoi la découverte que les Secrets Kubernetes ne sont pas chiffrés par défaut (section 43.3) devrait modifier la façon dont une équipe évalue la sécurité globale de son cluster.</w:t>
      </w:r>
    </w:p>
    <w:p>
      <w:pPr>
        <w:pStyle w:val="BodyText"/>
      </w:pPr>
      <w:r>
        <w:rPr>
          <w:b/>
          <w:bCs/>
        </w:rPr>
        <w:t xml:space="preserve">Corrigé (exemple de réponse) :</w:t>
      </w:r>
      <w:r>
        <w:t xml:space="preserve"> </w:t>
      </w:r>
      <w:r>
        <w:t xml:space="preserve">Cette découverte signifie que la sécurité réelle des secrets d’une application dépend directement du contrôle d’accès au cluster lui-même (qui peut lire les objets Secret, qui a accès à etcd) — pas seulement de l’existence formelle d’un objet nommé</w:t>
      </w:r>
      <w:r>
        <w:t xml:space="preserve"> </w:t>
      </w:r>
      <w:r>
        <w:t xml:space="preserve">“Secret”</w:t>
      </w:r>
      <w:r>
        <w:t xml:space="preserve">, dont le nom pourrait laisser croire à tort à une protection automatique. Une équipe devrait donc évaluer explicitement qui dispose des permissions de lecture sur les Secrets de production (rejoignant le principe du moindre privilège du chapitre 1), et envisager sérieusement un chiffrement d’etcd ou un gestionnaire de secrets externe pour toute donnée réellement critique, plutôt que de se reposer sur une fausse impression de sécurité procurée par le simple nom de l’objet Kubernetes utilisé.</w:t>
      </w:r>
    </w:p>
    <w:bookmarkEnd w:id="1072"/>
    <w:bookmarkStart w:id="1073" w:name="checklist-de-fin-de-chapitre-42"/>
    <w:p>
      <w:pPr>
        <w:pStyle w:val="Heading2"/>
      </w:pPr>
      <w:r>
        <w:t xml:space="preserve">Checklist de fin de chapitre</w:t>
      </w:r>
    </w:p>
    <w:p>
      <w:pPr>
        <w:pStyle w:val="FirstParagraph"/>
      </w:pPr>
      <w:r>
        <w:t xml:space="preserve">☐ Je sais écrire un manifeste Deployment et Service complet.</w:t>
      </w:r>
    </w:p>
    <w:p>
      <w:pPr>
        <w:pStyle w:val="BodyText"/>
      </w:pPr>
      <w:r>
        <w:t xml:space="preserve">☐ Je sais appliquer des manifestes avec</w:t>
      </w:r>
      <w:r>
        <w:t xml:space="preserve"> </w:t>
      </w:r>
      <w:r>
        <w:rPr>
          <w:rStyle w:val="VerbatimChar"/>
        </w:rPr>
        <w:t xml:space="preserve">kubectl apply -f</w:t>
      </w:r>
      <w:r>
        <w:t xml:space="preserve">, sans jamais modifier un objet en direct.</w:t>
      </w:r>
    </w:p>
    <w:p>
      <w:pPr>
        <w:pStyle w:val="BodyText"/>
      </w:pPr>
      <w:r>
        <w:t xml:space="preserve">☐ Je comprends qu’un Secret Kubernetes natif n’est pas chiffré par défaut, seulement encodé en base64.</w:t>
      </w:r>
    </w:p>
    <w:p>
      <w:pPr>
        <w:pStyle w:val="BodyText"/>
      </w:pPr>
      <w:r>
        <w:t xml:space="preserve">☐ Je sais déclencher, observer et annuler une mise à jour progressive (</w:t>
      </w:r>
      <w:r>
        <w:rPr>
          <w:rStyle w:val="VerbatimChar"/>
        </w:rPr>
        <w:t xml:space="preserve">rollout status</w:t>
      </w:r>
      <w:r>
        <w:t xml:space="preserve">,</w:t>
      </w:r>
      <w:r>
        <w:t xml:space="preserve"> </w:t>
      </w:r>
      <w:r>
        <w:rPr>
          <w:rStyle w:val="VerbatimChar"/>
        </w:rPr>
        <w:t xml:space="preserve">undo</w:t>
      </w:r>
      <w:r>
        <w:t xml:space="preserve">).</w:t>
      </w:r>
    </w:p>
    <w:p>
      <w:pPr>
        <w:pStyle w:val="BodyText"/>
      </w:pPr>
      <w:r>
        <w:t xml:space="preserve">☐ Je sais redimensionner un Deployment avec</w:t>
      </w:r>
      <w:r>
        <w:t xml:space="preserve"> </w:t>
      </w:r>
      <w:r>
        <w:rPr>
          <w:rStyle w:val="VerbatimChar"/>
        </w:rPr>
        <w:t xml:space="preserve">kubectl scale</w:t>
      </w:r>
      <w:r>
        <w:t xml:space="preserve">.</w:t>
      </w:r>
    </w:p>
    <w:p>
      <w:pPr>
        <w:pStyle w:val="BodyText"/>
      </w:pPr>
      <w:r>
        <w:t xml:space="preserve">☐ Je sais pourquoi un PersistentVolumeClaim est nécessaire pour faire persister des données.</w:t>
      </w:r>
    </w:p>
    <w:bookmarkEnd w:id="1073"/>
    <w:bookmarkStart w:id="1074" w:name="faq-42"/>
    <w:p>
      <w:pPr>
        <w:pStyle w:val="Heading2"/>
      </w:pPr>
      <w:r>
        <w:t xml:space="preserve">FAQ</w:t>
      </w:r>
    </w:p>
    <w:p>
      <w:pPr>
        <w:pStyle w:val="FirstParagraph"/>
      </w:pPr>
      <w:r>
        <w:t xml:space="preserve">Peut-on tester tout ce chapitre sans un vrai cluster de production ?</w:t>
      </w:r>
    </w:p>
    <w:p>
      <w:pPr>
        <w:pStyle w:val="BodyText"/>
      </w:pPr>
      <w:r>
        <w:t xml:space="preserve">Oui, des outils comme minikube ou k3s permettent de créer un cluster Kubernetes local à des fins d’apprentissage (rejoignant l’esprit du lab VirtualBox du chapitre 37), sur lequel l’ensemble des commandes de ce chapitre peuvent être pratiquées sans risque avant toute application en production.</w:t>
      </w:r>
    </w:p>
    <w:p>
      <w:pPr>
        <w:pStyle w:val="BodyText"/>
      </w:pPr>
      <w:r>
        <w:t xml:space="preserve">Faut-il toujours créer un PersistentVolume manuellement, ou existe-t-il une automatisation ?</w:t>
      </w:r>
    </w:p>
    <w:p>
      <w:pPr>
        <w:pStyle w:val="BodyText"/>
      </w:pPr>
      <w:r>
        <w:t xml:space="preserve">De nombreux environnements Kubernetes (notamment chez les fournisseurs cloud) proposent le provisionnement dynamique : un PersistentVolume est automatiquement créé en réponse à un PersistentVolumeClaim, sans intervention manuelle préalable — une facilité pratique, tout en gardant à l’esprit le principe fondamental de persistance de la section 43.6.</w:t>
      </w:r>
    </w:p>
    <w:p>
      <w:pPr>
        <w:pStyle w:val="BodyText"/>
      </w:pPr>
      <w:r>
        <w:rPr>
          <w:rStyle w:val="VerbatimChar"/>
        </w:rPr>
        <w:t xml:space="preserve">kubectl scale</w:t>
      </w:r>
      <w:r>
        <w:t xml:space="preserve"> </w:t>
      </w:r>
      <w:r>
        <w:t xml:space="preserve">est-il la seule façon d’ajuster automatiquement le nombre de réplicas selon la charge ?</w:t>
      </w:r>
    </w:p>
    <w:p>
      <w:pPr>
        <w:pStyle w:val="BodyText"/>
      </w:pPr>
      <w:r>
        <w:t xml:space="preserve">Non, Kubernetes propose aussi l’HPA (</w:t>
      </w:r>
      <w:r>
        <w:rPr>
          <w:i/>
          <w:iCs/>
        </w:rPr>
        <w:t xml:space="preserve">Horizontal Pod Autoscaler</w:t>
      </w:r>
      <w:r>
        <w:t xml:space="preserve">), qui ajuste automatiquement le nombre de réplicas selon des métriques observées (comme l’utilisation CPU) —</w:t>
      </w:r>
      <w:r>
        <w:t xml:space="preserve"> </w:t>
      </w:r>
      <w:r>
        <w:rPr>
          <w:rStyle w:val="VerbatimChar"/>
        </w:rPr>
        <w:t xml:space="preserve">kubectl scale</w:t>
      </w:r>
      <w:r>
        <w:t xml:space="preserve"> </w:t>
      </w:r>
      <w:r>
        <w:t xml:space="preserve">reste utile pour un ajustement manuel ponctuel, tandis que l’HPA automatise cette décision en continu, un sujet approfondi au chapitre 44.</w:t>
      </w:r>
    </w:p>
    <w:p>
      <w:pPr>
        <w:pStyle w:val="BodyText"/>
      </w:pPr>
      <w:r>
        <w:t xml:space="preserve">Comment savoir si mon cluster a suffisamment de capacité pour un</w:t>
      </w:r>
      <w:r>
        <w:t xml:space="preserve"> </w:t>
      </w:r>
      <w:r>
        <w:rPr>
          <w:rStyle w:val="VerbatimChar"/>
        </w:rPr>
        <w:t xml:space="preserve">kubectl scale</w:t>
      </w:r>
      <w:r>
        <w:t xml:space="preserve"> </w:t>
      </w:r>
      <w:r>
        <w:t xml:space="preserve">donné ?</w:t>
      </w:r>
    </w:p>
    <w:p>
      <w:pPr>
        <w:pStyle w:val="BodyText"/>
      </w:pPr>
      <w:r>
        <w:rPr>
          <w:rStyle w:val="VerbatimChar"/>
        </w:rPr>
        <w:t xml:space="preserve">kubectl describe nodes</w:t>
      </w:r>
      <w:r>
        <w:t xml:space="preserve"> </w:t>
      </w:r>
      <w:r>
        <w:t xml:space="preserve">révèle la capacité et l’utilisation actuelle de chaque nœud — un rappel direct de la surveillance de la surallocation déjà établie au chapitre 33, transposée ici à l’échelle du cluster Kubernetes plutôt qu’à un seul hôte de virtualisation.</w:t>
      </w:r>
    </w:p>
    <w:bookmarkEnd w:id="1074"/>
    <w:bookmarkStart w:id="1078" w:name="références-et-pour-aller-plus-loin-42"/>
    <w:p>
      <w:pPr>
        <w:pStyle w:val="Heading2"/>
      </w:pPr>
      <w:r>
        <w:t xml:space="preserve">Références et pour aller plus loin</w:t>
      </w:r>
    </w:p>
    <w:p>
      <w:pPr>
        <w:pStyle w:val="Compact"/>
        <w:numPr>
          <w:ilvl w:val="0"/>
          <w:numId w:val="2011"/>
        </w:numPr>
      </w:pPr>
      <w:r>
        <w:t xml:space="preserve">Kubernetes — Documentation sur les Deployments :</w:t>
      </w:r>
      <w:r>
        <w:t xml:space="preserve"> </w:t>
      </w:r>
      <w:hyperlink r:id="rId1075">
        <w:r>
          <w:rPr>
            <w:rStyle w:val="Hyperlink"/>
          </w:rPr>
          <w:t xml:space="preserve">https://kubernetes.io/fr/docs/concepts/workloads/controllers/deployment/</w:t>
        </w:r>
      </w:hyperlink>
    </w:p>
    <w:p>
      <w:pPr>
        <w:pStyle w:val="Compact"/>
        <w:numPr>
          <w:ilvl w:val="0"/>
          <w:numId w:val="2011"/>
        </w:numPr>
      </w:pPr>
      <w:r>
        <w:t xml:space="preserve">Kubernetes — Documentation sur les Secrets et leurs limites :</w:t>
      </w:r>
      <w:r>
        <w:t xml:space="preserve"> </w:t>
      </w:r>
      <w:hyperlink r:id="rId1076">
        <w:r>
          <w:rPr>
            <w:rStyle w:val="Hyperlink"/>
          </w:rPr>
          <w:t xml:space="preserve">https://kubernetes.io/fr/docs/concepts/configuration/secret/</w:t>
        </w:r>
      </w:hyperlink>
    </w:p>
    <w:p>
      <w:pPr>
        <w:pStyle w:val="Compact"/>
        <w:numPr>
          <w:ilvl w:val="0"/>
          <w:numId w:val="2011"/>
        </w:numPr>
      </w:pPr>
      <w:r>
        <w:t xml:space="preserve">Kubernetes — Documentation sur les PersistentVolumes :</w:t>
      </w:r>
      <w:r>
        <w:t xml:space="preserve"> </w:t>
      </w:r>
      <w:hyperlink r:id="rId1077">
        <w:r>
          <w:rPr>
            <w:rStyle w:val="Hyperlink"/>
          </w:rPr>
          <w:t xml:space="preserve">https://kubernetes.io/fr/docs/concepts/storage/persistent-volumes/</w:t>
        </w:r>
      </w:hyperlink>
    </w:p>
    <w:p>
      <w:pPr>
        <w:pStyle w:val="FirstParagraph"/>
      </w:pPr>
      <w:r>
        <w:rPr>
          <w:i/>
          <w:iCs/>
        </w:rPr>
        <w:t xml:space="preserve">Chapitre suivant : Kubernetes en production — Ingress, gestion sécurisée des secrets, autoscaling et RBAC, pour finaliser une infrastructure Kubernetes réellement prête pour un usage critique.</w:t>
      </w:r>
    </w:p>
    <w:p>
      <w:pPr>
        <w:pStyle w:val="BodyText"/>
      </w:pPr>
      <w:r>
        <w:t xml:space="preserve">CHAPITRE 44</w:t>
      </w:r>
    </w:p>
    <w:bookmarkEnd w:id="1078"/>
    <w:bookmarkEnd w:id="1079"/>
    <w:bookmarkStart w:id="1103" w:name="kubernetes-en-production"/>
    <w:p>
      <w:pPr>
        <w:pStyle w:val="Heading1"/>
      </w:pPr>
      <w:r>
        <w:t xml:space="preserve">Kubernetes en production</w:t>
      </w:r>
    </w:p>
    <w:p>
      <w:pPr>
        <w:pStyle w:val="FirstParagraph"/>
      </w:pPr>
      <w:r>
        <w:t xml:space="preserve">🎯 Objectif du chapitre</w:t>
      </w:r>
      <w:r>
        <w:t xml:space="preserve"> </w:t>
      </w:r>
      <w:r>
        <w:t xml:space="preserve">Combler les lacunes révélées par une revue de préparation à la production avant le passage en charge réelle du portail sur Kubernetes : exposition externe sécurisée (Ingress + TLS), contrôle d’accès (RBAC), gestion réellement sécurisée des secrets, mise à l’échelle automatique et sondes de santé natives. À la fin de ce chapitre, tu sauras évaluer si un déploiement Kubernetes est réellement prêt pour la production, pas seulement fonctionnel en démonstration.</w:t>
      </w:r>
    </w:p>
    <w:p>
      <w:pPr>
        <w:pStyle w:val="BodyText"/>
      </w:pPr>
      <w:r>
        <w:t xml:space="preserve">🎬 Mise en situation</w:t>
      </w:r>
      <w:r>
        <w:t xml:space="preserve"> </w:t>
      </w:r>
      <w:r>
        <w:t xml:space="preserve">La démonstration du chapitre 43 a convaincu le développeur et le DSI. Avant le passage réel en production, le RSSI (rappel du chapitre 1) demande une revue de préparation formelle. Son constat, après examen : l’application n’est accessible que via un accès interne au cluster, sans HTTPS externe réel ; n’importe quel compte ayant accès au cluster peut actuellement tout faire dessus, sans restriction ; les secrets sont toujours de simples Secrets natifs en base64 (rappel de l’avertissement du chapitre 43) ; et la mise à l’échelle reste entièrement manuelle, dépendante d’un administrateur qui doit se souvenir d’exécuter</w:t>
      </w:r>
      <w:r>
        <w:t xml:space="preserve"> </w:t>
      </w:r>
      <w:r>
        <w:rPr>
          <w:rStyle w:val="VerbatimChar"/>
        </w:rPr>
        <w:t xml:space="preserve">kubectl scale</w:t>
      </w:r>
      <w:r>
        <w:t xml:space="preserve"> </w:t>
      </w:r>
      <w:r>
        <w:t xml:space="preserve">au bon moment.</w:t>
      </w:r>
      <w:r>
        <w:t xml:space="preserve"> </w:t>
      </w:r>
      <w:r>
        <w:t xml:space="preserve">“Fonctionnel en démonstration ne veut pas dire prêt pour la production,”</w:t>
      </w:r>
      <w:r>
        <w:t xml:space="preserve"> </w:t>
      </w:r>
      <w:r>
        <w:t xml:space="preserve">conclut-elle. Ce chapitre comble méthodiquement chacune de ces lacunes.</w:t>
      </w:r>
    </w:p>
    <w:bookmarkStart w:id="1080" w:name="Xf1afa16a266a985ff7b69e5195294836a4a3473"/>
    <w:p>
      <w:pPr>
        <w:pStyle w:val="Heading2"/>
      </w:pPr>
      <w:r>
        <w:t xml:space="preserve">44.1 Ingress : exposer l’application avec HTTPS réel</w:t>
      </w:r>
    </w:p>
    <w:p>
      <w:pPr>
        <w:pStyle w:val="FirstParagraph"/>
      </w:pPr>
      <w:r>
        <w:t xml:space="preserve">📌 À retenir</w:t>
      </w:r>
      <w:r>
        <w:t xml:space="preserve"> </w:t>
      </w:r>
      <w:r>
        <w:t xml:space="preserve">Un</w:t>
      </w:r>
      <w:r>
        <w:t xml:space="preserve"> </w:t>
      </w:r>
      <w:r>
        <w:rPr>
          <w:b/>
          <w:bCs/>
        </w:rPr>
        <w:t xml:space="preserve">Ingress</w:t>
      </w:r>
      <w:r>
        <w:t xml:space="preserve"> </w:t>
      </w:r>
      <w:r>
        <w:t xml:space="preserve">gère l’accès HTTP/HTTPS externe vers les Services internes d’un cluster (chapitre 42), avec routage par nom de domaine et terminaison TLS — répondant directement à la première lacune identifiée par le RSSI. Combiné à</w:t>
      </w:r>
      <w:r>
        <w:t xml:space="preserve"> </w:t>
      </w:r>
      <w:r>
        <w:rPr>
          <w:b/>
          <w:bCs/>
        </w:rPr>
        <w:t xml:space="preserve">cert-manager</w:t>
      </w:r>
      <w:r>
        <w:t xml:space="preserve"> </w:t>
      </w:r>
      <w:r>
        <w:t xml:space="preserve">(l’équivalent Kubernetes natif de certbot, déjà rencontré au chapitre 24), l’Ingress peut obtenir et renouveler automatiquement un certificat Let’s Encrypt, éliminant exactement le même risque de certificat expiré non détecté déjà vécu au chapitre 24.</w:t>
      </w:r>
    </w:p>
    <w:p>
      <w:pPr>
        <w:pStyle w:val="SourceCode"/>
      </w:pPr>
      <w:r>
        <w:rPr>
          <w:rStyle w:val="CommentTok"/>
        </w:rPr>
        <w:t xml:space="preserve"># ingress.yaml</w:t>
      </w:r>
      <w:r>
        <w:br/>
      </w:r>
      <w:r>
        <w:rPr>
          <w:rStyle w:val="FunctionTok"/>
        </w:rPr>
        <w:t xml:space="preserve">apiVersion</w:t>
      </w:r>
      <w:r>
        <w:rPr>
          <w:rStyle w:val="KeywordTok"/>
        </w:rPr>
        <w:t xml:space="preserve">:</w:t>
      </w:r>
      <w:r>
        <w:rPr>
          <w:rStyle w:val="AttributeTok"/>
        </w:rPr>
        <w:t xml:space="preserve"> networking.k8s.io/v1</w:t>
      </w:r>
      <w:r>
        <w:br/>
      </w:r>
      <w:r>
        <w:rPr>
          <w:rStyle w:val="FunctionTok"/>
        </w:rPr>
        <w:t xml:space="preserve">kind</w:t>
      </w:r>
      <w:r>
        <w:rPr>
          <w:rStyle w:val="KeywordTok"/>
        </w:rPr>
        <w:t xml:space="preserve">:</w:t>
      </w:r>
      <w:r>
        <w:rPr>
          <w:rStyle w:val="AttributeTok"/>
        </w:rPr>
        <w:t xml:space="preserve"> Ingress</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portail-ingress</w:t>
      </w:r>
      <w:r>
        <w:br/>
      </w:r>
      <w:r>
        <w:rPr>
          <w:rStyle w:val="AttributeTok"/>
        </w:rPr>
        <w:t xml:space="preserve">  </w:t>
      </w:r>
      <w:r>
        <w:rPr>
          <w:rStyle w:val="FunctionTok"/>
        </w:rPr>
        <w:t xml:space="preserve">annotations</w:t>
      </w:r>
      <w:r>
        <w:rPr>
          <w:rStyle w:val="KeywordTok"/>
        </w:rPr>
        <w:t xml:space="preserve">:</w:t>
      </w:r>
      <w:r>
        <w:br/>
      </w:r>
      <w:r>
        <w:rPr>
          <w:rStyle w:val="AttributeTok"/>
        </w:rPr>
        <w:t xml:space="preserve">    </w:t>
      </w:r>
      <w:r>
        <w:rPr>
          <w:rStyle w:val="FunctionTok"/>
        </w:rPr>
        <w:t xml:space="preserve">cert-manager.io/cluster-issuer</w:t>
      </w:r>
      <w:r>
        <w:rPr>
          <w:rStyle w:val="KeywordTok"/>
        </w:rPr>
        <w:t xml:space="preserve">:</w:t>
      </w:r>
      <w:r>
        <w:rPr>
          <w:rStyle w:val="AttributeTok"/>
        </w:rPr>
        <w:t xml:space="preserve"> </w:t>
      </w:r>
      <w:r>
        <w:rPr>
          <w:rStyle w:val="StringTok"/>
        </w:rPr>
        <w:t xml:space="preserve">"letsencrypt-prod"</w:t>
      </w:r>
      <w:r>
        <w:br/>
      </w:r>
      <w:r>
        <w:rPr>
          <w:rStyle w:val="FunctionTok"/>
        </w:rPr>
        <w:t xml:space="preserve">spec</w:t>
      </w:r>
      <w:r>
        <w:rPr>
          <w:rStyle w:val="KeywordTok"/>
        </w:rPr>
        <w:t xml:space="preserve">:</w:t>
      </w:r>
      <w:r>
        <w:br/>
      </w:r>
      <w:r>
        <w:rPr>
          <w:rStyle w:val="AttributeTok"/>
        </w:rPr>
        <w:t xml:space="preserve">  </w:t>
      </w:r>
      <w:r>
        <w:rPr>
          <w:rStyle w:val="FunctionTok"/>
        </w:rPr>
        <w:t xml:space="preserve">tls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hosts</w:t>
      </w:r>
      <w:r>
        <w:rPr>
          <w:rStyle w:val="KeywordTok"/>
        </w:rPr>
        <w:t xml:space="preserve">:</w:t>
      </w:r>
      <w:r>
        <w:br/>
      </w:r>
      <w:r>
        <w:rPr>
          <w:rStyle w:val="AttributeTok"/>
        </w:rPr>
        <w:t xml:space="preserve">        </w:t>
      </w:r>
      <w:r>
        <w:rPr>
          <w:rStyle w:val="KeywordTok"/>
        </w:rPr>
        <w:t xml:space="preserve">-</w:t>
      </w:r>
      <w:r>
        <w:rPr>
          <w:rStyle w:val="AttributeTok"/>
        </w:rPr>
        <w:t xml:space="preserve"> portail.assuranceht.ht</w:t>
      </w:r>
      <w:r>
        <w:br/>
      </w:r>
      <w:r>
        <w:rPr>
          <w:rStyle w:val="AttributeTok"/>
        </w:rPr>
        <w:t xml:space="preserve">      </w:t>
      </w:r>
      <w:r>
        <w:rPr>
          <w:rStyle w:val="FunctionTok"/>
        </w:rPr>
        <w:t xml:space="preserve">secretName</w:t>
      </w:r>
      <w:r>
        <w:rPr>
          <w:rStyle w:val="KeywordTok"/>
        </w:rPr>
        <w:t xml:space="preserve">:</w:t>
      </w:r>
      <w:r>
        <w:rPr>
          <w:rStyle w:val="AttributeTok"/>
        </w:rPr>
        <w:t xml:space="preserve"> portail-tls</w:t>
      </w:r>
      <w:r>
        <w:br/>
      </w:r>
      <w:r>
        <w:rPr>
          <w:rStyle w:val="AttributeTok"/>
        </w:rPr>
        <w:t xml:space="preserve">  </w:t>
      </w:r>
      <w:r>
        <w:rPr>
          <w:rStyle w:val="FunctionTok"/>
        </w:rPr>
        <w:t xml:space="preserve">rules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host</w:t>
      </w:r>
      <w:r>
        <w:rPr>
          <w:rStyle w:val="KeywordTok"/>
        </w:rPr>
        <w:t xml:space="preserve">:</w:t>
      </w:r>
      <w:r>
        <w:rPr>
          <w:rStyle w:val="AttributeTok"/>
        </w:rPr>
        <w:t xml:space="preserve"> portail.assuranceht.ht</w:t>
      </w:r>
      <w:r>
        <w:br/>
      </w:r>
      <w:r>
        <w:rPr>
          <w:rStyle w:val="AttributeTok"/>
        </w:rPr>
        <w:t xml:space="preserve">      </w:t>
      </w:r>
      <w:r>
        <w:rPr>
          <w:rStyle w:val="FunctionTok"/>
        </w:rPr>
        <w:t xml:space="preserve">http</w:t>
      </w:r>
      <w:r>
        <w:rPr>
          <w:rStyle w:val="KeywordTok"/>
        </w:rPr>
        <w:t xml:space="preserve">:</w:t>
      </w:r>
      <w:r>
        <w:br/>
      </w:r>
      <w:r>
        <w:rPr>
          <w:rStyle w:val="AttributeTok"/>
        </w:rPr>
        <w:t xml:space="preserve">        </w:t>
      </w:r>
      <w:r>
        <w:rPr>
          <w:rStyle w:val="FunctionTok"/>
        </w:rPr>
        <w:t xml:space="preserve">paths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path</w:t>
      </w:r>
      <w:r>
        <w:rPr>
          <w:rStyle w:val="KeywordTok"/>
        </w:rPr>
        <w:t xml:space="preserve">:</w:t>
      </w:r>
      <w:r>
        <w:rPr>
          <w:rStyle w:val="AttributeTok"/>
        </w:rPr>
        <w:t xml:space="preserve"> /</w:t>
      </w:r>
      <w:r>
        <w:br/>
      </w:r>
      <w:r>
        <w:rPr>
          <w:rStyle w:val="AttributeTok"/>
        </w:rPr>
        <w:t xml:space="preserve">            </w:t>
      </w:r>
      <w:r>
        <w:rPr>
          <w:rStyle w:val="FunctionTok"/>
        </w:rPr>
        <w:t xml:space="preserve">pathType</w:t>
      </w:r>
      <w:r>
        <w:rPr>
          <w:rStyle w:val="KeywordTok"/>
        </w:rPr>
        <w:t xml:space="preserve">:</w:t>
      </w:r>
      <w:r>
        <w:rPr>
          <w:rStyle w:val="AttributeTok"/>
        </w:rPr>
        <w:t xml:space="preserve"> Prefix</w:t>
      </w:r>
      <w:r>
        <w:br/>
      </w:r>
      <w:r>
        <w:rPr>
          <w:rStyle w:val="AttributeTok"/>
        </w:rPr>
        <w:t xml:space="preserve">            </w:t>
      </w:r>
      <w:r>
        <w:rPr>
          <w:rStyle w:val="FunctionTok"/>
        </w:rPr>
        <w:t xml:space="preserve">backend</w:t>
      </w:r>
      <w:r>
        <w:rPr>
          <w:rStyle w:val="KeywordTok"/>
        </w:rPr>
        <w:t xml:space="preserve">:</w:t>
      </w:r>
      <w:r>
        <w:br/>
      </w:r>
      <w:r>
        <w:rPr>
          <w:rStyle w:val="AttributeTok"/>
        </w:rPr>
        <w:t xml:space="preserve">              </w:t>
      </w:r>
      <w:r>
        <w:rPr>
          <w:rStyle w:val="FunctionTok"/>
        </w:rPr>
        <w:t xml:space="preserve">service</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portail-service</w:t>
      </w:r>
      <w:r>
        <w:br/>
      </w:r>
      <w:r>
        <w:rPr>
          <w:rStyle w:val="AttributeTok"/>
        </w:rPr>
        <w:t xml:space="preserve">                </w:t>
      </w:r>
      <w:r>
        <w:rPr>
          <w:rStyle w:val="FunctionTok"/>
        </w:rPr>
        <w:t xml:space="preserve">port</w:t>
      </w:r>
      <w:r>
        <w:rPr>
          <w:rStyle w:val="KeywordTok"/>
        </w:rPr>
        <w:t xml:space="preserve">:</w:t>
      </w:r>
      <w:r>
        <w:br/>
      </w:r>
      <w:r>
        <w:rPr>
          <w:rStyle w:val="AttributeTok"/>
        </w:rPr>
        <w:t xml:space="preserve">                  </w:t>
      </w:r>
      <w:r>
        <w:rPr>
          <w:rStyle w:val="FunctionTok"/>
        </w:rPr>
        <w:t xml:space="preserve">number</w:t>
      </w:r>
      <w:r>
        <w:rPr>
          <w:rStyle w:val="KeywordTok"/>
        </w:rPr>
        <w:t xml:space="preserve">:</w:t>
      </w:r>
      <w:r>
        <w:rPr>
          <w:rStyle w:val="AttributeTok"/>
        </w:rPr>
        <w:t xml:space="preserve"> </w:t>
      </w:r>
      <w:r>
        <w:rPr>
          <w:rStyle w:val="DecValTok"/>
        </w:rPr>
        <w:t xml:space="preserve">80</w:t>
      </w:r>
    </w:p>
    <w:bookmarkEnd w:id="1080"/>
    <w:bookmarkStart w:id="1081" w:name="X05950c582296115242e8b210724344a408a3e24"/>
    <w:p>
      <w:pPr>
        <w:pStyle w:val="Heading2"/>
      </w:pPr>
      <w:r>
        <w:t xml:space="preserve">44.2 RBAC Kubernetes : rappel direct du chapitre 18 et du chapitre 26</w:t>
      </w:r>
    </w:p>
    <w:p>
      <w:pPr>
        <w:pStyle w:val="FirstParagraph"/>
      </w:pPr>
      <w:r>
        <w:t xml:space="preserve">🔒 Sécurité — le principe du moindre privilège, appliqué au cluster lui-même</w:t>
      </w:r>
      <w:r>
        <w:t xml:space="preserve"> </w:t>
      </w:r>
      <w:r>
        <w:t xml:space="preserve">Exactement le même principe déjà appliqué à sudo et aux ACL (chapitre 18), puis généralisé par la philosophie Zero Trust (chapitre 26) :</w:t>
      </w:r>
      <w:r>
        <w:t xml:space="preserve"> </w:t>
      </w:r>
      <w:r>
        <w:rPr>
          <w:b/>
          <w:bCs/>
        </w:rPr>
        <w:t xml:space="preserve">RBAC</w:t>
      </w:r>
      <w:r>
        <w:t xml:space="preserve"> </w:t>
      </w:r>
      <w:r>
        <w:t xml:space="preserve">(</w:t>
      </w:r>
      <w:r>
        <w:rPr>
          <w:i/>
          <w:iCs/>
        </w:rPr>
        <w:t xml:space="preserve">Role-Based Access Control</w:t>
      </w:r>
      <w:r>
        <w:t xml:space="preserve">) Kubernetes définit précisément qui peut effectuer quelles actions sur quels objets, dans quel namespace (chapitre 43) — jamais un accès</w:t>
      </w:r>
      <w:r>
        <w:t xml:space="preserve"> </w:t>
      </w:r>
      <w:r>
        <w:rPr>
          <w:rStyle w:val="VerbatimChar"/>
        </w:rPr>
        <w:t xml:space="preserve">cluster-admin</w:t>
      </w:r>
      <w:r>
        <w:t xml:space="preserve"> </w:t>
      </w:r>
      <w:r>
        <w:t xml:space="preserve">par défaut pour tout le monde, exactement la seconde lacune identifiée par le RSSI dans le scénario d’ouverture.</w:t>
      </w:r>
    </w:p>
    <w:p>
      <w:pPr>
        <w:pStyle w:val="SourceCode"/>
      </w:pPr>
      <w:r>
        <w:rPr>
          <w:rStyle w:val="CommentTok"/>
        </w:rPr>
        <w:t xml:space="preserve"># role.yaml -- un role limite au namespace production, lecture seule</w:t>
      </w:r>
      <w:r>
        <w:br/>
      </w:r>
      <w:r>
        <w:rPr>
          <w:rStyle w:val="FunctionTok"/>
        </w:rPr>
        <w:t xml:space="preserve">apiVersion</w:t>
      </w:r>
      <w:r>
        <w:rPr>
          <w:rStyle w:val="KeywordTok"/>
        </w:rPr>
        <w:t xml:space="preserve">:</w:t>
      </w:r>
      <w:r>
        <w:rPr>
          <w:rStyle w:val="AttributeTok"/>
        </w:rPr>
        <w:t xml:space="preserve"> rbac.authorization.k8s.io/v1</w:t>
      </w:r>
      <w:r>
        <w:br/>
      </w:r>
      <w:r>
        <w:rPr>
          <w:rStyle w:val="FunctionTok"/>
        </w:rPr>
        <w:t xml:space="preserve">kind</w:t>
      </w:r>
      <w:r>
        <w:rPr>
          <w:rStyle w:val="KeywordTok"/>
        </w:rPr>
        <w:t xml:space="preserve">:</w:t>
      </w:r>
      <w:r>
        <w:rPr>
          <w:rStyle w:val="AttributeTok"/>
        </w:rPr>
        <w:t xml:space="preserve"> Role</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namespace</w:t>
      </w:r>
      <w:r>
        <w:rPr>
          <w:rStyle w:val="KeywordTok"/>
        </w:rPr>
        <w:t xml:space="preserve">:</w:t>
      </w:r>
      <w:r>
        <w:rPr>
          <w:rStyle w:val="AttributeTok"/>
        </w:rPr>
        <w:t xml:space="preserve"> production</w:t>
      </w:r>
      <w:r>
        <w:br/>
      </w:r>
      <w:r>
        <w:rPr>
          <w:rStyle w:val="AttributeTok"/>
        </w:rPr>
        <w:t xml:space="preserve">  </w:t>
      </w:r>
      <w:r>
        <w:rPr>
          <w:rStyle w:val="FunctionTok"/>
        </w:rPr>
        <w:t xml:space="preserve">name</w:t>
      </w:r>
      <w:r>
        <w:rPr>
          <w:rStyle w:val="KeywordTok"/>
        </w:rPr>
        <w:t xml:space="preserve">:</w:t>
      </w:r>
      <w:r>
        <w:rPr>
          <w:rStyle w:val="AttributeTok"/>
        </w:rPr>
        <w:t xml:space="preserve"> lecteur-portail</w:t>
      </w:r>
      <w:r>
        <w:br/>
      </w:r>
      <w:r>
        <w:rPr>
          <w:rStyle w:val="FunctionTok"/>
        </w:rPr>
        <w:t xml:space="preserve">rules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apiGroups</w:t>
      </w:r>
      <w:r>
        <w:rPr>
          <w:rStyle w:val="KeywordTok"/>
        </w:rPr>
        <w:t xml:space="preserve">:</w:t>
      </w:r>
      <w:r>
        <w:rPr>
          <w:rStyle w:val="AttributeTok"/>
        </w:rPr>
        <w:t xml:space="preserve"> </w:t>
      </w:r>
      <w:r>
        <w:rPr>
          <w:rStyle w:val="KeywordTok"/>
        </w:rPr>
        <w:t xml:space="preserve">[</w:t>
      </w:r>
      <w:r>
        <w:rPr>
          <w:rStyle w:val="StringTok"/>
        </w:rPr>
        <w:t xml:space="preserve">""</w:t>
      </w:r>
      <w:r>
        <w:rPr>
          <w:rStyle w:val="KeywordTok"/>
        </w:rPr>
        <w:t xml:space="preserve">]</w:t>
      </w:r>
      <w:r>
        <w:br/>
      </w:r>
      <w:r>
        <w:rPr>
          <w:rStyle w:val="AttributeTok"/>
        </w:rPr>
        <w:t xml:space="preserve">    </w:t>
      </w:r>
      <w:r>
        <w:rPr>
          <w:rStyle w:val="FunctionTok"/>
        </w:rPr>
        <w:t xml:space="preserve">resources</w:t>
      </w:r>
      <w:r>
        <w:rPr>
          <w:rStyle w:val="KeywordTok"/>
        </w:rPr>
        <w:t xml:space="preserve">:</w:t>
      </w:r>
      <w:r>
        <w:rPr>
          <w:rStyle w:val="AttributeTok"/>
        </w:rPr>
        <w:t xml:space="preserve"> </w:t>
      </w:r>
      <w:r>
        <w:rPr>
          <w:rStyle w:val="KeywordTok"/>
        </w:rPr>
        <w:t xml:space="preserve">[</w:t>
      </w:r>
      <w:r>
        <w:rPr>
          <w:rStyle w:val="StringTok"/>
        </w:rPr>
        <w:t xml:space="preserve">"pods"</w:t>
      </w:r>
      <w:r>
        <w:rPr>
          <w:rStyle w:val="KeywordTok"/>
        </w:rPr>
        <w:t xml:space="preserve">,</w:t>
      </w:r>
      <w:r>
        <w:rPr>
          <w:rStyle w:val="AttributeTok"/>
        </w:rPr>
        <w:t xml:space="preserve"> </w:t>
      </w:r>
      <w:r>
        <w:rPr>
          <w:rStyle w:val="StringTok"/>
        </w:rPr>
        <w:t xml:space="preserve">"services"</w:t>
      </w:r>
      <w:r>
        <w:rPr>
          <w:rStyle w:val="KeywordTok"/>
        </w:rPr>
        <w:t xml:space="preserve">]</w:t>
      </w:r>
      <w:r>
        <w:br/>
      </w:r>
      <w:r>
        <w:rPr>
          <w:rStyle w:val="AttributeTok"/>
        </w:rPr>
        <w:t xml:space="preserve">    </w:t>
      </w:r>
      <w:r>
        <w:rPr>
          <w:rStyle w:val="FunctionTok"/>
        </w:rPr>
        <w:t xml:space="preserve">verbs</w:t>
      </w:r>
      <w:r>
        <w:rPr>
          <w:rStyle w:val="KeywordTok"/>
        </w:rPr>
        <w:t xml:space="preserve">:</w:t>
      </w:r>
      <w:r>
        <w:rPr>
          <w:rStyle w:val="AttributeTok"/>
        </w:rPr>
        <w:t xml:space="preserve"> </w:t>
      </w:r>
      <w:r>
        <w:rPr>
          <w:rStyle w:val="KeywordTok"/>
        </w:rPr>
        <w:t xml:space="preserve">[</w:t>
      </w:r>
      <w:r>
        <w:rPr>
          <w:rStyle w:val="StringTok"/>
        </w:rPr>
        <w:t xml:space="preserve">"get"</w:t>
      </w:r>
      <w:r>
        <w:rPr>
          <w:rStyle w:val="KeywordTok"/>
        </w:rPr>
        <w:t xml:space="preserve">,</w:t>
      </w:r>
      <w:r>
        <w:rPr>
          <w:rStyle w:val="AttributeTok"/>
        </w:rPr>
        <w:t xml:space="preserve"> </w:t>
      </w:r>
      <w:r>
        <w:rPr>
          <w:rStyle w:val="StringTok"/>
        </w:rPr>
        <w:t xml:space="preserve">"list"</w:t>
      </w:r>
      <w:r>
        <w:rPr>
          <w:rStyle w:val="KeywordTok"/>
        </w:rPr>
        <w:t xml:space="preserve">,</w:t>
      </w:r>
      <w:r>
        <w:rPr>
          <w:rStyle w:val="AttributeTok"/>
        </w:rPr>
        <w:t xml:space="preserve"> </w:t>
      </w:r>
      <w:r>
        <w:rPr>
          <w:rStyle w:val="StringTok"/>
        </w:rPr>
        <w:t xml:space="preserve">"watch"</w:t>
      </w:r>
      <w:r>
        <w:rPr>
          <w:rStyle w:val="KeywordTok"/>
        </w:rPr>
        <w:t xml:space="preserve">]</w:t>
      </w:r>
      <w:r>
        <w:br/>
      </w:r>
      <w:r>
        <w:rPr>
          <w:rStyle w:val="PreprocessorTok"/>
        </w:rPr>
        <w:t xml:space="preserve">---</w:t>
      </w:r>
      <w:r>
        <w:br/>
      </w:r>
      <w:r>
        <w:rPr>
          <w:rStyle w:val="FunctionTok"/>
        </w:rPr>
        <w:t xml:space="preserve">apiVersion</w:t>
      </w:r>
      <w:r>
        <w:rPr>
          <w:rStyle w:val="KeywordTok"/>
        </w:rPr>
        <w:t xml:space="preserve">:</w:t>
      </w:r>
      <w:r>
        <w:rPr>
          <w:rStyle w:val="AttributeTok"/>
        </w:rPr>
        <w:t xml:space="preserve"> rbac.authorization.k8s.io/v1</w:t>
      </w:r>
      <w:r>
        <w:br/>
      </w:r>
      <w:r>
        <w:rPr>
          <w:rStyle w:val="FunctionTok"/>
        </w:rPr>
        <w:t xml:space="preserve">kind</w:t>
      </w:r>
      <w:r>
        <w:rPr>
          <w:rStyle w:val="KeywordTok"/>
        </w:rPr>
        <w:t xml:space="preserve">:</w:t>
      </w:r>
      <w:r>
        <w:rPr>
          <w:rStyle w:val="AttributeTok"/>
        </w:rPr>
        <w:t xml:space="preserve"> RoleBinding</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dev-lecteur-portail</w:t>
      </w:r>
      <w:r>
        <w:br/>
      </w:r>
      <w:r>
        <w:rPr>
          <w:rStyle w:val="AttributeTok"/>
        </w:rPr>
        <w:t xml:space="preserve">  </w:t>
      </w:r>
      <w:r>
        <w:rPr>
          <w:rStyle w:val="FunctionTok"/>
        </w:rPr>
        <w:t xml:space="preserve">namespace</w:t>
      </w:r>
      <w:r>
        <w:rPr>
          <w:rStyle w:val="KeywordTok"/>
        </w:rPr>
        <w:t xml:space="preserve">:</w:t>
      </w:r>
      <w:r>
        <w:rPr>
          <w:rStyle w:val="AttributeTok"/>
        </w:rPr>
        <w:t xml:space="preserve"> production</w:t>
      </w:r>
      <w:r>
        <w:br/>
      </w:r>
      <w:r>
        <w:rPr>
          <w:rStyle w:val="FunctionTok"/>
        </w:rPr>
        <w:t xml:space="preserve">subjects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kind</w:t>
      </w:r>
      <w:r>
        <w:rPr>
          <w:rStyle w:val="KeywordTok"/>
        </w:rPr>
        <w:t xml:space="preserve">:</w:t>
      </w:r>
      <w:r>
        <w:rPr>
          <w:rStyle w:val="AttributeTok"/>
        </w:rPr>
        <w:t xml:space="preserve"> User</w:t>
      </w:r>
      <w:r>
        <w:br/>
      </w:r>
      <w:r>
        <w:rPr>
          <w:rStyle w:val="AttributeTok"/>
        </w:rPr>
        <w:t xml:space="preserve">    </w:t>
      </w:r>
      <w:r>
        <w:rPr>
          <w:rStyle w:val="FunctionTok"/>
        </w:rPr>
        <w:t xml:space="preserve">name</w:t>
      </w:r>
      <w:r>
        <w:rPr>
          <w:rStyle w:val="KeywordTok"/>
        </w:rPr>
        <w:t xml:space="preserve">:</w:t>
      </w:r>
      <w:r>
        <w:rPr>
          <w:rStyle w:val="AttributeTok"/>
        </w:rPr>
        <w:t xml:space="preserve"> nouveau-dev</w:t>
      </w:r>
      <w:r>
        <w:br/>
      </w:r>
      <w:r>
        <w:rPr>
          <w:rStyle w:val="FunctionTok"/>
        </w:rPr>
        <w:t xml:space="preserve">roleRef</w:t>
      </w:r>
      <w:r>
        <w:rPr>
          <w:rStyle w:val="KeywordTok"/>
        </w:rPr>
        <w:t xml:space="preserve">:</w:t>
      </w:r>
      <w:r>
        <w:br/>
      </w:r>
      <w:r>
        <w:rPr>
          <w:rStyle w:val="AttributeTok"/>
        </w:rPr>
        <w:t xml:space="preserve">  </w:t>
      </w:r>
      <w:r>
        <w:rPr>
          <w:rStyle w:val="FunctionTok"/>
        </w:rPr>
        <w:t xml:space="preserve">kind</w:t>
      </w:r>
      <w:r>
        <w:rPr>
          <w:rStyle w:val="KeywordTok"/>
        </w:rPr>
        <w:t xml:space="preserve">:</w:t>
      </w:r>
      <w:r>
        <w:rPr>
          <w:rStyle w:val="AttributeTok"/>
        </w:rPr>
        <w:t xml:space="preserve"> Role</w:t>
      </w:r>
      <w:r>
        <w:br/>
      </w:r>
      <w:r>
        <w:rPr>
          <w:rStyle w:val="AttributeTok"/>
        </w:rPr>
        <w:t xml:space="preserve">  </w:t>
      </w:r>
      <w:r>
        <w:rPr>
          <w:rStyle w:val="FunctionTok"/>
        </w:rPr>
        <w:t xml:space="preserve">name</w:t>
      </w:r>
      <w:r>
        <w:rPr>
          <w:rStyle w:val="KeywordTok"/>
        </w:rPr>
        <w:t xml:space="preserve">:</w:t>
      </w:r>
      <w:r>
        <w:rPr>
          <w:rStyle w:val="AttributeTok"/>
        </w:rPr>
        <w:t xml:space="preserve"> lecteur-portail</w:t>
      </w:r>
      <w:r>
        <w:br/>
      </w:r>
      <w:r>
        <w:rPr>
          <w:rStyle w:val="AttributeTok"/>
        </w:rPr>
        <w:t xml:space="preserve">  </w:t>
      </w:r>
      <w:r>
        <w:rPr>
          <w:rStyle w:val="FunctionTok"/>
        </w:rPr>
        <w:t xml:space="preserve">apiGroup</w:t>
      </w:r>
      <w:r>
        <w:rPr>
          <w:rStyle w:val="KeywordTok"/>
        </w:rPr>
        <w:t xml:space="preserve">:</w:t>
      </w:r>
      <w:r>
        <w:rPr>
          <w:rStyle w:val="AttributeTok"/>
        </w:rPr>
        <w:t xml:space="preserve"> rbac.authorization.k8s.io</w:t>
      </w:r>
    </w:p>
    <w:p>
      <w:pPr>
        <w:pStyle w:val="FirstParagraph"/>
      </w:pPr>
      <w:r>
        <w:t xml:space="preserve">💡 Un écho direct du scénario du chapitre 18</w:t>
      </w:r>
      <w:r>
        <w:t xml:space="preserve"> </w:t>
      </w:r>
      <w:r>
        <w:t xml:space="preserve">Ce</w:t>
      </w:r>
      <w:r>
        <w:t xml:space="preserve"> </w:t>
      </w:r>
      <w:r>
        <w:rPr>
          <w:rStyle w:val="VerbatimChar"/>
        </w:rPr>
        <w:t xml:space="preserve">Role</w:t>
      </w:r>
      <w:r>
        <w:t xml:space="preserve"> </w:t>
      </w:r>
      <w:r>
        <w:t xml:space="preserve">limité à la lecture seule sur le namespace production rappelle directement la règle sudo granulaire du chapitre 18 (</w:t>
      </w:r>
      <w:r>
        <w:rPr>
          <w:rStyle w:val="VerbatimChar"/>
        </w:rPr>
        <w:t xml:space="preserve">nouveau_dev ALL=(root) /usr/bin/systemctl restart nginx</w:t>
      </w:r>
      <w:r>
        <w:t xml:space="preserve">) — le même réflexe de moindre privilège, transposé du système d’exploitation au cluster Kubernetes : accorder exactement ce qui est nécessaire, jamais un accès total par facilité.</w:t>
      </w:r>
    </w:p>
    <w:bookmarkEnd w:id="1081"/>
    <w:bookmarkStart w:id="1082" w:name="X6ef9f2ae9ff4f39249d70ddc77988d2f3ec45c4"/>
    <w:p>
      <w:pPr>
        <w:pStyle w:val="Heading2"/>
      </w:pPr>
      <w:r>
        <w:t xml:space="preserve">44.3 Sécuriser réellement les secrets en production</w:t>
      </w:r>
    </w:p>
    <w:p>
      <w:pPr>
        <w:pStyle w:val="FirstParagraph"/>
      </w:pPr>
      <w:r>
        <w:t xml:space="preserve">✅ Corriger la troisième lacune : au-delà du Secret natif encodé en base64</w:t>
      </w:r>
      <w:r>
        <w:t xml:space="preserve"> </w:t>
      </w:r>
      <w:r>
        <w:t xml:space="preserve">Rappel direct de l’avertissement du chapitre 43 : un Secret Kubernetes natif n’offre pas de chiffrement réel par défaut. Deux solutions concrètes existent pour combler cette lacune identifiée par le RSSI : activer le</w:t>
      </w:r>
      <w:r>
        <w:t xml:space="preserve"> </w:t>
      </w:r>
      <w:r>
        <w:rPr>
          <w:b/>
          <w:bCs/>
        </w:rPr>
        <w:t xml:space="preserve">chiffrement au repos d’etcd</w:t>
      </w:r>
      <w:r>
        <w:t xml:space="preserve"> </w:t>
      </w:r>
      <w:r>
        <w:t xml:space="preserve">(chapitre 42), garantissant que les données stockées sont réellement chiffrées sur le disque du plan de contrôle ; ou intégrer un</w:t>
      </w:r>
      <w:r>
        <w:t xml:space="preserve"> </w:t>
      </w:r>
      <w:r>
        <w:rPr>
          <w:b/>
          <w:bCs/>
        </w:rPr>
        <w:t xml:space="preserve">gestionnaire de secrets externe</w:t>
      </w:r>
      <w:r>
        <w:t xml:space="preserve"> </w:t>
      </w:r>
      <w:r>
        <w:t xml:space="preserve">(comme HashiCorp Vault ou un service cloud équivalent), qui injecte les secrets dans les Pods sans jamais les stocker en clair dans</w:t>
      </w:r>
      <w:r>
        <w:t xml:space="preserve"> </w:t>
      </w:r>
      <w:r>
        <w:rPr>
          <w:rStyle w:val="VerbatimChar"/>
        </w:rPr>
        <w:t xml:space="preserve">etcd</w:t>
      </w:r>
      <w:r>
        <w:t xml:space="preserve"> </w:t>
      </w:r>
      <w:r>
        <w:t xml:space="preserve">— une solution plus robuste, approfondie en Partie 9 avec l’Infrastructure as Code.</w:t>
      </w:r>
    </w:p>
    <w:bookmarkEnd w:id="1082"/>
    <w:bookmarkStart w:id="1083" w:name="X30e2ec18a7de0b70bf03b42fac228903d2067a5"/>
    <w:p>
      <w:pPr>
        <w:pStyle w:val="Heading2"/>
      </w:pPr>
      <w:r>
        <w:t xml:space="preserve">44.4 HPA : automatiser la mise à l’échelle manuelle du chapitre 43</w:t>
      </w:r>
    </w:p>
    <w:p>
      <w:pPr>
        <w:pStyle w:val="FirstParagraph"/>
      </w:pPr>
      <w:r>
        <w:t xml:space="preserve">🚀 Performance — corriger la quatrième lacune</w:t>
      </w:r>
      <w:r>
        <w:t xml:space="preserve"> </w:t>
      </w:r>
      <w:r>
        <w:t xml:space="preserve">Le</w:t>
      </w:r>
      <w:r>
        <w:t xml:space="preserve"> </w:t>
      </w:r>
      <w:r>
        <w:rPr>
          <w:b/>
          <w:bCs/>
        </w:rPr>
        <w:t xml:space="preserve">Horizontal Pod Autoscaler</w:t>
      </w:r>
      <w:r>
        <w:t xml:space="preserve"> </w:t>
      </w:r>
      <w:r>
        <w:t xml:space="preserve">(HPA) automatise exactement ce que</w:t>
      </w:r>
      <w:r>
        <w:t xml:space="preserve"> </w:t>
      </w:r>
      <w:r>
        <w:rPr>
          <w:rStyle w:val="VerbatimChar"/>
        </w:rPr>
        <w:t xml:space="preserve">kubectl scale</w:t>
      </w:r>
      <w:r>
        <w:t xml:space="preserve"> </w:t>
      </w:r>
      <w:r>
        <w:t xml:space="preserve">faisait manuellement au chapitre 43 — ajustant le nombre de réplicas en fonction de métriques observées en temps réel (typiquement l’utilisation CPU), sans dépendre d’un administrateur qui se souvient d’intervenir au bon moment.</w:t>
      </w:r>
    </w:p>
    <w:p>
      <w:pPr>
        <w:pStyle w:val="SourceCode"/>
      </w:pPr>
      <w:r>
        <w:rPr>
          <w:rStyle w:val="CommentTok"/>
        </w:rPr>
        <w:t xml:space="preserve"># hpa.yaml</w:t>
      </w:r>
      <w:r>
        <w:br/>
      </w:r>
      <w:r>
        <w:rPr>
          <w:rStyle w:val="FunctionTok"/>
        </w:rPr>
        <w:t xml:space="preserve">apiVersion</w:t>
      </w:r>
      <w:r>
        <w:rPr>
          <w:rStyle w:val="KeywordTok"/>
        </w:rPr>
        <w:t xml:space="preserve">:</w:t>
      </w:r>
      <w:r>
        <w:rPr>
          <w:rStyle w:val="AttributeTok"/>
        </w:rPr>
        <w:t xml:space="preserve"> autoscaling/v2</w:t>
      </w:r>
      <w:r>
        <w:br/>
      </w:r>
      <w:r>
        <w:rPr>
          <w:rStyle w:val="FunctionTok"/>
        </w:rPr>
        <w:t xml:space="preserve">kind</w:t>
      </w:r>
      <w:r>
        <w:rPr>
          <w:rStyle w:val="KeywordTok"/>
        </w:rPr>
        <w:t xml:space="preserve">:</w:t>
      </w:r>
      <w:r>
        <w:rPr>
          <w:rStyle w:val="AttributeTok"/>
        </w:rPr>
        <w:t xml:space="preserve"> HorizontalPodAutoscaler</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portail-hpa</w:t>
      </w:r>
      <w:r>
        <w:br/>
      </w:r>
      <w:r>
        <w:rPr>
          <w:rStyle w:val="FunctionTok"/>
        </w:rPr>
        <w:t xml:space="preserve">spec</w:t>
      </w:r>
      <w:r>
        <w:rPr>
          <w:rStyle w:val="KeywordTok"/>
        </w:rPr>
        <w:t xml:space="preserve">:</w:t>
      </w:r>
      <w:r>
        <w:br/>
      </w:r>
      <w:r>
        <w:rPr>
          <w:rStyle w:val="AttributeTok"/>
        </w:rPr>
        <w:t xml:space="preserve">  </w:t>
      </w:r>
      <w:r>
        <w:rPr>
          <w:rStyle w:val="FunctionTok"/>
        </w:rPr>
        <w:t xml:space="preserve">scaleTargetRef</w:t>
      </w:r>
      <w:r>
        <w:rPr>
          <w:rStyle w:val="KeywordTok"/>
        </w:rPr>
        <w:t xml:space="preserve">:</w:t>
      </w:r>
      <w:r>
        <w:br/>
      </w:r>
      <w:r>
        <w:rPr>
          <w:rStyle w:val="AttributeTok"/>
        </w:rPr>
        <w:t xml:space="preserve">    </w:t>
      </w:r>
      <w:r>
        <w:rPr>
          <w:rStyle w:val="FunctionTok"/>
        </w:rPr>
        <w:t xml:space="preserve">apiVersion</w:t>
      </w:r>
      <w:r>
        <w:rPr>
          <w:rStyle w:val="KeywordTok"/>
        </w:rPr>
        <w:t xml:space="preserve">:</w:t>
      </w:r>
      <w:r>
        <w:rPr>
          <w:rStyle w:val="AttributeTok"/>
        </w:rPr>
        <w:t xml:space="preserve"> apps/v1</w:t>
      </w:r>
      <w:r>
        <w:br/>
      </w:r>
      <w:r>
        <w:rPr>
          <w:rStyle w:val="AttributeTok"/>
        </w:rPr>
        <w:t xml:space="preserve">    </w:t>
      </w:r>
      <w:r>
        <w:rPr>
          <w:rStyle w:val="FunctionTok"/>
        </w:rPr>
        <w:t xml:space="preserve">kind</w:t>
      </w:r>
      <w:r>
        <w:rPr>
          <w:rStyle w:val="KeywordTok"/>
        </w:rPr>
        <w:t xml:space="preserve">:</w:t>
      </w:r>
      <w:r>
        <w:rPr>
          <w:rStyle w:val="AttributeTok"/>
        </w:rPr>
        <w:t xml:space="preserve"> Deployment</w:t>
      </w:r>
      <w:r>
        <w:br/>
      </w:r>
      <w:r>
        <w:rPr>
          <w:rStyle w:val="AttributeTok"/>
        </w:rPr>
        <w:t xml:space="preserve">    </w:t>
      </w:r>
      <w:r>
        <w:rPr>
          <w:rStyle w:val="FunctionTok"/>
        </w:rPr>
        <w:t xml:space="preserve">name</w:t>
      </w:r>
      <w:r>
        <w:rPr>
          <w:rStyle w:val="KeywordTok"/>
        </w:rPr>
        <w:t xml:space="preserve">:</w:t>
      </w:r>
      <w:r>
        <w:rPr>
          <w:rStyle w:val="AttributeTok"/>
        </w:rPr>
        <w:t xml:space="preserve"> portail-app</w:t>
      </w:r>
      <w:r>
        <w:br/>
      </w:r>
      <w:r>
        <w:rPr>
          <w:rStyle w:val="AttributeTok"/>
        </w:rPr>
        <w:t xml:space="preserve">  </w:t>
      </w:r>
      <w:r>
        <w:rPr>
          <w:rStyle w:val="FunctionTok"/>
        </w:rPr>
        <w:t xml:space="preserve">minReplicas</w:t>
      </w:r>
      <w:r>
        <w:rPr>
          <w:rStyle w:val="KeywordTok"/>
        </w:rPr>
        <w:t xml:space="preserve">:</w:t>
      </w:r>
      <w:r>
        <w:rPr>
          <w:rStyle w:val="AttributeTok"/>
        </w:rPr>
        <w:t xml:space="preserve"> </w:t>
      </w:r>
      <w:r>
        <w:rPr>
          <w:rStyle w:val="DecValTok"/>
        </w:rPr>
        <w:t xml:space="preserve">3</w:t>
      </w:r>
      <w:r>
        <w:br/>
      </w:r>
      <w:r>
        <w:rPr>
          <w:rStyle w:val="AttributeTok"/>
        </w:rPr>
        <w:t xml:space="preserve">  </w:t>
      </w:r>
      <w:r>
        <w:rPr>
          <w:rStyle w:val="FunctionTok"/>
        </w:rPr>
        <w:t xml:space="preserve">maxReplicas</w:t>
      </w:r>
      <w:r>
        <w:rPr>
          <w:rStyle w:val="KeywordTok"/>
        </w:rPr>
        <w:t xml:space="preserve">:</w:t>
      </w:r>
      <w:r>
        <w:rPr>
          <w:rStyle w:val="AttributeTok"/>
        </w:rPr>
        <w:t xml:space="preserve"> </w:t>
      </w:r>
      <w:r>
        <w:rPr>
          <w:rStyle w:val="DecValTok"/>
        </w:rPr>
        <w:t xml:space="preserve">10</w:t>
      </w:r>
      <w:r>
        <w:br/>
      </w:r>
      <w:r>
        <w:rPr>
          <w:rStyle w:val="AttributeTok"/>
        </w:rPr>
        <w:t xml:space="preserve">  </w:t>
      </w:r>
      <w:r>
        <w:rPr>
          <w:rStyle w:val="FunctionTok"/>
        </w:rPr>
        <w:t xml:space="preserve">metrics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type</w:t>
      </w:r>
      <w:r>
        <w:rPr>
          <w:rStyle w:val="KeywordTok"/>
        </w:rPr>
        <w:t xml:space="preserve">:</w:t>
      </w:r>
      <w:r>
        <w:rPr>
          <w:rStyle w:val="AttributeTok"/>
        </w:rPr>
        <w:t xml:space="preserve"> Resource</w:t>
      </w:r>
      <w:r>
        <w:br/>
      </w:r>
      <w:r>
        <w:rPr>
          <w:rStyle w:val="AttributeTok"/>
        </w:rPr>
        <w:t xml:space="preserve">      </w:t>
      </w:r>
      <w:r>
        <w:rPr>
          <w:rStyle w:val="FunctionTok"/>
        </w:rPr>
        <w:t xml:space="preserve">resource</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cpu</w:t>
      </w:r>
      <w:r>
        <w:br/>
      </w:r>
      <w:r>
        <w:rPr>
          <w:rStyle w:val="AttributeTok"/>
        </w:rPr>
        <w:t xml:space="preserve">        </w:t>
      </w:r>
      <w:r>
        <w:rPr>
          <w:rStyle w:val="FunctionTok"/>
        </w:rPr>
        <w:t xml:space="preserve">target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Utilization</w:t>
      </w:r>
      <w:r>
        <w:br/>
      </w:r>
      <w:r>
        <w:rPr>
          <w:rStyle w:val="AttributeTok"/>
        </w:rPr>
        <w:t xml:space="preserve">          </w:t>
      </w:r>
      <w:r>
        <w:rPr>
          <w:rStyle w:val="FunctionTok"/>
        </w:rPr>
        <w:t xml:space="preserve">averageUtilization</w:t>
      </w:r>
      <w:r>
        <w:rPr>
          <w:rStyle w:val="KeywordTok"/>
        </w:rPr>
        <w:t xml:space="preserve">:</w:t>
      </w:r>
      <w:r>
        <w:rPr>
          <w:rStyle w:val="AttributeTok"/>
        </w:rPr>
        <w:t xml:space="preserve"> </w:t>
      </w:r>
      <w:r>
        <w:rPr>
          <w:rStyle w:val="DecValTok"/>
        </w:rPr>
        <w:t xml:space="preserve">70</w:t>
      </w:r>
    </w:p>
    <w:p>
      <w:pPr>
        <w:pStyle w:val="FirstParagraph"/>
      </w:pPr>
      <w:r>
        <w:t xml:space="preserve">💡 Un seuil de 70%, pas 100%</w:t>
      </w:r>
      <w:r>
        <w:t xml:space="preserve"> </w:t>
      </w:r>
      <w:r>
        <w:t xml:space="preserve">Le seuil</w:t>
      </w:r>
      <w:r>
        <w:t xml:space="preserve"> </w:t>
      </w:r>
      <w:r>
        <w:rPr>
          <w:rStyle w:val="VerbatimChar"/>
        </w:rPr>
        <w:t xml:space="preserve">averageUtilization: 70</w:t>
      </w:r>
      <w:r>
        <w:t xml:space="preserve"> </w:t>
      </w:r>
      <w:r>
        <w:t xml:space="preserve">déclenche une mise à l’échelle avant que les Pods existants n’atteignent leur limite réelle — exactement le même principe de supervision proactive déjà établi au chapitre 1 (agir avant la saturation, pas après), appliqué ici à l’échelle automatique plutôt qu’à une alerte humaine.</w:t>
      </w:r>
    </w:p>
    <w:bookmarkEnd w:id="1083"/>
    <w:bookmarkStart w:id="1084" w:name="X5d394714856d09a5e22285aefbb403a0a8262c4"/>
    <w:p>
      <w:pPr>
        <w:pStyle w:val="Heading2"/>
      </w:pPr>
      <w:r>
        <w:t xml:space="preserve">44.5 Requests et limits : rappel direct de la surallocation du chapitre 33</w:t>
      </w:r>
    </w:p>
    <w:p>
      <w:pPr>
        <w:pStyle w:val="FirstParagraph"/>
      </w:pPr>
      <w:r>
        <w:t xml:space="preserve">⚠️ Sans limits, un seul Pod peut monopoliser tout un nœud</w:t>
      </w:r>
      <w:r>
        <w:t xml:space="preserve"> </w:t>
      </w:r>
      <w:r>
        <w:t xml:space="preserve">Rappel direct de la surveillance de la surallocation déjà établie au chapitre 33 pour les VM, appliquée ici aux Pods : sans</w:t>
      </w:r>
      <w:r>
        <w:t xml:space="preserve"> </w:t>
      </w:r>
      <w:r>
        <w:rPr>
          <w:b/>
          <w:bCs/>
        </w:rPr>
        <w:t xml:space="preserve">limits</w:t>
      </w:r>
      <w:r>
        <w:t xml:space="preserve"> </w:t>
      </w:r>
      <w:r>
        <w:t xml:space="preserve">de ressources définies, un Pod défaillant (fuite mémoire, boucle infinie) peut consommer toutes les ressources disponibles d’un nœud, affectant tous les autres Pods qui y sont hébergés — exactement le même risque de contention déjà décrit pour un hôte de virtualisation.</w:t>
      </w:r>
    </w:p>
    <w:p>
      <w:pPr>
        <w:pStyle w:val="SourceCode"/>
      </w:pPr>
      <w:r>
        <w:rPr>
          <w:rStyle w:val="CommentTok"/>
        </w:rPr>
        <w:t xml:space="preserve"># Ajout au conteneur du Deployment de la section 43.1</w:t>
      </w:r>
      <w:r>
        <w:br/>
      </w:r>
      <w:r>
        <w:rPr>
          <w:rStyle w:val="FunctionTok"/>
        </w:rPr>
        <w:t xml:space="preserve">resources</w:t>
      </w:r>
      <w:r>
        <w:rPr>
          <w:rStyle w:val="KeywordTok"/>
        </w:rPr>
        <w:t xml:space="preserve">:</w:t>
      </w:r>
      <w:r>
        <w:br/>
      </w:r>
      <w:r>
        <w:rPr>
          <w:rStyle w:val="AttributeTok"/>
        </w:rPr>
        <w:t xml:space="preserve">  </w:t>
      </w:r>
      <w:r>
        <w:rPr>
          <w:rStyle w:val="FunctionTok"/>
        </w:rPr>
        <w:t xml:space="preserve">requests</w:t>
      </w:r>
      <w:r>
        <w:rPr>
          <w:rStyle w:val="KeywordTok"/>
        </w:rPr>
        <w:t xml:space="preserve">:</w:t>
      </w:r>
      <w:r>
        <w:br/>
      </w:r>
      <w:r>
        <w:rPr>
          <w:rStyle w:val="AttributeTok"/>
        </w:rPr>
        <w:t xml:space="preserve">    </w:t>
      </w:r>
      <w:r>
        <w:rPr>
          <w:rStyle w:val="FunctionTok"/>
        </w:rPr>
        <w:t xml:space="preserve">cpu</w:t>
      </w:r>
      <w:r>
        <w:rPr>
          <w:rStyle w:val="KeywordTok"/>
        </w:rPr>
        <w:t xml:space="preserve">:</w:t>
      </w:r>
      <w:r>
        <w:rPr>
          <w:rStyle w:val="AttributeTok"/>
        </w:rPr>
        <w:t xml:space="preserve"> </w:t>
      </w:r>
      <w:r>
        <w:rPr>
          <w:rStyle w:val="StringTok"/>
        </w:rPr>
        <w:t xml:space="preserve">"250m"</w:t>
      </w:r>
      <w:r>
        <w:br/>
      </w:r>
      <w:r>
        <w:rPr>
          <w:rStyle w:val="AttributeTok"/>
        </w:rPr>
        <w:t xml:space="preserve">    </w:t>
      </w:r>
      <w:r>
        <w:rPr>
          <w:rStyle w:val="FunctionTok"/>
        </w:rPr>
        <w:t xml:space="preserve">memory</w:t>
      </w:r>
      <w:r>
        <w:rPr>
          <w:rStyle w:val="KeywordTok"/>
        </w:rPr>
        <w:t xml:space="preserve">:</w:t>
      </w:r>
      <w:r>
        <w:rPr>
          <w:rStyle w:val="AttributeTok"/>
        </w:rPr>
        <w:t xml:space="preserve"> </w:t>
      </w:r>
      <w:r>
        <w:rPr>
          <w:rStyle w:val="StringTok"/>
        </w:rPr>
        <w:t xml:space="preserve">"256Mi"</w:t>
      </w:r>
      <w:r>
        <w:br/>
      </w:r>
      <w:r>
        <w:rPr>
          <w:rStyle w:val="AttributeTok"/>
        </w:rPr>
        <w:t xml:space="preserve">  </w:t>
      </w:r>
      <w:r>
        <w:rPr>
          <w:rStyle w:val="FunctionTok"/>
        </w:rPr>
        <w:t xml:space="preserve">limits</w:t>
      </w:r>
      <w:r>
        <w:rPr>
          <w:rStyle w:val="KeywordTok"/>
        </w:rPr>
        <w:t xml:space="preserve">:</w:t>
      </w:r>
      <w:r>
        <w:br/>
      </w:r>
      <w:r>
        <w:rPr>
          <w:rStyle w:val="AttributeTok"/>
        </w:rPr>
        <w:t xml:space="preserve">    </w:t>
      </w:r>
      <w:r>
        <w:rPr>
          <w:rStyle w:val="FunctionTok"/>
        </w:rPr>
        <w:t xml:space="preserve">cpu</w:t>
      </w:r>
      <w:r>
        <w:rPr>
          <w:rStyle w:val="KeywordTok"/>
        </w:rPr>
        <w:t xml:space="preserve">:</w:t>
      </w:r>
      <w:r>
        <w:rPr>
          <w:rStyle w:val="AttributeTok"/>
        </w:rPr>
        <w:t xml:space="preserve"> </w:t>
      </w:r>
      <w:r>
        <w:rPr>
          <w:rStyle w:val="StringTok"/>
        </w:rPr>
        <w:t xml:space="preserve">"500m"</w:t>
      </w:r>
      <w:r>
        <w:br/>
      </w:r>
      <w:r>
        <w:rPr>
          <w:rStyle w:val="AttributeTok"/>
        </w:rPr>
        <w:t xml:space="preserve">    </w:t>
      </w:r>
      <w:r>
        <w:rPr>
          <w:rStyle w:val="FunctionTok"/>
        </w:rPr>
        <w:t xml:space="preserve">memory</w:t>
      </w:r>
      <w:r>
        <w:rPr>
          <w:rStyle w:val="KeywordTok"/>
        </w:rPr>
        <w:t xml:space="preserve">:</w:t>
      </w:r>
      <w:r>
        <w:rPr>
          <w:rStyle w:val="AttributeTok"/>
        </w:rPr>
        <w:t xml:space="preserve"> </w:t>
      </w:r>
      <w:r>
        <w:rPr>
          <w:rStyle w:val="StringTok"/>
        </w:rPr>
        <w:t xml:space="preserve">"512Mi"</w:t>
      </w:r>
    </w:p>
    <w:bookmarkEnd w:id="1084"/>
    <w:bookmarkStart w:id="1085" w:name="X5cd7c19615ca655310887ea0fce8fbcafda0a1d"/>
    <w:p>
      <w:pPr>
        <w:pStyle w:val="Heading2"/>
      </w:pPr>
      <w:r>
        <w:t xml:space="preserve">44.6 Sondes de santé : rappel direct du healthcheck du chapitre 41</w:t>
      </w:r>
    </w:p>
    <w:p>
      <w:pPr>
        <w:pStyle w:val="FirstParagraph"/>
      </w:pPr>
      <w:r>
        <w:t xml:space="preserve">✅ Éviter d’envoyer du trafic à un Pod pas encore prêt</w:t>
      </w:r>
      <w:r>
        <w:t xml:space="preserve"> </w:t>
      </w:r>
      <w:r>
        <w:t xml:space="preserve">Exactement le même piège que</w:t>
      </w:r>
      <w:r>
        <w:t xml:space="preserve"> </w:t>
      </w:r>
      <w:r>
        <w:rPr>
          <w:rStyle w:val="VerbatimChar"/>
        </w:rPr>
        <w:t xml:space="preserve">depends_on</w:t>
      </w:r>
      <w:r>
        <w:t xml:space="preserve"> </w:t>
      </w:r>
      <w:r>
        <w:t xml:space="preserve">sans healthcheck au chapitre 41 : sans</w:t>
      </w:r>
      <w:r>
        <w:t xml:space="preserve"> </w:t>
      </w:r>
      <w:r>
        <w:rPr>
          <w:b/>
          <w:bCs/>
        </w:rPr>
        <w:t xml:space="preserve">readiness probe</w:t>
      </w:r>
      <w:r>
        <w:t xml:space="preserve">, Kubernetes peut envoyer du trafic vers un Pod tout juste démarré, mais pas encore réellement prêt à traiter des requêtes (application encore en cours d’initialisation). Une</w:t>
      </w:r>
      <w:r>
        <w:t xml:space="preserve"> </w:t>
      </w:r>
      <w:r>
        <w:rPr>
          <w:b/>
          <w:bCs/>
        </w:rPr>
        <w:t xml:space="preserve">liveness probe</w:t>
      </w:r>
      <w:r>
        <w:t xml:space="preserve"> </w:t>
      </w:r>
      <w:r>
        <w:t xml:space="preserve">distincte détecte un Pod bloqué ou défaillant après un fonctionnement normal, déclenchant son redémarrage automatique — le même principe d’auto-guérison déjà présenté au chapitre 42, rendu concret ici.</w:t>
      </w:r>
    </w:p>
    <w:p>
      <w:pPr>
        <w:pStyle w:val="SourceCode"/>
      </w:pPr>
      <w:r>
        <w:rPr>
          <w:rStyle w:val="CommentTok"/>
        </w:rPr>
        <w:t xml:space="preserve"># Ajout au conteneur du Deployment</w:t>
      </w:r>
      <w:r>
        <w:br/>
      </w:r>
      <w:r>
        <w:rPr>
          <w:rStyle w:val="FunctionTok"/>
        </w:rPr>
        <w:t xml:space="preserve">readinessProbe</w:t>
      </w:r>
      <w:r>
        <w:rPr>
          <w:rStyle w:val="KeywordTok"/>
        </w:rPr>
        <w:t xml:space="preserve">:</w:t>
      </w:r>
      <w:r>
        <w:br/>
      </w:r>
      <w:r>
        <w:rPr>
          <w:rStyle w:val="AttributeTok"/>
        </w:rPr>
        <w:t xml:space="preserve">  </w:t>
      </w:r>
      <w:r>
        <w:rPr>
          <w:rStyle w:val="FunctionTok"/>
        </w:rPr>
        <w:t xml:space="preserve">httpGet</w:t>
      </w:r>
      <w:r>
        <w:rPr>
          <w:rStyle w:val="KeywordTok"/>
        </w:rPr>
        <w:t xml:space="preserve">:</w:t>
      </w:r>
      <w:r>
        <w:br/>
      </w:r>
      <w:r>
        <w:rPr>
          <w:rStyle w:val="AttributeTok"/>
        </w:rPr>
        <w:t xml:space="preserve">    </w:t>
      </w:r>
      <w:r>
        <w:rPr>
          <w:rStyle w:val="FunctionTok"/>
        </w:rPr>
        <w:t xml:space="preserve">path</w:t>
      </w:r>
      <w:r>
        <w:rPr>
          <w:rStyle w:val="KeywordTok"/>
        </w:rPr>
        <w:t xml:space="preserve">:</w:t>
      </w:r>
      <w:r>
        <w:rPr>
          <w:rStyle w:val="AttributeTok"/>
        </w:rPr>
        <w:t xml:space="preserve"> /health</w:t>
      </w:r>
      <w:r>
        <w:br/>
      </w:r>
      <w:r>
        <w:rPr>
          <w:rStyle w:val="AttributeTok"/>
        </w:rPr>
        <w:t xml:space="preserve">    </w:t>
      </w:r>
      <w:r>
        <w:rPr>
          <w:rStyle w:val="FunctionTok"/>
        </w:rPr>
        <w:t xml:space="preserve">port</w:t>
      </w:r>
      <w:r>
        <w:rPr>
          <w:rStyle w:val="KeywordTok"/>
        </w:rPr>
        <w:t xml:space="preserve">:</w:t>
      </w:r>
      <w:r>
        <w:rPr>
          <w:rStyle w:val="AttributeTok"/>
        </w:rPr>
        <w:t xml:space="preserve"> </w:t>
      </w:r>
      <w:r>
        <w:rPr>
          <w:rStyle w:val="DecValTok"/>
        </w:rPr>
        <w:t xml:space="preserve">3000</w:t>
      </w:r>
      <w:r>
        <w:br/>
      </w:r>
      <w:r>
        <w:rPr>
          <w:rStyle w:val="AttributeTok"/>
        </w:rPr>
        <w:t xml:space="preserve">  </w:t>
      </w:r>
      <w:r>
        <w:rPr>
          <w:rStyle w:val="FunctionTok"/>
        </w:rPr>
        <w:t xml:space="preserve">initialDelaySeconds</w:t>
      </w:r>
      <w:r>
        <w:rPr>
          <w:rStyle w:val="KeywordTok"/>
        </w:rPr>
        <w:t xml:space="preserve">:</w:t>
      </w:r>
      <w:r>
        <w:rPr>
          <w:rStyle w:val="AttributeTok"/>
        </w:rPr>
        <w:t xml:space="preserve"> </w:t>
      </w:r>
      <w:r>
        <w:rPr>
          <w:rStyle w:val="DecValTok"/>
        </w:rPr>
        <w:t xml:space="preserve">5</w:t>
      </w:r>
      <w:r>
        <w:br/>
      </w:r>
      <w:r>
        <w:rPr>
          <w:rStyle w:val="AttributeTok"/>
        </w:rPr>
        <w:t xml:space="preserve">  </w:t>
      </w:r>
      <w:r>
        <w:rPr>
          <w:rStyle w:val="FunctionTok"/>
        </w:rPr>
        <w:t xml:space="preserve">periodSeconds</w:t>
      </w:r>
      <w:r>
        <w:rPr>
          <w:rStyle w:val="KeywordTok"/>
        </w:rPr>
        <w:t xml:space="preserve">:</w:t>
      </w:r>
      <w:r>
        <w:rPr>
          <w:rStyle w:val="AttributeTok"/>
        </w:rPr>
        <w:t xml:space="preserve"> </w:t>
      </w:r>
      <w:r>
        <w:rPr>
          <w:rStyle w:val="DecValTok"/>
        </w:rPr>
        <w:t xml:space="preserve">5</w:t>
      </w:r>
      <w:r>
        <w:br/>
      </w:r>
      <w:r>
        <w:rPr>
          <w:rStyle w:val="FunctionTok"/>
        </w:rPr>
        <w:t xml:space="preserve">livenessProbe</w:t>
      </w:r>
      <w:r>
        <w:rPr>
          <w:rStyle w:val="KeywordTok"/>
        </w:rPr>
        <w:t xml:space="preserve">:</w:t>
      </w:r>
      <w:r>
        <w:br/>
      </w:r>
      <w:r>
        <w:rPr>
          <w:rStyle w:val="AttributeTok"/>
        </w:rPr>
        <w:t xml:space="preserve">  </w:t>
      </w:r>
      <w:r>
        <w:rPr>
          <w:rStyle w:val="FunctionTok"/>
        </w:rPr>
        <w:t xml:space="preserve">httpGet</w:t>
      </w:r>
      <w:r>
        <w:rPr>
          <w:rStyle w:val="KeywordTok"/>
        </w:rPr>
        <w:t xml:space="preserve">:</w:t>
      </w:r>
      <w:r>
        <w:br/>
      </w:r>
      <w:r>
        <w:rPr>
          <w:rStyle w:val="AttributeTok"/>
        </w:rPr>
        <w:t xml:space="preserve">    </w:t>
      </w:r>
      <w:r>
        <w:rPr>
          <w:rStyle w:val="FunctionTok"/>
        </w:rPr>
        <w:t xml:space="preserve">path</w:t>
      </w:r>
      <w:r>
        <w:rPr>
          <w:rStyle w:val="KeywordTok"/>
        </w:rPr>
        <w:t xml:space="preserve">:</w:t>
      </w:r>
      <w:r>
        <w:rPr>
          <w:rStyle w:val="AttributeTok"/>
        </w:rPr>
        <w:t xml:space="preserve"> /health</w:t>
      </w:r>
      <w:r>
        <w:br/>
      </w:r>
      <w:r>
        <w:rPr>
          <w:rStyle w:val="AttributeTok"/>
        </w:rPr>
        <w:t xml:space="preserve">    </w:t>
      </w:r>
      <w:r>
        <w:rPr>
          <w:rStyle w:val="FunctionTok"/>
        </w:rPr>
        <w:t xml:space="preserve">port</w:t>
      </w:r>
      <w:r>
        <w:rPr>
          <w:rStyle w:val="KeywordTok"/>
        </w:rPr>
        <w:t xml:space="preserve">:</w:t>
      </w:r>
      <w:r>
        <w:rPr>
          <w:rStyle w:val="AttributeTok"/>
        </w:rPr>
        <w:t xml:space="preserve"> </w:t>
      </w:r>
      <w:r>
        <w:rPr>
          <w:rStyle w:val="DecValTok"/>
        </w:rPr>
        <w:t xml:space="preserve">3000</w:t>
      </w:r>
      <w:r>
        <w:br/>
      </w:r>
      <w:r>
        <w:rPr>
          <w:rStyle w:val="AttributeTok"/>
        </w:rPr>
        <w:t xml:space="preserve">  </w:t>
      </w:r>
      <w:r>
        <w:rPr>
          <w:rStyle w:val="FunctionTok"/>
        </w:rPr>
        <w:t xml:space="preserve">initialDelaySeconds</w:t>
      </w:r>
      <w:r>
        <w:rPr>
          <w:rStyle w:val="KeywordTok"/>
        </w:rPr>
        <w:t xml:space="preserve">:</w:t>
      </w:r>
      <w:r>
        <w:rPr>
          <w:rStyle w:val="AttributeTok"/>
        </w:rPr>
        <w:t xml:space="preserve"> </w:t>
      </w:r>
      <w:r>
        <w:rPr>
          <w:rStyle w:val="DecValTok"/>
        </w:rPr>
        <w:t xml:space="preserve">15</w:t>
      </w:r>
      <w:r>
        <w:br/>
      </w:r>
      <w:r>
        <w:rPr>
          <w:rStyle w:val="AttributeTok"/>
        </w:rPr>
        <w:t xml:space="preserve">  </w:t>
      </w:r>
      <w:r>
        <w:rPr>
          <w:rStyle w:val="FunctionTok"/>
        </w:rPr>
        <w:t xml:space="preserve">periodSeconds</w:t>
      </w:r>
      <w:r>
        <w:rPr>
          <w:rStyle w:val="KeywordTok"/>
        </w:rPr>
        <w:t xml:space="preserve">:</w:t>
      </w:r>
      <w:r>
        <w:rPr>
          <w:rStyle w:val="AttributeTok"/>
        </w:rPr>
        <w:t xml:space="preserve"> </w:t>
      </w:r>
      <w:r>
        <w:rPr>
          <w:rStyle w:val="DecValTok"/>
        </w:rPr>
        <w:t xml:space="preserve">10</w:t>
      </w:r>
    </w:p>
    <w:bookmarkEnd w:id="1085"/>
    <w:bookmarkStart w:id="1086" w:name="X912dd6f83d1becc9f2e6fd0817976a3ed57f424"/>
    <w:p>
      <w:pPr>
        <w:pStyle w:val="Heading2"/>
      </w:pPr>
      <w:r>
        <w:t xml:space="preserve">44.7 Checklist finale de préparation à la production</w:t>
      </w:r>
    </w:p>
    <w:p>
      <w:pPr>
        <w:pStyle w:val="FirstParagraph"/>
      </w:pPr>
      <w:r>
        <w:t xml:space="preserve">🧠 À mémoriser — les cinq lacunes du RSSI, toutes comblées</w:t>
      </w:r>
      <w:r>
        <w:t xml:space="preserve"> </w:t>
      </w:r>
      <w:r>
        <w:t xml:space="preserve">1. Exposition externe sécurisée avec TLS automatisé (Ingress + cert-manager, section 44.1).</w:t>
      </w:r>
      <w:r>
        <w:t xml:space="preserve"> </w:t>
      </w:r>
      <w:r>
        <w:t xml:space="preserve">2. Contrôle d’accès granulaire (RBAC, section 44.2).</w:t>
      </w:r>
      <w:r>
        <w:t xml:space="preserve"> </w:t>
      </w:r>
      <w:r>
        <w:t xml:space="preserve">3. Secrets réellement protégés (chiffrement etcd ou gestionnaire externe, section 44.3).</w:t>
      </w:r>
      <w:r>
        <w:t xml:space="preserve"> </w:t>
      </w:r>
      <w:r>
        <w:t xml:space="preserve">4. Mise à l’échelle automatique (HPA, section 44.4).</w:t>
      </w:r>
      <w:r>
        <w:t xml:space="preserve"> </w:t>
      </w:r>
      <w:r>
        <w:t xml:space="preserve">5. Limites de ressources et sondes de santé (sections 44.5-44.6), pour qu’aucun Pod ne compromette la stabilité du cluster ni ne reçoive de trafic prématurément.</w:t>
      </w:r>
    </w:p>
    <w:bookmarkEnd w:id="1086"/>
    <w:bookmarkStart w:id="1087" w:name="X6f72599efee871f555732808305a108372f3888"/>
    <w:p>
      <w:pPr>
        <w:pStyle w:val="Heading2"/>
      </w:pPr>
      <w:r>
        <w:t xml:space="preserve">Atelier — Réaliser la revue de préparation à la production</w:t>
      </w:r>
    </w:p>
    <w:p>
      <w:pPr>
        <w:pStyle w:val="FirstParagraph"/>
      </w:pPr>
      <w:r>
        <w:t xml:space="preserve">🛠️ Atelier 44 — Auditer le déploiement du chapitre 43</w:t>
      </w:r>
    </w:p>
    <w:p>
      <w:pPr>
        <w:pStyle w:val="BodyText"/>
      </w:pPr>
      <w:r>
        <w:rPr>
          <w:b/>
          <w:bCs/>
        </w:rPr>
        <w:t xml:space="preserve">Objectif</w:t>
      </w:r>
      <w:r>
        <w:t xml:space="preserve"> </w:t>
      </w:r>
      <w:r>
        <w:t xml:space="preserve">: reproduire la démarche du RSSI en auditant le manifeste du chapitre 43, puis proposer les corrections nécessaires.</w:t>
      </w:r>
    </w:p>
    <w:p>
      <w:pPr>
        <w:pStyle w:val="BodyText"/>
      </w:pPr>
      <w:r>
        <w:rPr>
          <w:b/>
          <w:bCs/>
        </w:rPr>
        <w:t xml:space="preserve">Préparation</w:t>
      </w:r>
      <w:r>
        <w:t xml:space="preserve"> </w:t>
      </w:r>
      <w:r>
        <w:t xml:space="preserve">: le manifeste du chapitre 43 (Deployment, Service, PVC), ou une lecture attentive pour cet atelier conceptuel.</w:t>
      </w:r>
    </w:p>
    <w:p>
      <w:pPr>
        <w:pStyle w:val="BodyText"/>
      </w:pPr>
      <w:r>
        <w:rPr>
          <w:b/>
          <w:bCs/>
        </w:rPr>
        <w:t xml:space="preserve">Étapes détaillées</w:t>
      </w:r>
      <w:r>
        <w:t xml:space="preserve"> </w:t>
      </w:r>
      <w:r>
        <w:t xml:space="preserve">:</w:t>
      </w:r>
    </w:p>
    <w:p>
      <w:pPr>
        <w:pStyle w:val="Compact"/>
        <w:numPr>
          <w:ilvl w:val="0"/>
          <w:numId w:val="2012"/>
        </w:numPr>
      </w:pPr>
      <w:r>
        <w:t xml:space="preserve">Relis le Deployment de la section 43.1. Identifie les éléments manquants selon la checklist de la section 44.7.</w:t>
      </w:r>
    </w:p>
    <w:p>
      <w:pPr>
        <w:pStyle w:val="Compact"/>
        <w:numPr>
          <w:ilvl w:val="0"/>
          <w:numId w:val="2012"/>
        </w:numPr>
      </w:pPr>
      <w:r>
        <w:t xml:space="preserve">Rédige les ajouts nécessaires (resources, probes) à intégrer directement au manifeste existant.</w:t>
      </w:r>
    </w:p>
    <w:p>
      <w:pPr>
        <w:pStyle w:val="Compact"/>
        <w:numPr>
          <w:ilvl w:val="0"/>
          <w:numId w:val="2012"/>
        </w:numPr>
      </w:pPr>
      <w:r>
        <w:t xml:space="preserve">Propose un Ingress et un RBAC minimal pour ce déploiement.</w:t>
      </w:r>
    </w:p>
    <w:p>
      <w:pPr>
        <w:pStyle w:val="Compact"/>
        <w:numPr>
          <w:ilvl w:val="0"/>
          <w:numId w:val="2012"/>
        </w:numPr>
      </w:pPr>
      <w:r>
        <w:t xml:space="preserve">Compare ta démarche à la section</w:t>
      </w:r>
      <w:r>
        <w:t xml:space="preserve"> </w:t>
      </w:r>
      <w:r>
        <w:t xml:space="preserve">“Résultat attendu”</w:t>
      </w:r>
      <w:r>
        <w:t xml:space="preserve">.</w:t>
      </w:r>
    </w:p>
    <w:p>
      <w:pPr>
        <w:pStyle w:val="FirstParagraph"/>
      </w:pPr>
      <w:r>
        <w:rPr>
          <w:b/>
          <w:bCs/>
        </w:rPr>
        <w:t xml:space="preserve">Résultat attendu</w:t>
      </w:r>
      <w:r>
        <w:t xml:space="preserve"> </w:t>
      </w:r>
      <w:r>
        <w:t xml:space="preserve">: le Deployment du chapitre 43 ne comportait ni</w:t>
      </w:r>
      <w:r>
        <w:t xml:space="preserve"> </w:t>
      </w:r>
      <w:r>
        <w:rPr>
          <w:rStyle w:val="VerbatimChar"/>
        </w:rPr>
        <w:t xml:space="preserve">resources</w:t>
      </w:r>
      <w:r>
        <w:t xml:space="preserve"> </w:t>
      </w:r>
      <w:r>
        <w:t xml:space="preserve">(section 44.5), ni</w:t>
      </w:r>
      <w:r>
        <w:t xml:space="preserve"> </w:t>
      </w:r>
      <w:r>
        <w:rPr>
          <w:rStyle w:val="VerbatimChar"/>
        </w:rPr>
        <w:t xml:space="preserve">readinessProbe</w:t>
      </w:r>
      <w:r>
        <w:t xml:space="preserve">/</w:t>
      </w:r>
      <w:r>
        <w:rPr>
          <w:rStyle w:val="VerbatimChar"/>
        </w:rPr>
        <w:t xml:space="preserve">livenessProbe</w:t>
      </w:r>
      <w:r>
        <w:t xml:space="preserve"> </w:t>
      </w:r>
      <w:r>
        <w:t xml:space="preserve">(section 44.6) — deux ajouts à intégrer directement dans la spécification du conteneur. L’Ingress de la section 44.1 expose l’application avec TLS automatisé. Un RBAC minimal, comme celui de la section 44.2, restreint l’accès du namespace de production aux seules personnes ayant réellement besoin d’y intervenir, en lecture seule pour la plupart, en écriture seulement pour les administrateurs désignés.</w:t>
      </w:r>
    </w:p>
    <w:p>
      <w:pPr>
        <w:pStyle w:val="BodyText"/>
      </w:pPr>
      <w:r>
        <w:rPr>
          <w:b/>
          <w:bCs/>
        </w:rPr>
        <w:t xml:space="preserve">Dépannage</w:t>
      </w:r>
      <w:r>
        <w:t xml:space="preserve"> </w:t>
      </w:r>
      <w:r>
        <w:t xml:space="preserve">: si tu hésites sur les valeurs précises de</w:t>
      </w:r>
      <w:r>
        <w:t xml:space="preserve"> </w:t>
      </w:r>
      <w:r>
        <w:rPr>
          <w:rStyle w:val="VerbatimChar"/>
        </w:rPr>
        <w:t xml:space="preserve">requests</w:t>
      </w:r>
      <w:r>
        <w:t xml:space="preserve">/</w:t>
      </w:r>
      <w:r>
        <w:rPr>
          <w:rStyle w:val="VerbatimChar"/>
        </w:rPr>
        <w:t xml:space="preserve">limits</w:t>
      </w:r>
      <w:r>
        <w:t xml:space="preserve"> </w:t>
      </w:r>
      <w:r>
        <w:t xml:space="preserve">à définir, commence par observer la consommation réelle de l’application en conditions de charge normale (via</w:t>
      </w:r>
      <w:r>
        <w:t xml:space="preserve"> </w:t>
      </w:r>
      <w:r>
        <w:rPr>
          <w:rStyle w:val="VerbatimChar"/>
        </w:rPr>
        <w:t xml:space="preserve">kubectl top pods</w:t>
      </w:r>
      <w:r>
        <w:t xml:space="preserve">, un outil de mesure directe), puis ajuste avec une marge raisonnable — jamais une valeur arbitraire choisie sans donnée réelle à l’appui.</w:t>
      </w:r>
    </w:p>
    <w:bookmarkEnd w:id="1087"/>
    <w:bookmarkStart w:id="1088" w:name="erreurs-fréquentes-43"/>
    <w:p>
      <w:pPr>
        <w:pStyle w:val="Heading2"/>
      </w:pPr>
      <w:r>
        <w:t xml:space="preserve">Erreurs fréquentes</w:t>
      </w:r>
    </w:p>
    <w:p>
      <w:pPr>
        <w:pStyle w:val="FirstParagraph"/>
      </w:pPr>
      <w:r>
        <w:t xml:space="preserve">⚠️ Erreur n°1 — accorder</w:t>
      </w:r>
      <w:r>
        <w:t xml:space="preserve"> </w:t>
      </w:r>
      <w:r>
        <w:rPr>
          <w:rStyle w:val="VerbatimChar"/>
        </w:rPr>
        <w:t xml:space="preserve">cluster-admin</w:t>
      </w:r>
      <w:r>
        <w:t xml:space="preserve"> </w:t>
      </w:r>
      <w:r>
        <w:t xml:space="preserve">par défaut à tous les comptes</w:t>
      </w:r>
      <w:r>
        <w:t xml:space="preserve"> </w:t>
      </w:r>
      <w:r>
        <w:t xml:space="preserve">Rappel de la section 44.2 : exactement l’équivalent Kubernetes de</w:t>
      </w:r>
      <w:r>
        <w:t xml:space="preserve"> </w:t>
      </w:r>
      <w:r>
        <w:rPr>
          <w:rStyle w:val="VerbatimChar"/>
        </w:rPr>
        <w:t xml:space="preserve">ALL=(ALL) NOPASSWD: ALL</w:t>
      </w:r>
      <w:r>
        <w:t xml:space="preserve"> </w:t>
      </w:r>
      <w:r>
        <w:t xml:space="preserve">déjà dénoncé au chapitre 18 — un accès total qui transforme un compte compromis en risque pour le cluster entier.</w:t>
      </w:r>
    </w:p>
    <w:p>
      <w:pPr>
        <w:pStyle w:val="BodyText"/>
      </w:pPr>
      <w:r>
        <w:t xml:space="preserve">⚠️ Erreur n°2 — déployer sans</w:t>
      </w:r>
      <w:r>
        <w:t xml:space="preserve"> </w:t>
      </w:r>
      <w:r>
        <w:rPr>
          <w:rStyle w:val="VerbatimChar"/>
        </w:rPr>
        <w:t xml:space="preserve">resources.limits</w:t>
      </w:r>
      <w:r>
        <w:t xml:space="preserve"> </w:t>
      </w:r>
      <w:r>
        <w:t xml:space="preserve">Rappel de la section 44.5 : un Pod sans limite peut monopoliser un nœud entier, affectant tous les autres services qui y sont hébergés, exactement le même risque de contention déjà décrit pour la virtualisation au chapitre 33.</w:t>
      </w:r>
    </w:p>
    <w:p>
      <w:pPr>
        <w:pStyle w:val="BodyText"/>
      </w:pPr>
      <w:r>
        <w:t xml:space="preserve">⚠️ Erreur n°3 — omettre les sondes de santé</w:t>
      </w:r>
      <w:r>
        <w:t xml:space="preserve"> </w:t>
      </w:r>
      <w:r>
        <w:t xml:space="preserve">Rappel de la section 44.6 : sans readiness probe, du trafic peut être envoyé à un Pod pas encore prêt, provoquant des erreurs intermittentes pendant chaque déploiement, un symptôme souvent difficile à diagnostiquer sans connaître cette cause précise.</w:t>
      </w:r>
    </w:p>
    <w:bookmarkEnd w:id="1088"/>
    <w:bookmarkStart w:id="1089" w:name="Xe316b215919c6ad7b0c4b2e48d3a6fd3f968bd8"/>
    <w:p>
      <w:pPr>
        <w:pStyle w:val="Heading2"/>
      </w:pPr>
      <w:r>
        <w:t xml:space="preserve">Diagnostiquer un trafic envoyé trop tôt à un Pod</w:t>
      </w:r>
    </w:p>
    <w:p>
      <w:pPr>
        <w:pStyle w:val="FirstParagraph"/>
      </w:pPr>
      <w:r>
        <w:t xml:space="preserve">🩺 Symptôme : des erreurs intermittentes surviennent juste après chaque déploiement, puis disparaissent d’elles-mêmes</w:t>
      </w:r>
    </w:p>
    <w:p>
      <w:pPr>
        <w:pStyle w:val="Compact"/>
        <w:numPr>
          <w:ilvl w:val="0"/>
          <w:numId w:val="2013"/>
        </w:numPr>
      </w:pPr>
      <w:r>
        <w:rPr>
          <w:b/>
          <w:bCs/>
        </w:rPr>
        <w:t xml:space="preserve">Diagnostic</w:t>
      </w:r>
      <w:r>
        <w:t xml:space="preserve"> </w:t>
      </w:r>
      <w:r>
        <w:t xml:space="preserve">: l’absence de readiness probe (section 44.6) est la cause la plus fréquente — le Service commence à envoyer du trafic vers un nouveau Pod dès qu’il démarre, avant que l’application elle-même ne soit réellement prête à traiter des requêtes.</w:t>
      </w:r>
    </w:p>
    <w:p>
      <w:pPr>
        <w:pStyle w:val="Compact"/>
        <w:numPr>
          <w:ilvl w:val="0"/>
          <w:numId w:val="2013"/>
        </w:numPr>
      </w:pPr>
      <w:r>
        <w:rPr>
          <w:b/>
          <w:bCs/>
        </w:rPr>
        <w:t xml:space="preserve">Comment vérifier</w:t>
      </w:r>
      <w:r>
        <w:t xml:space="preserve"> </w:t>
      </w:r>
      <w:r>
        <w:t xml:space="preserve">:</w:t>
      </w:r>
      <w:r>
        <w:t xml:space="preserve"> </w:t>
      </w:r>
      <w:r>
        <w:rPr>
          <w:rStyle w:val="VerbatimChar"/>
        </w:rPr>
        <w:t xml:space="preserve">kubectl get pods</w:t>
      </w:r>
      <w:r>
        <w:t xml:space="preserve"> </w:t>
      </w:r>
      <w:r>
        <w:t xml:space="preserve">juste après un déploiement, en observant si des Pods marqués</w:t>
      </w:r>
      <w:r>
        <w:t xml:space="preserve"> </w:t>
      </w:r>
      <w:r>
        <w:t xml:space="preserve">“Running”</w:t>
      </w:r>
      <w:r>
        <w:t xml:space="preserve"> </w:t>
      </w:r>
      <w:r>
        <w:t xml:space="preserve">reçoivent déjà du trafic alors que l’application affiche encore des erreurs dans ses journaux (</w:t>
      </w:r>
      <w:r>
        <w:rPr>
          <w:rStyle w:val="VerbatimChar"/>
        </w:rPr>
        <w:t xml:space="preserve">kubectl logs</w:t>
      </w:r>
      <w:r>
        <w:t xml:space="preserve">).</w:t>
      </w:r>
    </w:p>
    <w:p>
      <w:pPr>
        <w:pStyle w:val="Compact"/>
        <w:numPr>
          <w:ilvl w:val="0"/>
          <w:numId w:val="2013"/>
        </w:numPr>
      </w:pPr>
      <w:r>
        <w:rPr>
          <w:b/>
          <w:bCs/>
        </w:rPr>
        <w:t xml:space="preserve">Résolution</w:t>
      </w:r>
      <w:r>
        <w:t xml:space="preserve"> </w:t>
      </w:r>
      <w:r>
        <w:t xml:space="preserve">: ajouter une readiness probe pointant vers un endpoint de santé réel de l’application (section 44.6) — le Service ne dirigera alors du trafic vers un Pod qu’une fois cette sonde confirmée positive, éliminant cette classe entière de problèmes intermittents.</w:t>
      </w:r>
    </w:p>
    <w:bookmarkEnd w:id="1089"/>
    <w:bookmarkStart w:id="1090" w:name="en-entreprise-43"/>
    <w:p>
      <w:pPr>
        <w:pStyle w:val="Heading2"/>
      </w:pPr>
      <w:r>
        <w:t xml:space="preserve">En entreprise</w:t>
      </w:r>
    </w:p>
    <w:p>
      <w:pPr>
        <w:pStyle w:val="Compact"/>
        <w:numPr>
          <w:ilvl w:val="0"/>
          <w:numId w:val="2014"/>
        </w:numPr>
      </w:pPr>
      <w:r>
        <w:rPr>
          <w:b/>
          <w:bCs/>
        </w:rPr>
        <w:t xml:space="preserve">Bonne pratique répandue</w:t>
      </w:r>
      <w:r>
        <w:t xml:space="preserve"> </w:t>
      </w:r>
      <w:r>
        <w:t xml:space="preserve">: établir une checklist formelle de préparation à la production (section 44.7) que tout nouveau déploiement doit satisfaire avant sa mise en service réelle — jamais une simple vérification informelle</w:t>
      </w:r>
      <w:r>
        <w:t xml:space="preserve"> </w:t>
      </w:r>
      <w:r>
        <w:t xml:space="preserve">“ça a l’air de marcher”</w:t>
      </w:r>
      <w:r>
        <w:t xml:space="preserve">.</w:t>
      </w:r>
    </w:p>
    <w:p>
      <w:pPr>
        <w:pStyle w:val="Compact"/>
        <w:numPr>
          <w:ilvl w:val="0"/>
          <w:numId w:val="2014"/>
        </w:numPr>
      </w:pPr>
      <w:r>
        <w:rPr>
          <w:b/>
          <w:bCs/>
        </w:rPr>
        <w:t xml:space="preserve">Bonne pratique répandue</w:t>
      </w:r>
      <w:r>
        <w:t xml:space="preserve"> </w:t>
      </w:r>
      <w:r>
        <w:t xml:space="preserve">: réviser périodiquement les permissions RBAC accordées, retirant les accès devenus inutiles — le même principe d’audit périodique déjà établi pour sudo et les ACL au chapitre 18.</w:t>
      </w:r>
    </w:p>
    <w:p>
      <w:pPr>
        <w:pStyle w:val="Compact"/>
        <w:numPr>
          <w:ilvl w:val="0"/>
          <w:numId w:val="2014"/>
        </w:numPr>
      </w:pPr>
      <w:r>
        <w:rPr>
          <w:b/>
          <w:bCs/>
        </w:rPr>
        <w:t xml:space="preserve">Erreur classique observée</w:t>
      </w:r>
      <w:r>
        <w:t xml:space="preserve"> </w:t>
      </w:r>
      <w:r>
        <w:t xml:space="preserve">: une application qui fonctionne parfaitement en démonstration mais s’effondre au premier pic de charge réel en production, faute de HPA et de limites de ressources correctement configurées dès le départ.</w:t>
      </w:r>
    </w:p>
    <w:bookmarkEnd w:id="1090"/>
    <w:bookmarkStart w:id="1091" w:name="entretien-technique-43"/>
    <w:p>
      <w:pPr>
        <w:pStyle w:val="Heading2"/>
      </w:pPr>
      <w:r>
        <w:t xml:space="preserve">Entretien technique</w:t>
      </w:r>
    </w:p>
    <w:p>
      <w:pPr>
        <w:pStyle w:val="FirstParagraph"/>
      </w:pPr>
      <w:r>
        <w:t xml:space="preserve">💼 Questions fréquemment posées en entretien</w:t>
      </w:r>
    </w:p>
    <w:p>
      <w:pPr>
        <w:pStyle w:val="BodyText"/>
      </w:pPr>
      <w:r>
        <w:rPr>
          <w:b/>
          <w:bCs/>
        </w:rPr>
        <w:t xml:space="preserve">Q1.</w:t>
      </w:r>
      <w:r>
        <w:rPr>
          <w:b/>
          <w:bCs/>
        </w:rPr>
        <w:t xml:space="preserve"> </w:t>
      </w:r>
      <w:r>
        <w:rPr>
          <w:b/>
          <w:bCs/>
        </w:rPr>
        <w:t xml:space="preserve">“Qu’est-ce qu’un Ingress, et pourquoi cert-manager est-il souvent utilisé avec lui ?”</w:t>
      </w:r>
      <w:r>
        <w:t xml:space="preserve"> </w:t>
      </w:r>
      <w:r>
        <w:t xml:space="preserve">Réponse attendue : un Ingress gère l’accès HTTP/HTTPS externe vers les Services internes d’un cluster, avec routage par domaine et terminaison TLS ; cert-manager automatise l’obtention et le renouvellement de certificats (souvent Let’s Encrypt), évitant le risque de certificat expiré non détecté déjà rencontré au chapitre 24.</w:t>
      </w:r>
    </w:p>
    <w:p>
      <w:pPr>
        <w:pStyle w:val="BodyText"/>
      </w:pPr>
      <w:r>
        <w:rPr>
          <w:b/>
          <w:bCs/>
        </w:rPr>
        <w:t xml:space="preserve">Q2.</w:t>
      </w:r>
      <w:r>
        <w:rPr>
          <w:b/>
          <w:bCs/>
        </w:rPr>
        <w:t xml:space="preserve"> </w:t>
      </w:r>
      <w:r>
        <w:rPr>
          <w:b/>
          <w:bCs/>
        </w:rPr>
        <w:t xml:space="preserve">“Pourquoi les</w:t>
      </w:r>
      <w:r>
        <w:rPr>
          <w:b/>
          <w:bCs/>
        </w:rPr>
        <w:t xml:space="preserve"> </w:t>
      </w:r>
      <w:r>
        <w:rPr>
          <w:rStyle w:val="VerbatimChar"/>
          <w:b/>
          <w:bCs/>
        </w:rPr>
        <w:t xml:space="preserve">resources.limits</w:t>
      </w:r>
      <w:r>
        <w:rPr>
          <w:b/>
          <w:bCs/>
        </w:rPr>
        <w:t xml:space="preserve"> </w:t>
      </w:r>
      <w:r>
        <w:rPr>
          <w:b/>
          <w:bCs/>
        </w:rPr>
        <w:t xml:space="preserve">sont-elles importantes en production Kubernetes ?”</w:t>
      </w:r>
      <w:r>
        <w:t xml:space="preserve"> </w:t>
      </w:r>
      <w:r>
        <w:t xml:space="preserve">Réponse attendue : sans limites, un Pod défaillant peut consommer toutes les ressources disponibles d’un nœud, dégradant les performances de tous les autres Pods qui y sont hébergés — exactement le même risque de contention déjà décrit pour la surallocation en virtualisation au chapitre 33.</w:t>
      </w:r>
    </w:p>
    <w:p>
      <w:pPr>
        <w:pStyle w:val="BodyText"/>
      </w:pPr>
      <w:r>
        <w:rPr>
          <w:b/>
          <w:bCs/>
        </w:rPr>
        <w:t xml:space="preserve">Q3.</w:t>
      </w:r>
      <w:r>
        <w:rPr>
          <w:b/>
          <w:bCs/>
        </w:rPr>
        <w:t xml:space="preserve"> </w:t>
      </w:r>
      <w:r>
        <w:rPr>
          <w:b/>
          <w:bCs/>
        </w:rPr>
        <w:t xml:space="preserve">“Quelle est la différence entre une readiness probe et une liveness probe ?”</w:t>
      </w:r>
      <w:r>
        <w:t xml:space="preserve"> </w:t>
      </w:r>
      <w:r>
        <w:t xml:space="preserve">Réponse attendue : la readiness probe détermine si un Pod est prêt à recevoir du trafic (évitant d’envoyer des requêtes à un Pod encore en initialisation) ; la liveness probe détecte si un Pod déjà en fonctionnement est devenu défaillant, déclenchant son redémarrage automatique.</w:t>
      </w:r>
    </w:p>
    <w:bookmarkEnd w:id="1091"/>
    <w:bookmarkStart w:id="1092" w:name="Xdf178b82e07a354efc5379e0e2420f5b6af70c7"/>
    <w:p>
      <w:pPr>
        <w:pStyle w:val="Heading2"/>
      </w:pPr>
      <w:r>
        <w:t xml:space="preserve">Optimisation, sécurité et maintenabilité — les réflexes dès ce chapitre</w:t>
      </w:r>
    </w:p>
    <w:p>
      <w:pPr>
        <w:pStyle w:val="FirstParagraph"/>
      </w:pPr>
      <w:r>
        <w:t xml:space="preserve">🔒 Sécurité</w:t>
      </w:r>
      <w:r>
        <w:t xml:space="preserve"> </w:t>
      </w:r>
      <w:r>
        <w:t xml:space="preserve">N’accorde jamais</w:t>
      </w:r>
      <w:r>
        <w:t xml:space="preserve"> </w:t>
      </w:r>
      <w:r>
        <w:rPr>
          <w:rStyle w:val="VerbatimChar"/>
        </w:rPr>
        <w:t xml:space="preserve">cluster-admin</w:t>
      </w:r>
      <w:r>
        <w:t xml:space="preserve"> </w:t>
      </w:r>
      <w:r>
        <w:t xml:space="preserve">par défaut — applique systématiquement RBAC avec le principe du moindre privilège, exactement le même réflexe déjà établi pour sudo et les ACL depuis le chapitre 18, transposé sans exception à Kubernetes.</w:t>
      </w:r>
    </w:p>
    <w:p>
      <w:pPr>
        <w:pStyle w:val="BodyText"/>
      </w:pPr>
      <w:r>
        <w:t xml:space="preserve">✅ Maintenabilité</w:t>
      </w:r>
      <w:r>
        <w:t xml:space="preserve"> </w:t>
      </w:r>
      <w:r>
        <w:t xml:space="preserve">Documente (chapitre 3) la checklist de préparation à la production de ton organisation, et applique-la systématiquement à tout nouveau déploiement Kubernetes — une référence commune qui évite d’oublier un élément critique sous la pression d’une mise en production urgente.</w:t>
      </w:r>
    </w:p>
    <w:p>
      <w:pPr>
        <w:pStyle w:val="BodyText"/>
      </w:pPr>
      <w:r>
        <w:t xml:space="preserve">🚀 Performance</w:t>
      </w:r>
      <w:r>
        <w:t xml:space="preserve"> </w:t>
      </w:r>
      <w:r>
        <w:t xml:space="preserve">Ajuste le seuil de déclenchement de l’HPA (section 44.4) en fonction du temps réel de démarrage de nouveaux Pods — un seuil trop élevé pourrait laisser le service se dégrader avant que de nouveaux Pods n’aient le temps de devenir opérationnels.</w:t>
      </w:r>
    </w:p>
    <w:bookmarkEnd w:id="1092"/>
    <w:bookmarkStart w:id="1093" w:name="résumé-du-chapitre-43"/>
    <w:p>
      <w:pPr>
        <w:pStyle w:val="Heading2"/>
      </w:pPr>
      <w:r>
        <w:t xml:space="preserve">Résumé du chapitre</w:t>
      </w:r>
    </w:p>
    <w:p>
      <w:pPr>
        <w:pStyle w:val="Compact"/>
        <w:numPr>
          <w:ilvl w:val="0"/>
          <w:numId w:val="2015"/>
        </w:numPr>
      </w:pPr>
      <w:r>
        <w:t xml:space="preserve">Un Ingress, combiné à cert-manager, expose une application avec HTTPS automatisé, corrigeant la première lacune identifiée par le RSSI.</w:t>
      </w:r>
    </w:p>
    <w:p>
      <w:pPr>
        <w:pStyle w:val="Compact"/>
        <w:numPr>
          <w:ilvl w:val="0"/>
          <w:numId w:val="2015"/>
        </w:numPr>
      </w:pPr>
      <w:r>
        <w:t xml:space="preserve">RBAC applique le principe du moindre privilège au cluster lui-même, exactement le même principe déjà établi pour sudo et les ACL (chapitre 18).</w:t>
      </w:r>
    </w:p>
    <w:p>
      <w:pPr>
        <w:pStyle w:val="Compact"/>
        <w:numPr>
          <w:ilvl w:val="0"/>
          <w:numId w:val="2015"/>
        </w:numPr>
      </w:pPr>
      <w:r>
        <w:t xml:space="preserve">Les Secrets Kubernetes natifs nécessitent un chiffrement d’etcd ou un gestionnaire externe pour une protection réelle en production.</w:t>
      </w:r>
    </w:p>
    <w:p>
      <w:pPr>
        <w:pStyle w:val="Compact"/>
        <w:numPr>
          <w:ilvl w:val="0"/>
          <w:numId w:val="2015"/>
        </w:numPr>
      </w:pPr>
      <w:r>
        <w:t xml:space="preserve">L’HPA automatise la mise à l’échelle manuelle du chapitre 43, réagissant en temps réel à la charge observée.</w:t>
      </w:r>
    </w:p>
    <w:p>
      <w:pPr>
        <w:pStyle w:val="Compact"/>
        <w:numPr>
          <w:ilvl w:val="0"/>
          <w:numId w:val="2015"/>
        </w:numPr>
      </w:pPr>
      <w:r>
        <w:t xml:space="preserve">Les</w:t>
      </w:r>
      <w:r>
        <w:t xml:space="preserve"> </w:t>
      </w:r>
      <w:r>
        <w:rPr>
          <w:rStyle w:val="VerbatimChar"/>
        </w:rPr>
        <w:t xml:space="preserve">resources.limits</w:t>
      </w:r>
      <w:r>
        <w:t xml:space="preserve"> </w:t>
      </w:r>
      <w:r>
        <w:t xml:space="preserve">évitent qu’un seul Pod ne monopolise un nœud entier ; les sondes de santé évitent d’envoyer du trafic à un Pod pas encore prêt.</w:t>
      </w:r>
    </w:p>
    <w:p>
      <w:pPr>
        <w:pStyle w:val="Compact"/>
        <w:numPr>
          <w:ilvl w:val="0"/>
          <w:numId w:val="2015"/>
        </w:numPr>
      </w:pPr>
      <w:r>
        <w:t xml:space="preserve">Une checklist formelle de préparation à la production distingue un déploiement</w:t>
      </w:r>
      <w:r>
        <w:t xml:space="preserve"> </w:t>
      </w:r>
      <w:r>
        <w:t xml:space="preserve">“fonctionnel en démonstration”</w:t>
      </w:r>
      <w:r>
        <w:t xml:space="preserve"> </w:t>
      </w:r>
      <w:r>
        <w:t xml:space="preserve">d’un déploiement réellement prêt pour un usage critique.</w:t>
      </w:r>
    </w:p>
    <w:bookmarkEnd w:id="1093"/>
    <w:bookmarkStart w:id="1094" w:name="quiz-43"/>
    <w:p>
      <w:pPr>
        <w:pStyle w:val="Heading2"/>
      </w:pPr>
      <w:r>
        <w:t xml:space="preserve">Quiz</w:t>
      </w:r>
    </w:p>
    <w:p>
      <w:pPr>
        <w:pStyle w:val="FirstParagraph"/>
      </w:pPr>
      <w:r>
        <w:t xml:space="preserve">📝 QCM (une seule bonne réponse par question)</w:t>
      </w:r>
    </w:p>
    <w:p>
      <w:pPr>
        <w:pStyle w:val="Compact"/>
        <w:numPr>
          <w:ilvl w:val="0"/>
          <w:numId w:val="2016"/>
        </w:numPr>
      </w:pPr>
      <w:r>
        <w:t xml:space="preserve">Un Ingress sert principalement à :</w:t>
      </w:r>
    </w:p>
    <w:p>
      <w:pPr>
        <w:pStyle w:val="Compact"/>
        <w:numPr>
          <w:ilvl w:val="1"/>
          <w:numId w:val="2017"/>
        </w:numPr>
      </w:pPr>
    </w:p>
    <w:p>
      <w:pPr>
        <w:pStyle w:val="Compact"/>
        <w:numPr>
          <w:ilvl w:val="2"/>
          <w:numId w:val="2018"/>
        </w:numPr>
      </w:pPr>
      <w:r>
        <w:t xml:space="preserve">Gérer l’accès HTTP/HTTPS externe vers les Services d’un cluster</w:t>
      </w:r>
    </w:p>
    <w:p>
      <w:pPr>
        <w:pStyle w:val="Compact"/>
        <w:numPr>
          <w:ilvl w:val="1"/>
          <w:numId w:val="2017"/>
        </w:numPr>
      </w:pPr>
    </w:p>
    <w:p>
      <w:pPr>
        <w:pStyle w:val="Compact"/>
        <w:numPr>
          <w:ilvl w:val="2"/>
          <w:numId w:val="2019"/>
        </w:numPr>
      </w:pPr>
      <w:r>
        <w:t xml:space="preserve">Stocker des secrets</w:t>
      </w:r>
    </w:p>
    <w:p>
      <w:pPr>
        <w:pStyle w:val="Compact"/>
        <w:numPr>
          <w:ilvl w:val="1"/>
          <w:numId w:val="2017"/>
        </w:numPr>
      </w:pPr>
    </w:p>
    <w:p>
      <w:pPr>
        <w:pStyle w:val="Compact"/>
        <w:numPr>
          <w:ilvl w:val="2"/>
          <w:numId w:val="2020"/>
        </w:numPr>
      </w:pPr>
      <w:r>
        <w:t xml:space="preserve">Redimensionner automatiquement les Pods</w:t>
      </w:r>
    </w:p>
    <w:p>
      <w:pPr>
        <w:pStyle w:val="Compact"/>
        <w:numPr>
          <w:ilvl w:val="1"/>
          <w:numId w:val="2017"/>
        </w:numPr>
      </w:pPr>
    </w:p>
    <w:p>
      <w:pPr>
        <w:pStyle w:val="Compact"/>
        <w:numPr>
          <w:ilvl w:val="2"/>
          <w:numId w:val="2021"/>
        </w:numPr>
      </w:pPr>
      <w:r>
        <w:t xml:space="preserve">Sauvegarder les données du cluster</w:t>
      </w:r>
    </w:p>
    <w:p>
      <w:pPr>
        <w:pStyle w:val="Compact"/>
        <w:numPr>
          <w:ilvl w:val="0"/>
          <w:numId w:val="2016"/>
        </w:numPr>
      </w:pPr>
      <w:r>
        <w:t xml:space="preserve">RBAC Kubernetes permet de :</w:t>
      </w:r>
    </w:p>
    <w:p>
      <w:pPr>
        <w:pStyle w:val="Compact"/>
        <w:numPr>
          <w:ilvl w:val="1"/>
          <w:numId w:val="2022"/>
        </w:numPr>
      </w:pPr>
    </w:p>
    <w:p>
      <w:pPr>
        <w:pStyle w:val="Compact"/>
        <w:numPr>
          <w:ilvl w:val="2"/>
          <w:numId w:val="2023"/>
        </w:numPr>
      </w:pPr>
      <w:r>
        <w:t xml:space="preserve">Chiffrer automatiquement tous les Secrets</w:t>
      </w:r>
    </w:p>
    <w:p>
      <w:pPr>
        <w:pStyle w:val="Compact"/>
        <w:numPr>
          <w:ilvl w:val="1"/>
          <w:numId w:val="2022"/>
        </w:numPr>
      </w:pPr>
    </w:p>
    <w:p>
      <w:pPr>
        <w:pStyle w:val="Compact"/>
        <w:numPr>
          <w:ilvl w:val="2"/>
          <w:numId w:val="2024"/>
        </w:numPr>
      </w:pPr>
      <w:r>
        <w:t xml:space="preserve">Contrôler précisément qui peut effectuer quelles actions sur quels objets</w:t>
      </w:r>
    </w:p>
    <w:p>
      <w:pPr>
        <w:pStyle w:val="Compact"/>
        <w:numPr>
          <w:ilvl w:val="1"/>
          <w:numId w:val="2022"/>
        </w:numPr>
      </w:pPr>
    </w:p>
    <w:p>
      <w:pPr>
        <w:pStyle w:val="Compact"/>
        <w:numPr>
          <w:ilvl w:val="2"/>
          <w:numId w:val="2025"/>
        </w:numPr>
      </w:pPr>
      <w:r>
        <w:t xml:space="preserve">Remplacer le besoin d’Ingress</w:t>
      </w:r>
    </w:p>
    <w:p>
      <w:pPr>
        <w:pStyle w:val="Compact"/>
        <w:numPr>
          <w:ilvl w:val="1"/>
          <w:numId w:val="2022"/>
        </w:numPr>
      </w:pPr>
    </w:p>
    <w:p>
      <w:pPr>
        <w:pStyle w:val="Compact"/>
        <w:numPr>
          <w:ilvl w:val="2"/>
          <w:numId w:val="2026"/>
        </w:numPr>
      </w:pPr>
      <w:r>
        <w:t xml:space="preserve">Augmenter automatiquement les ressources d’un Pod</w:t>
      </w:r>
    </w:p>
    <w:p>
      <w:pPr>
        <w:pStyle w:val="Compact"/>
        <w:numPr>
          <w:ilvl w:val="0"/>
          <w:numId w:val="2016"/>
        </w:numPr>
      </w:pPr>
      <w:r>
        <w:t xml:space="preserve">Sans readiness probe, un Pod nouvellement démarré peut :</w:t>
      </w:r>
    </w:p>
    <w:p>
      <w:pPr>
        <w:pStyle w:val="Compact"/>
        <w:numPr>
          <w:ilvl w:val="1"/>
          <w:numId w:val="2027"/>
        </w:numPr>
      </w:pPr>
    </w:p>
    <w:p>
      <w:pPr>
        <w:pStyle w:val="Compact"/>
        <w:numPr>
          <w:ilvl w:val="2"/>
          <w:numId w:val="2028"/>
        </w:numPr>
      </w:pPr>
      <w:r>
        <w:t xml:space="preserve">Ne jamais recevoir de trafic</w:t>
      </w:r>
    </w:p>
    <w:p>
      <w:pPr>
        <w:pStyle w:val="Compact"/>
        <w:numPr>
          <w:ilvl w:val="1"/>
          <w:numId w:val="2027"/>
        </w:numPr>
      </w:pPr>
    </w:p>
    <w:p>
      <w:pPr>
        <w:pStyle w:val="Compact"/>
        <w:numPr>
          <w:ilvl w:val="2"/>
          <w:numId w:val="2029"/>
        </w:numPr>
      </w:pPr>
      <w:r>
        <w:t xml:space="preserve">Recevoir du trafic avant d’être réellement prêt à le traiter</w:t>
      </w:r>
    </w:p>
    <w:p>
      <w:pPr>
        <w:pStyle w:val="Compact"/>
        <w:numPr>
          <w:ilvl w:val="1"/>
          <w:numId w:val="2027"/>
        </w:numPr>
      </w:pPr>
    </w:p>
    <w:p>
      <w:pPr>
        <w:pStyle w:val="Compact"/>
        <w:numPr>
          <w:ilvl w:val="2"/>
          <w:numId w:val="2030"/>
        </w:numPr>
      </w:pPr>
      <w:r>
        <w:t xml:space="preserve">Être automatiquement supprimé</w:t>
      </w:r>
    </w:p>
    <w:p>
      <w:pPr>
        <w:pStyle w:val="Compact"/>
        <w:numPr>
          <w:ilvl w:val="1"/>
          <w:numId w:val="2027"/>
        </w:numPr>
      </w:pPr>
    </w:p>
    <w:p>
      <w:pPr>
        <w:pStyle w:val="Compact"/>
        <w:numPr>
          <w:ilvl w:val="2"/>
          <w:numId w:val="2031"/>
        </w:numPr>
      </w:pPr>
      <w:r>
        <w:t xml:space="preserve">Bloquer tout le cluster</w:t>
      </w:r>
    </w:p>
    <w:p>
      <w:pPr>
        <w:pStyle w:val="FirstParagraph"/>
      </w:pPr>
      <w:r>
        <w:rPr>
          <w:b/>
          <w:bCs/>
        </w:rPr>
        <w:t xml:space="preserve">Corrigé</w:t>
      </w:r>
      <w:r>
        <w:t xml:space="preserve"> </w:t>
      </w:r>
      <w:r>
        <w:t xml:space="preserve">: 1-a, 2-b, 3-b.</w:t>
      </w:r>
    </w:p>
    <w:p>
      <w:pPr>
        <w:pStyle w:val="BodyText"/>
      </w:pPr>
      <w:r>
        <w:t xml:space="preserve">📝 Vrai ou Faux</w:t>
      </w:r>
    </w:p>
    <w:p>
      <w:pPr>
        <w:pStyle w:val="Compact"/>
        <w:numPr>
          <w:ilvl w:val="0"/>
          <w:numId w:val="2032"/>
        </w:numPr>
      </w:pPr>
      <w:r>
        <w:t xml:space="preserve">Un Secret Kubernetes natif offre une protection suffisante pour toute donnée critique en production, sans configuration supplémentaire. —</w:t>
      </w:r>
      <w:r>
        <w:t xml:space="preserve"> </w:t>
      </w:r>
      <w:r>
        <w:rPr>
          <w:b/>
          <w:bCs/>
        </w:rPr>
        <w:t xml:space="preserve">Faux</w:t>
      </w:r>
      <w:r>
        <w:t xml:space="preserve"> </w:t>
      </w:r>
      <w:r>
        <w:t xml:space="preserve">(chiffrement d’etcd ou gestionnaire externe nécessaire, section 44.3).</w:t>
      </w:r>
    </w:p>
    <w:p>
      <w:pPr>
        <w:pStyle w:val="Compact"/>
        <w:numPr>
          <w:ilvl w:val="0"/>
          <w:numId w:val="2032"/>
        </w:numPr>
      </w:pPr>
      <w:r>
        <w:t xml:space="preserve">L’HPA ajuste automatiquement le nombre de réplicas selon des métriques observées, sans intervention manuelle. —</w:t>
      </w:r>
      <w:r>
        <w:t xml:space="preserve"> </w:t>
      </w:r>
      <w:r>
        <w:rPr>
          <w:b/>
          <w:bCs/>
        </w:rPr>
        <w:t xml:space="preserve">Vrai</w:t>
      </w:r>
      <w:r>
        <w:t xml:space="preserve">.</w:t>
      </w:r>
    </w:p>
    <w:p>
      <w:pPr>
        <w:pStyle w:val="Compact"/>
        <w:numPr>
          <w:ilvl w:val="0"/>
          <w:numId w:val="2032"/>
        </w:numPr>
      </w:pPr>
      <w:r>
        <w:t xml:space="preserve">Les</w:t>
      </w:r>
      <w:r>
        <w:t xml:space="preserve"> </w:t>
      </w:r>
      <w:r>
        <w:rPr>
          <w:rStyle w:val="VerbatimChar"/>
        </w:rPr>
        <w:t xml:space="preserve">resources.limits</w:t>
      </w:r>
      <w:r>
        <w:t xml:space="preserve"> </w:t>
      </w:r>
      <w:r>
        <w:t xml:space="preserve">sont optionnelles et sans impact réel en production. —</w:t>
      </w:r>
      <w:r>
        <w:t xml:space="preserve"> </w:t>
      </w:r>
      <w:r>
        <w:rPr>
          <w:b/>
          <w:bCs/>
        </w:rPr>
        <w:t xml:space="preserve">Faux</w:t>
      </w:r>
      <w:r>
        <w:t xml:space="preserve"> </w:t>
      </w:r>
      <w:r>
        <w:t xml:space="preserve">(essentielles pour éviter la contention, section 44.5).</w:t>
      </w:r>
    </w:p>
    <w:p>
      <w:pPr>
        <w:pStyle w:val="Compact"/>
        <w:numPr>
          <w:ilvl w:val="0"/>
          <w:numId w:val="2032"/>
        </w:numPr>
      </w:pPr>
      <w:r>
        <w:t xml:space="preserve">RBAC applique le même principe de moindre privilège déjà établi pour sudo et les ACL au chapitre 18. —</w:t>
      </w:r>
      <w:r>
        <w:t xml:space="preserve"> </w:t>
      </w:r>
      <w:r>
        <w:rPr>
          <w:b/>
          <w:bCs/>
        </w:rPr>
        <w:t xml:space="preserve">Vrai</w:t>
      </w:r>
      <w:r>
        <w:t xml:space="preserve">.</w:t>
      </w:r>
    </w:p>
    <w:p>
      <w:pPr>
        <w:pStyle w:val="FirstParagraph"/>
      </w:pPr>
      <w:r>
        <w:t xml:space="preserve">📝 Questions ouvertes</w:t>
      </w:r>
    </w:p>
    <w:p>
      <w:pPr>
        <w:pStyle w:val="Compact"/>
        <w:numPr>
          <w:ilvl w:val="0"/>
          <w:numId w:val="2033"/>
        </w:numPr>
      </w:pPr>
      <w:r>
        <w:t xml:space="preserve">Explique pourquoi une application</w:t>
      </w:r>
      <w:r>
        <w:t xml:space="preserve"> </w:t>
      </w:r>
      <w:r>
        <w:t xml:space="preserve">“fonctionnelle en démonstration”</w:t>
      </w:r>
      <w:r>
        <w:t xml:space="preserve"> </w:t>
      </w:r>
      <w:r>
        <w:t xml:space="preserve">(chapitre 43) peut échouer en production sans les ajouts de ce chapitre.</w:t>
      </w:r>
    </w:p>
    <w:p>
      <w:pPr>
        <w:pStyle w:val="Compact"/>
        <w:numPr>
          <w:ilvl w:val="0"/>
          <w:numId w:val="2033"/>
        </w:numPr>
      </w:pPr>
      <w:r>
        <w:t xml:space="preserve">Reprends le scénario d’ouverture. Explique pourquoi la remarque du RSSI (</w:t>
      </w:r>
      <w:r>
        <w:t xml:space="preserve">“fonctionnel ne veut pas dire prêt pour la production”</w:t>
      </w:r>
      <w:r>
        <w:t xml:space="preserve">) est justifiée, en synthétisant les cinq lacunes de ce chapitre.</w:t>
      </w:r>
    </w:p>
    <w:p>
      <w:pPr>
        <w:pStyle w:val="FirstParagraph"/>
      </w:pPr>
      <w:r>
        <w:rPr>
          <w:b/>
          <w:bCs/>
        </w:rPr>
        <w:t xml:space="preserve">Corrigé 1</w:t>
      </w:r>
      <w:r>
        <w:t xml:space="preserve"> </w:t>
      </w:r>
      <w:r>
        <w:t xml:space="preserve">: une démonstration réussie confirme que l’application fonctionne dans des conditions contrôlées et limitées — mais sans limites de ressources, sans sondes de santé, sans mise à l’échelle automatique et sans exposition sécurisée, elle reste vulnérable à des charges réelles, des Pods défaillants non détectés, ou un accès non sécurisé depuis l’extérieur, des risques qui ne se manifestent généralement pas pendant une démonstration courte et contrôlée mais deviennent réels sous une charge de production continue et imprévisible.</w:t>
      </w:r>
    </w:p>
    <w:p>
      <w:pPr>
        <w:pStyle w:val="BodyText"/>
      </w:pPr>
      <w:r>
        <w:rPr>
          <w:b/>
          <w:bCs/>
        </w:rPr>
        <w:t xml:space="preserve">Corrigé 2</w:t>
      </w:r>
      <w:r>
        <w:t xml:space="preserve"> </w:t>
      </w:r>
      <w:r>
        <w:t xml:space="preserve">: chacune des cinq lacunes (exposition non sécurisée, absence de RBAC, secrets non protégés, mise à l’échelle manuelle, absence de limites et de sondes) représente un risque réel qui ne se manifeste pas nécessairement lors d’une démonstration contrôlée, mais qui deviendrait un incident concret en conditions de production réelles — un trafic externe non chiffré intercepté, un compte compromis avec un accès total au cluster, une fuite de secret, une saturation non absorbée automatiquement, ou un Pod défaillant continuant à recevoir du trafic. La remarque du RSSI souligne exactement cette distinction entre</w:t>
      </w:r>
      <w:r>
        <w:t xml:space="preserve"> </w:t>
      </w:r>
      <w:r>
        <w:t xml:space="preserve">“ça marche”</w:t>
      </w:r>
      <w:r>
        <w:t xml:space="preserve"> </w:t>
      </w:r>
      <w:r>
        <w:t xml:space="preserve">et</w:t>
      </w:r>
      <w:r>
        <w:t xml:space="preserve"> </w:t>
      </w:r>
      <w:r>
        <w:t xml:space="preserve">“c’est sécurisé et résilient”</w:t>
      </w:r>
      <w:r>
        <w:t xml:space="preserve">, la seconde exigeant une rigueur que la démonstration seule ne peut jamais garantir.</w:t>
      </w:r>
    </w:p>
    <w:bookmarkEnd w:id="1094"/>
    <w:bookmarkStart w:id="1095" w:name="exercices-43"/>
    <w:p>
      <w:pPr>
        <w:pStyle w:val="Heading2"/>
      </w:pPr>
      <w:r>
        <w:t xml:space="preserve">Exercices</w:t>
      </w:r>
    </w:p>
    <w:p>
      <w:pPr>
        <w:pStyle w:val="FirstParagraph"/>
      </w:pPr>
      <w:r>
        <w:t xml:space="preserve">📝 Exercice 44.1</w:t>
      </w:r>
    </w:p>
    <w:p>
      <w:pPr>
        <w:pStyle w:val="BodyText"/>
      </w:pPr>
      <w:r>
        <w:t xml:space="preserve">Un Pod sans</w:t>
      </w:r>
      <w:r>
        <w:t xml:space="preserve"> </w:t>
      </w:r>
      <w:r>
        <w:rPr>
          <w:rStyle w:val="VerbatimChar"/>
        </w:rPr>
        <w:t xml:space="preserve">resources.limits</w:t>
      </w:r>
      <w:r>
        <w:t xml:space="preserve"> </w:t>
      </w:r>
      <w:r>
        <w:t xml:space="preserve">définies commence à consommer progressivement toute la mémoire disponible d’un nœud, à cause d’une fuite mémoire dans l’application. Explique les conséquences pour les autres Pods du même nœud, et comment</w:t>
      </w:r>
      <w:r>
        <w:t xml:space="preserve"> </w:t>
      </w:r>
      <w:r>
        <w:rPr>
          <w:rStyle w:val="VerbatimChar"/>
        </w:rPr>
        <w:t xml:space="preserve">resources.limits</w:t>
      </w:r>
      <w:r>
        <w:t xml:space="preserve"> </w:t>
      </w:r>
      <w:r>
        <w:t xml:space="preserve">aurait prévenu ce scénario.</w:t>
      </w:r>
    </w:p>
    <w:p>
      <w:pPr>
        <w:pStyle w:val="BodyText"/>
      </w:pPr>
      <w:r>
        <w:rPr>
          <w:b/>
          <w:bCs/>
        </w:rPr>
        <w:t xml:space="preserve">Corrigé :</w:t>
      </w:r>
      <w:r>
        <w:t xml:space="preserve"> </w:t>
      </w:r>
      <w:r>
        <w:t xml:space="preserve">Sans limite définie, ce Pod peut continuer à consommer de la mémoire jusqu’à épuiser les ressources disponibles du nœud entier, provoquant potentiellement l’échec ou le ralentissement sévère de tous les autres Pods hébergés sur ce même nœud, y compris des services totalement indépendants de l’application défaillante — exactement le même risque de contention déjà décrit pour la surallocation de VM au chapitre 33. Avec une</w:t>
      </w:r>
      <w:r>
        <w:t xml:space="preserve"> </w:t>
      </w:r>
      <w:r>
        <w:rPr>
          <w:rStyle w:val="VerbatimChar"/>
        </w:rPr>
        <w:t xml:space="preserve">limits.memory</w:t>
      </w:r>
      <w:r>
        <w:t xml:space="preserve"> </w:t>
      </w:r>
      <w:r>
        <w:t xml:space="preserve">correctement définie (section 44.5), Kubernetes aurait détecté le dépassement de cette limite et redémarré le Pod concerné (un événement</w:t>
      </w:r>
      <w:r>
        <w:t xml:space="preserve"> </w:t>
      </w:r>
      <w:r>
        <w:t xml:space="preserve">“OOMKilled”</w:t>
      </w:r>
      <w:r>
        <w:t xml:space="preserve">), contenant l’impact du problème à ce seul Pod plutôt que de laisser la fuite mémoire affecter l’ensemble du nœud et des autres charges de travail qu’il héberge.</w:t>
      </w:r>
    </w:p>
    <w:p>
      <w:pPr>
        <w:pStyle w:val="BodyText"/>
      </w:pPr>
      <w:r>
        <w:t xml:space="preserve">📝 Exercice 44.2</w:t>
      </w:r>
    </w:p>
    <w:p>
      <w:pPr>
        <w:pStyle w:val="BodyText"/>
      </w:pPr>
      <w:r>
        <w:t xml:space="preserve">Rédige, en 3 à 5 phrases, une checklist de préparation à la production à cinq points, destinée à être appliquée systématiquement avant tout nouveau déploiement Kubernetes dans l’entreprise du scénario d’ouverture.</w:t>
      </w:r>
    </w:p>
    <w:p>
      <w:pPr>
        <w:pStyle w:val="BodyText"/>
      </w:pPr>
      <w:r>
        <w:rPr>
          <w:b/>
          <w:bCs/>
        </w:rPr>
        <w:t xml:space="preserve">Corrigé (exemple de réponse) :</w:t>
      </w:r>
      <w:r>
        <w:t xml:space="preserve"> </w:t>
      </w:r>
      <w:r>
        <w:t xml:space="preserve">(1) L’application est-elle exposée via un Ingress avec TLS automatisé, jamais en accès non chiffré depuis l’extérieur ? (2) Les permissions RBAC accordées sont-elles limitées au strict nécessaire pour chaque personne ou service concerné, jamais un accès</w:t>
      </w:r>
      <w:r>
        <w:t xml:space="preserve"> </w:t>
      </w:r>
      <w:r>
        <w:rPr>
          <w:rStyle w:val="VerbatimChar"/>
        </w:rPr>
        <w:t xml:space="preserve">cluster-admin</w:t>
      </w:r>
      <w:r>
        <w:t xml:space="preserve"> </w:t>
      </w:r>
      <w:r>
        <w:t xml:space="preserve">par défaut ? (3) Les secrets sensibles sont-ils protégés par un chiffrement d’etcd ou un gestionnaire externe, pas seulement par un Secret natif encodé en base64 ? (4) Un HPA est-il configuré pour absorber automatiquement les pics de charge, sans dépendre d’une intervention manuelle ? (5) Chaque conteneur définit-il des</w:t>
      </w:r>
      <w:r>
        <w:t xml:space="preserve"> </w:t>
      </w:r>
      <w:r>
        <w:rPr>
          <w:rStyle w:val="VerbatimChar"/>
        </w:rPr>
        <w:t xml:space="preserve">resources.limits</w:t>
      </w:r>
      <w:r>
        <w:t xml:space="preserve"> </w:t>
      </w:r>
      <w:r>
        <w:t xml:space="preserve">ainsi que des sondes de readiness et de liveness appropriées ? Cette checklist, documentée et appliquée systématiquement (chapitre 3), transforme la question</w:t>
      </w:r>
      <w:r>
        <w:t xml:space="preserve"> </w:t>
      </w:r>
      <w:r>
        <w:t xml:space="preserve">“est-ce prêt pour la production ?”</w:t>
      </w:r>
      <w:r>
        <w:t xml:space="preserve"> </w:t>
      </w:r>
      <w:r>
        <w:t xml:space="preserve">d’un jugement subjectif en une vérification objective et reproductible.</w:t>
      </w:r>
    </w:p>
    <w:bookmarkEnd w:id="1095"/>
    <w:bookmarkStart w:id="1096" w:name="checklist-de-fin-de-chapitre-43"/>
    <w:p>
      <w:pPr>
        <w:pStyle w:val="Heading2"/>
      </w:pPr>
      <w:r>
        <w:t xml:space="preserve">Checklist de fin de chapitre</w:t>
      </w:r>
    </w:p>
    <w:p>
      <w:pPr>
        <w:pStyle w:val="FirstParagraph"/>
      </w:pPr>
      <w:r>
        <w:t xml:space="preserve">☐ Je sais configurer un Ingress avec TLS automatisé via cert-manager.</w:t>
      </w:r>
    </w:p>
    <w:p>
      <w:pPr>
        <w:pStyle w:val="BodyText"/>
      </w:pPr>
      <w:r>
        <w:t xml:space="preserve">☐ Je sais appliquer RBAC selon le principe du moindre privilège.</w:t>
      </w:r>
    </w:p>
    <w:p>
      <w:pPr>
        <w:pStyle w:val="BodyText"/>
      </w:pPr>
      <w:r>
        <w:t xml:space="preserve">☐ Je comprends les options pour sécuriser réellement les secrets en production (chiffrement etcd, gestionnaire externe).</w:t>
      </w:r>
    </w:p>
    <w:p>
      <w:pPr>
        <w:pStyle w:val="BodyText"/>
      </w:pPr>
      <w:r>
        <w:t xml:space="preserve">☐ Je sais configurer un HPA pour automatiser la mise à l’échelle.</w:t>
      </w:r>
    </w:p>
    <w:p>
      <w:pPr>
        <w:pStyle w:val="BodyText"/>
      </w:pPr>
      <w:r>
        <w:t xml:space="preserve">☐ Je sais définir des</w:t>
      </w:r>
      <w:r>
        <w:t xml:space="preserve"> </w:t>
      </w:r>
      <w:r>
        <w:rPr>
          <w:rStyle w:val="VerbatimChar"/>
        </w:rPr>
        <w:t xml:space="preserve">resources.requests</w:t>
      </w:r>
      <w:r>
        <w:t xml:space="preserve">/</w:t>
      </w:r>
      <w:r>
        <w:rPr>
          <w:rStyle w:val="VerbatimChar"/>
        </w:rPr>
        <w:t xml:space="preserve">limits</w:t>
      </w:r>
      <w:r>
        <w:t xml:space="preserve"> </w:t>
      </w:r>
      <w:r>
        <w:t xml:space="preserve">appropriées.</w:t>
      </w:r>
    </w:p>
    <w:p>
      <w:pPr>
        <w:pStyle w:val="BodyText"/>
      </w:pPr>
      <w:r>
        <w:t xml:space="preserve">☐ Je sais configurer des readiness et liveness probes, et j’en comprends la différence.</w:t>
      </w:r>
    </w:p>
    <w:bookmarkEnd w:id="1096"/>
    <w:bookmarkStart w:id="1097" w:name="faq-43"/>
    <w:p>
      <w:pPr>
        <w:pStyle w:val="Heading2"/>
      </w:pPr>
      <w:r>
        <w:t xml:space="preserve">FAQ</w:t>
      </w:r>
    </w:p>
    <w:p>
      <w:pPr>
        <w:pStyle w:val="FirstParagraph"/>
      </w:pPr>
      <w:r>
        <w:t xml:space="preserve">Faut-il toujours utiliser un Ingress, ou existe-t-il des alternatives ?</w:t>
      </w:r>
    </w:p>
    <w:p>
      <w:pPr>
        <w:pStyle w:val="BodyText"/>
      </w:pPr>
      <w:r>
        <w:t xml:space="preserve">Un</w:t>
      </w:r>
      <w:r>
        <w:t xml:space="preserve"> </w:t>
      </w:r>
      <w:r>
        <w:rPr>
          <w:rStyle w:val="VerbatimChar"/>
        </w:rPr>
        <w:t xml:space="preserve">Service</w:t>
      </w:r>
      <w:r>
        <w:t xml:space="preserve"> </w:t>
      </w:r>
      <w:r>
        <w:t xml:space="preserve">de type</w:t>
      </w:r>
      <w:r>
        <w:t xml:space="preserve"> </w:t>
      </w:r>
      <w:r>
        <w:rPr>
          <w:rStyle w:val="VerbatimChar"/>
        </w:rPr>
        <w:t xml:space="preserve">LoadBalancer</w:t>
      </w:r>
      <w:r>
        <w:t xml:space="preserve"> </w:t>
      </w:r>
      <w:r>
        <w:t xml:space="preserve">(souvent fourni par un hébergeur cloud) constitue une alternative pour une exposition simple d’un seul service — un Ingress reste préférable dès que plusieurs services doivent être exposés sous des chemins ou domaines différents, avec une gestion centralisée du TLS.</w:t>
      </w:r>
    </w:p>
    <w:p>
      <w:pPr>
        <w:pStyle w:val="BodyText"/>
      </w:pPr>
      <w:r>
        <w:t xml:space="preserve">L’HPA peut-il aussi réduire automatiquement le nombre de réplicas en période de faible charge ?</w:t>
      </w:r>
    </w:p>
    <w:p>
      <w:pPr>
        <w:pStyle w:val="BodyText"/>
      </w:pPr>
      <w:r>
        <w:t xml:space="preserve">Oui, l’HPA ajuste dans les deux sens selon les métriques observées — augmentant le nombre de réplicas en cas de charge élevée, mais le réduisant aussi automatiquement (jusqu’au</w:t>
      </w:r>
      <w:r>
        <w:t xml:space="preserve"> </w:t>
      </w:r>
      <w:r>
        <w:rPr>
          <w:rStyle w:val="VerbatimChar"/>
        </w:rPr>
        <w:t xml:space="preserve">minReplicas</w:t>
      </w:r>
      <w:r>
        <w:t xml:space="preserve"> </w:t>
      </w:r>
      <w:r>
        <w:t xml:space="preserve">configuré) une fois la charge retombée, optimisant l’utilisation des ressources du cluster.</w:t>
      </w:r>
    </w:p>
    <w:p>
      <w:pPr>
        <w:pStyle w:val="BodyText"/>
      </w:pPr>
      <w:r>
        <w:t xml:space="preserve">RBAC remplace-t-il le besoin de namespaces pour l’isolation ?</w:t>
      </w:r>
    </w:p>
    <w:p>
      <w:pPr>
        <w:pStyle w:val="BodyText"/>
      </w:pPr>
      <w:r>
        <w:t xml:space="preserve">Non, les deux mécanismes se complètent — les namespaces (chapitre 43) isolent logiquement les objets par environnement ou projet, tandis que RBAC contrôle qui peut agir sur ces objets, y compris de façon différenciée d’un namespace à l’autre, comme dans l’exemple de la section 44.2.</w:t>
      </w:r>
    </w:p>
    <w:p>
      <w:pPr>
        <w:pStyle w:val="BodyText"/>
      </w:pPr>
      <w:r>
        <w:t xml:space="preserve">Combien de temps faut-il pour qu’une équipe soit réellement prête à opérer Kubernetes en production de façon autonome ?</w:t>
      </w:r>
    </w:p>
    <w:p>
      <w:pPr>
        <w:pStyle w:val="BodyText"/>
      </w:pPr>
      <w:r>
        <w:t xml:space="preserve">Il n’existe pas de délai universel, mais la progression naturelle suivie tout au long de cette partie (concepts, chapitre 42 ; pratique, chapitre 43 ; préparation production, ce chapitre) représente un minimum de compréhension avant une autonomie réelle — rappel du principe déjà établi au chapitre 42 : ne jamais sous-estimer la courbe d’apprentissage réelle de l’équipe.</w:t>
      </w:r>
    </w:p>
    <w:bookmarkEnd w:id="1097"/>
    <w:bookmarkStart w:id="1102" w:name="références-et-pour-aller-plus-loin-43"/>
    <w:p>
      <w:pPr>
        <w:pStyle w:val="Heading2"/>
      </w:pPr>
      <w:r>
        <w:t xml:space="preserve">Références et pour aller plus loin</w:t>
      </w:r>
    </w:p>
    <w:p>
      <w:pPr>
        <w:pStyle w:val="Compact"/>
        <w:numPr>
          <w:ilvl w:val="0"/>
          <w:numId w:val="2034"/>
        </w:numPr>
      </w:pPr>
      <w:r>
        <w:t xml:space="preserve">Kubernetes — Documentation sur Ingress :</w:t>
      </w:r>
      <w:r>
        <w:t xml:space="preserve"> </w:t>
      </w:r>
      <w:hyperlink r:id="rId1098">
        <w:r>
          <w:rPr>
            <w:rStyle w:val="Hyperlink"/>
          </w:rPr>
          <w:t xml:space="preserve">https://kubernetes.io/fr/docs/concepts/services-networking/ingress/</w:t>
        </w:r>
      </w:hyperlink>
    </w:p>
    <w:p>
      <w:pPr>
        <w:pStyle w:val="Compact"/>
        <w:numPr>
          <w:ilvl w:val="0"/>
          <w:numId w:val="2034"/>
        </w:numPr>
      </w:pPr>
      <w:r>
        <w:t xml:space="preserve">Kubernetes — Documentation RBAC :</w:t>
      </w:r>
      <w:r>
        <w:t xml:space="preserve"> </w:t>
      </w:r>
      <w:hyperlink r:id="rId1099">
        <w:r>
          <w:rPr>
            <w:rStyle w:val="Hyperlink"/>
          </w:rPr>
          <w:t xml:space="preserve">https://kubernetes.io/fr/docs/reference/access-authn-authz/rbac/</w:t>
        </w:r>
      </w:hyperlink>
    </w:p>
    <w:p>
      <w:pPr>
        <w:pStyle w:val="Compact"/>
        <w:numPr>
          <w:ilvl w:val="0"/>
          <w:numId w:val="2034"/>
        </w:numPr>
      </w:pPr>
      <w:r>
        <w:t xml:space="preserve">Kubernetes — Documentation sur l’autoscaling horizontal :</w:t>
      </w:r>
      <w:r>
        <w:t xml:space="preserve"> </w:t>
      </w:r>
      <w:hyperlink r:id="rId1100">
        <w:r>
          <w:rPr>
            <w:rStyle w:val="Hyperlink"/>
          </w:rPr>
          <w:t xml:space="preserve">https://kubernetes.io/fr/docs/tasks/run-application/horizontal-pod-autoscale/</w:t>
        </w:r>
      </w:hyperlink>
    </w:p>
    <w:p>
      <w:pPr>
        <w:pStyle w:val="Compact"/>
        <w:numPr>
          <w:ilvl w:val="0"/>
          <w:numId w:val="2034"/>
        </w:numPr>
      </w:pPr>
      <w:r>
        <w:t xml:space="preserve">cert-manager — documentation officielle :</w:t>
      </w:r>
      <w:r>
        <w:t xml:space="preserve"> </w:t>
      </w:r>
      <w:hyperlink r:id="rId1101">
        <w:r>
          <w:rPr>
            <w:rStyle w:val="Hyperlink"/>
          </w:rPr>
          <w:t xml:space="preserve">https://cert-manager.io/docs/</w:t>
        </w:r>
      </w:hyperlink>
    </w:p>
    <w:p>
      <w:pPr>
        <w:pStyle w:val="FirstParagraph"/>
      </w:pPr>
      <w:r>
        <w:rPr>
          <w:i/>
          <w:iCs/>
        </w:rPr>
        <w:t xml:space="preserve">Fin de la Partie 7. La Partie 8 aborde maintenant le cloud computing — AWS, Azure et Google Cloud Platform — pour situer tout ce qui a été construit jusqu’ici (virtualisation, conteneurs, orchestration) dans le contexte des offres des grands fournisseurs cloud.</w:t>
      </w:r>
    </w:p>
    <w:p>
      <w:pPr>
        <w:pStyle w:val="BodyText"/>
      </w:pPr>
      <w:r>
        <w:t xml:space="preserve">CHAPITRE 45</w:t>
      </w:r>
    </w:p>
    <w:bookmarkEnd w:id="1102"/>
    <w:bookmarkEnd w:id="1103"/>
    <w:bookmarkStart w:id="1128" w:name="fondamentaux-du-cloud"/>
    <w:p>
      <w:pPr>
        <w:pStyle w:val="Heading1"/>
      </w:pPr>
      <w:r>
        <w:t xml:space="preserve">Fondamentaux du Cloud</w:t>
      </w:r>
    </w:p>
    <w:p>
      <w:pPr>
        <w:pStyle w:val="FirstParagraph"/>
      </w:pPr>
      <w:r>
        <w:t xml:space="preserve">🎯 Objectif du chapitre</w:t>
      </w:r>
      <w:r>
        <w:t xml:space="preserve"> </w:t>
      </w:r>
      <w:r>
        <w:t xml:space="preserve">Comprendre le cloud computing non pas comme une solution magique à tous les risques déjà couverts dans ce manuel, mais comme une extension du raisonnement PRA/PCA du chapitre 32 : les modèles IaaS/PaaS/SaaS, le modèle de responsabilité partagée, et les critères objectifs pour décider quoi migrer et quoi garder sur site. À la fin de ce chapitre, tu sauras situer chaque brique déjà construite dans ce manuel (RAID, NAS/SAN, virtualisation, Kubernetes) dans son équivalent cloud, et évaluer honnêtement les compromis réels d’une migration.</w:t>
      </w:r>
    </w:p>
    <w:p>
      <w:pPr>
        <w:pStyle w:val="BodyText"/>
      </w:pPr>
      <w:r>
        <w:t xml:space="preserve">🎬 Mise en situation</w:t>
      </w:r>
      <w:r>
        <w:t xml:space="preserve"> </w:t>
      </w:r>
      <w:r>
        <w:t xml:space="preserve">Après l’évacuation forcée du chapitre 32, le DSI se demande si héberger une partie de l’infrastructure critique dans le cloud — géographiquement hors de la trajectoire des cyclones, sur des générateurs et une alimentation bien plus robustes que ce que l’entreprise peut se permettre localement — résoudrait définitivement les problèmes de continuité déjà rencontrés.</w:t>
      </w:r>
      <w:r>
        <w:t xml:space="preserve"> </w:t>
      </w:r>
      <w:r>
        <w:t xml:space="preserve">“Si nos serveurs les plus critiques ne sont plus physiquement à Port-au-Prince, est-ce qu’on n’élimine pas simplement le problème ?”</w:t>
      </w:r>
      <w:r>
        <w:t xml:space="preserve"> </w:t>
      </w:r>
      <w:r>
        <w:t xml:space="preserve">C’est une question légitime, mais qui appelle une réponse nuancée : le cloud déplace certains risques, en réduit d’autres, mais n’élimine jamais la nécessité de la discipline déjà construite tout au long de ce manuel. Ce chapitre pose les bases pour répondre à cette question avec rigueur, plutôt que par enthousiasme.</w:t>
      </w:r>
    </w:p>
    <w:bookmarkStart w:id="1104" w:name="X7d90a866ec37f3eaf71445573151fcad4b7511e"/>
    <w:p>
      <w:pPr>
        <w:pStyle w:val="Heading2"/>
      </w:pPr>
      <w:r>
        <w:t xml:space="preserve">45.1 Le cloud comme extension du raisonnement PRA/PCA</w:t>
      </w:r>
    </w:p>
    <w:p>
      <w:pPr>
        <w:pStyle w:val="FirstParagraph"/>
      </w:pPr>
      <w:r>
        <w:t xml:space="preserve">📌 À retenir</w:t>
      </w:r>
      <w:r>
        <w:t xml:space="preserve"> </w:t>
      </w:r>
      <w:r>
        <w:t xml:space="preserve">Le cloud computing consiste à louer, à la demande et via Internet, des ressources informatiques (calcul, stockage, réseau, services managés) hébergées et maintenues par un fournisseur tiers, plutôt que de posséder et d’exploiter soi-même le matériel physique. Le raisonnement qui justifie de considérer le cloud rejoint directement celui du site de repli du chapitre 31 : un site chaud éloigné réduit certains risques géographiques (un cyclone localisé, une coupure de courant régionale) — le cloud pousse cette logique plus loin, en externalisant entièrement la responsabilité de l’infrastructure physique à un fournisseur disposant d’une échelle et d’une redondance qu’une organisation de la taille de cette entreprise ne peut pas reproduire seule.</w:t>
      </w:r>
    </w:p>
    <w:bookmarkEnd w:id="1104"/>
    <w:bookmarkStart w:id="1105" w:name="Xe869f12ca064d46710376cc140de2f90a60cc27"/>
    <w:p>
      <w:pPr>
        <w:pStyle w:val="Heading2"/>
      </w:pPr>
      <w:r>
        <w:t xml:space="preserve">45.2 IaaS, PaaS, SaaS : trois niveaux d’abstraction, déjà rencontrés sans les nommer</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Modèle</w:t>
            </w:r>
          </w:p>
        </w:tc>
        <w:tc>
          <w:tcPr/>
          <w:p>
            <w:pPr>
              <w:pStyle w:val="Compact"/>
            </w:pPr>
            <w:r>
              <w:t xml:space="preserve">Ce que le fournisseur gère</w:t>
            </w:r>
          </w:p>
        </w:tc>
        <w:tc>
          <w:tcPr/>
          <w:p>
            <w:pPr>
              <w:pStyle w:val="Compact"/>
            </w:pPr>
            <w:r>
              <w:t xml:space="preserve">Ce que le client gère</w:t>
            </w:r>
          </w:p>
        </w:tc>
        <w:tc>
          <w:tcPr/>
          <w:p>
            <w:pPr>
              <w:pStyle w:val="Compact"/>
            </w:pPr>
            <w:r>
              <w:t xml:space="preserve">Exemple déjà rencontré dans ce manuel</w:t>
            </w:r>
          </w:p>
        </w:tc>
      </w:tr>
      <w:tr>
        <w:tc>
          <w:tcPr/>
          <w:p>
            <w:pPr>
              <w:pStyle w:val="Compact"/>
            </w:pPr>
            <w:r>
              <w:rPr>
                <w:b/>
                <w:bCs/>
              </w:rPr>
              <w:t xml:space="preserve">IaaS</w:t>
            </w:r>
            <w:r>
              <w:t xml:space="preserve"> </w:t>
            </w:r>
            <w:r>
              <w:t xml:space="preserve">(</w:t>
            </w:r>
            <w:r>
              <w:rPr>
                <w:i/>
                <w:iCs/>
              </w:rPr>
              <w:t xml:space="preserve">Infrastructure as a Service</w:t>
            </w:r>
            <w:r>
              <w:t xml:space="preserve">)</w:t>
            </w:r>
          </w:p>
        </w:tc>
        <w:tc>
          <w:tcPr/>
          <w:p>
            <w:pPr>
              <w:pStyle w:val="Compact"/>
            </w:pPr>
            <w:r>
              <w:t xml:space="preserve">Matériel physique, virtualisation, réseau</w:t>
            </w:r>
          </w:p>
        </w:tc>
        <w:tc>
          <w:tcPr/>
          <w:p>
            <w:pPr>
              <w:pStyle w:val="Compact"/>
            </w:pPr>
            <w:r>
              <w:t xml:space="preserve">OS, mises à jour, applications, données</w:t>
            </w:r>
          </w:p>
        </w:tc>
        <w:tc>
          <w:tcPr/>
          <w:p>
            <w:pPr>
              <w:pStyle w:val="Compact"/>
            </w:pPr>
            <w:r>
              <w:t xml:space="preserve">Une VM louée équivalente à celles du chapitre 33</w:t>
            </w:r>
          </w:p>
        </w:tc>
      </w:tr>
      <w:tr>
        <w:tc>
          <w:tcPr/>
          <w:p>
            <w:pPr>
              <w:pStyle w:val="Compact"/>
            </w:pPr>
            <w:r>
              <w:rPr>
                <w:b/>
                <w:bCs/>
              </w:rPr>
              <w:t xml:space="preserve">PaaS</w:t>
            </w:r>
            <w:r>
              <w:t xml:space="preserve"> </w:t>
            </w:r>
            <w:r>
              <w:t xml:space="preserve">(</w:t>
            </w:r>
            <w:r>
              <w:rPr>
                <w:i/>
                <w:iCs/>
              </w:rPr>
              <w:t xml:space="preserve">Platform as a Service</w:t>
            </w:r>
            <w:r>
              <w:t xml:space="preserve">)</w:t>
            </w:r>
          </w:p>
        </w:tc>
        <w:tc>
          <w:tcPr/>
          <w:p>
            <w:pPr>
              <w:pStyle w:val="Compact"/>
            </w:pPr>
            <w:r>
              <w:t xml:space="preserve">Infrastructure + système d’exploitation + runtime</w:t>
            </w:r>
          </w:p>
        </w:tc>
        <w:tc>
          <w:tcPr/>
          <w:p>
            <w:pPr>
              <w:pStyle w:val="Compact"/>
            </w:pPr>
            <w:r>
              <w:t xml:space="preserve">Uniquement le code applicatif et les données</w:t>
            </w:r>
          </w:p>
        </w:tc>
        <w:tc>
          <w:tcPr/>
          <w:p>
            <w:pPr>
              <w:pStyle w:val="Compact"/>
            </w:pPr>
            <w:r>
              <w:t xml:space="preserve">Un service de base de données managée (rappel PostgreSQL, chapitre 15)</w:t>
            </w:r>
          </w:p>
        </w:tc>
      </w:tr>
      <w:tr>
        <w:tc>
          <w:tcPr/>
          <w:p>
            <w:pPr>
              <w:pStyle w:val="Compact"/>
            </w:pPr>
            <w:r>
              <w:rPr>
                <w:b/>
                <w:bCs/>
              </w:rPr>
              <w:t xml:space="preserve">SaaS</w:t>
            </w:r>
            <w:r>
              <w:t xml:space="preserve"> </w:t>
            </w:r>
            <w:r>
              <w:t xml:space="preserve">(</w:t>
            </w:r>
            <w:r>
              <w:rPr>
                <w:i/>
                <w:iCs/>
              </w:rPr>
              <w:t xml:space="preserve">Software as a Service</w:t>
            </w:r>
            <w:r>
              <w:t xml:space="preserve">)</w:t>
            </w:r>
          </w:p>
        </w:tc>
        <w:tc>
          <w:tcPr/>
          <w:p>
            <w:pPr>
              <w:pStyle w:val="Compact"/>
            </w:pPr>
            <w:r>
              <w:t xml:space="preserve">Absolument tout, y compris l’application elle-même</w:t>
            </w:r>
          </w:p>
        </w:tc>
        <w:tc>
          <w:tcPr/>
          <w:p>
            <w:pPr>
              <w:pStyle w:val="Compact"/>
            </w:pPr>
            <w:r>
              <w:t xml:space="preserve">Uniquement la configuration et les données utilisateur</w:t>
            </w:r>
          </w:p>
        </w:tc>
        <w:tc>
          <w:tcPr/>
          <w:p>
            <w:pPr>
              <w:pStyle w:val="Compact"/>
            </w:pPr>
            <w:r>
              <w:rPr>
                <w:b/>
                <w:bCs/>
              </w:rPr>
              <w:t xml:space="preserve">Microsoft 365, déjà rencontré au chapitre 8</w:t>
            </w:r>
          </w:p>
        </w:tc>
      </w:tr>
    </w:tbl>
    <w:p>
      <w:pPr>
        <w:pStyle w:val="BodyText"/>
      </w:pPr>
      <w:r>
        <w:t xml:space="preserve">💡 Un exemple déjà vécu dans ce manuel, sans le nommer</w:t>
      </w:r>
      <w:r>
        <w:t xml:space="preserve"> </w:t>
      </w:r>
      <w:r>
        <w:t xml:space="preserve">Le déploiement hybride Entra ID du chapitre 8 était déjà, sans le nommer explicitement, une adoption de</w:t>
      </w:r>
      <w:r>
        <w:t xml:space="preserve"> </w:t>
      </w:r>
      <w:r>
        <w:rPr>
          <w:b/>
          <w:bCs/>
        </w:rPr>
        <w:t xml:space="preserve">SaaS</w:t>
      </w:r>
      <w:r>
        <w:t xml:space="preserve"> </w:t>
      </w:r>
      <w:r>
        <w:t xml:space="preserve">— Microsoft gère absolument tout de Microsoft 365 (serveurs, application, mises à jour), l’entreprise ne gérant que la configuration et les comptes utilisateurs. Ce chapitre donne simplement le vocabulaire pour nommer précisément ce qui a déjà été pratiqué.</w:t>
      </w:r>
    </w:p>
    <w:bookmarkEnd w:id="1105"/>
    <w:bookmarkStart w:id="1109" w:name="le-modèle-de-responsabilité-partagée"/>
    <w:p>
      <w:pPr>
        <w:pStyle w:val="Heading2"/>
      </w:pPr>
      <w:r>
        <w:t xml:space="preserve">45.3 Le modèle de responsabilité partagée</w:t>
      </w:r>
    </w:p>
    <w:p>
      <w:pPr>
        <w:pStyle w:val="FirstParagraph"/>
      </w:pPr>
      <w:r>
        <w:t xml:space="preserve">🔒 Sécurité — le piège le plus fréquent et le plus coûteux du cloud</w:t>
      </w:r>
      <w:r>
        <w:t xml:space="preserve"> </w:t>
      </w:r>
      <w:r>
        <w:t xml:space="preserve">Une confusion extrêmement répandue, et responsable de nombreuses failles de sécurité réelles documentées dans l’industrie : croire que confier une charge de travail au cloud transfère</w:t>
      </w:r>
      <w:r>
        <w:t xml:space="preserve"> </w:t>
      </w:r>
      <w:r>
        <w:rPr>
          <w:b/>
          <w:bCs/>
        </w:rPr>
        <w:t xml:space="preserve">automatiquement</w:t>
      </w:r>
      <w:r>
        <w:t xml:space="preserve"> </w:t>
      </w:r>
      <w:r>
        <w:t xml:space="preserve">l’entière responsabilité de sa sécurité au fournisseur. En réalité, chaque modèle de service définit une ligne de partage précise — un fournisseur IaaS sécurise le matériel physique et la virtualisation sous-jacente, mais</w:t>
      </w:r>
      <w:r>
        <w:t xml:space="preserve"> </w:t>
      </w:r>
      <w:r>
        <w:rPr>
          <w:b/>
          <w:bCs/>
        </w:rPr>
        <w:t xml:space="preserve">jamais</w:t>
      </w:r>
      <w:r>
        <w:t xml:space="preserve"> </w:t>
      </w:r>
      <w:r>
        <w:t xml:space="preserve">la configuration du système d’exploitation, les correctifs applicatifs, ni les permissions d’accès aux données, qui restent la responsabilité du client, exactement les mêmes disciplines déjà construites tout au long de ce manuel (chapitres 12, 18, 25, 26).</w:t>
      </w:r>
    </w:p>
    <w:p>
      <w:pPr>
        <w:pStyle w:val="CaptionedFigure"/>
      </w:pPr>
      <w:r>
        <w:drawing>
          <wp:inline>
            <wp:extent cx="5334000" cy="2747331"/>
            <wp:effectExtent b="0" l="0" r="0" t="0"/>
            <wp:docPr descr="Diagramme" title="" id="1107" name="Picture"/>
            <a:graphic>
              <a:graphicData uri="http://schemas.openxmlformats.org/drawingml/2006/picture">
                <pic:pic>
                  <pic:nvPicPr>
                    <pic:cNvPr descr="C:/Users/ingja/Desktop/jarvis-starter-kit/livrables/formations/manuel-administration-systeme/assets/diagrams/d-45-fondamentaux-du-cloud-diagramme-1.png" id="1108" name="Picture"/>
                    <pic:cNvPicPr>
                      <a:picLocks noChangeArrowheads="1" noChangeAspect="1"/>
                    </pic:cNvPicPr>
                  </pic:nvPicPr>
                  <pic:blipFill>
                    <a:blip r:embed="rId1106"/>
                    <a:stretch>
                      <a:fillRect/>
                    </a:stretch>
                  </pic:blipFill>
                  <pic:spPr bwMode="auto">
                    <a:xfrm>
                      <a:off x="0" y="0"/>
                      <a:ext cx="5334000" cy="2747331"/>
                    </a:xfrm>
                    <a:prstGeom prst="rect">
                      <a:avLst/>
                    </a:prstGeom>
                    <a:noFill/>
                    <a:ln w="9525">
                      <a:noFill/>
                      <a:headEnd/>
                      <a:tailEnd/>
                    </a:ln>
                  </pic:spPr>
                </pic:pic>
              </a:graphicData>
            </a:graphic>
          </wp:inline>
        </w:drawing>
      </w:r>
    </w:p>
    <w:p>
      <w:pPr>
        <w:pStyle w:val="ImageCaption"/>
      </w:pPr>
      <w:r>
        <w:t xml:space="preserve">Diagramme</w:t>
      </w:r>
    </w:p>
    <w:p>
      <w:pPr>
        <w:pStyle w:val="BodyText"/>
      </w:pPr>
      <w:r>
        <w:t xml:space="preserve">🧠 À mémoriser — le client reste TOUJOURS responsable de l’identité et des données</w:t>
      </w:r>
      <w:r>
        <w:t xml:space="preserve"> </w:t>
      </w:r>
      <w:r>
        <w:t xml:space="preserve">Quel que soit le modèle de service choisi, une responsabilité ne se délègue jamais entièrement au fournisseur cloud : la gestion des identités et des accès (rappel direct des Parties 4, notamment MFA et Zero Trust), et la classification/protection des données elles-mêmes. Un fournisseur cloud, aussi robuste soit son infrastructure physique, ne protège jamais un compte compromis par un mot de passe faible ou l’absence de MFA — exactement le même principe déjà établi au chapitre 25.</w:t>
      </w:r>
    </w:p>
    <w:bookmarkEnd w:id="1109"/>
    <w:bookmarkStart w:id="1110" w:name="ce-que-le-cloud-ne-résout-pas"/>
    <w:p>
      <w:pPr>
        <w:pStyle w:val="Heading2"/>
      </w:pPr>
      <w:r>
        <w:t xml:space="preserve">45.4 Ce que le cloud ne résout pas</w:t>
      </w:r>
    </w:p>
    <w:p>
      <w:pPr>
        <w:pStyle w:val="FirstParagraph"/>
      </w:pPr>
      <w:r>
        <w:t xml:space="preserve">⚠️ Répondre honnêtement à la question du DSI</w:t>
      </w:r>
      <w:r>
        <w:t xml:space="preserve"> </w:t>
      </w:r>
      <w:r>
        <w:t xml:space="preserve">Le cloud réduit certains risques physiques (un cyclone localisé n’affecte pas un centre de données situé sur un autre continent), mais n’élimine ni le besoin de sauvegardes réellement testées (chapitre 30, un compte cloud peut aussi être victime d’une suppression accidentelle ou d’un rançongiciel), ni le besoin de sécuriser l’identité et l’accès (chapitres 22-26), ni le besoin de documenter et de tester un plan de reprise (chapitre 31) — un fournisseur cloud en panne reste un scénario possible, statistiquement rare mais déjà survenu chez les plus grands fournisseurs mondiaux. Le cloud déplace et réduit certains risques ; il ne dispense jamais de la discipline déjà construite tout au long de ce manuel.</w:t>
      </w:r>
    </w:p>
    <w:p>
      <w:pPr>
        <w:pStyle w:val="BodyText"/>
      </w:pPr>
      <w:r>
        <w:t xml:space="preserve">⚠️ Une nouvelle dépendance : la connectivité Internet elle-même</w:t>
      </w:r>
      <w:r>
        <w:t xml:space="preserve"> </w:t>
      </w:r>
      <w:r>
        <w:t xml:space="preserve">Rappel direct du contexte déjà établi depuis le chapitre 1 : une infrastructure entièrement basée dans le cloud dépend entièrement de la qualité de la connexion Internet locale pour y accéder — dans un contexte où les coupures réseau restent une réalité opérationnelle fréquente (chapitres 6, 23), une dépendance totale au cloud sans aucune capacité de fonctionnement local dégradé peut, paradoxalement, introduire un nouveau risque plutôt que de le supprimer.</w:t>
      </w:r>
    </w:p>
    <w:bookmarkEnd w:id="1110"/>
    <w:bookmarkStart w:id="1111" w:name="X68d71db287fad13bff875b68e7f646cf583d2ac"/>
    <w:p>
      <w:pPr>
        <w:pStyle w:val="Heading2"/>
      </w:pPr>
      <w:r>
        <w:t xml:space="preserve">45.5 Cloud public, privé, hybride : un aperçu avant le chapitre 49</w:t>
      </w:r>
    </w:p>
    <w:p>
      <w:pPr>
        <w:pStyle w:val="FirstParagraph"/>
      </w:pPr>
      <w:r>
        <w:t xml:space="preserve">💡 Une classification à retenir brièvement, approfondie plus loin</w:t>
      </w:r>
      <w:r>
        <w:t xml:space="preserve"> </w:t>
      </w:r>
      <w:r>
        <w:t xml:space="preserve">Le</w:t>
      </w:r>
      <w:r>
        <w:t xml:space="preserve"> </w:t>
      </w:r>
      <w:r>
        <w:rPr>
          <w:b/>
          <w:bCs/>
        </w:rPr>
        <w:t xml:space="preserve">cloud public</w:t>
      </w:r>
      <w:r>
        <w:t xml:space="preserve"> </w:t>
      </w:r>
      <w:r>
        <w:t xml:space="preserve">(AWS, Azure, GCP — chapitres 46-48) mutualise l’infrastructure entre de nombreux clients. Le</w:t>
      </w:r>
      <w:r>
        <w:t xml:space="preserve"> </w:t>
      </w:r>
      <w:r>
        <w:rPr>
          <w:b/>
          <w:bCs/>
        </w:rPr>
        <w:t xml:space="preserve">cloud privé</w:t>
      </w:r>
      <w:r>
        <w:t xml:space="preserve"> </w:t>
      </w:r>
      <w:r>
        <w:t xml:space="preserve">reste dédié à une seule organisation (parfois hébergé sur ses propres serveurs virtualisés, chapitres 33-38). Le</w:t>
      </w:r>
      <w:r>
        <w:t xml:space="preserve"> </w:t>
      </w:r>
      <w:r>
        <w:rPr>
          <w:b/>
          <w:bCs/>
        </w:rPr>
        <w:t xml:space="preserve">cloud hybride</w:t>
      </w:r>
      <w:r>
        <w:t xml:space="preserve"> </w:t>
      </w:r>
      <w:r>
        <w:t xml:space="preserve">combine les deux — exactement le type d’architecture qu’une réponse mesurée à la question du DSI impliquerait probablement, un sujet développé en détail au chapitre 49.</w:t>
      </w:r>
    </w:p>
    <w:bookmarkEnd w:id="1111"/>
    <w:bookmarkStart w:id="1112" w:name="X1ccb0036665ad2e527151a4f4308ae642fb576e"/>
    <w:p>
      <w:pPr>
        <w:pStyle w:val="Heading2"/>
      </w:pPr>
      <w:r>
        <w:t xml:space="preserve">45.6 Les grandes catégories de services cloud : traduire ce que ce manuel a déjà construit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Brique déjà construite dans ce manuel</w:t>
            </w:r>
          </w:p>
        </w:tc>
        <w:tc>
          <w:tcPr/>
          <w:p>
            <w:pPr>
              <w:pStyle w:val="Compact"/>
            </w:pPr>
            <w:r>
              <w:t xml:space="preserve">Équivalent cloud managé</w:t>
            </w:r>
          </w:p>
        </w:tc>
      </w:tr>
      <w:tr>
        <w:tc>
          <w:tcPr/>
          <w:p>
            <w:pPr>
              <w:pStyle w:val="Compact"/>
            </w:pPr>
            <w:r>
              <w:t xml:space="preserve">RAID matériel (chapitre 27)</w:t>
            </w:r>
          </w:p>
        </w:tc>
        <w:tc>
          <w:tcPr/>
          <w:p>
            <w:pPr>
              <w:pStyle w:val="Compact"/>
            </w:pPr>
            <w:r>
              <w:t xml:space="preserve">Stockage géré par le fournisseur, redondance transparente</w:t>
            </w:r>
          </w:p>
        </w:tc>
      </w:tr>
      <w:tr>
        <w:tc>
          <w:tcPr/>
          <w:p>
            <w:pPr>
              <w:pStyle w:val="Compact"/>
            </w:pPr>
            <w:r>
              <w:t xml:space="preserve">NAS/SAN (chapitres 28-29)</w:t>
            </w:r>
          </w:p>
        </w:tc>
        <w:tc>
          <w:tcPr/>
          <w:p>
            <w:pPr>
              <w:pStyle w:val="Compact"/>
            </w:pPr>
            <w:r>
              <w:t xml:space="preserve">Service de stockage de fichiers ou de blocs managé</w:t>
            </w:r>
          </w:p>
        </w:tc>
      </w:tr>
      <w:tr>
        <w:tc>
          <w:tcPr/>
          <w:p>
            <w:pPr>
              <w:pStyle w:val="Compact"/>
            </w:pPr>
            <w:r>
              <w:t xml:space="preserve">VM sur hyperviseur (Partie 6)</w:t>
            </w:r>
          </w:p>
        </w:tc>
        <w:tc>
          <w:tcPr/>
          <w:p>
            <w:pPr>
              <w:pStyle w:val="Compact"/>
            </w:pPr>
            <w:r>
              <w:t xml:space="preserve">Instance de calcul IaaS</w:t>
            </w:r>
          </w:p>
        </w:tc>
      </w:tr>
      <w:tr>
        <w:tc>
          <w:tcPr/>
          <w:p>
            <w:pPr>
              <w:pStyle w:val="Compact"/>
            </w:pPr>
            <w:r>
              <w:t xml:space="preserve">Cluster Kubernetes (Partie 7)</w:t>
            </w:r>
          </w:p>
        </w:tc>
        <w:tc>
          <w:tcPr/>
          <w:p>
            <w:pPr>
              <w:pStyle w:val="Compact"/>
            </w:pPr>
            <w:r>
              <w:t xml:space="preserve">Service Kubernetes managé (le fournisseur gère le plan de contrôle)</w:t>
            </w:r>
          </w:p>
        </w:tc>
      </w:tr>
      <w:tr>
        <w:tc>
          <w:tcPr/>
          <w:p>
            <w:pPr>
              <w:pStyle w:val="Compact"/>
            </w:pPr>
            <w:r>
              <w:t xml:space="preserve">Sauvegarde vers un support distinct (chapitre 30)</w:t>
            </w:r>
          </w:p>
        </w:tc>
        <w:tc>
          <w:tcPr/>
          <w:p>
            <w:pPr>
              <w:pStyle w:val="Compact"/>
            </w:pPr>
            <w:r>
              <w:t xml:space="preserve">Stockage d’objets avec réplication géographique</w:t>
            </w:r>
          </w:p>
        </w:tc>
      </w:tr>
    </w:tbl>
    <w:p>
      <w:pPr>
        <w:pStyle w:val="BodyText"/>
      </w:pPr>
      <w:r>
        <w:t xml:space="preserve">🚀 Performance — un service Kubernetes managé allège une charge réelle</w:t>
      </w:r>
      <w:r>
        <w:t xml:space="preserve"> </w:t>
      </w:r>
      <w:r>
        <w:t xml:space="preserve">Rappel direct du chapitre 42 : maintenir soi-même le plan de contrôle d’un cluster Kubernetes représente une charge opérationnelle réelle. Un service Kubernetes managé (EKS chez AWS, AKS chez Azure, GKE chez Google Cloud — chapitres 46-48) délègue cette responsabilité précise au fournisseur, l’entreprise ne gérant plus que les nœuds de travail et les charges applicatives elles-mêmes — un exemple concret de la ligne de partage de responsabilité de la section 45.3.</w:t>
      </w:r>
    </w:p>
    <w:bookmarkEnd w:id="1112"/>
    <w:bookmarkStart w:id="1113" w:name="Xf0a17d038820afcbcb4051ccff045447d29ea97"/>
    <w:p>
      <w:pPr>
        <w:pStyle w:val="Heading2"/>
      </w:pPr>
      <w:r>
        <w:t xml:space="preserve">45.7 Une décision pragmatique : quoi migrer, quoi garder</w:t>
      </w:r>
    </w:p>
    <w:p>
      <w:pPr>
        <w:pStyle w:val="FirstParagraph"/>
      </w:pPr>
      <w:r>
        <w:t xml:space="preserve">✅ Le même cadre de décision contextuelle que tout au long de ce manuel</w:t>
      </w:r>
      <w:r>
        <w:t xml:space="preserve"> </w:t>
      </w:r>
      <w:r>
        <w:t xml:space="preserve">Exactement le même principe déjà appliqué au choix de distribution (chapitre 14), à Docker (chapitre 39) et à Kubernetes (chapitre 42) : la question n’est jamais</w:t>
      </w:r>
      <w:r>
        <w:t xml:space="preserve"> </w:t>
      </w:r>
      <w:r>
        <w:t xml:space="preserve">“faut-il migrer vers le cloud ?”</w:t>
      </w:r>
      <w:r>
        <w:t xml:space="preserve"> </w:t>
      </w:r>
      <w:r>
        <w:t xml:space="preserve">dans l’absolu, mais</w:t>
      </w:r>
      <w:r>
        <w:t xml:space="preserve"> </w:t>
      </w:r>
      <w:r>
        <w:t xml:space="preserve">“quel système bénéficierait réellement de cette migration, et à quel coût ?”</w:t>
      </w:r>
      <w:r>
        <w:t xml:space="preserve"> </w:t>
      </w:r>
      <w:r>
        <w:t xml:space="preserve">Un système à faible criticité et à faible trafic (comme le serveur de gestion documentaire interne du chapitre 19) tire peu de bénéfice d’une migration coûteuse ; un système à forte exigence de continuité géographique (comme le portail client, déjà exposé publiquement, chapitre 24) est un bien meilleur candidat.</w:t>
      </w:r>
    </w:p>
    <w:bookmarkEnd w:id="1113"/>
    <w:bookmarkStart w:id="1114" w:name="Xbaa323457dd2fef7f0d749bb9eecf522523f79e"/>
    <w:p>
      <w:pPr>
        <w:pStyle w:val="Heading2"/>
      </w:pPr>
      <w:r>
        <w:t xml:space="preserve">Atelier — Répondre à la question du DSI avec un cadre de décision</w:t>
      </w:r>
    </w:p>
    <w:p>
      <w:pPr>
        <w:pStyle w:val="FirstParagraph"/>
      </w:pPr>
      <w:r>
        <w:t xml:space="preserve">🛠️ Atelier 45 — Identifier de bons candidats à la migration cloud</w:t>
      </w:r>
    </w:p>
    <w:p>
      <w:pPr>
        <w:pStyle w:val="BodyText"/>
      </w:pPr>
      <w:r>
        <w:rPr>
          <w:b/>
          <w:bCs/>
        </w:rPr>
        <w:t xml:space="preserve">Objectif</w:t>
      </w:r>
      <w:r>
        <w:t xml:space="preserve"> </w:t>
      </w:r>
      <w:r>
        <w:t xml:space="preserve">: appliquer le cadre de décision de la section 45.7 à des systèmes déjà rencontrés dans ce manuel.</w:t>
      </w:r>
    </w:p>
    <w:p>
      <w:pPr>
        <w:pStyle w:val="BodyText"/>
      </w:pPr>
      <w:r>
        <w:rPr>
          <w:b/>
          <w:bCs/>
        </w:rPr>
        <w:t xml:space="preserve">Préparation</w:t>
      </w:r>
      <w:r>
        <w:t xml:space="preserve"> </w:t>
      </w:r>
      <w:r>
        <w:t xml:space="preserve">: aucune installation nécessaire.</w:t>
      </w:r>
    </w:p>
    <w:p>
      <w:pPr>
        <w:pStyle w:val="BodyText"/>
      </w:pPr>
      <w:r>
        <w:rPr>
          <w:b/>
          <w:bCs/>
        </w:rPr>
        <w:t xml:space="preserve">Étapes détaillées</w:t>
      </w:r>
      <w:r>
        <w:t xml:space="preserve"> </w:t>
      </w:r>
      <w:r>
        <w:t xml:space="preserve">:</w:t>
      </w:r>
    </w:p>
    <w:p>
      <w:pPr>
        <w:pStyle w:val="Compact"/>
        <w:numPr>
          <w:ilvl w:val="0"/>
          <w:numId w:val="2035"/>
        </w:numPr>
      </w:pPr>
      <w:r>
        <w:t xml:space="preserve">Pour chacun des systèmes suivants, juge si une migration cloud se justifie, en tenant compte de la criticité, de l’exposition publique et du besoin de continuité géographique : (a) le portail client (chapitre 24) ; (b) le serveur de gestion documentaire interne Rocky Linux (chapitre 19) ; (c) l’Active Directory local (chapitre 5).</w:t>
      </w:r>
    </w:p>
    <w:p>
      <w:pPr>
        <w:pStyle w:val="Compact"/>
        <w:numPr>
          <w:ilvl w:val="0"/>
          <w:numId w:val="2035"/>
        </w:numPr>
      </w:pPr>
      <w:r>
        <w:t xml:space="preserve">Pour chaque cas, précise si un modèle IaaS, PaaS ou SaaS serait le plus adapté.</w:t>
      </w:r>
    </w:p>
    <w:p>
      <w:pPr>
        <w:pStyle w:val="Compact"/>
        <w:numPr>
          <w:ilvl w:val="0"/>
          <w:numId w:val="2035"/>
        </w:numPr>
      </w:pPr>
      <w:r>
        <w:t xml:space="preserve">Compare tes réponses à la section</w:t>
      </w:r>
      <w:r>
        <w:t xml:space="preserve"> </w:t>
      </w:r>
      <w:r>
        <w:t xml:space="preserve">“Résultat attendu”</w:t>
      </w:r>
      <w:r>
        <w:t xml:space="preserve">.</w:t>
      </w:r>
    </w:p>
    <w:p>
      <w:pPr>
        <w:pStyle w:val="FirstParagraph"/>
      </w:pPr>
      <w:r>
        <w:rPr>
          <w:b/>
          <w:bCs/>
        </w:rPr>
        <w:t xml:space="preserve">Résultat attendu</w:t>
      </w:r>
      <w:r>
        <w:t xml:space="preserve"> </w:t>
      </w:r>
      <w:r>
        <w:t xml:space="preserve">: (a) le portail client est un excellent candidat — exposition publique, besoin de continuité géographique face aux cyclones, trafic variable bénéficiant de l’élasticité déjà présentée aux chapitres 42-44 ; un modèle PaaS ou un service Kubernetes managé (section 45.6) réduirait la charge opérationnelle. (b) le serveur de gestion documentaire interne, à faible trafic et sans exposition publique, tire peu de bénéfice d’une migration coûteuse — rester sur site reste défendable, sauf besoin spécifique non couvert par l’infrastructure actuelle. (c) Active Directory local peut rester on-premise, mais l’intégration hybride déjà construite au chapitre 8 (Entra ID) montre qu’un compromis intermédiaire existe déjà, sans migration complète nécessaire.</w:t>
      </w:r>
    </w:p>
    <w:p>
      <w:pPr>
        <w:pStyle w:val="BodyText"/>
      </w:pPr>
      <w:r>
        <w:rPr>
          <w:b/>
          <w:bCs/>
        </w:rPr>
        <w:t xml:space="preserve">Dépannage</w:t>
      </w:r>
      <w:r>
        <w:t xml:space="preserve"> </w:t>
      </w:r>
      <w:r>
        <w:t xml:space="preserve">: si tu hésites sur un cas, reviens à la question centrale de la section 45.7 — le bénéfice réel démontré (pas hypothétique) dépasse-t-il le coût et la complexité d’une migration ?</w:t>
      </w:r>
    </w:p>
    <w:bookmarkEnd w:id="1114"/>
    <w:bookmarkStart w:id="1115" w:name="erreurs-fréquentes-44"/>
    <w:p>
      <w:pPr>
        <w:pStyle w:val="Heading2"/>
      </w:pPr>
      <w:r>
        <w:t xml:space="preserve">Erreurs fréquentes</w:t>
      </w:r>
    </w:p>
    <w:p>
      <w:pPr>
        <w:pStyle w:val="FirstParagraph"/>
      </w:pPr>
      <w:r>
        <w:t xml:space="preserve">⚠️ Erreur n°1 — croire que le cloud élimine tout risque</w:t>
      </w:r>
      <w:r>
        <w:t xml:space="preserve"> </w:t>
      </w:r>
      <w:r>
        <w:t xml:space="preserve">Rappel de la section 45.4 : le cloud déplace et réduit certains risques, mais ne dispense jamais des disciplines déjà construites tout au long de ce manuel (sauvegardes, identité, PRA/PCA).</w:t>
      </w:r>
    </w:p>
    <w:p>
      <w:pPr>
        <w:pStyle w:val="BodyText"/>
      </w:pPr>
      <w:r>
        <w:t xml:space="preserve">⚠️ Erreur n°2 — ignorer le modèle de responsabilité partagée</w:t>
      </w:r>
      <w:r>
        <w:t xml:space="preserve"> </w:t>
      </w:r>
      <w:r>
        <w:t xml:space="preserve">Rappel de la section 45.3 : une des causes les plus fréquentes de failles de sécurité cloud documentées dans l’industrie, provenant d’une confusion sur qui est réellement responsable de quoi.</w:t>
      </w:r>
    </w:p>
    <w:p>
      <w:pPr>
        <w:pStyle w:val="BodyText"/>
      </w:pPr>
      <w:r>
        <w:t xml:space="preserve">⚠️ Erreur n°3 — migrer sans analyse de bénéfice réel</w:t>
      </w:r>
      <w:r>
        <w:t xml:space="preserve"> </w:t>
      </w:r>
      <w:r>
        <w:t xml:space="preserve">Rappel de la section 45.7 : le même piège déjà dénoncé pour Kubernetes au chapitre 42 — une adoption motivée par la tendance plutôt que par un besoin concret démontré.</w:t>
      </w:r>
    </w:p>
    <w:bookmarkEnd w:id="1115"/>
    <w:bookmarkStart w:id="1116" w:name="Xd61153a87be50421036e2770d9ce0a653518d19"/>
    <w:p>
      <w:pPr>
        <w:pStyle w:val="Heading2"/>
      </w:pPr>
      <w:r>
        <w:t xml:space="preserve">Diagnostiquer une confusion de responsabilité</w:t>
      </w:r>
    </w:p>
    <w:p>
      <w:pPr>
        <w:pStyle w:val="FirstParagraph"/>
      </w:pPr>
      <w:r>
        <w:t xml:space="preserve">🩺 Situation :</w:t>
      </w:r>
      <w:r>
        <w:t xml:space="preserve"> </w:t>
      </w:r>
      <w:r>
        <w:t xml:space="preserve">“Une donnée sensible a été exposée dans le cloud — le fournisseur est-il responsable ?”</w:t>
      </w:r>
    </w:p>
    <w:p>
      <w:pPr>
        <w:pStyle w:val="Compact"/>
        <w:numPr>
          <w:ilvl w:val="0"/>
          <w:numId w:val="2036"/>
        </w:numPr>
      </w:pPr>
      <w:r>
        <w:rPr>
          <w:b/>
          <w:bCs/>
        </w:rPr>
        <w:t xml:space="preserve">Diagnostic</w:t>
      </w:r>
      <w:r>
        <w:t xml:space="preserve"> </w:t>
      </w:r>
      <w:r>
        <w:t xml:space="preserve">: vérifier précisément à quel niveau de la ligne de partage (section 45.3) l’exposition s’est produite — une mauvaise configuration de permissions d’accès (responsabilité du client, quel que soit le modèle de service) diffère fondamentalement d’une faille dans l’infrastructure physique du fournisseur (responsabilité du fournisseur).</w:t>
      </w:r>
    </w:p>
    <w:p>
      <w:pPr>
        <w:pStyle w:val="Compact"/>
        <w:numPr>
          <w:ilvl w:val="0"/>
          <w:numId w:val="2036"/>
        </w:numPr>
      </w:pPr>
      <w:r>
        <w:rPr>
          <w:b/>
          <w:bCs/>
        </w:rPr>
        <w:t xml:space="preserve">Comment vérifier</w:t>
      </w:r>
      <w:r>
        <w:t xml:space="preserve"> </w:t>
      </w:r>
      <w:r>
        <w:t xml:space="preserve">: consulter la documentation du modèle de responsabilité partagée du fournisseur concerné, qui précise explicitement cette ligne de partage pour chaque service utilisé.</w:t>
      </w:r>
    </w:p>
    <w:p>
      <w:pPr>
        <w:pStyle w:val="Compact"/>
        <w:numPr>
          <w:ilvl w:val="0"/>
          <w:numId w:val="2036"/>
        </w:numPr>
      </w:pPr>
      <w:r>
        <w:rPr>
          <w:b/>
          <w:bCs/>
        </w:rPr>
        <w:t xml:space="preserve">Résolution</w:t>
      </w:r>
      <w:r>
        <w:t xml:space="preserve"> </w:t>
      </w:r>
      <w:r>
        <w:t xml:space="preserve">: dans la grande majorité des incidents cloud documentés dans l’industrie, la cause relève d’une erreur de configuration côté client (permissions trop larges, absence de MFA) — un audit des pratiques déjà établies en Partie 4 de ce manuel reste le premier réflexe, avant de chercher une faille côté fournisseur.</w:t>
      </w:r>
    </w:p>
    <w:bookmarkEnd w:id="1116"/>
    <w:bookmarkStart w:id="1117" w:name="en-entreprise-44"/>
    <w:p>
      <w:pPr>
        <w:pStyle w:val="Heading2"/>
      </w:pPr>
      <w:r>
        <w:t xml:space="preserve">En entreprise</w:t>
      </w:r>
    </w:p>
    <w:p>
      <w:pPr>
        <w:pStyle w:val="Compact"/>
        <w:numPr>
          <w:ilvl w:val="0"/>
          <w:numId w:val="2037"/>
        </w:numPr>
      </w:pPr>
      <w:r>
        <w:rPr>
          <w:b/>
          <w:bCs/>
        </w:rPr>
        <w:t xml:space="preserve">Bonne pratique répandue</w:t>
      </w:r>
      <w:r>
        <w:t xml:space="preserve"> </w:t>
      </w:r>
      <w:r>
        <w:t xml:space="preserve">: documenter (chapitre 3) précisément la ligne de responsabilité partagée pour chaque service cloud adopté, évitant toute ambiguïté sur qui doit appliquer un correctif, configurer une sauvegarde, ou sécuriser un accès.</w:t>
      </w:r>
    </w:p>
    <w:p>
      <w:pPr>
        <w:pStyle w:val="Compact"/>
        <w:numPr>
          <w:ilvl w:val="0"/>
          <w:numId w:val="2037"/>
        </w:numPr>
      </w:pPr>
      <w:r>
        <w:rPr>
          <w:b/>
          <w:bCs/>
        </w:rPr>
        <w:t xml:space="preserve">Bonne pratique répandue</w:t>
      </w:r>
      <w:r>
        <w:t xml:space="preserve"> </w:t>
      </w:r>
      <w:r>
        <w:t xml:space="preserve">: conserver localement une capacité de fonctionnement dégradé pour les fonctions les plus critiques, plutôt qu’une dépendance totale et sans alternative au cloud, particulièrement pertinent dans un contexte de connectivité Internet parfois instable.</w:t>
      </w:r>
    </w:p>
    <w:p>
      <w:pPr>
        <w:pStyle w:val="Compact"/>
        <w:numPr>
          <w:ilvl w:val="0"/>
          <w:numId w:val="2037"/>
        </w:numPr>
      </w:pPr>
      <w:r>
        <w:rPr>
          <w:b/>
          <w:bCs/>
        </w:rPr>
        <w:t xml:space="preserve">Erreur classique observée</w:t>
      </w:r>
      <w:r>
        <w:t xml:space="preserve"> </w:t>
      </w:r>
      <w:r>
        <w:t xml:space="preserve">: une migration cloud entreprise principalement par mode ou pression concurrentielle, sans analyse de coût réelle ni cadre de décision contextuelle, aboutissant à des coûts imprévus largement supérieurs aux estimations initiales — un sujet approfondi au chapitre 50 (FinOps).</w:t>
      </w:r>
    </w:p>
    <w:bookmarkEnd w:id="1117"/>
    <w:bookmarkStart w:id="1118" w:name="entretien-technique-44"/>
    <w:p>
      <w:pPr>
        <w:pStyle w:val="Heading2"/>
      </w:pPr>
      <w:r>
        <w:t xml:space="preserve">Entretien technique</w:t>
      </w:r>
    </w:p>
    <w:p>
      <w:pPr>
        <w:pStyle w:val="FirstParagraph"/>
      </w:pPr>
      <w:r>
        <w:t xml:space="preserve">💼 Questions fréquemment posées en entretien</w:t>
      </w:r>
    </w:p>
    <w:p>
      <w:pPr>
        <w:pStyle w:val="BodyText"/>
      </w:pPr>
      <w:r>
        <w:rPr>
          <w:b/>
          <w:bCs/>
        </w:rPr>
        <w:t xml:space="preserve">Q1.</w:t>
      </w:r>
      <w:r>
        <w:rPr>
          <w:b/>
          <w:bCs/>
        </w:rPr>
        <w:t xml:space="preserve"> </w:t>
      </w:r>
      <w:r>
        <w:rPr>
          <w:b/>
          <w:bCs/>
        </w:rPr>
        <w:t xml:space="preserve">“Quelle est la différence entre IaaS, PaaS et SaaS ?”</w:t>
      </w:r>
      <w:r>
        <w:t xml:space="preserve"> </w:t>
      </w:r>
      <w:r>
        <w:t xml:space="preserve">Réponse attendue : IaaS fournit l’infrastructure de base (calcul, stockage, réseau), le client gérant l’OS et l’application ; PaaS ajoute la gestion du système d’exploitation et du runtime, le client ne gérant que le code et les données ; SaaS fournit l’application complète, le client ne gérant que sa configuration et ses données utilisateur.</w:t>
      </w:r>
    </w:p>
    <w:p>
      <w:pPr>
        <w:pStyle w:val="BodyText"/>
      </w:pPr>
      <w:r>
        <w:rPr>
          <w:b/>
          <w:bCs/>
        </w:rPr>
        <w:t xml:space="preserve">Q2.</w:t>
      </w:r>
      <w:r>
        <w:rPr>
          <w:b/>
          <w:bCs/>
        </w:rPr>
        <w:t xml:space="preserve"> </w:t>
      </w:r>
      <w:r>
        <w:rPr>
          <w:b/>
          <w:bCs/>
        </w:rPr>
        <w:t xml:space="preserve">“Qu’est-ce que le modèle de responsabilité partagée, et pourquoi est-il si souvent mal compris ?”</w:t>
      </w:r>
      <w:r>
        <w:t xml:space="preserve"> </w:t>
      </w:r>
      <w:r>
        <w:t xml:space="preserve">Réponse attendue : il définit précisément qui, du fournisseur ou du client, est responsable de chaque couche de sécurité selon le modèle de service utilisé — souvent mal compris car les clients supposent à tort qu’utiliser le cloud délègue automatiquement toute la sécurité au fournisseur, alors que l’identité, les accès et la configuration restent toujours de la responsabilité du client.</w:t>
      </w:r>
    </w:p>
    <w:p>
      <w:pPr>
        <w:pStyle w:val="BodyText"/>
      </w:pPr>
      <w:r>
        <w:rPr>
          <w:b/>
          <w:bCs/>
        </w:rPr>
        <w:t xml:space="preserve">Q3.</w:t>
      </w:r>
      <w:r>
        <w:rPr>
          <w:b/>
          <w:bCs/>
        </w:rPr>
        <w:t xml:space="preserve"> </w:t>
      </w:r>
      <w:r>
        <w:rPr>
          <w:b/>
          <w:bCs/>
        </w:rPr>
        <w:t xml:space="preserve">“Le cloud élimine-t-il le besoin d’un PRA ou d’une stratégie de sauvegarde ?”</w:t>
      </w:r>
      <w:r>
        <w:t xml:space="preserve"> </w:t>
      </w:r>
      <w:r>
        <w:t xml:space="preserve">Réponse attendue : non — un compte cloud reste vulnérable à une suppression accidentelle, un rançongiciel, ou une mauvaise configuration côté client ; les mêmes disciplines de sauvegarde testée (chapitre 30) et de plan de reprise documenté (chapitre 31) restent nécessaires, simplement appliquées à un environnement différent.</w:t>
      </w:r>
    </w:p>
    <w:bookmarkEnd w:id="1118"/>
    <w:bookmarkStart w:id="1119" w:name="X04e4215a90b43238c22fab87c4d09d371666934"/>
    <w:p>
      <w:pPr>
        <w:pStyle w:val="Heading2"/>
      </w:pPr>
      <w:r>
        <w:t xml:space="preserve">Optimisation, sécurité et maintenabilité — les réflexes dès ce chapitre</w:t>
      </w:r>
    </w:p>
    <w:p>
      <w:pPr>
        <w:pStyle w:val="FirstParagraph"/>
      </w:pPr>
      <w:r>
        <w:t xml:space="preserve">🔒 Sécurité</w:t>
      </w:r>
      <w:r>
        <w:t xml:space="preserve"> </w:t>
      </w:r>
      <w:r>
        <w:t xml:space="preserve">Ne suppose jamais qu’un service cloud élimine le besoin de MFA, de moindre privilège ou de sauvegarde testée — ces disciplines, déjà construites tout au long de ce manuel, s’appliquent avec la même rigueur dans le cloud que sur site.</w:t>
      </w:r>
    </w:p>
    <w:p>
      <w:pPr>
        <w:pStyle w:val="BodyText"/>
      </w:pPr>
      <w:r>
        <w:t xml:space="preserve">✅ Maintenabilité</w:t>
      </w:r>
      <w:r>
        <w:t xml:space="preserve"> </w:t>
      </w:r>
      <w:r>
        <w:t xml:space="preserve">Documente (chapitre 3) la justification de chaque décision de migration ou de maintien sur site, avec le cadre de décision de la section 45.7 explicitement appliqué — une décision d’architecture cloud non documentée devient, comme toute autre, une question sans réponse claire des années plus tard.</w:t>
      </w:r>
    </w:p>
    <w:p>
      <w:pPr>
        <w:pStyle w:val="BodyText"/>
      </w:pPr>
      <w:r>
        <w:t xml:space="preserve">🚀 Performance</w:t>
      </w:r>
      <w:r>
        <w:t xml:space="preserve"> </w:t>
      </w:r>
      <w:r>
        <w:t xml:space="preserve">Un service managé (section 45.6) réduit la charge opérationnelle de l’équipe, mais à un coût financier direct — un compromis à évaluer selon le temps réel que l’équipe économiserait, approfondi au chapitre 50 (FinOps).</w:t>
      </w:r>
    </w:p>
    <w:bookmarkEnd w:id="1119"/>
    <w:bookmarkStart w:id="1120" w:name="résumé-du-chapitre-44"/>
    <w:p>
      <w:pPr>
        <w:pStyle w:val="Heading2"/>
      </w:pPr>
      <w:r>
        <w:t xml:space="preserve">Résumé du chapitre</w:t>
      </w:r>
    </w:p>
    <w:p>
      <w:pPr>
        <w:pStyle w:val="Compact"/>
        <w:numPr>
          <w:ilvl w:val="0"/>
          <w:numId w:val="2038"/>
        </w:numPr>
      </w:pPr>
      <w:r>
        <w:t xml:space="preserve">Le cloud computing étend le raisonnement du site de repli (chapitre 31) en externalisant l’infrastructure physique à un fournisseur tiers.</w:t>
      </w:r>
    </w:p>
    <w:p>
      <w:pPr>
        <w:pStyle w:val="Compact"/>
        <w:numPr>
          <w:ilvl w:val="0"/>
          <w:numId w:val="2038"/>
        </w:numPr>
      </w:pPr>
      <w:r>
        <w:t xml:space="preserve">IaaS, PaaS et SaaS définissent trois niveaux d’abstraction, avec une part croissante de responsabilité déléguée au fournisseur.</w:t>
      </w:r>
    </w:p>
    <w:p>
      <w:pPr>
        <w:pStyle w:val="Compact"/>
        <w:numPr>
          <w:ilvl w:val="0"/>
          <w:numId w:val="2038"/>
        </w:numPr>
      </w:pPr>
      <w:r>
        <w:t xml:space="preserve">Le modèle de responsabilité partagée précise que l’identité, les accès et les données restent toujours de la responsabilité du client, quel que soit le modèle de service.</w:t>
      </w:r>
    </w:p>
    <w:p>
      <w:pPr>
        <w:pStyle w:val="Compact"/>
        <w:numPr>
          <w:ilvl w:val="0"/>
          <w:numId w:val="2038"/>
        </w:numPr>
      </w:pPr>
      <w:r>
        <w:t xml:space="preserve">Le cloud réduit certains risques physiques mais ne dispense jamais des disciplines déjà construites (sauvegardes, identité, PRA/PCA) ; il introduit aussi une nouvelle dépendance à la connectivité Internet.</w:t>
      </w:r>
    </w:p>
    <w:p>
      <w:pPr>
        <w:pStyle w:val="Compact"/>
        <w:numPr>
          <w:ilvl w:val="0"/>
          <w:numId w:val="2038"/>
        </w:numPr>
      </w:pPr>
      <w:r>
        <w:t xml:space="preserve">La décision de migrer doit toujours s’appuyer sur un cadre de décision contextuelle, jamais par tendance ou pression concurrentielle.</w:t>
      </w:r>
    </w:p>
    <w:bookmarkEnd w:id="1120"/>
    <w:bookmarkStart w:id="1121" w:name="quiz-44"/>
    <w:p>
      <w:pPr>
        <w:pStyle w:val="Heading2"/>
      </w:pPr>
      <w:r>
        <w:t xml:space="preserve">Quiz</w:t>
      </w:r>
    </w:p>
    <w:p>
      <w:pPr>
        <w:pStyle w:val="FirstParagraph"/>
      </w:pPr>
      <w:r>
        <w:t xml:space="preserve">📝 QCM (une seule bonne réponse par question)</w:t>
      </w:r>
    </w:p>
    <w:p>
      <w:pPr>
        <w:pStyle w:val="Compact"/>
        <w:numPr>
          <w:ilvl w:val="0"/>
          <w:numId w:val="2039"/>
        </w:numPr>
      </w:pPr>
      <w:r>
        <w:t xml:space="preserve">Dans le modèle SaaS, le client gère principalement :</w:t>
      </w:r>
    </w:p>
    <w:p>
      <w:pPr>
        <w:pStyle w:val="Compact"/>
        <w:numPr>
          <w:ilvl w:val="1"/>
          <w:numId w:val="2040"/>
        </w:numPr>
      </w:pPr>
    </w:p>
    <w:p>
      <w:pPr>
        <w:pStyle w:val="Compact"/>
        <w:numPr>
          <w:ilvl w:val="2"/>
          <w:numId w:val="2041"/>
        </w:numPr>
      </w:pPr>
      <w:r>
        <w:t xml:space="preserve">Le matériel physique</w:t>
      </w:r>
    </w:p>
    <w:p>
      <w:pPr>
        <w:pStyle w:val="Compact"/>
        <w:numPr>
          <w:ilvl w:val="1"/>
          <w:numId w:val="2040"/>
        </w:numPr>
      </w:pPr>
    </w:p>
    <w:p>
      <w:pPr>
        <w:pStyle w:val="Compact"/>
        <w:numPr>
          <w:ilvl w:val="2"/>
          <w:numId w:val="2042"/>
        </w:numPr>
      </w:pPr>
      <w:r>
        <w:t xml:space="preserve">La configuration et les données utilisateur</w:t>
      </w:r>
    </w:p>
    <w:p>
      <w:pPr>
        <w:pStyle w:val="Compact"/>
        <w:numPr>
          <w:ilvl w:val="1"/>
          <w:numId w:val="2040"/>
        </w:numPr>
      </w:pPr>
    </w:p>
    <w:p>
      <w:pPr>
        <w:pStyle w:val="Compact"/>
        <w:numPr>
          <w:ilvl w:val="2"/>
          <w:numId w:val="2043"/>
        </w:numPr>
      </w:pPr>
      <w:r>
        <w:t xml:space="preserve">Le système d’exploitation</w:t>
      </w:r>
    </w:p>
    <w:p>
      <w:pPr>
        <w:pStyle w:val="Compact"/>
        <w:numPr>
          <w:ilvl w:val="1"/>
          <w:numId w:val="2040"/>
        </w:numPr>
      </w:pPr>
    </w:p>
    <w:p>
      <w:pPr>
        <w:pStyle w:val="Compact"/>
        <w:numPr>
          <w:ilvl w:val="2"/>
          <w:numId w:val="2044"/>
        </w:numPr>
      </w:pPr>
      <w:r>
        <w:t xml:space="preserve">Le réseau physique du centre de données</w:t>
      </w:r>
    </w:p>
    <w:p>
      <w:pPr>
        <w:pStyle w:val="Compact"/>
        <w:numPr>
          <w:ilvl w:val="0"/>
          <w:numId w:val="2039"/>
        </w:numPr>
      </w:pPr>
      <w:r>
        <w:t xml:space="preserve">Le modèle de responsabilité partagée précise que :</w:t>
      </w:r>
    </w:p>
    <w:p>
      <w:pPr>
        <w:pStyle w:val="Compact"/>
        <w:numPr>
          <w:ilvl w:val="1"/>
          <w:numId w:val="2045"/>
        </w:numPr>
      </w:pPr>
    </w:p>
    <w:p>
      <w:pPr>
        <w:pStyle w:val="Compact"/>
        <w:numPr>
          <w:ilvl w:val="2"/>
          <w:numId w:val="2046"/>
        </w:numPr>
      </w:pPr>
      <w:r>
        <w:t xml:space="preserve">Le fournisseur cloud est toujours entièrement responsable de la sécurité</w:t>
      </w:r>
    </w:p>
    <w:p>
      <w:pPr>
        <w:pStyle w:val="Compact"/>
        <w:numPr>
          <w:ilvl w:val="1"/>
          <w:numId w:val="2045"/>
        </w:numPr>
      </w:pPr>
    </w:p>
    <w:p>
      <w:pPr>
        <w:pStyle w:val="Compact"/>
        <w:numPr>
          <w:ilvl w:val="2"/>
          <w:numId w:val="2047"/>
        </w:numPr>
      </w:pPr>
      <w:r>
        <w:t xml:space="preserve">L’identité et les accès restent toujours de la responsabilité du client</w:t>
      </w:r>
    </w:p>
    <w:p>
      <w:pPr>
        <w:pStyle w:val="Compact"/>
        <w:numPr>
          <w:ilvl w:val="1"/>
          <w:numId w:val="2045"/>
        </w:numPr>
      </w:pPr>
    </w:p>
    <w:p>
      <w:pPr>
        <w:pStyle w:val="Compact"/>
        <w:numPr>
          <w:ilvl w:val="2"/>
          <w:numId w:val="2048"/>
        </w:numPr>
      </w:pPr>
      <w:r>
        <w:t xml:space="preserve">Le client n’a jamais de responsabilité en IaaS</w:t>
      </w:r>
    </w:p>
    <w:p>
      <w:pPr>
        <w:pStyle w:val="Compact"/>
        <w:numPr>
          <w:ilvl w:val="1"/>
          <w:numId w:val="2045"/>
        </w:numPr>
      </w:pPr>
    </w:p>
    <w:p>
      <w:pPr>
        <w:pStyle w:val="Compact"/>
        <w:numPr>
          <w:ilvl w:val="2"/>
          <w:numId w:val="2049"/>
        </w:numPr>
      </w:pPr>
      <w:r>
        <w:t xml:space="preserve">Seul le SaaS implique une responsabilité du client</w:t>
      </w:r>
    </w:p>
    <w:p>
      <w:pPr>
        <w:pStyle w:val="Compact"/>
        <w:numPr>
          <w:ilvl w:val="0"/>
          <w:numId w:val="2039"/>
        </w:numPr>
      </w:pPr>
      <w:r>
        <w:t xml:space="preserve">Le cloud computing :</w:t>
      </w:r>
    </w:p>
    <w:p>
      <w:pPr>
        <w:pStyle w:val="Compact"/>
        <w:numPr>
          <w:ilvl w:val="1"/>
          <w:numId w:val="2050"/>
        </w:numPr>
      </w:pPr>
    </w:p>
    <w:p>
      <w:pPr>
        <w:pStyle w:val="Compact"/>
        <w:numPr>
          <w:ilvl w:val="2"/>
          <w:numId w:val="2051"/>
        </w:numPr>
      </w:pPr>
      <w:r>
        <w:t xml:space="preserve">Élimine tout besoin de sauvegarde et de PRA</w:t>
      </w:r>
    </w:p>
    <w:p>
      <w:pPr>
        <w:pStyle w:val="Compact"/>
        <w:numPr>
          <w:ilvl w:val="1"/>
          <w:numId w:val="2050"/>
        </w:numPr>
      </w:pPr>
    </w:p>
    <w:p>
      <w:pPr>
        <w:pStyle w:val="Compact"/>
        <w:numPr>
          <w:ilvl w:val="2"/>
          <w:numId w:val="2052"/>
        </w:numPr>
      </w:pPr>
      <w:r>
        <w:t xml:space="preserve">Réduit certains risques physiques sans éliminer le besoin des disciplines déjà établies dans ce manuel</w:t>
      </w:r>
    </w:p>
    <w:p>
      <w:pPr>
        <w:pStyle w:val="Compact"/>
        <w:numPr>
          <w:ilvl w:val="1"/>
          <w:numId w:val="2050"/>
        </w:numPr>
      </w:pPr>
    </w:p>
    <w:p>
      <w:pPr>
        <w:pStyle w:val="Compact"/>
        <w:numPr>
          <w:ilvl w:val="2"/>
          <w:numId w:val="2053"/>
        </w:numPr>
      </w:pPr>
      <w:r>
        <w:t xml:space="preserve">Garantit une disponibilité de 100% sans exception</w:t>
      </w:r>
    </w:p>
    <w:p>
      <w:pPr>
        <w:pStyle w:val="Compact"/>
        <w:numPr>
          <w:ilvl w:val="1"/>
          <w:numId w:val="2050"/>
        </w:numPr>
      </w:pPr>
    </w:p>
    <w:p>
      <w:pPr>
        <w:pStyle w:val="Compact"/>
        <w:numPr>
          <w:ilvl w:val="2"/>
          <w:numId w:val="2054"/>
        </w:numPr>
      </w:pPr>
      <w:r>
        <w:t xml:space="preserve">Ne dépend jamais de la connectivité Internet</w:t>
      </w:r>
    </w:p>
    <w:p>
      <w:pPr>
        <w:pStyle w:val="FirstParagraph"/>
      </w:pPr>
      <w:r>
        <w:rPr>
          <w:b/>
          <w:bCs/>
        </w:rPr>
        <w:t xml:space="preserve">Corrigé</w:t>
      </w:r>
      <w:r>
        <w:t xml:space="preserve"> </w:t>
      </w:r>
      <w:r>
        <w:t xml:space="preserve">: 1-b, 2-b, 3-b.</w:t>
      </w:r>
    </w:p>
    <w:p>
      <w:pPr>
        <w:pStyle w:val="BodyText"/>
      </w:pPr>
      <w:r>
        <w:t xml:space="preserve">📝 Vrai ou Faux</w:t>
      </w:r>
    </w:p>
    <w:p>
      <w:pPr>
        <w:pStyle w:val="Compact"/>
        <w:numPr>
          <w:ilvl w:val="0"/>
          <w:numId w:val="2055"/>
        </w:numPr>
      </w:pPr>
      <w:r>
        <w:t xml:space="preserve">Un service Kubernetes managé délègue la gestion du plan de contrôle au fournisseur cloud. —</w:t>
      </w:r>
      <w:r>
        <w:t xml:space="preserve"> </w:t>
      </w:r>
      <w:r>
        <w:rPr>
          <w:b/>
          <w:bCs/>
        </w:rPr>
        <w:t xml:space="preserve">Vrai</w:t>
      </w:r>
      <w:r>
        <w:t xml:space="preserve">.</w:t>
      </w:r>
    </w:p>
    <w:p>
      <w:pPr>
        <w:pStyle w:val="Compact"/>
        <w:numPr>
          <w:ilvl w:val="0"/>
          <w:numId w:val="2055"/>
        </w:numPr>
      </w:pPr>
      <w:r>
        <w:t xml:space="preserve">Migrer vers le cloud devrait toujours être une priorité par défaut pour tout système, quelle que soit sa criticité. —</w:t>
      </w:r>
      <w:r>
        <w:t xml:space="preserve"> </w:t>
      </w:r>
      <w:r>
        <w:rPr>
          <w:b/>
          <w:bCs/>
        </w:rPr>
        <w:t xml:space="preserve">Faux</w:t>
      </w:r>
      <w:r>
        <w:t xml:space="preserve"> </w:t>
      </w:r>
      <w:r>
        <w:t xml:space="preserve">(une décision contextuelle, section 45.7).</w:t>
      </w:r>
    </w:p>
    <w:p>
      <w:pPr>
        <w:pStyle w:val="Compact"/>
        <w:numPr>
          <w:ilvl w:val="0"/>
          <w:numId w:val="2055"/>
        </w:numPr>
      </w:pPr>
      <w:r>
        <w:t xml:space="preserve">L’identité et les accès restent toujours de la responsabilité du client, quel que soit le modèle de service cloud. —</w:t>
      </w:r>
      <w:r>
        <w:t xml:space="preserve"> </w:t>
      </w:r>
      <w:r>
        <w:rPr>
          <w:b/>
          <w:bCs/>
        </w:rPr>
        <w:t xml:space="preserve">Vrai</w:t>
      </w:r>
      <w:r>
        <w:t xml:space="preserve">.</w:t>
      </w:r>
    </w:p>
    <w:p>
      <w:pPr>
        <w:pStyle w:val="Compact"/>
        <w:numPr>
          <w:ilvl w:val="0"/>
          <w:numId w:val="2055"/>
        </w:numPr>
      </w:pPr>
      <w:r>
        <w:t xml:space="preserve">Une infrastructure entièrement cloud élimine toute dépendance à la connectivité Internet locale. —</w:t>
      </w:r>
      <w:r>
        <w:t xml:space="preserve"> </w:t>
      </w:r>
      <w:r>
        <w:rPr>
          <w:b/>
          <w:bCs/>
        </w:rPr>
        <w:t xml:space="preserve">Faux</w:t>
      </w:r>
      <w:r>
        <w:t xml:space="preserve"> </w:t>
      </w:r>
      <w:r>
        <w:t xml:space="preserve">(elle en crée une nouvelle dépendance, section 45.4).</w:t>
      </w:r>
    </w:p>
    <w:p>
      <w:pPr>
        <w:pStyle w:val="FirstParagraph"/>
      </w:pPr>
      <w:r>
        <w:t xml:space="preserve">📝 Questions ouvertes</w:t>
      </w:r>
    </w:p>
    <w:p>
      <w:pPr>
        <w:pStyle w:val="Compact"/>
        <w:numPr>
          <w:ilvl w:val="0"/>
          <w:numId w:val="2056"/>
        </w:numPr>
      </w:pPr>
      <w:r>
        <w:t xml:space="preserve">Explique pourquoi la question du DSI dans le scénario d’ouverture appelle une réponse nuancée plutôt qu’un simple</w:t>
      </w:r>
      <w:r>
        <w:t xml:space="preserve"> </w:t>
      </w:r>
      <w:r>
        <w:t xml:space="preserve">“oui”</w:t>
      </w:r>
      <w:r>
        <w:t xml:space="preserve"> </w:t>
      </w:r>
      <w:r>
        <w:t xml:space="preserve">ou</w:t>
      </w:r>
      <w:r>
        <w:t xml:space="preserve"> </w:t>
      </w:r>
      <w:r>
        <w:t xml:space="preserve">“non”</w:t>
      </w:r>
      <w:r>
        <w:t xml:space="preserve">.</w:t>
      </w:r>
    </w:p>
    <w:p>
      <w:pPr>
        <w:pStyle w:val="Compact"/>
        <w:numPr>
          <w:ilvl w:val="0"/>
          <w:numId w:val="2056"/>
        </w:numPr>
      </w:pPr>
      <w:r>
        <w:t xml:space="preserve">Reprends le tableau de la section 45.6. Explique pourquoi comprendre les fondations techniques (RAID, NAS/SAN, virtualisation, Kubernetes) déjà construites dans ce manuel facilite la compréhension de leurs équivalents cloud managés.</w:t>
      </w:r>
    </w:p>
    <w:p>
      <w:pPr>
        <w:pStyle w:val="FirstParagraph"/>
      </w:pPr>
      <w:r>
        <w:rPr>
          <w:b/>
          <w:bCs/>
        </w:rPr>
        <w:t xml:space="preserve">Corrigé 1</w:t>
      </w:r>
      <w:r>
        <w:t xml:space="preserve"> </w:t>
      </w:r>
      <w:r>
        <w:t xml:space="preserve">: le cloud réduit effectivement certains risques géographiques spécifiques (un cyclone localisé, une coupure de courant régionale) mais introduit de nouveaux compromis (dépendance à la connectivité Internet, coût récurrent, nécessité de toujours appliquer les disciplines de sécurité et de sauvegarde déjà établies) — répondre simplement</w:t>
      </w:r>
      <w:r>
        <w:t xml:space="preserve"> </w:t>
      </w:r>
      <w:r>
        <w:t xml:space="preserve">“oui, ça résout le problème”</w:t>
      </w:r>
      <w:r>
        <w:t xml:space="preserve"> </w:t>
      </w:r>
      <w:r>
        <w:t xml:space="preserve">ignorerait ces compromis réels, tandis que répondre</w:t>
      </w:r>
      <w:r>
        <w:t xml:space="preserve"> </w:t>
      </w:r>
      <w:r>
        <w:t xml:space="preserve">“non, ça ne change rien”</w:t>
      </w:r>
      <w:r>
        <w:t xml:space="preserve"> </w:t>
      </w:r>
      <w:r>
        <w:t xml:space="preserve">ignorerait les bénéfices réels de réduction de risque géographique. La réponse nuancée reconnaît les deux dimensions.</w:t>
      </w:r>
    </w:p>
    <w:p>
      <w:pPr>
        <w:pStyle w:val="BodyText"/>
      </w:pPr>
      <w:r>
        <w:rPr>
          <w:b/>
          <w:bCs/>
        </w:rPr>
        <w:t xml:space="preserve">Corrigé 2</w:t>
      </w:r>
      <w:r>
        <w:t xml:space="preserve"> </w:t>
      </w:r>
      <w:r>
        <w:t xml:space="preserve">: chaque service cloud managé n’est pas une technologie magique inventée par le fournisseur, mais une implémentation du même concept déjà appris dans ce manuel, opérée par quelqu’un d’autre — un stockage géré cloud reste fondamentalement basé sur les mêmes principes de redondance déjà expliqués pour le RAID (chapitre 27), un service Kubernetes managé reste le même Kubernetes déjà pratiqué aux chapitres 42-44, simplement avec le plan de contrôle opéré par le fournisseur. Cette compréhension préalable permet de poser les bonnes questions à un fournisseur cloud (quel niveau de redondance, quelle garantie de durabilité) plutôt que d’accepter aveuglément un service dont on ne comprend pas les fondations.</w:t>
      </w:r>
    </w:p>
    <w:bookmarkEnd w:id="1121"/>
    <w:bookmarkStart w:id="1122" w:name="exercices-44"/>
    <w:p>
      <w:pPr>
        <w:pStyle w:val="Heading2"/>
      </w:pPr>
      <w:r>
        <w:t xml:space="preserve">Exercices</w:t>
      </w:r>
    </w:p>
    <w:p>
      <w:pPr>
        <w:pStyle w:val="FirstParagraph"/>
      </w:pPr>
      <w:r>
        <w:t xml:space="preserve">📝 Exercice 45.1</w:t>
      </w:r>
    </w:p>
    <w:p>
      <w:pPr>
        <w:pStyle w:val="BodyText"/>
      </w:pPr>
      <w:r>
        <w:t xml:space="preserve">Une entreprise migre sa base de données vers un service PaaS managé, puis subit une perte de données suite à une erreur humaine (une commande de suppression accidentelle exécutée par un employé). Explique, selon le modèle de responsabilité partagée, si le fournisseur cloud est responsable de cette perte.</w:t>
      </w:r>
    </w:p>
    <w:p>
      <w:pPr>
        <w:pStyle w:val="BodyText"/>
      </w:pPr>
      <w:r>
        <w:rPr>
          <w:b/>
          <w:bCs/>
        </w:rPr>
        <w:t xml:space="preserve">Corrigé :</w:t>
      </w:r>
      <w:r>
        <w:t xml:space="preserve"> </w:t>
      </w:r>
      <w:r>
        <w:t xml:space="preserve">Même en PaaS, où le fournisseur gère l’infrastructure, le système d’exploitation et le runtime de la base de données, les</w:t>
      </w:r>
      <w:r>
        <w:t xml:space="preserve"> </w:t>
      </w:r>
      <w:r>
        <w:rPr>
          <w:b/>
          <w:bCs/>
        </w:rPr>
        <w:t xml:space="preserve">données elles-mêmes et leur protection</w:t>
      </w:r>
      <w:r>
        <w:t xml:space="preserve"> </w:t>
      </w:r>
      <w:r>
        <w:t xml:space="preserve">(via des sauvegardes correctement configurées et testées, chapitre 30) restent de la responsabilité du client, selon le principe de la section 45.3. Le fournisseur n’est donc pas responsable de cette perte spécifique, causée par une action humaine côté client — la responsabilité de l’entreprise est d’avoir configuré une stratégie de sauvegarde adaptée pour ce service PaaS, exactement la même discipline déjà établie pour les systèmes on-premise, indépendamment du fait que l’infrastructure sous-jacente soit gérée par un tiers.</w:t>
      </w:r>
    </w:p>
    <w:p>
      <w:pPr>
        <w:pStyle w:val="BodyText"/>
      </w:pPr>
      <w:r>
        <w:t xml:space="preserve">📝 Exercice 45.2</w:t>
      </w:r>
    </w:p>
    <w:p>
      <w:pPr>
        <w:pStyle w:val="BodyText"/>
      </w:pPr>
      <w:r>
        <w:t xml:space="preserve">Rédige, en 3 à 5 phrases, la réponse complète que tu donnerais au DSI du scénario d’ouverture, en synthétisant les bénéfices réels et les limites du cloud pour la continuité d’activité.</w:t>
      </w:r>
    </w:p>
    <w:p>
      <w:pPr>
        <w:pStyle w:val="BodyText"/>
      </w:pPr>
      <w:r>
        <w:rPr>
          <w:b/>
          <w:bCs/>
        </w:rPr>
        <w:t xml:space="preserve">Corrigé (exemple de réponse) :</w:t>
      </w:r>
      <w:r>
        <w:t xml:space="preserve"> </w:t>
      </w:r>
      <w:r>
        <w:t xml:space="preserve">Héberger les systèmes les plus critiques dans le cloud réduirait effectivement l’exposition aux risques géographiques locaux comme les cyclones, en s’appuyant sur l’infrastructure et la redondance d’un grand fournisseur plutôt que sur nos propres moyens limités. Cela ne remplace cependant pas le besoin de sauvegardes testées, d’une gestion rigoureuse de l’identité et des accès, ni d’un plan de reprise documenté — ces disciplines restent entièrement de notre responsabilité selon le modèle de responsabilité partagée, quel que soit le fournisseur choisi. Je recommanderais une approche progressive et ciblée, migrant en priorité le portail client (déjà exposé publiquement) plutôt qu’une migration complète et immédiate de toute l’infrastructure, en évaluant le coût réel face au bénéfice concret pour chaque système.</w:t>
      </w:r>
    </w:p>
    <w:bookmarkEnd w:id="1122"/>
    <w:bookmarkStart w:id="1123" w:name="checklist-de-fin-de-chapitre-44"/>
    <w:p>
      <w:pPr>
        <w:pStyle w:val="Heading2"/>
      </w:pPr>
      <w:r>
        <w:t xml:space="preserve">Checklist de fin de chapitre</w:t>
      </w:r>
    </w:p>
    <w:p>
      <w:pPr>
        <w:pStyle w:val="FirstParagraph"/>
      </w:pPr>
      <w:r>
        <w:t xml:space="preserve">☐ Je sais distinguer IaaS, PaaS et SaaS, avec un exemple concret pour chacun.</w:t>
      </w:r>
    </w:p>
    <w:p>
      <w:pPr>
        <w:pStyle w:val="BodyText"/>
      </w:pPr>
      <w:r>
        <w:t xml:space="preserve">☐ Je comprends le modèle de responsabilité partagée et pourquoi l’identité/les données restent toujours de la responsabilité du client.</w:t>
      </w:r>
    </w:p>
    <w:p>
      <w:pPr>
        <w:pStyle w:val="BodyText"/>
      </w:pPr>
      <w:r>
        <w:t xml:space="preserve">☐ Je sais expliquer ce que le cloud résout et ce qu’il ne résout pas en matière de continuité d’activité.</w:t>
      </w:r>
    </w:p>
    <w:p>
      <w:pPr>
        <w:pStyle w:val="BodyText"/>
      </w:pPr>
      <w:r>
        <w:t xml:space="preserve">☐ Je sais situer les briques déjà construites dans ce manuel (RAID, NAS/SAN, virtualisation, Kubernetes) dans leurs équivalents cloud managés.</w:t>
      </w:r>
    </w:p>
    <w:p>
      <w:pPr>
        <w:pStyle w:val="BodyText"/>
      </w:pPr>
      <w:r>
        <w:t xml:space="preserve">☐ Je sais appliquer un cadre de décision contextuelle pour juger si une migration cloud se justifie pour un système donné.</w:t>
      </w:r>
    </w:p>
    <w:bookmarkEnd w:id="1123"/>
    <w:bookmarkStart w:id="1124" w:name="faq-44"/>
    <w:p>
      <w:pPr>
        <w:pStyle w:val="Heading2"/>
      </w:pPr>
      <w:r>
        <w:t xml:space="preserve">FAQ</w:t>
      </w:r>
    </w:p>
    <w:p>
      <w:pPr>
        <w:pStyle w:val="FirstParagraph"/>
      </w:pPr>
      <w:r>
        <w:t xml:space="preserve">Le cloud est-il toujours plus cher que l’infrastructure sur site ?</w:t>
      </w:r>
    </w:p>
    <w:p>
      <w:pPr>
        <w:pStyle w:val="BodyText"/>
      </w:pPr>
      <w:r>
        <w:t xml:space="preserve">Pas nécessairement — cela dépend fortement du profil d’usage (charge constante vs variable), un sujet précisément couvert au chapitre 50 (FinOps). Une charge très variable peut bénéficier économiquement du modèle à la demande du cloud ; une charge stable et prévisible peut rester plus économique sur du matériel possédé, amorti sur plusieurs années.</w:t>
      </w:r>
    </w:p>
    <w:p>
      <w:pPr>
        <w:pStyle w:val="BodyText"/>
      </w:pPr>
      <w:r>
        <w:t xml:space="preserve">Une PME haïtienne peut-elle réalistement adopter le cloud, malgré les défis de connectivité déjà évoqués dans ce manuel ?</w:t>
      </w:r>
    </w:p>
    <w:p>
      <w:pPr>
        <w:pStyle w:val="BodyText"/>
      </w:pPr>
      <w:r>
        <w:t xml:space="preserve">Oui, mais avec une approche hybride réfléchie plutôt qu’une migration totale — conserver une capacité locale de fonctionnement dégradé pour les fonctions les plus critiques, tout en tirant parti du cloud pour les bénéfices de continuité géographique qu’il offre réellement, un compromis approfondi au chapitre 49.</w:t>
      </w:r>
    </w:p>
    <w:p>
      <w:pPr>
        <w:pStyle w:val="BodyText"/>
      </w:pPr>
      <w:r>
        <w:t xml:space="preserve">Faut-il choisir un seul fournisseur cloud, ou en combiner plusieurs ?</w:t>
      </w:r>
    </w:p>
    <w:p>
      <w:pPr>
        <w:pStyle w:val="BodyText"/>
      </w:pPr>
      <w:r>
        <w:t xml:space="preserve">Les deux approches existent et ont leurs propres compromis (simplicité opérationnelle contre réduction de la dépendance à un seul fournisseur) — un sujet développé en détail au chapitre 49 sur les stratégies hybrides et multi-cloud.</w:t>
      </w:r>
    </w:p>
    <w:p>
      <w:pPr>
        <w:pStyle w:val="BodyText"/>
      </w:pPr>
      <w:r>
        <w:t xml:space="preserve">Le cloud est-il plus sécurisé que l’infrastructure sur site par défaut ?</w:t>
      </w:r>
    </w:p>
    <w:p>
      <w:pPr>
        <w:pStyle w:val="BodyText"/>
      </w:pPr>
      <w:r>
        <w:t xml:space="preserve">Ni plus ni moins par défaut — un grand fournisseur cloud dispose généralement de ressources de sécurité physique et d’expertise que peu d’organisations peuvent égaler seules, mais cet avantage ne compense jamais une mauvaise configuration côté client (section 45.3), la cause la plus fréquente d’incidents de sécurité cloud documentés dans l’industrie.</w:t>
      </w:r>
    </w:p>
    <w:bookmarkEnd w:id="1124"/>
    <w:bookmarkStart w:id="1127" w:name="références-et-pour-aller-plus-loin-44"/>
    <w:p>
      <w:pPr>
        <w:pStyle w:val="Heading2"/>
      </w:pPr>
      <w:r>
        <w:t xml:space="preserve">Références et pour aller plus loin</w:t>
      </w:r>
    </w:p>
    <w:p>
      <w:pPr>
        <w:pStyle w:val="Compact"/>
        <w:numPr>
          <w:ilvl w:val="0"/>
          <w:numId w:val="2057"/>
        </w:numPr>
      </w:pPr>
      <w:r>
        <w:t xml:space="preserve">NIST Special Publication 800-145 — définition officielle du cloud computing :</w:t>
      </w:r>
      <w:r>
        <w:t xml:space="preserve"> </w:t>
      </w:r>
      <w:hyperlink r:id="rId1125">
        <w:r>
          <w:rPr>
            <w:rStyle w:val="Hyperlink"/>
          </w:rPr>
          <w:t xml:space="preserve">https://csrc.nist.gov/pubs/sp/800/145/final</w:t>
        </w:r>
      </w:hyperlink>
    </w:p>
    <w:p>
      <w:pPr>
        <w:pStyle w:val="Compact"/>
        <w:numPr>
          <w:ilvl w:val="0"/>
          <w:numId w:val="2057"/>
        </w:numPr>
      </w:pPr>
      <w:r>
        <w:t xml:space="preserve">AWS — Modèle de responsabilité partagée (exemple documenté par un fournisseur majeur) :</w:t>
      </w:r>
      <w:r>
        <w:t xml:space="preserve"> </w:t>
      </w:r>
      <w:hyperlink r:id="rId1126">
        <w:r>
          <w:rPr>
            <w:rStyle w:val="Hyperlink"/>
          </w:rPr>
          <w:t xml:space="preserve">https://aws.amazon.com/fr/compliance/shared-responsibility-model/</w:t>
        </w:r>
      </w:hyperlink>
    </w:p>
    <w:p>
      <w:pPr>
        <w:pStyle w:val="Compact"/>
        <w:numPr>
          <w:ilvl w:val="0"/>
          <w:numId w:val="2057"/>
        </w:numPr>
      </w:pPr>
      <w:r>
        <w:t xml:space="preserve">CISA — recommandations de sécurité pour les environnements cloud :</w:t>
      </w:r>
      <w:r>
        <w:t xml:space="preserve"> </w:t>
      </w:r>
      <w:hyperlink r:id="rId121">
        <w:r>
          <w:rPr>
            <w:rStyle w:val="Hyperlink"/>
          </w:rPr>
          <w:t xml:space="preserve">https://www.cisa.gov</w:t>
        </w:r>
      </w:hyperlink>
    </w:p>
    <w:p>
      <w:pPr>
        <w:pStyle w:val="FirstParagraph"/>
      </w:pPr>
      <w:r>
        <w:rPr>
          <w:i/>
          <w:iCs/>
        </w:rPr>
        <w:t xml:space="preserve">Chapitre suivant : AWS — architecture et services essentiels du fournisseur cloud le plus utilisé au monde, pour rendre concrets les concepts de ce chapitre.</w:t>
      </w:r>
    </w:p>
    <w:p>
      <w:pPr>
        <w:pStyle w:val="BodyText"/>
      </w:pPr>
      <w:r>
        <w:t xml:space="preserve">CHAPITRE 46</w:t>
      </w:r>
    </w:p>
    <w:bookmarkEnd w:id="1127"/>
    <w:bookmarkEnd w:id="1128"/>
    <w:bookmarkStart w:id="1155" w:name="aws-architecture-et-services-essentiels"/>
    <w:p>
      <w:pPr>
        <w:pStyle w:val="Heading1"/>
      </w:pPr>
      <w:r>
        <w:t xml:space="preserve">AWS : architecture et services essentiels</w:t>
      </w:r>
    </w:p>
    <w:p>
      <w:pPr>
        <w:pStyle w:val="FirstParagraph"/>
      </w:pPr>
      <w:r>
        <w:t xml:space="preserve">🎯 Objectif du chapitre</w:t>
      </w:r>
      <w:r>
        <w:t xml:space="preserve"> </w:t>
      </w:r>
      <w:r>
        <w:t xml:space="preserve">Rendre concrets les concepts du chapitre 45 en découvrant les services essentiels d’AWS (Amazon Web Services), le fournisseur cloud le plus répandu au monde. À la fin de ce chapitre, tu sauras situer EC2, S3, VPC, IAM et RDS par rapport aux briques déjà construites dans ce manuel, et concevoir une première architecture AWS pour le portail client, en évitant l’erreur de sécurité la plus documentée et la plus coûteuse de la plateforme.</w:t>
      </w:r>
    </w:p>
    <w:p>
      <w:pPr>
        <w:pStyle w:val="BodyText"/>
      </w:pPr>
      <w:r>
        <w:t xml:space="preserve">🎬 Mise en situation</w:t>
      </w:r>
      <w:r>
        <w:t xml:space="preserve"> </w:t>
      </w:r>
      <w:r>
        <w:t xml:space="preserve">Suite à la réponse nuancée du chapitre 45, le DSI valide un projet pilote : migrer le portail client vers AWS, le fournisseur le plus répandu et le mieux documenté, avant d’envisager une stratégie plus large. Il demande une esquisse d’architecture concrète — pas seulement des concepts abstraits. Ce chapitre construit cette architecture pièce par pièce, en s’appuyant systématiquement sur ce qui a déjà été appris.</w:t>
      </w:r>
    </w:p>
    <w:bookmarkStart w:id="1129" w:name="pourquoi-commencer-par-aws"/>
    <w:p>
      <w:pPr>
        <w:pStyle w:val="Heading2"/>
      </w:pPr>
      <w:r>
        <w:t xml:space="preserve">46.1 Pourquoi commencer par AWS</w:t>
      </w:r>
    </w:p>
    <w:p>
      <w:pPr>
        <w:pStyle w:val="FirstParagraph"/>
      </w:pPr>
      <w:r>
        <w:t xml:space="preserve">💡 Le même raisonnement pragmatique qu’au chapitre 14</w:t>
      </w:r>
      <w:r>
        <w:t xml:space="preserve"> </w:t>
      </w:r>
      <w:r>
        <w:t xml:space="preserve">Rappel direct du cadre de décision du choix de distribution (chapitre 14) : AWS n’est pas objectivement</w:t>
      </w:r>
      <w:r>
        <w:t xml:space="preserve"> </w:t>
      </w:r>
      <w:r>
        <w:t xml:space="preserve">“meilleur”</w:t>
      </w:r>
      <w:r>
        <w:t xml:space="preserve"> </w:t>
      </w:r>
      <w:r>
        <w:t xml:space="preserve">qu’Azure ou GCP (chapitres 47-48), mais son ancienneté, sa part de marché dominante et sa documentation abondante en font un point de départ pragmatique pour une équipe qui découvre le cloud — exactement le même raisonnement qui avait orienté vers Ubuntu Server LTS pour le portail au chapitre 14, plutôt qu’une supériorité technique absolue.</w:t>
      </w:r>
    </w:p>
    <w:bookmarkEnd w:id="1129"/>
    <w:bookmarkStart w:id="1130" w:name="X8094dbf219a464cbf04f106744cfdecb68ae25c"/>
    <w:p>
      <w:pPr>
        <w:pStyle w:val="Heading2"/>
      </w:pPr>
      <w:r>
        <w:t xml:space="preserve">46.2 Régions et zones de disponibilité : la réponse concrète au risque cyclone</w:t>
      </w:r>
    </w:p>
    <w:p>
      <w:pPr>
        <w:pStyle w:val="FirstParagraph"/>
      </w:pPr>
      <w:r>
        <w:t xml:space="preserve">📌 À retenir</w:t>
      </w:r>
      <w:r>
        <w:t xml:space="preserve"> </w:t>
      </w:r>
      <w:r>
        <w:t xml:space="preserve">Une</w:t>
      </w:r>
      <w:r>
        <w:t xml:space="preserve"> </w:t>
      </w:r>
      <w:r>
        <w:rPr>
          <w:b/>
          <w:bCs/>
        </w:rPr>
        <w:t xml:space="preserve">région</w:t>
      </w:r>
      <w:r>
        <w:t xml:space="preserve"> </w:t>
      </w:r>
      <w:r>
        <w:t xml:space="preserve">AWS est un emplacement géographique distinct (par exemple, la région US East, historiquement proche et pertinente pour une entreprise haïtienne). Chaque région contient plusieurs</w:t>
      </w:r>
      <w:r>
        <w:t xml:space="preserve"> </w:t>
      </w:r>
      <w:r>
        <w:rPr>
          <w:b/>
          <w:bCs/>
        </w:rPr>
        <w:t xml:space="preserve">zones de disponibilité</w:t>
      </w:r>
      <w:r>
        <w:t xml:space="preserve"> </w:t>
      </w:r>
      <w:r>
        <w:t xml:space="preserve">(</w:t>
      </w:r>
      <w:r>
        <w:rPr>
          <w:i/>
          <w:iCs/>
        </w:rPr>
        <w:t xml:space="preserve">Availability Zones</w:t>
      </w:r>
      <w:r>
        <w:t xml:space="preserve">, AZ) — des centres de données physiquement séparés au sein de la même région, avec leur propre alimentation électrique et connectivité réseau. Répartir une application sur plusieurs AZ répond directement au principe du site de repli déjà établi au chapitre 31, à une échelle qu’une seule entreprise ne pourrait jamais reproduire elle-même.</w:t>
      </w:r>
    </w:p>
    <w:p>
      <w:pPr>
        <w:pStyle w:val="BodyText"/>
      </w:pPr>
      <w:r>
        <w:t xml:space="preserve">🔒 Sécurité — la réponse directe au scénario d’ouverture du chapitre 45</w:t>
      </w:r>
      <w:r>
        <w:t xml:space="preserve"> </w:t>
      </w:r>
      <w:r>
        <w:t xml:space="preserve">En choisissant une région suffisamment éloignée de la trajectoire cyclonique habituelle, et en répartissant les ressources critiques sur plusieurs zones de disponibilité au sein de cette région, l’entreprise répond concrètement à la préoccupation du DSI au chapitre 45 — sans pour autant se dispenser des disciplines de sauvegarde et de PRA déjà établies (rappel direct de la section 45.4).</w:t>
      </w:r>
    </w:p>
    <w:bookmarkEnd w:id="1130"/>
    <w:bookmarkStart w:id="1131" w:name="ec2-léquivalent-iaas-dune-vm-déjà-connue"/>
    <w:p>
      <w:pPr>
        <w:pStyle w:val="Heading2"/>
      </w:pPr>
      <w:r>
        <w:t xml:space="preserve">46.3 EC2 : l’équivalent IaaS d’une VM déjà connue</w:t>
      </w:r>
    </w:p>
    <w:p>
      <w:pPr>
        <w:pStyle w:val="FirstParagraph"/>
      </w:pPr>
      <w:r>
        <w:t xml:space="preserve">💡 Rien de fondamentalement nouveau, un fournisseur différent</w:t>
      </w:r>
      <w:r>
        <w:t xml:space="preserve"> </w:t>
      </w:r>
      <w:r>
        <w:rPr>
          <w:b/>
          <w:bCs/>
        </w:rPr>
        <w:t xml:space="preserve">EC2</w:t>
      </w:r>
      <w:r>
        <w:t xml:space="preserve"> </w:t>
      </w:r>
      <w:r>
        <w:t xml:space="preserve">(</w:t>
      </w:r>
      <w:r>
        <w:rPr>
          <w:i/>
          <w:iCs/>
        </w:rPr>
        <w:t xml:space="preserve">Elastic Compute Cloud</w:t>
      </w:r>
      <w:r>
        <w:t xml:space="preserve">) loue des instances de calcul — l’équivalent direct d’une VM déjà créée manuellement sur VMware, Hyper-V ou Proxmox (Partie 6), simplement hébergée sur l’infrastructure d’AWS plutôt que sur du matériel possédé par l’entreprise. Le choix de distribution Linux (chapitre 14), la gestion des paquets (chapitre 15), systemd (chapitre 16) — tout ce qui a été appris sur l’administration Linux s’applique</w:t>
      </w:r>
      <w:r>
        <w:t xml:space="preserve"> </w:t>
      </w:r>
      <w:r>
        <w:rPr>
          <w:b/>
          <w:bCs/>
        </w:rPr>
        <w:t xml:space="preserve">sans modification</w:t>
      </w:r>
      <w:r>
        <w:t xml:space="preserve"> </w:t>
      </w:r>
      <w:r>
        <w:t xml:space="preserve">à une instance EC2 une fois provisionnée.</w:t>
      </w:r>
    </w:p>
    <w:bookmarkEnd w:id="1131"/>
    <w:bookmarkStart w:id="1135" w:name="Xa46f9dc13b0c49fedb8f372ce42ea681481009c"/>
    <w:p>
      <w:pPr>
        <w:pStyle w:val="Heading2"/>
      </w:pPr>
      <w:r>
        <w:t xml:space="preserve">46.4 VPC : le réseau virtuel, rappel direct de la segmentation</w:t>
      </w:r>
    </w:p>
    <w:p>
      <w:pPr>
        <w:pStyle w:val="FirstParagraph"/>
      </w:pPr>
      <w:r>
        <w:t xml:space="preserve">✅ Le principe du bastion, appliqué au cloud</w:t>
      </w:r>
      <w:r>
        <w:t xml:space="preserve"> </w:t>
      </w:r>
      <w:r>
        <w:t xml:space="preserve">Un</w:t>
      </w:r>
      <w:r>
        <w:t xml:space="preserve"> </w:t>
      </w:r>
      <w:r>
        <w:rPr>
          <w:b/>
          <w:bCs/>
        </w:rPr>
        <w:t xml:space="preserve">VPC</w:t>
      </w:r>
      <w:r>
        <w:t xml:space="preserve"> </w:t>
      </w:r>
      <w:r>
        <w:t xml:space="preserve">(</w:t>
      </w:r>
      <w:r>
        <w:rPr>
          <w:i/>
          <w:iCs/>
        </w:rPr>
        <w:t xml:space="preserve">Virtual Private Cloud</w:t>
      </w:r>
      <w:r>
        <w:t xml:space="preserve">) est un réseau virtuel isolé au sein d’AWS, avec des sous-réseaux publics et privés — exactement le même principe déjà établi pour le bastion du chapitre 4 : les ressources sensibles (comme une base de données) résident dans un sous-réseau</w:t>
      </w:r>
      <w:r>
        <w:t xml:space="preserve"> </w:t>
      </w:r>
      <w:r>
        <w:rPr>
          <w:b/>
          <w:bCs/>
        </w:rPr>
        <w:t xml:space="preserve">privé</w:t>
      </w:r>
      <w:r>
        <w:t xml:space="preserve">, sans exposition directe à Internet, accessibles uniquement depuis les ressources applicatives du sous-réseau public via des règles réseau strictement définies.</w:t>
      </w:r>
    </w:p>
    <w:p>
      <w:pPr>
        <w:pStyle w:val="CaptionedFigure"/>
      </w:pPr>
      <w:r>
        <w:drawing>
          <wp:inline>
            <wp:extent cx="5334000" cy="7165554"/>
            <wp:effectExtent b="0" l="0" r="0" t="0"/>
            <wp:docPr descr="Diagramme" title="" id="1133" name="Picture"/>
            <a:graphic>
              <a:graphicData uri="http://schemas.openxmlformats.org/drawingml/2006/picture">
                <pic:pic>
                  <pic:nvPicPr>
                    <pic:cNvPr descr="C:/Users/ingja/Desktop/jarvis-starter-kit/livrables/formations/manuel-administration-systeme/assets/diagrams/d-46-aws-architecture-services-diagramme-1.png" id="1134" name="Picture"/>
                    <pic:cNvPicPr>
                      <a:picLocks noChangeArrowheads="1" noChangeAspect="1"/>
                    </pic:cNvPicPr>
                  </pic:nvPicPr>
                  <pic:blipFill>
                    <a:blip r:embed="rId1132"/>
                    <a:stretch>
                      <a:fillRect/>
                    </a:stretch>
                  </pic:blipFill>
                  <pic:spPr bwMode="auto">
                    <a:xfrm>
                      <a:off x="0" y="0"/>
                      <a:ext cx="5334000" cy="7165554"/>
                    </a:xfrm>
                    <a:prstGeom prst="rect">
                      <a:avLst/>
                    </a:prstGeom>
                    <a:noFill/>
                    <a:ln w="9525">
                      <a:noFill/>
                      <a:headEnd/>
                      <a:tailEnd/>
                    </a:ln>
                  </pic:spPr>
                </pic:pic>
              </a:graphicData>
            </a:graphic>
          </wp:inline>
        </w:drawing>
      </w:r>
    </w:p>
    <w:p>
      <w:pPr>
        <w:pStyle w:val="ImageCaption"/>
      </w:pPr>
      <w:r>
        <w:t xml:space="preserve">Diagramme</w:t>
      </w:r>
    </w:p>
    <w:p>
      <w:pPr>
        <w:pStyle w:val="BodyText"/>
      </w:pPr>
      <w:r>
        <w:t xml:space="preserve">💡 Un écho direct du réseau Docker du chapitre 40</w:t>
      </w:r>
      <w:r>
        <w:t xml:space="preserve"> </w:t>
      </w:r>
      <w:r>
        <w:t xml:space="preserve">Cette architecture rappelle directement le réseau Docker dédié du chapitre 40, où l’application et sa base de données communiquaient sur un réseau isolé, sans exposition directe de la base de données — le même principe de segmentation, appliqué ici au niveau du réseau virtuel du fournisseur cloud plutôt qu’à un seul hôte Docker.</w:t>
      </w:r>
    </w:p>
    <w:bookmarkEnd w:id="1135"/>
    <w:bookmarkStart w:id="1136" w:name="X9a20b315cb5e1e2057f98610dd68bed847b353e"/>
    <w:p>
      <w:pPr>
        <w:pStyle w:val="Heading2"/>
      </w:pPr>
      <w:r>
        <w:t xml:space="preserve">46.5 S3 : stockage d’objets, différent du NAS déjà connu</w:t>
      </w:r>
    </w:p>
    <w:p>
      <w:pPr>
        <w:pStyle w:val="FirstParagraph"/>
      </w:pPr>
      <w:r>
        <w:t xml:space="preserve">📌 À retenir — une distinction technique importante</w:t>
      </w:r>
      <w:r>
        <w:t xml:space="preserve"> </w:t>
      </w:r>
      <w:r>
        <w:rPr>
          <w:b/>
          <w:bCs/>
        </w:rPr>
        <w:t xml:space="preserve">S3</w:t>
      </w:r>
      <w:r>
        <w:t xml:space="preserve"> </w:t>
      </w:r>
      <w:r>
        <w:t xml:space="preserve">(</w:t>
      </w:r>
      <w:r>
        <w:rPr>
          <w:i/>
          <w:iCs/>
        </w:rPr>
        <w:t xml:space="preserve">Simple Storage Service</w:t>
      </w:r>
      <w:r>
        <w:t xml:space="preserve">) est un stockage</w:t>
      </w:r>
      <w:r>
        <w:t xml:space="preserve"> </w:t>
      </w:r>
      <w:r>
        <w:rPr>
          <w:b/>
          <w:bCs/>
        </w:rPr>
        <w:t xml:space="preserve">d’objets</w:t>
      </w:r>
      <w:r>
        <w:t xml:space="preserve">, différent du stockage de fichiers (NAS, chapitre 28) ou de blocs (SAN, chapitre 29) déjà rencontrés. Le stockage d’objets ne s’organise pas en dossiers hiérarchiques traditionnels mais en une structure plate de</w:t>
      </w:r>
      <w:r>
        <w:t xml:space="preserve"> </w:t>
      </w:r>
      <w:r>
        <w:t xml:space="preserve">“buckets”</w:t>
      </w:r>
      <w:r>
        <w:t xml:space="preserve"> </w:t>
      </w:r>
      <w:r>
        <w:t xml:space="preserve">contenant des objets identifiés par une clé unique — un modèle particulièrement adapté au stockage de documents, images ou sauvegardes (rappel direct du chapitre 30), moins adapté à un système de fichiers partagé nécessitant un accès concurrent en écriture comme un NAS traditionnel.</w:t>
      </w:r>
    </w:p>
    <w:p>
      <w:pPr>
        <w:pStyle w:val="BodyText"/>
      </w:pPr>
      <w:r>
        <w:t xml:space="preserve">⚠️ L’erreur de sécurité la plus documentée et la plus coûteuse d’AWS</w:t>
      </w:r>
      <w:r>
        <w:t xml:space="preserve"> </w:t>
      </w:r>
      <w:r>
        <w:t xml:space="preserve">Un</w:t>
      </w:r>
      <w:r>
        <w:t xml:space="preserve"> </w:t>
      </w:r>
      <w:r>
        <w:rPr>
          <w:b/>
          <w:bCs/>
        </w:rPr>
        <w:t xml:space="preserve">bucket S3 configuré par erreur en accès public</w:t>
      </w:r>
      <w:r>
        <w:t xml:space="preserve"> </w:t>
      </w:r>
      <w:r>
        <w:t xml:space="preserve">est l’une des causes les plus fréquentes de fuites de données massives documentées dans l’industrie du cloud — des données sensibles, censées rester privées, devenant accessibles à quiconque connaît ou devine l’adresse du bucket. Cette erreur illustre exactement le piège du modèle de responsabilité partagée déjà dénoncé au chapitre 45 : AWS sécurise l’infrastructure physique du service S3, mais</w:t>
      </w:r>
      <w:r>
        <w:t xml:space="preserve"> </w:t>
      </w:r>
      <w:r>
        <w:rPr>
          <w:b/>
          <w:bCs/>
        </w:rPr>
        <w:t xml:space="preserve">jamais</w:t>
      </w:r>
      <w:r>
        <w:t xml:space="preserve"> </w:t>
      </w:r>
      <w:r>
        <w:t xml:space="preserve">la configuration d’accès du bucket lui-même, qui reste entièrement de la responsabilité du client.</w:t>
      </w:r>
    </w:p>
    <w:bookmarkEnd w:id="1136"/>
    <w:bookmarkStart w:id="1137" w:name="Xa83affbdd6951516891481e8d5f3fa86e1d410a"/>
    <w:p>
      <w:pPr>
        <w:pStyle w:val="Heading2"/>
      </w:pPr>
      <w:r>
        <w:t xml:space="preserve">46.6 IAM : identité et permissions, rappel direct du moindre privilège</w:t>
      </w:r>
    </w:p>
    <w:p>
      <w:pPr>
        <w:pStyle w:val="FirstParagraph"/>
      </w:pPr>
      <w:r>
        <w:t xml:space="preserve">🔒 Sécurité — ne jamais utiliser le compte root AWS au quotidien</w:t>
      </w:r>
      <w:r>
        <w:t xml:space="preserve"> </w:t>
      </w:r>
      <w:r>
        <w:rPr>
          <w:b/>
          <w:bCs/>
        </w:rPr>
        <w:t xml:space="preserve">IAM</w:t>
      </w:r>
      <w:r>
        <w:t xml:space="preserve"> </w:t>
      </w:r>
      <w:r>
        <w:t xml:space="preserve">(</w:t>
      </w:r>
      <w:r>
        <w:rPr>
          <w:i/>
          <w:iCs/>
        </w:rPr>
        <w:t xml:space="preserve">Identity and Access Management</w:t>
      </w:r>
      <w:r>
        <w:t xml:space="preserve">) gère les identités et les permissions au sein d’un compte AWS. Rappel direct du chapitre 18 (sudo granulaire plutôt que</w:t>
      </w:r>
      <w:r>
        <w:t xml:space="preserve"> </w:t>
      </w:r>
      <w:r>
        <w:t xml:space="preserve">ALL=(ALL) NOPASSWD: ALL</w:t>
      </w:r>
      <w:r>
        <w:t xml:space="preserve">) et du chapitre 44 (RBAC Kubernetes plutôt que</w:t>
      </w:r>
      <w:r>
        <w:t xml:space="preserve"> </w:t>
      </w:r>
      <w:r>
        <w:t xml:space="preserve">cluster-admin</w:t>
      </w:r>
      <w:r>
        <w:t xml:space="preserve"> </w:t>
      </w:r>
      <w:r>
        <w:t xml:space="preserve">par défaut) : le compte</w:t>
      </w:r>
      <w:r>
        <w:t xml:space="preserve"> </w:t>
      </w:r>
      <w:r>
        <w:t xml:space="preserve">“root”</w:t>
      </w:r>
      <w:r>
        <w:t xml:space="preserve"> </w:t>
      </w:r>
      <w:r>
        <w:t xml:space="preserve">d’un compte AWS dispose d’un accès total et ne devrait</w:t>
      </w:r>
      <w:r>
        <w:t xml:space="preserve"> </w:t>
      </w:r>
      <w:r>
        <w:rPr>
          <w:b/>
          <w:bCs/>
        </w:rPr>
        <w:t xml:space="preserve">jamais</w:t>
      </w:r>
      <w:r>
        <w:t xml:space="preserve"> </w:t>
      </w:r>
      <w:r>
        <w:t xml:space="preserve">être utilisé pour les opérations quotidiennes. Des utilisateurs IAM nominatifs, avec des permissions strictement limitées à leur besoin réel, doivent être créés dès la mise en place du compte — exactement le même principe du moindre privilège appliqué sans exception depuis le chapitre 1.</w:t>
      </w:r>
    </w:p>
    <w:p>
      <w:pPr>
        <w:pStyle w:val="SourceCode"/>
      </w:pPr>
      <w:r>
        <w:rPr>
          <w:rStyle w:val="VerbatimChar"/>
        </w:rPr>
        <w:t xml:space="preserve"># Exemple simplifie d'une politique IAM restreinte : lecture seule</w:t>
      </w:r>
      <w:r>
        <w:br/>
      </w:r>
      <w:r>
        <w:rPr>
          <w:rStyle w:val="VerbatimChar"/>
        </w:rPr>
        <w:t xml:space="preserve"># sur un bucket S3 precis, rien de plus</w:t>
      </w:r>
      <w:r>
        <w:br/>
      </w:r>
      <w:r>
        <w:rPr>
          <w:rStyle w:val="VerbatimChar"/>
        </w:rPr>
        <w:t xml:space="preserve">{</w:t>
      </w:r>
      <w:r>
        <w:br/>
      </w:r>
      <w:r>
        <w:rPr>
          <w:rStyle w:val="VerbatimChar"/>
        </w:rPr>
        <w:t xml:space="preserve">  "Version": "2012-10-17",</w:t>
      </w:r>
      <w:r>
        <w:br/>
      </w:r>
      <w:r>
        <w:rPr>
          <w:rStyle w:val="VerbatimChar"/>
        </w:rPr>
        <w:t xml:space="preserve">  "Statement": [</w:t>
      </w:r>
      <w:r>
        <w:br/>
      </w:r>
      <w:r>
        <w:rPr>
          <w:rStyle w:val="VerbatimChar"/>
        </w:rPr>
        <w:t xml:space="preserve">    {</w:t>
      </w:r>
      <w:r>
        <w:br/>
      </w:r>
      <w:r>
        <w:rPr>
          <w:rStyle w:val="VerbatimChar"/>
        </w:rPr>
        <w:t xml:space="preserve">      "Effect": "Allow",</w:t>
      </w:r>
      <w:r>
        <w:br/>
      </w:r>
      <w:r>
        <w:rPr>
          <w:rStyle w:val="VerbatimChar"/>
        </w:rPr>
        <w:t xml:space="preserve">      "Action": ["s3:GetObject"],</w:t>
      </w:r>
      <w:r>
        <w:br/>
      </w:r>
      <w:r>
        <w:rPr>
          <w:rStyle w:val="VerbatimChar"/>
        </w:rPr>
        <w:t xml:space="preserve">      "Resource": "arn:aws:s3:::portail-documents/*"</w:t>
      </w:r>
      <w:r>
        <w:br/>
      </w:r>
      <w:r>
        <w:rPr>
          <w:rStyle w:val="VerbatimChar"/>
        </w:rPr>
        <w:t xml:space="preserve">    }</w:t>
      </w:r>
      <w:r>
        <w:br/>
      </w:r>
      <w:r>
        <w:rPr>
          <w:rStyle w:val="VerbatimChar"/>
        </w:rPr>
        <w:t xml:space="preserve">  ]</w:t>
      </w:r>
      <w:r>
        <w:br/>
      </w:r>
      <w:r>
        <w:rPr>
          <w:rStyle w:val="VerbatimChar"/>
        </w:rPr>
        <w:t xml:space="preserve">}</w:t>
      </w:r>
    </w:p>
    <w:bookmarkEnd w:id="1137"/>
    <w:bookmarkStart w:id="1138" w:name="X72bc0f10e58845ae490d4a801287ec9cc38a220"/>
    <w:p>
      <w:pPr>
        <w:pStyle w:val="Heading2"/>
      </w:pPr>
      <w:r>
        <w:t xml:space="preserve">46.7 RDS : base de données managée, un exemple concret de PaaS</w:t>
      </w:r>
    </w:p>
    <w:p>
      <w:pPr>
        <w:pStyle w:val="FirstParagraph"/>
      </w:pPr>
      <w:r>
        <w:t xml:space="preserve">💡 L’exemple PaaS du chapitre 45, rendu concret</w:t>
      </w:r>
      <w:r>
        <w:t xml:space="preserve"> </w:t>
      </w:r>
      <w:r>
        <w:rPr>
          <w:b/>
          <w:bCs/>
        </w:rPr>
        <w:t xml:space="preserve">RDS</w:t>
      </w:r>
      <w:r>
        <w:t xml:space="preserve"> </w:t>
      </w:r>
      <w:r>
        <w:t xml:space="preserve">(</w:t>
      </w:r>
      <w:r>
        <w:rPr>
          <w:i/>
          <w:iCs/>
        </w:rPr>
        <w:t xml:space="preserve">Relational Database Service</w:t>
      </w:r>
      <w:r>
        <w:t xml:space="preserve">) gère une base de données relationnelle (PostgreSQL, rappel du chapitre 15) sans que l’entreprise n’ait à administrer elle-même le système d’exploitation ou les correctifs du moteur de base de données — exactement l’exemple PaaS du tableau de la section 45.2, rendu concret. RDS gère aussi automatiquement les sauvegardes et la réplication entre zones de disponibilité, un service qui rejoint directement le principe de sauvegarde testée déjà établi au chapitre 30, bien qu’une vérification indépendante reste toujours recommandée.</w:t>
      </w:r>
    </w:p>
    <w:bookmarkEnd w:id="1138"/>
    <w:bookmarkStart w:id="1139" w:name="X96ca3a803d35445c7ad7558ec31c81e81e02339"/>
    <w:p>
      <w:pPr>
        <w:pStyle w:val="Heading2"/>
      </w:pPr>
      <w:r>
        <w:t xml:space="preserve">46.8 Un aperçu de la question du coût, développée au chapitre 50</w:t>
      </w:r>
    </w:p>
    <w:p>
      <w:pPr>
        <w:pStyle w:val="FirstParagraph"/>
      </w:pPr>
      <w:r>
        <w:t xml:space="preserve">🚀 Performance — une élasticité qui a un prix direct</w:t>
      </w:r>
      <w:r>
        <w:t xml:space="preserve"> </w:t>
      </w:r>
      <w:r>
        <w:t xml:space="preserve">Contrairement à un serveur physique déjà amorti (Partie 6), chaque ressource AWS a un coût continu, facturé selon l’usage réel — l’élasticité déjà présentée pour Kubernetes (chapitres 42-44) a ici un prix directement mesurable en temps réel, un sujet approfondi au chapitre 50 (FinOps), essentiel avant tout engagement financier significatif.</w:t>
      </w:r>
    </w:p>
    <w:bookmarkEnd w:id="1139"/>
    <w:bookmarkStart w:id="1140" w:name="Xfb430d1fc537ee7591220a5fa9867c306944ab3"/>
    <w:p>
      <w:pPr>
        <w:pStyle w:val="Heading2"/>
      </w:pPr>
      <w:r>
        <w:t xml:space="preserve">Atelier — Esquisser l’architecture AWS du portail</w:t>
      </w:r>
    </w:p>
    <w:p>
      <w:pPr>
        <w:pStyle w:val="FirstParagraph"/>
      </w:pPr>
      <w:r>
        <w:t xml:space="preserve">🛠️ Atelier 46 — Répondre à la demande du DSI</w:t>
      </w:r>
    </w:p>
    <w:p>
      <w:pPr>
        <w:pStyle w:val="BodyText"/>
      </w:pPr>
      <w:r>
        <w:rPr>
          <w:b/>
          <w:bCs/>
        </w:rPr>
        <w:t xml:space="preserve">Objectif</w:t>
      </w:r>
      <w:r>
        <w:t xml:space="preserve"> </w:t>
      </w:r>
      <w:r>
        <w:t xml:space="preserve">: assembler les services de ce chapitre en une architecture cohérente pour le portail client.</w:t>
      </w:r>
    </w:p>
    <w:p>
      <w:pPr>
        <w:pStyle w:val="BodyText"/>
      </w:pPr>
      <w:r>
        <w:rPr>
          <w:b/>
          <w:bCs/>
        </w:rPr>
        <w:t xml:space="preserve">Préparation</w:t>
      </w:r>
      <w:r>
        <w:t xml:space="preserve"> </w:t>
      </w:r>
      <w:r>
        <w:t xml:space="preserve">: aucune installation nécessaire — cet atelier est un exercice de conception.</w:t>
      </w:r>
    </w:p>
    <w:p>
      <w:pPr>
        <w:pStyle w:val="BodyText"/>
      </w:pPr>
      <w:r>
        <w:rPr>
          <w:b/>
          <w:bCs/>
        </w:rPr>
        <w:t xml:space="preserve">Étapes détaillées</w:t>
      </w:r>
      <w:r>
        <w:t xml:space="preserve"> </w:t>
      </w:r>
      <w:r>
        <w:t xml:space="preserve">:</w:t>
      </w:r>
    </w:p>
    <w:p>
      <w:pPr>
        <w:pStyle w:val="Compact"/>
        <w:numPr>
          <w:ilvl w:val="0"/>
          <w:numId w:val="2058"/>
        </w:numPr>
      </w:pPr>
      <w:r>
        <w:t xml:space="preserve">Dessine ou décris une architecture combinant VPC, EC2, RDS et S3 pour le portail, en respectant le principe de segmentation de la section 46.4.</w:t>
      </w:r>
    </w:p>
    <w:p>
      <w:pPr>
        <w:pStyle w:val="Compact"/>
        <w:numPr>
          <w:ilvl w:val="0"/>
          <w:numId w:val="2058"/>
        </w:numPr>
      </w:pPr>
      <w:r>
        <w:t xml:space="preserve">Précise quelle ressource se trouve dans le sous-réseau public, laquelle dans le sous-réseau privé.</w:t>
      </w:r>
    </w:p>
    <w:p>
      <w:pPr>
        <w:pStyle w:val="Compact"/>
        <w:numPr>
          <w:ilvl w:val="0"/>
          <w:numId w:val="2058"/>
        </w:numPr>
      </w:pPr>
      <w:r>
        <w:t xml:space="preserve">Propose une politique IAM minimale pour un développeur ayant besoin de déployer l’application, sans accès administrateur complet.</w:t>
      </w:r>
    </w:p>
    <w:p>
      <w:pPr>
        <w:pStyle w:val="Compact"/>
        <w:numPr>
          <w:ilvl w:val="0"/>
          <w:numId w:val="2058"/>
        </w:numPr>
      </w:pPr>
      <w:r>
        <w:t xml:space="preserve">Compare ta démarche à la section</w:t>
      </w:r>
      <w:r>
        <w:t xml:space="preserve"> </w:t>
      </w:r>
      <w:r>
        <w:t xml:space="preserve">“Résultat attendu”</w:t>
      </w:r>
      <w:r>
        <w:t xml:space="preserve">.</w:t>
      </w:r>
    </w:p>
    <w:p>
      <w:pPr>
        <w:pStyle w:val="FirstParagraph"/>
      </w:pPr>
      <w:r>
        <w:rPr>
          <w:b/>
          <w:bCs/>
        </w:rPr>
        <w:t xml:space="preserve">Résultat attendu</w:t>
      </w:r>
      <w:r>
        <w:t xml:space="preserve"> </w:t>
      </w:r>
      <w:r>
        <w:t xml:space="preserve">: l’instance EC2 hébergeant l’application se trouve dans le sous-réseau public (accessible via HTTPS, rappel du chapitre 24), tandis que RDS reste dans le sous-réseau privé, accessible uniquement depuis EC2 (section 46.4). S3 stocke les documents téléversés par les clients, avec un accès strictement contrôlé (jamais public, section 46.5). La politique IAM du développeur se limite aux actions nécessaires au déploiement (par exemple, mise à jour de l’instance EC2 et lecture/écriture sur le bucket S3 concerné), jamais un accès administrateur complet au compte AWS — exactement le principe déjà illustré par l’exemple de politique de la section 46.6.</w:t>
      </w:r>
    </w:p>
    <w:p>
      <w:pPr>
        <w:pStyle w:val="BodyText"/>
      </w:pPr>
      <w:r>
        <w:rPr>
          <w:b/>
          <w:bCs/>
        </w:rPr>
        <w:t xml:space="preserve">Dépannage</w:t>
      </w:r>
      <w:r>
        <w:t xml:space="preserve"> </w:t>
      </w:r>
      <w:r>
        <w:t xml:space="preserve">: si tu hésites sur le placement d’une ressource, reviens à la question centrale déjà posée au chapitre 4 pour le bastion — cette ressource a-t-elle réellement besoin d’être exposée directement à Internet, ou seulement accessible depuis une autre ressource déjà exposée ?</w:t>
      </w:r>
    </w:p>
    <w:bookmarkEnd w:id="1140"/>
    <w:bookmarkStart w:id="1141" w:name="erreurs-fréquentes-45"/>
    <w:p>
      <w:pPr>
        <w:pStyle w:val="Heading2"/>
      </w:pPr>
      <w:r>
        <w:t xml:space="preserve">Erreurs fréquentes</w:t>
      </w:r>
    </w:p>
    <w:p>
      <w:pPr>
        <w:pStyle w:val="FirstParagraph"/>
      </w:pPr>
      <w:r>
        <w:t xml:space="preserve">⚠️ Erreur n°1 — utiliser le compte root AWS pour les opérations quotidiennes</w:t>
      </w:r>
      <w:r>
        <w:t xml:space="preserve"> </w:t>
      </w:r>
      <w:r>
        <w:t xml:space="preserve">Rappel de la section 46.6 : exactement l’équivalent AWS de</w:t>
      </w:r>
      <w:r>
        <w:t xml:space="preserve"> </w:t>
      </w:r>
      <w:r>
        <w:rPr>
          <w:rStyle w:val="VerbatimChar"/>
        </w:rPr>
        <w:t xml:space="preserve">ALL=(ALL) NOPASSWD: ALL</w:t>
      </w:r>
      <w:r>
        <w:t xml:space="preserve"> </w:t>
      </w:r>
      <w:r>
        <w:t xml:space="preserve">déjà dénoncé au chapitre 18, ou de</w:t>
      </w:r>
      <w:r>
        <w:t xml:space="preserve"> </w:t>
      </w:r>
      <w:r>
        <w:rPr>
          <w:rStyle w:val="VerbatimChar"/>
        </w:rPr>
        <w:t xml:space="preserve">cluster-admin</w:t>
      </w:r>
      <w:r>
        <w:t xml:space="preserve"> </w:t>
      </w:r>
      <w:r>
        <w:t xml:space="preserve">par défaut déjà dénoncé au chapitre 44.</w:t>
      </w:r>
    </w:p>
    <w:p>
      <w:pPr>
        <w:pStyle w:val="BodyText"/>
      </w:pPr>
      <w:r>
        <w:t xml:space="preserve">⚠️ Erreur n°2 — configurer un bucket S3 en accès public par erreur</w:t>
      </w:r>
      <w:r>
        <w:t xml:space="preserve"> </w:t>
      </w:r>
      <w:r>
        <w:t xml:space="preserve">Rappel de la section 46.5 : l’une des causes les plus documentées de fuites de données massives dans l’industrie du cloud — une vérification systématique de la configuration d’accès de chaque bucket est indispensable.</w:t>
      </w:r>
    </w:p>
    <w:p>
      <w:pPr>
        <w:pStyle w:val="BodyText"/>
      </w:pPr>
      <w:r>
        <w:t xml:space="preserve">⚠️ Erreur n°3 — placer une base de données dans un sous-réseau public par simplicité</w:t>
      </w:r>
      <w:r>
        <w:t xml:space="preserve"> </w:t>
      </w:r>
      <w:r>
        <w:t xml:space="preserve">Rappel de la section 46.4 : exactement le même risque déjà dénoncé pour un serveur RDP exposé directement sur Internet au chapitre 4 — aucune ressource sensible ne devrait être directement accessible sans passer par une couche intermédiaire contrôlée.</w:t>
      </w:r>
    </w:p>
    <w:bookmarkEnd w:id="1141"/>
    <w:bookmarkStart w:id="1142" w:name="X28f7869bc59d64e6afd8e9ee5c3da1fd8df304a"/>
    <w:p>
      <w:pPr>
        <w:pStyle w:val="Heading2"/>
      </w:pPr>
      <w:r>
        <w:t xml:space="preserve">Diagnostiquer un bucket S3 exposé publiquement</w:t>
      </w:r>
    </w:p>
    <w:p>
      <w:pPr>
        <w:pStyle w:val="FirstParagraph"/>
      </w:pPr>
      <w:r>
        <w:t xml:space="preserve">🩺 Situation :</w:t>
      </w:r>
      <w:r>
        <w:t xml:space="preserve"> </w:t>
      </w:r>
      <w:r>
        <w:t xml:space="preserve">“Comment vérifier qu’aucun bucket S3 n’est accidentellement exposé publiquement ?”</w:t>
      </w:r>
    </w:p>
    <w:p>
      <w:pPr>
        <w:pStyle w:val="Compact"/>
        <w:numPr>
          <w:ilvl w:val="0"/>
          <w:numId w:val="2059"/>
        </w:numPr>
      </w:pPr>
      <w:r>
        <w:rPr>
          <w:b/>
          <w:bCs/>
        </w:rPr>
        <w:t xml:space="preserve">Diagnostic</w:t>
      </w:r>
      <w:r>
        <w:t xml:space="preserve"> </w:t>
      </w:r>
      <w:r>
        <w:t xml:space="preserve">: AWS propose un outil natif,</w:t>
      </w:r>
      <w:r>
        <w:t xml:space="preserve"> </w:t>
      </w:r>
      <w:r>
        <w:rPr>
          <w:b/>
          <w:bCs/>
        </w:rPr>
        <w:t xml:space="preserve">S3 Block Public Access</w:t>
      </w:r>
      <w:r>
        <w:t xml:space="preserve">, qui peut être activé au niveau du compte entier pour empêcher structurellement toute exposition publique accidentelle, même en cas d’erreur de configuration individuelle sur un bucket précis.</w:t>
      </w:r>
    </w:p>
    <w:p>
      <w:pPr>
        <w:pStyle w:val="Compact"/>
        <w:numPr>
          <w:ilvl w:val="0"/>
          <w:numId w:val="2059"/>
        </w:numPr>
      </w:pPr>
      <w:r>
        <w:rPr>
          <w:b/>
          <w:bCs/>
        </w:rPr>
        <w:t xml:space="preserve">Comment vérifier</w:t>
      </w:r>
      <w:r>
        <w:t xml:space="preserve"> </w:t>
      </w:r>
      <w:r>
        <w:t xml:space="preserve">: la console AWS ou la commande</w:t>
      </w:r>
      <w:r>
        <w:t xml:space="preserve"> </w:t>
      </w:r>
      <w:r>
        <w:rPr>
          <w:rStyle w:val="VerbatimChar"/>
        </w:rPr>
        <w:t xml:space="preserve">aws s3api get-public-access-block</w:t>
      </w:r>
      <w:r>
        <w:t xml:space="preserve"> </w:t>
      </w:r>
      <w:r>
        <w:t xml:space="preserve">révèle l’état de cette protection pour chaque bucket ou pour le compte entier.</w:t>
      </w:r>
    </w:p>
    <w:p>
      <w:pPr>
        <w:pStyle w:val="Compact"/>
        <w:numPr>
          <w:ilvl w:val="0"/>
          <w:numId w:val="2059"/>
        </w:numPr>
      </w:pPr>
      <w:r>
        <w:rPr>
          <w:b/>
          <w:bCs/>
        </w:rPr>
        <w:t xml:space="preserve">Résolution</w:t>
      </w:r>
      <w:r>
        <w:t xml:space="preserve"> </w:t>
      </w:r>
      <w:r>
        <w:t xml:space="preserve">: activer cette protection par défaut sur l’ensemble du compte, puis ne la désactiver que consciemment et de façon documentée (chapitre 3) pour les rares buckets nécessitant réellement un accès public (comme des ressources statiques d’un site web, par exemple) — jamais par défaut ou par facilité.</w:t>
      </w:r>
    </w:p>
    <w:bookmarkEnd w:id="1142"/>
    <w:bookmarkStart w:id="1143" w:name="en-entreprise-45"/>
    <w:p>
      <w:pPr>
        <w:pStyle w:val="Heading2"/>
      </w:pPr>
      <w:r>
        <w:t xml:space="preserve">En entreprise</w:t>
      </w:r>
    </w:p>
    <w:p>
      <w:pPr>
        <w:pStyle w:val="Compact"/>
        <w:numPr>
          <w:ilvl w:val="0"/>
          <w:numId w:val="2060"/>
        </w:numPr>
      </w:pPr>
      <w:r>
        <w:rPr>
          <w:b/>
          <w:bCs/>
        </w:rPr>
        <w:t xml:space="preserve">Bonne pratique répandue</w:t>
      </w:r>
      <w:r>
        <w:t xml:space="preserve"> </w:t>
      </w:r>
      <w:r>
        <w:t xml:space="preserve">: activer systématiquement S3 Block Public Access au niveau du compte entier, plutôt que de compter sur une vigilance manuelle bucket par bucket.</w:t>
      </w:r>
    </w:p>
    <w:p>
      <w:pPr>
        <w:pStyle w:val="Compact"/>
        <w:numPr>
          <w:ilvl w:val="0"/>
          <w:numId w:val="2060"/>
        </w:numPr>
      </w:pPr>
      <w:r>
        <w:rPr>
          <w:b/>
          <w:bCs/>
        </w:rPr>
        <w:t xml:space="preserve">Bonne pratique répandue</w:t>
      </w:r>
      <w:r>
        <w:t xml:space="preserve"> </w:t>
      </w:r>
      <w:r>
        <w:t xml:space="preserve">: créer des rôles IAM dédiés à chaque service ou application (plutôt que des identifiants personnels partagés), suivant le même principe déjà établi pour les comptes de service au chapitre 16.</w:t>
      </w:r>
    </w:p>
    <w:p>
      <w:pPr>
        <w:pStyle w:val="Compact"/>
        <w:numPr>
          <w:ilvl w:val="0"/>
          <w:numId w:val="2060"/>
        </w:numPr>
      </w:pPr>
      <w:r>
        <w:rPr>
          <w:b/>
          <w:bCs/>
        </w:rPr>
        <w:t xml:space="preserve">Erreur classique observée</w:t>
      </w:r>
      <w:r>
        <w:t xml:space="preserve"> </w:t>
      </w:r>
      <w:r>
        <w:t xml:space="preserve">: une entreprise qui découvre, lors d’un audit de sécurité externe, qu’un bucket S3 contenant des données clients est resté accessible publiquement pendant des mois, sans qu’aucune alerte n’ait jamais été configurée pour détecter ce type d’exposition.</w:t>
      </w:r>
    </w:p>
    <w:bookmarkEnd w:id="1143"/>
    <w:bookmarkStart w:id="1144" w:name="entretien-technique-45"/>
    <w:p>
      <w:pPr>
        <w:pStyle w:val="Heading2"/>
      </w:pPr>
      <w:r>
        <w:t xml:space="preserve">Entretien technique</w:t>
      </w:r>
    </w:p>
    <w:p>
      <w:pPr>
        <w:pStyle w:val="FirstParagraph"/>
      </w:pPr>
      <w:r>
        <w:t xml:space="preserve">💼 Questions fréquemment posées en entretien</w:t>
      </w:r>
    </w:p>
    <w:p>
      <w:pPr>
        <w:pStyle w:val="BodyText"/>
      </w:pPr>
      <w:r>
        <w:rPr>
          <w:b/>
          <w:bCs/>
        </w:rPr>
        <w:t xml:space="preserve">Q1.</w:t>
      </w:r>
      <w:r>
        <w:rPr>
          <w:b/>
          <w:bCs/>
        </w:rPr>
        <w:t xml:space="preserve"> </w:t>
      </w:r>
      <w:r>
        <w:rPr>
          <w:b/>
          <w:bCs/>
        </w:rPr>
        <w:t xml:space="preserve">“Quelle est la différence entre une région et une zone de disponibilité AWS ?”</w:t>
      </w:r>
      <w:r>
        <w:t xml:space="preserve"> </w:t>
      </w:r>
      <w:r>
        <w:t xml:space="preserve">Réponse attendue : une région est un emplacement géographique distinct ; une zone de disponibilité est un centre de données physiquement séparé au sein de cette même région, avec sa propre alimentation et connectivité — répartir une charge sur plusieurs AZ protège contre une panne localisée sans changer de région entière.</w:t>
      </w:r>
    </w:p>
    <w:p>
      <w:pPr>
        <w:pStyle w:val="BodyText"/>
      </w:pPr>
      <w:r>
        <w:rPr>
          <w:b/>
          <w:bCs/>
        </w:rPr>
        <w:t xml:space="preserve">Q2.</w:t>
      </w:r>
      <w:r>
        <w:rPr>
          <w:b/>
          <w:bCs/>
        </w:rPr>
        <w:t xml:space="preserve"> </w:t>
      </w:r>
      <w:r>
        <w:rPr>
          <w:b/>
          <w:bCs/>
        </w:rPr>
        <w:t xml:space="preserve">“Pourquoi le compte root AWS ne devrait-il jamais être utilisé au quotidien ?”</w:t>
      </w:r>
      <w:r>
        <w:t xml:space="preserve"> </w:t>
      </w:r>
      <w:r>
        <w:t xml:space="preserve">Réponse attendue : il dispose d’un accès total et irrévocable au compte, sans possibilité de restriction — exactement le même risque déjà dénoncé pour un accès sudo total non granulaire (chapitre 18) ou un accès cluster-admin Kubernetes par défaut (chapitre 44) ; des utilisateurs IAM nominatifs à privilèges limités doivent être utilisés à la place.</w:t>
      </w:r>
    </w:p>
    <w:p>
      <w:pPr>
        <w:pStyle w:val="BodyText"/>
      </w:pPr>
      <w:r>
        <w:rPr>
          <w:b/>
          <w:bCs/>
        </w:rPr>
        <w:t xml:space="preserve">Q3.</w:t>
      </w:r>
      <w:r>
        <w:rPr>
          <w:b/>
          <w:bCs/>
        </w:rPr>
        <w:t xml:space="preserve"> </w:t>
      </w:r>
      <w:r>
        <w:rPr>
          <w:b/>
          <w:bCs/>
        </w:rPr>
        <w:t xml:space="preserve">“Pourquoi un bucket S3 exposé publiquement par erreur est-il un incident si fréquent dans l’industrie ?”</w:t>
      </w:r>
      <w:r>
        <w:t xml:space="preserve"> </w:t>
      </w:r>
      <w:r>
        <w:t xml:space="preserve">Réponse attendue : la configuration d’accès d’un bucket reste entièrement de la responsabilité du client selon le modèle de responsabilité partagée (chapitre 45) — une erreur de configuration, souvent lors d’une création rapide sans revue de sécurité, expose directement des données potentiellement sensibles à Internet, un piège suffisamment fréquent pour qu’AWS ait développé un outil natif (S3 Block Public Access) spécifiquement pour le prévenir structurellement.</w:t>
      </w:r>
    </w:p>
    <w:bookmarkEnd w:id="1144"/>
    <w:bookmarkStart w:id="1145" w:name="X2ac820be686d57970785146b0881dcd592a99bd"/>
    <w:p>
      <w:pPr>
        <w:pStyle w:val="Heading2"/>
      </w:pPr>
      <w:r>
        <w:t xml:space="preserve">Optimisation, sécurité et maintenabilité — les réflexes dès ce chapitre</w:t>
      </w:r>
    </w:p>
    <w:p>
      <w:pPr>
        <w:pStyle w:val="FirstParagraph"/>
      </w:pPr>
      <w:r>
        <w:t xml:space="preserve">🔒 Sécurité</w:t>
      </w:r>
      <w:r>
        <w:t xml:space="preserve"> </w:t>
      </w:r>
      <w:r>
        <w:t xml:space="preserve">Active S3 Block Public Access par défaut sur l’ensemble du compte, et n’utilise jamais le compte root AWS pour les opérations courantes — les deux réflexes de sécurité les plus importants de ce chapitre, directement transposés de principes déjà établis aux chapitres 18 et 44.</w:t>
      </w:r>
    </w:p>
    <w:p>
      <w:pPr>
        <w:pStyle w:val="BodyText"/>
      </w:pPr>
      <w:r>
        <w:t xml:space="preserve">✅ Maintenabilité</w:t>
      </w:r>
      <w:r>
        <w:t xml:space="preserve"> </w:t>
      </w:r>
      <w:r>
        <w:t xml:space="preserve">Documente (chapitre 3) l’architecture VPC complète, les rôles IAM créés et leur justification — une information indispensable pour tout audit futur ou toute personne reprenant la gestion du compte AWS après toi.</w:t>
      </w:r>
    </w:p>
    <w:p>
      <w:pPr>
        <w:pStyle w:val="BodyText"/>
      </w:pPr>
      <w:r>
        <w:t xml:space="preserve">🚀 Performance</w:t>
      </w:r>
      <w:r>
        <w:t xml:space="preserve"> </w:t>
      </w:r>
      <w:r>
        <w:t xml:space="preserve">Choisis une région géographiquement pertinente selon la latence réelle observée depuis Haïti, pas uniquement selon le coût affiché — un compromis entre performance perçue par les utilisateurs et coût, à évaluer concrètement plutôt que supposé.</w:t>
      </w:r>
    </w:p>
    <w:bookmarkEnd w:id="1145"/>
    <w:bookmarkStart w:id="1146" w:name="résumé-du-chapitre-45"/>
    <w:p>
      <w:pPr>
        <w:pStyle w:val="Heading2"/>
      </w:pPr>
      <w:r>
        <w:t xml:space="preserve">Résumé du chapitre</w:t>
      </w:r>
    </w:p>
    <w:p>
      <w:pPr>
        <w:pStyle w:val="Compact"/>
        <w:numPr>
          <w:ilvl w:val="0"/>
          <w:numId w:val="2061"/>
        </w:numPr>
      </w:pPr>
      <w:r>
        <w:t xml:space="preserve">AWS est un point de départ pragmatique pour découvrir le cloud, sans supériorité technique absolue sur ses concurrents (chapitres 47-48).</w:t>
      </w:r>
    </w:p>
    <w:p>
      <w:pPr>
        <w:pStyle w:val="Compact"/>
        <w:numPr>
          <w:ilvl w:val="0"/>
          <w:numId w:val="2061"/>
        </w:numPr>
      </w:pPr>
      <w:r>
        <w:t xml:space="preserve">Les régions et zones de disponibilité offrent une réponse concrète au risque géographique déjà discuté au chapitre 45, en s’appuyant sur les mêmes principes que le site de repli du chapitre 31.</w:t>
      </w:r>
    </w:p>
    <w:p>
      <w:pPr>
        <w:pStyle w:val="Compact"/>
        <w:numPr>
          <w:ilvl w:val="0"/>
          <w:numId w:val="2061"/>
        </w:numPr>
      </w:pPr>
      <w:r>
        <w:t xml:space="preserve">EC2 (calcul), VPC (réseau segmenté), S3 (stockage d’objets), IAM (identité) et RDS (base de données managée) transposent au cloud des concepts déjà maîtrisés dans ce manuel.</w:t>
      </w:r>
    </w:p>
    <w:p>
      <w:pPr>
        <w:pStyle w:val="Compact"/>
        <w:numPr>
          <w:ilvl w:val="0"/>
          <w:numId w:val="2061"/>
        </w:numPr>
      </w:pPr>
      <w:r>
        <w:t xml:space="preserve">Un bucket S3 exposé publiquement par erreur est l’une des failles de sécurité cloud les plus documentées et les plus coûteuses de l’industrie.</w:t>
      </w:r>
    </w:p>
    <w:p>
      <w:pPr>
        <w:pStyle w:val="Compact"/>
        <w:numPr>
          <w:ilvl w:val="0"/>
          <w:numId w:val="2061"/>
        </w:numPr>
      </w:pPr>
      <w:r>
        <w:t xml:space="preserve">Le compte root AWS ne devrait jamais être utilisé au quotidien — des utilisateurs IAM nominatifs à privilèges limités appliquent le même principe du moindre privilège déjà établi depuis le chapitre 1.</w:t>
      </w:r>
    </w:p>
    <w:bookmarkEnd w:id="1146"/>
    <w:bookmarkStart w:id="1147" w:name="quiz-45"/>
    <w:p>
      <w:pPr>
        <w:pStyle w:val="Heading2"/>
      </w:pPr>
      <w:r>
        <w:t xml:space="preserve">Quiz</w:t>
      </w:r>
    </w:p>
    <w:p>
      <w:pPr>
        <w:pStyle w:val="FirstParagraph"/>
      </w:pPr>
      <w:r>
        <w:t xml:space="preserve">📝 QCM (une seule bonne réponse par question)</w:t>
      </w:r>
    </w:p>
    <w:p>
      <w:pPr>
        <w:pStyle w:val="Compact"/>
        <w:numPr>
          <w:ilvl w:val="0"/>
          <w:numId w:val="2062"/>
        </w:numPr>
      </w:pPr>
      <w:r>
        <w:t xml:space="preserve">EC2 est l’équivalent AWS de :</w:t>
      </w:r>
    </w:p>
    <w:p>
      <w:pPr>
        <w:pStyle w:val="Compact"/>
        <w:numPr>
          <w:ilvl w:val="1"/>
          <w:numId w:val="2063"/>
        </w:numPr>
      </w:pPr>
    </w:p>
    <w:p>
      <w:pPr>
        <w:pStyle w:val="Compact"/>
        <w:numPr>
          <w:ilvl w:val="2"/>
          <w:numId w:val="2064"/>
        </w:numPr>
      </w:pPr>
      <w:r>
        <w:t xml:space="preserve">Un service de stockage d’objets</w:t>
      </w:r>
    </w:p>
    <w:p>
      <w:pPr>
        <w:pStyle w:val="Compact"/>
        <w:numPr>
          <w:ilvl w:val="1"/>
          <w:numId w:val="2063"/>
        </w:numPr>
      </w:pPr>
    </w:p>
    <w:p>
      <w:pPr>
        <w:pStyle w:val="Compact"/>
        <w:numPr>
          <w:ilvl w:val="2"/>
          <w:numId w:val="2065"/>
        </w:numPr>
      </w:pPr>
      <w:r>
        <w:t xml:space="preserve">Une instance de calcul (VM)</w:t>
      </w:r>
    </w:p>
    <w:p>
      <w:pPr>
        <w:pStyle w:val="Compact"/>
        <w:numPr>
          <w:ilvl w:val="1"/>
          <w:numId w:val="2063"/>
        </w:numPr>
      </w:pPr>
    </w:p>
    <w:p>
      <w:pPr>
        <w:pStyle w:val="Compact"/>
        <w:numPr>
          <w:ilvl w:val="2"/>
          <w:numId w:val="2066"/>
        </w:numPr>
      </w:pPr>
      <w:r>
        <w:t xml:space="preserve">Un service de base de données managée</w:t>
      </w:r>
    </w:p>
    <w:p>
      <w:pPr>
        <w:pStyle w:val="Compact"/>
        <w:numPr>
          <w:ilvl w:val="1"/>
          <w:numId w:val="2063"/>
        </w:numPr>
      </w:pPr>
    </w:p>
    <w:p>
      <w:pPr>
        <w:pStyle w:val="Compact"/>
        <w:numPr>
          <w:ilvl w:val="2"/>
          <w:numId w:val="2067"/>
        </w:numPr>
      </w:pPr>
      <w:r>
        <w:t xml:space="preserve">Un annuaire d’identité</w:t>
      </w:r>
    </w:p>
    <w:p>
      <w:pPr>
        <w:pStyle w:val="Compact"/>
        <w:numPr>
          <w:ilvl w:val="0"/>
          <w:numId w:val="2062"/>
        </w:numPr>
      </w:pPr>
      <w:r>
        <w:t xml:space="preserve">S3 est un service de :</w:t>
      </w:r>
    </w:p>
    <w:p>
      <w:pPr>
        <w:pStyle w:val="Compact"/>
        <w:numPr>
          <w:ilvl w:val="1"/>
          <w:numId w:val="2068"/>
        </w:numPr>
      </w:pPr>
    </w:p>
    <w:p>
      <w:pPr>
        <w:pStyle w:val="Compact"/>
        <w:numPr>
          <w:ilvl w:val="2"/>
          <w:numId w:val="2069"/>
        </w:numPr>
      </w:pPr>
      <w:r>
        <w:t xml:space="preserve">Stockage de blocs</w:t>
      </w:r>
    </w:p>
    <w:p>
      <w:pPr>
        <w:pStyle w:val="Compact"/>
        <w:numPr>
          <w:ilvl w:val="1"/>
          <w:numId w:val="2068"/>
        </w:numPr>
      </w:pPr>
    </w:p>
    <w:p>
      <w:pPr>
        <w:pStyle w:val="Compact"/>
        <w:numPr>
          <w:ilvl w:val="2"/>
          <w:numId w:val="2070"/>
        </w:numPr>
      </w:pPr>
      <w:r>
        <w:t xml:space="preserve">Stockage d’objets</w:t>
      </w:r>
    </w:p>
    <w:p>
      <w:pPr>
        <w:pStyle w:val="Compact"/>
        <w:numPr>
          <w:ilvl w:val="1"/>
          <w:numId w:val="2068"/>
        </w:numPr>
      </w:pPr>
    </w:p>
    <w:p>
      <w:pPr>
        <w:pStyle w:val="Compact"/>
        <w:numPr>
          <w:ilvl w:val="2"/>
          <w:numId w:val="2071"/>
        </w:numPr>
      </w:pPr>
      <w:r>
        <w:t xml:space="preserve">Calcul virtuel</w:t>
      </w:r>
    </w:p>
    <w:p>
      <w:pPr>
        <w:pStyle w:val="Compact"/>
        <w:numPr>
          <w:ilvl w:val="1"/>
          <w:numId w:val="2068"/>
        </w:numPr>
      </w:pPr>
    </w:p>
    <w:p>
      <w:pPr>
        <w:pStyle w:val="Compact"/>
        <w:numPr>
          <w:ilvl w:val="2"/>
          <w:numId w:val="2072"/>
        </w:numPr>
      </w:pPr>
      <w:r>
        <w:t xml:space="preserve">Gestion des identités</w:t>
      </w:r>
    </w:p>
    <w:p>
      <w:pPr>
        <w:pStyle w:val="Compact"/>
        <w:numPr>
          <w:ilvl w:val="0"/>
          <w:numId w:val="2062"/>
        </w:numPr>
      </w:pPr>
      <w:r>
        <w:t xml:space="preserve">La bonne pratique concernant le compte root AWS est de :</w:t>
      </w:r>
    </w:p>
    <w:p>
      <w:pPr>
        <w:pStyle w:val="Compact"/>
        <w:numPr>
          <w:ilvl w:val="1"/>
          <w:numId w:val="2073"/>
        </w:numPr>
      </w:pPr>
    </w:p>
    <w:p>
      <w:pPr>
        <w:pStyle w:val="Compact"/>
        <w:numPr>
          <w:ilvl w:val="2"/>
          <w:numId w:val="2074"/>
        </w:numPr>
      </w:pPr>
      <w:r>
        <w:t xml:space="preserve">L’utiliser pour toutes les opérations quotidiennes</w:t>
      </w:r>
    </w:p>
    <w:p>
      <w:pPr>
        <w:pStyle w:val="Compact"/>
        <w:numPr>
          <w:ilvl w:val="1"/>
          <w:numId w:val="2073"/>
        </w:numPr>
      </w:pPr>
    </w:p>
    <w:p>
      <w:pPr>
        <w:pStyle w:val="Compact"/>
        <w:numPr>
          <w:ilvl w:val="2"/>
          <w:numId w:val="2075"/>
        </w:numPr>
      </w:pPr>
      <w:r>
        <w:t xml:space="preserve">Ne jamais l’utiliser au quotidien, au profit d’utilisateurs IAM nominatifs limités</w:t>
      </w:r>
    </w:p>
    <w:p>
      <w:pPr>
        <w:pStyle w:val="Compact"/>
        <w:numPr>
          <w:ilvl w:val="1"/>
          <w:numId w:val="2073"/>
        </w:numPr>
      </w:pPr>
    </w:p>
    <w:p>
      <w:pPr>
        <w:pStyle w:val="Compact"/>
        <w:numPr>
          <w:ilvl w:val="2"/>
          <w:numId w:val="2076"/>
        </w:numPr>
      </w:pPr>
      <w:r>
        <w:t xml:space="preserve">Le partager entre tous les membres de l’équipe</w:t>
      </w:r>
    </w:p>
    <w:p>
      <w:pPr>
        <w:pStyle w:val="Compact"/>
        <w:numPr>
          <w:ilvl w:val="1"/>
          <w:numId w:val="2073"/>
        </w:numPr>
      </w:pPr>
    </w:p>
    <w:p>
      <w:pPr>
        <w:pStyle w:val="Compact"/>
        <w:numPr>
          <w:ilvl w:val="2"/>
          <w:numId w:val="2077"/>
        </w:numPr>
      </w:pPr>
      <w:r>
        <w:t xml:space="preserve">Le supprimer complètement après création du compte</w:t>
      </w:r>
    </w:p>
    <w:p>
      <w:pPr>
        <w:pStyle w:val="FirstParagraph"/>
      </w:pPr>
      <w:r>
        <w:rPr>
          <w:b/>
          <w:bCs/>
        </w:rPr>
        <w:t xml:space="preserve">Corrigé</w:t>
      </w:r>
      <w:r>
        <w:t xml:space="preserve"> </w:t>
      </w:r>
      <w:r>
        <w:t xml:space="preserve">: 1-b, 2-b, 3-b.</w:t>
      </w:r>
    </w:p>
    <w:p>
      <w:pPr>
        <w:pStyle w:val="BodyText"/>
      </w:pPr>
      <w:r>
        <w:t xml:space="preserve">📝 Vrai ou Faux</w:t>
      </w:r>
    </w:p>
    <w:p>
      <w:pPr>
        <w:pStyle w:val="Compact"/>
        <w:numPr>
          <w:ilvl w:val="0"/>
          <w:numId w:val="2078"/>
        </w:numPr>
      </w:pPr>
      <w:r>
        <w:t xml:space="preserve">Une zone de disponibilité et une région AWS désignent exactement la même chose. —</w:t>
      </w:r>
      <w:r>
        <w:t xml:space="preserve"> </w:t>
      </w:r>
      <w:r>
        <w:rPr>
          <w:b/>
          <w:bCs/>
        </w:rPr>
        <w:t xml:space="preserve">Faux</w:t>
      </w:r>
      <w:r>
        <w:t xml:space="preserve"> </w:t>
      </w:r>
      <w:r>
        <w:t xml:space="preserve">(une région contient plusieurs zones de disponibilité, section 46.2).</w:t>
      </w:r>
    </w:p>
    <w:p>
      <w:pPr>
        <w:pStyle w:val="Compact"/>
        <w:numPr>
          <w:ilvl w:val="0"/>
          <w:numId w:val="2078"/>
        </w:numPr>
      </w:pPr>
      <w:r>
        <w:t xml:space="preserve">La configuration d’accès d’un bucket S3 reste de la responsabilité du client, jamais d’AWS. —</w:t>
      </w:r>
      <w:r>
        <w:t xml:space="preserve"> </w:t>
      </w:r>
      <w:r>
        <w:rPr>
          <w:b/>
          <w:bCs/>
        </w:rPr>
        <w:t xml:space="preserve">Vrai</w:t>
      </w:r>
      <w:r>
        <w:t xml:space="preserve">.</w:t>
      </w:r>
    </w:p>
    <w:p>
      <w:pPr>
        <w:pStyle w:val="Compact"/>
        <w:numPr>
          <w:ilvl w:val="0"/>
          <w:numId w:val="2078"/>
        </w:numPr>
      </w:pPr>
      <w:r>
        <w:t xml:space="preserve">RDS est un exemple concret du modèle PaaS déjà présenté au chapitre 45. —</w:t>
      </w:r>
      <w:r>
        <w:t xml:space="preserve"> </w:t>
      </w:r>
      <w:r>
        <w:rPr>
          <w:b/>
          <w:bCs/>
        </w:rPr>
        <w:t xml:space="preserve">Vrai</w:t>
      </w:r>
      <w:r>
        <w:t xml:space="preserve">.</w:t>
      </w:r>
    </w:p>
    <w:p>
      <w:pPr>
        <w:pStyle w:val="Compact"/>
        <w:numPr>
          <w:ilvl w:val="0"/>
          <w:numId w:val="2078"/>
        </w:numPr>
      </w:pPr>
      <w:r>
        <w:t xml:space="preserve">Une base de données RDS devrait, par bonne pratique, être placée dans un sous-réseau public pour un accès plus simple. —</w:t>
      </w:r>
      <w:r>
        <w:t xml:space="preserve"> </w:t>
      </w:r>
      <w:r>
        <w:rPr>
          <w:b/>
          <w:bCs/>
        </w:rPr>
        <w:t xml:space="preserve">Faux</w:t>
      </w:r>
      <w:r>
        <w:t xml:space="preserve"> </w:t>
      </w:r>
      <w:r>
        <w:t xml:space="preserve">(elle doit rester dans un sous-réseau privé, section 46.4).</w:t>
      </w:r>
    </w:p>
    <w:p>
      <w:pPr>
        <w:pStyle w:val="FirstParagraph"/>
      </w:pPr>
      <w:r>
        <w:t xml:space="preserve">📝 Questions ouvertes</w:t>
      </w:r>
    </w:p>
    <w:p>
      <w:pPr>
        <w:pStyle w:val="Compact"/>
        <w:numPr>
          <w:ilvl w:val="0"/>
          <w:numId w:val="2079"/>
        </w:numPr>
      </w:pPr>
      <w:r>
        <w:t xml:space="preserve">Explique pourquoi répartir une application sur plusieurs zones de disponibilité rejoint directement le principe du site de repli déjà établi au chapitre 31.</w:t>
      </w:r>
    </w:p>
    <w:p>
      <w:pPr>
        <w:pStyle w:val="Compact"/>
        <w:numPr>
          <w:ilvl w:val="0"/>
          <w:numId w:val="2079"/>
        </w:numPr>
      </w:pPr>
      <w:r>
        <w:t xml:space="preserve">Reprends l’atelier de ce chapitre. Explique pourquoi placer RDS dans un sous-réseau privé, plutôt que public, rejoint directement le principe déjà appliqué au bastion du chapitre 4.</w:t>
      </w:r>
    </w:p>
    <w:p>
      <w:pPr>
        <w:pStyle w:val="FirstParagraph"/>
      </w:pPr>
      <w:r>
        <w:rPr>
          <w:b/>
          <w:bCs/>
        </w:rPr>
        <w:t xml:space="preserve">Corrigé 1</w:t>
      </w:r>
      <w:r>
        <w:t xml:space="preserve"> </w:t>
      </w:r>
      <w:r>
        <w:t xml:space="preserve">: le site de repli du chapitre 31 (froid, tiède, chaud) vise à garantir la continuité d’un service en cas de sinistre affectant un site physique précis — répartir une application sur plusieurs zones de disponibilité applique exactement ce même principe à l’échelle du cloud : si une zone de disponibilité subit une panne (matérielle, électrique), les autres zones continuent de servir l’application sans interruption majeure, un site de repli</w:t>
      </w:r>
      <w:r>
        <w:t xml:space="preserve"> </w:t>
      </w:r>
      <w:r>
        <w:t xml:space="preserve">“chaud”</w:t>
      </w:r>
      <w:r>
        <w:t xml:space="preserve"> </w:t>
      </w:r>
      <w:r>
        <w:t xml:space="preserve">intégré nativement au service, sans que l’entreprise n’ait à le construire elle-même.</w:t>
      </w:r>
    </w:p>
    <w:p>
      <w:pPr>
        <w:pStyle w:val="BodyText"/>
      </w:pPr>
      <w:r>
        <w:rPr>
          <w:b/>
          <w:bCs/>
        </w:rPr>
        <w:t xml:space="preserve">Corrigé 2</w:t>
      </w:r>
      <w:r>
        <w:t xml:space="preserve"> </w:t>
      </w:r>
      <w:r>
        <w:t xml:space="preserve">: le bastion du chapitre 4 réduit la surface d’attaque exposée directement à Internet à un seul point contrôlé, plutôt que d’exposer chaque serveur individuellement. Placer RDS dans un sous-réseau privé applique exactement ce principe : la base de données n’est jamais directement accessible depuis Internet, uniquement depuis l’instance EC2 de l’application elle-même (déjà exposée et sécurisée séparément) — réduisant la surface d’attaque de la base de données à ce seul chemin d’accès contrôlé, plutôt que de la rendre directement joignable et donc vulnérable à un scan ou une attaque directe depuis l’extérieur.</w:t>
      </w:r>
    </w:p>
    <w:bookmarkEnd w:id="1147"/>
    <w:bookmarkStart w:id="1148" w:name="exercices-45"/>
    <w:p>
      <w:pPr>
        <w:pStyle w:val="Heading2"/>
      </w:pPr>
      <w:r>
        <w:t xml:space="preserve">Exercices</w:t>
      </w:r>
    </w:p>
    <w:p>
      <w:pPr>
        <w:pStyle w:val="FirstParagraph"/>
      </w:pPr>
      <w:r>
        <w:t xml:space="preserve">📝 Exercice 46.1</w:t>
      </w:r>
    </w:p>
    <w:p>
      <w:pPr>
        <w:pStyle w:val="BodyText"/>
      </w:pPr>
      <w:r>
        <w:t xml:space="preserve">Un développeur crée un bucket S3 pour stocker temporairement des fichiers de test, en activant l’accès public</w:t>
      </w:r>
      <w:r>
        <w:t xml:space="preserve"> </w:t>
      </w:r>
      <w:r>
        <w:t xml:space="preserve">“pour aller plus vite”</w:t>
      </w:r>
      <w:r>
        <w:t xml:space="preserve"> </w:t>
      </w:r>
      <w:r>
        <w:t xml:space="preserve">pendant son développement, avec l’intention de le désactiver plus tard. Explique le risque de cette pratique.</w:t>
      </w:r>
    </w:p>
    <w:p>
      <w:pPr>
        <w:pStyle w:val="BodyText"/>
      </w:pPr>
      <w:r>
        <w:rPr>
          <w:b/>
          <w:bCs/>
        </w:rPr>
        <w:t xml:space="preserve">Corrigé :</w:t>
      </w:r>
      <w:r>
        <w:t xml:space="preserve"> </w:t>
      </w:r>
      <w:r>
        <w:t xml:space="preserve">Cette pratique reproduit exactement le piège de la section 46.5 — un bucket rendu public</w:t>
      </w:r>
      <w:r>
        <w:t xml:space="preserve"> </w:t>
      </w:r>
      <w:r>
        <w:t xml:space="preserve">“temporairement”</w:t>
      </w:r>
      <w:r>
        <w:t xml:space="preserve"> </w:t>
      </w:r>
      <w:r>
        <w:t xml:space="preserve">reste souvent exposé bien plus longtemps que prévu, l’intention de le sécuriser</w:t>
      </w:r>
      <w:r>
        <w:t xml:space="preserve"> </w:t>
      </w:r>
      <w:r>
        <w:t xml:space="preserve">“plus tard”</w:t>
      </w:r>
      <w:r>
        <w:t xml:space="preserve"> </w:t>
      </w:r>
      <w:r>
        <w:t xml:space="preserve">étant une promesse fréquemment rompue, comme déjà observé pour d’autres pratiques similaires dans ce manuel (chapitre 4, section sur l’exposition RDP</w:t>
      </w:r>
      <w:r>
        <w:t xml:space="preserve"> </w:t>
      </w:r>
      <w:r>
        <w:t xml:space="preserve">“temporaire”</w:t>
      </w:r>
      <w:r>
        <w:t xml:space="preserve">). Si ce bucket contient, même accidentellement, des données sensibles ou des informations exploitables (identifiants de test, structure interne de l’application), cette exposition devient une vulnérabilité réelle et immédiatement exploitable par quiconque scanne les buckets S3 publics, une pratique malheureusement courante chez les attaquants.</w:t>
      </w:r>
    </w:p>
    <w:p>
      <w:pPr>
        <w:pStyle w:val="BodyText"/>
      </w:pPr>
      <w:r>
        <w:t xml:space="preserve">📝 Exercice 46.2</w:t>
      </w:r>
    </w:p>
    <w:p>
      <w:pPr>
        <w:pStyle w:val="BodyText"/>
      </w:pPr>
      <w:r>
        <w:t xml:space="preserve">Rédige, en 3 à 5 phrases, pourquoi la compréhension préalable du bastion (chapitre 4) et du réseau Docker (chapitre 40) facilite la compréhension du VPC AWS, plutôt que de devoir apprendre ce concept entièrement de zéro.</w:t>
      </w:r>
    </w:p>
    <w:p>
      <w:pPr>
        <w:pStyle w:val="BodyText"/>
      </w:pPr>
      <w:r>
        <w:rPr>
          <w:b/>
          <w:bCs/>
        </w:rPr>
        <w:t xml:space="preserve">Corrigé (exemple de réponse) :</w:t>
      </w:r>
      <w:r>
        <w:t xml:space="preserve"> </w:t>
      </w:r>
      <w:r>
        <w:t xml:space="preserve">Le VPC applique exactement le même principe déjà rencontré deux fois dans ce manuel : isoler les ressources sensibles derrière une couche contrôlée, plutôt que de les exposer directement — le bastion limitait l’accès administratif distant à un seul point, le réseau Docker isolait la communication entre conteneurs sur un seul hôte, le VPC applique cette même logique à l’échelle d’un réseau cloud complet, avec des sous-réseaux publics et privés. Comprendre cette récurrence évite de traiter chaque nouvelle technologie comme un concept isolé à mémoriser séparément, et permet au contraire de reconnaître un principe de sécurité fondamental qui se retrouve, sous des formes différentes, à chaque échelle de l’infrastructure déjà étudiée dans ce manuel.</w:t>
      </w:r>
    </w:p>
    <w:bookmarkEnd w:id="1148"/>
    <w:bookmarkStart w:id="1149" w:name="checklist-de-fin-de-chapitre-45"/>
    <w:p>
      <w:pPr>
        <w:pStyle w:val="Heading2"/>
      </w:pPr>
      <w:r>
        <w:t xml:space="preserve">Checklist de fin de chapitre</w:t>
      </w:r>
    </w:p>
    <w:p>
      <w:pPr>
        <w:pStyle w:val="FirstParagraph"/>
      </w:pPr>
      <w:r>
        <w:t xml:space="preserve">☐ Je comprends la différence entre région et zone de disponibilité AWS.</w:t>
      </w:r>
    </w:p>
    <w:p>
      <w:pPr>
        <w:pStyle w:val="BodyText"/>
      </w:pPr>
      <w:r>
        <w:t xml:space="preserve">☐ Je sais situer EC2, VPC, S3, IAM et RDS par rapport aux concepts déjà appris dans ce manuel.</w:t>
      </w:r>
    </w:p>
    <w:p>
      <w:pPr>
        <w:pStyle w:val="BodyText"/>
      </w:pPr>
      <w:r>
        <w:t xml:space="preserve">☐ Je sais concevoir une architecture VPC avec sous-réseaux public et privé correctement segmentés.</w:t>
      </w:r>
    </w:p>
    <w:p>
      <w:pPr>
        <w:pStyle w:val="BodyText"/>
      </w:pPr>
      <w:r>
        <w:t xml:space="preserve">☐ Je comprends pourquoi un bucket S3 exposé publiquement est une faille de sécurité fréquente et documentée.</w:t>
      </w:r>
    </w:p>
    <w:p>
      <w:pPr>
        <w:pStyle w:val="BodyText"/>
      </w:pPr>
      <w:r>
        <w:t xml:space="preserve">☐ Je sais pourquoi le compte root AWS ne devrait jamais être utilisé au quotidien.</w:t>
      </w:r>
    </w:p>
    <w:p>
      <w:pPr>
        <w:pStyle w:val="BodyText"/>
      </w:pPr>
      <w:r>
        <w:t xml:space="preserve">☐ Je sais esquisser une politique IAM minimale, limitée au besoin réel.</w:t>
      </w:r>
    </w:p>
    <w:bookmarkEnd w:id="1149"/>
    <w:bookmarkStart w:id="1150" w:name="faq-45"/>
    <w:p>
      <w:pPr>
        <w:pStyle w:val="Heading2"/>
      </w:pPr>
      <w:r>
        <w:t xml:space="preserve">FAQ</w:t>
      </w:r>
    </w:p>
    <w:p>
      <w:pPr>
        <w:pStyle w:val="FirstParagraph"/>
      </w:pPr>
      <w:r>
        <w:t xml:space="preserve">Faut-il maîtriser la ligne de commande AWS (CLI) pour administrer efficacement ces services ?</w:t>
      </w:r>
    </w:p>
    <w:p>
      <w:pPr>
        <w:pStyle w:val="BodyText"/>
      </w:pPr>
      <w:r>
        <w:t xml:space="preserve">La console web AWS suffit pour découvrir et gérer manuellement ces services, mais la CLI (et plus largement l’Infrastructure as Code, approfondie en Partie 9) devient indispensable pour une gestion reproductible et versionnée à mesure que l’infrastructure grandit — le même principe déjà établi pour Docker Compose (chapitre 41) et les manifestes Kubernetes (chapitre 43).</w:t>
      </w:r>
    </w:p>
    <w:p>
      <w:pPr>
        <w:pStyle w:val="BodyText"/>
      </w:pPr>
      <w:r>
        <w:t xml:space="preserve">EC2 est-il toujours plus économique qu’un serveur physique possédé par l’entreprise ?</w:t>
      </w:r>
    </w:p>
    <w:p>
      <w:pPr>
        <w:pStyle w:val="BodyText"/>
      </w:pPr>
      <w:r>
        <w:t xml:space="preserve">Pas nécessairement — un compromis à évaluer précisément selon le profil d’usage, un sujet central du chapitre 50 (FinOps), plutôt qu’une réponse universelle.</w:t>
      </w:r>
    </w:p>
    <w:p>
      <w:pPr>
        <w:pStyle w:val="BodyText"/>
      </w:pPr>
      <w:r>
        <w:t xml:space="preserve">RDS remplace-t-il le besoin de connaître PostgreSQL en profondeur ?</w:t>
      </w:r>
    </w:p>
    <w:p>
      <w:pPr>
        <w:pStyle w:val="BodyText"/>
      </w:pPr>
      <w:r>
        <w:t xml:space="preserve">Non, RDS gère l’infrastructure et les correctifs du moteur de base de données, mais la conception du schéma, l’optimisation des requêtes et la logique applicative restent entièrement de la responsabilité du client, selon le modèle de responsabilité partagée déjà établi au chapitre 45.</w:t>
      </w:r>
    </w:p>
    <w:p>
      <w:pPr>
        <w:pStyle w:val="BodyText"/>
      </w:pPr>
      <w:r>
        <w:t xml:space="preserve">Combien de comptes AWS une entreprise devrait-elle utiliser ?</w:t>
      </w:r>
    </w:p>
    <w:p>
      <w:pPr>
        <w:pStyle w:val="BodyText"/>
      </w:pPr>
      <w:r>
        <w:t xml:space="preserve">De nombreuses organisations séparent leurs environnements (développement, production) en comptes AWS distincts plutôt qu’un seul compte unique, réduisant l’impact d’une erreur de configuration dans un environnement sur les autres — un principe qui rejoint directement les namespaces Kubernetes déjà présentés au chapitre 43, à une échelle organisationnelle plus large.</w:t>
      </w:r>
    </w:p>
    <w:bookmarkEnd w:id="1150"/>
    <w:bookmarkStart w:id="1154" w:name="références-et-pour-aller-plus-loin-45"/>
    <w:p>
      <w:pPr>
        <w:pStyle w:val="Heading2"/>
      </w:pPr>
      <w:r>
        <w:t xml:space="preserve">Références et pour aller plus loin</w:t>
      </w:r>
    </w:p>
    <w:p>
      <w:pPr>
        <w:pStyle w:val="Compact"/>
        <w:numPr>
          <w:ilvl w:val="0"/>
          <w:numId w:val="2080"/>
        </w:numPr>
      </w:pPr>
      <w:r>
        <w:t xml:space="preserve">Documentation officielle AWS :</w:t>
      </w:r>
      <w:r>
        <w:t xml:space="preserve"> </w:t>
      </w:r>
      <w:hyperlink r:id="rId1151">
        <w:r>
          <w:rPr>
            <w:rStyle w:val="Hyperlink"/>
          </w:rPr>
          <w:t xml:space="preserve">https://docs.aws.amazon.com/</w:t>
        </w:r>
      </w:hyperlink>
    </w:p>
    <w:p>
      <w:pPr>
        <w:pStyle w:val="Compact"/>
        <w:numPr>
          <w:ilvl w:val="0"/>
          <w:numId w:val="2080"/>
        </w:numPr>
      </w:pPr>
      <w:r>
        <w:t xml:space="preserve">AWS — Bonnes pratiques de sécurité S3 :</w:t>
      </w:r>
      <w:r>
        <w:t xml:space="preserve"> </w:t>
      </w:r>
      <w:hyperlink r:id="rId1152">
        <w:r>
          <w:rPr>
            <w:rStyle w:val="Hyperlink"/>
          </w:rPr>
          <w:t xml:space="preserve">https://docs.aws.amazon.com/AmazonS3/latest/userguide/security-best-practices.html</w:t>
        </w:r>
      </w:hyperlink>
    </w:p>
    <w:p>
      <w:pPr>
        <w:pStyle w:val="Compact"/>
        <w:numPr>
          <w:ilvl w:val="0"/>
          <w:numId w:val="2080"/>
        </w:numPr>
      </w:pPr>
      <w:r>
        <w:t xml:space="preserve">AWS Well-Architected Framework :</w:t>
      </w:r>
      <w:r>
        <w:t xml:space="preserve"> </w:t>
      </w:r>
      <w:hyperlink r:id="rId1153">
        <w:r>
          <w:rPr>
            <w:rStyle w:val="Hyperlink"/>
          </w:rPr>
          <w:t xml:space="preserve">https://aws.amazon.com/architecture/well-architected/</w:t>
        </w:r>
      </w:hyperlink>
    </w:p>
    <w:p>
      <w:pPr>
        <w:pStyle w:val="FirstParagraph"/>
      </w:pPr>
      <w:r>
        <w:rPr>
          <w:i/>
          <w:iCs/>
        </w:rPr>
        <w:t xml:space="preserve">Chapitre suivant : Microsoft Azure — architecture et services essentiels, pour comparer une seconde approche du cloud, particulièrement pertinente pour une entreprise déjà investie dans l’écosystème Microsoft (Active Directory, Entra ID).</w:t>
      </w:r>
    </w:p>
    <w:p>
      <w:pPr>
        <w:pStyle w:val="BodyText"/>
      </w:pPr>
      <w:r>
        <w:t xml:space="preserve">CHAPITRE 47</w:t>
      </w:r>
    </w:p>
    <w:bookmarkEnd w:id="1154"/>
    <w:bookmarkEnd w:id="1155"/>
    <w:bookmarkStart w:id="1180" w:name="X779fa50583b33f095b15132cab129adb71fdd38"/>
    <w:p>
      <w:pPr>
        <w:pStyle w:val="Heading1"/>
      </w:pPr>
      <w:r>
        <w:t xml:space="preserve">Microsoft Azure : architecture et services essentiels</w:t>
      </w:r>
    </w:p>
    <w:p>
      <w:pPr>
        <w:pStyle w:val="FirstParagraph"/>
      </w:pPr>
      <w:r>
        <w:t xml:space="preserve">🎯 Objectif du chapitre</w:t>
      </w:r>
      <w:r>
        <w:t xml:space="preserve"> </w:t>
      </w:r>
      <w:r>
        <w:t xml:space="preserve">Découvrir Azure non pas comme une simple répétition d’AWS avec un vocabulaire différent, mais en identifiant son véritable argument différenciateur : l’intégration native avec l’écosystème Microsoft déjà en place dans ce manuel depuis le chapitre 5. À la fin de ce chapitre, tu sauras situer les équivalents Azure des services AWS déjà appris, et surtout juger objectivement quand Azure constitue un choix plus pertinent qu’AWS pour une organisation donnée.</w:t>
      </w:r>
    </w:p>
    <w:p>
      <w:pPr>
        <w:pStyle w:val="BodyText"/>
      </w:pPr>
      <w:r>
        <w:t xml:space="preserve">🎬 Mise en situation</w:t>
      </w:r>
      <w:r>
        <w:t xml:space="preserve"> </w:t>
      </w:r>
      <w:r>
        <w:t xml:space="preserve">Le pilote AWS du portail client (chapitre 46) progresse bien. Le DSI se demande maintenant si un futur système plus étroitement lié à l’identité interne de l’entreprise — par exemple, une extension du système de gestion documentaire du chapitre 19, actuellement authentifié via SSSD contre l’Active Directory local (chapitre 22) — devrait suivre la même voie AWS, ou si Azure, déjà partiellement en jeu depuis l’intégration Entra ID du chapitre 8, ne serait pas un choix plus naturel. Ce chapitre répond à cette question précise en présentant Azure comme un choix contextuel, pas par défaut.</w:t>
      </w:r>
    </w:p>
    <w:bookmarkStart w:id="1156" w:name="Xc7b47a82bfe7461b60b5deb1902db6fdd5fd6bb"/>
    <w:p>
      <w:pPr>
        <w:pStyle w:val="Heading2"/>
      </w:pPr>
      <w:r>
        <w:t xml:space="preserve">47.1 L’argument différenciateur d’Azure : une intégration déjà commencée</w:t>
      </w:r>
    </w:p>
    <w:p>
      <w:pPr>
        <w:pStyle w:val="FirstParagraph"/>
      </w:pPr>
      <w:r>
        <w:t xml:space="preserve">📌 À retenir — un fait déjà établi au chapitre 8, pas une nouveauté</w:t>
      </w:r>
      <w:r>
        <w:t xml:space="preserve"> </w:t>
      </w:r>
      <w:r>
        <w:t xml:space="preserve">Rappel direct du chapitre 8 : l’entreprise utilise déjà</w:t>
      </w:r>
      <w:r>
        <w:t xml:space="preserve"> </w:t>
      </w:r>
      <w:r>
        <w:rPr>
          <w:b/>
          <w:bCs/>
        </w:rPr>
        <w:t xml:space="preserve">Microsoft Entra ID</w:t>
      </w:r>
      <w:r>
        <w:t xml:space="preserve"> </w:t>
      </w:r>
      <w:r>
        <w:t xml:space="preserve">en mode hybride, synchronisé avec l’Active Directory local via Microsoft Entra Connect. Azure partage nativement ce même système d’identité — contrairement à AWS (chapitre 46), où IAM constitue un système d’identité</w:t>
      </w:r>
      <w:r>
        <w:t xml:space="preserve"> </w:t>
      </w:r>
      <w:r>
        <w:rPr>
          <w:b/>
          <w:bCs/>
        </w:rPr>
        <w:t xml:space="preserve">entièrement séparé</w:t>
      </w:r>
      <w:r>
        <w:t xml:space="preserve">, nécessitant une intégration ou une synchronisation supplémentaire pour rester cohérent avec l’annuaire d’entreprise déjà en place. C’est le véritable argument de décision entre les deux fournisseurs pour cette entreprise précise, pas une prétendue supériorité technique générale de l’un sur l’autre.</w:t>
      </w:r>
    </w:p>
    <w:bookmarkEnd w:id="1156"/>
    <w:bookmarkStart w:id="1157" w:name="X97388c3897ae6c862c389a9c44faf809242b21c"/>
    <w:p>
      <w:pPr>
        <w:pStyle w:val="Heading2"/>
      </w:pPr>
      <w:r>
        <w:t xml:space="preserve">47.2 Régions et zones de disponibilité : le même principe, un vocabulaire quasi identique</w:t>
      </w:r>
    </w:p>
    <w:p>
      <w:pPr>
        <w:pStyle w:val="FirstParagraph"/>
      </w:pPr>
      <w:r>
        <w:t xml:space="preserve">💡 Rien de nouveau conceptuellement, rappel direct du chapitre 46</w:t>
      </w:r>
      <w:r>
        <w:t xml:space="preserve"> </w:t>
      </w:r>
      <w:r>
        <w:t xml:space="preserve">Azure utilise également des</w:t>
      </w:r>
      <w:r>
        <w:t xml:space="preserve"> </w:t>
      </w:r>
      <w:r>
        <w:rPr>
          <w:b/>
          <w:bCs/>
        </w:rPr>
        <w:t xml:space="preserve">régions</w:t>
      </w:r>
      <w:r>
        <w:t xml:space="preserve"> </w:t>
      </w:r>
      <w:r>
        <w:t xml:space="preserve">et des</w:t>
      </w:r>
      <w:r>
        <w:t xml:space="preserve"> </w:t>
      </w:r>
      <w:r>
        <w:rPr>
          <w:b/>
          <w:bCs/>
        </w:rPr>
        <w:t xml:space="preserve">zones de disponibilité</w:t>
      </w:r>
      <w:r>
        <w:t xml:space="preserve">, avec exactement la même logique déjà expliquée au chapitre 46 pour AWS — répartir une charge critique sur plusieurs zones au sein d’une région applique le même principe de site de repli du chapitre 31, indépendamment du fournisseur choisi.</w:t>
      </w:r>
    </w:p>
    <w:bookmarkEnd w:id="1157"/>
    <w:bookmarkStart w:id="1158" w:name="Xf2d2fabca7b9e601bd19bafa6966b7f0afe52bd"/>
    <w:p>
      <w:pPr>
        <w:pStyle w:val="Heading2"/>
      </w:pPr>
      <w:r>
        <w:t xml:space="preserve">47.3 Correspondances directes avec les services AWS déjà appris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Besoin déjà couvert</w:t>
            </w:r>
          </w:p>
        </w:tc>
        <w:tc>
          <w:tcPr/>
          <w:p>
            <w:pPr>
              <w:pStyle w:val="Compact"/>
            </w:pPr>
            <w:r>
              <w:t xml:space="preserve">Service AWS (chapitre 46)</w:t>
            </w:r>
          </w:p>
        </w:tc>
        <w:tc>
          <w:tcPr/>
          <w:p>
            <w:pPr>
              <w:pStyle w:val="Compact"/>
            </w:pPr>
            <w:r>
              <w:t xml:space="preserve">Service Azure équivalent</w:t>
            </w:r>
          </w:p>
        </w:tc>
      </w:tr>
      <w:tr>
        <w:tc>
          <w:tcPr/>
          <w:p>
            <w:pPr>
              <w:pStyle w:val="Compact"/>
            </w:pPr>
            <w:r>
              <w:t xml:space="preserve">Instance de calcul (VM)</w:t>
            </w:r>
          </w:p>
        </w:tc>
        <w:tc>
          <w:tcPr/>
          <w:p>
            <w:pPr>
              <w:pStyle w:val="Compact"/>
            </w:pPr>
            <w:r>
              <w:t xml:space="preserve">EC2</w:t>
            </w:r>
          </w:p>
        </w:tc>
        <w:tc>
          <w:tcPr/>
          <w:p>
            <w:pPr>
              <w:pStyle w:val="Compact"/>
            </w:pPr>
            <w:r>
              <w:t xml:space="preserve">Azure Virtual Machines</w:t>
            </w:r>
          </w:p>
        </w:tc>
      </w:tr>
      <w:tr>
        <w:tc>
          <w:tcPr/>
          <w:p>
            <w:pPr>
              <w:pStyle w:val="Compact"/>
            </w:pPr>
            <w:r>
              <w:t xml:space="preserve">Réseau virtuel segmenté</w:t>
            </w:r>
          </w:p>
        </w:tc>
        <w:tc>
          <w:tcPr/>
          <w:p>
            <w:pPr>
              <w:pStyle w:val="Compact"/>
            </w:pPr>
            <w:r>
              <w:t xml:space="preserve">VPC</w:t>
            </w:r>
          </w:p>
        </w:tc>
        <w:tc>
          <w:tcPr/>
          <w:p>
            <w:pPr>
              <w:pStyle w:val="Compact"/>
            </w:pPr>
            <w:r>
              <w:t xml:space="preserve">Azure Virtual Network (VNet)</w:t>
            </w:r>
          </w:p>
        </w:tc>
      </w:tr>
      <w:tr>
        <w:tc>
          <w:tcPr/>
          <w:p>
            <w:pPr>
              <w:pStyle w:val="Compact"/>
            </w:pPr>
            <w:r>
              <w:t xml:space="preserve">Stockage d’objets</w:t>
            </w:r>
          </w:p>
        </w:tc>
        <w:tc>
          <w:tcPr/>
          <w:p>
            <w:pPr>
              <w:pStyle w:val="Compact"/>
            </w:pPr>
            <w:r>
              <w:t xml:space="preserve">S3</w:t>
            </w:r>
          </w:p>
        </w:tc>
        <w:tc>
          <w:tcPr/>
          <w:p>
            <w:pPr>
              <w:pStyle w:val="Compact"/>
            </w:pPr>
            <w:r>
              <w:t xml:space="preserve">Azure Blob Storage</w:t>
            </w:r>
          </w:p>
        </w:tc>
      </w:tr>
      <w:tr>
        <w:tc>
          <w:tcPr/>
          <w:p>
            <w:pPr>
              <w:pStyle w:val="Compact"/>
            </w:pPr>
            <w:r>
              <w:t xml:space="preserve">Base de données relationnelle managée</w:t>
            </w:r>
          </w:p>
        </w:tc>
        <w:tc>
          <w:tcPr/>
          <w:p>
            <w:pPr>
              <w:pStyle w:val="Compact"/>
            </w:pPr>
            <w:r>
              <w:t xml:space="preserve">RDS</w:t>
            </w:r>
          </w:p>
        </w:tc>
        <w:tc>
          <w:tcPr/>
          <w:p>
            <w:pPr>
              <w:pStyle w:val="Compact"/>
            </w:pPr>
            <w:r>
              <w:t xml:space="preserve">Azure SQL Database</w:t>
            </w:r>
          </w:p>
        </w:tc>
      </w:tr>
      <w:tr>
        <w:tc>
          <w:tcPr/>
          <w:p>
            <w:pPr>
              <w:pStyle w:val="Compact"/>
            </w:pPr>
            <w:r>
              <w:t xml:space="preserve">Identité et permissions</w:t>
            </w:r>
          </w:p>
        </w:tc>
        <w:tc>
          <w:tcPr/>
          <w:p>
            <w:pPr>
              <w:pStyle w:val="Compact"/>
            </w:pPr>
            <w:r>
              <w:t xml:space="preserve">IAM</w:t>
            </w:r>
          </w:p>
        </w:tc>
        <w:tc>
          <w:tcPr/>
          <w:p>
            <w:pPr>
              <w:pStyle w:val="Compact"/>
            </w:pPr>
            <w:r>
              <w:rPr>
                <w:b/>
                <w:bCs/>
              </w:rPr>
              <w:t xml:space="preserve">Microsoft Entra ID</w:t>
            </w:r>
            <w:r>
              <w:t xml:space="preserve"> </w:t>
            </w:r>
            <w:r>
              <w:t xml:space="preserve">(la différence clé, section 47.1)</w:t>
            </w:r>
          </w:p>
        </w:tc>
      </w:tr>
    </w:tbl>
    <w:p>
      <w:pPr>
        <w:pStyle w:val="BodyText"/>
      </w:pPr>
      <w:r>
        <w:t xml:space="preserve">🧠 À mémoriser — le vocabulaire change, les principes de sécurité restent identiques</w:t>
      </w:r>
      <w:r>
        <w:t xml:space="preserve"> </w:t>
      </w:r>
      <w:r>
        <w:t xml:space="preserve">Chaque service Azure de ce tableau applique exactement les mêmes principes déjà établis au chapitre 46 : un Azure Virtual Network sépare des sous-réseaux publics et privés comme un VPC (rappel du bastion, chapitre 4) ; un compte de stockage Azure Blob peut être exposé publiquement par erreur, exactement comme un bucket S3 (section 46.5) — le même risque, sous un nom différent, avec la même vigilance requise.</w:t>
      </w:r>
    </w:p>
    <w:bookmarkEnd w:id="1158"/>
    <w:bookmarkStart w:id="1162" w:name="X0c12066d490c47aa9826b303e3db08091e69708"/>
    <w:p>
      <w:pPr>
        <w:pStyle w:val="Heading2"/>
      </w:pPr>
      <w:r>
        <w:t xml:space="preserve">47.4 Azure Virtual Network : segmentation, rappel direct</w:t>
      </w:r>
    </w:p>
    <w:p>
      <w:pPr>
        <w:pStyle w:val="CaptionedFigure"/>
      </w:pPr>
      <w:r>
        <w:drawing>
          <wp:inline>
            <wp:extent cx="5334000" cy="7631475"/>
            <wp:effectExtent b="0" l="0" r="0" t="0"/>
            <wp:docPr descr="Diagramme" title="" id="1160" name="Picture"/>
            <a:graphic>
              <a:graphicData uri="http://schemas.openxmlformats.org/drawingml/2006/picture">
                <pic:pic>
                  <pic:nvPicPr>
                    <pic:cNvPr descr="C:/Users/ingja/Desktop/jarvis-starter-kit/livrables/formations/manuel-administration-systeme/assets/diagrams/d-47-microsoft-azure-diagramme-1.png" id="1161" name="Picture"/>
                    <pic:cNvPicPr>
                      <a:picLocks noChangeArrowheads="1" noChangeAspect="1"/>
                    </pic:cNvPicPr>
                  </pic:nvPicPr>
                  <pic:blipFill>
                    <a:blip r:embed="rId1159"/>
                    <a:stretch>
                      <a:fillRect/>
                    </a:stretch>
                  </pic:blipFill>
                  <pic:spPr bwMode="auto">
                    <a:xfrm>
                      <a:off x="0" y="0"/>
                      <a:ext cx="5334000" cy="7631475"/>
                    </a:xfrm>
                    <a:prstGeom prst="rect">
                      <a:avLst/>
                    </a:prstGeom>
                    <a:noFill/>
                    <a:ln w="9525">
                      <a:noFill/>
                      <a:headEnd/>
                      <a:tailEnd/>
                    </a:ln>
                  </pic:spPr>
                </pic:pic>
              </a:graphicData>
            </a:graphic>
          </wp:inline>
        </w:drawing>
      </w:r>
    </w:p>
    <w:p>
      <w:pPr>
        <w:pStyle w:val="ImageCaption"/>
      </w:pPr>
      <w:r>
        <w:t xml:space="preserve">Diagramme</w:t>
      </w:r>
    </w:p>
    <w:p>
      <w:pPr>
        <w:pStyle w:val="BodyText"/>
      </w:pPr>
      <w:r>
        <w:t xml:space="preserve">🔒 Sécurité — le même piège que S3, sous un autre nom</w:t>
      </w:r>
      <w:r>
        <w:t xml:space="preserve"> </w:t>
      </w:r>
      <w:r>
        <w:t xml:space="preserve">Un</w:t>
      </w:r>
      <w:r>
        <w:t xml:space="preserve"> </w:t>
      </w:r>
      <w:r>
        <w:rPr>
          <w:b/>
          <w:bCs/>
        </w:rPr>
        <w:t xml:space="preserve">compte de stockage Azure</w:t>
      </w:r>
      <w:r>
        <w:t xml:space="preserve"> </w:t>
      </w:r>
      <w:r>
        <w:t xml:space="preserve">mal configuré peut, exactement comme un bucket S3 (chapitre 46), exposer publiquement des données censées rester privées — la même vigilance de vérification de configuration s’applique, indépendamment de l’étiquette du fournisseur. Le modèle de responsabilité partagée (chapitre 45) reste identique : Azure sécurise l’infrastructure physique, jamais la configuration d’accès choisie par le client.</w:t>
      </w:r>
    </w:p>
    <w:bookmarkEnd w:id="1162"/>
    <w:bookmarkStart w:id="1163" w:name="Xabb010a80ae6795780cfa020366705f1f091814"/>
    <w:p>
      <w:pPr>
        <w:pStyle w:val="Heading2"/>
      </w:pPr>
      <w:r>
        <w:t xml:space="preserve">47.5 Microsoft Entra ID comme IAM natif : la réponse concrète au scénario d’ouverture</w:t>
      </w:r>
    </w:p>
    <w:p>
      <w:pPr>
        <w:pStyle w:val="FirstParagraph"/>
      </w:pPr>
      <w:r>
        <w:t xml:space="preserve">✅ Réutiliser l’identité existante plutôt que d’en reconstruire une nouvelle</w:t>
      </w:r>
      <w:r>
        <w:t xml:space="preserve"> </w:t>
      </w:r>
      <w:r>
        <w:t xml:space="preserve">Pour un système comme celui évoqué dans le scénario d’ouverture — une extension du serveur de gestion documentaire, déjà authentifié contre Active Directory via SSSD (chapitre 22) — héberger ce système sur Azure permettrait de réutiliser</w:t>
      </w:r>
      <w:r>
        <w:t xml:space="preserve"> </w:t>
      </w:r>
      <w:r>
        <w:rPr>
          <w:b/>
          <w:bCs/>
        </w:rPr>
        <w:t xml:space="preserve">directement</w:t>
      </w:r>
      <w:r>
        <w:t xml:space="preserve"> </w:t>
      </w:r>
      <w:r>
        <w:t xml:space="preserve">Microsoft Entra ID comme source d’identité, sans synchronisation supplémentaire à construire ni à maintenir. Sur AWS, la même cohérence nécessiterait une fédération d’identité entre IAM et Active Directory — techniquement possible, mais une couche de complexité supplémentaire qu’Azure évite nativement pour une entreprise déjà investie dans l’écosystème Microsoft.</w:t>
      </w:r>
    </w:p>
    <w:p>
      <w:pPr>
        <w:pStyle w:val="BodyText"/>
      </w:pPr>
      <w:r>
        <w:t xml:space="preserve">⚠️ Un piège à éviter malgré cette intégration native</w:t>
      </w:r>
      <w:r>
        <w:t xml:space="preserve"> </w:t>
      </w:r>
      <w:r>
        <w:t xml:space="preserve">Cette intégration facilitée ne dispense jamais des principes déjà établis dans ce manuel : le moindre privilège (chapitre 1), le MFA (chapitre 25) et l’accès conditionnel (chapitre 8) doivent s’appliquer aux ressources Azure exactement comme ils s’appliquent déjà aux ressources on-premise — Azure facilite la cohérence de l’identité, il n’automatise jamais la rigueur de sa configuration.</w:t>
      </w:r>
    </w:p>
    <w:bookmarkEnd w:id="1163"/>
    <w:bookmarkStart w:id="1164" w:name="Xccb88b41c9e75b4cf4fa46e5e198745339fd2ef"/>
    <w:p>
      <w:pPr>
        <w:pStyle w:val="Heading2"/>
      </w:pPr>
      <w:r>
        <w:t xml:space="preserve">47.6 Azure SQL Database : le même principe PaaS que RDS</w:t>
      </w:r>
    </w:p>
    <w:p>
      <w:pPr>
        <w:pStyle w:val="FirstParagraph"/>
      </w:pPr>
      <w:r>
        <w:t xml:space="preserve">💡 Rappel direct du chapitre 46</w:t>
      </w:r>
      <w:r>
        <w:t xml:space="preserve"> </w:t>
      </w:r>
      <w:r>
        <w:t xml:space="preserve">Azure SQL Database applique exactement le même principe PaaS déjà expliqué pour RDS (section 46.7) : Azure gère l’infrastructure et les correctifs, le client garde la responsabilité de la conception du schéma, de la logique applicative et de la protection des données elles-mêmes, selon le modèle de responsabilité partagée du chapitre 45.</w:t>
      </w:r>
    </w:p>
    <w:bookmarkEnd w:id="1164"/>
    <w:bookmarkStart w:id="1165" w:name="X2bc553efece0c3a8bf9565a8103349a8920c89b"/>
    <w:p>
      <w:pPr>
        <w:pStyle w:val="Heading2"/>
      </w:pPr>
      <w:r>
        <w:t xml:space="preserve">47.7 Le vrai critère de décision entre AWS et Azure</w:t>
      </w:r>
    </w:p>
    <w:p>
      <w:pPr>
        <w:pStyle w:val="FirstParagraph"/>
      </w:pPr>
      <w:r>
        <w:t xml:space="preserve">✅ Le même cadre de décision contextuelle que tout au long de ce manuel</w:t>
      </w:r>
      <w:r>
        <w:t xml:space="preserve"> </w:t>
      </w:r>
      <w:r>
        <w:t xml:space="preserve">Exactement le même principe déjà appliqué au chapitre 14 (choix de distribution) et au chapitre 46 (pourquoi commencer par AWS) : le choix entre AWS et Azure ne repose pas sur une supériorité technique générale, mais sur des critères concrets — un système fortement lié à l’identité et aux outils Microsoft déjà en place (comme celui du scénario d’ouverture) penche naturellement vers Azure ; un système sans dépendance particulière à cet écosystème, comme le portail client déjà pilote sur AWS (chapitre 46), n’a aucune raison impérative de migrer.</w:t>
      </w:r>
    </w:p>
    <w:bookmarkEnd w:id="1165"/>
    <w:bookmarkStart w:id="1166" w:name="Xb8dd7afbe24b53dd93490655174e507587f496c"/>
    <w:p>
      <w:pPr>
        <w:pStyle w:val="Heading2"/>
      </w:pPr>
      <w:r>
        <w:t xml:space="preserve">Atelier — Décider entre AWS et Azure pour le scénario d’ouverture</w:t>
      </w:r>
    </w:p>
    <w:p>
      <w:pPr>
        <w:pStyle w:val="FirstParagraph"/>
      </w:pPr>
      <w:r>
        <w:t xml:space="preserve">🛠️ Atelier 47 — Appliquer le critère de décision de la section 47.7</w:t>
      </w:r>
    </w:p>
    <w:p>
      <w:pPr>
        <w:pStyle w:val="BodyText"/>
      </w:pPr>
      <w:r>
        <w:rPr>
          <w:b/>
          <w:bCs/>
        </w:rPr>
        <w:t xml:space="preserve">Objectif</w:t>
      </w:r>
      <w:r>
        <w:t xml:space="preserve"> </w:t>
      </w:r>
      <w:r>
        <w:t xml:space="preserve">: trancher, avec des arguments concrets, la question posée par le DSI dans le scénario d’ouverture.</w:t>
      </w:r>
    </w:p>
    <w:p>
      <w:pPr>
        <w:pStyle w:val="BodyText"/>
      </w:pPr>
      <w:r>
        <w:rPr>
          <w:b/>
          <w:bCs/>
        </w:rPr>
        <w:t xml:space="preserve">Préparation</w:t>
      </w:r>
      <w:r>
        <w:t xml:space="preserve"> </w:t>
      </w:r>
      <w:r>
        <w:t xml:space="preserve">: aucune installation nécessaire.</w:t>
      </w:r>
    </w:p>
    <w:p>
      <w:pPr>
        <w:pStyle w:val="BodyText"/>
      </w:pPr>
      <w:r>
        <w:rPr>
          <w:b/>
          <w:bCs/>
        </w:rPr>
        <w:t xml:space="preserve">Étapes détaillées</w:t>
      </w:r>
      <w:r>
        <w:t xml:space="preserve"> </w:t>
      </w:r>
      <w:r>
        <w:t xml:space="preserve">:</w:t>
      </w:r>
    </w:p>
    <w:p>
      <w:pPr>
        <w:pStyle w:val="Compact"/>
        <w:numPr>
          <w:ilvl w:val="0"/>
          <w:numId w:val="2081"/>
        </w:numPr>
      </w:pPr>
      <w:r>
        <w:t xml:space="preserve">Liste les arguments en faveur d’Azure pour l’extension du système de gestion documentaire, en t’appuyant sur les sections 47.1 et 47.5.</w:t>
      </w:r>
    </w:p>
    <w:p>
      <w:pPr>
        <w:pStyle w:val="Compact"/>
        <w:numPr>
          <w:ilvl w:val="0"/>
          <w:numId w:val="2081"/>
        </w:numPr>
      </w:pPr>
      <w:r>
        <w:t xml:space="preserve">Liste les arguments qui justifieraient de rester sur AWS ou de ne pas migrer du tout.</w:t>
      </w:r>
    </w:p>
    <w:p>
      <w:pPr>
        <w:pStyle w:val="Compact"/>
        <w:numPr>
          <w:ilvl w:val="0"/>
          <w:numId w:val="2081"/>
        </w:numPr>
      </w:pPr>
      <w:r>
        <w:t xml:space="preserve">Formule une recommandation tranchée, avec sa justification.</w:t>
      </w:r>
    </w:p>
    <w:p>
      <w:pPr>
        <w:pStyle w:val="Compact"/>
        <w:numPr>
          <w:ilvl w:val="0"/>
          <w:numId w:val="2081"/>
        </w:numPr>
      </w:pPr>
      <w:r>
        <w:t xml:space="preserve">Compare ta démarche à la section</w:t>
      </w:r>
      <w:r>
        <w:t xml:space="preserve"> </w:t>
      </w:r>
      <w:r>
        <w:t xml:space="preserve">“Résultat attendu”</w:t>
      </w:r>
      <w:r>
        <w:t xml:space="preserve">.</w:t>
      </w:r>
    </w:p>
    <w:p>
      <w:pPr>
        <w:pStyle w:val="FirstParagraph"/>
      </w:pPr>
      <w:r>
        <w:rPr>
          <w:b/>
          <w:bCs/>
        </w:rPr>
        <w:t xml:space="preserve">Résultat attendu</w:t>
      </w:r>
      <w:r>
        <w:t xml:space="preserve"> </w:t>
      </w:r>
      <w:r>
        <w:t xml:space="preserve">: les arguments en faveur d’Azure sont l’intégration native avec Entra ID déjà en place (section 47.1), évitant une synchronisation d’identité supplémentaire à construire et maintenir. Les arguments contre une migration précipitée incluent l’absence de besoin démontré de changement (rappel du principe du chapitre 45 : ne jamais migrer sans bénéfice concret) et le coût d’apprentissage d’un second fournisseur cloud pour l’équipe, déjà engagée sur AWS pour le portail. La recommandation tranchée dépend du contexte réel : si ce système nécessite réellement une authentification étroitement liée à Active Directory pour de nombreux utilisateurs internes, Azure se justifie ; s’il s’agit d’un service isolé à faible trafic, rester simple (voire ne pas migrer du tout, rappel du chapitre 45) reste tout aussi défendable.</w:t>
      </w:r>
    </w:p>
    <w:p>
      <w:pPr>
        <w:pStyle w:val="BodyText"/>
      </w:pPr>
      <w:r>
        <w:rPr>
          <w:b/>
          <w:bCs/>
        </w:rPr>
        <w:t xml:space="preserve">Dépannage</w:t>
      </w:r>
      <w:r>
        <w:t xml:space="preserve"> </w:t>
      </w:r>
      <w:r>
        <w:t xml:space="preserve">: si tu hésites, reviens à la question centrale déjà posée au chapitre 45 (section 45.7) — le bénéfice réel démontré dépasse-t-il le coût et la complexité d’introduire un second fournisseur cloud dans l’organisation ?</w:t>
      </w:r>
    </w:p>
    <w:bookmarkEnd w:id="1166"/>
    <w:bookmarkStart w:id="1167" w:name="erreurs-fréquentes-46"/>
    <w:p>
      <w:pPr>
        <w:pStyle w:val="Heading2"/>
      </w:pPr>
      <w:r>
        <w:t xml:space="preserve">Erreurs fréquentes</w:t>
      </w:r>
    </w:p>
    <w:p>
      <w:pPr>
        <w:pStyle w:val="FirstParagraph"/>
      </w:pPr>
      <w:r>
        <w:t xml:space="preserve">⚠️ Erreur n°1 — recréer une gestion d’identité séparée sur Azure au lieu de réutiliser Entra ID</w:t>
      </w:r>
      <w:r>
        <w:t xml:space="preserve"> </w:t>
      </w:r>
      <w:r>
        <w:t xml:space="preserve">Rappel de la section 47.5 : ignorer l’intégration native déjà disponible reproduit exactement la même erreur déjà dénoncée au chapitre 22 (créer un second annuaire OpenLDAP séparé plutôt que de connecter les serveurs Linux à l’Active Directory déjà en place).</w:t>
      </w:r>
    </w:p>
    <w:p>
      <w:pPr>
        <w:pStyle w:val="BodyText"/>
      </w:pPr>
      <w:r>
        <w:t xml:space="preserve">⚠️ Erreur n°2 — supposer qu’Azure est</w:t>
      </w:r>
      <w:r>
        <w:t xml:space="preserve"> </w:t>
      </w:r>
      <w:r>
        <w:t xml:space="preserve">“plus sûr”</w:t>
      </w:r>
      <w:r>
        <w:t xml:space="preserve"> </w:t>
      </w:r>
      <w:r>
        <w:t xml:space="preserve">par défaut parce qu’il est signé Microsoft</w:t>
      </w:r>
      <w:r>
        <w:t xml:space="preserve"> </w:t>
      </w:r>
      <w:r>
        <w:t xml:space="preserve">Un raisonnement fallacieux — le modèle de responsabilité partagée (chapitre 45) s’applique de façon identique quel que soit le fournisseur ; un compte de stockage Azure mal configuré est tout aussi vulnérable qu’un bucket S3 mal configuré (section 47.4).</w:t>
      </w:r>
    </w:p>
    <w:p>
      <w:pPr>
        <w:pStyle w:val="BodyText"/>
      </w:pPr>
      <w:r>
        <w:t xml:space="preserve">⚠️ Erreur n°3 — introduire un second fournisseur cloud sans besoin réel démontré</w:t>
      </w:r>
      <w:r>
        <w:t xml:space="preserve"> </w:t>
      </w:r>
      <w:r>
        <w:t xml:space="preserve">Rappel du principe déjà établi au chapitre 42 pour Kubernetes, et au chapitre 45 pour le cloud en général : une décision technologique doit répondre à un besoin concret, jamais par simple opportunité ou par habitude de marque.</w:t>
      </w:r>
    </w:p>
    <w:bookmarkEnd w:id="1167"/>
    <w:bookmarkStart w:id="1168" w:name="en-entreprise-46"/>
    <w:p>
      <w:pPr>
        <w:pStyle w:val="Heading2"/>
      </w:pPr>
      <w:r>
        <w:t xml:space="preserve">En entreprise</w:t>
      </w:r>
    </w:p>
    <w:p>
      <w:pPr>
        <w:pStyle w:val="Compact"/>
        <w:numPr>
          <w:ilvl w:val="0"/>
          <w:numId w:val="2082"/>
        </w:numPr>
      </w:pPr>
      <w:r>
        <w:rPr>
          <w:b/>
          <w:bCs/>
        </w:rPr>
        <w:t xml:space="preserve">Bonne pratique répandue</w:t>
      </w:r>
      <w:r>
        <w:t xml:space="preserve"> </w:t>
      </w:r>
      <w:r>
        <w:t xml:space="preserve">: évaluer le choix entre fournisseurs cloud selon des critères d’intégration concrets avec l’infrastructure déjà en place, pas seulement selon des comparatifs génériques de fonctionnalités.</w:t>
      </w:r>
    </w:p>
    <w:p>
      <w:pPr>
        <w:pStyle w:val="Compact"/>
        <w:numPr>
          <w:ilvl w:val="0"/>
          <w:numId w:val="2082"/>
        </w:numPr>
      </w:pPr>
      <w:r>
        <w:rPr>
          <w:b/>
          <w:bCs/>
        </w:rPr>
        <w:t xml:space="preserve">Bonne pratique répandue</w:t>
      </w:r>
      <w:r>
        <w:t xml:space="preserve"> </w:t>
      </w:r>
      <w:r>
        <w:t xml:space="preserve">: appliquer la même rigueur de configuration de sécurité (IAM/Entra ID, MFA, segmentation réseau) quel que soit le fournisseur choisi, sans relâcher la vigilance sous prétexte d’une marque perçue comme plus fiable.</w:t>
      </w:r>
    </w:p>
    <w:p>
      <w:pPr>
        <w:pStyle w:val="Compact"/>
        <w:numPr>
          <w:ilvl w:val="0"/>
          <w:numId w:val="2082"/>
        </w:numPr>
      </w:pPr>
      <w:r>
        <w:rPr>
          <w:b/>
          <w:bCs/>
        </w:rPr>
        <w:t xml:space="preserve">Erreur classique observée</w:t>
      </w:r>
      <w:r>
        <w:t xml:space="preserve"> </w:t>
      </w:r>
      <w:r>
        <w:t xml:space="preserve">: des organisations qui adoptent Azure uniquement parce qu’elles utilisent déjà Microsoft 365, sans évaluer si le bénéfice d’intégration réel se matérialise pour le système précis concerné — une décision par habitude plutôt que par analyse contextuelle.</w:t>
      </w:r>
    </w:p>
    <w:bookmarkEnd w:id="1168"/>
    <w:bookmarkStart w:id="1169" w:name="entretien-technique-46"/>
    <w:p>
      <w:pPr>
        <w:pStyle w:val="Heading2"/>
      </w:pPr>
      <w:r>
        <w:t xml:space="preserve">Entretien technique</w:t>
      </w:r>
    </w:p>
    <w:p>
      <w:pPr>
        <w:pStyle w:val="FirstParagraph"/>
      </w:pPr>
      <w:r>
        <w:t xml:space="preserve">💼 Questions fréquemment posées en entretien</w:t>
      </w:r>
    </w:p>
    <w:p>
      <w:pPr>
        <w:pStyle w:val="BodyText"/>
      </w:pPr>
      <w:r>
        <w:rPr>
          <w:b/>
          <w:bCs/>
        </w:rPr>
        <w:t xml:space="preserve">Q1.</w:t>
      </w:r>
      <w:r>
        <w:rPr>
          <w:b/>
          <w:bCs/>
        </w:rPr>
        <w:t xml:space="preserve"> </w:t>
      </w:r>
      <w:r>
        <w:rPr>
          <w:b/>
          <w:bCs/>
        </w:rPr>
        <w:t xml:space="preserve">“Pourquoi une entreprise déjà investie dans l’écosystème Microsoft choisirait-elle Azure plutôt qu’AWS ?”</w:t>
      </w:r>
      <w:r>
        <w:t xml:space="preserve"> </w:t>
      </w:r>
      <w:r>
        <w:t xml:space="preserve">Réponse attendue : principalement pour l’intégration native avec Microsoft Entra ID, évitant une synchronisation ou une fédération d’identité supplémentaire à construire et maintenir avec un système d’identité cloud séparé comme AWS IAM — un avantage concret d’intégration, pas une supériorité technique générale.</w:t>
      </w:r>
    </w:p>
    <w:p>
      <w:pPr>
        <w:pStyle w:val="BodyText"/>
      </w:pPr>
      <w:r>
        <w:rPr>
          <w:b/>
          <w:bCs/>
        </w:rPr>
        <w:t xml:space="preserve">Q2.</w:t>
      </w:r>
      <w:r>
        <w:rPr>
          <w:b/>
          <w:bCs/>
        </w:rPr>
        <w:t xml:space="preserve"> </w:t>
      </w:r>
      <w:r>
        <w:rPr>
          <w:b/>
          <w:bCs/>
        </w:rPr>
        <w:t xml:space="preserve">“Quels sont les équivalents Azure d’EC2, S3 et RDS ?”</w:t>
      </w:r>
      <w:r>
        <w:t xml:space="preserve"> </w:t>
      </w:r>
      <w:r>
        <w:t xml:space="preserve">Réponse attendue : Azure Virtual Machines (calcul), Azure Blob Storage (stockage d’objets), Azure SQL Database (base de données managée) — les mêmes concepts fondamentaux que sur AWS, sous des noms différents.</w:t>
      </w:r>
    </w:p>
    <w:p>
      <w:pPr>
        <w:pStyle w:val="BodyText"/>
      </w:pPr>
      <w:r>
        <w:rPr>
          <w:b/>
          <w:bCs/>
        </w:rPr>
        <w:t xml:space="preserve">Q3.</w:t>
      </w:r>
      <w:r>
        <w:rPr>
          <w:b/>
          <w:bCs/>
        </w:rPr>
        <w:t xml:space="preserve"> </w:t>
      </w:r>
      <w:r>
        <w:rPr>
          <w:b/>
          <w:bCs/>
        </w:rPr>
        <w:t xml:space="preserve">“Le choix entre AWS et Azure doit-il se faire uniquement sur des critères techniques ?”</w:t>
      </w:r>
      <w:r>
        <w:t xml:space="preserve"> </w:t>
      </w:r>
      <w:r>
        <w:t xml:space="preserve">Réponse attendue : non, l’intégration avec l’écosystème existant (identité, outils déjà maîtrisés par l’équipe) pèse souvent davantage qu’une différence technique marginale entre fournisseurs offrant des services globalement équivalents — un principe de décision contextuelle déjà appliqué à chaque choix technologique de ce manuel.</w:t>
      </w:r>
    </w:p>
    <w:bookmarkEnd w:id="1169"/>
    <w:bookmarkStart w:id="1170" w:name="X36aafa1d1033f1778868fda86064af4751f00a3"/>
    <w:p>
      <w:pPr>
        <w:pStyle w:val="Heading2"/>
      </w:pPr>
      <w:r>
        <w:t xml:space="preserve">Optimisation, sécurité et maintenabilité — les réflexes dès ce chapitre</w:t>
      </w:r>
    </w:p>
    <w:p>
      <w:pPr>
        <w:pStyle w:val="FirstParagraph"/>
      </w:pPr>
      <w:r>
        <w:t xml:space="preserve">🔒 Sécurité</w:t>
      </w:r>
      <w:r>
        <w:t xml:space="preserve"> </w:t>
      </w:r>
      <w:r>
        <w:t xml:space="preserve">Applique la même rigueur de configuration (MFA, accès conditionnel, moindre privilège) à Entra ID sur Azure qu’à l’identité on-premise déjà sécurisée depuis les chapitres 22-26 — l’intégration native ne dispense jamais de cette vigilance.</w:t>
      </w:r>
    </w:p>
    <w:p>
      <w:pPr>
        <w:pStyle w:val="BodyText"/>
      </w:pPr>
      <w:r>
        <w:t xml:space="preserve">✅ Maintenabilité</w:t>
      </w:r>
      <w:r>
        <w:t xml:space="preserve"> </w:t>
      </w:r>
      <w:r>
        <w:t xml:space="preserve">Documente (chapitre 3) la justification précise de chaque choix de fournisseur cloud pour chaque système migré — une décision d’architecture qui semble évidente aujourd’hui (comme</w:t>
      </w:r>
      <w:r>
        <w:t xml:space="preserve"> </w:t>
      </w:r>
      <w:r>
        <w:t xml:space="preserve">“Azure parce qu’on a déjà Entra ID”</w:t>
      </w:r>
      <w:r>
        <w:t xml:space="preserve">) mérite d’être explicitée pour toute personne reprenant ce projet plus tard.</w:t>
      </w:r>
    </w:p>
    <w:p>
      <w:pPr>
        <w:pStyle w:val="BodyText"/>
      </w:pPr>
      <w:r>
        <w:t xml:space="preserve">🚀 Performance</w:t>
      </w:r>
      <w:r>
        <w:t xml:space="preserve"> </w:t>
      </w:r>
      <w:r>
        <w:t xml:space="preserve">Évalue le coût réel d’introduire un second fournisseur cloud (formation de l’équipe, complexité opérationnelle accrue) face au bénéfice d’intégration — un compromis à chiffrer concrètement plutôt que supposé, un sujet approfondi au chapitre 50 (FinOps) et au chapitre 49 (stratégies multi-cloud).</w:t>
      </w:r>
    </w:p>
    <w:bookmarkEnd w:id="1170"/>
    <w:bookmarkStart w:id="1171" w:name="résumé-du-chapitre-46"/>
    <w:p>
      <w:pPr>
        <w:pStyle w:val="Heading2"/>
      </w:pPr>
      <w:r>
        <w:t xml:space="preserve">Résumé du chapitre</w:t>
      </w:r>
    </w:p>
    <w:p>
      <w:pPr>
        <w:pStyle w:val="Compact"/>
        <w:numPr>
          <w:ilvl w:val="0"/>
          <w:numId w:val="2083"/>
        </w:numPr>
      </w:pPr>
      <w:r>
        <w:t xml:space="preserve">Azure offre les mêmes concepts fondamentaux qu’AWS (régions, zones de disponibilité, VM, stockage, réseau segmenté, base de données managée) sous un vocabulaire différent.</w:t>
      </w:r>
    </w:p>
    <w:p>
      <w:pPr>
        <w:pStyle w:val="Compact"/>
        <w:numPr>
          <w:ilvl w:val="0"/>
          <w:numId w:val="2083"/>
        </w:numPr>
      </w:pPr>
      <w:r>
        <w:t xml:space="preserve">Le véritable argument différenciateur d’Azure pour cette entreprise est l’intégration native avec Microsoft Entra ID, déjà en place depuis le chapitre 8.</w:t>
      </w:r>
    </w:p>
    <w:p>
      <w:pPr>
        <w:pStyle w:val="Compact"/>
        <w:numPr>
          <w:ilvl w:val="0"/>
          <w:numId w:val="2083"/>
        </w:numPr>
      </w:pPr>
      <w:r>
        <w:t xml:space="preserve">Le modèle de responsabilité partagée et les risques de configuration (comme un stockage exposé publiquement) restent identiques, indépendamment du fournisseur.</w:t>
      </w:r>
    </w:p>
    <w:p>
      <w:pPr>
        <w:pStyle w:val="Compact"/>
        <w:numPr>
          <w:ilvl w:val="0"/>
          <w:numId w:val="2083"/>
        </w:numPr>
      </w:pPr>
      <w:r>
        <w:t xml:space="preserve">Le choix entre AWS et Azure doit rester contextuel, basé sur un besoin réel d’intégration ou de compétence déjà en place, jamais sur une préférence de marque ou une supposition de sécurité supérieure par défaut.</w:t>
      </w:r>
    </w:p>
    <w:bookmarkEnd w:id="1171"/>
    <w:bookmarkStart w:id="1172" w:name="quiz-46"/>
    <w:p>
      <w:pPr>
        <w:pStyle w:val="Heading2"/>
      </w:pPr>
      <w:r>
        <w:t xml:space="preserve">Quiz</w:t>
      </w:r>
    </w:p>
    <w:p>
      <w:pPr>
        <w:pStyle w:val="FirstParagraph"/>
      </w:pPr>
      <w:r>
        <w:t xml:space="preserve">📝 QCM (une seule bonne réponse par question)</w:t>
      </w:r>
    </w:p>
    <w:p>
      <w:pPr>
        <w:pStyle w:val="Compact"/>
        <w:numPr>
          <w:ilvl w:val="0"/>
          <w:numId w:val="2084"/>
        </w:numPr>
      </w:pPr>
      <w:r>
        <w:t xml:space="preserve">L’équivalent Azure d’EC2 est :</w:t>
      </w:r>
    </w:p>
    <w:p>
      <w:pPr>
        <w:pStyle w:val="Compact"/>
        <w:numPr>
          <w:ilvl w:val="1"/>
          <w:numId w:val="2085"/>
        </w:numPr>
      </w:pPr>
    </w:p>
    <w:p>
      <w:pPr>
        <w:pStyle w:val="Compact"/>
        <w:numPr>
          <w:ilvl w:val="2"/>
          <w:numId w:val="2086"/>
        </w:numPr>
      </w:pPr>
      <w:r>
        <w:t xml:space="preserve">Azure Blob Storage</w:t>
      </w:r>
    </w:p>
    <w:p>
      <w:pPr>
        <w:pStyle w:val="Compact"/>
        <w:numPr>
          <w:ilvl w:val="1"/>
          <w:numId w:val="2085"/>
        </w:numPr>
      </w:pPr>
    </w:p>
    <w:p>
      <w:pPr>
        <w:pStyle w:val="Compact"/>
        <w:numPr>
          <w:ilvl w:val="2"/>
          <w:numId w:val="2087"/>
        </w:numPr>
      </w:pPr>
      <w:r>
        <w:t xml:space="preserve">Azure Virtual Machines</w:t>
      </w:r>
    </w:p>
    <w:p>
      <w:pPr>
        <w:pStyle w:val="Compact"/>
        <w:numPr>
          <w:ilvl w:val="1"/>
          <w:numId w:val="2085"/>
        </w:numPr>
      </w:pPr>
    </w:p>
    <w:p>
      <w:pPr>
        <w:pStyle w:val="Compact"/>
        <w:numPr>
          <w:ilvl w:val="2"/>
          <w:numId w:val="2088"/>
        </w:numPr>
      </w:pPr>
      <w:r>
        <w:t xml:space="preserve">Azure SQL Database</w:t>
      </w:r>
    </w:p>
    <w:p>
      <w:pPr>
        <w:pStyle w:val="Compact"/>
        <w:numPr>
          <w:ilvl w:val="1"/>
          <w:numId w:val="2085"/>
        </w:numPr>
      </w:pPr>
    </w:p>
    <w:p>
      <w:pPr>
        <w:pStyle w:val="Compact"/>
        <w:numPr>
          <w:ilvl w:val="2"/>
          <w:numId w:val="2089"/>
        </w:numPr>
      </w:pPr>
      <w:r>
        <w:t xml:space="preserve">Microsoft Entra ID</w:t>
      </w:r>
    </w:p>
    <w:p>
      <w:pPr>
        <w:pStyle w:val="Compact"/>
        <w:numPr>
          <w:ilvl w:val="0"/>
          <w:numId w:val="2084"/>
        </w:numPr>
      </w:pPr>
      <w:r>
        <w:t xml:space="preserve">Le véritable argument différenciateur d’Azure pour une entreprise déjà investie dans l’écosystème Microsoft est :</w:t>
      </w:r>
    </w:p>
    <w:p>
      <w:pPr>
        <w:pStyle w:val="Compact"/>
        <w:numPr>
          <w:ilvl w:val="1"/>
          <w:numId w:val="2090"/>
        </w:numPr>
      </w:pPr>
    </w:p>
    <w:p>
      <w:pPr>
        <w:pStyle w:val="Compact"/>
        <w:numPr>
          <w:ilvl w:val="2"/>
          <w:numId w:val="2091"/>
        </w:numPr>
      </w:pPr>
      <w:r>
        <w:t xml:space="preserve">Un prix systématiquement inférieur à AWS</w:t>
      </w:r>
    </w:p>
    <w:p>
      <w:pPr>
        <w:pStyle w:val="Compact"/>
        <w:numPr>
          <w:ilvl w:val="1"/>
          <w:numId w:val="2090"/>
        </w:numPr>
      </w:pPr>
    </w:p>
    <w:p>
      <w:pPr>
        <w:pStyle w:val="Compact"/>
        <w:numPr>
          <w:ilvl w:val="2"/>
          <w:numId w:val="2092"/>
        </w:numPr>
      </w:pPr>
      <w:r>
        <w:t xml:space="preserve">L’intégration native avec Microsoft Entra ID</w:t>
      </w:r>
    </w:p>
    <w:p>
      <w:pPr>
        <w:pStyle w:val="Compact"/>
        <w:numPr>
          <w:ilvl w:val="1"/>
          <w:numId w:val="2090"/>
        </w:numPr>
      </w:pPr>
    </w:p>
    <w:p>
      <w:pPr>
        <w:pStyle w:val="Compact"/>
        <w:numPr>
          <w:ilvl w:val="2"/>
          <w:numId w:val="2093"/>
        </w:numPr>
      </w:pPr>
      <w:r>
        <w:t xml:space="preserve">L’absence totale de risque de sécurité</w:t>
      </w:r>
    </w:p>
    <w:p>
      <w:pPr>
        <w:pStyle w:val="Compact"/>
        <w:numPr>
          <w:ilvl w:val="1"/>
          <w:numId w:val="2090"/>
        </w:numPr>
      </w:pPr>
    </w:p>
    <w:p>
      <w:pPr>
        <w:pStyle w:val="Compact"/>
        <w:numPr>
          <w:ilvl w:val="2"/>
          <w:numId w:val="2094"/>
        </w:numPr>
      </w:pPr>
      <w:r>
        <w:t xml:space="preserve">Une meilleure documentation qu’AWS</w:t>
      </w:r>
    </w:p>
    <w:p>
      <w:pPr>
        <w:pStyle w:val="Compact"/>
        <w:numPr>
          <w:ilvl w:val="0"/>
          <w:numId w:val="2084"/>
        </w:numPr>
      </w:pPr>
      <w:r>
        <w:t xml:space="preserve">Un compte de stockage Azure Blob mal configuré :</w:t>
      </w:r>
    </w:p>
    <w:p>
      <w:pPr>
        <w:pStyle w:val="Compact"/>
        <w:numPr>
          <w:ilvl w:val="1"/>
          <w:numId w:val="2095"/>
        </w:numPr>
      </w:pPr>
    </w:p>
    <w:p>
      <w:pPr>
        <w:pStyle w:val="Compact"/>
        <w:numPr>
          <w:ilvl w:val="2"/>
          <w:numId w:val="2096"/>
        </w:numPr>
      </w:pPr>
      <w:r>
        <w:t xml:space="preserve">Ne peut jamais être exposé publiquement, contrairement à S3</w:t>
      </w:r>
    </w:p>
    <w:p>
      <w:pPr>
        <w:pStyle w:val="Compact"/>
        <w:numPr>
          <w:ilvl w:val="1"/>
          <w:numId w:val="2095"/>
        </w:numPr>
      </w:pPr>
    </w:p>
    <w:p>
      <w:pPr>
        <w:pStyle w:val="Compact"/>
        <w:numPr>
          <w:ilvl w:val="2"/>
          <w:numId w:val="2097"/>
        </w:numPr>
      </w:pPr>
      <w:r>
        <w:t xml:space="preserve">Présente le même risque d’exposition publique qu’un bucket S3 mal configuré</w:t>
      </w:r>
    </w:p>
    <w:p>
      <w:pPr>
        <w:pStyle w:val="Compact"/>
        <w:numPr>
          <w:ilvl w:val="1"/>
          <w:numId w:val="2095"/>
        </w:numPr>
      </w:pPr>
    </w:p>
    <w:p>
      <w:pPr>
        <w:pStyle w:val="Compact"/>
        <w:numPr>
          <w:ilvl w:val="2"/>
          <w:numId w:val="2098"/>
        </w:numPr>
      </w:pPr>
      <w:r>
        <w:t xml:space="preserve">Est automatiquement sécurisé par Microsoft</w:t>
      </w:r>
    </w:p>
    <w:p>
      <w:pPr>
        <w:pStyle w:val="Compact"/>
        <w:numPr>
          <w:ilvl w:val="1"/>
          <w:numId w:val="2095"/>
        </w:numPr>
      </w:pPr>
    </w:p>
    <w:p>
      <w:pPr>
        <w:pStyle w:val="Compact"/>
        <w:numPr>
          <w:ilvl w:val="2"/>
          <w:numId w:val="2099"/>
        </w:numPr>
      </w:pPr>
      <w:r>
        <w:t xml:space="preserve">N’existe pas comme concept sur Azure</w:t>
      </w:r>
    </w:p>
    <w:p>
      <w:pPr>
        <w:pStyle w:val="FirstParagraph"/>
      </w:pPr>
      <w:r>
        <w:rPr>
          <w:b/>
          <w:bCs/>
        </w:rPr>
        <w:t xml:space="preserve">Corrigé</w:t>
      </w:r>
      <w:r>
        <w:t xml:space="preserve"> </w:t>
      </w:r>
      <w:r>
        <w:t xml:space="preserve">: 1-b, 2-b, 3-b.</w:t>
      </w:r>
    </w:p>
    <w:p>
      <w:pPr>
        <w:pStyle w:val="BodyText"/>
      </w:pPr>
      <w:r>
        <w:t xml:space="preserve">📝 Vrai ou Faux</w:t>
      </w:r>
    </w:p>
    <w:p>
      <w:pPr>
        <w:pStyle w:val="Compact"/>
        <w:numPr>
          <w:ilvl w:val="0"/>
          <w:numId w:val="2100"/>
        </w:numPr>
      </w:pPr>
      <w:r>
        <w:t xml:space="preserve">Azure et AWS partagent globalement les mêmes concepts fondamentaux, sous un vocabulaire différent. —</w:t>
      </w:r>
      <w:r>
        <w:t xml:space="preserve"> </w:t>
      </w:r>
      <w:r>
        <w:rPr>
          <w:b/>
          <w:bCs/>
        </w:rPr>
        <w:t xml:space="preserve">Vrai</w:t>
      </w:r>
      <w:r>
        <w:t xml:space="preserve">.</w:t>
      </w:r>
    </w:p>
    <w:p>
      <w:pPr>
        <w:pStyle w:val="Compact"/>
        <w:numPr>
          <w:ilvl w:val="0"/>
          <w:numId w:val="2100"/>
        </w:numPr>
      </w:pPr>
      <w:r>
        <w:t xml:space="preserve">Une entreprise déjà utilisatrice de Microsoft Entra ID devrait automatiquement migrer tous ses systèmes vers Azure. —</w:t>
      </w:r>
      <w:r>
        <w:t xml:space="preserve"> </w:t>
      </w:r>
      <w:r>
        <w:rPr>
          <w:b/>
          <w:bCs/>
        </w:rPr>
        <w:t xml:space="preserve">Faux</w:t>
      </w:r>
      <w:r>
        <w:t xml:space="preserve"> </w:t>
      </w:r>
      <w:r>
        <w:t xml:space="preserve">(une décision contextuelle, section 47.7, pas une règle automatique).</w:t>
      </w:r>
    </w:p>
    <w:p>
      <w:pPr>
        <w:pStyle w:val="Compact"/>
        <w:numPr>
          <w:ilvl w:val="0"/>
          <w:numId w:val="2100"/>
        </w:numPr>
      </w:pPr>
      <w:r>
        <w:t xml:space="preserve">Le modèle de responsabilité partagée diffère fondamentalement entre AWS et Azure. —</w:t>
      </w:r>
      <w:r>
        <w:t xml:space="preserve"> </w:t>
      </w:r>
      <w:r>
        <w:rPr>
          <w:b/>
          <w:bCs/>
        </w:rPr>
        <w:t xml:space="preserve">Faux</w:t>
      </w:r>
      <w:r>
        <w:t xml:space="preserve"> </w:t>
      </w:r>
      <w:r>
        <w:t xml:space="preserve">(le même principe s’applique, quel que soit le fournisseur).</w:t>
      </w:r>
    </w:p>
    <w:p>
      <w:pPr>
        <w:pStyle w:val="Compact"/>
        <w:numPr>
          <w:ilvl w:val="0"/>
          <w:numId w:val="2100"/>
        </w:numPr>
      </w:pPr>
      <w:r>
        <w:t xml:space="preserve">L’intégration Entra ID d’Azure dispense de l’application du MFA et de l’accès conditionnel déjà établis. —</w:t>
      </w:r>
      <w:r>
        <w:t xml:space="preserve"> </w:t>
      </w:r>
      <w:r>
        <w:rPr>
          <w:b/>
          <w:bCs/>
        </w:rPr>
        <w:t xml:space="preserve">Faux</w:t>
      </w:r>
      <w:r>
        <w:t xml:space="preserve"> </w:t>
      </w:r>
      <w:r>
        <w:t xml:space="preserve">(ces principes restent tout aussi nécessaires, section 47.5).</w:t>
      </w:r>
    </w:p>
    <w:p>
      <w:pPr>
        <w:pStyle w:val="FirstParagraph"/>
      </w:pPr>
      <w:r>
        <w:t xml:space="preserve">📝 Questions ouvertes</w:t>
      </w:r>
    </w:p>
    <w:p>
      <w:pPr>
        <w:pStyle w:val="Compact"/>
        <w:numPr>
          <w:ilvl w:val="0"/>
          <w:numId w:val="2101"/>
        </w:numPr>
      </w:pPr>
      <w:r>
        <w:t xml:space="preserve">Explique pourquoi le choix entre AWS et Azure ne devrait jamais se réduire à une simple préférence de marque.</w:t>
      </w:r>
    </w:p>
    <w:p>
      <w:pPr>
        <w:pStyle w:val="Compact"/>
        <w:numPr>
          <w:ilvl w:val="0"/>
          <w:numId w:val="2101"/>
        </w:numPr>
      </w:pPr>
      <w:r>
        <w:t xml:space="preserve">Reprends le scénario d’ouverture. Explique pourquoi l’extension du système de gestion documentaire constitue un meilleur candidat pour Azure que ne l’était le portail client pour AWS.</w:t>
      </w:r>
    </w:p>
    <w:p>
      <w:pPr>
        <w:pStyle w:val="FirstParagraph"/>
      </w:pPr>
      <w:r>
        <w:rPr>
          <w:b/>
          <w:bCs/>
        </w:rPr>
        <w:t xml:space="preserve">Corrigé 1</w:t>
      </w:r>
      <w:r>
        <w:t xml:space="preserve"> </w:t>
      </w:r>
      <w:r>
        <w:t xml:space="preserve">: les deux fournisseurs offrent des services globalement équivalents pour la grande majorité des besoins (section 47.3) — une préférence de marque sans critère concret ignore les véritables facteurs de décision pertinents (intégration avec l’existant, compétence déjà maîtrisée par l’équipe, coût réel), risquant une décision arbitraire difficile à justifier objectivement lors d’un futur audit ou d’une revue d’architecture.</w:t>
      </w:r>
    </w:p>
    <w:p>
      <w:pPr>
        <w:pStyle w:val="BodyText"/>
      </w:pPr>
      <w:r>
        <w:rPr>
          <w:b/>
          <w:bCs/>
        </w:rPr>
        <w:t xml:space="preserve">Corrigé 2</w:t>
      </w:r>
      <w:r>
        <w:t xml:space="preserve"> </w:t>
      </w:r>
      <w:r>
        <w:t xml:space="preserve">: le portail client (chapitre 46) est un système exposé publiquement, sans dépendance particulière à l’identité interne de l’entreprise — le choix d’AWS reposait sur sa popularité et sa documentation, pas sur un besoin d’intégration spécifique. Le système de gestion documentaire, à l’inverse, authentifie déjà ses utilisateurs via une chaîne directement liée à Active Directory (SSSD, chapitre 22) — un système fortement ancré dans l’identité interne de l’entreprise, exactement le profil qui bénéficie le plus de l’intégration native d’Azure avec Entra ID, contrairement au portail dont l’audience est principalement externe et sans lien avec cette identité interne.</w:t>
      </w:r>
    </w:p>
    <w:bookmarkEnd w:id="1172"/>
    <w:bookmarkStart w:id="1173" w:name="exercices-46"/>
    <w:p>
      <w:pPr>
        <w:pStyle w:val="Heading2"/>
      </w:pPr>
      <w:r>
        <w:t xml:space="preserve">Exercices</w:t>
      </w:r>
    </w:p>
    <w:p>
      <w:pPr>
        <w:pStyle w:val="FirstParagraph"/>
      </w:pPr>
      <w:r>
        <w:t xml:space="preserve">📝 Exercice 47.1</w:t>
      </w:r>
    </w:p>
    <w:p>
      <w:pPr>
        <w:pStyle w:val="BodyText"/>
      </w:pPr>
      <w:r>
        <w:t xml:space="preserve">Une équipe migre un système vers Azure en créant des comptes locaux distincts dans Entra ID, sans les synchroniser avec l’Active Directory local déjà en place depuis le chapitre 5. Explique le risque de cette approche, en t’appuyant sur la section 47.5 et le chapitre 22.</w:t>
      </w:r>
    </w:p>
    <w:p>
      <w:pPr>
        <w:pStyle w:val="BodyText"/>
      </w:pPr>
      <w:r>
        <w:rPr>
          <w:b/>
          <w:bCs/>
        </w:rPr>
        <w:t xml:space="preserve">Corrigé :</w:t>
      </w:r>
      <w:r>
        <w:t xml:space="preserve"> </w:t>
      </w:r>
      <w:r>
        <w:t xml:space="preserve">Cette approche recrée exactement le problème déjà résolu au chapitre 22 par SSSD — une seconde source de vérité pour l’identité, séparée de l’Active Directory local, nécessitant une gestion manuelle indépendante (création, désactivation de comptes) à chaque changement de personnel. Un employé désactivé dans Active Directory local conserverait alors son accès à ce système Azure tant que son compte Entra ID local distinct n’est pas désactivé séparément — exactement le risque de</w:t>
      </w:r>
      <w:r>
        <w:t xml:space="preserve"> </w:t>
      </w:r>
      <w:r>
        <w:t xml:space="preserve">“compte fantôme”</w:t>
      </w:r>
      <w:r>
        <w:t xml:space="preserve"> </w:t>
      </w:r>
      <w:r>
        <w:t xml:space="preserve">déjà dénoncé au chapitre 3, reproduit ici dans un nouveau contexte cloud malgré l’existence d’une intégration native qui aurait permis de l’éviter entièrement.</w:t>
      </w:r>
    </w:p>
    <w:p>
      <w:pPr>
        <w:pStyle w:val="BodyText"/>
      </w:pPr>
      <w:r>
        <w:t xml:space="preserve">📝 Exercice 47.2</w:t>
      </w:r>
    </w:p>
    <w:p>
      <w:pPr>
        <w:pStyle w:val="BodyText"/>
      </w:pPr>
      <w:r>
        <w:t xml:space="preserve">Rédige, en 3 à 5 phrases, une politique courte que tu proposerais à l’entreprise concernant le choix entre AWS et Azure pour tout futur système à migrer vers le cloud.</w:t>
      </w:r>
    </w:p>
    <w:p>
      <w:pPr>
        <w:pStyle w:val="BodyText"/>
      </w:pPr>
      <w:r>
        <w:rPr>
          <w:b/>
          <w:bCs/>
        </w:rPr>
        <w:t xml:space="preserve">Corrigé (exemple de réponse) :</w:t>
      </w:r>
      <w:r>
        <w:t xml:space="preserve"> </w:t>
      </w:r>
      <w:r>
        <w:t xml:space="preserve">Pour tout nouveau système à migrer, évaluer d’abord sa dépendance réelle à l’identité interne de l’entreprise (Active Directory/Entra ID) — un système fortement dépendant de cette identité doit privilégier Azure pour son intégration native, tandis qu’un système exposé publiquement sans lien particulier avec l’identité interne peut rester sur AWS, déjà maîtrisé par l’équipe depuis le pilote du portail client. Éviter systématiquement d’introduire un troisième fournisseur cloud sans justification aussi solide que celles déjà établies pour les deux premiers, afin de ne pas disperser inutilement la charge opérationnelle et la compétence de l’équipe sur trop d’écosystèmes distincts.</w:t>
      </w:r>
    </w:p>
    <w:bookmarkEnd w:id="1173"/>
    <w:bookmarkStart w:id="1174" w:name="checklist-de-fin-de-chapitre-46"/>
    <w:p>
      <w:pPr>
        <w:pStyle w:val="Heading2"/>
      </w:pPr>
      <w:r>
        <w:t xml:space="preserve">Checklist de fin de chapitre</w:t>
      </w:r>
    </w:p>
    <w:p>
      <w:pPr>
        <w:pStyle w:val="FirstParagraph"/>
      </w:pPr>
      <w:r>
        <w:t xml:space="preserve">☐ Je sais situer les équivalents Azure des services AWS déjà appris (VM, stockage, réseau, base de données).</w:t>
      </w:r>
    </w:p>
    <w:p>
      <w:pPr>
        <w:pStyle w:val="BodyText"/>
      </w:pPr>
      <w:r>
        <w:t xml:space="preserve">☐ Je comprends pourquoi l’intégration Entra ID constitue le véritable argument différenciateur d’Azure pour cette entreprise.</w:t>
      </w:r>
    </w:p>
    <w:p>
      <w:pPr>
        <w:pStyle w:val="BodyText"/>
      </w:pPr>
      <w:r>
        <w:t xml:space="preserve">☐ Je sais que le modèle de responsabilité partagée et les risques de configuration restent identiques, quel que soit le fournisseur.</w:t>
      </w:r>
    </w:p>
    <w:p>
      <w:pPr>
        <w:pStyle w:val="BodyText"/>
      </w:pPr>
      <w:r>
        <w:t xml:space="preserve">☐ Je sais appliquer un critère de décision contextuel entre AWS et Azure, plutôt qu’une préférence de marque.</w:t>
      </w:r>
    </w:p>
    <w:p>
      <w:pPr>
        <w:pStyle w:val="BodyText"/>
      </w:pPr>
      <w:r>
        <w:t xml:space="preserve">☐ Je comprends pourquoi recréer une identité séparée sur Azure, sans réutiliser Entra ID existant, reproduit une erreur déjà rencontrée au chapitre 22.</w:t>
      </w:r>
    </w:p>
    <w:bookmarkEnd w:id="1174"/>
    <w:bookmarkStart w:id="1175" w:name="faq-46"/>
    <w:p>
      <w:pPr>
        <w:pStyle w:val="Heading2"/>
      </w:pPr>
      <w:r>
        <w:t xml:space="preserve">FAQ</w:t>
      </w:r>
    </w:p>
    <w:p>
      <w:pPr>
        <w:pStyle w:val="FirstParagraph"/>
      </w:pPr>
      <w:r>
        <w:t xml:space="preserve">Peut-on utiliser Microsoft Entra ID pour gérer l’identité sur des ressources AWS également ?</w:t>
      </w:r>
    </w:p>
    <w:p>
      <w:pPr>
        <w:pStyle w:val="BodyText"/>
      </w:pPr>
      <w:r>
        <w:t xml:space="preserve">Oui, une fédération d’identité entre Entra ID et AWS IAM est techniquement possible — mais elle ajoute une couche de configuration supplémentaire à maintenir, contrairement à l’intégration native disponible directement sur Azure, exactement le compromis évoqué en section 47.1.</w:t>
      </w:r>
    </w:p>
    <w:p>
      <w:pPr>
        <w:pStyle w:val="BodyText"/>
      </w:pPr>
      <w:r>
        <w:t xml:space="preserve">Azure est-il toujours plus cher ou moins cher qu’AWS ?</w:t>
      </w:r>
    </w:p>
    <w:p>
      <w:pPr>
        <w:pStyle w:val="BodyText"/>
      </w:pPr>
      <w:r>
        <w:t xml:space="preserve">Il n’existe pas de réponse universelle — les deux fournisseurs proposent des modèles de tarification comparables, avec des variations selon le service précis et le volume d’usage, un sujet à évaluer concrètement au chapitre 50 (FinOps) plutôt que de supposer une différence générale.</w:t>
      </w:r>
    </w:p>
    <w:p>
      <w:pPr>
        <w:pStyle w:val="BodyText"/>
      </w:pPr>
      <w:r>
        <w:t xml:space="preserve">Faut-il éviter complètement d’utiliser deux fournisseurs cloud différents dans la même entreprise ?</w:t>
      </w:r>
    </w:p>
    <w:p>
      <w:pPr>
        <w:pStyle w:val="BodyText"/>
      </w:pPr>
      <w:r>
        <w:t xml:space="preserve">Pas nécessairement, mais chaque fournisseur ajouté représente un coût réel de complexité opérationnelle et de compétence à maintenir — un compromis à évaluer soigneusement, approfondi au chapitre 49 sur les stratégies hybrides et multi-cloud.</w:t>
      </w:r>
    </w:p>
    <w:p>
      <w:pPr>
        <w:pStyle w:val="BodyText"/>
      </w:pPr>
      <w:r>
        <w:t xml:space="preserve">L’intégration Entra ID rend-elle Azure automatiquement plus sécurisé qu’AWS ?</w:t>
      </w:r>
    </w:p>
    <w:p>
      <w:pPr>
        <w:pStyle w:val="BodyText"/>
      </w:pPr>
      <w:r>
        <w:t xml:space="preserve">Non — la sécurité réelle dépend entièrement de la configuration appliquée par le client (MFA, accès conditionnel, moindre privilège), pas du fournisseur choisi. L’intégration facilite la cohérence de gestion de l’identité, elle ne remplace jamais la rigueur de configuration nécessaire, rappel direct de la section 47.5.</w:t>
      </w:r>
    </w:p>
    <w:bookmarkEnd w:id="1175"/>
    <w:bookmarkStart w:id="1179" w:name="références-et-pour-aller-plus-loin-46"/>
    <w:p>
      <w:pPr>
        <w:pStyle w:val="Heading2"/>
      </w:pPr>
      <w:r>
        <w:t xml:space="preserve">Références et pour aller plus loin</w:t>
      </w:r>
    </w:p>
    <w:p>
      <w:pPr>
        <w:pStyle w:val="Compact"/>
        <w:numPr>
          <w:ilvl w:val="0"/>
          <w:numId w:val="2102"/>
        </w:numPr>
      </w:pPr>
      <w:r>
        <w:t xml:space="preserve">Documentation officielle Microsoft Azure :</w:t>
      </w:r>
      <w:r>
        <w:t xml:space="preserve"> </w:t>
      </w:r>
      <w:hyperlink r:id="rId1176">
        <w:r>
          <w:rPr>
            <w:rStyle w:val="Hyperlink"/>
          </w:rPr>
          <w:t xml:space="preserve">https://learn.microsoft.com/fr-fr/azure/</w:t>
        </w:r>
      </w:hyperlink>
    </w:p>
    <w:p>
      <w:pPr>
        <w:pStyle w:val="Compact"/>
        <w:numPr>
          <w:ilvl w:val="0"/>
          <w:numId w:val="2102"/>
        </w:numPr>
      </w:pPr>
      <w:r>
        <w:t xml:space="preserve">Microsoft Learn — Azure Well-Architected Framework :</w:t>
      </w:r>
      <w:r>
        <w:t xml:space="preserve"> </w:t>
      </w:r>
      <w:hyperlink r:id="rId1177">
        <w:r>
          <w:rPr>
            <w:rStyle w:val="Hyperlink"/>
          </w:rPr>
          <w:t xml:space="preserve">https://learn.microsoft.com/fr-fr/azure/well-architected/</w:t>
        </w:r>
      </w:hyperlink>
    </w:p>
    <w:p>
      <w:pPr>
        <w:pStyle w:val="Compact"/>
        <w:numPr>
          <w:ilvl w:val="0"/>
          <w:numId w:val="2102"/>
        </w:numPr>
      </w:pPr>
      <w:r>
        <w:t xml:space="preserve">Microsoft Learn — Sécurité des comptes de stockage Azure :</w:t>
      </w:r>
      <w:r>
        <w:t xml:space="preserve"> </w:t>
      </w:r>
      <w:hyperlink r:id="rId1178">
        <w:r>
          <w:rPr>
            <w:rStyle w:val="Hyperlink"/>
          </w:rPr>
          <w:t xml:space="preserve">https://learn.microsoft.com/fr-fr/azure/storage/blobs/security-recommendations</w:t>
        </w:r>
      </w:hyperlink>
    </w:p>
    <w:p>
      <w:pPr>
        <w:pStyle w:val="FirstParagraph"/>
      </w:pPr>
      <w:r>
        <w:rPr>
          <w:i/>
          <w:iCs/>
        </w:rPr>
        <w:t xml:space="preserve">Chapitre suivant : Google Cloud Platform — architecture et services essentiels, pour compléter la vue d’ensemble des trois grands fournisseurs cloud avant d’aborder les stratégies hybrides et multi-cloud.</w:t>
      </w:r>
    </w:p>
    <w:p>
      <w:pPr>
        <w:pStyle w:val="BodyText"/>
      </w:pPr>
      <w:r>
        <w:t xml:space="preserve">CHAPITRE 48</w:t>
      </w:r>
    </w:p>
    <w:bookmarkEnd w:id="1179"/>
    <w:bookmarkEnd w:id="1180"/>
    <w:bookmarkStart w:id="1202" w:name="X661709d550450cd1db75106b60b2499e08be940"/>
    <w:p>
      <w:pPr>
        <w:pStyle w:val="Heading1"/>
      </w:pPr>
      <w:r>
        <w:t xml:space="preserve">Google Cloud Platform : architecture et services essentiels</w:t>
      </w:r>
    </w:p>
    <w:p>
      <w:pPr>
        <w:pStyle w:val="FirstParagraph"/>
      </w:pPr>
      <w:r>
        <w:t xml:space="preserve">🎯 Objectif du chapitre</w:t>
      </w:r>
      <w:r>
        <w:t xml:space="preserve"> </w:t>
      </w:r>
      <w:r>
        <w:t xml:space="preserve">Compléter la vue d’ensemble des trois grands fournisseurs cloud en identifiant l’argument différenciateur de GCP : son lien historique avec Kubernetes, déjà largement pratiqué en Partie 7. À la fin de ce chapitre, tu sauras situer les équivalents GCP des services déjà appris, comprendre GKE comme service Kubernetes managé, et juger objectivement si déléguer la gestion du plan de contrôle Kubernetes à un fournisseur se justifie pour l’entreprise de ce manuel.</w:t>
      </w:r>
    </w:p>
    <w:p>
      <w:pPr>
        <w:pStyle w:val="BodyText"/>
      </w:pPr>
      <w:r>
        <w:t xml:space="preserve">🎬 Mise en situation</w:t>
      </w:r>
      <w:r>
        <w:t xml:space="preserve"> </w:t>
      </w:r>
      <w:r>
        <w:t xml:space="preserve">Le cluster Kubernetes du portail client (chapitres 42-44) fonctionne bien, mais maintenir le plan de contrôle représente une charge opérationnelle réelle pour une équipe encore réduite. Un membre de l’équipe, qui a suivi une formation externe, mentionne que Google Kubernetes Engine (GKE) — le service managé de Google Cloud — bénéficierait d’une maturité particulière, Google ayant elle-même créé et open-sourcé Kubernetes en 2014.</w:t>
      </w:r>
      <w:r>
        <w:t xml:space="preserve"> </w:t>
      </w:r>
      <w:r>
        <w:t xml:space="preserve">“Est-ce qu’on ne devrait pas confier notre cluster à ceux qui l’ont inventé ?”</w:t>
      </w:r>
      <w:r>
        <w:t xml:space="preserve"> </w:t>
      </w:r>
      <w:r>
        <w:t xml:space="preserve">demande-t-il. Une question légitime, mais qui mérite d’être posée avec la même rigueur que chaque choix technologique de ce manuel, pas par simple fascination pour l’origine du projet.</w:t>
      </w:r>
    </w:p>
    <w:bookmarkStart w:id="1181" w:name="X2ab1289a94ed43dd229d7d6f777f7accbfe4b42"/>
    <w:p>
      <w:pPr>
        <w:pStyle w:val="Heading2"/>
      </w:pPr>
      <w:r>
        <w:t xml:space="preserve">48.1 L’argument différenciateur de GCP : l’origine de Kubernetes</w:t>
      </w:r>
    </w:p>
    <w:p>
      <w:pPr>
        <w:pStyle w:val="FirstParagraph"/>
      </w:pPr>
      <w:r>
        <w:t xml:space="preserve">📌 À retenir — un fait historique réel, à ne pas confondre avec une garantie de supériorité</w:t>
      </w:r>
      <w:r>
        <w:t xml:space="preserve"> </w:t>
      </w:r>
      <w:r>
        <w:t xml:space="preserve">Rappel direct du chapitre 42 : Kubernetes est né en interne chez Google (dérivé de son système interne Borg) avant d’être open-sourcé en 2014.</w:t>
      </w:r>
      <w:r>
        <w:t xml:space="preserve"> </w:t>
      </w:r>
      <w:r>
        <w:rPr>
          <w:b/>
          <w:bCs/>
        </w:rPr>
        <w:t xml:space="preserve">GKE</w:t>
      </w:r>
      <w:r>
        <w:t xml:space="preserve"> </w:t>
      </w:r>
      <w:r>
        <w:t xml:space="preserve">(</w:t>
      </w:r>
      <w:r>
        <w:rPr>
          <w:i/>
          <w:iCs/>
        </w:rPr>
        <w:t xml:space="preserve">Google Kubernetes Engine</w:t>
      </w:r>
      <w:r>
        <w:t xml:space="preserve">) bénéficie de cette antériorité — souvent cité comme le service Kubernetes managé historiquement le plus mature de l’industrie. Cet héritage constitue un argument réel, mais AWS (EKS) et Azure (AKS) ont depuis largement rattrapé cette avance sur les fonctionnalités essentielles — l’origine historique ne garantit pas, à elle seule, une supériorité actuelle décisive pour tous les besoins.</w:t>
      </w:r>
    </w:p>
    <w:bookmarkEnd w:id="1181"/>
    <w:bookmarkStart w:id="1182" w:name="Xc909cbe987c3325578b9ccb673ce37bb902b292"/>
    <w:p>
      <w:pPr>
        <w:pStyle w:val="Heading2"/>
      </w:pPr>
      <w:r>
        <w:t xml:space="preserve">48.2 Régions et zones : le même principe déjà établi</w:t>
      </w:r>
    </w:p>
    <w:p>
      <w:pPr>
        <w:pStyle w:val="FirstParagraph"/>
      </w:pPr>
      <w:r>
        <w:t xml:space="preserve">💡 Rappel direct des chapitres 46-47</w:t>
      </w:r>
      <w:r>
        <w:t xml:space="preserve"> </w:t>
      </w:r>
      <w:r>
        <w:t xml:space="preserve">GCP utilise également des régions et des zones, avec la même logique de répartition déjà expliquée pour AWS et Azure — le même principe de site de repli du chapitre 31, transposé une troisième fois sans changement conceptuel.</w:t>
      </w:r>
    </w:p>
    <w:bookmarkEnd w:id="1182"/>
    <w:bookmarkStart w:id="1183" w:name="X72ef7021212ba5fc744dee15c2245f33561c333"/>
    <w:p>
      <w:pPr>
        <w:pStyle w:val="Heading2"/>
      </w:pPr>
      <w:r>
        <w:t xml:space="preserve">48.3 Correspondances directes avec les services déjà appris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Besoin déjà couvert</w:t>
            </w:r>
          </w:p>
        </w:tc>
        <w:tc>
          <w:tcPr/>
          <w:p>
            <w:pPr>
              <w:pStyle w:val="Compact"/>
            </w:pPr>
            <w:r>
              <w:t xml:space="preserve">AWS (chapitre 46)</w:t>
            </w:r>
          </w:p>
        </w:tc>
        <w:tc>
          <w:tcPr/>
          <w:p>
            <w:pPr>
              <w:pStyle w:val="Compact"/>
            </w:pPr>
            <w:r>
              <w:t xml:space="preserve">Azure (chapitre 47)</w:t>
            </w:r>
          </w:p>
        </w:tc>
        <w:tc>
          <w:tcPr/>
          <w:p>
            <w:pPr>
              <w:pStyle w:val="Compact"/>
            </w:pPr>
            <w:r>
              <w:t xml:space="preserve">GCP</w:t>
            </w:r>
          </w:p>
        </w:tc>
      </w:tr>
      <w:tr>
        <w:tc>
          <w:tcPr/>
          <w:p>
            <w:pPr>
              <w:pStyle w:val="Compact"/>
            </w:pPr>
            <w:r>
              <w:t xml:space="preserve">Instance de calcul</w:t>
            </w:r>
          </w:p>
        </w:tc>
        <w:tc>
          <w:tcPr/>
          <w:p>
            <w:pPr>
              <w:pStyle w:val="Compact"/>
            </w:pPr>
            <w:r>
              <w:t xml:space="preserve">EC2</w:t>
            </w:r>
          </w:p>
        </w:tc>
        <w:tc>
          <w:tcPr/>
          <w:p>
            <w:pPr>
              <w:pStyle w:val="Compact"/>
            </w:pPr>
            <w:r>
              <w:t xml:space="preserve">Virtual Machines</w:t>
            </w:r>
          </w:p>
        </w:tc>
        <w:tc>
          <w:tcPr/>
          <w:p>
            <w:pPr>
              <w:pStyle w:val="Compact"/>
            </w:pPr>
            <w:r>
              <w:t xml:space="preserve">Compute Engine</w:t>
            </w:r>
          </w:p>
        </w:tc>
      </w:tr>
      <w:tr>
        <w:tc>
          <w:tcPr/>
          <w:p>
            <w:pPr>
              <w:pStyle w:val="Compact"/>
            </w:pPr>
            <w:r>
              <w:t xml:space="preserve">Stockage d’objets</w:t>
            </w:r>
          </w:p>
        </w:tc>
        <w:tc>
          <w:tcPr/>
          <w:p>
            <w:pPr>
              <w:pStyle w:val="Compact"/>
            </w:pPr>
            <w:r>
              <w:t xml:space="preserve">S3</w:t>
            </w:r>
          </w:p>
        </w:tc>
        <w:tc>
          <w:tcPr/>
          <w:p>
            <w:pPr>
              <w:pStyle w:val="Compact"/>
            </w:pPr>
            <w:r>
              <w:t xml:space="preserve">Blob Storage</w:t>
            </w:r>
          </w:p>
        </w:tc>
        <w:tc>
          <w:tcPr/>
          <w:p>
            <w:pPr>
              <w:pStyle w:val="Compact"/>
            </w:pPr>
            <w:r>
              <w:t xml:space="preserve">Cloud Storage</w:t>
            </w:r>
          </w:p>
        </w:tc>
      </w:tr>
      <w:tr>
        <w:tc>
          <w:tcPr/>
          <w:p>
            <w:pPr>
              <w:pStyle w:val="Compact"/>
            </w:pPr>
            <w:r>
              <w:t xml:space="preserve">Base de données managée</w:t>
            </w:r>
          </w:p>
        </w:tc>
        <w:tc>
          <w:tcPr/>
          <w:p>
            <w:pPr>
              <w:pStyle w:val="Compact"/>
            </w:pPr>
            <w:r>
              <w:t xml:space="preserve">RDS</w:t>
            </w:r>
          </w:p>
        </w:tc>
        <w:tc>
          <w:tcPr/>
          <w:p>
            <w:pPr>
              <w:pStyle w:val="Compact"/>
            </w:pPr>
            <w:r>
              <w:t xml:space="preserve">Azure SQL Database</w:t>
            </w:r>
          </w:p>
        </w:tc>
        <w:tc>
          <w:tcPr/>
          <w:p>
            <w:pPr>
              <w:pStyle w:val="Compact"/>
            </w:pPr>
            <w:r>
              <w:t xml:space="preserve">Cloud SQL</w:t>
            </w:r>
          </w:p>
        </w:tc>
      </w:tr>
      <w:tr>
        <w:tc>
          <w:tcPr/>
          <w:p>
            <w:pPr>
              <w:pStyle w:val="Compact"/>
            </w:pPr>
            <w:r>
              <w:t xml:space="preserve">Service Kubernetes managé</w:t>
            </w:r>
          </w:p>
        </w:tc>
        <w:tc>
          <w:tcPr/>
          <w:p>
            <w:pPr>
              <w:pStyle w:val="Compact"/>
            </w:pPr>
            <w:r>
              <w:t xml:space="preserve">EKS</w:t>
            </w:r>
          </w:p>
        </w:tc>
        <w:tc>
          <w:tcPr/>
          <w:p>
            <w:pPr>
              <w:pStyle w:val="Compact"/>
            </w:pPr>
            <w:r>
              <w:t xml:space="preserve">AKS</w:t>
            </w:r>
          </w:p>
        </w:tc>
        <w:tc>
          <w:tcPr/>
          <w:p>
            <w:pPr>
              <w:pStyle w:val="Compact"/>
            </w:pPr>
            <w:r>
              <w:rPr>
                <w:b/>
                <w:bCs/>
              </w:rPr>
              <w:t xml:space="preserve">GKE</w:t>
            </w:r>
            <w:r>
              <w:t xml:space="preserve"> </w:t>
            </w:r>
            <w:r>
              <w:t xml:space="preserve">(section 48.6)</w:t>
            </w:r>
          </w:p>
        </w:tc>
      </w:tr>
      <w:tr>
        <w:tc>
          <w:tcPr/>
          <w:p>
            <w:pPr>
              <w:pStyle w:val="Compact"/>
            </w:pPr>
            <w:r>
              <w:t xml:space="preserve">Identité et permissions</w:t>
            </w:r>
          </w:p>
        </w:tc>
        <w:tc>
          <w:tcPr/>
          <w:p>
            <w:pPr>
              <w:pStyle w:val="Compact"/>
            </w:pPr>
            <w:r>
              <w:t xml:space="preserve">IAM</w:t>
            </w:r>
          </w:p>
        </w:tc>
        <w:tc>
          <w:tcPr/>
          <w:p>
            <w:pPr>
              <w:pStyle w:val="Compact"/>
            </w:pPr>
            <w:r>
              <w:t xml:space="preserve">Microsoft Entra ID</w:t>
            </w:r>
          </w:p>
        </w:tc>
        <w:tc>
          <w:tcPr/>
          <w:p>
            <w:pPr>
              <w:pStyle w:val="Compact"/>
            </w:pPr>
            <w:r>
              <w:t xml:space="preserve">Cloud IAM</w:t>
            </w:r>
          </w:p>
        </w:tc>
      </w:tr>
    </w:tbl>
    <w:p>
      <w:pPr>
        <w:pStyle w:val="BodyText"/>
      </w:pPr>
      <w:r>
        <w:t xml:space="preserve">⚠️ Le même piège de stockage public, sous un troisième nom</w:t>
      </w:r>
      <w:r>
        <w:t xml:space="preserve"> </w:t>
      </w:r>
      <w:r>
        <w:t xml:space="preserve">Rappel direct des chapitres 46-47 : un bucket</w:t>
      </w:r>
      <w:r>
        <w:t xml:space="preserve"> </w:t>
      </w:r>
      <w:r>
        <w:rPr>
          <w:b/>
          <w:bCs/>
        </w:rPr>
        <w:t xml:space="preserve">Cloud Storage</w:t>
      </w:r>
      <w:r>
        <w:t xml:space="preserve"> </w:t>
      </w:r>
      <w:r>
        <w:t xml:space="preserve">mal configuré présente exactement le même risque d’exposition publique accidentelle qu’un bucket S3 ou un compte de stockage Azure Blob — la vigilance de configuration reste identique, quel que soit le fournisseur, exactement le même principe de responsabilité partagée rappelé à chaque chapitre de cette partie.</w:t>
      </w:r>
    </w:p>
    <w:bookmarkEnd w:id="1183"/>
    <w:bookmarkStart w:id="1184" w:name="X7fd9e87e32e8a46162f63a865440f4bb48fa99d"/>
    <w:p>
      <w:pPr>
        <w:pStyle w:val="Heading2"/>
      </w:pPr>
      <w:r>
        <w:t xml:space="preserve">48.4 Une vraie différence technique : le VPC global de GCP</w:t>
      </w:r>
    </w:p>
    <w:p>
      <w:pPr>
        <w:pStyle w:val="FirstParagraph"/>
      </w:pPr>
      <w:r>
        <w:t xml:space="preserve">💡 Une différence réelle, pas seulement cosmétique</w:t>
      </w:r>
      <w:r>
        <w:t xml:space="preserve"> </w:t>
      </w:r>
      <w:r>
        <w:t xml:space="preserve">Contrairement à AWS et Azure, où un VPC/VNet reste généralement circonscrit à une seule région (nécessitant un appairage explicite entre régions pour les faire communiquer), un</w:t>
      </w:r>
      <w:r>
        <w:t xml:space="preserve"> </w:t>
      </w:r>
      <w:r>
        <w:rPr>
          <w:b/>
          <w:bCs/>
        </w:rPr>
        <w:t xml:space="preserve">VPC GCP est global par défaut</w:t>
      </w:r>
      <w:r>
        <w:t xml:space="preserve"> </w:t>
      </w:r>
      <w:r>
        <w:t xml:space="preserve">— un seul réseau virtuel peut s’étendre nativement à travers toutes les régions GCP, simplifiant une architecture multi-régions par rapport aux deux autres fournisseurs. Une différence technique réelle à connaître, même si elle ne concerne pas tous les besoins.</w:t>
      </w:r>
    </w:p>
    <w:bookmarkEnd w:id="1184"/>
    <w:bookmarkStart w:id="1185" w:name="X31d9a009e1a9707474b2de8213566cef608e772"/>
    <w:p>
      <w:pPr>
        <w:pStyle w:val="Heading2"/>
      </w:pPr>
      <w:r>
        <w:t xml:space="preserve">48.5 GKE : le service Kubernetes managé, rappel direct des chapitres 42-44</w:t>
      </w:r>
    </w:p>
    <w:p>
      <w:pPr>
        <w:pStyle w:val="FirstParagraph"/>
      </w:pPr>
      <w:r>
        <w:t xml:space="preserve">✅ GKE délègue exactement ce qui a été manuellement géré aux chapitres 42-44</w:t>
      </w:r>
      <w:r>
        <w:t xml:space="preserve"> </w:t>
      </w:r>
      <w:r>
        <w:t xml:space="preserve">Rappel direct du chapitre 42 : le plan de contrôle Kubernetes (API Server, etcd, Scheduler, Controller Manager) demande une charge opérationnelle réelle à maintenir. GKE délègue entièrement cette responsabilité à Google — l’équipe ne gère plus que les nœuds de travail et les charges applicatives elles-mêmes (les manifestes déjà maîtrisés au chapitre 43), exactement la même distinction déjà établie pour RDS et Azure SQL Database au sein du modèle PaaS (chapitre 45).</w:t>
      </w:r>
    </w:p>
    <w:p>
      <w:pPr>
        <w:pStyle w:val="BodyText"/>
      </w:pPr>
      <w:r>
        <w:t xml:space="preserve">🚀 Performance — le mode</w:t>
      </w:r>
      <w:r>
        <w:t xml:space="preserve"> </w:t>
      </w:r>
      <w:r>
        <w:t xml:space="preserve">“Autopilot”</w:t>
      </w:r>
      <w:r>
        <w:t xml:space="preserve"> </w:t>
      </w:r>
      <w:r>
        <w:t xml:space="preserve">de GKE</w:t>
      </w:r>
      <w:r>
        <w:t xml:space="preserve"> </w:t>
      </w:r>
      <w:r>
        <w:t xml:space="preserve">GKE propose un mode</w:t>
      </w:r>
      <w:r>
        <w:t xml:space="preserve"> </w:t>
      </w:r>
      <w:r>
        <w:t xml:space="preserve">“Autopilot”</w:t>
      </w:r>
      <w:r>
        <w:t xml:space="preserve"> </w:t>
      </w:r>
      <w:r>
        <w:t xml:space="preserve">qui va plus loin encore, gérant automatiquement le dimensionnement des nœuds eux-mêmes selon la charge — une automatisation supplémentaire de l’HPA déjà présenté au chapitre 44, réduisant encore la charge opérationnelle au prix d’une flexibilité de configuration réduite, un compromis à évaluer selon les besoins réels de contrôle fin de l’équipe.</w:t>
      </w:r>
    </w:p>
    <w:bookmarkEnd w:id="1185"/>
    <w:bookmarkStart w:id="1186" w:name="Xb33d630d907e0295583e1bb27e2c8b069fc4f39"/>
    <w:p>
      <w:pPr>
        <w:pStyle w:val="Heading2"/>
      </w:pPr>
      <w:r>
        <w:t xml:space="preserve">48.6 Cloud IAM et Cloud SQL : les mêmes principes, un troisième vocabulaire</w:t>
      </w:r>
    </w:p>
    <w:p>
      <w:pPr>
        <w:pStyle w:val="FirstParagraph"/>
      </w:pPr>
      <w:r>
        <w:t xml:space="preserve">🧠 À mémoriser — la répétition confirme un principe transversal</w:t>
      </w:r>
      <w:r>
        <w:t xml:space="preserve"> </w:t>
      </w:r>
      <w:r>
        <w:t xml:space="preserve">Cloud IAM applique exactement le même principe du moindre privilège déjà établi pour AWS IAM et Microsoft Entra ID (sections 46.6 et 47.5) — jamais de compte disposant d’un accès total par défaut. Cloud SQL applique le même modèle PaaS que RDS et Azure SQL Database. La répétition de ces principes à travers trois fournisseurs différents n’est pas une coïncidence : ce sont des principes fondamentaux de sécurité cloud, indépendants de toute marque particulière.</w:t>
      </w:r>
    </w:p>
    <w:bookmarkEnd w:id="1186"/>
    <w:bookmarkStart w:id="1187" w:name="X4314d3fefda81666ee28b918e695249d99b38f6"/>
    <w:p>
      <w:pPr>
        <w:pStyle w:val="Heading2"/>
      </w:pPr>
      <w:r>
        <w:t xml:space="preserve">48.7 Le vrai critère de décision : la compétence de l’équipe, pas l’origine du projet</w:t>
      </w:r>
    </w:p>
    <w:p>
      <w:pPr>
        <w:pStyle w:val="FirstParagraph"/>
      </w:pPr>
      <w:r>
        <w:t xml:space="preserve">✅ Répondre à la question du scénario d’ouverture</w:t>
      </w:r>
      <w:r>
        <w:t xml:space="preserve"> </w:t>
      </w:r>
      <w:r>
        <w:t xml:space="preserve">Le fait que Google ait créé Kubernetes ne garantit pas, à lui seul, que GKE soit le meilleur choix pour cette entreprise précise — exactement le même principe de décision contextuelle déjà appliqué au chapitre 14 (choix de distribution) et au chapitre 47 (AWS vs Azure). Le critère décisif reste : l’équipe a-t-elle déjà une compétence ou une infrastructure sur un fournisseur particulier (comme AWS, déjà pilote pour le portail au chapitre 46) ? Introduire un troisième fournisseur cloud pour un seul avantage historique, sans autre justification concrète, disperse la compétence de l’équipe plutôt que de la consolider.</w:t>
      </w:r>
    </w:p>
    <w:bookmarkEnd w:id="1187"/>
    <w:bookmarkStart w:id="1188" w:name="Xd69a832a66b432d2df0dbd83d187e79d08e549d"/>
    <w:p>
      <w:pPr>
        <w:pStyle w:val="Heading2"/>
      </w:pPr>
      <w:r>
        <w:t xml:space="preserve">Atelier — Évaluer la proposition de migration vers GKE</w:t>
      </w:r>
    </w:p>
    <w:p>
      <w:pPr>
        <w:pStyle w:val="FirstParagraph"/>
      </w:pPr>
      <w:r>
        <w:t xml:space="preserve">🛠️ Atelier 48 — Appliquer le cadre de décision à la question du collègue</w:t>
      </w:r>
    </w:p>
    <w:p>
      <w:pPr>
        <w:pStyle w:val="BodyText"/>
      </w:pPr>
      <w:r>
        <w:rPr>
          <w:b/>
          <w:bCs/>
        </w:rPr>
        <w:t xml:space="preserve">Objectif</w:t>
      </w:r>
      <w:r>
        <w:t xml:space="preserve"> </w:t>
      </w:r>
      <w:r>
        <w:t xml:space="preserve">: trancher objectivement la proposition du scénario d’ouverture, en s’appuyant sur les principes déjà établis dans ce manuel.</w:t>
      </w:r>
    </w:p>
    <w:p>
      <w:pPr>
        <w:pStyle w:val="BodyText"/>
      </w:pPr>
      <w:r>
        <w:rPr>
          <w:b/>
          <w:bCs/>
        </w:rPr>
        <w:t xml:space="preserve">Préparation</w:t>
      </w:r>
      <w:r>
        <w:t xml:space="preserve"> </w:t>
      </w:r>
      <w:r>
        <w:t xml:space="preserve">: aucune installation nécessaire.</w:t>
      </w:r>
    </w:p>
    <w:p>
      <w:pPr>
        <w:pStyle w:val="BodyText"/>
      </w:pPr>
      <w:r>
        <w:rPr>
          <w:b/>
          <w:bCs/>
        </w:rPr>
        <w:t xml:space="preserve">Étapes détaillées</w:t>
      </w:r>
      <w:r>
        <w:t xml:space="preserve"> </w:t>
      </w:r>
      <w:r>
        <w:t xml:space="preserve">:</w:t>
      </w:r>
    </w:p>
    <w:p>
      <w:pPr>
        <w:pStyle w:val="Compact"/>
        <w:numPr>
          <w:ilvl w:val="0"/>
          <w:numId w:val="2103"/>
        </w:numPr>
      </w:pPr>
      <w:r>
        <w:t xml:space="preserve">Liste les arguments réels en faveur d’une migration vers GKE, en distinguant les arguments techniques concrets (section 48.5) de l’argument historique seul (section 48.1).</w:t>
      </w:r>
    </w:p>
    <w:p>
      <w:pPr>
        <w:pStyle w:val="Compact"/>
        <w:numPr>
          <w:ilvl w:val="0"/>
          <w:numId w:val="2103"/>
        </w:numPr>
      </w:pPr>
      <w:r>
        <w:t xml:space="preserve">Liste les arguments contre l’introduction d’un troisième fournisseur cloud, sachant que le portail est déjà pilote sur AWS (chapitre 46).</w:t>
      </w:r>
    </w:p>
    <w:p>
      <w:pPr>
        <w:pStyle w:val="Compact"/>
        <w:numPr>
          <w:ilvl w:val="0"/>
          <w:numId w:val="2103"/>
        </w:numPr>
      </w:pPr>
      <w:r>
        <w:t xml:space="preserve">Formule une recommandation, en proposant une alternative si une migration complète vers GCP ne se justifie pas.</w:t>
      </w:r>
    </w:p>
    <w:p>
      <w:pPr>
        <w:pStyle w:val="Compact"/>
        <w:numPr>
          <w:ilvl w:val="0"/>
          <w:numId w:val="2103"/>
        </w:numPr>
      </w:pPr>
      <w:r>
        <w:t xml:space="preserve">Compare ta démarche à la section</w:t>
      </w:r>
      <w:r>
        <w:t xml:space="preserve"> </w:t>
      </w:r>
      <w:r>
        <w:t xml:space="preserve">“Résultat attendu”</w:t>
      </w:r>
      <w:r>
        <w:t xml:space="preserve">.</w:t>
      </w:r>
    </w:p>
    <w:p>
      <w:pPr>
        <w:pStyle w:val="FirstParagraph"/>
      </w:pPr>
      <w:r>
        <w:rPr>
          <w:b/>
          <w:bCs/>
        </w:rPr>
        <w:t xml:space="preserve">Résultat attendu</w:t>
      </w:r>
      <w:r>
        <w:t xml:space="preserve"> </w:t>
      </w:r>
      <w:r>
        <w:t xml:space="preserve">: l’argument technique réel est la réduction de charge opérationnelle du plan de contrôle (section 48.5) — un bénéfice concret, mais</w:t>
      </w:r>
      <w:r>
        <w:t xml:space="preserve"> </w:t>
      </w:r>
      <w:r>
        <w:rPr>
          <w:b/>
          <w:bCs/>
        </w:rPr>
        <w:t xml:space="preserve">également disponible via EKS sur AWS</w:t>
      </w:r>
      <w:r>
        <w:t xml:space="preserve">, déjà le fournisseur en place pour le portail. L’argument historique seul (Google a créé Kubernetes) ne constitue pas, à lui seul, une justification suffisante selon le principe de la section 48.7. La recommandation raisonnable est d’évaluer EKS (le service Kubernetes managé d’AWS, le fournisseur déjà en place) avant d’introduire un troisième fournisseur cloud uniquement pour un avantage historique non déterminant — cohérent avec le principe déjà établi de ne jamais disperser la compétence de l’équipe sans besoin réellement démontré.</w:t>
      </w:r>
    </w:p>
    <w:p>
      <w:pPr>
        <w:pStyle w:val="BodyText"/>
      </w:pPr>
      <w:r>
        <w:rPr>
          <w:b/>
          <w:bCs/>
        </w:rPr>
        <w:t xml:space="preserve">Dépannage</w:t>
      </w:r>
      <w:r>
        <w:t xml:space="preserve"> </w:t>
      </w:r>
      <w:r>
        <w:t xml:space="preserve">: si tu penches malgré tout vers GCP, assure-toi que ta justification s’appuie sur un besoin technique concret (comme le VPC global de la section 48.4, si l’entreprise prévoit une expansion multi-régions réelle), jamais uniquement sur la réputation historique du fournisseur.</w:t>
      </w:r>
    </w:p>
    <w:bookmarkEnd w:id="1188"/>
    <w:bookmarkStart w:id="1189" w:name="erreurs-fréquentes-47"/>
    <w:p>
      <w:pPr>
        <w:pStyle w:val="Heading2"/>
      </w:pPr>
      <w:r>
        <w:t xml:space="preserve">Erreurs fréquentes</w:t>
      </w:r>
    </w:p>
    <w:p>
      <w:pPr>
        <w:pStyle w:val="FirstParagraph"/>
      </w:pPr>
      <w:r>
        <w:t xml:space="preserve">⚠️ Erreur n°1 — choisir un fournisseur cloud par fascination pour son histoire plutôt que par besoin réel</w:t>
      </w:r>
      <w:r>
        <w:t xml:space="preserve"> </w:t>
      </w:r>
      <w:r>
        <w:t xml:space="preserve">Exactement le piège du scénario d’ouverture — l’origine de Kubernetes chez Google est un fait intéressant, pas un critère de décision suffisant en soi, rappel direct de la section 48.7.</w:t>
      </w:r>
    </w:p>
    <w:p>
      <w:pPr>
        <w:pStyle w:val="BodyText"/>
      </w:pPr>
      <w:r>
        <w:t xml:space="preserve">⚠️ Erreur n°2 — négliger la vérification de configuration de Cloud Storage</w:t>
      </w:r>
      <w:r>
        <w:t xml:space="preserve"> </w:t>
      </w:r>
      <w:r>
        <w:t xml:space="preserve">Rappel de la section 48.3 : le même risque d’exposition publique accidentelle qu’AWS S3 et Azure Blob Storage, sous un nom différent — la vigilance reste identique.</w:t>
      </w:r>
    </w:p>
    <w:p>
      <w:pPr>
        <w:pStyle w:val="BodyText"/>
      </w:pPr>
      <w:r>
        <w:t xml:space="preserve">⚠️ Erreur n°3 — sous-estimer le coût de disperser la compétence de l’équipe sur trois fournisseurs</w:t>
      </w:r>
      <w:r>
        <w:t xml:space="preserve"> </w:t>
      </w:r>
      <w:r>
        <w:t xml:space="preserve">Rappel de la section 48.7 : chaque fournisseur cloud supplémentaire adopté représente un coût réel de formation et de maintien de compétence, un facteur souvent sous-estimé face à l’attrait d’une fonctionnalité ou d’une réputation particulière.</w:t>
      </w:r>
    </w:p>
    <w:bookmarkEnd w:id="1189"/>
    <w:bookmarkStart w:id="1190" w:name="en-entreprise-47"/>
    <w:p>
      <w:pPr>
        <w:pStyle w:val="Heading2"/>
      </w:pPr>
      <w:r>
        <w:t xml:space="preserve">En entreprise</w:t>
      </w:r>
    </w:p>
    <w:p>
      <w:pPr>
        <w:pStyle w:val="Compact"/>
        <w:numPr>
          <w:ilvl w:val="0"/>
          <w:numId w:val="2104"/>
        </w:numPr>
      </w:pPr>
      <w:r>
        <w:rPr>
          <w:b/>
          <w:bCs/>
        </w:rPr>
        <w:t xml:space="preserve">Bonne pratique répandue</w:t>
      </w:r>
      <w:r>
        <w:t xml:space="preserve"> </w:t>
      </w:r>
      <w:r>
        <w:t xml:space="preserve">: évaluer d’abord si le fournisseur cloud déjà en place propose une solution équivalente au besoin identifié, avant d’envisager l’introduction d’un nouveau fournisseur — ici, EKS sur AWS avant GKE sur GCP.</w:t>
      </w:r>
    </w:p>
    <w:p>
      <w:pPr>
        <w:pStyle w:val="Compact"/>
        <w:numPr>
          <w:ilvl w:val="0"/>
          <w:numId w:val="2104"/>
        </w:numPr>
      </w:pPr>
      <w:r>
        <w:rPr>
          <w:b/>
          <w:bCs/>
        </w:rPr>
        <w:t xml:space="preserve">Bonne pratique répandue</w:t>
      </w:r>
      <w:r>
        <w:t xml:space="preserve"> </w:t>
      </w:r>
      <w:r>
        <w:t xml:space="preserve">: documenter (chapitre 3) la justification précise de chaque fournisseur cloud adopté par l’organisation, distinguant les arguments techniques concrets des préférences ou réputations non déterminantes.</w:t>
      </w:r>
    </w:p>
    <w:p>
      <w:pPr>
        <w:pStyle w:val="Compact"/>
        <w:numPr>
          <w:ilvl w:val="0"/>
          <w:numId w:val="2104"/>
        </w:numPr>
      </w:pPr>
      <w:r>
        <w:rPr>
          <w:b/>
          <w:bCs/>
        </w:rPr>
        <w:t xml:space="preserve">Erreur classique observée</w:t>
      </w:r>
      <w:r>
        <w:t xml:space="preserve"> </w:t>
      </w:r>
      <w:r>
        <w:t xml:space="preserve">: des équipes qui adoptent un troisième ou quatrième fournisseur cloud au fil de projets successifs, chacun justifié individuellement de façon isolée, aboutissant collectivement à une dispersion de compétence et de coût opérationnel jamais évaluée dans son ensemble.</w:t>
      </w:r>
    </w:p>
    <w:bookmarkEnd w:id="1190"/>
    <w:bookmarkStart w:id="1191" w:name="entretien-technique-47"/>
    <w:p>
      <w:pPr>
        <w:pStyle w:val="Heading2"/>
      </w:pPr>
      <w:r>
        <w:t xml:space="preserve">Entretien technique</w:t>
      </w:r>
    </w:p>
    <w:p>
      <w:pPr>
        <w:pStyle w:val="FirstParagraph"/>
      </w:pPr>
      <w:r>
        <w:t xml:space="preserve">💼 Questions fréquemment posées en entretien</w:t>
      </w:r>
    </w:p>
    <w:p>
      <w:pPr>
        <w:pStyle w:val="BodyText"/>
      </w:pPr>
      <w:r>
        <w:rPr>
          <w:b/>
          <w:bCs/>
        </w:rPr>
        <w:t xml:space="preserve">Q1.</w:t>
      </w:r>
      <w:r>
        <w:rPr>
          <w:b/>
          <w:bCs/>
        </w:rPr>
        <w:t xml:space="preserve"> </w:t>
      </w:r>
      <w:r>
        <w:rPr>
          <w:b/>
          <w:bCs/>
        </w:rPr>
        <w:t xml:space="preserve">“Pourquoi GKE est-il souvent cité comme particulièrement mature pour Kubernetes ?”</w:t>
      </w:r>
      <w:r>
        <w:t xml:space="preserve"> </w:t>
      </w:r>
      <w:r>
        <w:t xml:space="preserve">Réponse attendue : Google a créé et open-sourcé Kubernetes en 2014, dérivé de son système interne Borg — GKE bénéficie de cette antériorité historique, bien qu’AWS (EKS) et Azure (AKS) aient depuis largement rattrapé cette avance sur les fonctionnalités essentielles.</w:t>
      </w:r>
    </w:p>
    <w:p>
      <w:pPr>
        <w:pStyle w:val="BodyText"/>
      </w:pPr>
      <w:r>
        <w:rPr>
          <w:b/>
          <w:bCs/>
        </w:rPr>
        <w:t xml:space="preserve">Q2.</w:t>
      </w:r>
      <w:r>
        <w:rPr>
          <w:b/>
          <w:bCs/>
        </w:rPr>
        <w:t xml:space="preserve"> </w:t>
      </w:r>
      <w:r>
        <w:rPr>
          <w:b/>
          <w:bCs/>
        </w:rPr>
        <w:t xml:space="preserve">“Qu’est-ce qui distingue techniquement le VPC de GCP de ceux d’AWS et Azure ?”</w:t>
      </w:r>
      <w:r>
        <w:t xml:space="preserve"> </w:t>
      </w:r>
      <w:r>
        <w:t xml:space="preserve">Réponse attendue : un VPC GCP est global par défaut, pouvant s’étendre nativement à travers toutes les régions GCP sans appairage explicite, contrairement aux VPC/VNet d’AWS et Azure, généralement circonscrits à une seule région.</w:t>
      </w:r>
    </w:p>
    <w:p>
      <w:pPr>
        <w:pStyle w:val="BodyText"/>
      </w:pPr>
      <w:r>
        <w:rPr>
          <w:b/>
          <w:bCs/>
        </w:rPr>
        <w:t xml:space="preserve">Q3.</w:t>
      </w:r>
      <w:r>
        <w:rPr>
          <w:b/>
          <w:bCs/>
        </w:rPr>
        <w:t xml:space="preserve"> </w:t>
      </w:r>
      <w:r>
        <w:rPr>
          <w:b/>
          <w:bCs/>
        </w:rPr>
        <w:t xml:space="preserve">“Faut-il choisir un fournisseur cloud uniquement sur des critères techniques objectifs ?”</w:t>
      </w:r>
      <w:r>
        <w:t xml:space="preserve"> </w:t>
      </w:r>
      <w:r>
        <w:t xml:space="preserve">Réponse attendue : non — la compétence déjà acquise par l’équipe et l’infrastructure déjà en place pèsent souvent davantage qu’un avantage technique ou historique isolé, rappel direct du principe de décision contextuelle déjà appliqué à chaque choix technologique de ce manuel (chapitres 14, 42, 47).</w:t>
      </w:r>
    </w:p>
    <w:bookmarkEnd w:id="1191"/>
    <w:bookmarkStart w:id="1192" w:name="X05f9a53126b43bb1ddcabc2d5ccbf5da801acc0"/>
    <w:p>
      <w:pPr>
        <w:pStyle w:val="Heading2"/>
      </w:pPr>
      <w:r>
        <w:t xml:space="preserve">Optimisation, sécurité et maintenabilité — les réflexes dès ce chapitre</w:t>
      </w:r>
    </w:p>
    <w:p>
      <w:pPr>
        <w:pStyle w:val="FirstParagraph"/>
      </w:pPr>
      <w:r>
        <w:t xml:space="preserve">🔒 Sécurité</w:t>
      </w:r>
      <w:r>
        <w:t xml:space="preserve"> </w:t>
      </w:r>
      <w:r>
        <w:t xml:space="preserve">Applique la même vigilance de configuration (Cloud IAM au moindre privilège, Cloud Storage jamais public par défaut) sur GCP que sur AWS et Azure — les principes de sécurité cloud restent transversaux, indépendants de la marque du fournisseur.</w:t>
      </w:r>
    </w:p>
    <w:p>
      <w:pPr>
        <w:pStyle w:val="BodyText"/>
      </w:pPr>
      <w:r>
        <w:t xml:space="preserve">✅ Maintenabilité</w:t>
      </w:r>
      <w:r>
        <w:t xml:space="preserve"> </w:t>
      </w:r>
      <w:r>
        <w:t xml:space="preserve">Documente (chapitre 3) la justification de chaque fournisseur cloud adopté, en distinguant explicitement les arguments techniques concrets des préférences non déterminantes — une distinction utile pour toute future revue d’architecture.</w:t>
      </w:r>
    </w:p>
    <w:p>
      <w:pPr>
        <w:pStyle w:val="BodyText"/>
      </w:pPr>
      <w:r>
        <w:t xml:space="preserve">🚀 Performance</w:t>
      </w:r>
      <w:r>
        <w:t xml:space="preserve"> </w:t>
      </w:r>
      <w:r>
        <w:t xml:space="preserve">Le mode Autopilot de GKE (section 48.5) réduit la charge opérationnelle au prix d’une flexibilité réduite — un compromis à évaluer selon le besoin réel de contrôle fin de l’équipe, pas un choix par défaut automatique.</w:t>
      </w:r>
    </w:p>
    <w:bookmarkEnd w:id="1192"/>
    <w:bookmarkStart w:id="1193" w:name="résumé-du-chapitre-47"/>
    <w:p>
      <w:pPr>
        <w:pStyle w:val="Heading2"/>
      </w:pPr>
      <w:r>
        <w:t xml:space="preserve">Résumé du chapitre</w:t>
      </w:r>
    </w:p>
    <w:p>
      <w:pPr>
        <w:pStyle w:val="Compact"/>
        <w:numPr>
          <w:ilvl w:val="0"/>
          <w:numId w:val="2105"/>
        </w:numPr>
      </w:pPr>
      <w:r>
        <w:t xml:space="preserve">GCP offre les mêmes concepts fondamentaux qu’AWS et Azure (régions, zones, calcul, stockage, base de données managée, IAM) sous un troisième vocabulaire.</w:t>
      </w:r>
    </w:p>
    <w:p>
      <w:pPr>
        <w:pStyle w:val="Compact"/>
        <w:numPr>
          <w:ilvl w:val="0"/>
          <w:numId w:val="2105"/>
        </w:numPr>
      </w:pPr>
      <w:r>
        <w:t xml:space="preserve">L’origine historique de Kubernetes chez Google constitue un argument réel mais non suffisant à lui seul pour justifier l’adoption de GKE.</w:t>
      </w:r>
    </w:p>
    <w:p>
      <w:pPr>
        <w:pStyle w:val="Compact"/>
        <w:numPr>
          <w:ilvl w:val="0"/>
          <w:numId w:val="2105"/>
        </w:numPr>
      </w:pPr>
      <w:r>
        <w:t xml:space="preserve">Le VPC global de GCP constitue une différence technique réelle par rapport aux VPC/VNet régionaux d’AWS et Azure.</w:t>
      </w:r>
    </w:p>
    <w:p>
      <w:pPr>
        <w:pStyle w:val="Compact"/>
        <w:numPr>
          <w:ilvl w:val="0"/>
          <w:numId w:val="2105"/>
        </w:numPr>
      </w:pPr>
      <w:r>
        <w:t xml:space="preserve">GKE délègue la gestion du plan de contrôle Kubernetes, exactement la charge opérationnelle déjà identifiée aux chapitres 42-44, un service également disponible via EKS sur AWS.</w:t>
      </w:r>
    </w:p>
    <w:p>
      <w:pPr>
        <w:pStyle w:val="Compact"/>
        <w:numPr>
          <w:ilvl w:val="0"/>
          <w:numId w:val="2105"/>
        </w:numPr>
      </w:pPr>
      <w:r>
        <w:t xml:space="preserve">Le critère de décision décisif reste la compétence déjà acquise par l’équipe et l’infrastructure déjà en place, jamais la seule réputation ou l’origine historique d’un fournisseur.</w:t>
      </w:r>
    </w:p>
    <w:bookmarkEnd w:id="1193"/>
    <w:bookmarkStart w:id="1194" w:name="quiz-47"/>
    <w:p>
      <w:pPr>
        <w:pStyle w:val="Heading2"/>
      </w:pPr>
      <w:r>
        <w:t xml:space="preserve">Quiz</w:t>
      </w:r>
    </w:p>
    <w:p>
      <w:pPr>
        <w:pStyle w:val="FirstParagraph"/>
      </w:pPr>
      <w:r>
        <w:t xml:space="preserve">📝 QCM (une seule bonne réponse par question)</w:t>
      </w:r>
    </w:p>
    <w:p>
      <w:pPr>
        <w:pStyle w:val="Compact"/>
        <w:numPr>
          <w:ilvl w:val="0"/>
          <w:numId w:val="2106"/>
        </w:numPr>
      </w:pPr>
      <w:r>
        <w:t xml:space="preserve">Kubernetes a été créé à l’origine par :</w:t>
      </w:r>
    </w:p>
    <w:p>
      <w:pPr>
        <w:pStyle w:val="Compact"/>
        <w:numPr>
          <w:ilvl w:val="1"/>
          <w:numId w:val="2107"/>
        </w:numPr>
      </w:pPr>
    </w:p>
    <w:p>
      <w:pPr>
        <w:pStyle w:val="Compact"/>
        <w:numPr>
          <w:ilvl w:val="2"/>
          <w:numId w:val="2108"/>
        </w:numPr>
      </w:pPr>
      <w:r>
        <w:t xml:space="preserve">Amazon</w:t>
      </w:r>
    </w:p>
    <w:p>
      <w:pPr>
        <w:pStyle w:val="Compact"/>
        <w:numPr>
          <w:ilvl w:val="1"/>
          <w:numId w:val="2107"/>
        </w:numPr>
      </w:pPr>
    </w:p>
    <w:p>
      <w:pPr>
        <w:pStyle w:val="Compact"/>
        <w:numPr>
          <w:ilvl w:val="2"/>
          <w:numId w:val="2109"/>
        </w:numPr>
      </w:pPr>
      <w:r>
        <w:t xml:space="preserve">Microsoft</w:t>
      </w:r>
    </w:p>
    <w:p>
      <w:pPr>
        <w:pStyle w:val="Compact"/>
        <w:numPr>
          <w:ilvl w:val="1"/>
          <w:numId w:val="2107"/>
        </w:numPr>
      </w:pPr>
    </w:p>
    <w:p>
      <w:pPr>
        <w:pStyle w:val="Compact"/>
        <w:numPr>
          <w:ilvl w:val="2"/>
          <w:numId w:val="2110"/>
        </w:numPr>
      </w:pPr>
      <w:r>
        <w:t xml:space="preserve">Google</w:t>
      </w:r>
    </w:p>
    <w:p>
      <w:pPr>
        <w:pStyle w:val="Compact"/>
        <w:numPr>
          <w:ilvl w:val="1"/>
          <w:numId w:val="2107"/>
        </w:numPr>
      </w:pPr>
    </w:p>
    <w:p>
      <w:pPr>
        <w:pStyle w:val="Compact"/>
        <w:numPr>
          <w:ilvl w:val="2"/>
          <w:numId w:val="2111"/>
        </w:numPr>
      </w:pPr>
      <w:r>
        <w:t xml:space="preserve">Une fondation indépendante dès le départ</w:t>
      </w:r>
    </w:p>
    <w:p>
      <w:pPr>
        <w:pStyle w:val="Compact"/>
        <w:numPr>
          <w:ilvl w:val="0"/>
          <w:numId w:val="2106"/>
        </w:numPr>
      </w:pPr>
      <w:r>
        <w:t xml:space="preserve">Une différence technique réelle entre GCP et les autres fournisseurs est :</w:t>
      </w:r>
    </w:p>
    <w:p>
      <w:pPr>
        <w:pStyle w:val="Compact"/>
        <w:numPr>
          <w:ilvl w:val="1"/>
          <w:numId w:val="2112"/>
        </w:numPr>
      </w:pPr>
    </w:p>
    <w:p>
      <w:pPr>
        <w:pStyle w:val="Compact"/>
        <w:numPr>
          <w:ilvl w:val="2"/>
          <w:numId w:val="2113"/>
        </w:numPr>
      </w:pPr>
      <w:r>
        <w:t xml:space="preserve">L’absence totale de régions</w:t>
      </w:r>
    </w:p>
    <w:p>
      <w:pPr>
        <w:pStyle w:val="Compact"/>
        <w:numPr>
          <w:ilvl w:val="1"/>
          <w:numId w:val="2112"/>
        </w:numPr>
      </w:pPr>
    </w:p>
    <w:p>
      <w:pPr>
        <w:pStyle w:val="Compact"/>
        <w:numPr>
          <w:ilvl w:val="2"/>
          <w:numId w:val="2114"/>
        </w:numPr>
      </w:pPr>
      <w:r>
        <w:t xml:space="preserve">Un VPC global par défaut, contrairement aux VPC/VNet généralement régionaux d’AWS et Azure</w:t>
      </w:r>
    </w:p>
    <w:p>
      <w:pPr>
        <w:pStyle w:val="Compact"/>
        <w:numPr>
          <w:ilvl w:val="1"/>
          <w:numId w:val="2112"/>
        </w:numPr>
      </w:pPr>
    </w:p>
    <w:p>
      <w:pPr>
        <w:pStyle w:val="Compact"/>
        <w:numPr>
          <w:ilvl w:val="2"/>
          <w:numId w:val="2115"/>
        </w:numPr>
      </w:pPr>
      <w:r>
        <w:t xml:space="preserve">L’impossibilité d’utiliser Kubernetes</w:t>
      </w:r>
    </w:p>
    <w:p>
      <w:pPr>
        <w:pStyle w:val="Compact"/>
        <w:numPr>
          <w:ilvl w:val="1"/>
          <w:numId w:val="2112"/>
        </w:numPr>
      </w:pPr>
    </w:p>
    <w:p>
      <w:pPr>
        <w:pStyle w:val="Compact"/>
        <w:numPr>
          <w:ilvl w:val="2"/>
          <w:numId w:val="2116"/>
        </w:numPr>
      </w:pPr>
      <w:r>
        <w:t xml:space="preserve">L’absence de service de stockage d’objets</w:t>
      </w:r>
    </w:p>
    <w:p>
      <w:pPr>
        <w:pStyle w:val="Compact"/>
        <w:numPr>
          <w:ilvl w:val="0"/>
          <w:numId w:val="2106"/>
        </w:numPr>
      </w:pPr>
      <w:r>
        <w:t xml:space="preserve">Le critère décisif pour choisir entre AWS, Azure et GCP devrait être :</w:t>
      </w:r>
    </w:p>
    <w:p>
      <w:pPr>
        <w:pStyle w:val="Compact"/>
        <w:numPr>
          <w:ilvl w:val="1"/>
          <w:numId w:val="2117"/>
        </w:numPr>
      </w:pPr>
    </w:p>
    <w:p>
      <w:pPr>
        <w:pStyle w:val="Compact"/>
        <w:numPr>
          <w:ilvl w:val="2"/>
          <w:numId w:val="2118"/>
        </w:numPr>
      </w:pPr>
      <w:r>
        <w:t xml:space="preserve">Uniquement l’origine historique du fournisseur</w:t>
      </w:r>
    </w:p>
    <w:p>
      <w:pPr>
        <w:pStyle w:val="Compact"/>
        <w:numPr>
          <w:ilvl w:val="1"/>
          <w:numId w:val="2117"/>
        </w:numPr>
      </w:pPr>
    </w:p>
    <w:p>
      <w:pPr>
        <w:pStyle w:val="Compact"/>
        <w:numPr>
          <w:ilvl w:val="2"/>
          <w:numId w:val="2119"/>
        </w:numPr>
      </w:pPr>
      <w:r>
        <w:t xml:space="preserve">La compétence déjà acquise par l’équipe et l’infrastructure déjà en place</w:t>
      </w:r>
    </w:p>
    <w:p>
      <w:pPr>
        <w:pStyle w:val="Compact"/>
        <w:numPr>
          <w:ilvl w:val="1"/>
          <w:numId w:val="2117"/>
        </w:numPr>
      </w:pPr>
    </w:p>
    <w:p>
      <w:pPr>
        <w:pStyle w:val="Compact"/>
        <w:numPr>
          <w:ilvl w:val="2"/>
          <w:numId w:val="2120"/>
        </w:numPr>
      </w:pPr>
      <w:r>
        <w:t xml:space="preserve">La couleur du logo du fournisseur</w:t>
      </w:r>
    </w:p>
    <w:p>
      <w:pPr>
        <w:pStyle w:val="Compact"/>
        <w:numPr>
          <w:ilvl w:val="1"/>
          <w:numId w:val="2117"/>
        </w:numPr>
      </w:pPr>
    </w:p>
    <w:p>
      <w:pPr>
        <w:pStyle w:val="Compact"/>
        <w:numPr>
          <w:ilvl w:val="2"/>
          <w:numId w:val="2121"/>
        </w:numPr>
      </w:pPr>
      <w:r>
        <w:t xml:space="preserve">Le nombre de services proposés, sans autre critère</w:t>
      </w:r>
    </w:p>
    <w:p>
      <w:pPr>
        <w:pStyle w:val="FirstParagraph"/>
      </w:pPr>
      <w:r>
        <w:rPr>
          <w:b/>
          <w:bCs/>
        </w:rPr>
        <w:t xml:space="preserve">Corrigé</w:t>
      </w:r>
      <w:r>
        <w:t xml:space="preserve"> </w:t>
      </w:r>
      <w:r>
        <w:t xml:space="preserve">: 1-c, 2-b, 3-b.</w:t>
      </w:r>
    </w:p>
    <w:p>
      <w:pPr>
        <w:pStyle w:val="BodyText"/>
      </w:pPr>
      <w:r>
        <w:t xml:space="preserve">📝 Vrai ou Faux</w:t>
      </w:r>
    </w:p>
    <w:p>
      <w:pPr>
        <w:pStyle w:val="Compact"/>
        <w:numPr>
          <w:ilvl w:val="0"/>
          <w:numId w:val="2122"/>
        </w:numPr>
      </w:pPr>
      <w:r>
        <w:t xml:space="preserve">GKE est le seul service cloud capable d’exécuter Kubernetes de façon managée. —</w:t>
      </w:r>
      <w:r>
        <w:t xml:space="preserve"> </w:t>
      </w:r>
      <w:r>
        <w:rPr>
          <w:b/>
          <w:bCs/>
        </w:rPr>
        <w:t xml:space="preserve">Faux</w:t>
      </w:r>
      <w:r>
        <w:t xml:space="preserve"> </w:t>
      </w:r>
      <w:r>
        <w:t xml:space="preserve">(EKS sur AWS et AKS sur Azure existent également, section 48.3).</w:t>
      </w:r>
    </w:p>
    <w:p>
      <w:pPr>
        <w:pStyle w:val="Compact"/>
        <w:numPr>
          <w:ilvl w:val="0"/>
          <w:numId w:val="2122"/>
        </w:numPr>
      </w:pPr>
      <w:r>
        <w:t xml:space="preserve">Un bucket Cloud Storage mal configuré présente le même risque d’exposition publique qu’un bucket S3 ou un compte de stockage Azure Blob. —</w:t>
      </w:r>
      <w:r>
        <w:t xml:space="preserve"> </w:t>
      </w:r>
      <w:r>
        <w:rPr>
          <w:b/>
          <w:bCs/>
        </w:rPr>
        <w:t xml:space="preserve">Vrai</w:t>
      </w:r>
      <w:r>
        <w:t xml:space="preserve">.</w:t>
      </w:r>
    </w:p>
    <w:p>
      <w:pPr>
        <w:pStyle w:val="Compact"/>
        <w:numPr>
          <w:ilvl w:val="0"/>
          <w:numId w:val="2122"/>
        </w:numPr>
      </w:pPr>
      <w:r>
        <w:t xml:space="preserve">L’origine historique de Kubernetes chez Google garantit que GKE est toujours objectivement meilleur qu’EKS ou AKS. —</w:t>
      </w:r>
      <w:r>
        <w:t xml:space="preserve"> </w:t>
      </w:r>
      <w:r>
        <w:rPr>
          <w:b/>
          <w:bCs/>
        </w:rPr>
        <w:t xml:space="preserve">Faux</w:t>
      </w:r>
      <w:r>
        <w:t xml:space="preserve"> </w:t>
      </w:r>
      <w:r>
        <w:t xml:space="preserve">(un argument réel mais non suffisant à lui seul, section 48.1).</w:t>
      </w:r>
    </w:p>
    <w:p>
      <w:pPr>
        <w:pStyle w:val="Compact"/>
        <w:numPr>
          <w:ilvl w:val="0"/>
          <w:numId w:val="2122"/>
        </w:numPr>
      </w:pPr>
      <w:r>
        <w:t xml:space="preserve">Introduire un troisième fournisseur cloud n’a aucun coût réel pour une équipe. —</w:t>
      </w:r>
      <w:r>
        <w:t xml:space="preserve"> </w:t>
      </w:r>
      <w:r>
        <w:rPr>
          <w:b/>
          <w:bCs/>
        </w:rPr>
        <w:t xml:space="preserve">Faux</w:t>
      </w:r>
      <w:r>
        <w:t xml:space="preserve"> </w:t>
      </w:r>
      <w:r>
        <w:t xml:space="preserve">(un coût de compétence et de complexité opérationnelle, section 48.7).</w:t>
      </w:r>
    </w:p>
    <w:p>
      <w:pPr>
        <w:pStyle w:val="FirstParagraph"/>
      </w:pPr>
      <w:r>
        <w:t xml:space="preserve">📝 Questions ouvertes</w:t>
      </w:r>
    </w:p>
    <w:p>
      <w:pPr>
        <w:pStyle w:val="Compact"/>
        <w:numPr>
          <w:ilvl w:val="0"/>
          <w:numId w:val="2123"/>
        </w:numPr>
      </w:pPr>
      <w:r>
        <w:t xml:space="preserve">Explique pourquoi la réduction de charge opérationnelle offerte par GKE (section 48.5) n’est pas, à elle seule, un argument suffisant pour migrer vers GCP.</w:t>
      </w:r>
    </w:p>
    <w:p>
      <w:pPr>
        <w:pStyle w:val="Compact"/>
        <w:numPr>
          <w:ilvl w:val="0"/>
          <w:numId w:val="2123"/>
        </w:numPr>
      </w:pPr>
      <w:r>
        <w:t xml:space="preserve">Reprends le scénario d’ouverture. Rédige la réponse que tu donnerais à ton collègue, reconnaissant la légitimité de sa question tout en la recadrant avec le bon critère de décision.</w:t>
      </w:r>
    </w:p>
    <w:p>
      <w:pPr>
        <w:pStyle w:val="FirstParagraph"/>
      </w:pPr>
      <w:r>
        <w:rPr>
          <w:b/>
          <w:bCs/>
        </w:rPr>
        <w:t xml:space="preserve">Corrigé 1</w:t>
      </w:r>
      <w:r>
        <w:t xml:space="preserve"> </w:t>
      </w:r>
      <w:r>
        <w:t xml:space="preserve">: cette réduction de charge opérationnelle est réelle, mais elle n’est pas propre à GCP — EKS sur AWS (déjà le fournisseur en place pour le portail, chapitre 46) offre exactement le même bénéfice de délégation du plan de contrôle Kubernetes. Migrer vers GCP pour ce seul bénéfice, alors qu’il est également disponible sans changer de fournisseur, ignorerait le coût réel d’introduire un nouveau fournisseur cloud (section 48.7) pour un gain qui pourrait être obtenu sans ce changement.</w:t>
      </w:r>
    </w:p>
    <w:p>
      <w:pPr>
        <w:pStyle w:val="BodyText"/>
      </w:pPr>
      <w:r>
        <w:rPr>
          <w:b/>
          <w:bCs/>
        </w:rPr>
        <w:t xml:space="preserve">Corrigé 2</w:t>
      </w:r>
      <w:r>
        <w:t xml:space="preserve"> </w:t>
      </w:r>
      <w:r>
        <w:t xml:space="preserve">: je lui dirais que sa question est légitime et que l’historique de Google avec Kubernetes est effectivement réel et intéressant, mais que le bénéfice concret qu’il recherche — réduire la charge de gestion du plan de contrôle — est également disponible via EKS, directement sur AWS où le portail est déjà hébergé. Plutôt que d’introduire un troisième fournisseur cloud avec le coût de compétence et de complexité que cela implique, je proposerais d’évaluer d’abord EKS, qui répond au même besoin sans disperser davantage l’infrastructure de l’entreprise entre plusieurs écosystèmes distincts.</w:t>
      </w:r>
    </w:p>
    <w:bookmarkEnd w:id="1194"/>
    <w:bookmarkStart w:id="1195" w:name="exercices-47"/>
    <w:p>
      <w:pPr>
        <w:pStyle w:val="Heading2"/>
      </w:pPr>
      <w:r>
        <w:t xml:space="preserve">Exercices</w:t>
      </w:r>
    </w:p>
    <w:p>
      <w:pPr>
        <w:pStyle w:val="FirstParagraph"/>
      </w:pPr>
      <w:r>
        <w:t xml:space="preserve">📝 Exercice 48.1</w:t>
      </w:r>
    </w:p>
    <w:p>
      <w:pPr>
        <w:pStyle w:val="BodyText"/>
      </w:pPr>
      <w:r>
        <w:t xml:space="preserve">Une entreprise choisit GCP uniquement parce qu’un développeur senior de l’équipe a une forte expérience personnelle sur GCP acquise dans un précédent emploi, sans autre analyse. Explique si ce critère est légitime, en le distinguant de l’erreur dénoncée dans ce chapitre.</w:t>
      </w:r>
    </w:p>
    <w:p>
      <w:pPr>
        <w:pStyle w:val="BodyText"/>
      </w:pPr>
      <w:r>
        <w:rPr>
          <w:b/>
          <w:bCs/>
        </w:rPr>
        <w:t xml:space="preserve">Corrigé :</w:t>
      </w:r>
      <w:r>
        <w:t xml:space="preserve"> </w:t>
      </w:r>
      <w:r>
        <w:t xml:space="preserve">Contrairement à un choix basé uniquement sur l’origine historique d’un projet (l’erreur dénoncée en section 48.7), la compétence réelle et déjà acquise par un membre de l’équipe constitue un critère de décision légitime et concret — il rejoint directement le principe déjà établi : la compétence déjà en place pèse dans la décision. La nuance importante est que ce critère doit être mis en balance avec les autres facteurs (infrastructure déjà existante sur un autre fournisseur, coût de dispersion pour le reste de l’équipe) plutôt que d’être automatiquement décisif à lui seul — un vrai critère de décision contextuelle, mais qui mérite quand même d’être posé explicitement et pesé, pas simplement suivi par défaut.</w:t>
      </w:r>
    </w:p>
    <w:p>
      <w:pPr>
        <w:pStyle w:val="BodyText"/>
      </w:pPr>
      <w:r>
        <w:t xml:space="preserve">📝 Exercice 48.2</w:t>
      </w:r>
    </w:p>
    <w:p>
      <w:pPr>
        <w:pStyle w:val="BodyText"/>
      </w:pPr>
      <w:r>
        <w:t xml:space="preserve">Rédige, en 3 à 5 phrases, pourquoi la répétition des mêmes principes de sécurité (IAM, stockage jamais public, modèle de responsabilité partagée) à travers les trois chapitres consacrés à AWS, Azure et GCP renforce, plutôt qu’elle ne dilue, la compréhension de ces principes.</w:t>
      </w:r>
    </w:p>
    <w:p>
      <w:pPr>
        <w:pStyle w:val="BodyText"/>
      </w:pPr>
      <w:r>
        <w:rPr>
          <w:b/>
          <w:bCs/>
        </w:rPr>
        <w:t xml:space="preserve">Corrigé (exemple de réponse) :</w:t>
      </w:r>
      <w:r>
        <w:t xml:space="preserve"> </w:t>
      </w:r>
      <w:r>
        <w:t xml:space="preserve">Voir ces principes se répéter systématiquement, sous des noms différents mais avec la même logique sous-jacente, confirme qu’il s’agit de véritables fondamentaux de sécurité cloud plutôt que de particularités propres à un seul fournisseur — une leçon plus solide que si elle n’avait été présentée qu’une seule fois pour un seul fournisseur. Cette répétition permet aussi de reconnaître immédiatement ces mêmes principes lors d’une future rencontre avec un quatrième fournisseur cloud non couvert dans ce manuel, puisque la structure générale (calcul, stockage, réseau segmenté, identité au moindre privilège) reste remarquablement constante à travers l’industrie du cloud.</w:t>
      </w:r>
    </w:p>
    <w:bookmarkEnd w:id="1195"/>
    <w:bookmarkStart w:id="1196" w:name="checklist-de-fin-de-chapitre-47"/>
    <w:p>
      <w:pPr>
        <w:pStyle w:val="Heading2"/>
      </w:pPr>
      <w:r>
        <w:t xml:space="preserve">Checklist de fin de chapitre</w:t>
      </w:r>
    </w:p>
    <w:p>
      <w:pPr>
        <w:pStyle w:val="FirstParagraph"/>
      </w:pPr>
      <w:r>
        <w:t xml:space="preserve">☐ Je sais situer les équivalents GCP des services AWS et Azure déjà appris.</w:t>
      </w:r>
    </w:p>
    <w:p>
      <w:pPr>
        <w:pStyle w:val="BodyText"/>
      </w:pPr>
      <w:r>
        <w:t xml:space="preserve">☐ Je comprends l’origine historique de Kubernetes chez Google et pourquoi elle ne suffit pas seule à justifier GKE.</w:t>
      </w:r>
    </w:p>
    <w:p>
      <w:pPr>
        <w:pStyle w:val="BodyText"/>
      </w:pPr>
      <w:r>
        <w:t xml:space="preserve">☐ Je connais la différence réelle du VPC global de GCP par rapport aux VPC/VNet régionaux d’AWS et Azure.</w:t>
      </w:r>
    </w:p>
    <w:p>
      <w:pPr>
        <w:pStyle w:val="BodyText"/>
      </w:pPr>
      <w:r>
        <w:t xml:space="preserve">☐ Je comprends ce que GKE délègue par rapport à la gestion manuelle du plan de contrôle des chapitres 42-44.</w:t>
      </w:r>
    </w:p>
    <w:p>
      <w:pPr>
        <w:pStyle w:val="BodyText"/>
      </w:pPr>
      <w:r>
        <w:t xml:space="preserve">☐ Je sais appliquer le critère de décision contextuelle (compétence de l’équipe, infrastructure déjà en place) plutôt qu’une réputation de marque.</w:t>
      </w:r>
    </w:p>
    <w:bookmarkEnd w:id="1196"/>
    <w:bookmarkStart w:id="1197" w:name="faq-47"/>
    <w:p>
      <w:pPr>
        <w:pStyle w:val="Heading2"/>
      </w:pPr>
      <w:r>
        <w:t xml:space="preserve">FAQ</w:t>
      </w:r>
    </w:p>
    <w:p>
      <w:pPr>
        <w:pStyle w:val="FirstParagraph"/>
      </w:pPr>
      <w:r>
        <w:t xml:space="preserve">GKE est-il vraiment plus performant qu’EKS ou AKS pour Kubernetes ?</w:t>
      </w:r>
    </w:p>
    <w:p>
      <w:pPr>
        <w:pStyle w:val="BodyText"/>
      </w:pPr>
      <w:r>
        <w:t xml:space="preserve">Les différences de performance pure entre ces trois services managés restent généralement marginales pour la plupart des cas d’usage — le choix repose davantage sur l’intégration avec l’infrastructure déjà en place et la compétence de l’équipe, rappel direct du principe de décision contextuelle de ce chapitre.</w:t>
      </w:r>
    </w:p>
    <w:p>
      <w:pPr>
        <w:pStyle w:val="BodyText"/>
      </w:pPr>
      <w:r>
        <w:t xml:space="preserve">Peut-on migrer facilement un cluster Kubernetes d’un fournisseur cloud à un autre ?</w:t>
      </w:r>
    </w:p>
    <w:p>
      <w:pPr>
        <w:pStyle w:val="BodyText"/>
      </w:pPr>
      <w:r>
        <w:t xml:space="preserve">Les manifestes Kubernetes eux-mêmes (chapitre 43) restent largement portables entre fournisseurs, Kubernetes étant un standard ouvert — mais les services spécifiques à chaque fournisseur (comme les Load Balancers natifs ou les intégrations IAM) nécessitent généralement des ajustements lors d’une migration, un coût réel à anticiper.</w:t>
      </w:r>
    </w:p>
    <w:p>
      <w:pPr>
        <w:pStyle w:val="BodyText"/>
      </w:pPr>
      <w:r>
        <w:t xml:space="preserve">GCP propose-t-il un équivalent à Microsoft Entra ID pour l’intégration avec Active Directory ?</w:t>
      </w:r>
    </w:p>
    <w:p>
      <w:pPr>
        <w:pStyle w:val="BodyText"/>
      </w:pPr>
      <w:r>
        <w:t xml:space="preserve">GCP propose des mécanismes de fédération d’identité avec Active Directory, mais sans l’intégration aussi native que celle d’Azure avec Entra ID (chapitre 47) — un facteur supplémentaire à considérer si l’identité interne de l’entreprise doit jouer un rôle central dans le choix du fournisseur.</w:t>
      </w:r>
    </w:p>
    <w:p>
      <w:pPr>
        <w:pStyle w:val="BodyText"/>
      </w:pPr>
      <w:r>
        <w:t xml:space="preserve">Faut-il connaître les trois fournisseurs (AWS, Azure, GCP) pour travailler en tant qu’administrateur système en 2026 ?</w:t>
      </w:r>
    </w:p>
    <w:p>
      <w:pPr>
        <w:pStyle w:val="BodyText"/>
      </w:pPr>
      <w:r>
        <w:t xml:space="preserve">Une connaissance approfondie d’un seul fournisseur reste largement suffisante pour la plupart des postes — comprendre les concepts fondamentaux communs aux trois (comme développé dans ces trois chapitres) permet de transposer rapidement cette compétence à un second fournisseur si le besoin se présente, plutôt que de chercher une maîtrise simultanée et superficielle des trois dès le départ.</w:t>
      </w:r>
    </w:p>
    <w:bookmarkEnd w:id="1197"/>
    <w:bookmarkStart w:id="1201" w:name="références-et-pour-aller-plus-loin-47"/>
    <w:p>
      <w:pPr>
        <w:pStyle w:val="Heading2"/>
      </w:pPr>
      <w:r>
        <w:t xml:space="preserve">Références et pour aller plus loin</w:t>
      </w:r>
    </w:p>
    <w:p>
      <w:pPr>
        <w:pStyle w:val="Compact"/>
        <w:numPr>
          <w:ilvl w:val="0"/>
          <w:numId w:val="2124"/>
        </w:numPr>
      </w:pPr>
      <w:r>
        <w:t xml:space="preserve">Documentation officielle Google Cloud Platform :</w:t>
      </w:r>
      <w:r>
        <w:t xml:space="preserve"> </w:t>
      </w:r>
      <w:hyperlink r:id="rId1198">
        <w:r>
          <w:rPr>
            <w:rStyle w:val="Hyperlink"/>
          </w:rPr>
          <w:t xml:space="preserve">https://cloud.google.com/docs</w:t>
        </w:r>
      </w:hyperlink>
    </w:p>
    <w:p>
      <w:pPr>
        <w:pStyle w:val="Compact"/>
        <w:numPr>
          <w:ilvl w:val="0"/>
          <w:numId w:val="2124"/>
        </w:numPr>
      </w:pPr>
      <w:r>
        <w:t xml:space="preserve">Google Cloud — Documentation GKE :</w:t>
      </w:r>
      <w:r>
        <w:t xml:space="preserve"> </w:t>
      </w:r>
      <w:hyperlink r:id="rId1199">
        <w:r>
          <w:rPr>
            <w:rStyle w:val="Hyperlink"/>
          </w:rPr>
          <w:t xml:space="preserve">https://cloud.google.com/kubernetes-engine/docs</w:t>
        </w:r>
      </w:hyperlink>
    </w:p>
    <w:p>
      <w:pPr>
        <w:pStyle w:val="Compact"/>
        <w:numPr>
          <w:ilvl w:val="0"/>
          <w:numId w:val="2124"/>
        </w:numPr>
      </w:pPr>
      <w:r>
        <w:t xml:space="preserve">Google Cloud Architecture Framework :</w:t>
      </w:r>
      <w:r>
        <w:t xml:space="preserve"> </w:t>
      </w:r>
      <w:hyperlink r:id="rId1200">
        <w:r>
          <w:rPr>
            <w:rStyle w:val="Hyperlink"/>
          </w:rPr>
          <w:t xml:space="preserve">https://cloud.google.com/architecture/framework</w:t>
        </w:r>
      </w:hyperlink>
    </w:p>
    <w:p>
      <w:pPr>
        <w:pStyle w:val="FirstParagraph"/>
      </w:pPr>
      <w:r>
        <w:rPr>
          <w:i/>
          <w:iCs/>
        </w:rPr>
        <w:t xml:space="preserve">Chapitre suivant : stratégies hybrides et multi-cloud — comment combiner consciemment plusieurs fournisseurs (ou le cloud avec l’infrastructure on-premise déjà construite dans ce manuel), plutôt que de choisir un seul fournisseur par défaut.</w:t>
      </w:r>
    </w:p>
    <w:p>
      <w:pPr>
        <w:pStyle w:val="BodyText"/>
      </w:pPr>
      <w:r>
        <w:t xml:space="preserve">CHAPITRE 49</w:t>
      </w:r>
    </w:p>
    <w:bookmarkEnd w:id="1201"/>
    <w:bookmarkEnd w:id="1202"/>
    <w:bookmarkStart w:id="1225" w:name="stratégies-hybrides-et-multi-cloud"/>
    <w:p>
      <w:pPr>
        <w:pStyle w:val="Heading1"/>
      </w:pPr>
      <w:r>
        <w:t xml:space="preserve">Stratégies hybrides et multi-cloud</w:t>
      </w:r>
    </w:p>
    <w:p>
      <w:pPr>
        <w:pStyle w:val="FirstParagraph"/>
      </w:pPr>
      <w:r>
        <w:t xml:space="preserve">🎯 Objectif du chapitre</w:t>
      </w:r>
      <w:r>
        <w:t xml:space="preserve"> </w:t>
      </w:r>
      <w:r>
        <w:t xml:space="preserve">Reconnaître que l’entreprise de ce manuel est déjà, de fait, dans une situation hybride et potentiellement multi-cloud — et transformer cet état accidentel en une stratégie consciente et gouvernée. À la fin de ce chapitre, tu sauras distinguer cloud hybride et multi-cloud, comprendre le risque de dépendance à un fournisseur unique (vendor lock-in), et documenter une gouvernance claire de</w:t>
      </w:r>
      <w:r>
        <w:t xml:space="preserve"> </w:t>
      </w:r>
      <w:r>
        <w:t xml:space="preserve">“quel système vit où, et pourquoi”</w:t>
      </w:r>
      <w:r>
        <w:t xml:space="preserve">.</w:t>
      </w:r>
    </w:p>
    <w:p>
      <w:pPr>
        <w:pStyle w:val="BodyText"/>
      </w:pPr>
      <w:r>
        <w:t xml:space="preserve">🎬 Mise en situation</w:t>
      </w:r>
      <w:r>
        <w:t xml:space="preserve"> </w:t>
      </w:r>
      <w:r>
        <w:t xml:space="preserve">Le DSI dresse un bilan de la situation actuelle de l’entreprise : Active Directory reste on-premise avec une synchronisation Entra ID (chapitre 8) ; le portail client tourne sur AWS (chapitre 46) ; le système de gestion documentaire envisage une migration vers Azure pour son intégration Entra ID (chapitre 47) ; l’Active Directory, les serveurs de fichiers et une partie de l’infrastructure Linux restent entièrement sur site.</w:t>
      </w:r>
      <w:r>
        <w:t xml:space="preserve"> </w:t>
      </w:r>
      <w:r>
        <w:t xml:space="preserve">“On n’a jamais décidé consciemment d’être hybride et multi-cloud,”</w:t>
      </w:r>
      <w:r>
        <w:t xml:space="preserve"> </w:t>
      </w:r>
      <w:r>
        <w:t xml:space="preserve">réalise-t-il,</w:t>
      </w:r>
      <w:r>
        <w:t xml:space="preserve"> </w:t>
      </w:r>
      <w:r>
        <w:t xml:space="preserve">“c’est arrivé projet par projet, sans qu’on documente une vraie stratégie d’ensemble.”</w:t>
      </w:r>
      <w:r>
        <w:t xml:space="preserve"> </w:t>
      </w:r>
      <w:r>
        <w:t xml:space="preserve">Ce chapitre transforme cet état de fait en stratégie gouvernée, plutôt que de laisser cette dispersion s’accumuler sans contrôle.</w:t>
      </w:r>
    </w:p>
    <w:bookmarkStart w:id="1203" w:name="X5b392f5c9ef6efda78eec533e1e1cc7dac13775"/>
    <w:p>
      <w:pPr>
        <w:pStyle w:val="Heading2"/>
      </w:pPr>
      <w:r>
        <w:t xml:space="preserve">49.1 L’état actuel de l’entreprise : hybride de facto, sans l’avoir décidé</w:t>
      </w:r>
    </w:p>
    <w:p>
      <w:pPr>
        <w:pStyle w:val="FirstParagraph"/>
      </w:pPr>
      <w:r>
        <w:t xml:space="preserve">📌 À retenir — un constat, pas un jugement</w:t>
      </w:r>
      <w:r>
        <w:t xml:space="preserve"> </w:t>
      </w:r>
      <w:r>
        <w:t xml:space="preserve">Chaque décision individuelle prise dans les chapitres précédents était rationnelle et bien justifiée (AWS pour le portail par pragmatisme, chapitre 46 ; Azure envisagé pour la gestion documentaire par intégration Entra ID, chapitre 47) — mais leur somme non coordonnée produit exactement la situation que le DSI observe : une infrastructure dispersée sans vue d’ensemble ni gouvernance explicite. Ce n’est pas nécessairement une erreur, mais cela nécessite désormais une reconnaissance consciente plutôt qu’une accumulation silencieuse.</w:t>
      </w:r>
    </w:p>
    <w:bookmarkEnd w:id="1203"/>
    <w:bookmarkStart w:id="1207" w:name="Xe518564d5e0b2e4a46f735fac8475cb8f1c2a0a"/>
    <w:p>
      <w:pPr>
        <w:pStyle w:val="Heading2"/>
      </w:pPr>
      <w:r>
        <w:t xml:space="preserve">49.2 Cloud hybride et multi-cloud : deux concepts distincts</w:t>
      </w:r>
    </w:p>
    <w:p>
      <w:pPr>
        <w:pStyle w:val="FirstParagraph"/>
      </w:pPr>
      <w:r>
        <w:t xml:space="preserve">💡 Ne pas confondre les deux termes</w:t>
      </w:r>
      <w:r>
        <w:t xml:space="preserve"> </w:t>
      </w:r>
      <w:r>
        <w:t xml:space="preserve">Le</w:t>
      </w:r>
      <w:r>
        <w:t xml:space="preserve"> </w:t>
      </w:r>
      <w:r>
        <w:rPr>
          <w:b/>
          <w:bCs/>
        </w:rPr>
        <w:t xml:space="preserve">cloud hybride</w:t>
      </w:r>
      <w:r>
        <w:t xml:space="preserve"> </w:t>
      </w:r>
      <w:r>
        <w:t xml:space="preserve">combine infrastructure on-premise (comme l’Active Directory local, la Partie 2 entière de ce manuel) et cloud public — exactement la situation déjà construite depuis le chapitre 8. Le</w:t>
      </w:r>
      <w:r>
        <w:t xml:space="preserve"> </w:t>
      </w:r>
      <w:r>
        <w:rPr>
          <w:b/>
          <w:bCs/>
        </w:rPr>
        <w:t xml:space="preserve">multi-cloud</w:t>
      </w:r>
      <w:r>
        <w:t xml:space="preserve"> </w:t>
      </w:r>
      <w:r>
        <w:t xml:space="preserve">combine plusieurs fournisseurs cloud publics entre eux (AWS pour le portail, potentiellement Azure pour la gestion documentaire) — un concept distinct, bien que les deux puissent coexister, comme c’est le cas pour cette entreprise.</w:t>
      </w:r>
    </w:p>
    <w:p>
      <w:pPr>
        <w:pStyle w:val="CaptionedFigure"/>
      </w:pPr>
      <w:r>
        <w:drawing>
          <wp:inline>
            <wp:extent cx="5334000" cy="5719590"/>
            <wp:effectExtent b="0" l="0" r="0" t="0"/>
            <wp:docPr descr="Diagramme" title="" id="1205" name="Picture"/>
            <a:graphic>
              <a:graphicData uri="http://schemas.openxmlformats.org/drawingml/2006/picture">
                <pic:pic>
                  <pic:nvPicPr>
                    <pic:cNvPr descr="C:/Users/ingja/Desktop/jarvis-starter-kit/livrables/formations/manuel-administration-systeme/assets/diagrams/d-49-strategies-hybrides-multi-cloud-diagramme-1.png" id="1206" name="Picture"/>
                    <pic:cNvPicPr>
                      <a:picLocks noChangeArrowheads="1" noChangeAspect="1"/>
                    </pic:cNvPicPr>
                  </pic:nvPicPr>
                  <pic:blipFill>
                    <a:blip r:embed="rId1204"/>
                    <a:stretch>
                      <a:fillRect/>
                    </a:stretch>
                  </pic:blipFill>
                  <pic:spPr bwMode="auto">
                    <a:xfrm>
                      <a:off x="0" y="0"/>
                      <a:ext cx="5334000" cy="5719590"/>
                    </a:xfrm>
                    <a:prstGeom prst="rect">
                      <a:avLst/>
                    </a:prstGeom>
                    <a:noFill/>
                    <a:ln w="9525">
                      <a:noFill/>
                      <a:headEnd/>
                      <a:tailEnd/>
                    </a:ln>
                  </pic:spPr>
                </pic:pic>
              </a:graphicData>
            </a:graphic>
          </wp:inline>
        </w:drawing>
      </w:r>
    </w:p>
    <w:p>
      <w:pPr>
        <w:pStyle w:val="ImageCaption"/>
      </w:pPr>
      <w:r>
        <w:t xml:space="preserve">Diagramme</w:t>
      </w:r>
    </w:p>
    <w:bookmarkEnd w:id="1207"/>
    <w:bookmarkStart w:id="1208" w:name="Xea6b937202c0467178f088e00b2a59a895dc1e4"/>
    <w:p>
      <w:pPr>
        <w:pStyle w:val="Heading2"/>
      </w:pPr>
      <w:r>
        <w:t xml:space="preserve">49.3 Pourquoi rester hybride plutôt que</w:t>
      </w:r>
      <w:r>
        <w:t xml:space="preserve"> </w:t>
      </w:r>
      <w:r>
        <w:t xml:space="preserve">“tout cloud”</w:t>
      </w:r>
    </w:p>
    <w:p>
      <w:pPr>
        <w:pStyle w:val="FirstParagraph"/>
      </w:pPr>
      <w:r>
        <w:t xml:space="preserve">✅ Rappel direct du chapitre 45</w:t>
      </w:r>
      <w:r>
        <w:t xml:space="preserve"> </w:t>
      </w:r>
      <w:r>
        <w:t xml:space="preserve">Le principe déjà établi au chapitre 45 reste entièrement valable : la connectivité Internet parfois instable (chapitres 6, 23), le coût d’une migration complète, et des systèmes comme Active Directory qui n’ont pas de bénéfice concret démontré à migrer entièrement (rappel de l’atelier du chapitre 45) justifient de conserver une infrastructure hybride plutôt qu’une migration totale et précipitée vers</w:t>
      </w:r>
      <w:r>
        <w:t xml:space="preserve"> </w:t>
      </w:r>
      <w:r>
        <w:t xml:space="preserve">“tout cloud”</w:t>
      </w:r>
      <w:r>
        <w:t xml:space="preserve">.</w:t>
      </w:r>
    </w:p>
    <w:bookmarkEnd w:id="1208"/>
    <w:bookmarkStart w:id="1209" w:name="les-défis-réels-du-multi-cloud"/>
    <w:p>
      <w:pPr>
        <w:pStyle w:val="Heading2"/>
      </w:pPr>
      <w:r>
        <w:t xml:space="preserve">49.4 Les défis réels du multi-cloud</w:t>
      </w:r>
    </w:p>
    <w:p>
      <w:pPr>
        <w:pStyle w:val="FirstParagraph"/>
      </w:pPr>
      <w:r>
        <w:t xml:space="preserve">⚠️ Rappel direct de la section 48.7</w:t>
      </w:r>
      <w:r>
        <w:t xml:space="preserve"> </w:t>
      </w:r>
      <w:r>
        <w:t xml:space="preserve">Chaque fournisseur cloud supplémentaire représente un coût réel de compétence à maintenir dans l’équipe, de complexité opérationnelle (des outils de supervision, de déploiement et de facturation potentiellement différents selon le fournisseur), et de latence réseau entre environnements si des systèmes hébergés sur des fournisseurs différents doivent communiquer fréquemment entre eux — des coûts réels à mettre en balance avec les bénéfices d’intégration déjà identifiés (comme Entra ID pour Azure, chapitre 47).</w:t>
      </w:r>
    </w:p>
    <w:bookmarkEnd w:id="1209"/>
    <w:bookmarkStart w:id="1210" w:name="X6bd0749e7731d24e1b6e1cae8b698da518ce548"/>
    <w:p>
      <w:pPr>
        <w:pStyle w:val="Heading2"/>
      </w:pPr>
      <w:r>
        <w:t xml:space="preserve">49.5 Le vendor lock-in : le risque de dépendance à un fournisseur unique</w:t>
      </w:r>
    </w:p>
    <w:p>
      <w:pPr>
        <w:pStyle w:val="FirstParagraph"/>
      </w:pPr>
      <w:r>
        <w:t xml:space="preserve">🔒 Sécurité — un risque stratégique, pas seulement technique</w:t>
      </w:r>
      <w:r>
        <w:t xml:space="preserve"> </w:t>
      </w:r>
      <w:r>
        <w:t xml:space="preserve">Le</w:t>
      </w:r>
      <w:r>
        <w:t xml:space="preserve"> </w:t>
      </w:r>
      <w:r>
        <w:rPr>
          <w:b/>
          <w:bCs/>
        </w:rPr>
        <w:t xml:space="preserve">vendor lock-in</w:t>
      </w:r>
      <w:r>
        <w:t xml:space="preserve"> </w:t>
      </w:r>
      <w:r>
        <w:t xml:space="preserve">désigne la dépendance croissante à un fournisseur unique, rendant une migration future vers un autre fournisseur de plus en plus coûteuse et complexe à mesure que l’infrastructure s’appuie sur des services propriétaires spécifiques à ce fournisseur (au-delà des concepts génériques déjà comparés aux chapitres 46-48). Ce risque n’est pas purement technique — il touche au pouvoir de négociation de l’entreprise face à son fournisseur, à sa résilience face à une panne majeure chez ce seul fournisseur, et à sa capacité à réagir si les conditions tarifaires évoluent défavorablement.</w:t>
      </w:r>
    </w:p>
    <w:p>
      <w:pPr>
        <w:pStyle w:val="BodyText"/>
      </w:pPr>
      <w:r>
        <w:t xml:space="preserve">💡 Un compromis, pas une réponse binaire</w:t>
      </w:r>
      <w:r>
        <w:t xml:space="preserve"> </w:t>
      </w:r>
      <w:r>
        <w:t xml:space="preserve">Le multi-cloud réduit ce risque de dépendance, mais au prix de la complexité déjà décrite en section 49.4 — exactement le même type de compromis déjà rencontré tout au long de ce manuel (RAID matériel vs logiciel, chapitre 27 ; Docker vs VM, chapitre 39). Une stratégie consciente pèse ce compromis explicitement, plutôt que de le subir par accumulation non coordonnée comme l’a réalisé le DSI dans le scénario d’ouverture.</w:t>
      </w:r>
    </w:p>
    <w:bookmarkEnd w:id="1210"/>
    <w:bookmarkStart w:id="1211" w:name="X89c53ede2cb402db01a1a7e91869b83947ffc58"/>
    <w:p>
      <w:pPr>
        <w:pStyle w:val="Heading2"/>
      </w:pPr>
      <w:r>
        <w:t xml:space="preserve">49.6 Connecter les environnements en toute sécurité</w:t>
      </w:r>
    </w:p>
    <w:p>
      <w:pPr>
        <w:pStyle w:val="FirstParagraph"/>
      </w:pPr>
      <w:r>
        <w:t xml:space="preserve">✅ Rappel direct du chapitre 4</w:t>
      </w:r>
      <w:r>
        <w:t xml:space="preserve"> </w:t>
      </w:r>
      <w:r>
        <w:t xml:space="preserve">Quand des systèmes hébergés sur site, sur AWS et potentiellement sur Azure doivent communiquer entre eux (par exemple, une application cloud qui interroge l’Active Directory local), cette communication doit transiter par un canal sécurisé — un VPN site-à-site chiffré, voire une interconnexion réseau dédiée pour un trafic important et récurrent — jamais une exposition directe non chiffrée entre environnements, exactement le même principe déjà établi pour le bastion du chapitre 4 et le VPC segmenté du chapitre 46.</w:t>
      </w:r>
    </w:p>
    <w:bookmarkEnd w:id="1211"/>
    <w:bookmarkStart w:id="1212" w:name="Xf8d070f205f593907d00499ea09f7aab17e9407"/>
    <w:p>
      <w:pPr>
        <w:pStyle w:val="Heading2"/>
      </w:pPr>
      <w:r>
        <w:t xml:space="preserve">49.7 Une gouvernance claire : documenter</w:t>
      </w:r>
      <w:r>
        <w:t xml:space="preserve"> </w:t>
      </w:r>
      <w:r>
        <w:t xml:space="preserve">“quel système vit où”</w:t>
      </w:r>
    </w:p>
    <w:p>
      <w:pPr>
        <w:pStyle w:val="FirstParagraph"/>
      </w:pPr>
      <w:r>
        <w:t xml:space="preserve">✅ La réponse structurelle au constat du DSI</w:t>
      </w:r>
      <w:r>
        <w:t xml:space="preserve"> </w:t>
      </w:r>
      <w:r>
        <w:t xml:space="preserve">Rappel direct du chapitre 3 : la CMDB doit désormais inclure, pour chaque système, non seulement ses caractéristiques techniques mais aussi son</w:t>
      </w:r>
      <w:r>
        <w:t xml:space="preserve"> </w:t>
      </w:r>
      <w:r>
        <w:rPr>
          <w:b/>
          <w:bCs/>
        </w:rPr>
        <w:t xml:space="preserve">environnement d’hébergement précis</w:t>
      </w:r>
      <w:r>
        <w:t xml:space="preserve"> </w:t>
      </w:r>
      <w:r>
        <w:t xml:space="preserve">(on-premise, AWS, Azure, GCP) et la</w:t>
      </w:r>
      <w:r>
        <w:t xml:space="preserve"> </w:t>
      </w:r>
      <w:r>
        <w:rPr>
          <w:b/>
          <w:bCs/>
        </w:rPr>
        <w:t xml:space="preserve">justification</w:t>
      </w:r>
      <w:r>
        <w:t xml:space="preserve"> </w:t>
      </w:r>
      <w:r>
        <w:t xml:space="preserve">de ce choix (rappel des critères déjà établis aux chapitres 46-48). Sans cette documentation centralisée, la dispersion déjà observée par le DSI continuera de s’accumuler silencieusement, projet après projet, sans jamais être visible dans son ensemble.</w:t>
      </w:r>
    </w:p>
    <w:bookmarkEnd w:id="1212"/>
    <w:bookmarkStart w:id="1213" w:name="Xaa6d1e452a4e40336c2da5f31eccb5bb4f9f0e7"/>
    <w:p>
      <w:pPr>
        <w:pStyle w:val="Heading2"/>
      </w:pPr>
      <w:r>
        <w:t xml:space="preserve">Atelier — Documenter la stratégie hybride de l’entreprise</w:t>
      </w:r>
    </w:p>
    <w:p>
      <w:pPr>
        <w:pStyle w:val="FirstParagraph"/>
      </w:pPr>
      <w:r>
        <w:t xml:space="preserve">🛠️ Atelier 49 — Transformer l’état de fait en gouvernance consciente</w:t>
      </w:r>
    </w:p>
    <w:p>
      <w:pPr>
        <w:pStyle w:val="BodyText"/>
      </w:pPr>
      <w:r>
        <w:rPr>
          <w:b/>
          <w:bCs/>
        </w:rPr>
        <w:t xml:space="preserve">Objectif</w:t>
      </w:r>
      <w:r>
        <w:t xml:space="preserve"> </w:t>
      </w:r>
      <w:r>
        <w:t xml:space="preserve">: produire le document de gouvernance que le DSI aurait dû avoir depuis le début, à partir de l’état actuel de l’entreprise.</w:t>
      </w:r>
    </w:p>
    <w:p>
      <w:pPr>
        <w:pStyle w:val="BodyText"/>
      </w:pPr>
      <w:r>
        <w:rPr>
          <w:b/>
          <w:bCs/>
        </w:rPr>
        <w:t xml:space="preserve">Préparation</w:t>
      </w:r>
      <w:r>
        <w:t xml:space="preserve"> </w:t>
      </w:r>
      <w:r>
        <w:t xml:space="preserve">: aucune installation nécessaire — cet atelier est un exercice de synthèse et de documentation.</w:t>
      </w:r>
    </w:p>
    <w:p>
      <w:pPr>
        <w:pStyle w:val="BodyText"/>
      </w:pPr>
      <w:r>
        <w:rPr>
          <w:b/>
          <w:bCs/>
        </w:rPr>
        <w:t xml:space="preserve">Étapes détaillées</w:t>
      </w:r>
      <w:r>
        <w:t xml:space="preserve"> </w:t>
      </w:r>
      <w:r>
        <w:t xml:space="preserve">:</w:t>
      </w:r>
    </w:p>
    <w:p>
      <w:pPr>
        <w:pStyle w:val="Compact"/>
        <w:numPr>
          <w:ilvl w:val="0"/>
          <w:numId w:val="2125"/>
        </w:numPr>
      </w:pPr>
      <w:r>
        <w:t xml:space="preserve">Liste chaque système majeur déjà rencontré dans ce manuel (Active Directory, portail client, gestion documentaire, etc.) avec son environnement d’hébergement actuel ou envisagé.</w:t>
      </w:r>
    </w:p>
    <w:p>
      <w:pPr>
        <w:pStyle w:val="Compact"/>
        <w:numPr>
          <w:ilvl w:val="0"/>
          <w:numId w:val="2125"/>
        </w:numPr>
      </w:pPr>
      <w:r>
        <w:t xml:space="preserve">Pour chacun, rédige une justification en une phrase, en t’appuyant sur les critères déjà établis aux chapitres 45-48.</w:t>
      </w:r>
    </w:p>
    <w:p>
      <w:pPr>
        <w:pStyle w:val="Compact"/>
        <w:numPr>
          <w:ilvl w:val="0"/>
          <w:numId w:val="2125"/>
        </w:numPr>
      </w:pPr>
      <w:r>
        <w:t xml:space="preserve">Propose une règle de gouvernance simple pour tout futur système, afin d’éviter que la dispersion ne continue de s’accumuler sans contrôle.</w:t>
      </w:r>
    </w:p>
    <w:p>
      <w:pPr>
        <w:pStyle w:val="Compact"/>
        <w:numPr>
          <w:ilvl w:val="0"/>
          <w:numId w:val="2125"/>
        </w:numPr>
      </w:pPr>
      <w:r>
        <w:t xml:space="preserve">Compare ta démarche à la section</w:t>
      </w:r>
      <w:r>
        <w:t xml:space="preserve"> </w:t>
      </w:r>
      <w:r>
        <w:t xml:space="preserve">“Résultat attendu”</w:t>
      </w:r>
      <w:r>
        <w:t xml:space="preserve">.</w:t>
      </w:r>
    </w:p>
    <w:p>
      <w:pPr>
        <w:pStyle w:val="FirstParagraph"/>
      </w:pPr>
      <w:r>
        <w:rPr>
          <w:b/>
          <w:bCs/>
        </w:rPr>
        <w:t xml:space="preserve">Résultat attendu</w:t>
      </w:r>
      <w:r>
        <w:t xml:space="preserve"> </w:t>
      </w:r>
      <w:r>
        <w:t xml:space="preserve">: le tableau reprend Active Directory (on-premise, aucun bénéfice démontré à migrer, chapitre 45), le portail client (AWS, pragmatisme et popularité, chapitre 46), la gestion documentaire (Azure envisagé, intégration Entra ID, chapitre 47). La règle de gouvernance proposée pourrait être :</w:t>
      </w:r>
      <w:r>
        <w:t xml:space="preserve"> </w:t>
      </w:r>
      <w:r>
        <w:t xml:space="preserve">“Tout nouveau système doit documenter explicitement, avant son déploiement, son environnement d’hébergement choisi et sa justification selon les critères déjà établis, validé par une revue plutôt que décidé isolément par l’équipe projet du moment”</w:t>
      </w:r>
      <w:r>
        <w:t xml:space="preserve"> </w:t>
      </w:r>
      <w:r>
        <w:t xml:space="preserve">— exactement la lacune de gouvernance identifiée par le DSI dans le scénario d’ouverture.</w:t>
      </w:r>
    </w:p>
    <w:p>
      <w:pPr>
        <w:pStyle w:val="BodyText"/>
      </w:pPr>
      <w:r>
        <w:rPr>
          <w:b/>
          <w:bCs/>
        </w:rPr>
        <w:t xml:space="preserve">Dépannage</w:t>
      </w:r>
      <w:r>
        <w:t xml:space="preserve"> </w:t>
      </w:r>
      <w:r>
        <w:t xml:space="preserve">: si tu as du mal à justifier un système en une seule phrase claire, c’est souvent le signe que sa localisation actuelle n’a jamais été réellement décidée consciemment — une bonne raison de la documenter maintenant, même rétroactivement, plutôt que de laisser cette ambiguïté perdurer.</w:t>
      </w:r>
    </w:p>
    <w:bookmarkEnd w:id="1213"/>
    <w:bookmarkStart w:id="1214" w:name="erreurs-fréquentes-48"/>
    <w:p>
      <w:pPr>
        <w:pStyle w:val="Heading2"/>
      </w:pPr>
      <w:r>
        <w:t xml:space="preserve">Erreurs fréquentes</w:t>
      </w:r>
    </w:p>
    <w:p>
      <w:pPr>
        <w:pStyle w:val="FirstParagraph"/>
      </w:pPr>
      <w:r>
        <w:t xml:space="preserve">⚠️ Erreur n°1 — un multi-cloud</w:t>
      </w:r>
      <w:r>
        <w:t xml:space="preserve"> </w:t>
      </w:r>
      <w:r>
        <w:t xml:space="preserve">“par accident”</w:t>
      </w:r>
      <w:r>
        <w:t xml:space="preserve">, sans stratégie consciente</w:t>
      </w:r>
      <w:r>
        <w:t xml:space="preserve"> </w:t>
      </w:r>
      <w:r>
        <w:t xml:space="preserve">Exactement le constat du DSI dans le scénario d’ouverture — chaque décision individuellement rationnelle, mais sans vue d’ensemble ni gouvernance, aboutissant à une dispersion non maîtrisée.</w:t>
      </w:r>
    </w:p>
    <w:p>
      <w:pPr>
        <w:pStyle w:val="BodyText"/>
      </w:pPr>
      <w:r>
        <w:t xml:space="preserve">⚠️ Erreur n°2 — négliger la connectivité sécurisée entre environnements</w:t>
      </w:r>
      <w:r>
        <w:t xml:space="preserve"> </w:t>
      </w:r>
      <w:r>
        <w:t xml:space="preserve">Rappel de la section 49.6 : une communication non chiffrée entre systèmes on-premise et cloud reproduit exactement le même risque déjà dénoncé pour un service exposé directement sans bastion (chapitre 4).</w:t>
      </w:r>
    </w:p>
    <w:p>
      <w:pPr>
        <w:pStyle w:val="BodyText"/>
      </w:pPr>
      <w:r>
        <w:t xml:space="preserve">⚠️ Erreur n°3 — ignorer le vendor lock-in jusqu’à ce qu’il devienne un problème réel</w:t>
      </w:r>
      <w:r>
        <w:t xml:space="preserve"> </w:t>
      </w:r>
      <w:r>
        <w:t xml:space="preserve">Rappel de la section 49.5 : une dépendance croissante et non anticipée à un fournisseur unique réduit progressivement la marge de manœuvre de l’entreprise, un risque souvent invisible jusqu’au jour où une migration devient nécessaire et se révèle bien plus coûteuse qu’anticipé.</w:t>
      </w:r>
    </w:p>
    <w:bookmarkEnd w:id="1214"/>
    <w:bookmarkStart w:id="1215" w:name="Xf67c7e74de257593f29b2c6e4feb05c27cd61be"/>
    <w:p>
      <w:pPr>
        <w:pStyle w:val="Heading2"/>
      </w:pPr>
      <w:r>
        <w:t xml:space="preserve">Diagnostiquer une dispersion non gouvernée</w:t>
      </w:r>
    </w:p>
    <w:p>
      <w:pPr>
        <w:pStyle w:val="FirstParagraph"/>
      </w:pPr>
      <w:r>
        <w:t xml:space="preserve">🩺 Situation :</w:t>
      </w:r>
      <w:r>
        <w:t xml:space="preserve"> </w:t>
      </w:r>
      <w:r>
        <w:t xml:space="preserve">“Comment savoir si notre organisation est déjà dans la situation du DSI, sans le savoir ?”</w:t>
      </w:r>
    </w:p>
    <w:p>
      <w:pPr>
        <w:pStyle w:val="Compact"/>
        <w:numPr>
          <w:ilvl w:val="0"/>
          <w:numId w:val="2126"/>
        </w:numPr>
      </w:pPr>
      <w:r>
        <w:rPr>
          <w:b/>
          <w:bCs/>
        </w:rPr>
        <w:t xml:space="preserve">Diagnostic</w:t>
      </w:r>
      <w:r>
        <w:t xml:space="preserve"> </w:t>
      </w:r>
      <w:r>
        <w:t xml:space="preserve">: vérifier si la CMDB (chapitre 3) documente réellement, pour chaque système, son environnement d’hébergement et sa justification — l’absence de cette information pour plusieurs systèmes est un signe clair de dispersion non gouvernée.</w:t>
      </w:r>
    </w:p>
    <w:p>
      <w:pPr>
        <w:pStyle w:val="Compact"/>
        <w:numPr>
          <w:ilvl w:val="0"/>
          <w:numId w:val="2126"/>
        </w:numPr>
      </w:pPr>
      <w:r>
        <w:rPr>
          <w:b/>
          <w:bCs/>
        </w:rPr>
        <w:t xml:space="preserve">Comment vérifier</w:t>
      </w:r>
      <w:r>
        <w:t xml:space="preserve"> </w:t>
      </w:r>
      <w:r>
        <w:t xml:space="preserve">: dresser un inventaire simple de tous les systèmes connus de l’organisation avec leur hébergement réel, en interrogeant directement chaque équipe projet si la documentation centralisée est incomplète.</w:t>
      </w:r>
    </w:p>
    <w:p>
      <w:pPr>
        <w:pStyle w:val="Compact"/>
        <w:numPr>
          <w:ilvl w:val="0"/>
          <w:numId w:val="2126"/>
        </w:numPr>
      </w:pPr>
      <w:r>
        <w:rPr>
          <w:b/>
          <w:bCs/>
        </w:rPr>
        <w:t xml:space="preserve">Résolution</w:t>
      </w:r>
      <w:r>
        <w:t xml:space="preserve"> </w:t>
      </w:r>
      <w:r>
        <w:t xml:space="preserve">: compléter la CMDB avec cette information (section 49.7), puis établir la règle de gouvernance pour tout futur système, exactement la démarche de l’atelier de ce chapitre.</w:t>
      </w:r>
    </w:p>
    <w:bookmarkEnd w:id="1215"/>
    <w:bookmarkStart w:id="1216" w:name="en-entreprise-48"/>
    <w:p>
      <w:pPr>
        <w:pStyle w:val="Heading2"/>
      </w:pPr>
      <w:r>
        <w:t xml:space="preserve">En entreprise</w:t>
      </w:r>
    </w:p>
    <w:p>
      <w:pPr>
        <w:pStyle w:val="Compact"/>
        <w:numPr>
          <w:ilvl w:val="0"/>
          <w:numId w:val="2127"/>
        </w:numPr>
      </w:pPr>
      <w:r>
        <w:rPr>
          <w:b/>
          <w:bCs/>
        </w:rPr>
        <w:t xml:space="preserve">Bonne pratique répandue</w:t>
      </w:r>
      <w:r>
        <w:t xml:space="preserve"> </w:t>
      </w:r>
      <w:r>
        <w:t xml:space="preserve">: centraliser dans la CMDB (chapitre 3) l’environnement d’hébergement et la justification de chaque système, revue périodiquement pour détecter toute dérive non gouvernée.</w:t>
      </w:r>
    </w:p>
    <w:p>
      <w:pPr>
        <w:pStyle w:val="Compact"/>
        <w:numPr>
          <w:ilvl w:val="0"/>
          <w:numId w:val="2127"/>
        </w:numPr>
      </w:pPr>
      <w:r>
        <w:rPr>
          <w:b/>
          <w:bCs/>
        </w:rPr>
        <w:t xml:space="preserve">Bonne pratique répandue</w:t>
      </w:r>
      <w:r>
        <w:t xml:space="preserve"> </w:t>
      </w:r>
      <w:r>
        <w:t xml:space="preserve">: limiter consciemment le nombre de fournisseurs cloud actifs, en exigeant une justification explicite avant d’en introduire un nouveau — jamais une accumulation projet par projet sans vue d’ensemble.</w:t>
      </w:r>
    </w:p>
    <w:p>
      <w:pPr>
        <w:pStyle w:val="Compact"/>
        <w:numPr>
          <w:ilvl w:val="0"/>
          <w:numId w:val="2127"/>
        </w:numPr>
      </w:pPr>
      <w:r>
        <w:rPr>
          <w:b/>
          <w:bCs/>
        </w:rPr>
        <w:t xml:space="preserve">Erreur classique observée</w:t>
      </w:r>
      <w:r>
        <w:t xml:space="preserve"> </w:t>
      </w:r>
      <w:r>
        <w:t xml:space="preserve">: une organisation qui découvre, lors d’un audit de sécurité ou d’une négociation contractuelle, qu’elle dépend bien plus fortement d’un fournisseur cloud particulier qu’elle ne le pensait, faute d’avoir suivi cette dépendance de façon centralisée au fil du temps.</w:t>
      </w:r>
    </w:p>
    <w:bookmarkEnd w:id="1216"/>
    <w:bookmarkStart w:id="1217" w:name="entretien-technique-48"/>
    <w:p>
      <w:pPr>
        <w:pStyle w:val="Heading2"/>
      </w:pPr>
      <w:r>
        <w:t xml:space="preserve">Entretien technique</w:t>
      </w:r>
    </w:p>
    <w:p>
      <w:pPr>
        <w:pStyle w:val="FirstParagraph"/>
      </w:pPr>
      <w:r>
        <w:t xml:space="preserve">💼 Questions fréquemment posées en entretien</w:t>
      </w:r>
    </w:p>
    <w:p>
      <w:pPr>
        <w:pStyle w:val="BodyText"/>
      </w:pPr>
      <w:r>
        <w:rPr>
          <w:b/>
          <w:bCs/>
        </w:rPr>
        <w:t xml:space="preserve">Q1.</w:t>
      </w:r>
      <w:r>
        <w:rPr>
          <w:b/>
          <w:bCs/>
        </w:rPr>
        <w:t xml:space="preserve"> </w:t>
      </w:r>
      <w:r>
        <w:rPr>
          <w:b/>
          <w:bCs/>
        </w:rPr>
        <w:t xml:space="preserve">“Quelle est la différence entre cloud hybride et multi-cloud ?”</w:t>
      </w:r>
      <w:r>
        <w:t xml:space="preserve"> </w:t>
      </w:r>
      <w:r>
        <w:t xml:space="preserve">Réponse attendue : le cloud hybride combine infrastructure on-premise et cloud public (comme Active Directory local synchronisé avec Entra ID) ; le multi-cloud combine plusieurs fournisseurs cloud publics entre eux — les deux concepts sont distincts mais peuvent coexister dans la même organisation.</w:t>
      </w:r>
    </w:p>
    <w:p>
      <w:pPr>
        <w:pStyle w:val="BodyText"/>
      </w:pPr>
      <w:r>
        <w:rPr>
          <w:b/>
          <w:bCs/>
        </w:rPr>
        <w:t xml:space="preserve">Q2.</w:t>
      </w:r>
      <w:r>
        <w:rPr>
          <w:b/>
          <w:bCs/>
        </w:rPr>
        <w:t xml:space="preserve"> </w:t>
      </w:r>
      <w:r>
        <w:rPr>
          <w:b/>
          <w:bCs/>
        </w:rPr>
        <w:t xml:space="preserve">“Qu’est-ce que le vendor lock-in, et comment s’en prémunir ?”</w:t>
      </w:r>
      <w:r>
        <w:t xml:space="preserve"> </w:t>
      </w:r>
      <w:r>
        <w:t xml:space="preserve">Réponse attendue : la dépendance croissante à un fournisseur unique, rendant une migration future coûteuse et complexe — on s’en prémunit en privilégiant, quand c’est raisonnable, des services et standards portables (comme Kubernetes, déjà rencontré aux chapitres 42-44) plutôt que des services propriétaires spécifiques à un seul fournisseur, tout en acceptant que ce choix a lui-même un coût de complexité.</w:t>
      </w:r>
    </w:p>
    <w:p>
      <w:pPr>
        <w:pStyle w:val="BodyText"/>
      </w:pPr>
      <w:r>
        <w:rPr>
          <w:b/>
          <w:bCs/>
        </w:rPr>
        <w:t xml:space="preserve">Q3.</w:t>
      </w:r>
      <w:r>
        <w:rPr>
          <w:b/>
          <w:bCs/>
        </w:rPr>
        <w:t xml:space="preserve"> </w:t>
      </w:r>
      <w:r>
        <w:rPr>
          <w:b/>
          <w:bCs/>
        </w:rPr>
        <w:t xml:space="preserve">“Comment éviter qu’une organisation ne devienne multi-cloud</w:t>
      </w:r>
      <w:r>
        <w:rPr>
          <w:b/>
          <w:bCs/>
        </w:rPr>
        <w:t xml:space="preserve"> </w:t>
      </w:r>
      <w:r>
        <w:rPr>
          <w:b/>
          <w:bCs/>
        </w:rPr>
        <w:t xml:space="preserve">‘par accident’</w:t>
      </w:r>
      <w:r>
        <w:rPr>
          <w:b/>
          <w:bCs/>
        </w:rPr>
        <w:t xml:space="preserve">, sans stratégie ?”</w:t>
      </w:r>
      <w:r>
        <w:t xml:space="preserve"> </w:t>
      </w:r>
      <w:r>
        <w:t xml:space="preserve">Réponse attendue : par une gouvernance centralisée (documentée dans la CMDB, chapitre 3) exigeant une justification explicite pour tout nouveau fournisseur ou service adopté, plutôt que de laisser chaque équipe projet décider isolément sans vue d’ensemble ni validation croisée.</w:t>
      </w:r>
    </w:p>
    <w:bookmarkEnd w:id="1217"/>
    <w:bookmarkStart w:id="1218" w:name="Xa8495d96ccd17f009ad9bba46a6a1e3e1b69cbb"/>
    <w:p>
      <w:pPr>
        <w:pStyle w:val="Heading2"/>
      </w:pPr>
      <w:r>
        <w:t xml:space="preserve">Optimisation, sécurité et maintenabilité — les réflexes dès ce chapitre</w:t>
      </w:r>
    </w:p>
    <w:p>
      <w:pPr>
        <w:pStyle w:val="FirstParagraph"/>
      </w:pPr>
      <w:r>
        <w:t xml:space="preserve">🔒 Sécurité</w:t>
      </w:r>
      <w:r>
        <w:t xml:space="preserve"> </w:t>
      </w:r>
      <w:r>
        <w:t xml:space="preserve">Sécurise systématiquement toute communication entre environnements on-premise et cloud via un canal chiffré dédié (VPN site-à-site ou interconnexion directe) — jamais une exposition directe non protégée, quel que soit le nombre d’environnements impliqués.</w:t>
      </w:r>
    </w:p>
    <w:p>
      <w:pPr>
        <w:pStyle w:val="BodyText"/>
      </w:pPr>
      <w:r>
        <w:t xml:space="preserve">✅ Maintenabilité</w:t>
      </w:r>
      <w:r>
        <w:t xml:space="preserve"> </w:t>
      </w:r>
      <w:r>
        <w:t xml:space="preserve">Centralise dans la CMDB l’environnement d’hébergement et la justification de chaque système — la mesure de gouvernance la plus directement actionnable de ce chapitre, qui transforme une dispersion accidentelle en une cartographie consciente et auditable.</w:t>
      </w:r>
    </w:p>
    <w:p>
      <w:pPr>
        <w:pStyle w:val="BodyText"/>
      </w:pPr>
      <w:r>
        <w:t xml:space="preserve">🚀 Performance</w:t>
      </w:r>
      <w:r>
        <w:t xml:space="preserve"> </w:t>
      </w:r>
      <w:r>
        <w:t xml:space="preserve">Limite les échanges fréquents et volumineux entre environnements hébergés sur des fournisseurs différents — chaque traversée entre environnements ajoute une latence réseau réelle, un facteur à considérer explicitement lors de la conception d’une architecture multi-cloud.</w:t>
      </w:r>
    </w:p>
    <w:bookmarkEnd w:id="1218"/>
    <w:bookmarkStart w:id="1219" w:name="résumé-du-chapitre-48"/>
    <w:p>
      <w:pPr>
        <w:pStyle w:val="Heading2"/>
      </w:pPr>
      <w:r>
        <w:t xml:space="preserve">Résumé du chapitre</w:t>
      </w:r>
    </w:p>
    <w:p>
      <w:pPr>
        <w:pStyle w:val="Compact"/>
        <w:numPr>
          <w:ilvl w:val="0"/>
          <w:numId w:val="2128"/>
        </w:numPr>
      </w:pPr>
      <w:r>
        <w:t xml:space="preserve">Le cloud hybride combine infrastructure on-premise et cloud public ; le multi-cloud combine plusieurs fournisseurs cloud publics — deux concepts distincts, souvent combinés en pratique.</w:t>
      </w:r>
    </w:p>
    <w:p>
      <w:pPr>
        <w:pStyle w:val="Compact"/>
        <w:numPr>
          <w:ilvl w:val="0"/>
          <w:numId w:val="2128"/>
        </w:numPr>
      </w:pPr>
      <w:r>
        <w:t xml:space="preserve">Une entreprise peut devenir hybride et multi-cloud</w:t>
      </w:r>
      <w:r>
        <w:t xml:space="preserve"> </w:t>
      </w:r>
      <w:r>
        <w:t xml:space="preserve">“par accident”</w:t>
      </w:r>
      <w:r>
        <w:t xml:space="preserve">, décision par décision, sans jamais avoir arrêté de stratégie consciente d’ensemble.</w:t>
      </w:r>
    </w:p>
    <w:p>
      <w:pPr>
        <w:pStyle w:val="Compact"/>
        <w:numPr>
          <w:ilvl w:val="0"/>
          <w:numId w:val="2128"/>
        </w:numPr>
      </w:pPr>
      <w:r>
        <w:t xml:space="preserve">Le vendor lock-in représente un risque stratégique de dépendance croissante à un fournisseur unique, à mettre en balance avec la complexité opérationnelle du multi-cloud.</w:t>
      </w:r>
    </w:p>
    <w:p>
      <w:pPr>
        <w:pStyle w:val="Compact"/>
        <w:numPr>
          <w:ilvl w:val="0"/>
          <w:numId w:val="2128"/>
        </w:numPr>
      </w:pPr>
      <w:r>
        <w:t xml:space="preserve">Toute communication entre environnements doit transiter par un canal sécurisé, le même principe déjà établi pour le bastion du chapitre 4.</w:t>
      </w:r>
    </w:p>
    <w:p>
      <w:pPr>
        <w:pStyle w:val="Compact"/>
        <w:numPr>
          <w:ilvl w:val="0"/>
          <w:numId w:val="2128"/>
        </w:numPr>
      </w:pPr>
      <w:r>
        <w:t xml:space="preserve">Une gouvernance centralisée, documentant</w:t>
      </w:r>
      <w:r>
        <w:t xml:space="preserve"> </w:t>
      </w:r>
      <w:r>
        <w:t xml:space="preserve">“quel système vit où et pourquoi”</w:t>
      </w:r>
      <w:r>
        <w:t xml:space="preserve"> </w:t>
      </w:r>
      <w:r>
        <w:t xml:space="preserve">dans la CMDB, transforme une dispersion non maîtrisée en une stratégie consciente et auditable.</w:t>
      </w:r>
    </w:p>
    <w:bookmarkEnd w:id="1219"/>
    <w:bookmarkStart w:id="1220" w:name="quiz-48"/>
    <w:p>
      <w:pPr>
        <w:pStyle w:val="Heading2"/>
      </w:pPr>
      <w:r>
        <w:t xml:space="preserve">Quiz</w:t>
      </w:r>
    </w:p>
    <w:p>
      <w:pPr>
        <w:pStyle w:val="FirstParagraph"/>
      </w:pPr>
      <w:r>
        <w:t xml:space="preserve">📝 QCM (une seule bonne réponse par question)</w:t>
      </w:r>
    </w:p>
    <w:p>
      <w:pPr>
        <w:pStyle w:val="Compact"/>
        <w:numPr>
          <w:ilvl w:val="0"/>
          <w:numId w:val="2129"/>
        </w:numPr>
      </w:pPr>
      <w:r>
        <w:t xml:space="preserve">Le cloud hybride combine :</w:t>
      </w:r>
    </w:p>
    <w:p>
      <w:pPr>
        <w:pStyle w:val="Compact"/>
        <w:numPr>
          <w:ilvl w:val="1"/>
          <w:numId w:val="2130"/>
        </w:numPr>
      </w:pPr>
    </w:p>
    <w:p>
      <w:pPr>
        <w:pStyle w:val="Compact"/>
        <w:numPr>
          <w:ilvl w:val="2"/>
          <w:numId w:val="2131"/>
        </w:numPr>
      </w:pPr>
      <w:r>
        <w:t xml:space="preserve">Deux fournisseurs cloud publics uniquement</w:t>
      </w:r>
    </w:p>
    <w:p>
      <w:pPr>
        <w:pStyle w:val="Compact"/>
        <w:numPr>
          <w:ilvl w:val="1"/>
          <w:numId w:val="2130"/>
        </w:numPr>
      </w:pPr>
    </w:p>
    <w:p>
      <w:pPr>
        <w:pStyle w:val="Compact"/>
        <w:numPr>
          <w:ilvl w:val="2"/>
          <w:numId w:val="2132"/>
        </w:numPr>
      </w:pPr>
      <w:r>
        <w:t xml:space="preserve">Infrastructure on-premise et cloud public</w:t>
      </w:r>
    </w:p>
    <w:p>
      <w:pPr>
        <w:pStyle w:val="Compact"/>
        <w:numPr>
          <w:ilvl w:val="1"/>
          <w:numId w:val="2130"/>
        </w:numPr>
      </w:pPr>
    </w:p>
    <w:p>
      <w:pPr>
        <w:pStyle w:val="Compact"/>
        <w:numPr>
          <w:ilvl w:val="2"/>
          <w:numId w:val="2133"/>
        </w:numPr>
      </w:pPr>
      <w:r>
        <w:t xml:space="preserve">Uniquement des services SaaS</w:t>
      </w:r>
    </w:p>
    <w:p>
      <w:pPr>
        <w:pStyle w:val="Compact"/>
        <w:numPr>
          <w:ilvl w:val="1"/>
          <w:numId w:val="2130"/>
        </w:numPr>
      </w:pPr>
    </w:p>
    <w:p>
      <w:pPr>
        <w:pStyle w:val="Compact"/>
        <w:numPr>
          <w:ilvl w:val="2"/>
          <w:numId w:val="2134"/>
        </w:numPr>
      </w:pPr>
      <w:r>
        <w:t xml:space="preserve">Deux régions du même fournisseur cloud</w:t>
      </w:r>
    </w:p>
    <w:p>
      <w:pPr>
        <w:pStyle w:val="Compact"/>
        <w:numPr>
          <w:ilvl w:val="0"/>
          <w:numId w:val="2129"/>
        </w:numPr>
      </w:pPr>
      <w:r>
        <w:t xml:space="preserve">Le vendor lock-in désigne :</w:t>
      </w:r>
    </w:p>
    <w:p>
      <w:pPr>
        <w:pStyle w:val="Compact"/>
        <w:numPr>
          <w:ilvl w:val="1"/>
          <w:numId w:val="2135"/>
        </w:numPr>
      </w:pPr>
    </w:p>
    <w:p>
      <w:pPr>
        <w:pStyle w:val="Compact"/>
        <w:numPr>
          <w:ilvl w:val="2"/>
          <w:numId w:val="2136"/>
        </w:numPr>
      </w:pPr>
      <w:r>
        <w:t xml:space="preserve">Un mécanisme de sécurité renforcée</w:t>
      </w:r>
    </w:p>
    <w:p>
      <w:pPr>
        <w:pStyle w:val="Compact"/>
        <w:numPr>
          <w:ilvl w:val="1"/>
          <w:numId w:val="2135"/>
        </w:numPr>
      </w:pPr>
    </w:p>
    <w:p>
      <w:pPr>
        <w:pStyle w:val="Compact"/>
        <w:numPr>
          <w:ilvl w:val="2"/>
          <w:numId w:val="2137"/>
        </w:numPr>
      </w:pPr>
      <w:r>
        <w:t xml:space="preserve">La dépendance croissante à un fournisseur unique, rendant une migration future coûteuse</w:t>
      </w:r>
    </w:p>
    <w:p>
      <w:pPr>
        <w:pStyle w:val="Compact"/>
        <w:numPr>
          <w:ilvl w:val="1"/>
          <w:numId w:val="2135"/>
        </w:numPr>
      </w:pPr>
    </w:p>
    <w:p>
      <w:pPr>
        <w:pStyle w:val="Compact"/>
        <w:numPr>
          <w:ilvl w:val="2"/>
          <w:numId w:val="2138"/>
        </w:numPr>
      </w:pPr>
      <w:r>
        <w:t xml:space="preserve">Un type de pare-feu cloud</w:t>
      </w:r>
    </w:p>
    <w:p>
      <w:pPr>
        <w:pStyle w:val="Compact"/>
        <w:numPr>
          <w:ilvl w:val="1"/>
          <w:numId w:val="2135"/>
        </w:numPr>
      </w:pPr>
    </w:p>
    <w:p>
      <w:pPr>
        <w:pStyle w:val="Compact"/>
        <w:numPr>
          <w:ilvl w:val="2"/>
          <w:numId w:val="2139"/>
        </w:numPr>
      </w:pPr>
      <w:r>
        <w:t xml:space="preserve">Une méthode de sauvegarde</w:t>
      </w:r>
    </w:p>
    <w:p>
      <w:pPr>
        <w:pStyle w:val="Compact"/>
        <w:numPr>
          <w:ilvl w:val="0"/>
          <w:numId w:val="2129"/>
        </w:numPr>
      </w:pPr>
      <w:r>
        <w:t xml:space="preserve">La bonne pratique pour éviter un multi-cloud</w:t>
      </w:r>
      <w:r>
        <w:t xml:space="preserve"> </w:t>
      </w:r>
      <w:r>
        <w:t xml:space="preserve">“par accident”</w:t>
      </w:r>
      <w:r>
        <w:t xml:space="preserve"> </w:t>
      </w:r>
      <w:r>
        <w:t xml:space="preserve">est de :</w:t>
      </w:r>
    </w:p>
    <w:p>
      <w:pPr>
        <w:pStyle w:val="Compact"/>
        <w:numPr>
          <w:ilvl w:val="1"/>
          <w:numId w:val="2140"/>
        </w:numPr>
      </w:pPr>
    </w:p>
    <w:p>
      <w:pPr>
        <w:pStyle w:val="Compact"/>
        <w:numPr>
          <w:ilvl w:val="2"/>
          <w:numId w:val="2141"/>
        </w:numPr>
      </w:pPr>
      <w:r>
        <w:t xml:space="preserve">Laisser chaque équipe projet décider isolément</w:t>
      </w:r>
    </w:p>
    <w:p>
      <w:pPr>
        <w:pStyle w:val="Compact"/>
        <w:numPr>
          <w:ilvl w:val="1"/>
          <w:numId w:val="2140"/>
        </w:numPr>
      </w:pPr>
    </w:p>
    <w:p>
      <w:pPr>
        <w:pStyle w:val="Compact"/>
        <w:numPr>
          <w:ilvl w:val="2"/>
          <w:numId w:val="2142"/>
        </w:numPr>
      </w:pPr>
      <w:r>
        <w:t xml:space="preserve">Exiger une justification documentée avant l’adoption de tout nouveau fournisseur</w:t>
      </w:r>
    </w:p>
    <w:p>
      <w:pPr>
        <w:pStyle w:val="Compact"/>
        <w:numPr>
          <w:ilvl w:val="1"/>
          <w:numId w:val="2140"/>
        </w:numPr>
      </w:pPr>
    </w:p>
    <w:p>
      <w:pPr>
        <w:pStyle w:val="Compact"/>
        <w:numPr>
          <w:ilvl w:val="2"/>
          <w:numId w:val="2143"/>
        </w:numPr>
      </w:pPr>
      <w:r>
        <w:t xml:space="preserve">Interdire totalement l’usage du cloud</w:t>
      </w:r>
    </w:p>
    <w:p>
      <w:pPr>
        <w:pStyle w:val="Compact"/>
        <w:numPr>
          <w:ilvl w:val="1"/>
          <w:numId w:val="2140"/>
        </w:numPr>
      </w:pPr>
    </w:p>
    <w:p>
      <w:pPr>
        <w:pStyle w:val="Compact"/>
        <w:numPr>
          <w:ilvl w:val="2"/>
          <w:numId w:val="2144"/>
        </w:numPr>
      </w:pPr>
      <w:r>
        <w:t xml:space="preserve">Adopter systématiquement tous les fournisseurs disponibles</w:t>
      </w:r>
    </w:p>
    <w:p>
      <w:pPr>
        <w:pStyle w:val="FirstParagraph"/>
      </w:pPr>
      <w:r>
        <w:rPr>
          <w:b/>
          <w:bCs/>
        </w:rPr>
        <w:t xml:space="preserve">Corrigé</w:t>
      </w:r>
      <w:r>
        <w:t xml:space="preserve"> </w:t>
      </w:r>
      <w:r>
        <w:t xml:space="preserve">: 1-b, 2-b, 3-b.</w:t>
      </w:r>
    </w:p>
    <w:p>
      <w:pPr>
        <w:pStyle w:val="BodyText"/>
      </w:pPr>
      <w:r>
        <w:t xml:space="preserve">📝 Vrai ou Faux</w:t>
      </w:r>
    </w:p>
    <w:p>
      <w:pPr>
        <w:pStyle w:val="Compact"/>
        <w:numPr>
          <w:ilvl w:val="0"/>
          <w:numId w:val="2145"/>
        </w:numPr>
      </w:pPr>
      <w:r>
        <w:t xml:space="preserve">Le cloud hybride et le multi-cloud désignent exactement le même concept. —</w:t>
      </w:r>
      <w:r>
        <w:t xml:space="preserve"> </w:t>
      </w:r>
      <w:r>
        <w:rPr>
          <w:b/>
          <w:bCs/>
        </w:rPr>
        <w:t xml:space="preserve">Faux</w:t>
      </w:r>
      <w:r>
        <w:t xml:space="preserve"> </w:t>
      </w:r>
      <w:r>
        <w:t xml:space="preserve">(deux concepts distincts, section 49.2).</w:t>
      </w:r>
    </w:p>
    <w:p>
      <w:pPr>
        <w:pStyle w:val="Compact"/>
        <w:numPr>
          <w:ilvl w:val="0"/>
          <w:numId w:val="2145"/>
        </w:numPr>
      </w:pPr>
      <w:r>
        <w:t xml:space="preserve">Une communication entre un système on-premise et un système cloud devrait toujours transiter par un canal sécurisé. —</w:t>
      </w:r>
      <w:r>
        <w:t xml:space="preserve"> </w:t>
      </w:r>
      <w:r>
        <w:rPr>
          <w:b/>
          <w:bCs/>
        </w:rPr>
        <w:t xml:space="preserve">Vrai</w:t>
      </w:r>
      <w:r>
        <w:t xml:space="preserve">.</w:t>
      </w:r>
    </w:p>
    <w:p>
      <w:pPr>
        <w:pStyle w:val="Compact"/>
        <w:numPr>
          <w:ilvl w:val="0"/>
          <w:numId w:val="2145"/>
        </w:numPr>
      </w:pPr>
      <w:r>
        <w:t xml:space="preserve">Le vendor lock-in est un risque purement technique, sans impact stratégique. —</w:t>
      </w:r>
      <w:r>
        <w:t xml:space="preserve"> </w:t>
      </w:r>
      <w:r>
        <w:rPr>
          <w:b/>
          <w:bCs/>
        </w:rPr>
        <w:t xml:space="preserve">Faux</w:t>
      </w:r>
      <w:r>
        <w:t xml:space="preserve"> </w:t>
      </w:r>
      <w:r>
        <w:t xml:space="preserve">(impact sur le pouvoir de négociation et la résilience, section 49.5).</w:t>
      </w:r>
    </w:p>
    <w:p>
      <w:pPr>
        <w:pStyle w:val="Compact"/>
        <w:numPr>
          <w:ilvl w:val="0"/>
          <w:numId w:val="2145"/>
        </w:numPr>
      </w:pPr>
      <w:r>
        <w:t xml:space="preserve">La CMDB devrait documenter l’environnement d’hébergement et la justification de chaque système. —</w:t>
      </w:r>
      <w:r>
        <w:t xml:space="preserve"> </w:t>
      </w:r>
      <w:r>
        <w:rPr>
          <w:b/>
          <w:bCs/>
        </w:rPr>
        <w:t xml:space="preserve">Vrai</w:t>
      </w:r>
      <w:r>
        <w:t xml:space="preserve">.</w:t>
      </w:r>
    </w:p>
    <w:p>
      <w:pPr>
        <w:pStyle w:val="FirstParagraph"/>
      </w:pPr>
      <w:r>
        <w:t xml:space="preserve">📝 Questions ouvertes</w:t>
      </w:r>
    </w:p>
    <w:p>
      <w:pPr>
        <w:pStyle w:val="Compact"/>
        <w:numPr>
          <w:ilvl w:val="0"/>
          <w:numId w:val="2146"/>
        </w:numPr>
      </w:pPr>
      <w:r>
        <w:t xml:space="preserve">Explique pourquoi chaque décision individuelle des chapitres 46-48 était rationnelle, alors que leur somme non coordonnée pose un problème au DSI.</w:t>
      </w:r>
    </w:p>
    <w:p>
      <w:pPr>
        <w:pStyle w:val="Compact"/>
        <w:numPr>
          <w:ilvl w:val="0"/>
          <w:numId w:val="2146"/>
        </w:numPr>
      </w:pPr>
      <w:r>
        <w:t xml:space="preserve">Reprends l’atelier de ce chapitre. Explique pourquoi documenter rétroactivement la justification d’un système déjà déployé reste utile, même après coup.</w:t>
      </w:r>
    </w:p>
    <w:p>
      <w:pPr>
        <w:pStyle w:val="FirstParagraph"/>
      </w:pPr>
      <w:r>
        <w:rPr>
          <w:b/>
          <w:bCs/>
        </w:rPr>
        <w:t xml:space="preserve">Corrigé 1</w:t>
      </w:r>
      <w:r>
        <w:t xml:space="preserve"> </w:t>
      </w:r>
      <w:r>
        <w:t xml:space="preserve">: chaque décision (AWS pour le portail par pragmatisme, chapitre 46 ; Azure envisagé pour la gestion documentaire par intégration Entra ID, chapitre 47) répondait à un besoin réel et à un critère de décision valide à son propre niveau. Le problème n’est pas la rationalité individuelle de chaque choix, mais l’absence de vue d’ensemble et de gouvernance consciente qui aurait permis d’évaluer collectivement le coût cumulé de complexité opérationnelle et de dispersion de compétence — exactement la distinction entre optimisation locale et optimisation globale, un piège classique dans toute organisation qui grandit progressivement sans jamais faire le point d’ensemble.</w:t>
      </w:r>
    </w:p>
    <w:p>
      <w:pPr>
        <w:pStyle w:val="BodyText"/>
      </w:pPr>
      <w:r>
        <w:rPr>
          <w:b/>
          <w:bCs/>
        </w:rPr>
        <w:t xml:space="preserve">Corrigé 2</w:t>
      </w:r>
      <w:r>
        <w:t xml:space="preserve"> </w:t>
      </w:r>
      <w:r>
        <w:t xml:space="preserve">: documenter rétroactivement, même après un déploiement déjà effectué, transforme une décision implicite (potentiellement bonne, mais non vérifiée) en une décision explicite et auditable — cela permet à quiconque examine ce système plus tard de comprendre s’il s’agissait d’un choix réfléchi ou d’une décision par défaut, et facilite une réévaluation future si le contexte change (rappel du principe de révision après changement déjà établi au chapitre 2). Sans cette documentation, même une bonne décision reste invisible et indéfendable objectivement lors d’un futur audit.</w:t>
      </w:r>
    </w:p>
    <w:bookmarkEnd w:id="1220"/>
    <w:bookmarkStart w:id="1221" w:name="exercices-48"/>
    <w:p>
      <w:pPr>
        <w:pStyle w:val="Heading2"/>
      </w:pPr>
      <w:r>
        <w:t xml:space="preserve">Exercices</w:t>
      </w:r>
    </w:p>
    <w:p>
      <w:pPr>
        <w:pStyle w:val="FirstParagraph"/>
      </w:pPr>
      <w:r>
        <w:t xml:space="preserve">📝 Exercice 49.1</w:t>
      </w:r>
    </w:p>
    <w:p>
      <w:pPr>
        <w:pStyle w:val="BodyText"/>
      </w:pPr>
      <w:r>
        <w:t xml:space="preserve">Une entreprise dépend fortement d’un service propriétaire spécifique à un seul fournisseur cloud, sans équivalent standard portable. Explique le risque concret si ce fournisseur augmente significativement ses tarifs, et propose une mesure d’atténuation partielle.</w:t>
      </w:r>
    </w:p>
    <w:p>
      <w:pPr>
        <w:pStyle w:val="BodyText"/>
      </w:pPr>
      <w:r>
        <w:rPr>
          <w:b/>
          <w:bCs/>
        </w:rPr>
        <w:t xml:space="preserve">Corrigé :</w:t>
      </w:r>
      <w:r>
        <w:t xml:space="preserve"> </w:t>
      </w:r>
      <w:r>
        <w:t xml:space="preserve">Une forte dépendance à un service propriétaire non portable place l’entreprise en position de faiblesse face à une hausse tarifaire — migrer vers un autre fournisseur nécessiterait de reconstruire cette fonctionnalité spécifique depuis zéro, un coût et un délai qui peuvent rendre cette hausse difficile à contester ou à éviter à court terme, exactement le risque de vendor lock-in de la section 49.5. Une mesure d’atténuation partielle consiste à privilégier, quand c’est raisonnable, des standards portables (comme Kubernetes plutôt qu’un service de calcul entièrement propriétaire) pour les composants les plus critiques, réduisant le coût d’une éventuelle migration future sans pour autant éliminer complètement cette dépendance, un compromis réaliste plutôt qu’une solution parfaite.</w:t>
      </w:r>
    </w:p>
    <w:p>
      <w:pPr>
        <w:pStyle w:val="BodyText"/>
      </w:pPr>
      <w:r>
        <w:t xml:space="preserve">📝 Exercice 49.2</w:t>
      </w:r>
    </w:p>
    <w:p>
      <w:pPr>
        <w:pStyle w:val="BodyText"/>
      </w:pPr>
      <w:r>
        <w:t xml:space="preserve">Rédige, en 3 à 5 phrases, une règle de gouvernance à proposer à la direction de l’entreprise pour éviter que la situation du scénario d’ouverture ne se reproduise à l’avenir.</w:t>
      </w:r>
    </w:p>
    <w:p>
      <w:pPr>
        <w:pStyle w:val="BodyText"/>
      </w:pPr>
      <w:r>
        <w:rPr>
          <w:b/>
          <w:bCs/>
        </w:rPr>
        <w:t xml:space="preserve">Corrigé (exemple de réponse) :</w:t>
      </w:r>
      <w:r>
        <w:t xml:space="preserve"> </w:t>
      </w:r>
      <w:r>
        <w:t xml:space="preserve">Toute décision d’hébergement d’un nouveau système (on-premise, ou choix d’un fournisseur cloud particulier) doit être documentée explicitement dans la CMDB avec sa justification, avant la mise en production, et non après coup. Une revue trimestrielle de l’ensemble des systèmes et de leur hébergement doit permettre de détecter toute dispersion non anticipée avant qu’elle ne s’accumule sur plusieurs années. L’introduction d’un nouveau fournisseur cloud, en particulier, doit être validée par une comparaison explicite avec les fournisseurs déjà en place, suivant les critères déjà établis dans ce manuel (chapitres 45-48), plutôt que décidée isolément par une seule équipe projet sans consultation transversale.</w:t>
      </w:r>
    </w:p>
    <w:bookmarkEnd w:id="1221"/>
    <w:bookmarkStart w:id="1222" w:name="checklist-de-fin-de-chapitre-48"/>
    <w:p>
      <w:pPr>
        <w:pStyle w:val="Heading2"/>
      </w:pPr>
      <w:r>
        <w:t xml:space="preserve">Checklist de fin de chapitre</w:t>
      </w:r>
    </w:p>
    <w:p>
      <w:pPr>
        <w:pStyle w:val="FirstParagraph"/>
      </w:pPr>
      <w:r>
        <w:t xml:space="preserve">☐ Je sais distinguer cloud hybride et multi-cloud.</w:t>
      </w:r>
    </w:p>
    <w:p>
      <w:pPr>
        <w:pStyle w:val="BodyText"/>
      </w:pPr>
      <w:r>
        <w:t xml:space="preserve">☐ Je comprends comment une organisation peut devenir multi-cloud</w:t>
      </w:r>
      <w:r>
        <w:t xml:space="preserve"> </w:t>
      </w:r>
      <w:r>
        <w:t xml:space="preserve">“par accident”</w:t>
      </w:r>
      <w:r>
        <w:t xml:space="preserve">, sans stratégie consciente.</w:t>
      </w:r>
    </w:p>
    <w:p>
      <w:pPr>
        <w:pStyle w:val="BodyText"/>
      </w:pPr>
      <w:r>
        <w:t xml:space="preserve">☐ Je sais expliquer le risque de vendor lock-in et les moyens de l’atténuer partiellement.</w:t>
      </w:r>
    </w:p>
    <w:p>
      <w:pPr>
        <w:pStyle w:val="BodyText"/>
      </w:pPr>
      <w:r>
        <w:t xml:space="preserve">☐ Je sais pourquoi toute communication entre environnements doit transiter par un canal sécurisé.</w:t>
      </w:r>
    </w:p>
    <w:p>
      <w:pPr>
        <w:pStyle w:val="BodyText"/>
      </w:pPr>
      <w:r>
        <w:t xml:space="preserve">☐ Je sais documenter une gouvernance claire de</w:t>
      </w:r>
      <w:r>
        <w:t xml:space="preserve"> </w:t>
      </w:r>
      <w:r>
        <w:t xml:space="preserve">“quel système vit où et pourquoi”</w:t>
      </w:r>
      <w:r>
        <w:t xml:space="preserve"> </w:t>
      </w:r>
      <w:r>
        <w:t xml:space="preserve">dans la CMDB.</w:t>
      </w:r>
    </w:p>
    <w:bookmarkEnd w:id="1222"/>
    <w:bookmarkStart w:id="1223" w:name="faq-48"/>
    <w:p>
      <w:pPr>
        <w:pStyle w:val="Heading2"/>
      </w:pPr>
      <w:r>
        <w:t xml:space="preserve">FAQ</w:t>
      </w:r>
    </w:p>
    <w:p>
      <w:pPr>
        <w:pStyle w:val="FirstParagraph"/>
      </w:pPr>
      <w:r>
        <w:t xml:space="preserve">Le multi-cloud est-il toujours une bonne pratique de résilience à adopter systématiquement ?</w:t>
      </w:r>
    </w:p>
    <w:p>
      <w:pPr>
        <w:pStyle w:val="BodyText"/>
      </w:pPr>
      <w:r>
        <w:t xml:space="preserve">Non, pas systématiquement — c’est un compromis (section 49.5) entre réduction de dépendance et complexité opérationnelle accrue, à évaluer selon le contexte réel de chaque organisation, pas une bonne pratique universelle à appliquer sans réflexion.</w:t>
      </w:r>
    </w:p>
    <w:p>
      <w:pPr>
        <w:pStyle w:val="BodyText"/>
      </w:pPr>
      <w:r>
        <w:t xml:space="preserve">Comment réduire concrètement le vendor lock-in sans renoncer aux bénéfices d’intégration d’un fournisseur ?</w:t>
      </w:r>
    </w:p>
    <w:p>
      <w:pPr>
        <w:pStyle w:val="BodyText"/>
      </w:pPr>
      <w:r>
        <w:t xml:space="preserve">En privilégiant les standards portables (Kubernetes, formats de données ouverts) pour les composants où cette portabilité compte réellement, tout en acceptant consciemment une dépendance plus forte pour les services où le bénéfice d’intégration (comme Entra ID sur Azure, chapitre 47) dépasse clairement ce risque — un équilibre à documenter explicitement, pas une règle absolue à appliquer uniformément partout.</w:t>
      </w:r>
    </w:p>
    <w:p>
      <w:pPr>
        <w:pStyle w:val="BodyText"/>
      </w:pPr>
      <w:r>
        <w:t xml:space="preserve">Une interconnexion réseau dédiée est-elle toujours nécessaire entre environnements hybrides ?</w:t>
      </w:r>
    </w:p>
    <w:p>
      <w:pPr>
        <w:pStyle w:val="BodyText"/>
      </w:pPr>
      <w:r>
        <w:t xml:space="preserve">Non, un VPN site-à-site chiffré suffit pour la plupart des besoins de communication modérée ; une interconnexion dédiée (plus coûteuse, mais plus performante et prévisible) se justifie pour un trafic important et récurrent entre environnements, un choix à évaluer selon le volume réel de données échangées.</w:t>
      </w:r>
    </w:p>
    <w:p>
      <w:pPr>
        <w:pStyle w:val="BodyText"/>
      </w:pPr>
      <w:r>
        <w:t xml:space="preserve">Faut-il attendre d’avoir une stratégie parfaite avant de documenter la situation actuelle ?</w:t>
      </w:r>
    </w:p>
    <w:p>
      <w:pPr>
        <w:pStyle w:val="BodyText"/>
      </w:pPr>
      <w:r>
        <w:t xml:space="preserve">Non, au contraire — documenter honnêtement l’état actuel, même imparfait ou accidentel comme celui du scénario d’ouverture, constitue la première étape indispensable avant toute amélioration ultérieure, exactement la démarche de l’atelier de ce chapitre.</w:t>
      </w:r>
    </w:p>
    <w:bookmarkEnd w:id="1223"/>
    <w:bookmarkStart w:id="1224" w:name="références-et-pour-aller-plus-loin-48"/>
    <w:p>
      <w:pPr>
        <w:pStyle w:val="Heading2"/>
      </w:pPr>
      <w:r>
        <w:t xml:space="preserve">Références et pour aller plus loin</w:t>
      </w:r>
    </w:p>
    <w:p>
      <w:pPr>
        <w:pStyle w:val="Compact"/>
        <w:numPr>
          <w:ilvl w:val="0"/>
          <w:numId w:val="2147"/>
        </w:numPr>
      </w:pPr>
      <w:r>
        <w:t xml:space="preserve">NIST Special Publication 800-145 (déjà référencée au chapitre 45, couvre aussi les modèles de déploiement hybride) :</w:t>
      </w:r>
      <w:r>
        <w:t xml:space="preserve"> </w:t>
      </w:r>
      <w:hyperlink r:id="rId1125">
        <w:r>
          <w:rPr>
            <w:rStyle w:val="Hyperlink"/>
          </w:rPr>
          <w:t xml:space="preserve">https://csrc.nist.gov/pubs/sp/800/145/final</w:t>
        </w:r>
      </w:hyperlink>
    </w:p>
    <w:p>
      <w:pPr>
        <w:pStyle w:val="Compact"/>
        <w:numPr>
          <w:ilvl w:val="0"/>
          <w:numId w:val="2147"/>
        </w:numPr>
      </w:pPr>
      <w:r>
        <w:t xml:space="preserve">CNCF — ressources sur la portabilité cloud-native (déjà référencée au chapitre 42) :</w:t>
      </w:r>
      <w:r>
        <w:t xml:space="preserve"> </w:t>
      </w:r>
      <w:hyperlink r:id="rId1054">
        <w:r>
          <w:rPr>
            <w:rStyle w:val="Hyperlink"/>
          </w:rPr>
          <w:t xml:space="preserve">https://www.cncf.io/</w:t>
        </w:r>
      </w:hyperlink>
    </w:p>
    <w:p>
      <w:pPr>
        <w:pStyle w:val="Compact"/>
        <w:numPr>
          <w:ilvl w:val="0"/>
          <w:numId w:val="2147"/>
        </w:numPr>
      </w:pPr>
      <w:r>
        <w:t xml:space="preserve">Gartner — recherches sur les stratégies multi-cloud (ressource générale de l’industrie, à consulter selon disponibilité) : recherche via un moteur de recherche professionnel spécialisé.</w:t>
      </w:r>
    </w:p>
    <w:p>
      <w:pPr>
        <w:pStyle w:val="FirstParagraph"/>
      </w:pPr>
      <w:r>
        <w:rPr>
          <w:i/>
          <w:iCs/>
        </w:rPr>
        <w:t xml:space="preserve">Chapitre suivant : FinOps — maîtriser les coûts cloud, le prolongement naturel de ce chapitre sur la gouvernance, appliqué spécifiquement à la dimension financière d’une infrastructure hybride et multi-cloud.</w:t>
      </w:r>
    </w:p>
    <w:p>
      <w:pPr>
        <w:pStyle w:val="BodyText"/>
      </w:pPr>
      <w:r>
        <w:t xml:space="preserve">CHAPITRE 50</w:t>
      </w:r>
    </w:p>
    <w:bookmarkEnd w:id="1224"/>
    <w:bookmarkEnd w:id="1225"/>
    <w:bookmarkStart w:id="1251" w:name="finops-maîtrise-des-coûts-cloud"/>
    <w:p>
      <w:pPr>
        <w:pStyle w:val="Heading1"/>
      </w:pPr>
      <w:r>
        <w:t xml:space="preserve">FinOps : maîtrise des coûts cloud</w:t>
      </w:r>
    </w:p>
    <w:p>
      <w:pPr>
        <w:pStyle w:val="FirstParagraph"/>
      </w:pPr>
      <w:r>
        <w:t xml:space="preserve">🎯 Objectif du chapitre</w:t>
      </w:r>
      <w:r>
        <w:t xml:space="preserve"> </w:t>
      </w:r>
      <w:r>
        <w:t xml:space="preserve">Comprendre le FinOps comme discipline collective, prolongeant directement la gouvernance déjà établie au chapitre 49, appliquée spécifiquement à la maîtrise des coûts cloud. À la fin de ce chapitre, tu sauras identifier les causes les plus fréquentes de gaspillage cloud, mettre en place un système de tagging et d’alertes budgétaires, et choisir entre instances à la demande, réservées et spot selon le profil de charge réel d’un service.</w:t>
      </w:r>
    </w:p>
    <w:p>
      <w:pPr>
        <w:pStyle w:val="BodyText"/>
      </w:pPr>
      <w:r>
        <w:t xml:space="preserve">🎬 Mise en situation</w:t>
      </w:r>
      <w:r>
        <w:t xml:space="preserve"> </w:t>
      </w:r>
      <w:r>
        <w:t xml:space="preserve">Trois mois après le lancement du pilote AWS (chapitre 46), la première facture trimestrielle complète arrive sur le bureau du DSI — un montant presque le double de ce qui avait été estimé. En creusant avec l’équipe, plusieurs causes apparaissent : une instance EC2 de test, lancée pour l’atelier du chapitre 39, jamais arrêtée depuis des semaines ; l’instance de production du portail largement surdimensionnée</w:t>
      </w:r>
      <w:r>
        <w:t xml:space="preserve"> </w:t>
      </w:r>
      <w:r>
        <w:t xml:space="preserve">“par précaution”</w:t>
      </w:r>
      <w:r>
        <w:t xml:space="preserve">, consommée à 15% de sa capacité réelle en moyenne ; et surtout, impossible de savoir avec certitude quel service précis coûte quoi, faute d’avoir étiqueté les ressources dès leur création.</w:t>
      </w:r>
      <w:r>
        <w:t xml:space="preserve"> </w:t>
      </w:r>
      <w:r>
        <w:t xml:space="preserve">“On a la même discipline à appliquer aux coûts qu’à la sécurité,”</w:t>
      </w:r>
      <w:r>
        <w:t xml:space="preserve"> </w:t>
      </w:r>
      <w:r>
        <w:t xml:space="preserve">conclut le DSI. C’est exactement l’objet du FinOps — le sujet de ce chapitre.</w:t>
      </w:r>
    </w:p>
    <w:bookmarkStart w:id="1226" w:name="Xd27217f53aa11228dc48345af9ef975ab7ec40a"/>
    <w:p>
      <w:pPr>
        <w:pStyle w:val="Heading2"/>
      </w:pPr>
      <w:r>
        <w:t xml:space="preserve">50.1 Le choc de la première facture cloud : un phénomène extrêmement répandu</w:t>
      </w:r>
    </w:p>
    <w:p>
      <w:pPr>
        <w:pStyle w:val="FirstParagraph"/>
      </w:pPr>
      <w:r>
        <w:t xml:space="preserve">📌 À retenir — rappel direct de la section 46.8</w:t>
      </w:r>
      <w:r>
        <w:t xml:space="preserve"> </w:t>
      </w:r>
      <w:r>
        <w:t xml:space="preserve">Contrairement à un serveur physique déjà amorti (Partie 6), chaque ressource cloud a un coût continu, facturé selon l’usage réel — un modèle qui rend le gaspillage à la fois plus facile à créer (une ressource oubliée continue de facturer silencieusement) et plus facile à corriger une fois détecté, à condition de disposer des bons outils de visibilité. Le scénario d’ouverture, bien que frustrant, est extrêmement courant : la grande majorité des organisations découvrant le cloud vivent une surprise similaire lors de leur première facture réelle.</w:t>
      </w:r>
    </w:p>
    <w:bookmarkEnd w:id="1226"/>
    <w:bookmarkStart w:id="1227" w:name="X4229d0c6b21eefbda3b35269587786b1b24818f"/>
    <w:p>
      <w:pPr>
        <w:pStyle w:val="Heading2"/>
      </w:pPr>
      <w:r>
        <w:t xml:space="preserve">50.2 FinOps : une discipline collective, pas un simple outil</w:t>
      </w:r>
    </w:p>
    <w:p>
      <w:pPr>
        <w:pStyle w:val="FirstParagraph"/>
      </w:pPr>
      <w:r>
        <w:t xml:space="preserve">✅ Le même principe multi-disciplinaire que le PCA du chapitre 32</w:t>
      </w:r>
      <w:r>
        <w:t xml:space="preserve"> </w:t>
      </w:r>
      <w:r>
        <w:t xml:space="preserve">Rappel direct du chapitre 32 : exactement comme la continuité d’activité dépasse le seul périmètre de l’équipe IT, le</w:t>
      </w:r>
      <w:r>
        <w:t xml:space="preserve"> </w:t>
      </w:r>
      <w:r>
        <w:rPr>
          <w:b/>
          <w:bCs/>
        </w:rPr>
        <w:t xml:space="preserve">FinOps</w:t>
      </w:r>
      <w:r>
        <w:t xml:space="preserve"> </w:t>
      </w:r>
      <w:r>
        <w:t xml:space="preserve">(contraction de</w:t>
      </w:r>
      <w:r>
        <w:t xml:space="preserve"> </w:t>
      </w:r>
      <w:r>
        <w:rPr>
          <w:i/>
          <w:iCs/>
        </w:rPr>
        <w:t xml:space="preserve">Finance</w:t>
      </w:r>
      <w:r>
        <w:t xml:space="preserve"> </w:t>
      </w:r>
      <w:r>
        <w:t xml:space="preserve">et</w:t>
      </w:r>
      <w:r>
        <w:t xml:space="preserve"> </w:t>
      </w:r>
      <w:r>
        <w:rPr>
          <w:i/>
          <w:iCs/>
        </w:rPr>
        <w:t xml:space="preserve">Operations</w:t>
      </w:r>
      <w:r>
        <w:t xml:space="preserve">) réunit l’équipe technique, la direction financière et les responsables métier autour d’une responsabilité partagée des coûts cloud — l’équipe IT ne peut pas, seule, décider des priorités budgétaires, mais elle seule dispose de la visibilité technique nécessaire pour identifier les sources réelles de gaspillage (rappel du même principe déjà établi pour le rôle de l’IT dans le PCA, section 32.5).</w:t>
      </w:r>
    </w:p>
    <w:bookmarkEnd w:id="1227"/>
    <w:bookmarkStart w:id="1228" w:name="les-causes-courantes-de-gaspillage-cloud"/>
    <w:p>
      <w:pPr>
        <w:pStyle w:val="Heading2"/>
      </w:pPr>
      <w:r>
        <w:t xml:space="preserve">50.3 Les causes courantes de gaspillage cloud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Cause de gaspillage</w:t>
            </w:r>
          </w:p>
        </w:tc>
        <w:tc>
          <w:tcPr/>
          <w:p>
            <w:pPr>
              <w:pStyle w:val="Compact"/>
            </w:pPr>
            <w:r>
              <w:t xml:space="preserve">Exemple concret</w:t>
            </w:r>
          </w:p>
        </w:tc>
        <w:tc>
          <w:tcPr/>
          <w:p>
            <w:pPr>
              <w:pStyle w:val="Compact"/>
            </w:pPr>
            <w:r>
              <w:t xml:space="preserve">Rappel du chapitre concerné</w:t>
            </w:r>
          </w:p>
        </w:tc>
      </w:tr>
      <w:tr>
        <w:tc>
          <w:tcPr/>
          <w:p>
            <w:pPr>
              <w:pStyle w:val="Compact"/>
            </w:pPr>
            <w:r>
              <w:t xml:space="preserve">Ressources oubliées allumées</w:t>
            </w:r>
          </w:p>
        </w:tc>
        <w:tc>
          <w:tcPr/>
          <w:p>
            <w:pPr>
              <w:pStyle w:val="Compact"/>
            </w:pPr>
            <w:r>
              <w:t xml:space="preserve">L’instance de test de l’atelier du chapitre 39, jamais arrêtée</w:t>
            </w:r>
          </w:p>
        </w:tc>
        <w:tc>
          <w:tcPr/>
          <w:p>
            <w:pPr>
              <w:pStyle w:val="Compact"/>
            </w:pPr>
            <w:r>
              <w:t xml:space="preserve">Discipline de nettoyage déjà recommandée au chapitre 39</w:t>
            </w:r>
          </w:p>
        </w:tc>
      </w:tr>
      <w:tr>
        <w:tc>
          <w:tcPr/>
          <w:p>
            <w:pPr>
              <w:pStyle w:val="Compact"/>
            </w:pPr>
            <w:r>
              <w:t xml:space="preserve">Instances surdimensionnées</w:t>
            </w:r>
          </w:p>
        </w:tc>
        <w:tc>
          <w:tcPr/>
          <w:p>
            <w:pPr>
              <w:pStyle w:val="Compact"/>
            </w:pPr>
            <w:r>
              <w:t xml:space="preserve">L’instance EC2 de production à 15% d’utilisation réelle</w:t>
            </w:r>
          </w:p>
        </w:tc>
        <w:tc>
          <w:tcPr/>
          <w:p>
            <w:pPr>
              <w:pStyle w:val="Compact"/>
            </w:pPr>
            <w:r>
              <w:t xml:space="preserve">Rappel de</w:t>
            </w:r>
            <w:r>
              <w:t xml:space="preserve"> </w:t>
            </w:r>
            <w:r>
              <w:rPr>
                <w:rStyle w:val="VerbatimChar"/>
              </w:rPr>
              <w:t xml:space="preserve">resources.requests</w:t>
            </w:r>
            <w:r>
              <w:t xml:space="preserve"> </w:t>
            </w:r>
            <w:r>
              <w:t xml:space="preserve">du chapitre 44, appliqué ici au dimensionnement cloud</w:t>
            </w:r>
          </w:p>
        </w:tc>
      </w:tr>
      <w:tr>
        <w:tc>
          <w:tcPr/>
          <w:p>
            <w:pPr>
              <w:pStyle w:val="Compact"/>
            </w:pPr>
            <w:r>
              <w:t xml:space="preserve">Absence d’auto-scaling limité</w:t>
            </w:r>
          </w:p>
        </w:tc>
        <w:tc>
          <w:tcPr/>
          <w:p>
            <w:pPr>
              <w:pStyle w:val="Compact"/>
            </w:pPr>
            <w:r>
              <w:t xml:space="preserve">Une charge qui grandit sans limite supérieure définie</w:t>
            </w:r>
          </w:p>
        </w:tc>
        <w:tc>
          <w:tcPr/>
          <w:p>
            <w:pPr>
              <w:pStyle w:val="Compact"/>
            </w:pPr>
            <w:r>
              <w:t xml:space="preserve">Rappel du</w:t>
            </w:r>
            <w:r>
              <w:t xml:space="preserve"> </w:t>
            </w:r>
            <w:r>
              <w:rPr>
                <w:rStyle w:val="VerbatimChar"/>
              </w:rPr>
              <w:t xml:space="preserve">maxReplicas</w:t>
            </w:r>
            <w:r>
              <w:t xml:space="preserve"> </w:t>
            </w:r>
            <w:r>
              <w:t xml:space="preserve">de l’HPA, chapitre 44</w:t>
            </w:r>
          </w:p>
        </w:tc>
      </w:tr>
      <w:tr>
        <w:tc>
          <w:tcPr/>
          <w:p>
            <w:pPr>
              <w:pStyle w:val="Compact"/>
            </w:pPr>
            <w:r>
              <w:t xml:space="preserve">Snapshots et volumes orphelins</w:t>
            </w:r>
          </w:p>
        </w:tc>
        <w:tc>
          <w:tcPr/>
          <w:p>
            <w:pPr>
              <w:pStyle w:val="Compact"/>
            </w:pPr>
            <w:r>
              <w:t xml:space="preserve">Des sauvegardes de test jamais supprimées après usage</w:t>
            </w:r>
          </w:p>
        </w:tc>
        <w:tc>
          <w:tcPr/>
          <w:p>
            <w:pPr>
              <w:pStyle w:val="Compact"/>
            </w:pPr>
            <w:r>
              <w:t xml:space="preserve">Rappel de la discipline de nettoyage déjà appliquée tout au long de ce manuel</w:t>
            </w:r>
          </w:p>
        </w:tc>
      </w:tr>
    </w:tbl>
    <w:p>
      <w:pPr>
        <w:pStyle w:val="BodyText"/>
      </w:pPr>
      <w:r>
        <w:t xml:space="preserve">⚠️ Exactement les trois causes du scénario d’ouverture</w:t>
      </w:r>
      <w:r>
        <w:t xml:space="preserve"> </w:t>
      </w:r>
      <w:r>
        <w:t xml:space="preserve">Les deux premières lignes de ce tableau correspondent précisément aux deux causes identifiées dans le scénario d’ouverture — une ressource de test oubliée, et une instance surdimensionnée par excès de prudence plutôt que par mesure réelle de la charge.</w:t>
      </w:r>
    </w:p>
    <w:bookmarkEnd w:id="1228"/>
    <w:bookmarkStart w:id="1229" w:name="Xf925337cca95f246f4bf2db5dbd4477affa51be"/>
    <w:p>
      <w:pPr>
        <w:pStyle w:val="Heading2"/>
      </w:pPr>
      <w:r>
        <w:t xml:space="preserve">50.4 Le tagging : rappel direct de la CMDB du chapitre 3</w:t>
      </w:r>
    </w:p>
    <w:p>
      <w:pPr>
        <w:pStyle w:val="FirstParagraph"/>
      </w:pPr>
      <w:r>
        <w:t xml:space="preserve">✅ Répondre à la troisième cause du scénario d’ouverture</w:t>
      </w:r>
      <w:r>
        <w:t xml:space="preserve"> </w:t>
      </w:r>
      <w:r>
        <w:t xml:space="preserve">Un</w:t>
      </w:r>
      <w:r>
        <w:t xml:space="preserve"> </w:t>
      </w:r>
      <w:r>
        <w:rPr>
          <w:b/>
          <w:bCs/>
        </w:rPr>
        <w:t xml:space="preserve">tag</w:t>
      </w:r>
      <w:r>
        <w:t xml:space="preserve"> </w:t>
      </w:r>
      <w:r>
        <w:t xml:space="preserve">associe une étiquette (projet, service, environnement) à chaque ressource cloud dès sa création — l’absence de cette pratique explique directement pourquoi l’équipe du scénario d’ouverture ne pouvait pas attribuer les coûts à un service précis. Cette discipline rejoint exactement celle déjà établie pour la CMDB au chapitre 3 : chaque ressource doit être identifiable et rattachée à un propriétaire et à un objectif clair, dès sa création, jamais reconstituée après coup à partir d’une facture déjà reçue.</w:t>
      </w:r>
    </w:p>
    <w:p>
      <w:pPr>
        <w:pStyle w:val="SourceCode"/>
      </w:pPr>
      <w:r>
        <w:rPr>
          <w:rStyle w:val="VerbatimChar"/>
        </w:rPr>
        <w:t xml:space="preserve"># Exemple de tagging systematique lors de la creation d'une instance</w:t>
      </w:r>
      <w:r>
        <w:br/>
      </w:r>
      <w:r>
        <w:rPr>
          <w:rStyle w:val="VerbatimChar"/>
        </w:rPr>
        <w:t xml:space="preserve">aws ec2 run-instances --image-id ami-xxxxx --instance-type t3.medium \</w:t>
      </w:r>
      <w:r>
        <w:br/>
      </w:r>
      <w:r>
        <w:rPr>
          <w:rStyle w:val="VerbatimChar"/>
        </w:rPr>
        <w:t xml:space="preserve">  --tag-specifications 'ResourceType=instance,Tags=[{Key=Projet,Value=PortailClient},{Key=Environnement,Value=Production},{Key=Proprietaire,Value=EquipeDev}]'</w:t>
      </w:r>
    </w:p>
    <w:bookmarkEnd w:id="1229"/>
    <w:bookmarkStart w:id="1230" w:name="Xc809db4cac726e458b23b8e72baa824515c02bb"/>
    <w:p>
      <w:pPr>
        <w:pStyle w:val="Heading2"/>
      </w:pPr>
      <w:r>
        <w:t xml:space="preserve">50.5 Réservations et instances spot : adapter le coût au profil de charge réel</w:t>
      </w:r>
    </w:p>
    <w:p>
      <w:pPr>
        <w:pStyle w:val="FirstParagraph"/>
      </w:pPr>
      <w:r>
        <w:t xml:space="preserve">🚀 Performance — rappel direct du HPA du chapitre 44</w:t>
      </w:r>
      <w:r>
        <w:t xml:space="preserve"> </w:t>
      </w:r>
      <w:r>
        <w:t xml:space="preserve">Une charge</w:t>
      </w:r>
      <w:r>
        <w:t xml:space="preserve"> </w:t>
      </w:r>
      <w:r>
        <w:rPr>
          <w:b/>
          <w:bCs/>
        </w:rPr>
        <w:t xml:space="preserve">constante et prévisible</w:t>
      </w:r>
      <w:r>
        <w:t xml:space="preserve"> </w:t>
      </w:r>
      <w:r>
        <w:t xml:space="preserve">(comme une base de données de production, toujours active) bénéficie d’instances</w:t>
      </w:r>
      <w:r>
        <w:t xml:space="preserve"> </w:t>
      </w:r>
      <w:r>
        <w:rPr>
          <w:b/>
          <w:bCs/>
        </w:rPr>
        <w:t xml:space="preserve">réservées</w:t>
      </w:r>
      <w:r>
        <w:t xml:space="preserve">, engagées sur une durée (souvent 1 à 3 ans) en échange d’une réduction tarifaire substantielle. Une charge</w:t>
      </w:r>
      <w:r>
        <w:t xml:space="preserve"> </w:t>
      </w:r>
      <w:r>
        <w:rPr>
          <w:b/>
          <w:bCs/>
        </w:rPr>
        <w:t xml:space="preserve">variable et interruptible</w:t>
      </w:r>
      <w:r>
        <w:t xml:space="preserve"> </w:t>
      </w:r>
      <w:r>
        <w:t xml:space="preserve">(comme un traitement de test, ou une charge de calcul non critique) peut exploiter des instances</w:t>
      </w:r>
      <w:r>
        <w:t xml:space="preserve"> </w:t>
      </w:r>
      <w:r>
        <w:rPr>
          <w:b/>
          <w:bCs/>
        </w:rPr>
        <w:t xml:space="preserve">spot</w:t>
      </w:r>
      <w:r>
        <w:t xml:space="preserve">, vendues à prix réduit mais susceptibles d’être interrompues par le fournisseur à tout moment — un profil de risque acceptable uniquement pour des charges non critiques, jamais pour la base de données de production.</w:t>
      </w:r>
    </w:p>
    <w:p>
      <w:pPr>
        <w:pStyle w:val="BodyText"/>
      </w:pPr>
      <w:r>
        <w:t xml:space="preserve">💡 Un choix qui rejoint directement le HPA déjà présenté</w:t>
      </w:r>
      <w:r>
        <w:t xml:space="preserve"> </w:t>
      </w:r>
      <w:r>
        <w:t xml:space="preserve">Cette décision rejoint directement le HPA du chapitre 44 : une charge dont le nombre de réplicas fluctue automatiquement selon la demande (rappel du</w:t>
      </w:r>
      <w:r>
        <w:t xml:space="preserve"> </w:t>
      </w:r>
      <w:r>
        <w:rPr>
          <w:rStyle w:val="VerbatimChar"/>
        </w:rPr>
        <w:t xml:space="preserve">minReplicas</w:t>
      </w:r>
      <w:r>
        <w:t xml:space="preserve">/</w:t>
      </w:r>
      <w:r>
        <w:rPr>
          <w:rStyle w:val="VerbatimChar"/>
        </w:rPr>
        <w:t xml:space="preserve">maxReplicas</w:t>
      </w:r>
      <w:r>
        <w:t xml:space="preserve">) est un bon candidat pour un mélange d’instances réservées (pour la charge de base constante) et à la demande ou spot (pour les pics ponctuels au-delà du</w:t>
      </w:r>
      <w:r>
        <w:t xml:space="preserve"> </w:t>
      </w:r>
      <w:r>
        <w:rPr>
          <w:rStyle w:val="VerbatimChar"/>
        </w:rPr>
        <w:t xml:space="preserve">minReplicas</w:t>
      </w:r>
      <w:r>
        <w:t xml:space="preserve">), plutôt qu’un dimensionnement uniforme et statique pour la capacité maximale théorique.</w:t>
      </w:r>
    </w:p>
    <w:bookmarkEnd w:id="1230"/>
    <w:bookmarkStart w:id="1231" w:name="X20ace881d556243100a1b6448dc6e7b2294025e"/>
    <w:p>
      <w:pPr>
        <w:pStyle w:val="Heading2"/>
      </w:pPr>
      <w:r>
        <w:t xml:space="preserve">50.6 Budgets et alertes : agir avant la facture, pas après</w:t>
      </w:r>
    </w:p>
    <w:p>
      <w:pPr>
        <w:pStyle w:val="FirstParagraph"/>
      </w:pPr>
      <w:r>
        <w:t xml:space="preserve">✅ Rappel direct du principe de supervision proactive du chapitre 1</w:t>
      </w:r>
      <w:r>
        <w:t xml:space="preserve"> </w:t>
      </w:r>
      <w:r>
        <w:t xml:space="preserve">Exactement le même principe déjà établi au chapitre 1 (agir avant la saturation, pas après) : un budget cloud avec des seuils d’alerte configurés à 50%, 80% et 100% du montant prévu permet de détecter une dérive de coût</w:t>
      </w:r>
      <w:r>
        <w:t xml:space="preserve"> </w:t>
      </w:r>
      <w:r>
        <w:rPr>
          <w:b/>
          <w:bCs/>
        </w:rPr>
        <w:t xml:space="preserve">avant</w:t>
      </w:r>
      <w:r>
        <w:t xml:space="preserve"> </w:t>
      </w:r>
      <w:r>
        <w:t xml:space="preserve">qu’elle ne se matérialise dans une facture surprise, plutôt que de la découvrir a posteriori comme dans le scénario d’ouverture — le même réflexe déjà appliqué au disque du chapitre 17 ou au certificat du chapitre 24, transposé ici au budget financier.</w:t>
      </w:r>
    </w:p>
    <w:bookmarkEnd w:id="1231"/>
    <w:bookmarkStart w:id="1235" w:name="le-cycle-finops-inform-optimize-operate"/>
    <w:p>
      <w:pPr>
        <w:pStyle w:val="Heading2"/>
      </w:pPr>
      <w:r>
        <w:t xml:space="preserve">50.7 Le cycle FinOps : Inform, Optimize, Operate</w:t>
      </w:r>
    </w:p>
    <w:p>
      <w:pPr>
        <w:pStyle w:val="CaptionedFigure"/>
      </w:pPr>
      <w:r>
        <w:drawing>
          <wp:inline>
            <wp:extent cx="5334000" cy="1767289"/>
            <wp:effectExtent b="0" l="0" r="0" t="0"/>
            <wp:docPr descr="Diagramme" title="" id="1233" name="Picture"/>
            <a:graphic>
              <a:graphicData uri="http://schemas.openxmlformats.org/drawingml/2006/picture">
                <pic:pic>
                  <pic:nvPicPr>
                    <pic:cNvPr descr="C:/Users/ingja/Desktop/jarvis-starter-kit/livrables/formations/manuel-administration-systeme/assets/diagrams/d-50-finops-maitrise-couts-cloud-diagramme-1.png" id="1234" name="Picture"/>
                    <pic:cNvPicPr>
                      <a:picLocks noChangeArrowheads="1" noChangeAspect="1"/>
                    </pic:cNvPicPr>
                  </pic:nvPicPr>
                  <pic:blipFill>
                    <a:blip r:embed="rId1232"/>
                    <a:stretch>
                      <a:fillRect/>
                    </a:stretch>
                  </pic:blipFill>
                  <pic:spPr bwMode="auto">
                    <a:xfrm>
                      <a:off x="0" y="0"/>
                      <a:ext cx="5334000" cy="1767289"/>
                    </a:xfrm>
                    <a:prstGeom prst="rect">
                      <a:avLst/>
                    </a:prstGeom>
                    <a:noFill/>
                    <a:ln w="9525">
                      <a:noFill/>
                      <a:headEnd/>
                      <a:tailEnd/>
                    </a:ln>
                  </pic:spPr>
                </pic:pic>
              </a:graphicData>
            </a:graphic>
          </wp:inline>
        </w:drawing>
      </w:r>
    </w:p>
    <w:p>
      <w:pPr>
        <w:pStyle w:val="ImageCaption"/>
      </w:pPr>
      <w:r>
        <w:t xml:space="preserve">Diagramme</w:t>
      </w:r>
    </w:p>
    <w:p>
      <w:pPr>
        <w:pStyle w:val="BodyText"/>
      </w:pPr>
      <w:r>
        <w:t xml:space="preserve">🧠 À mémoriser — un cycle continu, pas une action ponctuelle</w:t>
      </w:r>
      <w:r>
        <w:t xml:space="preserve"> </w:t>
      </w:r>
      <w:r>
        <w:t xml:space="preserve">Ce cycle en trois phases se répète en continu :</w:t>
      </w:r>
      <w:r>
        <w:t xml:space="preserve"> </w:t>
      </w:r>
      <w:r>
        <w:rPr>
          <w:b/>
          <w:bCs/>
        </w:rPr>
        <w:t xml:space="preserve">Inform</w:t>
      </w:r>
      <w:r>
        <w:t xml:space="preserve"> </w:t>
      </w:r>
      <w:r>
        <w:t xml:space="preserve">(savoir précisément qui consomme quoi, section 50.4),</w:t>
      </w:r>
      <w:r>
        <w:t xml:space="preserve"> </w:t>
      </w:r>
      <w:r>
        <w:rPr>
          <w:b/>
          <w:bCs/>
        </w:rPr>
        <w:t xml:space="preserve">Optimize</w:t>
      </w:r>
      <w:r>
        <w:t xml:space="preserve"> </w:t>
      </w:r>
      <w:r>
        <w:t xml:space="preserve">(agir sur le dimensionnement et les ressources oubliées, sections 50.3 et 50.5),</w:t>
      </w:r>
      <w:r>
        <w:t xml:space="preserve"> </w:t>
      </w:r>
      <w:r>
        <w:rPr>
          <w:b/>
          <w:bCs/>
        </w:rPr>
        <w:t xml:space="preserve">Operate</w:t>
      </w:r>
      <w:r>
        <w:t xml:space="preserve"> </w:t>
      </w:r>
      <w:r>
        <w:t xml:space="preserve">(gouverner en continu avec des budgets et alertes, section 50.6) — exactement le même esprit itératif déjà rencontré au chapitre 2 avec le principe directeur ITIL</w:t>
      </w:r>
      <w:r>
        <w:t xml:space="preserve"> </w:t>
      </w:r>
      <w:r>
        <w:t xml:space="preserve">“progresser de manière itérative avec un retour d’information”</w:t>
      </w:r>
      <w:r>
        <w:t xml:space="preserve">, appliqué ici à la maîtrise financière plutôt qu’à la seule technique.</w:t>
      </w:r>
    </w:p>
    <w:bookmarkEnd w:id="1235"/>
    <w:bookmarkStart w:id="1236" w:name="X63717c46b30d6bf92c2502972df1ff38fb8604a"/>
    <w:p>
      <w:pPr>
        <w:pStyle w:val="Heading2"/>
      </w:pPr>
      <w:r>
        <w:t xml:space="preserve">Atelier — Corriger la facture du scénario d’ouverture</w:t>
      </w:r>
    </w:p>
    <w:p>
      <w:pPr>
        <w:pStyle w:val="FirstParagraph"/>
      </w:pPr>
      <w:r>
        <w:t xml:space="preserve">🛠️ Atelier 50 — Appliquer le cycle Inform-Optimize-Operate</w:t>
      </w:r>
    </w:p>
    <w:p>
      <w:pPr>
        <w:pStyle w:val="BodyText"/>
      </w:pPr>
      <w:r>
        <w:rPr>
          <w:b/>
          <w:bCs/>
        </w:rPr>
        <w:t xml:space="preserve">Objectif</w:t>
      </w:r>
      <w:r>
        <w:t xml:space="preserve"> </w:t>
      </w:r>
      <w:r>
        <w:t xml:space="preserve">: proposer un plan d’action concret pour corriger les trois causes de gaspillage identifiées dans le scénario d’ouverture.</w:t>
      </w:r>
    </w:p>
    <w:p>
      <w:pPr>
        <w:pStyle w:val="BodyText"/>
      </w:pPr>
      <w:r>
        <w:rPr>
          <w:b/>
          <w:bCs/>
        </w:rPr>
        <w:t xml:space="preserve">Préparation</w:t>
      </w:r>
      <w:r>
        <w:t xml:space="preserve"> </w:t>
      </w:r>
      <w:r>
        <w:t xml:space="preserve">: aucune installation nécessaire.</w:t>
      </w:r>
    </w:p>
    <w:p>
      <w:pPr>
        <w:pStyle w:val="BodyText"/>
      </w:pPr>
      <w:r>
        <w:rPr>
          <w:b/>
          <w:bCs/>
        </w:rPr>
        <w:t xml:space="preserve">Étapes détaillées</w:t>
      </w:r>
      <w:r>
        <w:t xml:space="preserve"> </w:t>
      </w:r>
      <w:r>
        <w:t xml:space="preserve">:</w:t>
      </w:r>
    </w:p>
    <w:p>
      <w:pPr>
        <w:pStyle w:val="Compact"/>
        <w:numPr>
          <w:ilvl w:val="0"/>
          <w:numId w:val="2148"/>
        </w:numPr>
      </w:pPr>
      <w:r>
        <w:t xml:space="preserve">Pour chacune des trois causes du scénario d’ouverture, propose une action corrective précise, en la classant dans la bonne phase du cycle (Inform, Optimize, Operate).</w:t>
      </w:r>
    </w:p>
    <w:p>
      <w:pPr>
        <w:pStyle w:val="Compact"/>
        <w:numPr>
          <w:ilvl w:val="0"/>
          <w:numId w:val="2148"/>
        </w:numPr>
      </w:pPr>
      <w:r>
        <w:t xml:space="preserve">Propose un seuil d’alerte budgétaire raisonnable pour éviter qu’une telle surprise ne se reproduise au prochain trimestre.</w:t>
      </w:r>
    </w:p>
    <w:p>
      <w:pPr>
        <w:pStyle w:val="Compact"/>
        <w:numPr>
          <w:ilvl w:val="0"/>
          <w:numId w:val="2148"/>
        </w:numPr>
      </w:pPr>
      <w:r>
        <w:t xml:space="preserve">Compare ta démarche à la section</w:t>
      </w:r>
      <w:r>
        <w:t xml:space="preserve"> </w:t>
      </w:r>
      <w:r>
        <w:t xml:space="preserve">“Résultat attendu”</w:t>
      </w:r>
      <w:r>
        <w:t xml:space="preserve">.</w:t>
      </w:r>
    </w:p>
    <w:p>
      <w:pPr>
        <w:pStyle w:val="FirstParagraph"/>
      </w:pPr>
      <w:r>
        <w:rPr>
          <w:b/>
          <w:bCs/>
        </w:rPr>
        <w:t xml:space="preserve">Résultat attendu</w:t>
      </w:r>
      <w:r>
        <w:t xml:space="preserve"> </w:t>
      </w:r>
      <w:r>
        <w:t xml:space="preserve">: l’instance de test oubliée relève d’</w:t>
      </w:r>
      <w:r>
        <w:rPr>
          <w:b/>
          <w:bCs/>
        </w:rPr>
        <w:t xml:space="preserve">Optimize</w:t>
      </w:r>
      <w:r>
        <w:t xml:space="preserve"> </w:t>
      </w:r>
      <w:r>
        <w:t xml:space="preserve">— un nettoyage immédiat, complété par une règle</w:t>
      </w:r>
      <w:r>
        <w:t xml:space="preserve"> </w:t>
      </w:r>
      <w:r>
        <w:rPr>
          <w:b/>
          <w:bCs/>
        </w:rPr>
        <w:t xml:space="preserve">Operate</w:t>
      </w:r>
      <w:r>
        <w:t xml:space="preserve"> </w:t>
      </w:r>
      <w:r>
        <w:t xml:space="preserve">(une alerte automatique sur toute ressource sans tag</w:t>
      </w:r>
      <w:r>
        <w:t xml:space="preserve"> </w:t>
      </w:r>
      <w:r>
        <w:t xml:space="preserve">“Environnement=Production”</w:t>
      </w:r>
      <w:r>
        <w:t xml:space="preserve"> </w:t>
      </w:r>
      <w:r>
        <w:t xml:space="preserve">active depuis plus de quelques jours). L’instance surdimensionnée relève d’</w:t>
      </w:r>
      <w:r>
        <w:rPr>
          <w:b/>
          <w:bCs/>
        </w:rPr>
        <w:t xml:space="preserve">Optimize</w:t>
      </w:r>
      <w:r>
        <w:t xml:space="preserve"> </w:t>
      </w:r>
      <w:r>
        <w:t xml:space="preserve">— un redimensionnement basé sur l’utilisation réelle mesurée (rappel de</w:t>
      </w:r>
      <w:r>
        <w:t xml:space="preserve"> </w:t>
      </w:r>
      <w:r>
        <w:rPr>
          <w:rStyle w:val="VerbatimChar"/>
        </w:rPr>
        <w:t xml:space="preserve">kubectl top pods</w:t>
      </w:r>
      <w:r>
        <w:t xml:space="preserve">, chapitre 43, transposé ici à la mesure d’utilisation EC2). L’absence de tagging relève d’</w:t>
      </w:r>
      <w:r>
        <w:rPr>
          <w:b/>
          <w:bCs/>
        </w:rPr>
        <w:t xml:space="preserve">Inform</w:t>
      </w:r>
      <w:r>
        <w:t xml:space="preserve"> </w:t>
      </w:r>
      <w:r>
        <w:t xml:space="preserve">— l’application systématique du tagging dès la création de toute nouvelle ressource (section 50.4). Un seuil d’alerte à 50% et 80% du budget mensuel prévu (section 50.6) permettrait de détecter une dérive bien avant la facture trimestrielle complète.</w:t>
      </w:r>
    </w:p>
    <w:p>
      <w:pPr>
        <w:pStyle w:val="BodyText"/>
      </w:pPr>
      <w:r>
        <w:rPr>
          <w:b/>
          <w:bCs/>
        </w:rPr>
        <w:t xml:space="preserve">Dépannage</w:t>
      </w:r>
      <w:r>
        <w:t xml:space="preserve"> </w:t>
      </w:r>
      <w:r>
        <w:t xml:space="preserve">: si tu hésites sur la classification d’une action, rappelle-toi que Inform précède toujours Optimize (on ne peut pas optimiser ce qu’on ne peut pas mesurer), et qu’Operate est ce qui empêche le problème de se reproduire une fois corrigé une première fois.</w:t>
      </w:r>
    </w:p>
    <w:bookmarkEnd w:id="1236"/>
    <w:bookmarkStart w:id="1237" w:name="erreurs-fréquentes-49"/>
    <w:p>
      <w:pPr>
        <w:pStyle w:val="Heading2"/>
      </w:pPr>
      <w:r>
        <w:t xml:space="preserve">Erreurs fréquentes</w:t>
      </w:r>
    </w:p>
    <w:p>
      <w:pPr>
        <w:pStyle w:val="FirstParagraph"/>
      </w:pPr>
      <w:r>
        <w:t xml:space="preserve">⚠️ Erreur n°1 — ne jamais nettoyer les ressources de test</w:t>
      </w:r>
      <w:r>
        <w:t xml:space="preserve"> </w:t>
      </w:r>
      <w:r>
        <w:t xml:space="preserve">Exactement la première cause du scénario d’ouverture — une ressource créée pour un atelier ou un test ponctuel doit systématiquement être supprimée une fois son usage terminé, jamais laissée</w:t>
      </w:r>
      <w:r>
        <w:t xml:space="preserve"> </w:t>
      </w:r>
      <w:r>
        <w:t xml:space="preserve">“au cas où”</w:t>
      </w:r>
      <w:r>
        <w:t xml:space="preserve">.</w:t>
      </w:r>
    </w:p>
    <w:p>
      <w:pPr>
        <w:pStyle w:val="BodyText"/>
      </w:pPr>
      <w:r>
        <w:t xml:space="preserve">⚠️ Erreur n°2 — surdimensionner</w:t>
      </w:r>
      <w:r>
        <w:t xml:space="preserve"> </w:t>
      </w:r>
      <w:r>
        <w:t xml:space="preserve">“par précaution”</w:t>
      </w:r>
      <w:r>
        <w:t xml:space="preserve"> </w:t>
      </w:r>
      <w:r>
        <w:t xml:space="preserve">sans mesure réelle</w:t>
      </w:r>
      <w:r>
        <w:t xml:space="preserve"> </w:t>
      </w:r>
      <w:r>
        <w:t xml:space="preserve">Rappel de la section 50.5 : un dimensionnement basé sur une intuition plutôt que sur une mesure réelle d’utilisation gaspille systématiquement des ressources — la démarche correcte consiste toujours à mesurer avant de dimensionner, jamais l’inverse.</w:t>
      </w:r>
    </w:p>
    <w:p>
      <w:pPr>
        <w:pStyle w:val="BodyText"/>
      </w:pPr>
      <w:r>
        <w:t xml:space="preserve">⚠️ Erreur n°3 — l’absence de tagging systématique</w:t>
      </w:r>
      <w:r>
        <w:t xml:space="preserve"> </w:t>
      </w:r>
      <w:r>
        <w:t xml:space="preserve">Rappel de la section 50.4 : sans cette discipline dès la création de chaque ressource, l’attribution des coûts devient un exercice de reconstruction a posteriori, lent et souvent imprécis, exactement le problème rencontré par l’équipe dans le scénario d’ouverture.</w:t>
      </w:r>
    </w:p>
    <w:bookmarkEnd w:id="1237"/>
    <w:bookmarkStart w:id="1238" w:name="Xf41e089e18570655017dedc8626128f2c5dabc3"/>
    <w:p>
      <w:pPr>
        <w:pStyle w:val="Heading2"/>
      </w:pPr>
      <w:r>
        <w:t xml:space="preserve">Diagnostiquer une facture cloud inattendue</w:t>
      </w:r>
    </w:p>
    <w:p>
      <w:pPr>
        <w:pStyle w:val="FirstParagraph"/>
      </w:pPr>
      <w:r>
        <w:t xml:space="preserve">🩺 Situation :</w:t>
      </w:r>
      <w:r>
        <w:t xml:space="preserve"> </w:t>
      </w:r>
      <w:r>
        <w:t xml:space="preserve">“La facture cloud du mois est significativement plus élevée que d’habitude, sans explication évidente”</w:t>
      </w:r>
    </w:p>
    <w:p>
      <w:pPr>
        <w:pStyle w:val="Compact"/>
        <w:numPr>
          <w:ilvl w:val="0"/>
          <w:numId w:val="2149"/>
        </w:numPr>
      </w:pPr>
      <w:r>
        <w:rPr>
          <w:b/>
          <w:bCs/>
        </w:rPr>
        <w:t xml:space="preserve">Diagnostic</w:t>
      </w:r>
      <w:r>
        <w:t xml:space="preserve"> </w:t>
      </w:r>
      <w:r>
        <w:t xml:space="preserve">: consulter l’outil natif d’analyse des coûts du fournisseur (AWS Cost Explorer, ou équivalent Azure/GCP) pour identifier précisément quel service et quelle période concentrent la hausse.</w:t>
      </w:r>
    </w:p>
    <w:p>
      <w:pPr>
        <w:pStyle w:val="Compact"/>
        <w:numPr>
          <w:ilvl w:val="0"/>
          <w:numId w:val="2149"/>
        </w:numPr>
      </w:pPr>
      <w:r>
        <w:rPr>
          <w:b/>
          <w:bCs/>
        </w:rPr>
        <w:t xml:space="preserve">Comment vérifier</w:t>
      </w:r>
      <w:r>
        <w:t xml:space="preserve"> </w:t>
      </w:r>
      <w:r>
        <w:t xml:space="preserve">: filtrer par tag (section 50.4) pour identifier le projet ou l’équipe concernée, puis croiser avec les changements récents connus (un nouveau déploiement, un test oublié) — rappel direct de la méthode de diagnostic du chapitre 1 (restreindre le problème avant d’agir).</w:t>
      </w:r>
    </w:p>
    <w:p>
      <w:pPr>
        <w:pStyle w:val="Compact"/>
        <w:numPr>
          <w:ilvl w:val="0"/>
          <w:numId w:val="2149"/>
        </w:numPr>
      </w:pPr>
      <w:r>
        <w:rPr>
          <w:b/>
          <w:bCs/>
        </w:rPr>
        <w:t xml:space="preserve">Résolution</w:t>
      </w:r>
      <w:r>
        <w:t xml:space="preserve"> </w:t>
      </w:r>
      <w:r>
        <w:t xml:space="preserve">: une fois la ressource ou le service précis identifié, appliquer la correction appropriée (suppression, redimensionnement, passage en instance réservée) et documenter la cause dans la CMDB (chapitre 3) pour éviter sa répétition.</w:t>
      </w:r>
    </w:p>
    <w:bookmarkEnd w:id="1238"/>
    <w:bookmarkStart w:id="1239" w:name="en-entreprise-49"/>
    <w:p>
      <w:pPr>
        <w:pStyle w:val="Heading2"/>
      </w:pPr>
      <w:r>
        <w:t xml:space="preserve">En entreprise</w:t>
      </w:r>
    </w:p>
    <w:p>
      <w:pPr>
        <w:pStyle w:val="Compact"/>
        <w:numPr>
          <w:ilvl w:val="0"/>
          <w:numId w:val="2150"/>
        </w:numPr>
      </w:pPr>
      <w:r>
        <w:rPr>
          <w:b/>
          <w:bCs/>
        </w:rPr>
        <w:t xml:space="preserve">Bonne pratique répandue</w:t>
      </w:r>
      <w:r>
        <w:t xml:space="preserve"> </w:t>
      </w:r>
      <w:r>
        <w:t xml:space="preserve">: réviser mensuellement les coûts cloud par tag et par projet, en réunion croisée entre l’équipe IT et la direction financière, exactement l’esprit collectif déjà établi pour le PCA au chapitre 32.</w:t>
      </w:r>
    </w:p>
    <w:p>
      <w:pPr>
        <w:pStyle w:val="Compact"/>
        <w:numPr>
          <w:ilvl w:val="0"/>
          <w:numId w:val="2150"/>
        </w:numPr>
      </w:pPr>
      <w:r>
        <w:rPr>
          <w:b/>
          <w:bCs/>
        </w:rPr>
        <w:t xml:space="preserve">Bonne pratique répandue</w:t>
      </w:r>
      <w:r>
        <w:t xml:space="preserve"> </w:t>
      </w:r>
      <w:r>
        <w:t xml:space="preserve">: intégrer une étape de nettoyage systématique des ressources de test à la fin de chaque atelier ou expérimentation, rejoignant directement la discipline déjà recommandée depuis le chapitre 39.</w:t>
      </w:r>
    </w:p>
    <w:p>
      <w:pPr>
        <w:pStyle w:val="Compact"/>
        <w:numPr>
          <w:ilvl w:val="0"/>
          <w:numId w:val="2150"/>
        </w:numPr>
      </w:pPr>
      <w:r>
        <w:rPr>
          <w:b/>
          <w:bCs/>
        </w:rPr>
        <w:t xml:space="preserve">Erreur classique observée</w:t>
      </w:r>
      <w:r>
        <w:t xml:space="preserve"> </w:t>
      </w:r>
      <w:r>
        <w:t xml:space="preserve">: une organisation qui découvre, des mois après coup, qu’une ressource de test représentait une part significative de sa facture cloud cumulée, faute d’alerte budgétaire ou de tagging permettant une détection précoce.</w:t>
      </w:r>
    </w:p>
    <w:bookmarkEnd w:id="1239"/>
    <w:bookmarkStart w:id="1240" w:name="entretien-technique-49"/>
    <w:p>
      <w:pPr>
        <w:pStyle w:val="Heading2"/>
      </w:pPr>
      <w:r>
        <w:t xml:space="preserve">Entretien technique</w:t>
      </w:r>
    </w:p>
    <w:p>
      <w:pPr>
        <w:pStyle w:val="FirstParagraph"/>
      </w:pPr>
      <w:r>
        <w:t xml:space="preserve">💼 Questions fréquemment posées en entretien</w:t>
      </w:r>
    </w:p>
    <w:p>
      <w:pPr>
        <w:pStyle w:val="BodyText"/>
      </w:pPr>
      <w:r>
        <w:rPr>
          <w:b/>
          <w:bCs/>
        </w:rPr>
        <w:t xml:space="preserve">Q1.</w:t>
      </w:r>
      <w:r>
        <w:rPr>
          <w:b/>
          <w:bCs/>
        </w:rPr>
        <w:t xml:space="preserve"> </w:t>
      </w:r>
      <w:r>
        <w:rPr>
          <w:b/>
          <w:bCs/>
        </w:rPr>
        <w:t xml:space="preserve">“Qu’est-ce que le FinOps, et pourquoi ne s’agit-il pas uniquement d’un sujet pour l’équipe IT ?”</w:t>
      </w:r>
      <w:r>
        <w:t xml:space="preserve"> </w:t>
      </w:r>
      <w:r>
        <w:t xml:space="preserve">Réponse attendue : le FinOps est une discipline collective réunissant l’équipe technique, la direction financière et les responsables métier autour d’une responsabilité partagée des coûts cloud — l’IT dispose de la visibilité technique nécessaire pour identifier le gaspillage, mais les priorités budgétaires restent une décision partagée, exactement le même principe multi-disciplinaire déjà établi pour le PCA au chapitre 32.</w:t>
      </w:r>
    </w:p>
    <w:p>
      <w:pPr>
        <w:pStyle w:val="BodyText"/>
      </w:pPr>
      <w:r>
        <w:rPr>
          <w:b/>
          <w:bCs/>
        </w:rPr>
        <w:t xml:space="preserve">Q2.</w:t>
      </w:r>
      <w:r>
        <w:rPr>
          <w:b/>
          <w:bCs/>
        </w:rPr>
        <w:t xml:space="preserve"> </w:t>
      </w:r>
      <w:r>
        <w:rPr>
          <w:b/>
          <w:bCs/>
        </w:rPr>
        <w:t xml:space="preserve">“Quand recommanderais-tu des instances réservées plutôt que des instances à la demande ?”</w:t>
      </w:r>
      <w:r>
        <w:t xml:space="preserve"> </w:t>
      </w:r>
      <w:r>
        <w:t xml:space="preserve">Réponse attendue : pour une charge constante et prévisible sur une durée engagée, les instances réservées offrent une réduction tarifaire substantielle en échange de cet engagement — une charge variable ou incertaine reste mieux adaptée à des instances à la demande, voire spot pour des charges non critiques et interruptibles.</w:t>
      </w:r>
    </w:p>
    <w:p>
      <w:pPr>
        <w:pStyle w:val="BodyText"/>
      </w:pPr>
      <w:r>
        <w:rPr>
          <w:b/>
          <w:bCs/>
        </w:rPr>
        <w:t xml:space="preserve">Q3.</w:t>
      </w:r>
      <w:r>
        <w:rPr>
          <w:b/>
          <w:bCs/>
        </w:rPr>
        <w:t xml:space="preserve"> </w:t>
      </w:r>
      <w:r>
        <w:rPr>
          <w:b/>
          <w:bCs/>
        </w:rPr>
        <w:t xml:space="preserve">“Comment éviter la surprise d’une facture cloud inattendue ?”</w:t>
      </w:r>
      <w:r>
        <w:t xml:space="preserve"> </w:t>
      </w:r>
      <w:r>
        <w:t xml:space="preserve">Réponse attendue : par un tagging systématique dès la création de chaque ressource, des budgets avec seuils d’alerte configurés en amont (50%, 80%, 100%), et une discipline de nettoyage des ressources temporaires — le même principe de supervision proactive déjà établi au chapitre 1, appliqué ici à la dimension financière.</w:t>
      </w:r>
    </w:p>
    <w:bookmarkEnd w:id="1240"/>
    <w:bookmarkStart w:id="1241" w:name="Xe26146cfeed28f04d8e137bc46c90beb5edadba"/>
    <w:p>
      <w:pPr>
        <w:pStyle w:val="Heading2"/>
      </w:pPr>
      <w:r>
        <w:t xml:space="preserve">Optimisation, sécurité et maintenabilité — les réflexes dès ce chapitre</w:t>
      </w:r>
    </w:p>
    <w:p>
      <w:pPr>
        <w:pStyle w:val="FirstParagraph"/>
      </w:pPr>
      <w:r>
        <w:t xml:space="preserve">🔒 Sécurité</w:t>
      </w:r>
      <w:r>
        <w:t xml:space="preserve"> </w:t>
      </w:r>
      <w:r>
        <w:t xml:space="preserve">Une ressource cloud oubliée n’est pas seulement un gaspillage financier — elle représente aussi une surface d’attaque non surveillée et potentiellement non corrigée (rappel du chapitre 3 sur le shadow IT) ; le nettoyage systématique sert donc à la fois la maîtrise des coûts et la posture de sécurité globale.</w:t>
      </w:r>
    </w:p>
    <w:p>
      <w:pPr>
        <w:pStyle w:val="BodyText"/>
      </w:pPr>
      <w:r>
        <w:t xml:space="preserve">✅ Maintenabilité</w:t>
      </w:r>
      <w:r>
        <w:t xml:space="preserve"> </w:t>
      </w:r>
      <w:r>
        <w:t xml:space="preserve">Applique le tagging dès la création de toute ressource, sans exception, même pour un test ponctuel — une habitude prise dès le départ coûte infiniment moins cher qu’une reconstruction a posteriori de l’attribution des coûts, exactement l’esprit de la documentation au moment de l’action déjà établi au chapitre 1.</w:t>
      </w:r>
    </w:p>
    <w:p>
      <w:pPr>
        <w:pStyle w:val="BodyText"/>
      </w:pPr>
      <w:r>
        <w:t xml:space="preserve">🚀 Performance</w:t>
      </w:r>
      <w:r>
        <w:t xml:space="preserve"> </w:t>
      </w:r>
      <w:r>
        <w:t xml:space="preserve">Mesure toujours l’utilisation réelle avant de dimensionner ou redimensionner une ressource — un réflexe qui s’applique aussi bien au dimensionnement cloud de ce chapitre qu’aux</w:t>
      </w:r>
      <w:r>
        <w:t xml:space="preserve"> </w:t>
      </w:r>
      <w:r>
        <w:rPr>
          <w:rStyle w:val="VerbatimChar"/>
        </w:rPr>
        <w:t xml:space="preserve">resources.requests</w:t>
      </w:r>
      <w:r>
        <w:t xml:space="preserve">/</w:t>
      </w:r>
      <w:r>
        <w:rPr>
          <w:rStyle w:val="VerbatimChar"/>
        </w:rPr>
        <w:t xml:space="preserve">limits</w:t>
      </w:r>
      <w:r>
        <w:t xml:space="preserve"> </w:t>
      </w:r>
      <w:r>
        <w:t xml:space="preserve">Kubernetes déjà établies au chapitre 44.</w:t>
      </w:r>
    </w:p>
    <w:bookmarkEnd w:id="1241"/>
    <w:bookmarkStart w:id="1242" w:name="résumé-du-chapitre-49"/>
    <w:p>
      <w:pPr>
        <w:pStyle w:val="Heading2"/>
      </w:pPr>
      <w:r>
        <w:t xml:space="preserve">Résumé du chapitre</w:t>
      </w:r>
    </w:p>
    <w:p>
      <w:pPr>
        <w:pStyle w:val="Compact"/>
        <w:numPr>
          <w:ilvl w:val="0"/>
          <w:numId w:val="2151"/>
        </w:numPr>
      </w:pPr>
      <w:r>
        <w:t xml:space="preserve">Le choc de la première facture cloud est un phénomène extrêmement répandu, généralement causé par des ressources oubliées, un surdimensionnement par précaution, et l’absence de tagging.</w:t>
      </w:r>
    </w:p>
    <w:p>
      <w:pPr>
        <w:pStyle w:val="Compact"/>
        <w:numPr>
          <w:ilvl w:val="0"/>
          <w:numId w:val="2151"/>
        </w:numPr>
      </w:pPr>
      <w:r>
        <w:t xml:space="preserve">FinOps est une discipline collective, réunissant l’IT, la finance et les métiers, dans le même esprit multi-disciplinaire déjà établi pour le PCA au chapitre 32.</w:t>
      </w:r>
    </w:p>
    <w:p>
      <w:pPr>
        <w:pStyle w:val="Compact"/>
        <w:numPr>
          <w:ilvl w:val="0"/>
          <w:numId w:val="2151"/>
        </w:numPr>
      </w:pPr>
      <w:r>
        <w:t xml:space="preserve">Le tagging systématique dès la création de chaque ressource permet d’attribuer précisément les coûts, exactement le même principe que la CMDB du chapitre 3.</w:t>
      </w:r>
    </w:p>
    <w:p>
      <w:pPr>
        <w:pStyle w:val="Compact"/>
        <w:numPr>
          <w:ilvl w:val="0"/>
          <w:numId w:val="2151"/>
        </w:numPr>
      </w:pPr>
      <w:r>
        <w:t xml:space="preserve">Les instances réservées conviennent aux charges constantes et prévisibles ; les instances spot aux charges variables et non critiques.</w:t>
      </w:r>
    </w:p>
    <w:p>
      <w:pPr>
        <w:pStyle w:val="Compact"/>
        <w:numPr>
          <w:ilvl w:val="0"/>
          <w:numId w:val="2151"/>
        </w:numPr>
      </w:pPr>
      <w:r>
        <w:t xml:space="preserve">Des budgets avec seuils d’alerte permettent d’agir avant la facture, jamais après — le même principe de supervision proactive déjà établi au chapitre 1.</w:t>
      </w:r>
    </w:p>
    <w:p>
      <w:pPr>
        <w:pStyle w:val="Compact"/>
        <w:numPr>
          <w:ilvl w:val="0"/>
          <w:numId w:val="2151"/>
        </w:numPr>
      </w:pPr>
      <w:r>
        <w:t xml:space="preserve">Le cycle Inform-Optimize-Operate structure une amélioration continue de la maîtrise des coûts, jamais une action ponctuelle isolée.</w:t>
      </w:r>
    </w:p>
    <w:bookmarkEnd w:id="1242"/>
    <w:bookmarkStart w:id="1243" w:name="quiz-49"/>
    <w:p>
      <w:pPr>
        <w:pStyle w:val="Heading2"/>
      </w:pPr>
      <w:r>
        <w:t xml:space="preserve">Quiz</w:t>
      </w:r>
    </w:p>
    <w:p>
      <w:pPr>
        <w:pStyle w:val="FirstParagraph"/>
      </w:pPr>
      <w:r>
        <w:t xml:space="preserve">📝 QCM (une seule bonne réponse par question)</w:t>
      </w:r>
    </w:p>
    <w:p>
      <w:pPr>
        <w:pStyle w:val="Compact"/>
        <w:numPr>
          <w:ilvl w:val="0"/>
          <w:numId w:val="2152"/>
        </w:numPr>
      </w:pPr>
      <w:r>
        <w:t xml:space="preserve">Le FinOps est principalement :</w:t>
      </w:r>
    </w:p>
    <w:p>
      <w:pPr>
        <w:pStyle w:val="Compact"/>
        <w:numPr>
          <w:ilvl w:val="1"/>
          <w:numId w:val="2153"/>
        </w:numPr>
      </w:pPr>
    </w:p>
    <w:p>
      <w:pPr>
        <w:pStyle w:val="Compact"/>
        <w:numPr>
          <w:ilvl w:val="2"/>
          <w:numId w:val="2154"/>
        </w:numPr>
      </w:pPr>
      <w:r>
        <w:t xml:space="preserve">Un outil logiciel unique à installer</w:t>
      </w:r>
    </w:p>
    <w:p>
      <w:pPr>
        <w:pStyle w:val="Compact"/>
        <w:numPr>
          <w:ilvl w:val="1"/>
          <w:numId w:val="2153"/>
        </w:numPr>
      </w:pPr>
    </w:p>
    <w:p>
      <w:pPr>
        <w:pStyle w:val="Compact"/>
        <w:numPr>
          <w:ilvl w:val="2"/>
          <w:numId w:val="2155"/>
        </w:numPr>
      </w:pPr>
      <w:r>
        <w:t xml:space="preserve">Une discipline collective réunissant IT, finance et métiers</w:t>
      </w:r>
    </w:p>
    <w:p>
      <w:pPr>
        <w:pStyle w:val="Compact"/>
        <w:numPr>
          <w:ilvl w:val="1"/>
          <w:numId w:val="2153"/>
        </w:numPr>
      </w:pPr>
    </w:p>
    <w:p>
      <w:pPr>
        <w:pStyle w:val="Compact"/>
        <w:numPr>
          <w:ilvl w:val="2"/>
          <w:numId w:val="2156"/>
        </w:numPr>
      </w:pPr>
      <w:r>
        <w:t xml:space="preserve">Une responsabilité exclusive de l’équipe IT</w:t>
      </w:r>
    </w:p>
    <w:p>
      <w:pPr>
        <w:pStyle w:val="Compact"/>
        <w:numPr>
          <w:ilvl w:val="1"/>
          <w:numId w:val="2153"/>
        </w:numPr>
      </w:pPr>
    </w:p>
    <w:p>
      <w:pPr>
        <w:pStyle w:val="Compact"/>
        <w:numPr>
          <w:ilvl w:val="2"/>
          <w:numId w:val="2157"/>
        </w:numPr>
      </w:pPr>
      <w:r>
        <w:t xml:space="preserve">Une certification obligatoire pour utiliser le cloud</w:t>
      </w:r>
    </w:p>
    <w:p>
      <w:pPr>
        <w:pStyle w:val="Compact"/>
        <w:numPr>
          <w:ilvl w:val="0"/>
          <w:numId w:val="2152"/>
        </w:numPr>
      </w:pPr>
      <w:r>
        <w:t xml:space="preserve">Les instances réservées conviennent le mieux à :</w:t>
      </w:r>
    </w:p>
    <w:p>
      <w:pPr>
        <w:pStyle w:val="Compact"/>
        <w:numPr>
          <w:ilvl w:val="1"/>
          <w:numId w:val="2158"/>
        </w:numPr>
      </w:pPr>
    </w:p>
    <w:p>
      <w:pPr>
        <w:pStyle w:val="Compact"/>
        <w:numPr>
          <w:ilvl w:val="2"/>
          <w:numId w:val="2159"/>
        </w:numPr>
      </w:pPr>
      <w:r>
        <w:t xml:space="preserve">Une charge variable et imprévisible</w:t>
      </w:r>
    </w:p>
    <w:p>
      <w:pPr>
        <w:pStyle w:val="Compact"/>
        <w:numPr>
          <w:ilvl w:val="1"/>
          <w:numId w:val="2158"/>
        </w:numPr>
      </w:pPr>
    </w:p>
    <w:p>
      <w:pPr>
        <w:pStyle w:val="Compact"/>
        <w:numPr>
          <w:ilvl w:val="2"/>
          <w:numId w:val="2160"/>
        </w:numPr>
      </w:pPr>
      <w:r>
        <w:t xml:space="preserve">Une charge constante et prévisible sur une durée engagée</w:t>
      </w:r>
    </w:p>
    <w:p>
      <w:pPr>
        <w:pStyle w:val="Compact"/>
        <w:numPr>
          <w:ilvl w:val="1"/>
          <w:numId w:val="2158"/>
        </w:numPr>
      </w:pPr>
    </w:p>
    <w:p>
      <w:pPr>
        <w:pStyle w:val="Compact"/>
        <w:numPr>
          <w:ilvl w:val="2"/>
          <w:numId w:val="2161"/>
        </w:numPr>
      </w:pPr>
      <w:r>
        <w:t xml:space="preserve">Un test ponctuel de quelques heures</w:t>
      </w:r>
    </w:p>
    <w:p>
      <w:pPr>
        <w:pStyle w:val="Compact"/>
        <w:numPr>
          <w:ilvl w:val="1"/>
          <w:numId w:val="2158"/>
        </w:numPr>
      </w:pPr>
    </w:p>
    <w:p>
      <w:pPr>
        <w:pStyle w:val="Compact"/>
        <w:numPr>
          <w:ilvl w:val="2"/>
          <w:numId w:val="2162"/>
        </w:numPr>
      </w:pPr>
      <w:r>
        <w:t xml:space="preserve">Une charge non critique et interruptible</w:t>
      </w:r>
    </w:p>
    <w:p>
      <w:pPr>
        <w:pStyle w:val="Compact"/>
        <w:numPr>
          <w:ilvl w:val="0"/>
          <w:numId w:val="2152"/>
        </w:numPr>
      </w:pPr>
      <w:r>
        <w:t xml:space="preserve">Le tagging systématique des ressources cloud sert principalement à :</w:t>
      </w:r>
    </w:p>
    <w:p>
      <w:pPr>
        <w:pStyle w:val="Compact"/>
        <w:numPr>
          <w:ilvl w:val="1"/>
          <w:numId w:val="2163"/>
        </w:numPr>
      </w:pPr>
    </w:p>
    <w:p>
      <w:pPr>
        <w:pStyle w:val="Compact"/>
        <w:numPr>
          <w:ilvl w:val="2"/>
          <w:numId w:val="2164"/>
        </w:numPr>
      </w:pPr>
      <w:r>
        <w:t xml:space="preserve">Améliorer la vitesse du réseau</w:t>
      </w:r>
    </w:p>
    <w:p>
      <w:pPr>
        <w:pStyle w:val="Compact"/>
        <w:numPr>
          <w:ilvl w:val="1"/>
          <w:numId w:val="2163"/>
        </w:numPr>
      </w:pPr>
    </w:p>
    <w:p>
      <w:pPr>
        <w:pStyle w:val="Compact"/>
        <w:numPr>
          <w:ilvl w:val="2"/>
          <w:numId w:val="2165"/>
        </w:numPr>
      </w:pPr>
      <w:r>
        <w:t xml:space="preserve">Attribuer précisément les coûts à chaque projet ou service</w:t>
      </w:r>
    </w:p>
    <w:p>
      <w:pPr>
        <w:pStyle w:val="Compact"/>
        <w:numPr>
          <w:ilvl w:val="1"/>
          <w:numId w:val="2163"/>
        </w:numPr>
      </w:pPr>
    </w:p>
    <w:p>
      <w:pPr>
        <w:pStyle w:val="Compact"/>
        <w:numPr>
          <w:ilvl w:val="2"/>
          <w:numId w:val="2166"/>
        </w:numPr>
      </w:pPr>
      <w:r>
        <w:t xml:space="preserve">Chiffrer automatiquement les données</w:t>
      </w:r>
    </w:p>
    <w:p>
      <w:pPr>
        <w:pStyle w:val="Compact"/>
        <w:numPr>
          <w:ilvl w:val="1"/>
          <w:numId w:val="2163"/>
        </w:numPr>
      </w:pPr>
    </w:p>
    <w:p>
      <w:pPr>
        <w:pStyle w:val="Compact"/>
        <w:numPr>
          <w:ilvl w:val="2"/>
          <w:numId w:val="2167"/>
        </w:numPr>
      </w:pPr>
      <w:r>
        <w:t xml:space="preserve">Remplacer le besoin de sauvegardes</w:t>
      </w:r>
    </w:p>
    <w:p>
      <w:pPr>
        <w:pStyle w:val="FirstParagraph"/>
      </w:pPr>
      <w:r>
        <w:rPr>
          <w:b/>
          <w:bCs/>
        </w:rPr>
        <w:t xml:space="preserve">Corrigé</w:t>
      </w:r>
      <w:r>
        <w:t xml:space="preserve"> </w:t>
      </w:r>
      <w:r>
        <w:t xml:space="preserve">: 1-b, 2-b, 3-b.</w:t>
      </w:r>
    </w:p>
    <w:p>
      <w:pPr>
        <w:pStyle w:val="BodyText"/>
      </w:pPr>
      <w:r>
        <w:t xml:space="preserve">📝 Vrai ou Faux</w:t>
      </w:r>
    </w:p>
    <w:p>
      <w:pPr>
        <w:pStyle w:val="Compact"/>
        <w:numPr>
          <w:ilvl w:val="0"/>
          <w:numId w:val="2168"/>
        </w:numPr>
      </w:pPr>
      <w:r>
        <w:t xml:space="preserve">Le choc de la première facture cloud élevée est un phénomène rare et inhabituel. —</w:t>
      </w:r>
      <w:r>
        <w:t xml:space="preserve"> </w:t>
      </w:r>
      <w:r>
        <w:rPr>
          <w:b/>
          <w:bCs/>
        </w:rPr>
        <w:t xml:space="preserve">Faux</w:t>
      </w:r>
      <w:r>
        <w:t xml:space="preserve"> </w:t>
      </w:r>
      <w:r>
        <w:t xml:space="preserve">(extrêmement répandu, section 50.1).</w:t>
      </w:r>
    </w:p>
    <w:p>
      <w:pPr>
        <w:pStyle w:val="Compact"/>
        <w:numPr>
          <w:ilvl w:val="0"/>
          <w:numId w:val="2168"/>
        </w:numPr>
      </w:pPr>
      <w:r>
        <w:t xml:space="preserve">Les instances spot conviennent à une base de données de production critique. —</w:t>
      </w:r>
      <w:r>
        <w:t xml:space="preserve"> </w:t>
      </w:r>
      <w:r>
        <w:rPr>
          <w:b/>
          <w:bCs/>
        </w:rPr>
        <w:t xml:space="preserve">Faux</w:t>
      </w:r>
      <w:r>
        <w:t xml:space="preserve"> </w:t>
      </w:r>
      <w:r>
        <w:t xml:space="preserve">(elles conviennent aux charges non critiques et interruptibles, section 50.5).</w:t>
      </w:r>
    </w:p>
    <w:p>
      <w:pPr>
        <w:pStyle w:val="Compact"/>
        <w:numPr>
          <w:ilvl w:val="0"/>
          <w:numId w:val="2168"/>
        </w:numPr>
      </w:pPr>
      <w:r>
        <w:t xml:space="preserve">Un budget avec seuils d’alerte permet de détecter une dérive de coût avant la facture finale. —</w:t>
      </w:r>
      <w:r>
        <w:t xml:space="preserve"> </w:t>
      </w:r>
      <w:r>
        <w:rPr>
          <w:b/>
          <w:bCs/>
        </w:rPr>
        <w:t xml:space="preserve">Vrai</w:t>
      </w:r>
      <w:r>
        <w:t xml:space="preserve">.</w:t>
      </w:r>
    </w:p>
    <w:p>
      <w:pPr>
        <w:pStyle w:val="Compact"/>
        <w:numPr>
          <w:ilvl w:val="0"/>
          <w:numId w:val="2168"/>
        </w:numPr>
      </w:pPr>
      <w:r>
        <w:t xml:space="preserve">Le cycle Inform-Optimize-Operate est une action ponctuelle, réalisée une seule fois. —</w:t>
      </w:r>
      <w:r>
        <w:t xml:space="preserve"> </w:t>
      </w:r>
      <w:r>
        <w:rPr>
          <w:b/>
          <w:bCs/>
        </w:rPr>
        <w:t xml:space="preserve">Faux</w:t>
      </w:r>
      <w:r>
        <w:t xml:space="preserve"> </w:t>
      </w:r>
      <w:r>
        <w:t xml:space="preserve">(un cycle continu, section 50.7).</w:t>
      </w:r>
    </w:p>
    <w:p>
      <w:pPr>
        <w:pStyle w:val="FirstParagraph"/>
      </w:pPr>
      <w:r>
        <w:t xml:space="preserve">📝 Questions ouvertes</w:t>
      </w:r>
    </w:p>
    <w:p>
      <w:pPr>
        <w:pStyle w:val="Compact"/>
        <w:numPr>
          <w:ilvl w:val="0"/>
          <w:numId w:val="2169"/>
        </w:numPr>
      </w:pPr>
      <w:r>
        <w:t xml:space="preserve">Explique pourquoi le dimensionnement</w:t>
      </w:r>
      <w:r>
        <w:t xml:space="preserve"> </w:t>
      </w:r>
      <w:r>
        <w:t xml:space="preserve">“par précaution”</w:t>
      </w:r>
      <w:r>
        <w:t xml:space="preserve"> </w:t>
      </w:r>
      <w:r>
        <w:t xml:space="preserve">de l’instance de production du scénario d’ouverture constitue un gaspillage, même s’il semble prudent à première vue.</w:t>
      </w:r>
    </w:p>
    <w:p>
      <w:pPr>
        <w:pStyle w:val="Compact"/>
        <w:numPr>
          <w:ilvl w:val="0"/>
          <w:numId w:val="2169"/>
        </w:numPr>
      </w:pPr>
      <w:r>
        <w:t xml:space="preserve">Reprends le cycle Inform-Optimize-Operate. Explique pourquoi Inform doit toujours précéder Optimize, et ce qui se passerait si une équipe tentait d’optimiser sans être passée par cette première étape.</w:t>
      </w:r>
    </w:p>
    <w:p>
      <w:pPr>
        <w:pStyle w:val="FirstParagraph"/>
      </w:pPr>
      <w:r>
        <w:rPr>
          <w:b/>
          <w:bCs/>
        </w:rPr>
        <w:t xml:space="preserve">Corrigé 1</w:t>
      </w:r>
      <w:r>
        <w:t xml:space="preserve"> </w:t>
      </w:r>
      <w:r>
        <w:t xml:space="preserve">: un dimensionnement basé sur une intuition de prudence plutôt que sur une mesure réelle (comme l’instance à 15% d’utilisation moyenne du scénario d’ouverture) paie continuellement pour une capacité jamais réellement utilisée — la prudence légitime face à un pic de charge possible devrait s’exprimer via l’auto-scaling (rappel du HPA, chapitre 44), qui ajuste dynamiquement la capacité selon le besoin réel, plutôt que par un surdimensionnement statique et permanent qui gaspille des ressources sur l’écrasante majorité du temps où la charge réelle reste modérée.</w:t>
      </w:r>
    </w:p>
    <w:p>
      <w:pPr>
        <w:pStyle w:val="BodyText"/>
      </w:pPr>
      <w:r>
        <w:rPr>
          <w:b/>
          <w:bCs/>
        </w:rPr>
        <w:t xml:space="preserve">Corrigé 2</w:t>
      </w:r>
      <w:r>
        <w:t xml:space="preserve"> </w:t>
      </w:r>
      <w:r>
        <w:t xml:space="preserve">: sans Inform (savoir précisément quelle ressource coûte quoi, via le tagging), toute tentative d’optimisation devient une devinette risquée — une équipe pourrait réduire ou supprimer une ressource sans savoir avec certitude si elle est réellement inutilisée ou critique pour un service qu’elle ne peut pas identifier clairement. Le résultat serait soit une optimisation trop prudente (laissant du gaspillage réel en place par peur de casser quelque chose d’inconnu), soit au contraire une optimisation dangereuse (supprimant par erreur une ressource en réalité critique) — Inform élimine cette ambiguïté en rendant visible et attribuable chaque coût avant toute action corrective.</w:t>
      </w:r>
    </w:p>
    <w:bookmarkEnd w:id="1243"/>
    <w:bookmarkStart w:id="1244" w:name="exercices-49"/>
    <w:p>
      <w:pPr>
        <w:pStyle w:val="Heading2"/>
      </w:pPr>
      <w:r>
        <w:t xml:space="preserve">Exercices</w:t>
      </w:r>
    </w:p>
    <w:p>
      <w:pPr>
        <w:pStyle w:val="FirstParagraph"/>
      </w:pPr>
      <w:r>
        <w:t xml:space="preserve">📝 Exercice 50.1</w:t>
      </w:r>
    </w:p>
    <w:p>
      <w:pPr>
        <w:pStyle w:val="BodyText"/>
      </w:pPr>
      <w:r>
        <w:t xml:space="preserve">Une équipe configure une alerte budgétaire à 100% du montant prévu uniquement, sans seuil intermédiaire. Explique pourquoi cette configuration reste insuffisante, en t’appuyant sur la section 50.6.</w:t>
      </w:r>
    </w:p>
    <w:p>
      <w:pPr>
        <w:pStyle w:val="BodyText"/>
      </w:pPr>
      <w:r>
        <w:rPr>
          <w:b/>
          <w:bCs/>
        </w:rPr>
        <w:t xml:space="preserve">Corrigé :</w:t>
      </w:r>
      <w:r>
        <w:t xml:space="preserve"> </w:t>
      </w:r>
      <w:r>
        <w:t xml:space="preserve">Une alerte déclenchée uniquement à 100% du budget prévu arrive au moment où le dépassement est déjà consommé, ne laissant aucune marge d’action avant que le coût ne soit déjà engagé — exactement l’inverse du principe de supervision proactive déjà établi au chapitre 1 (agir avant la saturation, pas après). Des seuils intermédiaires (50%, 80%, comme suggéré en section 50.6) permettent de détecter une dérive de rythme de consommation suffisamment tôt dans le mois ou le trimestre pour investiguer et corriger la cause avant que le budget total ne soit effectivement dépassé, transformant une réaction tardive en une action préventive.</w:t>
      </w:r>
    </w:p>
    <w:p>
      <w:pPr>
        <w:pStyle w:val="BodyText"/>
      </w:pPr>
      <w:r>
        <w:t xml:space="preserve">📝 Exercice 50.2</w:t>
      </w:r>
    </w:p>
    <w:p>
      <w:pPr>
        <w:pStyle w:val="BodyText"/>
      </w:pPr>
      <w:r>
        <w:t xml:space="preserve">Rédige, en 3 à 5 phrases, une politique de nettoyage à proposer à l’équipe pour éviter que des ressources de test comme celle du scénario d’ouverture ne s’accumulent à l’avenir.</w:t>
      </w:r>
    </w:p>
    <w:p>
      <w:pPr>
        <w:pStyle w:val="BodyText"/>
      </w:pPr>
      <w:r>
        <w:rPr>
          <w:b/>
          <w:bCs/>
        </w:rPr>
        <w:t xml:space="preserve">Corrigé (exemple de réponse) :</w:t>
      </w:r>
      <w:r>
        <w:t xml:space="preserve"> </w:t>
      </w:r>
      <w:r>
        <w:t xml:space="preserve">Toute ressource créée pour un test, un atelier ou une expérimentation ponctuelle doit être taguée explicitement</w:t>
      </w:r>
      <w:r>
        <w:t xml:space="preserve"> </w:t>
      </w:r>
      <w:r>
        <w:t xml:space="preserve">“Environnement=Test”</w:t>
      </w:r>
      <w:r>
        <w:t xml:space="preserve"> </w:t>
      </w:r>
      <w:r>
        <w:t xml:space="preserve">dès sa création (section 50.4), avec un tag supplémentaire indiquant une date de suppression prévue. Une alerte automatique (Operate, section 50.7) doit signaler toute ressource taguée</w:t>
      </w:r>
      <w:r>
        <w:t xml:space="preserve"> </w:t>
      </w:r>
      <w:r>
        <w:t xml:space="preserve">“Test”</w:t>
      </w:r>
      <w:r>
        <w:t xml:space="preserve"> </w:t>
      </w:r>
      <w:r>
        <w:t xml:space="preserve">encore active au-delà de cette date prévue, sans dépendre de la mémoire d’une personne pour s’en souvenir. Cette politique rejoint directement la discipline de nettoyage déjà recommandée dès le chapitre 39, formalisée ici de façon systématique et vérifiable plutôt que comptée sur la seule bonne volonté individuelle de chaque membre de l’équipe.</w:t>
      </w:r>
    </w:p>
    <w:bookmarkEnd w:id="1244"/>
    <w:bookmarkStart w:id="1245" w:name="checklist-de-fin-de-chapitre-49"/>
    <w:p>
      <w:pPr>
        <w:pStyle w:val="Heading2"/>
      </w:pPr>
      <w:r>
        <w:t xml:space="preserve">Checklist de fin de chapitre</w:t>
      </w:r>
    </w:p>
    <w:p>
      <w:pPr>
        <w:pStyle w:val="FirstParagraph"/>
      </w:pPr>
      <w:r>
        <w:t xml:space="preserve">☐ Je comprends pourquoi le choc de la première facture cloud est un phénomène répandu.</w:t>
      </w:r>
    </w:p>
    <w:p>
      <w:pPr>
        <w:pStyle w:val="BodyText"/>
      </w:pPr>
      <w:r>
        <w:t xml:space="preserve">☐ Je sais identifier les causes courantes de gaspillage cloud (ressources oubliées, surdimensionnement, absence de tagging).</w:t>
      </w:r>
    </w:p>
    <w:p>
      <w:pPr>
        <w:pStyle w:val="BodyText"/>
      </w:pPr>
      <w:r>
        <w:t xml:space="preserve">☐ Je sais appliquer un tagging systématique pour attribuer précisément les coûts.</w:t>
      </w:r>
    </w:p>
    <w:p>
      <w:pPr>
        <w:pStyle w:val="BodyText"/>
      </w:pPr>
      <w:r>
        <w:t xml:space="preserve">☐ Je sais choisir entre instances à la demande, réservées et spot selon le profil de charge.</w:t>
      </w:r>
    </w:p>
    <w:p>
      <w:pPr>
        <w:pStyle w:val="BodyText"/>
      </w:pPr>
      <w:r>
        <w:t xml:space="preserve">☐ Je sais configurer des budgets avec seuils d’alerte pour agir de façon proactive.</w:t>
      </w:r>
    </w:p>
    <w:p>
      <w:pPr>
        <w:pStyle w:val="BodyText"/>
      </w:pPr>
      <w:r>
        <w:t xml:space="preserve">☐ Je comprends le cycle Inform-Optimize-Operate et pourquoi il est continu plutôt que ponctuel.</w:t>
      </w:r>
    </w:p>
    <w:bookmarkEnd w:id="1245"/>
    <w:bookmarkStart w:id="1246" w:name="faq-49"/>
    <w:p>
      <w:pPr>
        <w:pStyle w:val="Heading2"/>
      </w:pPr>
      <w:r>
        <w:t xml:space="preserve">FAQ</w:t>
      </w:r>
    </w:p>
    <w:p>
      <w:pPr>
        <w:pStyle w:val="FirstParagraph"/>
      </w:pPr>
      <w:r>
        <w:t xml:space="preserve">FinOps nécessite-t-il un outil logiciel dédié, ou peut-on commencer avec les outils natifs du fournisseur ?</w:t>
      </w:r>
    </w:p>
    <w:p>
      <w:pPr>
        <w:pStyle w:val="BodyText"/>
      </w:pPr>
      <w:r>
        <w:t xml:space="preserve">Les outils natifs (AWS Cost Explorer, Azure Cost Management, GCP Billing) suffisent largement pour démarrer une démarche FinOps — des outils tiers spécialisés existent pour des besoins plus avancés (multi-cloud consolidé, rappel du chapitre 49), mais ne sont pas un prérequis pour appliquer les principes de base de ce chapitre.</w:t>
      </w:r>
    </w:p>
    <w:p>
      <w:pPr>
        <w:pStyle w:val="BodyText"/>
      </w:pPr>
      <w:r>
        <w:t xml:space="preserve">Le FinOps s’applique-t-il uniquement au cloud public, ou aussi à l’infrastructure on-premise ?</w:t>
      </w:r>
    </w:p>
    <w:p>
      <w:pPr>
        <w:pStyle w:val="BodyText"/>
      </w:pPr>
      <w:r>
        <w:t xml:space="preserve">Les principes de visibilité des coûts et d’optimisation continue restent pertinents pour toute infrastructure, mais le FinOps en tant que discipline formalisée s’est développé spécifiquement en réponse au modèle de facturation à l’usage du cloud, plus volatil et donc plus sujet à un gaspillage silencieux qu’un serveur physique déjà amorti (Partie 6).</w:t>
      </w:r>
    </w:p>
    <w:p>
      <w:pPr>
        <w:pStyle w:val="BodyText"/>
      </w:pPr>
      <w:r>
        <w:t xml:space="preserve">Comment convaincre une équipe technique de prendre au sérieux la discipline de tagging, souvent perçue comme une contrainte administrative ?</w:t>
      </w:r>
    </w:p>
    <w:p>
      <w:pPr>
        <w:pStyle w:val="BodyText"/>
      </w:pPr>
      <w:r>
        <w:t xml:space="preserve">En montrant concrètement, comme dans le scénario d’ouverture de ce chapitre, le coût réel de son absence (impossibilité d’attribuer une facture inattendue à sa cause précise) — une discipline qui semble contraignante en théorie devient rapidement évidente une fois son bénéfice concret démontré face à un incident réel.</w:t>
      </w:r>
    </w:p>
    <w:p>
      <w:pPr>
        <w:pStyle w:val="BodyText"/>
      </w:pPr>
      <w:r>
        <w:t xml:space="preserve">Les instances spot présentent-elles un risque de sécurité, au-delà du risque d’interruption ?</w:t>
      </w:r>
    </w:p>
    <w:p>
      <w:pPr>
        <w:pStyle w:val="BodyText"/>
      </w:pPr>
      <w:r>
        <w:t xml:space="preserve">Non, le risque des instances spot est purement opérationnel (interruption possible à tout moment par le fournisseur) — les mêmes principes de sécurité déjà établis dans ce manuel (IAM, chiffrement, segmentation) s’appliquent de façon identique, indépendamment du type d’instance choisi.</w:t>
      </w:r>
    </w:p>
    <w:bookmarkEnd w:id="1246"/>
    <w:bookmarkStart w:id="1250" w:name="références-et-pour-aller-plus-loin-49"/>
    <w:p>
      <w:pPr>
        <w:pStyle w:val="Heading2"/>
      </w:pPr>
      <w:r>
        <w:t xml:space="preserve">Références et pour aller plus loin</w:t>
      </w:r>
    </w:p>
    <w:p>
      <w:pPr>
        <w:pStyle w:val="Compact"/>
        <w:numPr>
          <w:ilvl w:val="0"/>
          <w:numId w:val="2170"/>
        </w:numPr>
      </w:pPr>
      <w:r>
        <w:t xml:space="preserve">FinOps Foundation — cadre de référence officiel de la discipline :</w:t>
      </w:r>
      <w:r>
        <w:t xml:space="preserve"> </w:t>
      </w:r>
      <w:hyperlink r:id="rId1247">
        <w:r>
          <w:rPr>
            <w:rStyle w:val="Hyperlink"/>
          </w:rPr>
          <w:t xml:space="preserve">https://www.finops.org/</w:t>
        </w:r>
      </w:hyperlink>
    </w:p>
    <w:p>
      <w:pPr>
        <w:pStyle w:val="Compact"/>
        <w:numPr>
          <w:ilvl w:val="0"/>
          <w:numId w:val="2170"/>
        </w:numPr>
      </w:pPr>
      <w:r>
        <w:t xml:space="preserve">AWS Cost Explorer — documentation officielle :</w:t>
      </w:r>
      <w:r>
        <w:t xml:space="preserve"> </w:t>
      </w:r>
      <w:hyperlink r:id="rId1248">
        <w:r>
          <w:rPr>
            <w:rStyle w:val="Hyperlink"/>
          </w:rPr>
          <w:t xml:space="preserve">https://docs.aws.amazon.com/cost-management/latest/userguide/ce-what-is.html</w:t>
        </w:r>
      </w:hyperlink>
    </w:p>
    <w:p>
      <w:pPr>
        <w:pStyle w:val="Compact"/>
        <w:numPr>
          <w:ilvl w:val="0"/>
          <w:numId w:val="2170"/>
        </w:numPr>
      </w:pPr>
      <w:r>
        <w:t xml:space="preserve">Microsoft Learn — Azure Cost Management :</w:t>
      </w:r>
      <w:r>
        <w:t xml:space="preserve"> </w:t>
      </w:r>
      <w:hyperlink r:id="rId1249">
        <w:r>
          <w:rPr>
            <w:rStyle w:val="Hyperlink"/>
          </w:rPr>
          <w:t xml:space="preserve">https://learn.microsoft.com/fr-fr/azure/cost-management-billing/</w:t>
        </w:r>
      </w:hyperlink>
    </w:p>
    <w:p>
      <w:pPr>
        <w:pStyle w:val="FirstParagraph"/>
      </w:pPr>
      <w:r>
        <w:rPr>
          <w:i/>
          <w:iCs/>
        </w:rPr>
        <w:t xml:space="preserve">Fin de la Partie 8. La Partie 9 aborde maintenant l’automatisation et l’Infrastructure as Code — Git, Ansible et Terraform — pour transformer les architectures manuellement construites dans les Parties 6 à 8 en configurations reproductibles, versionnées et audités, prolongeant directement la discipline de gouvernance déjà établie dans cette partie.</w:t>
      </w:r>
    </w:p>
    <w:p>
      <w:pPr>
        <w:pStyle w:val="BodyText"/>
      </w:pPr>
      <w:r>
        <w:t xml:space="preserve">CHAPITRE 51</w:t>
      </w:r>
    </w:p>
    <w:bookmarkEnd w:id="1250"/>
    <w:bookmarkEnd w:id="1251"/>
    <w:bookmarkStart w:id="1275" w:name="git-pour-ladministrateur-système"/>
    <w:p>
      <w:pPr>
        <w:pStyle w:val="Heading1"/>
      </w:pPr>
      <w:r>
        <w:t xml:space="preserve">Git pour l’administrateur système</w:t>
      </w:r>
    </w:p>
    <w:p>
      <w:pPr>
        <w:pStyle w:val="FirstParagraph"/>
      </w:pPr>
      <w:r>
        <w:t xml:space="preserve">🎯 Objectif du chapitre</w:t>
      </w:r>
      <w:r>
        <w:t xml:space="preserve"> </w:t>
      </w:r>
      <w:r>
        <w:t xml:space="preserve">Honorer enfin toutes les recommandations</w:t>
      </w:r>
      <w:r>
        <w:t xml:space="preserve"> </w:t>
      </w:r>
      <w:r>
        <w:t xml:space="preserve">“à versionner dans Git”</w:t>
      </w:r>
      <w:r>
        <w:t xml:space="preserve"> </w:t>
      </w:r>
      <w:r>
        <w:t xml:space="preserve">semées depuis le chapitre 20 de ce manuel, en apprenant réellement à utiliser Git — pas comme un outil de développeur logiciel, mais comme la discipline qui transforme des scripts et des manifestes en une source de vérité fiable et collaborative. À la fin de ce chapitre, tu sauras cloner, commiter, créer des branches, résoudre un conflit de fusion, et protéger correctement les secrets d’un dépôt versionné.</w:t>
      </w:r>
    </w:p>
    <w:p>
      <w:pPr>
        <w:pStyle w:val="BodyText"/>
      </w:pPr>
      <w:r>
        <w:t xml:space="preserve">🎬 Mise en situation</w:t>
      </w:r>
      <w:r>
        <w:t xml:space="preserve"> </w:t>
      </w:r>
      <w:r>
        <w:t xml:space="preserve">Deux administrateurs modifient, le même après-midi et sans se concerter, le manifeste Kubernetes du portail client (chapitre 43) directement sur leurs postes respectifs — l’un ajuste les</w:t>
      </w:r>
      <w:r>
        <w:t xml:space="preserve"> </w:t>
      </w:r>
      <w:r>
        <w:rPr>
          <w:rStyle w:val="VerbatimChar"/>
        </w:rPr>
        <w:t xml:space="preserve">resources.limits</w:t>
      </w:r>
      <w:r>
        <w:t xml:space="preserve"> </w:t>
      </w:r>
      <w:r>
        <w:t xml:space="preserve">(chapitre 44), l’autre modifie le nombre de réplicas. Aucun des deux fichiers n’était versionné dans Git malgré les recommandations répétées de ce manuel : le second à appliquer son</w:t>
      </w:r>
      <w:r>
        <w:t xml:space="preserve"> </w:t>
      </w:r>
      <w:r>
        <w:rPr>
          <w:rStyle w:val="VerbatimChar"/>
        </w:rPr>
        <w:t xml:space="preserve">kubectl apply -f</w:t>
      </w:r>
      <w:r>
        <w:t xml:space="preserve"> </w:t>
      </w:r>
      <w:r>
        <w:t xml:space="preserve">écrase silencieusement le changement du premier, sans que personne ne s’en aperçoive avant plusieurs jours. Ce chapitre explique comment Git aurait rendu ce conflit</w:t>
      </w:r>
      <w:r>
        <w:t xml:space="preserve"> </w:t>
      </w:r>
      <w:r>
        <w:rPr>
          <w:b/>
          <w:bCs/>
        </w:rPr>
        <w:t xml:space="preserve">visible et gérable</w:t>
      </w:r>
      <w:r>
        <w:t xml:space="preserve">, plutôt que silencieux et destructeur.</w:t>
      </w:r>
    </w:p>
    <w:bookmarkStart w:id="1252" w:name="X5d546f1666f642de4dc086ad3a6363a7d4d0520"/>
    <w:p>
      <w:pPr>
        <w:pStyle w:val="Heading2"/>
      </w:pPr>
      <w:r>
        <w:t xml:space="preserve">51.1 Pourquoi maintenant : le moment d’honorer une dette du manuel</w:t>
      </w:r>
    </w:p>
    <w:p>
      <w:pPr>
        <w:pStyle w:val="FirstParagraph"/>
      </w:pPr>
      <w:r>
        <w:t xml:space="preserve">📌 À retenir — une pratique déjà recommandée, jamais expliquée en détail</w:t>
      </w:r>
      <w:r>
        <w:t xml:space="preserve"> </w:t>
      </w:r>
      <w:r>
        <w:t xml:space="preserve">Ce manuel a recommandé de</w:t>
      </w:r>
      <w:r>
        <w:t xml:space="preserve"> </w:t>
      </w:r>
      <w:r>
        <w:t xml:space="preserve">“versionner dans Git”</w:t>
      </w:r>
      <w:r>
        <w:t xml:space="preserve"> </w:t>
      </w:r>
      <w:r>
        <w:t xml:space="preserve">depuis le chapitre 20 (scripts Bash), puis pour les Dockerfile (chapitre 40), les fichiers Compose (chapitre 41) et les manifestes Kubernetes (chapitre 43) — sans jamais expliquer concrètement comment. Ce chapitre comble cette dette : Git n’est pas un outil réservé aux développeurs d’applications, c’est l’infrastructure de confiance qui rend chaque recommandation précédente réellement applicable.</w:t>
      </w:r>
    </w:p>
    <w:bookmarkEnd w:id="1252"/>
    <w:bookmarkStart w:id="1253" w:name="X09294d4525e40c05f3e4e7c26c4a0e98e5e5014"/>
    <w:p>
      <w:pPr>
        <w:pStyle w:val="Heading2"/>
      </w:pPr>
      <w:r>
        <w:t xml:space="preserve">51.2 Concepts fondamentaux : dépôt, commit, branche</w:t>
      </w:r>
    </w:p>
    <w:p>
      <w:pPr>
        <w:pStyle w:val="FirstParagraph"/>
      </w:pPr>
      <w:r>
        <w:t xml:space="preserve">💡 Analogie — l’historique complet d’un document, jamais perdu</w:t>
      </w:r>
      <w:r>
        <w:t xml:space="preserve"> </w:t>
      </w:r>
      <w:r>
        <w:t xml:space="preserve">Un</w:t>
      </w:r>
      <w:r>
        <w:t xml:space="preserve"> </w:t>
      </w:r>
      <w:r>
        <w:rPr>
          <w:b/>
          <w:bCs/>
        </w:rPr>
        <w:t xml:space="preserve">dépôt</w:t>
      </w:r>
      <w:r>
        <w:t xml:space="preserve"> </w:t>
      </w:r>
      <w:r>
        <w:t xml:space="preserve">(</w:t>
      </w:r>
      <w:r>
        <w:rPr>
          <w:i/>
          <w:iCs/>
        </w:rPr>
        <w:t xml:space="preserve">repository</w:t>
      </w:r>
      <w:r>
        <w:t xml:space="preserve">) Git est un dossier dont chaque changement est enregistré, horodaté et attribué à son auteur — comme un traitement de texte qui garderait indéfiniment chaque version antérieure d’un document, consultable et restaurable à tout moment. Un</w:t>
      </w:r>
      <w:r>
        <w:t xml:space="preserve"> </w:t>
      </w:r>
      <w:r>
        <w:rPr>
          <w:b/>
          <w:bCs/>
        </w:rPr>
        <w:t xml:space="preserve">commit</w:t>
      </w:r>
      <w:r>
        <w:t xml:space="preserve"> </w:t>
      </w:r>
      <w:r>
        <w:t xml:space="preserve">est un instantané précis de l’état du dépôt à un moment donné, accompagné d’un message expliquant le changement. Une</w:t>
      </w:r>
      <w:r>
        <w:t xml:space="preserve"> </w:t>
      </w:r>
      <w:r>
        <w:rPr>
          <w:b/>
          <w:bCs/>
        </w:rPr>
        <w:t xml:space="preserve">branche</w:t>
      </w:r>
      <w:r>
        <w:t xml:space="preserve"> </w:t>
      </w:r>
      <w:r>
        <w:t xml:space="preserve">permet de travailler sur une version parallèle sans affecter la branche principale, avant de fusionner ce travail une fois validé.</w:t>
      </w:r>
    </w:p>
    <w:bookmarkEnd w:id="1253"/>
    <w:bookmarkStart w:id="1254" w:name="le-flux-de-travail-de-base"/>
    <w:p>
      <w:pPr>
        <w:pStyle w:val="Heading2"/>
      </w:pPr>
      <w:r>
        <w:t xml:space="preserve">51.3 Le flux de travail de base</w:t>
      </w:r>
    </w:p>
    <w:p>
      <w:pPr>
        <w:pStyle w:val="SourceCode"/>
      </w:pPr>
      <w:r>
        <w:rPr>
          <w:rStyle w:val="VerbatimChar"/>
        </w:rPr>
        <w:t xml:space="preserve"># Cloner un depot existant (recuperer une copie locale complete</w:t>
      </w:r>
      <w:r>
        <w:br/>
      </w:r>
      <w:r>
        <w:rPr>
          <w:rStyle w:val="VerbatimChar"/>
        </w:rPr>
        <w:t xml:space="preserve"># avec tout son historique)</w:t>
      </w:r>
      <w:r>
        <w:br/>
      </w:r>
      <w:r>
        <w:rPr>
          <w:rStyle w:val="VerbatimChar"/>
        </w:rPr>
        <w:t xml:space="preserve">git clone https://exemple.com/portail-k8s-manifests.git</w:t>
      </w:r>
      <w:r>
        <w:br/>
      </w:r>
      <w:r>
        <w:br/>
      </w:r>
      <w:r>
        <w:rPr>
          <w:rStyle w:val="VerbatimChar"/>
        </w:rPr>
        <w:t xml:space="preserve"># Verifier l'etat actuel (fichiers modifies, non suivis)</w:t>
      </w:r>
      <w:r>
        <w:br/>
      </w:r>
      <w:r>
        <w:rPr>
          <w:rStyle w:val="VerbatimChar"/>
        </w:rPr>
        <w:t xml:space="preserve">git status</w:t>
      </w:r>
      <w:r>
        <w:br/>
      </w:r>
      <w:r>
        <w:br/>
      </w:r>
      <w:r>
        <w:rPr>
          <w:rStyle w:val="VerbatimChar"/>
        </w:rPr>
        <w:t xml:space="preserve"># Ajouter un fichier modifie a la prochaine sauvegarde (staging)</w:t>
      </w:r>
      <w:r>
        <w:br/>
      </w:r>
      <w:r>
        <w:rPr>
          <w:rStyle w:val="VerbatimChar"/>
        </w:rPr>
        <w:t xml:space="preserve">git add deployment.yaml</w:t>
      </w:r>
      <w:r>
        <w:br/>
      </w:r>
      <w:r>
        <w:br/>
      </w:r>
      <w:r>
        <w:rPr>
          <w:rStyle w:val="VerbatimChar"/>
        </w:rPr>
        <w:t xml:space="preserve"># Creer un commit avec un message clair (jamais vague, section 51.7)</w:t>
      </w:r>
      <w:r>
        <w:br/>
      </w:r>
      <w:r>
        <w:rPr>
          <w:rStyle w:val="VerbatimChar"/>
        </w:rPr>
        <w:t xml:space="preserve">git commit -m "Augmente les limites memoire du portail suite au pic de charge"</w:t>
      </w:r>
      <w:r>
        <w:br/>
      </w:r>
      <w:r>
        <w:br/>
      </w:r>
      <w:r>
        <w:rPr>
          <w:rStyle w:val="VerbatimChar"/>
        </w:rPr>
        <w:t xml:space="preserve"># Envoyer les commits locaux vers le depot partage</w:t>
      </w:r>
      <w:r>
        <w:br/>
      </w:r>
      <w:r>
        <w:rPr>
          <w:rStyle w:val="VerbatimChar"/>
        </w:rPr>
        <w:t xml:space="preserve">git push</w:t>
      </w:r>
      <w:r>
        <w:br/>
      </w:r>
      <w:r>
        <w:br/>
      </w:r>
      <w:r>
        <w:rPr>
          <w:rStyle w:val="VerbatimChar"/>
        </w:rPr>
        <w:t xml:space="preserve"># Recuperer les derniers changements des autres avant de commencer a travailler</w:t>
      </w:r>
      <w:r>
        <w:br/>
      </w:r>
      <w:r>
        <w:rPr>
          <w:rStyle w:val="VerbatimChar"/>
        </w:rPr>
        <w:t xml:space="preserve">git pull</w:t>
      </w:r>
    </w:p>
    <w:p>
      <w:pPr>
        <w:pStyle w:val="FirstParagraph"/>
      </w:pPr>
      <w:r>
        <w:t xml:space="preserve">⚠️ La cause exacte du scénario d’ouverture : ne jamais oublier</w:t>
      </w:r>
      <w:r>
        <w:t xml:space="preserve"> </w:t>
      </w:r>
      <w:r>
        <w:rPr>
          <w:rStyle w:val="VerbatimChar"/>
        </w:rPr>
        <w:t xml:space="preserve">git pull</w:t>
      </w:r>
      <w:r>
        <w:t xml:space="preserve"> </w:t>
      </w:r>
      <w:r>
        <w:t xml:space="preserve">Le conflit du scénario d’ouverture n’aurait jamais existé silencieusement avec Git : le second administrateur, en tentant son</w:t>
      </w:r>
      <w:r>
        <w:t xml:space="preserve"> </w:t>
      </w:r>
      <w:r>
        <w:rPr>
          <w:rStyle w:val="VerbatimChar"/>
        </w:rPr>
        <w:t xml:space="preserve">git push</w:t>
      </w:r>
      <w:r>
        <w:t xml:space="preserve"> </w:t>
      </w:r>
      <w:r>
        <w:t xml:space="preserve">après avoir modifié un fichier déjà changé par le premier sans avoir fait</w:t>
      </w:r>
      <w:r>
        <w:t xml:space="preserve"> </w:t>
      </w:r>
      <w:r>
        <w:rPr>
          <w:rStyle w:val="VerbatimChar"/>
        </w:rPr>
        <w:t xml:space="preserve">git pull</w:t>
      </w:r>
      <w:r>
        <w:t xml:space="preserve"> </w:t>
      </w:r>
      <w:r>
        <w:t xml:space="preserve">au préalable, aurait reçu un</w:t>
      </w:r>
      <w:r>
        <w:t xml:space="preserve"> </w:t>
      </w:r>
      <w:r>
        <w:rPr>
          <w:b/>
          <w:bCs/>
        </w:rPr>
        <w:t xml:space="preserve">refus explicite</w:t>
      </w:r>
      <w:r>
        <w:t xml:space="preserve"> </w:t>
      </w:r>
      <w:r>
        <w:t xml:space="preserve">de Git, l’obligeant à intégrer consciemment les deux changements avant de continuer — jamais une écrasement silencieux comme celui vécu avec</w:t>
      </w:r>
      <w:r>
        <w:t xml:space="preserve"> </w:t>
      </w:r>
      <w:r>
        <w:rPr>
          <w:rStyle w:val="VerbatimChar"/>
        </w:rPr>
        <w:t xml:space="preserve">kubectl apply -f</w:t>
      </w:r>
      <w:r>
        <w:t xml:space="preserve"> </w:t>
      </w:r>
      <w:r>
        <w:t xml:space="preserve">directement sur des fichiers non versionnés.</w:t>
      </w:r>
    </w:p>
    <w:bookmarkEnd w:id="1254"/>
    <w:bookmarkStart w:id="1255" w:name="X8e00f40d34399063408d139b41ed6c4dcbce39e"/>
    <w:p>
      <w:pPr>
        <w:pStyle w:val="Heading2"/>
      </w:pPr>
      <w:r>
        <w:t xml:space="preserve">51.4 Branches et fusion : travailler en parallèle sans se marcher dessus</w:t>
      </w:r>
    </w:p>
    <w:p>
      <w:pPr>
        <w:pStyle w:val="SourceCode"/>
      </w:pPr>
      <w:r>
        <w:rPr>
          <w:rStyle w:val="VerbatimChar"/>
        </w:rPr>
        <w:t xml:space="preserve"># Creer une nouvelle branche pour un changement isole</w:t>
      </w:r>
      <w:r>
        <w:br/>
      </w:r>
      <w:r>
        <w:rPr>
          <w:rStyle w:val="VerbatimChar"/>
        </w:rPr>
        <w:t xml:space="preserve">git checkout -b ajustement-limites-memoire</w:t>
      </w:r>
      <w:r>
        <w:br/>
      </w:r>
      <w:r>
        <w:br/>
      </w:r>
      <w:r>
        <w:rPr>
          <w:rStyle w:val="VerbatimChar"/>
        </w:rPr>
        <w:t xml:space="preserve"># ... modifications, commits sur cette branche ...</w:t>
      </w:r>
      <w:r>
        <w:br/>
      </w:r>
      <w:r>
        <w:br/>
      </w:r>
      <w:r>
        <w:rPr>
          <w:rStyle w:val="VerbatimChar"/>
        </w:rPr>
        <w:t xml:space="preserve"># Revenir sur la branche principale et fusionner le travail termine</w:t>
      </w:r>
      <w:r>
        <w:br/>
      </w:r>
      <w:r>
        <w:rPr>
          <w:rStyle w:val="VerbatimChar"/>
        </w:rPr>
        <w:t xml:space="preserve">git checkout main</w:t>
      </w:r>
      <w:r>
        <w:br/>
      </w:r>
      <w:r>
        <w:rPr>
          <w:rStyle w:val="VerbatimChar"/>
        </w:rPr>
        <w:t xml:space="preserve">git merge ajustement-limites-memoire</w:t>
      </w:r>
    </w:p>
    <w:p>
      <w:pPr>
        <w:pStyle w:val="FirstParagraph"/>
      </w:pPr>
      <w:r>
        <w:t xml:space="preserve">✅ Bonne pratique — une branche par changement logique</w:t>
      </w:r>
      <w:r>
        <w:t xml:space="preserve"> </w:t>
      </w:r>
      <w:r>
        <w:t xml:space="preserve">Exactement le même principe déjà établi pour la revue avant tout changement de production (chapitre 2) : une branche dédiée à un changement précis, avant fusion vers la branche principale, permet une revue et une validation avant que ce changement n’affecte tout le monde — le même esprit qu’un changement normal soumis à validation, transposé au code et à la configuration.</w:t>
      </w:r>
    </w:p>
    <w:bookmarkEnd w:id="1255"/>
    <w:bookmarkStart w:id="1256" w:name="X30abe40ab15375fa2e1efd4350656e3266c4e81"/>
    <w:p>
      <w:pPr>
        <w:pStyle w:val="Heading2"/>
      </w:pPr>
      <w:r>
        <w:t xml:space="preserve">51.5 Résoudre un conflit de fusion : le scénario d’ouverture, cette fois géré</w:t>
      </w:r>
    </w:p>
    <w:p>
      <w:pPr>
        <w:pStyle w:val="SourceCode"/>
      </w:pPr>
      <w:r>
        <w:rPr>
          <w:rStyle w:val="VerbatimChar"/>
        </w:rPr>
        <w:t xml:space="preserve">&lt;&lt;&lt;&lt;&lt;&lt;&lt; HEAD</w:t>
      </w:r>
      <w:r>
        <w:br/>
      </w:r>
      <w:r>
        <w:rPr>
          <w:rStyle w:val="VerbatimChar"/>
        </w:rPr>
        <w:t xml:space="preserve">      resources:</w:t>
      </w:r>
      <w:r>
        <w:br/>
      </w:r>
      <w:r>
        <w:rPr>
          <w:rStyle w:val="VerbatimChar"/>
        </w:rPr>
        <w:t xml:space="preserve">        limits:</w:t>
      </w:r>
      <w:r>
        <w:br/>
      </w:r>
      <w:r>
        <w:rPr>
          <w:rStyle w:val="VerbatimChar"/>
        </w:rPr>
        <w:t xml:space="preserve">          memory: "1Gi"</w:t>
      </w:r>
      <w:r>
        <w:br/>
      </w:r>
      <w:r>
        <w:rPr>
          <w:rStyle w:val="VerbatimChar"/>
        </w:rPr>
        <w:t xml:space="preserve">=======</w:t>
      </w:r>
      <w:r>
        <w:br/>
      </w:r>
      <w:r>
        <w:rPr>
          <w:rStyle w:val="VerbatimChar"/>
        </w:rPr>
        <w:t xml:space="preserve">      replicas: 6</w:t>
      </w:r>
      <w:r>
        <w:br/>
      </w:r>
      <w:r>
        <w:rPr>
          <w:rStyle w:val="VerbatimChar"/>
        </w:rPr>
        <w:t xml:space="preserve">&gt;&gt;&gt;&gt;&gt;&gt;&gt; branche-autre-administrateur</w:t>
      </w:r>
    </w:p>
    <w:p>
      <w:pPr>
        <w:pStyle w:val="FirstParagraph"/>
      </w:pPr>
      <w:r>
        <w:t xml:space="preserve">💡 Lire un conflit ligne par ligne, sans paniquer</w:t>
      </w:r>
      <w:r>
        <w:t xml:space="preserve"> </w:t>
      </w:r>
      <w:r>
        <w:t xml:space="preserve">Git signale explicitement les deux versions concurrentes d’un même fichier, délimitées par ces marqueurs —</w:t>
      </w:r>
      <w:r>
        <w:t xml:space="preserve"> </w:t>
      </w:r>
      <w:r>
        <w:t xml:space="preserve">&lt;&lt;&lt;&lt;&lt;&lt;&lt; HEAD</w:t>
      </w:r>
      <w:r>
        <w:t xml:space="preserve"> </w:t>
      </w:r>
      <w:r>
        <w:t xml:space="preserve">jusqu’à</w:t>
      </w:r>
      <w:r>
        <w:t xml:space="preserve"> </w:t>
      </w:r>
      <w:r>
        <w:t xml:space="preserve">=======</w:t>
      </w:r>
      <w:r>
        <w:t xml:space="preserve"> </w:t>
      </w:r>
      <w:r>
        <w:t xml:space="preserve">représente la version locale,</w:t>
      </w:r>
      <w:r>
        <w:t xml:space="preserve"> </w:t>
      </w:r>
      <w:r>
        <w:t xml:space="preserve">=======</w:t>
      </w:r>
      <w:r>
        <w:t xml:space="preserve"> </w:t>
      </w:r>
      <w:r>
        <w:t xml:space="preserve">jusqu’à</w:t>
      </w:r>
      <w:r>
        <w:t xml:space="preserve"> </w:t>
      </w:r>
      <w:r>
        <w:t xml:space="preserve">&gt;&gt;&gt;&gt;&gt;&gt;&gt;</w:t>
      </w:r>
      <w:r>
        <w:t xml:space="preserve"> </w:t>
      </w:r>
      <w:r>
        <w:t xml:space="preserve">représente la version entrante. Résoudre le conflit consiste à éditer manuellement le fichier pour conserver le résultat souhaité (ici, probablement les deux changements combinés — la nouvelle limite mémoire ET le nouveau nombre de réplicas), supprimer ces marqueurs, puis commiter la résolution.</w:t>
      </w:r>
    </w:p>
    <w:p>
      <w:pPr>
        <w:pStyle w:val="BodyText"/>
      </w:pPr>
      <w:r>
        <w:t xml:space="preserve">🧠 À mémoriser — un conflit Git est une bonne nouvelle, pas un échec</w:t>
      </w:r>
      <w:r>
        <w:t xml:space="preserve"> </w:t>
      </w:r>
      <w:r>
        <w:t xml:space="preserve">Un conflit signifie que Git a</w:t>
      </w:r>
      <w:r>
        <w:t xml:space="preserve"> </w:t>
      </w:r>
      <w:r>
        <w:rPr>
          <w:b/>
          <w:bCs/>
        </w:rPr>
        <w:t xml:space="preserve">détecté</w:t>
      </w:r>
      <w:r>
        <w:t xml:space="preserve"> </w:t>
      </w:r>
      <w:r>
        <w:t xml:space="preserve">une divergence et demande une décision humaine consciente — exactement l’inverse du scénario d’ouverture, où le second</w:t>
      </w:r>
      <w:r>
        <w:t xml:space="preserve"> </w:t>
      </w:r>
      <w:r>
        <w:rPr>
          <w:rStyle w:val="VerbatimChar"/>
        </w:rPr>
        <w:t xml:space="preserve">kubectl apply -f</w:t>
      </w:r>
      <w:r>
        <w:t xml:space="preserve"> </w:t>
      </w:r>
      <w:r>
        <w:t xml:space="preserve">a écrasé silencieusement le premier changement sans aucune détection ni décision consciente. Un conflit visible, bien que parfois frustrant à résoudre, protège contre une perte de travail silencieuse.</w:t>
      </w:r>
    </w:p>
    <w:bookmarkEnd w:id="1256"/>
    <w:bookmarkStart w:id="1257" w:name="Xd4c37b7bcf3eb864630fe3c80018c2825c13d60"/>
    <w:p>
      <w:pPr>
        <w:pStyle w:val="Heading2"/>
      </w:pPr>
      <w:r>
        <w:t xml:space="preserve">51.6</w:t>
      </w:r>
      <w:r>
        <w:t xml:space="preserve"> </w:t>
      </w:r>
      <w:r>
        <w:rPr>
          <w:rStyle w:val="VerbatimChar"/>
        </w:rPr>
        <w:t xml:space="preserve">.gitignore</w:t>
      </w:r>
      <w:r>
        <w:t xml:space="preserve"> </w:t>
      </w:r>
      <w:r>
        <w:t xml:space="preserve">: rappel direct des chapitres 20 et 41</w:t>
      </w:r>
    </w:p>
    <w:p>
      <w:pPr>
        <w:pStyle w:val="FirstParagraph"/>
      </w:pPr>
      <w:r>
        <w:t xml:space="preserve">🔒 Sécurité — ne jamais committer un secret</w:t>
      </w:r>
      <w:r>
        <w:t xml:space="preserve"> </w:t>
      </w:r>
      <w:r>
        <w:t xml:space="preserve">Rappel direct des chapitres 20 (scripts) et 41 (fichiers</w:t>
      </w:r>
      <w:r>
        <w:t xml:space="preserve"> </w:t>
      </w:r>
      <w:r>
        <w:rPr>
          <w:rStyle w:val="VerbatimChar"/>
        </w:rPr>
        <w:t xml:space="preserve">.env</w:t>
      </w:r>
      <w:r>
        <w:t xml:space="preserve"> </w:t>
      </w:r>
      <w:r>
        <w:t xml:space="preserve">de Docker Compose) : un fichier</w:t>
      </w:r>
      <w:r>
        <w:t xml:space="preserve"> </w:t>
      </w:r>
      <w:r>
        <w:rPr>
          <w:rStyle w:val="VerbatimChar"/>
        </w:rPr>
        <w:t xml:space="preserve">.gitignore</w:t>
      </w:r>
      <w:r>
        <w:t xml:space="preserve"> </w:t>
      </w:r>
      <w:r>
        <w:t xml:space="preserve">exclut explicitement certains fichiers du suivi Git — les secrets, les fichiers</w:t>
      </w:r>
      <w:r>
        <w:t xml:space="preserve"> </w:t>
      </w:r>
      <w:r>
        <w:rPr>
          <w:rStyle w:val="VerbatimChar"/>
        </w:rPr>
        <w:t xml:space="preserve">.env</w:t>
      </w:r>
      <w:r>
        <w:t xml:space="preserve">, les certificats privés (chapitre 24) ne doivent</w:t>
      </w:r>
      <w:r>
        <w:t xml:space="preserve"> </w:t>
      </w:r>
      <w:r>
        <w:rPr>
          <w:b/>
          <w:bCs/>
        </w:rPr>
        <w:t xml:space="preserve">jamais</w:t>
      </w:r>
      <w:r>
        <w:t xml:space="preserve"> </w:t>
      </w:r>
      <w:r>
        <w:t xml:space="preserve">être committés, même par accident. Une fois un secret committé, il reste présent dans l’historique du dépôt même après suppression du fichier lui-même, nécessitant une réécriture complète de l’historique (une opération délicate et perturbatrice) pour l’éliminer réellement — la prévention via</w:t>
      </w:r>
      <w:r>
        <w:t xml:space="preserve"> </w:t>
      </w:r>
      <w:r>
        <w:rPr>
          <w:rStyle w:val="VerbatimChar"/>
        </w:rPr>
        <w:t xml:space="preserve">.gitignore</w:t>
      </w:r>
      <w:r>
        <w:t xml:space="preserve"> </w:t>
      </w:r>
      <w:r>
        <w:t xml:space="preserve">reste bien préférable à la correction après coup.</w:t>
      </w:r>
    </w:p>
    <w:p>
      <w:pPr>
        <w:pStyle w:val="SourceCode"/>
      </w:pPr>
      <w:r>
        <w:rPr>
          <w:rStyle w:val="VerbatimChar"/>
        </w:rPr>
        <w:t xml:space="preserve"># Exemple de .gitignore pour un projet de manifestes Kubernetes</w:t>
      </w:r>
      <w:r>
        <w:br/>
      </w:r>
      <w:r>
        <w:rPr>
          <w:rStyle w:val="VerbatimChar"/>
        </w:rPr>
        <w:t xml:space="preserve">.env</w:t>
      </w:r>
      <w:r>
        <w:br/>
      </w:r>
      <w:r>
        <w:rPr>
          <w:rStyle w:val="VerbatimChar"/>
        </w:rPr>
        <w:t xml:space="preserve">*.pem</w:t>
      </w:r>
      <w:r>
        <w:br/>
      </w:r>
      <w:r>
        <w:rPr>
          <w:rStyle w:val="VerbatimChar"/>
        </w:rPr>
        <w:t xml:space="preserve">*-secret.yaml</w:t>
      </w:r>
      <w:r>
        <w:br/>
      </w:r>
      <w:r>
        <w:rPr>
          <w:rStyle w:val="VerbatimChar"/>
        </w:rPr>
        <w:t xml:space="preserve">kubeconfig</w:t>
      </w:r>
    </w:p>
    <w:bookmarkEnd w:id="1257"/>
    <w:bookmarkStart w:id="1258" w:name="X963cac6ce36c0664a93cfcc6d357b13c96b109d"/>
    <w:p>
      <w:pPr>
        <w:pStyle w:val="Heading2"/>
      </w:pPr>
      <w:r>
        <w:t xml:space="preserve">51.7 Une discipline de commit : messages clairs, changements atomiques</w:t>
      </w:r>
    </w:p>
    <w:p>
      <w:pPr>
        <w:pStyle w:val="FirstParagraph"/>
      </w:pPr>
      <w:r>
        <w:t xml:space="preserve">✅ Rappel direct de la discipline de documentation du chapitre 3</w:t>
      </w:r>
      <w:r>
        <w:t xml:space="preserve"> </w:t>
      </w:r>
      <w:r>
        <w:t xml:space="preserve">Un message de commit vague (</w:t>
      </w:r>
      <w:r>
        <w:t xml:space="preserve">“modifications diverses”</w:t>
      </w:r>
      <w:r>
        <w:t xml:space="preserve">,</w:t>
      </w:r>
      <w:r>
        <w:t xml:space="preserve"> </w:t>
      </w:r>
      <w:r>
        <w:t xml:space="preserve">“fix”</w:t>
      </w:r>
      <w:r>
        <w:t xml:space="preserve">) offre la même absence de valeur qu’une documentation non écrite au chapitre 3 — un bon message de commit explique</w:t>
      </w:r>
      <w:r>
        <w:t xml:space="preserve"> </w:t>
      </w:r>
      <w:r>
        <w:rPr>
          <w:b/>
          <w:bCs/>
        </w:rPr>
        <w:t xml:space="preserve">pourquoi</w:t>
      </w:r>
      <w:r>
        <w:t xml:space="preserve"> </w:t>
      </w:r>
      <w:r>
        <w:t xml:space="preserve">le changement a été fait, pas seulement ce qui a changé (visible directement dans le code lui-même). Un commit devrait aussi rester</w:t>
      </w:r>
      <w:r>
        <w:t xml:space="preserve"> </w:t>
      </w:r>
      <w:r>
        <w:rPr>
          <w:b/>
          <w:bCs/>
        </w:rPr>
        <w:t xml:space="preserve">atomique</w:t>
      </w:r>
      <w:r>
        <w:t xml:space="preserve"> </w:t>
      </w:r>
      <w:r>
        <w:t xml:space="preserve">: un seul changement logique cohérent, jamais un mélange de plusieurs modifications sans rapport entre elles, facilitant grandement la compréhension de l’historique et un éventuel retour en arrière ciblé.</w:t>
      </w:r>
    </w:p>
    <w:bookmarkEnd w:id="1258"/>
    <w:bookmarkStart w:id="1259" w:name="Xa368d75799063f6acae624578601b073cd9b84f"/>
    <w:p>
      <w:pPr>
        <w:pStyle w:val="Heading2"/>
      </w:pPr>
      <w:r>
        <w:t xml:space="preserve">51.8 GitOps en un mot : Git comme source de vérité de l’infrastructure</w:t>
      </w:r>
    </w:p>
    <w:p>
      <w:pPr>
        <w:pStyle w:val="FirstParagraph"/>
      </w:pPr>
      <w:r>
        <w:t xml:space="preserve">💡 Une transition naturelle vers les prochains chapitres</w:t>
      </w:r>
      <w:r>
        <w:t xml:space="preserve"> </w:t>
      </w:r>
      <w:r>
        <w:t xml:space="preserve">Le principe déjà appliqué informellement tout au long de ce manuel (modifier le manifeste, jamais l’objet en direct, chapitre 43) porte un nom :</w:t>
      </w:r>
      <w:r>
        <w:t xml:space="preserve"> </w:t>
      </w:r>
      <w:r>
        <w:rPr>
          <w:b/>
          <w:bCs/>
        </w:rPr>
        <w:t xml:space="preserve">GitOps</w:t>
      </w:r>
      <w:r>
        <w:t xml:space="preserve">. L’état désiré de l’infrastructure est déclaré dans Git, et des outils automatisés (Ansible et Terraform, chapitres 52-55) appliquent cet état déclaré aux systèmes réels — Git devient la source de vérité unique et auditable, exactement l’aboutissement de la discipline</w:t>
      </w:r>
      <w:r>
        <w:t xml:space="preserve"> </w:t>
      </w:r>
      <w:r>
        <w:t xml:space="preserve">“modifier le manifeste, jamais l’objet en direct”</w:t>
      </w:r>
      <w:r>
        <w:t xml:space="preserve"> </w:t>
      </w:r>
      <w:r>
        <w:t xml:space="preserve">déjà pratiquée sans ce nom depuis le chapitre 41.</w:t>
      </w:r>
    </w:p>
    <w:bookmarkEnd w:id="1259"/>
    <w:bookmarkStart w:id="1260" w:name="X19e3f40954b4be3e973703ac1ab4c356143bafa"/>
    <w:p>
      <w:pPr>
        <w:pStyle w:val="Heading2"/>
      </w:pPr>
      <w:r>
        <w:t xml:space="preserve">Atelier — Résoudre le conflit du scénario d’ouverture</w:t>
      </w:r>
    </w:p>
    <w:p>
      <w:pPr>
        <w:pStyle w:val="FirstParagraph"/>
      </w:pPr>
      <w:r>
        <w:t xml:space="preserve">🛠️ Atelier 51 — De l’incident silencieux au conflit géré</w:t>
      </w:r>
    </w:p>
    <w:p>
      <w:pPr>
        <w:pStyle w:val="BodyText"/>
      </w:pPr>
      <w:r>
        <w:rPr>
          <w:b/>
          <w:bCs/>
        </w:rPr>
        <w:t xml:space="preserve">Objectif</w:t>
      </w:r>
      <w:r>
        <w:t xml:space="preserve"> </w:t>
      </w:r>
      <w:r>
        <w:t xml:space="preserve">: reconstituer, avec Git, le scénario d’ouverture d’une façon qui aurait évité la perte silencieuse de changement.</w:t>
      </w:r>
    </w:p>
    <w:p>
      <w:pPr>
        <w:pStyle w:val="BodyText"/>
      </w:pPr>
      <w:r>
        <w:rPr>
          <w:b/>
          <w:bCs/>
        </w:rPr>
        <w:t xml:space="preserve">Préparation</w:t>
      </w:r>
      <w:r>
        <w:t xml:space="preserve"> </w:t>
      </w:r>
      <w:r>
        <w:t xml:space="preserve">: un dépôt Git local de test, ou une lecture attentive suffit pour cet atelier conceptuel.</w:t>
      </w:r>
    </w:p>
    <w:p>
      <w:pPr>
        <w:pStyle w:val="BodyText"/>
      </w:pPr>
      <w:r>
        <w:rPr>
          <w:b/>
          <w:bCs/>
        </w:rPr>
        <w:t xml:space="preserve">Étapes détaillées</w:t>
      </w:r>
      <w:r>
        <w:t xml:space="preserve"> </w:t>
      </w:r>
      <w:r>
        <w:t xml:space="preserve">:</w:t>
      </w:r>
    </w:p>
    <w:p>
      <w:pPr>
        <w:pStyle w:val="Compact"/>
        <w:numPr>
          <w:ilvl w:val="0"/>
          <w:numId w:val="2171"/>
        </w:numPr>
      </w:pPr>
      <w:r>
        <w:t xml:space="preserve">Décris la séquence de commandes Git que le premier administrateur aurait dû suivre pour committer son changement de</w:t>
      </w:r>
      <w:r>
        <w:t xml:space="preserve"> </w:t>
      </w:r>
      <w:r>
        <w:rPr>
          <w:rStyle w:val="VerbatimChar"/>
        </w:rPr>
        <w:t xml:space="preserve">resources.limits</w:t>
      </w:r>
      <w:r>
        <w:t xml:space="preserve">.</w:t>
      </w:r>
    </w:p>
    <w:p>
      <w:pPr>
        <w:pStyle w:val="Compact"/>
        <w:numPr>
          <w:ilvl w:val="0"/>
          <w:numId w:val="2171"/>
        </w:numPr>
      </w:pPr>
      <w:r>
        <w:t xml:space="preserve">Décris ce qui se serait passé quand le second administrateur, ayant modifié</w:t>
      </w:r>
      <w:r>
        <w:t xml:space="preserve"> </w:t>
      </w:r>
      <w:r>
        <w:rPr>
          <w:rStyle w:val="VerbatimChar"/>
        </w:rPr>
        <w:t xml:space="preserve">replicas</w:t>
      </w:r>
      <w:r>
        <w:t xml:space="preserve"> </w:t>
      </w:r>
      <w:r>
        <w:t xml:space="preserve">sans avoir fait</w:t>
      </w:r>
      <w:r>
        <w:t xml:space="preserve"> </w:t>
      </w:r>
      <w:r>
        <w:rPr>
          <w:rStyle w:val="VerbatimChar"/>
        </w:rPr>
        <w:t xml:space="preserve">git pull</w:t>
      </w:r>
      <w:r>
        <w:t xml:space="preserve"> </w:t>
      </w:r>
      <w:r>
        <w:t xml:space="preserve">au préalable, aurait tenté son</w:t>
      </w:r>
      <w:r>
        <w:t xml:space="preserve"> </w:t>
      </w:r>
      <w:r>
        <w:rPr>
          <w:rStyle w:val="VerbatimChar"/>
        </w:rPr>
        <w:t xml:space="preserve">git push</w:t>
      </w:r>
      <w:r>
        <w:t xml:space="preserve">.</w:t>
      </w:r>
    </w:p>
    <w:p>
      <w:pPr>
        <w:pStyle w:val="Compact"/>
        <w:numPr>
          <w:ilvl w:val="0"/>
          <w:numId w:val="2171"/>
        </w:numPr>
      </w:pPr>
      <w:r>
        <w:t xml:space="preserve">Rédige la résolution du conflit qui en résulterait, combinant les deux changements.</w:t>
      </w:r>
    </w:p>
    <w:p>
      <w:pPr>
        <w:pStyle w:val="Compact"/>
        <w:numPr>
          <w:ilvl w:val="0"/>
          <w:numId w:val="2171"/>
        </w:numPr>
      </w:pPr>
      <w:r>
        <w:t xml:space="preserve">Compare ta démarche à la section</w:t>
      </w:r>
      <w:r>
        <w:t xml:space="preserve"> </w:t>
      </w:r>
      <w:r>
        <w:t xml:space="preserve">“Résultat attendu”</w:t>
      </w:r>
      <w:r>
        <w:t xml:space="preserve">.</w:t>
      </w:r>
    </w:p>
    <w:p>
      <w:pPr>
        <w:pStyle w:val="FirstParagraph"/>
      </w:pPr>
      <w:r>
        <w:rPr>
          <w:b/>
          <w:bCs/>
        </w:rPr>
        <w:t xml:space="preserve">Résultat attendu</w:t>
      </w:r>
      <w:r>
        <w:t xml:space="preserve"> </w:t>
      </w:r>
      <w:r>
        <w:t xml:space="preserve">: le premier administrateur committe et pousse normalement son changement (section 51.3). Le second, tentant de pousser sans avoir intégré ce changement au préalable, reçoit un refus de Git l’invitant à faire</w:t>
      </w:r>
      <w:r>
        <w:t xml:space="preserve"> </w:t>
      </w:r>
      <w:r>
        <w:rPr>
          <w:rStyle w:val="VerbatimChar"/>
        </w:rPr>
        <w:t xml:space="preserve">git pull</w:t>
      </w:r>
      <w:r>
        <w:t xml:space="preserve"> </w:t>
      </w:r>
      <w:r>
        <w:t xml:space="preserve">d’abord — ce</w:t>
      </w:r>
      <w:r>
        <w:t xml:space="preserve"> </w:t>
      </w:r>
      <w:r>
        <w:rPr>
          <w:rStyle w:val="VerbatimChar"/>
        </w:rPr>
        <w:t xml:space="preserve">pull</w:t>
      </w:r>
      <w:r>
        <w:t xml:space="preserve"> </w:t>
      </w:r>
      <w:r>
        <w:t xml:space="preserve">révèle immédiatement le conflit (section 51.5), obligeant une résolution consciente qui combine les deux changements (la nouvelle limite mémoire ET le nouveau nombre de réplicas) plutôt que la perte silencieuse de l’un des deux, exactement l’inverse de ce qui s’est réellement produit dans le scénario d’ouverture.</w:t>
      </w:r>
    </w:p>
    <w:p>
      <w:pPr>
        <w:pStyle w:val="BodyText"/>
      </w:pPr>
      <w:r>
        <w:rPr>
          <w:b/>
          <w:bCs/>
        </w:rPr>
        <w:t xml:space="preserve">Dépannage</w:t>
      </w:r>
      <w:r>
        <w:t xml:space="preserve"> </w:t>
      </w:r>
      <w:r>
        <w:t xml:space="preserve">: si tu ne sais pas quelle version garder lors d’un conflit réel, contacte directement l’auteur du changement concurrent avant de trancher seul — un conflit git révèle une divergence technique, mais sa résolution reste souvent une question de coordination humaine, pas seulement technique.</w:t>
      </w:r>
    </w:p>
    <w:bookmarkEnd w:id="1260"/>
    <w:bookmarkStart w:id="1261" w:name="erreurs-fréquentes-50"/>
    <w:p>
      <w:pPr>
        <w:pStyle w:val="Heading2"/>
      </w:pPr>
      <w:r>
        <w:t xml:space="preserve">Erreurs fréquentes</w:t>
      </w:r>
    </w:p>
    <w:p>
      <w:pPr>
        <w:pStyle w:val="FirstParagraph"/>
      </w:pPr>
      <w:r>
        <w:t xml:space="preserve">⚠️ Erreur n°1 — modifier directement un système sans passer par un dépôt versionné</w:t>
      </w:r>
      <w:r>
        <w:t xml:space="preserve"> </w:t>
      </w:r>
      <w:r>
        <w:t xml:space="preserve">Exactement la cause profonde du scénario d’ouverture — rappel direct de toutes les recommandations déjà semées depuis le chapitre 20 : toute configuration ou script destiné à durer doit vivre dans un dépôt Git, jamais uniquement sur le poste ou le serveur d’une seule personne.</w:t>
      </w:r>
    </w:p>
    <w:p>
      <w:pPr>
        <w:pStyle w:val="BodyText"/>
      </w:pPr>
      <w:r>
        <w:t xml:space="preserve">⚠️ Erreur n°2 — committer un secret par accident</w:t>
      </w:r>
      <w:r>
        <w:t xml:space="preserve"> </w:t>
      </w:r>
      <w:r>
        <w:t xml:space="preserve">Rappel de la section 51.6 : une fois committé, un secret reste présent dans l’historique même après suppression apparente du fichier — la prévention via</w:t>
      </w:r>
      <w:r>
        <w:t xml:space="preserve"> </w:t>
      </w:r>
      <w:r>
        <w:rPr>
          <w:rStyle w:val="VerbatimChar"/>
        </w:rPr>
        <w:t xml:space="preserve">.gitignore</w:t>
      </w:r>
      <w:r>
        <w:t xml:space="preserve"> </w:t>
      </w:r>
      <w:r>
        <w:t xml:space="preserve">reste toujours préférable à la correction après coup.</w:t>
      </w:r>
    </w:p>
    <w:p>
      <w:pPr>
        <w:pStyle w:val="BodyText"/>
      </w:pPr>
      <w:r>
        <w:t xml:space="preserve">⚠️ Erreur n°3 — des messages de commit vagues ou des commits trop larges</w:t>
      </w:r>
      <w:r>
        <w:t xml:space="preserve"> </w:t>
      </w:r>
      <w:r>
        <w:t xml:space="preserve">Rappel de la section 51.7 : un historique de commits illisible perd une grande partie de sa valeur — il devient presque aussi peu exploitable qu’une absence totale de documentation.</w:t>
      </w:r>
    </w:p>
    <w:bookmarkEnd w:id="1261"/>
    <w:bookmarkStart w:id="1262" w:name="diagnostiquer-un-conflit-de-fusion"/>
    <w:p>
      <w:pPr>
        <w:pStyle w:val="Heading2"/>
      </w:pPr>
      <w:r>
        <w:t xml:space="preserve">Diagnostiquer un conflit de fusion</w:t>
      </w:r>
    </w:p>
    <w:p>
      <w:pPr>
        <w:pStyle w:val="FirstParagraph"/>
      </w:pPr>
      <w:r>
        <w:t xml:space="preserve">🩺 Situation :</w:t>
      </w:r>
      <w:r>
        <w:t xml:space="preserve"> </w:t>
      </w:r>
      <w:r>
        <w:t xml:space="preserve">“</w:t>
      </w:r>
      <w:r>
        <w:rPr>
          <w:rStyle w:val="VerbatimChar"/>
        </w:rPr>
        <w:t xml:space="preserve">git pull</w:t>
      </w:r>
      <w:r>
        <w:t xml:space="preserve"> </w:t>
      </w:r>
      <w:r>
        <w:t xml:space="preserve">échoue avec un message de conflit, je ne sais pas comment procéder”</w:t>
      </w:r>
    </w:p>
    <w:p>
      <w:pPr>
        <w:pStyle w:val="Compact"/>
        <w:numPr>
          <w:ilvl w:val="0"/>
          <w:numId w:val="2172"/>
        </w:numPr>
      </w:pPr>
      <w:r>
        <w:rPr>
          <w:b/>
          <w:bCs/>
        </w:rPr>
        <w:t xml:space="preserve">Diagnostic</w:t>
      </w:r>
      <w:r>
        <w:t xml:space="preserve"> </w:t>
      </w:r>
      <w:r>
        <w:t xml:space="preserve">:</w:t>
      </w:r>
      <w:r>
        <w:t xml:space="preserve"> </w:t>
      </w:r>
      <w:r>
        <w:rPr>
          <w:rStyle w:val="VerbatimChar"/>
        </w:rPr>
        <w:t xml:space="preserve">git status</w:t>
      </w:r>
      <w:r>
        <w:t xml:space="preserve"> </w:t>
      </w:r>
      <w:r>
        <w:t xml:space="preserve">révèle précisément quels fichiers sont en conflit — jamais besoin de deviner, l’information est explicite.</w:t>
      </w:r>
    </w:p>
    <w:p>
      <w:pPr>
        <w:pStyle w:val="Compact"/>
        <w:numPr>
          <w:ilvl w:val="0"/>
          <w:numId w:val="2172"/>
        </w:numPr>
      </w:pPr>
      <w:r>
        <w:rPr>
          <w:b/>
          <w:bCs/>
        </w:rPr>
        <w:t xml:space="preserve">Comment vérifier</w:t>
      </w:r>
      <w:r>
        <w:t xml:space="preserve"> </w:t>
      </w:r>
      <w:r>
        <w:t xml:space="preserve">: ouvrir chaque fichier signalé en conflit et repérer les marqueurs</w:t>
      </w:r>
      <w:r>
        <w:t xml:space="preserve"> </w:t>
      </w:r>
      <w:r>
        <w:rPr>
          <w:rStyle w:val="VerbatimChar"/>
        </w:rPr>
        <w:t xml:space="preserve">&lt;&lt;&lt;&lt;&lt;&lt;&lt;</w:t>
      </w:r>
      <w:r>
        <w:t xml:space="preserve">,</w:t>
      </w:r>
      <w:r>
        <w:t xml:space="preserve"> </w:t>
      </w:r>
      <w:r>
        <w:rPr>
          <w:rStyle w:val="VerbatimChar"/>
        </w:rPr>
        <w:t xml:space="preserve">=======</w:t>
      </w:r>
      <w:r>
        <w:t xml:space="preserve">,</w:t>
      </w:r>
      <w:r>
        <w:t xml:space="preserve"> </w:t>
      </w:r>
      <w:r>
        <w:rPr>
          <w:rStyle w:val="VerbatimChar"/>
        </w:rPr>
        <w:t xml:space="preserve">&gt;&gt;&gt;&gt;&gt;&gt;&gt;</w:t>
      </w:r>
      <w:r>
        <w:t xml:space="preserve"> </w:t>
      </w:r>
      <w:r>
        <w:t xml:space="preserve">(section 51.5), qui délimitent précisément les deux versions concurrentes.</w:t>
      </w:r>
    </w:p>
    <w:p>
      <w:pPr>
        <w:pStyle w:val="Compact"/>
        <w:numPr>
          <w:ilvl w:val="0"/>
          <w:numId w:val="2172"/>
        </w:numPr>
      </w:pPr>
      <w:r>
        <w:rPr>
          <w:b/>
          <w:bCs/>
        </w:rPr>
        <w:t xml:space="preserve">Résolution</w:t>
      </w:r>
      <w:r>
        <w:t xml:space="preserve"> </w:t>
      </w:r>
      <w:r>
        <w:t xml:space="preserve">: éditer manuellement le fichier pour ne conserver que le contenu final souhaité, supprimer les marqueurs, puis</w:t>
      </w:r>
      <w:r>
        <w:t xml:space="preserve"> </w:t>
      </w:r>
      <w:r>
        <w:rPr>
          <w:rStyle w:val="VerbatimChar"/>
        </w:rPr>
        <w:t xml:space="preserve">git add</w:t>
      </w:r>
      <w:r>
        <w:t xml:space="preserve"> </w:t>
      </w:r>
      <w:r>
        <w:t xml:space="preserve">sur le fichier résolu et</w:t>
      </w:r>
      <w:r>
        <w:t xml:space="preserve"> </w:t>
      </w:r>
      <w:r>
        <w:rPr>
          <w:rStyle w:val="VerbatimChar"/>
        </w:rPr>
        <w:t xml:space="preserve">git commit</w:t>
      </w:r>
      <w:r>
        <w:t xml:space="preserve"> </w:t>
      </w:r>
      <w:r>
        <w:t xml:space="preserve">pour finaliser la fusion — jamais paniquer ou tenter d’annuler l’opération sans comprendre la cause, une pratique qui masquerait le problème plutôt que de le résoudre.</w:t>
      </w:r>
    </w:p>
    <w:bookmarkEnd w:id="1262"/>
    <w:bookmarkStart w:id="1263" w:name="en-entreprise-50"/>
    <w:p>
      <w:pPr>
        <w:pStyle w:val="Heading2"/>
      </w:pPr>
      <w:r>
        <w:t xml:space="preserve">En entreprise</w:t>
      </w:r>
    </w:p>
    <w:p>
      <w:pPr>
        <w:pStyle w:val="Compact"/>
        <w:numPr>
          <w:ilvl w:val="0"/>
          <w:numId w:val="2173"/>
        </w:numPr>
      </w:pPr>
      <w:r>
        <w:rPr>
          <w:b/>
          <w:bCs/>
        </w:rPr>
        <w:t xml:space="preserve">Bonne pratique répandue</w:t>
      </w:r>
      <w:r>
        <w:t xml:space="preserve"> </w:t>
      </w:r>
      <w:r>
        <w:t xml:space="preserve">: exiger une revue (souvent appelée</w:t>
      </w:r>
      <w:r>
        <w:t xml:space="preserve"> </w:t>
      </w:r>
      <w:r>
        <w:rPr>
          <w:i/>
          <w:iCs/>
        </w:rPr>
        <w:t xml:space="preserve">pull request</w:t>
      </w:r>
      <w:r>
        <w:t xml:space="preserve"> </w:t>
      </w:r>
      <w:r>
        <w:t xml:space="preserve">ou</w:t>
      </w:r>
      <w:r>
        <w:t xml:space="preserve"> </w:t>
      </w:r>
      <w:r>
        <w:rPr>
          <w:i/>
          <w:iCs/>
        </w:rPr>
        <w:t xml:space="preserve">merge request</w:t>
      </w:r>
      <w:r>
        <w:t xml:space="preserve">) avant toute fusion vers la branche principale d’un dépôt d’infrastructure critique — le même esprit de validation avant changement déjà établi au chapitre 2, appliqué directement au code et à la configuration.</w:t>
      </w:r>
    </w:p>
    <w:p>
      <w:pPr>
        <w:pStyle w:val="Compact"/>
        <w:numPr>
          <w:ilvl w:val="0"/>
          <w:numId w:val="2173"/>
        </w:numPr>
      </w:pPr>
      <w:r>
        <w:rPr>
          <w:b/>
          <w:bCs/>
        </w:rPr>
        <w:t xml:space="preserve">Bonne pratique répandue</w:t>
      </w:r>
      <w:r>
        <w:t xml:space="preserve"> </w:t>
      </w:r>
      <w:r>
        <w:t xml:space="preserve">: configurer des outils de détection automatique de secrets committés par erreur (des scanners dédiés existent), en complément du</w:t>
      </w:r>
      <w:r>
        <w:t xml:space="preserve"> </w:t>
      </w:r>
      <w:r>
        <w:rPr>
          <w:rStyle w:val="VerbatimChar"/>
        </w:rPr>
        <w:t xml:space="preserve">.gitignore</w:t>
      </w:r>
      <w:r>
        <w:t xml:space="preserve"> </w:t>
      </w:r>
      <w:r>
        <w:t xml:space="preserve">préventif, pour détecter rapidement tout oubli.</w:t>
      </w:r>
    </w:p>
    <w:p>
      <w:pPr>
        <w:pStyle w:val="Compact"/>
        <w:numPr>
          <w:ilvl w:val="0"/>
          <w:numId w:val="2173"/>
        </w:numPr>
      </w:pPr>
      <w:r>
        <w:rPr>
          <w:b/>
          <w:bCs/>
        </w:rPr>
        <w:t xml:space="preserve">Erreur classique observée</w:t>
      </w:r>
      <w:r>
        <w:t xml:space="preserve"> </w:t>
      </w:r>
      <w:r>
        <w:t xml:space="preserve">: une infrastructure entière gérée</w:t>
      </w:r>
      <w:r>
        <w:t xml:space="preserve"> </w:t>
      </w:r>
      <w:r>
        <w:t xml:space="preserve">“à la main”</w:t>
      </w:r>
      <w:r>
        <w:t xml:space="preserve"> </w:t>
      </w:r>
      <w:r>
        <w:t xml:space="preserve">sur les postes individuels des administrateurs, sans aucun dépôt Git central, jusqu’à ce qu’un incident comme celui du scénario d’ouverture révèle brutalement le coût de cette absence de discipline.</w:t>
      </w:r>
    </w:p>
    <w:bookmarkEnd w:id="1263"/>
    <w:bookmarkStart w:id="1264" w:name="entretien-technique-50"/>
    <w:p>
      <w:pPr>
        <w:pStyle w:val="Heading2"/>
      </w:pPr>
      <w:r>
        <w:t xml:space="preserve">Entretien technique</w:t>
      </w:r>
    </w:p>
    <w:p>
      <w:pPr>
        <w:pStyle w:val="FirstParagraph"/>
      </w:pPr>
      <w:r>
        <w:t xml:space="preserve">💼 Questions fréquemment posées en entretien</w:t>
      </w:r>
    </w:p>
    <w:p>
      <w:pPr>
        <w:pStyle w:val="BodyText"/>
      </w:pPr>
      <w:r>
        <w:rPr>
          <w:b/>
          <w:bCs/>
        </w:rPr>
        <w:t xml:space="preserve">Q1.</w:t>
      </w:r>
      <w:r>
        <w:rPr>
          <w:b/>
          <w:bCs/>
        </w:rPr>
        <w:t xml:space="preserve"> </w:t>
      </w:r>
      <w:r>
        <w:rPr>
          <w:b/>
          <w:bCs/>
        </w:rPr>
        <w:t xml:space="preserve">“Pourquoi un administrateur système, pas seulement un développeur, devrait-il maîtriser Git ?”</w:t>
      </w:r>
      <w:r>
        <w:t xml:space="preserve"> </w:t>
      </w:r>
      <w:r>
        <w:t xml:space="preserve">Réponse attendue : les scripts, Dockerfile, fichiers Compose et manifestes Kubernetes constituent tous une forme de code d’infrastructure qui mérite le même historique, la même traçabilité et la même possibilité de retour en arrière qu’un code applicatif — Git n’est pas réservé au développement logiciel, c’est l’infrastructure de confiance pour toute configuration destinée à durer.</w:t>
      </w:r>
    </w:p>
    <w:p>
      <w:pPr>
        <w:pStyle w:val="BodyText"/>
      </w:pPr>
      <w:r>
        <w:rPr>
          <w:b/>
          <w:bCs/>
        </w:rPr>
        <w:t xml:space="preserve">Q2.</w:t>
      </w:r>
      <w:r>
        <w:rPr>
          <w:b/>
          <w:bCs/>
        </w:rPr>
        <w:t xml:space="preserve"> </w:t>
      </w:r>
      <w:r>
        <w:rPr>
          <w:b/>
          <w:bCs/>
        </w:rPr>
        <w:t xml:space="preserve">“Que représentent les marqueurs</w:t>
      </w:r>
      <w:r>
        <w:rPr>
          <w:b/>
          <w:bCs/>
        </w:rPr>
        <w:t xml:space="preserve"> </w:t>
      </w:r>
      <w:r>
        <w:rPr>
          <w:rStyle w:val="VerbatimChar"/>
          <w:b/>
          <w:bCs/>
        </w:rPr>
        <w:t xml:space="preserve">&lt;&lt;&lt;&lt;&lt;&lt;&lt;</w:t>
      </w:r>
      <w:r>
        <w:rPr>
          <w:b/>
          <w:bCs/>
        </w:rPr>
        <w:t xml:space="preserve">,</w:t>
      </w:r>
      <w:r>
        <w:rPr>
          <w:b/>
          <w:bCs/>
        </w:rPr>
        <w:t xml:space="preserve"> </w:t>
      </w:r>
      <w:r>
        <w:rPr>
          <w:rStyle w:val="VerbatimChar"/>
          <w:b/>
          <w:bCs/>
        </w:rPr>
        <w:t xml:space="preserve">=======</w:t>
      </w:r>
      <w:r>
        <w:rPr>
          <w:b/>
          <w:bCs/>
        </w:rPr>
        <w:t xml:space="preserve"> </w:t>
      </w:r>
      <w:r>
        <w:rPr>
          <w:b/>
          <w:bCs/>
        </w:rPr>
        <w:t xml:space="preserve">et</w:t>
      </w:r>
      <w:r>
        <w:rPr>
          <w:b/>
          <w:bCs/>
        </w:rPr>
        <w:t xml:space="preserve"> </w:t>
      </w:r>
      <w:r>
        <w:rPr>
          <w:rStyle w:val="VerbatimChar"/>
          <w:b/>
          <w:bCs/>
        </w:rPr>
        <w:t xml:space="preserve">&gt;&gt;&gt;&gt;&gt;&gt;&gt;</w:t>
      </w:r>
      <w:r>
        <w:rPr>
          <w:b/>
          <w:bCs/>
        </w:rPr>
        <w:t xml:space="preserve"> </w:t>
      </w:r>
      <w:r>
        <w:rPr>
          <w:b/>
          <w:bCs/>
        </w:rPr>
        <w:t xml:space="preserve">dans un fichier en conflit ?”</w:t>
      </w:r>
      <w:r>
        <w:t xml:space="preserve"> </w:t>
      </w:r>
      <w:r>
        <w:t xml:space="preserve">Réponse attendue : ils délimitent les deux versions concurrentes d’un même passage de fichier, modifiées indépendamment sur deux branches différentes — la première section (avant</w:t>
      </w:r>
      <w:r>
        <w:t xml:space="preserve"> </w:t>
      </w:r>
      <w:r>
        <w:rPr>
          <w:rStyle w:val="VerbatimChar"/>
        </w:rPr>
        <w:t xml:space="preserve">=======</w:t>
      </w:r>
      <w:r>
        <w:t xml:space="preserve">) représente la version locale, la seconde (après</w:t>
      </w:r>
      <w:r>
        <w:t xml:space="preserve"> </w:t>
      </w:r>
      <w:r>
        <w:rPr>
          <w:rStyle w:val="VerbatimChar"/>
        </w:rPr>
        <w:t xml:space="preserve">=======</w:t>
      </w:r>
      <w:r>
        <w:t xml:space="preserve">) la version entrante, à résoudre manuellement avant de pouvoir finaliser la fusion.</w:t>
      </w:r>
    </w:p>
    <w:p>
      <w:pPr>
        <w:pStyle w:val="BodyText"/>
      </w:pPr>
      <w:r>
        <w:rPr>
          <w:b/>
          <w:bCs/>
        </w:rPr>
        <w:t xml:space="preserve">Q3.</w:t>
      </w:r>
      <w:r>
        <w:rPr>
          <w:b/>
          <w:bCs/>
        </w:rPr>
        <w:t xml:space="preserve"> </w:t>
      </w:r>
      <w:r>
        <w:rPr>
          <w:b/>
          <w:bCs/>
        </w:rPr>
        <w:t xml:space="preserve">“Que faire si un secret a été committé par erreur dans un dépôt Git ?”</w:t>
      </w:r>
      <w:r>
        <w:t xml:space="preserve"> </w:t>
      </w:r>
      <w:r>
        <w:t xml:space="preserve">Réponse attendue : le secret reste présent dans l’historique même après suppression du fichier — il faut le considérer immédiatement comme compromis (le révoquer et le remplacer, exactement le réflexe déjà établi pour une clé privée compromise au chapitre 24), puis envisager une réécriture de l’historique Git si nécessaire, une opération délicate à ne jamais improviser sans procédure claire.</w:t>
      </w:r>
    </w:p>
    <w:bookmarkEnd w:id="1264"/>
    <w:bookmarkStart w:id="1265" w:name="X14d2641df2a8175dc72a38a2dce82361d95c978"/>
    <w:p>
      <w:pPr>
        <w:pStyle w:val="Heading2"/>
      </w:pPr>
      <w:r>
        <w:t xml:space="preserve">Optimisation, sécurité et maintenabilité — les réflexes dès ce chapitre</w:t>
      </w:r>
    </w:p>
    <w:p>
      <w:pPr>
        <w:pStyle w:val="FirstParagraph"/>
      </w:pPr>
      <w:r>
        <w:t xml:space="preserve">🔒 Sécurité</w:t>
      </w:r>
      <w:r>
        <w:t xml:space="preserve"> </w:t>
      </w:r>
      <w:r>
        <w:t xml:space="preserve">Configure systématiquement un</w:t>
      </w:r>
      <w:r>
        <w:t xml:space="preserve"> </w:t>
      </w:r>
      <w:r>
        <w:rPr>
          <w:rStyle w:val="VerbatimChar"/>
        </w:rPr>
        <w:t xml:space="preserve">.gitignore</w:t>
      </w:r>
      <w:r>
        <w:t xml:space="preserve"> </w:t>
      </w:r>
      <w:r>
        <w:t xml:space="preserve">dès la création de tout nouveau dépôt, avant même le premier commit — prévenir un secret committé reste infiniment plus simple que de le corriger après coup.</w:t>
      </w:r>
    </w:p>
    <w:p>
      <w:pPr>
        <w:pStyle w:val="BodyText"/>
      </w:pPr>
      <w:r>
        <w:t xml:space="preserve">✅ Maintenabilité</w:t>
      </w:r>
      <w:r>
        <w:t xml:space="preserve"> </w:t>
      </w:r>
      <w:r>
        <w:t xml:space="preserve">Rédige des messages de commit qui expliquent le pourquoi, pas seulement le quoi — un historique Git bien tenu devient lui-même une forme de documentation vivante, complémentaire à la CMDB du chapitre 3.</w:t>
      </w:r>
    </w:p>
    <w:p>
      <w:pPr>
        <w:pStyle w:val="BodyText"/>
      </w:pPr>
      <w:r>
        <w:t xml:space="preserve">🚀 Performance</w:t>
      </w:r>
      <w:r>
        <w:t xml:space="preserve"> </w:t>
      </w:r>
      <w:r>
        <w:t xml:space="preserve">Des commits atomiques et fréquents, plutôt que de rares commits massifs regroupant des semaines de changements, facilitent grandement l’identification de la cause d’une régression via</w:t>
      </w:r>
      <w:r>
        <w:t xml:space="preserve"> </w:t>
      </w:r>
      <w:r>
        <w:rPr>
          <w:rStyle w:val="VerbatimChar"/>
        </w:rPr>
        <w:t xml:space="preserve">git log</w:t>
      </w:r>
      <w:r>
        <w:t xml:space="preserve"> </w:t>
      </w:r>
      <w:r>
        <w:t xml:space="preserve">ou un éventuel retour en arrière ciblé.</w:t>
      </w:r>
    </w:p>
    <w:bookmarkEnd w:id="1265"/>
    <w:bookmarkStart w:id="1266" w:name="résumé-du-chapitre-50"/>
    <w:p>
      <w:pPr>
        <w:pStyle w:val="Heading2"/>
      </w:pPr>
      <w:r>
        <w:t xml:space="preserve">Résumé du chapitre</w:t>
      </w:r>
    </w:p>
    <w:p>
      <w:pPr>
        <w:pStyle w:val="Compact"/>
        <w:numPr>
          <w:ilvl w:val="0"/>
          <w:numId w:val="2174"/>
        </w:numPr>
      </w:pPr>
      <w:r>
        <w:t xml:space="preserve">Git honore enfin les recommandations</w:t>
      </w:r>
      <w:r>
        <w:t xml:space="preserve"> </w:t>
      </w:r>
      <w:r>
        <w:t xml:space="preserve">“à versionner”</w:t>
      </w:r>
      <w:r>
        <w:t xml:space="preserve"> </w:t>
      </w:r>
      <w:r>
        <w:t xml:space="preserve">déjà semées depuis le chapitre 20 de ce manuel — scripts, Dockerfile, fichiers Compose, manifestes Kubernetes doivent tous vivre dans un dépôt versionné.</w:t>
      </w:r>
    </w:p>
    <w:p>
      <w:pPr>
        <w:pStyle w:val="Compact"/>
        <w:numPr>
          <w:ilvl w:val="0"/>
          <w:numId w:val="2174"/>
        </w:numPr>
      </w:pPr>
      <w:r>
        <w:t xml:space="preserve">Le flux de base (clone, add, commit, push, pull) suffit pour l’essentiel du travail quotidien ; les branches permettent de travailler en parallèle sans conflit destructeur.</w:t>
      </w:r>
    </w:p>
    <w:p>
      <w:pPr>
        <w:pStyle w:val="Compact"/>
        <w:numPr>
          <w:ilvl w:val="0"/>
          <w:numId w:val="2174"/>
        </w:numPr>
      </w:pPr>
      <w:r>
        <w:t xml:space="preserve">Un conflit de fusion Git est une divergence détectée et gérable, l’exact opposé de l’écrasement silencieux vécu dans le scénario d’ouverture sans versionnement.</w:t>
      </w:r>
    </w:p>
    <w:p>
      <w:pPr>
        <w:pStyle w:val="Compact"/>
        <w:numPr>
          <w:ilvl w:val="0"/>
          <w:numId w:val="2174"/>
        </w:numPr>
      </w:pPr>
      <w:r>
        <w:rPr>
          <w:rStyle w:val="VerbatimChar"/>
        </w:rPr>
        <w:t xml:space="preserve">.gitignore</w:t>
      </w:r>
      <w:r>
        <w:t xml:space="preserve"> </w:t>
      </w:r>
      <w:r>
        <w:t xml:space="preserve">doit exclure systématiquement tout secret, dès la création du dépôt — un secret committé reste dans l’historique même après suppression apparente.</w:t>
      </w:r>
    </w:p>
    <w:p>
      <w:pPr>
        <w:pStyle w:val="Compact"/>
        <w:numPr>
          <w:ilvl w:val="0"/>
          <w:numId w:val="2174"/>
        </w:numPr>
      </w:pPr>
      <w:r>
        <w:t xml:space="preserve">GitOps généralise le principe déjà pratiqué depuis le chapitre 41 : Git comme source de vérité unique, jamais une modification directe sur le système en production.</w:t>
      </w:r>
    </w:p>
    <w:bookmarkEnd w:id="1266"/>
    <w:bookmarkStart w:id="1267" w:name="quiz-50"/>
    <w:p>
      <w:pPr>
        <w:pStyle w:val="Heading2"/>
      </w:pPr>
      <w:r>
        <w:t xml:space="preserve">Quiz</w:t>
      </w:r>
    </w:p>
    <w:p>
      <w:pPr>
        <w:pStyle w:val="FirstParagraph"/>
      </w:pPr>
      <w:r>
        <w:t xml:space="preserve">📝 QCM (une seule bonne réponse par question)</w:t>
      </w:r>
    </w:p>
    <w:p>
      <w:pPr>
        <w:pStyle w:val="Compact"/>
        <w:numPr>
          <w:ilvl w:val="0"/>
          <w:numId w:val="2175"/>
        </w:numPr>
      </w:pPr>
      <w:r>
        <w:t xml:space="preserve">Un commit Git représente :</w:t>
      </w:r>
    </w:p>
    <w:p>
      <w:pPr>
        <w:pStyle w:val="Compact"/>
        <w:numPr>
          <w:ilvl w:val="1"/>
          <w:numId w:val="2176"/>
        </w:numPr>
      </w:pPr>
    </w:p>
    <w:p>
      <w:pPr>
        <w:pStyle w:val="Compact"/>
        <w:numPr>
          <w:ilvl w:val="2"/>
          <w:numId w:val="2177"/>
        </w:numPr>
      </w:pPr>
      <w:r>
        <w:t xml:space="preserve">Une sauvegarde complète et automatique de tout le serveur</w:t>
      </w:r>
    </w:p>
    <w:p>
      <w:pPr>
        <w:pStyle w:val="Compact"/>
        <w:numPr>
          <w:ilvl w:val="1"/>
          <w:numId w:val="2176"/>
        </w:numPr>
      </w:pPr>
    </w:p>
    <w:p>
      <w:pPr>
        <w:pStyle w:val="Compact"/>
        <w:numPr>
          <w:ilvl w:val="2"/>
          <w:numId w:val="2178"/>
        </w:numPr>
      </w:pPr>
      <w:r>
        <w:t xml:space="preserve">Un instantané précis de l’état du dépôt à un moment donné, avec un message explicatif</w:t>
      </w:r>
    </w:p>
    <w:p>
      <w:pPr>
        <w:pStyle w:val="Compact"/>
        <w:numPr>
          <w:ilvl w:val="1"/>
          <w:numId w:val="2176"/>
        </w:numPr>
      </w:pPr>
    </w:p>
    <w:p>
      <w:pPr>
        <w:pStyle w:val="Compact"/>
        <w:numPr>
          <w:ilvl w:val="2"/>
          <w:numId w:val="2179"/>
        </w:numPr>
      </w:pPr>
      <w:r>
        <w:t xml:space="preserve">Une branche du dépôt</w:t>
      </w:r>
    </w:p>
    <w:p>
      <w:pPr>
        <w:pStyle w:val="Compact"/>
        <w:numPr>
          <w:ilvl w:val="1"/>
          <w:numId w:val="2176"/>
        </w:numPr>
      </w:pPr>
    </w:p>
    <w:p>
      <w:pPr>
        <w:pStyle w:val="Compact"/>
        <w:numPr>
          <w:ilvl w:val="2"/>
          <w:numId w:val="2180"/>
        </w:numPr>
      </w:pPr>
      <w:r>
        <w:t xml:space="preserve">Un fichier de configuration réseau</w:t>
      </w:r>
    </w:p>
    <w:p>
      <w:pPr>
        <w:pStyle w:val="Compact"/>
        <w:numPr>
          <w:ilvl w:val="0"/>
          <w:numId w:val="2175"/>
        </w:numPr>
      </w:pPr>
      <w:r>
        <w:t xml:space="preserve">Un conflit de fusion Git se produit quand :</w:t>
      </w:r>
    </w:p>
    <w:p>
      <w:pPr>
        <w:pStyle w:val="Compact"/>
        <w:numPr>
          <w:ilvl w:val="1"/>
          <w:numId w:val="2181"/>
        </w:numPr>
      </w:pPr>
    </w:p>
    <w:p>
      <w:pPr>
        <w:pStyle w:val="Compact"/>
        <w:numPr>
          <w:ilvl w:val="2"/>
          <w:numId w:val="2182"/>
        </w:numPr>
      </w:pPr>
      <w:r>
        <w:t xml:space="preserve">Deux personnes ont modifié le même passage d’un fichier de façon divergente</w:t>
      </w:r>
    </w:p>
    <w:p>
      <w:pPr>
        <w:pStyle w:val="Compact"/>
        <w:numPr>
          <w:ilvl w:val="1"/>
          <w:numId w:val="2181"/>
        </w:numPr>
      </w:pPr>
    </w:p>
    <w:p>
      <w:pPr>
        <w:pStyle w:val="Compact"/>
        <w:numPr>
          <w:ilvl w:val="2"/>
          <w:numId w:val="2183"/>
        </w:numPr>
      </w:pPr>
      <w:r>
        <w:t xml:space="preserve">Un fichier est trop volumineux</w:t>
      </w:r>
    </w:p>
    <w:p>
      <w:pPr>
        <w:pStyle w:val="Compact"/>
        <w:numPr>
          <w:ilvl w:val="1"/>
          <w:numId w:val="2181"/>
        </w:numPr>
      </w:pPr>
    </w:p>
    <w:p>
      <w:pPr>
        <w:pStyle w:val="Compact"/>
        <w:numPr>
          <w:ilvl w:val="2"/>
          <w:numId w:val="2184"/>
        </w:numPr>
      </w:pPr>
      <w:r>
        <w:t xml:space="preserve">Le dépôt est corrompu</w:t>
      </w:r>
    </w:p>
    <w:p>
      <w:pPr>
        <w:pStyle w:val="Compact"/>
        <w:numPr>
          <w:ilvl w:val="1"/>
          <w:numId w:val="2181"/>
        </w:numPr>
      </w:pPr>
    </w:p>
    <w:p>
      <w:pPr>
        <w:pStyle w:val="Compact"/>
        <w:numPr>
          <w:ilvl w:val="2"/>
          <w:numId w:val="2185"/>
        </w:numPr>
      </w:pPr>
      <w:r>
        <w:t xml:space="preserve">Une branche est supprimée</w:t>
      </w:r>
    </w:p>
    <w:p>
      <w:pPr>
        <w:pStyle w:val="Compact"/>
        <w:numPr>
          <w:ilvl w:val="0"/>
          <w:numId w:val="2175"/>
        </w:numPr>
      </w:pPr>
      <w:r>
        <w:t xml:space="preserve">Un secret committé par erreur dans Git puis supprimé du fichier :</w:t>
      </w:r>
    </w:p>
    <w:p>
      <w:pPr>
        <w:pStyle w:val="Compact"/>
        <w:numPr>
          <w:ilvl w:val="1"/>
          <w:numId w:val="2186"/>
        </w:numPr>
      </w:pPr>
    </w:p>
    <w:p>
      <w:pPr>
        <w:pStyle w:val="Compact"/>
        <w:numPr>
          <w:ilvl w:val="2"/>
          <w:numId w:val="2187"/>
        </w:numPr>
      </w:pPr>
      <w:r>
        <w:t xml:space="preserve">Disparaît immédiatement et complètement du dépôt</w:t>
      </w:r>
    </w:p>
    <w:p>
      <w:pPr>
        <w:pStyle w:val="Compact"/>
        <w:numPr>
          <w:ilvl w:val="1"/>
          <w:numId w:val="2186"/>
        </w:numPr>
      </w:pPr>
    </w:p>
    <w:p>
      <w:pPr>
        <w:pStyle w:val="Compact"/>
        <w:numPr>
          <w:ilvl w:val="2"/>
          <w:numId w:val="2188"/>
        </w:numPr>
      </w:pPr>
      <w:r>
        <w:t xml:space="preserve">Reste présent dans l’historique, nécessitant une réécriture pour l’éliminer réellement</w:t>
      </w:r>
    </w:p>
    <w:p>
      <w:pPr>
        <w:pStyle w:val="Compact"/>
        <w:numPr>
          <w:ilvl w:val="1"/>
          <w:numId w:val="2186"/>
        </w:numPr>
      </w:pPr>
    </w:p>
    <w:p>
      <w:pPr>
        <w:pStyle w:val="Compact"/>
        <w:numPr>
          <w:ilvl w:val="2"/>
          <w:numId w:val="2189"/>
        </w:numPr>
      </w:pPr>
      <w:r>
        <w:t xml:space="preserve">Est automatiquement chiffré par Git</w:t>
      </w:r>
    </w:p>
    <w:p>
      <w:pPr>
        <w:pStyle w:val="Compact"/>
        <w:numPr>
          <w:ilvl w:val="1"/>
          <w:numId w:val="2186"/>
        </w:numPr>
      </w:pPr>
    </w:p>
    <w:p>
      <w:pPr>
        <w:pStyle w:val="Compact"/>
        <w:numPr>
          <w:ilvl w:val="2"/>
          <w:numId w:val="2190"/>
        </w:numPr>
      </w:pPr>
      <w:r>
        <w:t xml:space="preserve">N’a jamais existé si le commit n’a pas été poussé</w:t>
      </w:r>
    </w:p>
    <w:p>
      <w:pPr>
        <w:pStyle w:val="FirstParagraph"/>
      </w:pPr>
      <w:r>
        <w:rPr>
          <w:b/>
          <w:bCs/>
        </w:rPr>
        <w:t xml:space="preserve">Corrigé</w:t>
      </w:r>
      <w:r>
        <w:t xml:space="preserve"> </w:t>
      </w:r>
      <w:r>
        <w:t xml:space="preserve">: 1-b, 2-a, 3-b.</w:t>
      </w:r>
    </w:p>
    <w:p>
      <w:pPr>
        <w:pStyle w:val="BodyText"/>
      </w:pPr>
      <w:r>
        <w:t xml:space="preserve">📝 Vrai ou Faux</w:t>
      </w:r>
    </w:p>
    <w:p>
      <w:pPr>
        <w:pStyle w:val="Compact"/>
        <w:numPr>
          <w:ilvl w:val="0"/>
          <w:numId w:val="2191"/>
        </w:numPr>
      </w:pPr>
      <w:r>
        <w:t xml:space="preserve">Git est un outil réservé exclusivement aux développeurs d’applications, sans usage pour un administrateur système. —</w:t>
      </w:r>
      <w:r>
        <w:t xml:space="preserve"> </w:t>
      </w:r>
      <w:r>
        <w:rPr>
          <w:b/>
          <w:bCs/>
        </w:rPr>
        <w:t xml:space="preserve">Faux</w:t>
      </w:r>
      <w:r>
        <w:t xml:space="preserve"> </w:t>
      </w:r>
      <w:r>
        <w:t xml:space="preserve">(rappel direct de la section 51.1).</w:t>
      </w:r>
    </w:p>
    <w:p>
      <w:pPr>
        <w:pStyle w:val="Compact"/>
        <w:numPr>
          <w:ilvl w:val="0"/>
          <w:numId w:val="2191"/>
        </w:numPr>
      </w:pPr>
      <w:r>
        <w:t xml:space="preserve">Un conflit de fusion Git est une bonne nouvelle plutôt qu’un échec, car il rend une divergence visible plutôt que silencieuse. —</w:t>
      </w:r>
      <w:r>
        <w:t xml:space="preserve"> </w:t>
      </w:r>
      <w:r>
        <w:rPr>
          <w:b/>
          <w:bCs/>
        </w:rPr>
        <w:t xml:space="preserve">Vrai</w:t>
      </w:r>
      <w:r>
        <w:t xml:space="preserve">.</w:t>
      </w:r>
    </w:p>
    <w:p>
      <w:pPr>
        <w:pStyle w:val="Compact"/>
        <w:numPr>
          <w:ilvl w:val="0"/>
          <w:numId w:val="2191"/>
        </w:numPr>
      </w:pPr>
      <w:r>
        <w:rPr>
          <w:rStyle w:val="VerbatimChar"/>
        </w:rPr>
        <w:t xml:space="preserve">git pull</w:t>
      </w:r>
      <w:r>
        <w:t xml:space="preserve"> </w:t>
      </w:r>
      <w:r>
        <w:t xml:space="preserve">avant de commencer à modifier un fichier réduit le risque de conflit ultérieur. —</w:t>
      </w:r>
      <w:r>
        <w:t xml:space="preserve"> </w:t>
      </w:r>
      <w:r>
        <w:rPr>
          <w:b/>
          <w:bCs/>
        </w:rPr>
        <w:t xml:space="preserve">Vrai</w:t>
      </w:r>
      <w:r>
        <w:t xml:space="preserve">.</w:t>
      </w:r>
    </w:p>
    <w:p>
      <w:pPr>
        <w:pStyle w:val="Compact"/>
        <w:numPr>
          <w:ilvl w:val="0"/>
          <w:numId w:val="2191"/>
        </w:numPr>
      </w:pPr>
      <w:r>
        <w:t xml:space="preserve">Un message de commit vague comme</w:t>
      </w:r>
      <w:r>
        <w:t xml:space="preserve"> </w:t>
      </w:r>
      <w:r>
        <w:t xml:space="preserve">“modifications diverses”</w:t>
      </w:r>
      <w:r>
        <w:t xml:space="preserve"> </w:t>
      </w:r>
      <w:r>
        <w:t xml:space="preserve">est acceptable tant que le code fonctionne. —</w:t>
      </w:r>
      <w:r>
        <w:t xml:space="preserve"> </w:t>
      </w:r>
      <w:r>
        <w:rPr>
          <w:b/>
          <w:bCs/>
        </w:rPr>
        <w:t xml:space="preserve">Faux</w:t>
      </w:r>
      <w:r>
        <w:t xml:space="preserve"> </w:t>
      </w:r>
      <w:r>
        <w:t xml:space="preserve">(rappel de la discipline de la section 51.7).</w:t>
      </w:r>
    </w:p>
    <w:p>
      <w:pPr>
        <w:pStyle w:val="FirstParagraph"/>
      </w:pPr>
      <w:r>
        <w:t xml:space="preserve">📝 Questions ouvertes</w:t>
      </w:r>
    </w:p>
    <w:p>
      <w:pPr>
        <w:pStyle w:val="Compact"/>
        <w:numPr>
          <w:ilvl w:val="0"/>
          <w:numId w:val="2192"/>
        </w:numPr>
      </w:pPr>
      <w:r>
        <w:t xml:space="preserve">Explique pourquoi le scénario d’ouverture n’aurait jamais pu se produire silencieusement si les deux administrateurs avaient utilisé Git correctement.</w:t>
      </w:r>
    </w:p>
    <w:p>
      <w:pPr>
        <w:pStyle w:val="Compact"/>
        <w:numPr>
          <w:ilvl w:val="0"/>
          <w:numId w:val="2192"/>
        </w:numPr>
      </w:pPr>
      <w:r>
        <w:t xml:space="preserve">Reprends le principe GitOps de la section 51.8. Explique comment il prolonge directement la bonne pratique déjà établie au chapitre 43 (</w:t>
      </w:r>
      <w:r>
        <w:t xml:space="preserve">“modifier le manifeste, jamais l’objet en direct”</w:t>
      </w:r>
      <w:r>
        <w:t xml:space="preserve">).</w:t>
      </w:r>
    </w:p>
    <w:p>
      <w:pPr>
        <w:pStyle w:val="FirstParagraph"/>
      </w:pPr>
      <w:r>
        <w:rPr>
          <w:b/>
          <w:bCs/>
        </w:rPr>
        <w:t xml:space="preserve">Corrigé 1</w:t>
      </w:r>
      <w:r>
        <w:t xml:space="preserve"> </w:t>
      </w:r>
      <w:r>
        <w:t xml:space="preserve">: sans Git, chaque administrateur modifiait sa propre copie locale du fichier et l’appliquait directement au cluster via</w:t>
      </w:r>
      <w:r>
        <w:t xml:space="preserve"> </w:t>
      </w:r>
      <w:r>
        <w:rPr>
          <w:rStyle w:val="VerbatimChar"/>
        </w:rPr>
        <w:t xml:space="preserve">kubectl apply -f</w:t>
      </w:r>
      <w:r>
        <w:t xml:space="preserve">, sans aucun mécanisme de détection d’une modification concurrente — le second</w:t>
      </w:r>
      <w:r>
        <w:t xml:space="preserve"> </w:t>
      </w:r>
      <w:r>
        <w:rPr>
          <w:rStyle w:val="VerbatimChar"/>
        </w:rPr>
        <w:t xml:space="preserve">apply</w:t>
      </w:r>
      <w:r>
        <w:t xml:space="preserve"> </w:t>
      </w:r>
      <w:r>
        <w:t xml:space="preserve">écrase silencieusement le premier changement, sans avertissement ni trace. Avec Git, le second administrateur aurait été bloqué dès son</w:t>
      </w:r>
      <w:r>
        <w:t xml:space="preserve"> </w:t>
      </w:r>
      <w:r>
        <w:rPr>
          <w:rStyle w:val="VerbatimChar"/>
        </w:rPr>
        <w:t xml:space="preserve">git push</w:t>
      </w:r>
      <w:r>
        <w:t xml:space="preserve"> </w:t>
      </w:r>
      <w:r>
        <w:t xml:space="preserve">(refus explicite faute d’avoir intégré le changement du premier via</w:t>
      </w:r>
      <w:r>
        <w:t xml:space="preserve"> </w:t>
      </w:r>
      <w:r>
        <w:rPr>
          <w:rStyle w:val="VerbatimChar"/>
        </w:rPr>
        <w:t xml:space="preserve">git pull</w:t>
      </w:r>
      <w:r>
        <w:t xml:space="preserve">), transformant une perte silencieuse en un conflit visible et consciemment résolu (section 51.5).</w:t>
      </w:r>
    </w:p>
    <w:p>
      <w:pPr>
        <w:pStyle w:val="BodyText"/>
      </w:pPr>
      <w:r>
        <w:rPr>
          <w:b/>
          <w:bCs/>
        </w:rPr>
        <w:t xml:space="preserve">Corrigé 2</w:t>
      </w:r>
      <w:r>
        <w:t xml:space="preserve"> </w:t>
      </w:r>
      <w:r>
        <w:t xml:space="preserve">: le chapitre 43 établissait déjà que tout changement devait passer par une modification du manifeste source suivie de</w:t>
      </w:r>
      <w:r>
        <w:t xml:space="preserve"> </w:t>
      </w:r>
      <w:r>
        <w:rPr>
          <w:rStyle w:val="VerbatimChar"/>
        </w:rPr>
        <w:t xml:space="preserve">kubectl apply</w:t>
      </w:r>
      <w:r>
        <w:t xml:space="preserve">, jamais une modification directe de l’objet en direct dans le cluster. GitOps généralise ce principe en désignant explicitement Git comme LA source de vérité unique de cet état désiré, avec des outils automatisés (chapitres 52-55) qui appliquent en continu cet état déclaré aux systèmes réels — la même philosophie déjà pratiquée informellement, désormais nommée et systématisée à l’échelle de toute l’infrastructure, pas seulement d’un seul cluster Kubernetes.</w:t>
      </w:r>
    </w:p>
    <w:bookmarkEnd w:id="1267"/>
    <w:bookmarkStart w:id="1268" w:name="exercices-50"/>
    <w:p>
      <w:pPr>
        <w:pStyle w:val="Heading2"/>
      </w:pPr>
      <w:r>
        <w:t xml:space="preserve">Exercices</w:t>
      </w:r>
    </w:p>
    <w:p>
      <w:pPr>
        <w:pStyle w:val="FirstParagraph"/>
      </w:pPr>
      <w:r>
        <w:t xml:space="preserve">📝 Exercice 51.1</w:t>
      </w:r>
    </w:p>
    <w:p>
      <w:pPr>
        <w:pStyle w:val="BodyText"/>
      </w:pPr>
      <w:r>
        <w:t xml:space="preserve">Un administrateur committe accidentellement un fichier</w:t>
      </w:r>
      <w:r>
        <w:t xml:space="preserve"> </w:t>
      </w:r>
      <w:r>
        <w:rPr>
          <w:rStyle w:val="VerbatimChar"/>
        </w:rPr>
        <w:t xml:space="preserve">kubeconfig</w:t>
      </w:r>
      <w:r>
        <w:t xml:space="preserve"> </w:t>
      </w:r>
      <w:r>
        <w:t xml:space="preserve">contenant des identifiants d’accès complets à un cluster Kubernetes de production. Explique la démarche complète à suivre, en t’appuyant sur les sections 51.6 et le chapitre 24.</w:t>
      </w:r>
    </w:p>
    <w:p>
      <w:pPr>
        <w:pStyle w:val="BodyText"/>
      </w:pPr>
      <w:r>
        <w:rPr>
          <w:b/>
          <w:bCs/>
        </w:rPr>
        <w:t xml:space="preserve">Corrigé :</w:t>
      </w:r>
      <w:r>
        <w:t xml:space="preserve"> </w:t>
      </w:r>
      <w:r>
        <w:t xml:space="preserve">La première action, immédiate, est de considérer ces identifiants comme compromis dès le moment du commit — exactement le même réflexe déjà établi pour une clé privée TLS compromise au chapitre 24 — et de révoquer/régénérer ces accès sans délai, indépendamment de la suite. Ensuite, ajouter</w:t>
      </w:r>
      <w:r>
        <w:t xml:space="preserve"> </w:t>
      </w:r>
      <w:r>
        <w:rPr>
          <w:rStyle w:val="VerbatimChar"/>
        </w:rPr>
        <w:t xml:space="preserve">kubeconfig</w:t>
      </w:r>
      <w:r>
        <w:t xml:space="preserve"> </w:t>
      </w:r>
      <w:r>
        <w:t xml:space="preserve">au</w:t>
      </w:r>
      <w:r>
        <w:t xml:space="preserve"> </w:t>
      </w:r>
      <w:r>
        <w:rPr>
          <w:rStyle w:val="VerbatimChar"/>
        </w:rPr>
        <w:t xml:space="preserve">.gitignore</w:t>
      </w:r>
      <w:r>
        <w:t xml:space="preserve"> </w:t>
      </w:r>
      <w:r>
        <w:t xml:space="preserve">pour éviter toute récidive (section 51.6), puis évaluer si une réécriture de l’historique Git est nécessaire pour retirer ce fichier de tous les commits passés où il apparaît — une opération à mener avec précaution, en coordination avec toute l’équipe utilisant ce dépôt, puisqu’elle modifie l’historique partagé et nécessite que chacun resynchronise son propre clone local.</w:t>
      </w:r>
    </w:p>
    <w:p>
      <w:pPr>
        <w:pStyle w:val="BodyText"/>
      </w:pPr>
      <w:r>
        <w:t xml:space="preserve">📝 Exercice 51.2</w:t>
      </w:r>
    </w:p>
    <w:p>
      <w:pPr>
        <w:pStyle w:val="BodyText"/>
      </w:pPr>
      <w:r>
        <w:t xml:space="preserve">Rédige, en 3 à 5 phrases, une politique de commit à proposer à l’équipe pour que l’historique Git du dépôt de manifestes Kubernetes reste réellement exploitable dans le temps.</w:t>
      </w:r>
    </w:p>
    <w:p>
      <w:pPr>
        <w:pStyle w:val="BodyText"/>
      </w:pPr>
      <w:r>
        <w:rPr>
          <w:b/>
          <w:bCs/>
        </w:rPr>
        <w:t xml:space="preserve">Corrigé (exemple de réponse) :</w:t>
      </w:r>
      <w:r>
        <w:t xml:space="preserve"> </w:t>
      </w:r>
      <w:r>
        <w:t xml:space="preserve">Chaque commit doit représenter un seul changement logique cohérent (par exemple, un ajustement de ressources OU un changement de réplicas, jamais les deux mélangés sans rapport), avec un message expliquant la raison du changement, pas seulement sa nature technique déjà visible dans le diff. Toute modification destinée à la branche principale doit passer par une revue avant fusion (rejoignant le principe du CAB léger déjà établi au chapitre 2), et aucun commit ne doit jamais contenir de secret, vérifié systématiquement avant chaque push. Cette discipline, une fois adoptée collectivement, transforme l’historique Git en une documentation vivante et fiable de l’évolution de l’infrastructure, consultable des mois ou des années plus tard sans ambiguïté.</w:t>
      </w:r>
    </w:p>
    <w:bookmarkEnd w:id="1268"/>
    <w:bookmarkStart w:id="1269" w:name="checklist-de-fin-de-chapitre-50"/>
    <w:p>
      <w:pPr>
        <w:pStyle w:val="Heading2"/>
      </w:pPr>
      <w:r>
        <w:t xml:space="preserve">Checklist de fin de chapitre</w:t>
      </w:r>
    </w:p>
    <w:p>
      <w:pPr>
        <w:pStyle w:val="FirstParagraph"/>
      </w:pPr>
      <w:r>
        <w:t xml:space="preserve">☐ Je sais utiliser le flux de base Git (clone, add, commit, push, pull).</w:t>
      </w:r>
    </w:p>
    <w:p>
      <w:pPr>
        <w:pStyle w:val="BodyText"/>
      </w:pPr>
      <w:r>
        <w:t xml:space="preserve">☐ Je comprends l’utilité des branches pour travailler en parallèle sans conflit destructeur.</w:t>
      </w:r>
    </w:p>
    <w:p>
      <w:pPr>
        <w:pStyle w:val="BodyText"/>
      </w:pPr>
      <w:r>
        <w:t xml:space="preserve">☐ Je sais lire et résoudre un conflit de fusion.</w:t>
      </w:r>
    </w:p>
    <w:p>
      <w:pPr>
        <w:pStyle w:val="BodyText"/>
      </w:pPr>
      <w:r>
        <w:t xml:space="preserve">☐ Je sais configurer un</w:t>
      </w:r>
      <w:r>
        <w:t xml:space="preserve"> </w:t>
      </w:r>
      <w:r>
        <w:rPr>
          <w:rStyle w:val="VerbatimChar"/>
        </w:rPr>
        <w:t xml:space="preserve">.gitignore</w:t>
      </w:r>
      <w:r>
        <w:t xml:space="preserve"> </w:t>
      </w:r>
      <w:r>
        <w:t xml:space="preserve">pour protéger les secrets dès la création d’un dépôt.</w:t>
      </w:r>
    </w:p>
    <w:p>
      <w:pPr>
        <w:pStyle w:val="BodyText"/>
      </w:pPr>
      <w:r>
        <w:t xml:space="preserve">☐ Je sais rédiger des messages de commit clairs et des commits atomiques.</w:t>
      </w:r>
    </w:p>
    <w:p>
      <w:pPr>
        <w:pStyle w:val="BodyText"/>
      </w:pPr>
      <w:r>
        <w:t xml:space="preserve">☐ Je comprends le principe GitOps et son lien avec la discipline déjà établie au chapitre 43.</w:t>
      </w:r>
    </w:p>
    <w:bookmarkEnd w:id="1269"/>
    <w:bookmarkStart w:id="1270" w:name="faq-50"/>
    <w:p>
      <w:pPr>
        <w:pStyle w:val="Heading2"/>
      </w:pPr>
      <w:r>
        <w:t xml:space="preserve">FAQ</w:t>
      </w:r>
    </w:p>
    <w:p>
      <w:pPr>
        <w:pStyle w:val="FirstParagraph"/>
      </w:pPr>
      <w:r>
        <w:t xml:space="preserve">Faut-il connaître Git en profondeur pour être un bon administrateur système ?</w:t>
      </w:r>
    </w:p>
    <w:p>
      <w:pPr>
        <w:pStyle w:val="BodyText"/>
      </w:pPr>
      <w:r>
        <w:t xml:space="preserve">Le flux de base de ce chapitre (clone, add, commit, push, pull, branches, résolution de conflit simple) couvre l’immense majorité des besoins quotidiens — les fonctionnalités plus avancées (rebase interactif, cherry-pick) restent utiles mais secondaires pour un usage d’infrastructure plutôt que de développement logiciel intensif.</w:t>
      </w:r>
    </w:p>
    <w:p>
      <w:pPr>
        <w:pStyle w:val="BodyText"/>
      </w:pPr>
      <w:r>
        <w:t xml:space="preserve">Où héberger un dépôt Git pour une petite équipe d’administration système ?</w:t>
      </w:r>
    </w:p>
    <w:p>
      <w:pPr>
        <w:pStyle w:val="BodyText"/>
      </w:pPr>
      <w:r>
        <w:t xml:space="preserve">Des plateformes comme GitHub, GitLab ou une instance auto-hébergée conviennent toutes selon le contexte — le choix dépend de critères déjà familiers de ce manuel (chapitre 45) : coût, contrôle, intégration avec l’identité déjà en place (chapitre 8).</w:t>
      </w:r>
    </w:p>
    <w:p>
      <w:pPr>
        <w:pStyle w:val="BodyText"/>
      </w:pPr>
      <w:r>
        <w:t xml:space="preserve">Peut-on annuler un commit déjà poussé vers le dépôt partagé ?</w:t>
      </w:r>
    </w:p>
    <w:p>
      <w:pPr>
        <w:pStyle w:val="BodyText"/>
      </w:pPr>
      <w:r>
        <w:t xml:space="preserve">Oui, via</w:t>
      </w:r>
      <w:r>
        <w:t xml:space="preserve"> </w:t>
      </w:r>
      <w:r>
        <w:rPr>
          <w:rStyle w:val="VerbatimChar"/>
        </w:rPr>
        <w:t xml:space="preserve">git revert</w:t>
      </w:r>
      <w:r>
        <w:t xml:space="preserve"> </w:t>
      </w:r>
      <w:r>
        <w:t xml:space="preserve">(qui crée un nouveau commit annulant les changements précédents, préservant l’historique complet) plutôt qu’une suppression brutale de l’historique — une pratique plus sûre en équipe, évitant de perturber le travail des autres membres déjà synchronisés sur les commits existants.</w:t>
      </w:r>
    </w:p>
    <w:p>
      <w:pPr>
        <w:pStyle w:val="BodyText"/>
      </w:pPr>
      <w:r>
        <w:t xml:space="preserve">Git remplace-t-il le besoin d’une CMDB (chapitre 3) ?</w:t>
      </w:r>
    </w:p>
    <w:p>
      <w:pPr>
        <w:pStyle w:val="BodyText"/>
      </w:pPr>
      <w:r>
        <w:t xml:space="preserve">Non, les deux se complètent — Git trace l’historique précis des changements de configuration et de code ; la CMDB documente une vue d’ensemble de l’infrastructure (quels systèmes, quelles relations, quelle criticité) qui dépasse le seul contenu versionné dans un dépôt de code.</w:t>
      </w:r>
    </w:p>
    <w:bookmarkEnd w:id="1270"/>
    <w:bookmarkStart w:id="1274" w:name="références-et-pour-aller-plus-loin-50"/>
    <w:p>
      <w:pPr>
        <w:pStyle w:val="Heading2"/>
      </w:pPr>
      <w:r>
        <w:t xml:space="preserve">Références et pour aller plus loin</w:t>
      </w:r>
    </w:p>
    <w:p>
      <w:pPr>
        <w:pStyle w:val="Compact"/>
        <w:numPr>
          <w:ilvl w:val="0"/>
          <w:numId w:val="2193"/>
        </w:numPr>
      </w:pPr>
      <w:r>
        <w:t xml:space="preserve">Documentation officielle Git (Pro Git Book, gratuit) :</w:t>
      </w:r>
      <w:r>
        <w:t xml:space="preserve"> </w:t>
      </w:r>
      <w:hyperlink r:id="rId1271">
        <w:r>
          <w:rPr>
            <w:rStyle w:val="Hyperlink"/>
          </w:rPr>
          <w:t xml:space="preserve">https://git-scm.com/book/fr/v2</w:t>
        </w:r>
      </w:hyperlink>
    </w:p>
    <w:p>
      <w:pPr>
        <w:pStyle w:val="Compact"/>
        <w:numPr>
          <w:ilvl w:val="0"/>
          <w:numId w:val="2193"/>
        </w:numPr>
      </w:pPr>
      <w:r>
        <w:t xml:space="preserve">GitHub — Guide de résolution des conflits de fusion :</w:t>
      </w:r>
      <w:r>
        <w:t xml:space="preserve"> </w:t>
      </w:r>
      <w:hyperlink r:id="rId1272">
        <w:r>
          <w:rPr>
            <w:rStyle w:val="Hyperlink"/>
          </w:rPr>
          <w:t xml:space="preserve">https://docs.github.com/fr/pull-requests/collaborating-with-pull-requests/addressing-merge-conflicts</w:t>
        </w:r>
      </w:hyperlink>
    </w:p>
    <w:p>
      <w:pPr>
        <w:pStyle w:val="Compact"/>
        <w:numPr>
          <w:ilvl w:val="0"/>
          <w:numId w:val="2193"/>
        </w:numPr>
      </w:pPr>
      <w:r>
        <w:t xml:space="preserve">OWASP — Cheat Sheet sur la gestion des secrets (pertinent pour la section 51.6) :</w:t>
      </w:r>
      <w:r>
        <w:t xml:space="preserve"> </w:t>
      </w:r>
      <w:hyperlink r:id="rId1273">
        <w:r>
          <w:rPr>
            <w:rStyle w:val="Hyperlink"/>
          </w:rPr>
          <w:t xml:space="preserve">https://cheatsheetseries.owasp.org/cheatsheets/Secrets_Management_Cheat_Sheet.html</w:t>
        </w:r>
      </w:hyperlink>
    </w:p>
    <w:p>
      <w:pPr>
        <w:pStyle w:val="FirstParagraph"/>
      </w:pPr>
      <w:r>
        <w:rPr>
          <w:i/>
          <w:iCs/>
        </w:rPr>
        <w:t xml:space="preserve">Chapitre suivant : Ansible — fondamentaux, pour automatiser la configuration de multiples serveurs à partir de définitions versionnées dans Git, exactement la suite logique de la discipline GitOps de ce chapitre.</w:t>
      </w:r>
    </w:p>
    <w:p>
      <w:pPr>
        <w:pStyle w:val="BodyText"/>
      </w:pPr>
      <w:r>
        <w:t xml:space="preserve">CHAPITRE 52</w:t>
      </w:r>
    </w:p>
    <w:bookmarkEnd w:id="1274"/>
    <w:bookmarkEnd w:id="1275"/>
    <w:bookmarkStart w:id="1298" w:name="ansible-fondamentaux"/>
    <w:p>
      <w:pPr>
        <w:pStyle w:val="Heading1"/>
      </w:pPr>
      <w:r>
        <w:t xml:space="preserve">Ansible : fondamentaux</w:t>
      </w:r>
    </w:p>
    <w:p>
      <w:pPr>
        <w:pStyle w:val="FirstParagraph"/>
      </w:pPr>
      <w:r>
        <w:t xml:space="preserve">🎯 Objectif du chapitre</w:t>
      </w:r>
      <w:r>
        <w:t xml:space="preserve"> </w:t>
      </w:r>
      <w:r>
        <w:t xml:space="preserve">Automatiser la configuration de plusieurs serveurs à partir de définitions versionnées dans Git (chapitre 51), plutôt que de répéter manuellement les mêmes commandes serveur par serveur comme dans toute la Partie 3. À la fin de ce chapitre, tu sauras écrire un inventaire Ansible, comprendre le principe d’idempotence, et rédiger un playbook appliquant une configuration cohérente à l’ensemble du parc de serveurs de l’entreprise.</w:t>
      </w:r>
    </w:p>
    <w:p>
      <w:pPr>
        <w:pStyle w:val="BodyText"/>
      </w:pPr>
      <w:r>
        <w:t xml:space="preserve">🎬 Mise en situation</w:t>
      </w:r>
      <w:r>
        <w:t xml:space="preserve"> </w:t>
      </w:r>
      <w:r>
        <w:t xml:space="preserve">Un audit de sécurité révèle que les serveurs Linux de l’entreprise, configurés manuellement au fil des chapitres 15 à 21 sur plusieurs mois, ont progressivement divergé les uns des autres : certains ont la configuration</w:t>
      </w:r>
      <w:r>
        <w:t xml:space="preserve"> </w:t>
      </w:r>
      <w:r>
        <w:rPr>
          <w:rStyle w:val="VerbatimChar"/>
        </w:rPr>
        <w:t xml:space="preserve">sudo</w:t>
      </w:r>
      <w:r>
        <w:t xml:space="preserve"> </w:t>
      </w:r>
      <w:r>
        <w:t xml:space="preserve">granulaire recommandée au chapitre 18, d’autres non ; certains ont été mis à jour récemment, d’autres pas depuis des semaines. Cette</w:t>
      </w:r>
      <w:r>
        <w:t xml:space="preserve"> </w:t>
      </w:r>
      <w:r>
        <w:rPr>
          <w:b/>
          <w:bCs/>
        </w:rPr>
        <w:t xml:space="preserve">dérive de configuration</w:t>
      </w:r>
      <w:r>
        <w:t xml:space="preserve"> </w:t>
      </w:r>
      <w:r>
        <w:t xml:space="preserve">(</w:t>
      </w:r>
      <w:r>
        <w:rPr>
          <w:i/>
          <w:iCs/>
        </w:rPr>
        <w:t xml:space="preserve">configuration drift</w:t>
      </w:r>
      <w:r>
        <w:t xml:space="preserve">) n’est le résultat d’aucune négligence particulière — chaque serveur a simplement été configuré à un moment différent, par une personne différente, sans référence commune. Corriger cette dérive manuellement, serveur par serveur, prendrait des jours et introduirait probablement de nouvelles incohérences. Ansible résout précisément ce problème.</w:t>
      </w:r>
    </w:p>
    <w:bookmarkStart w:id="1276" w:name="X8ced75dc079fbd5f31329a9f0a23a78b4ab1434"/>
    <w:p>
      <w:pPr>
        <w:pStyle w:val="Heading2"/>
      </w:pPr>
      <w:r>
        <w:t xml:space="preserve">52.1 La dérive de configuration : un problème qui s’aggrave avec le temps</w:t>
      </w:r>
    </w:p>
    <w:p>
      <w:pPr>
        <w:pStyle w:val="FirstParagraph"/>
      </w:pPr>
      <w:r>
        <w:t xml:space="preserve">📌 À retenir</w:t>
      </w:r>
      <w:r>
        <w:t xml:space="preserve"> </w:t>
      </w:r>
      <w:r>
        <w:t xml:space="preserve">Chaque configuration manuelle appliquée depuis le chapitre 15 (installation de paquets), le chapitre 16 (services systemd) ou le chapitre 18 (permissions sudo) était correcte</w:t>
      </w:r>
      <w:r>
        <w:t xml:space="preserve"> </w:t>
      </w:r>
      <w:r>
        <w:rPr>
          <w:b/>
          <w:bCs/>
        </w:rPr>
        <w:t xml:space="preserve">au moment où elle a été faite</w:t>
      </w:r>
      <w:r>
        <w:t xml:space="preserve"> </w:t>
      </w:r>
      <w:r>
        <w:t xml:space="preserve">— le problème n’est pas la qualité de chaque intervention individuelle, mais l’absence de mécanisme garantissant que tous les serveurs restent alignés dans le temps, à mesure que de nouveaux serveurs sont ajoutés et que les pratiques évoluent. Exactement le même problème de dérive déjà identifié pour la documentation (chapitre 3) et pour la configuration Kubernetes (chapitre 43), mais à l’échelle du système d’exploitation lui-même.</w:t>
      </w:r>
    </w:p>
    <w:bookmarkEnd w:id="1276"/>
    <w:bookmarkStart w:id="1277" w:name="X01df9cf58edadfbadc449199dea2df2593923a4"/>
    <w:p>
      <w:pPr>
        <w:pStyle w:val="Heading2"/>
      </w:pPr>
      <w:r>
        <w:t xml:space="preserve">52.2 Ansible : sans agent, basé sur SSH déjà maîtrisé</w:t>
      </w:r>
    </w:p>
    <w:p>
      <w:pPr>
        <w:pStyle w:val="FirstParagraph"/>
      </w:pPr>
      <w:r>
        <w:t xml:space="preserve">💡 Rien de nouveau à installer sur les serveurs cibles</w:t>
      </w:r>
      <w:r>
        <w:t xml:space="preserve"> </w:t>
      </w:r>
      <w:r>
        <w:t xml:space="preserve">Contrairement à d’autres outils d’automatisation nécessitant l’installation d’un agent dédié sur chaque serveur géré,</w:t>
      </w:r>
      <w:r>
        <w:t xml:space="preserve"> </w:t>
      </w:r>
      <w:r>
        <w:rPr>
          <w:b/>
          <w:bCs/>
        </w:rPr>
        <w:t xml:space="preserve">Ansible</w:t>
      </w:r>
      <w:r>
        <w:t xml:space="preserve"> </w:t>
      </w:r>
      <w:r>
        <w:t xml:space="preserve">est</w:t>
      </w:r>
      <w:r>
        <w:t xml:space="preserve"> </w:t>
      </w:r>
      <w:r>
        <w:rPr>
          <w:i/>
          <w:iCs/>
        </w:rPr>
        <w:t xml:space="preserve">agentless</w:t>
      </w:r>
      <w:r>
        <w:t xml:space="preserve"> </w:t>
      </w:r>
      <w:r>
        <w:t xml:space="preserve">: il se connecte simplement via</w:t>
      </w:r>
      <w:r>
        <w:t xml:space="preserve"> </w:t>
      </w:r>
      <w:r>
        <w:rPr>
          <w:b/>
          <w:bCs/>
        </w:rPr>
        <w:t xml:space="preserve">SSH</w:t>
      </w:r>
      <w:r>
        <w:t xml:space="preserve">, exactement le protocole déjà maîtrisé depuis le chapitre 4, avec l’authentification par clé déjà recommandée à cette occasion. Aucune installation supplémentaire n’est nécessaire sur les serveurs cibles — Ansible s’exécute depuis un poste de contrôle unique (souvent appelé</w:t>
      </w:r>
      <w:r>
        <w:t xml:space="preserve"> </w:t>
      </w:r>
      <w:r>
        <w:rPr>
          <w:i/>
          <w:iCs/>
        </w:rPr>
        <w:t xml:space="preserve">control node</w:t>
      </w:r>
      <w:r>
        <w:t xml:space="preserve">), qui doit disposer d’un accès SSH déjà configuré vers chaque serveur.</w:t>
      </w:r>
    </w:p>
    <w:bookmarkEnd w:id="1277"/>
    <w:bookmarkStart w:id="1278" w:name="X8cca13b1c642aec9061f30440a8ab12b9e2848b"/>
    <w:p>
      <w:pPr>
        <w:pStyle w:val="Heading2"/>
      </w:pPr>
      <w:r>
        <w:t xml:space="preserve">52.3 L’inventaire : déclarer les serveurs à gérer</w:t>
      </w:r>
    </w:p>
    <w:p>
      <w:pPr>
        <w:pStyle w:val="SourceCode"/>
      </w:pPr>
      <w:r>
        <w:rPr>
          <w:rStyle w:val="CommentTok"/>
        </w:rPr>
        <w:t xml:space="preserve"># inventaire.ini</w:t>
      </w:r>
      <w:r>
        <w:br/>
      </w:r>
      <w:r>
        <w:rPr>
          <w:rStyle w:val="KeywordTok"/>
        </w:rPr>
        <w:t xml:space="preserve">[serveurs_web]</w:t>
      </w:r>
      <w:r>
        <w:br/>
      </w:r>
      <w:r>
        <w:rPr>
          <w:rStyle w:val="DataTypeTok"/>
        </w:rPr>
        <w:t xml:space="preserve">portail-pap.assuranceht.local</w:t>
      </w:r>
      <w:r>
        <w:br/>
      </w:r>
      <w:r>
        <w:rPr>
          <w:rStyle w:val="DataTypeTok"/>
        </w:rPr>
        <w:t xml:space="preserve">portail-cap.assuranceht.local</w:t>
      </w:r>
      <w:r>
        <w:br/>
      </w:r>
      <w:r>
        <w:br/>
      </w:r>
      <w:r>
        <w:rPr>
          <w:rStyle w:val="KeywordTok"/>
        </w:rPr>
        <w:t xml:space="preserve">[serveurs_documentaire]</w:t>
      </w:r>
      <w:r>
        <w:br/>
      </w:r>
      <w:r>
        <w:rPr>
          <w:rStyle w:val="DataTypeTok"/>
        </w:rPr>
        <w:t xml:space="preserve">docmgmt.assuranceht.local</w:t>
      </w:r>
      <w:r>
        <w:br/>
      </w:r>
      <w:r>
        <w:br/>
      </w:r>
      <w:r>
        <w:rPr>
          <w:rStyle w:val="KeywordTok"/>
        </w:rPr>
        <w:t xml:space="preserve">[tous_les_serveurs:children]</w:t>
      </w:r>
      <w:r>
        <w:br/>
      </w:r>
      <w:r>
        <w:rPr>
          <w:rStyle w:val="DataTypeTok"/>
        </w:rPr>
        <w:t xml:space="preserve">serveurs_web</w:t>
      </w:r>
      <w:r>
        <w:br/>
      </w:r>
      <w:r>
        <w:rPr>
          <w:rStyle w:val="DataTypeTok"/>
        </w:rPr>
        <w:t xml:space="preserve">serveurs_documentaire</w:t>
      </w:r>
    </w:p>
    <w:p>
      <w:pPr>
        <w:pStyle w:val="FirstParagraph"/>
      </w:pPr>
      <w:r>
        <w:t xml:space="preserve">💡 Un groupe pour chaque périmètre logique</w:t>
      </w:r>
      <w:r>
        <w:t xml:space="preserve"> </w:t>
      </w:r>
      <w:r>
        <w:t xml:space="preserve">L’inventaire regroupe les serveurs par catégorie logique — exactement le même principe déjà établi pour les groupes Unix du chapitre 18 (</w:t>
      </w:r>
      <w:r>
        <w:rPr>
          <w:rStyle w:val="VerbatimChar"/>
        </w:rPr>
        <w:t xml:space="preserve">%dev_portail</w:t>
      </w:r>
      <w:r>
        <w:t xml:space="preserve"> </w:t>
      </w:r>
      <w:r>
        <w:t xml:space="preserve">plutôt que des règles individuelles) : appliquer une configuration à un groupe entier plutôt que de répéter la même commande serveur par serveur, avec le même bénéfice de maintenabilité à mesure que de nouveaux serveurs rejoignent un groupe existant.</w:t>
      </w:r>
    </w:p>
    <w:bookmarkEnd w:id="1278"/>
    <w:bookmarkStart w:id="1279" w:name="Xfea1f40ab637eb7212b4cd243060f86c601c09c"/>
    <w:p>
      <w:pPr>
        <w:pStyle w:val="Heading2"/>
      </w:pPr>
      <w:r>
        <w:t xml:space="preserve">52.4 Les playbooks : déclaratif, comme la Partie 7 déjà pratiquée</w:t>
      </w:r>
    </w:p>
    <w:p>
      <w:pPr>
        <w:pStyle w:val="SourceCode"/>
      </w:pPr>
      <w:r>
        <w:rPr>
          <w:rStyle w:val="CommentTok"/>
        </w:rPr>
        <w:t xml:space="preserve"># playbook-securite-base.yml</w:t>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Appliquer la configuration de securite de base</w:t>
      </w:r>
      <w:r>
        <w:br/>
      </w:r>
      <w:r>
        <w:rPr>
          <w:rStyle w:val="AttributeTok"/>
        </w:rPr>
        <w:t xml:space="preserve">  </w:t>
      </w:r>
      <w:r>
        <w:rPr>
          <w:rStyle w:val="FunctionTok"/>
        </w:rPr>
        <w:t xml:space="preserve">hosts</w:t>
      </w:r>
      <w:r>
        <w:rPr>
          <w:rStyle w:val="KeywordTok"/>
        </w:rPr>
        <w:t xml:space="preserve">:</w:t>
      </w:r>
      <w:r>
        <w:rPr>
          <w:rStyle w:val="AttributeTok"/>
        </w:rPr>
        <w:t xml:space="preserve"> tous_les_serveurs</w:t>
      </w:r>
      <w:r>
        <w:br/>
      </w:r>
      <w:r>
        <w:rPr>
          <w:rStyle w:val="AttributeTok"/>
        </w:rPr>
        <w:t xml:space="preserve">  </w:t>
      </w:r>
      <w:r>
        <w:rPr>
          <w:rStyle w:val="FunctionTok"/>
        </w:rPr>
        <w:t xml:space="preserve">become</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tasks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Mettre a jour la liste des paquets</w:t>
      </w:r>
      <w:r>
        <w:br/>
      </w:r>
      <w:r>
        <w:rPr>
          <w:rStyle w:val="AttributeTok"/>
        </w:rPr>
        <w:t xml:space="preserve">      </w:t>
      </w:r>
      <w:r>
        <w:rPr>
          <w:rStyle w:val="FunctionTok"/>
        </w:rPr>
        <w:t xml:space="preserve">apt</w:t>
      </w:r>
      <w:r>
        <w:rPr>
          <w:rStyle w:val="KeywordTok"/>
        </w:rPr>
        <w:t xml:space="preserve">:</w:t>
      </w:r>
      <w:r>
        <w:br/>
      </w:r>
      <w:r>
        <w:rPr>
          <w:rStyle w:val="AttributeTok"/>
        </w:rPr>
        <w:t xml:space="preserve">        </w:t>
      </w:r>
      <w:r>
        <w:rPr>
          <w:rStyle w:val="FunctionTok"/>
        </w:rPr>
        <w:t xml:space="preserve">update_cache</w:t>
      </w:r>
      <w:r>
        <w:rPr>
          <w:rStyle w:val="KeywordTok"/>
        </w:rPr>
        <w:t xml:space="preserve">:</w:t>
      </w:r>
      <w:r>
        <w:rPr>
          <w:rStyle w:val="AttributeTok"/>
        </w:rPr>
        <w:t xml:space="preserve"> </w:t>
      </w:r>
      <w:r>
        <w:rPr>
          <w:rStyle w:val="CharTok"/>
        </w:rPr>
        <w:t xml:space="preserve">true</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Installer fail2ban</w:t>
      </w:r>
      <w:r>
        <w:br/>
      </w:r>
      <w:r>
        <w:rPr>
          <w:rStyle w:val="AttributeTok"/>
        </w:rPr>
        <w:t xml:space="preserve">      </w:t>
      </w:r>
      <w:r>
        <w:rPr>
          <w:rStyle w:val="FunctionTok"/>
        </w:rPr>
        <w:t xml:space="preserve">apt</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fail2ban</w:t>
      </w:r>
      <w:r>
        <w:br/>
      </w:r>
      <w:r>
        <w:rPr>
          <w:rStyle w:val="AttributeTok"/>
        </w:rPr>
        <w:t xml:space="preserve">        </w:t>
      </w:r>
      <w:r>
        <w:rPr>
          <w:rStyle w:val="FunctionTok"/>
        </w:rPr>
        <w:t xml:space="preserve">state</w:t>
      </w:r>
      <w:r>
        <w:rPr>
          <w:rStyle w:val="KeywordTok"/>
        </w:rPr>
        <w:t xml:space="preserve">:</w:t>
      </w:r>
      <w:r>
        <w:rPr>
          <w:rStyle w:val="AttributeTok"/>
        </w:rPr>
        <w:t xml:space="preserve"> present</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S'assurer que fail2ban est actif et demarre au boot</w:t>
      </w:r>
      <w:r>
        <w:br/>
      </w:r>
      <w:r>
        <w:rPr>
          <w:rStyle w:val="AttributeTok"/>
        </w:rPr>
        <w:t xml:space="preserve">      </w:t>
      </w:r>
      <w:r>
        <w:rPr>
          <w:rStyle w:val="FunctionTok"/>
        </w:rPr>
        <w:t xml:space="preserve">systemd</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fail2ban</w:t>
      </w:r>
      <w:r>
        <w:br/>
      </w:r>
      <w:r>
        <w:rPr>
          <w:rStyle w:val="AttributeTok"/>
        </w:rPr>
        <w:t xml:space="preserve">        </w:t>
      </w:r>
      <w:r>
        <w:rPr>
          <w:rStyle w:val="FunctionTok"/>
        </w:rPr>
        <w:t xml:space="preserve">state</w:t>
      </w:r>
      <w:r>
        <w:rPr>
          <w:rStyle w:val="KeywordTok"/>
        </w:rPr>
        <w:t xml:space="preserve">:</w:t>
      </w:r>
      <w:r>
        <w:rPr>
          <w:rStyle w:val="AttributeTok"/>
        </w:rPr>
        <w:t xml:space="preserve"> started</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p>
    <w:p>
      <w:pPr>
        <w:pStyle w:val="FirstParagraph"/>
      </w:pPr>
      <w:r>
        <w:t xml:space="preserve">📌 À retenir — la même famille de syntaxe que Docker Compose et Kubernetes</w:t>
      </w:r>
      <w:r>
        <w:t xml:space="preserve"> </w:t>
      </w:r>
      <w:r>
        <w:t xml:space="preserve">Un</w:t>
      </w:r>
      <w:r>
        <w:t xml:space="preserve"> </w:t>
      </w:r>
      <w:r>
        <w:rPr>
          <w:b/>
          <w:bCs/>
        </w:rPr>
        <w:t xml:space="preserve">playbook</w:t>
      </w:r>
      <w:r>
        <w:t xml:space="preserve"> </w:t>
      </w:r>
      <w:r>
        <w:t xml:space="preserve">Ansible, écrit en YAML, décrit un état désiré — exactement la même approche déclarative déjà pratiquée pour les fichiers Compose (chapitre 41) et les manifestes Kubernetes (chapitre 43). Ce n’est pas une coïncidence : l’ensemble de l’écosystème moderne d’infrastructure converge vers cette même philosophie déclarative, que ce chapitre applique maintenant à la configuration du système d’exploitation lui-même.</w:t>
      </w:r>
    </w:p>
    <w:bookmarkEnd w:id="1279"/>
    <w:bookmarkStart w:id="1280" w:name="X46d19c6f534f0695fc056722ebb62d64b7d68d3"/>
    <w:p>
      <w:pPr>
        <w:pStyle w:val="Heading2"/>
      </w:pPr>
      <w:r>
        <w:t xml:space="preserve">52.5 L’idempotence : le concept le plus important de ce chapitre</w:t>
      </w:r>
    </w:p>
    <w:p>
      <w:pPr>
        <w:pStyle w:val="FirstParagraph"/>
      </w:pPr>
      <w:r>
        <w:t xml:space="preserve">🧠 À mémoriser — un playbook peut être exécuté indéfiniment sans effet indésirable</w:t>
      </w:r>
      <w:r>
        <w:t xml:space="preserve"> </w:t>
      </w:r>
      <w:r>
        <w:t xml:space="preserve">Un module Ansible est</w:t>
      </w:r>
      <w:r>
        <w:t xml:space="preserve"> </w:t>
      </w:r>
      <w:r>
        <w:rPr>
          <w:b/>
          <w:bCs/>
        </w:rPr>
        <w:t xml:space="preserve">idempotent</w:t>
      </w:r>
      <w:r>
        <w:t xml:space="preserve"> </w:t>
      </w:r>
      <w:r>
        <w:t xml:space="preserve">: l’exécuter plusieurs fois produit toujours le même état final, sans effet secondaire cumulatif. Le module</w:t>
      </w:r>
      <w:r>
        <w:t xml:space="preserve"> </w:t>
      </w:r>
      <w:r>
        <w:rPr>
          <w:rStyle w:val="VerbatimChar"/>
        </w:rPr>
        <w:t xml:space="preserve">apt</w:t>
      </w:r>
      <w:r>
        <w:t xml:space="preserve"> </w:t>
      </w:r>
      <w:r>
        <w:t xml:space="preserve">de l’exemple précédent n’installera fail2ban qu’une seule fois — une exécution répétée du même playbook sur un serveur déjà configuré ne produira aucun changement, se contentant de vérifier que l’état désiré est déjà atteint. C’est la même propriété déjà exploitée par Kubernetes (chapitre 42) : déclarer un état désiré, laisser l’outil déterminer les actions nécessaires pour l’atteindre, plutôt que de décrire une séquence impérative de commandes à exécuter aveuglément.</w:t>
      </w:r>
    </w:p>
    <w:p>
      <w:pPr>
        <w:pStyle w:val="BodyText"/>
      </w:pPr>
      <w:r>
        <w:t xml:space="preserve">⚠️ Un playbook non idempotent est un piège classique</w:t>
      </w:r>
      <w:r>
        <w:t xml:space="preserve"> </w:t>
      </w:r>
      <w:r>
        <w:t xml:space="preserve">Un playbook contenant une commande shell brute (comme</w:t>
      </w:r>
      <w:r>
        <w:t xml:space="preserve"> </w:t>
      </w:r>
      <w:r>
        <w:t xml:space="preserve">ansible.builtin.shell: rm -rf /tmp/cache/*</w:t>
      </w:r>
      <w:r>
        <w:t xml:space="preserve">) plutôt qu’un module Ansible dédié n’est</w:t>
      </w:r>
      <w:r>
        <w:t xml:space="preserve"> </w:t>
      </w:r>
      <w:r>
        <w:rPr>
          <w:b/>
          <w:bCs/>
        </w:rPr>
        <w:t xml:space="preserve">pas</w:t>
      </w:r>
      <w:r>
        <w:t xml:space="preserve"> </w:t>
      </w:r>
      <w:r>
        <w:t xml:space="preserve">garanti idempotent — l’exécuter plusieurs fois peut produire des résultats différents ou des erreurs sur des exécutions ultérieures. La bonne pratique consiste à toujours privilégier un module Ansible spécialisé (</w:t>
      </w:r>
      <w:r>
        <w:rPr>
          <w:rStyle w:val="VerbatimChar"/>
        </w:rPr>
        <w:t xml:space="preserve">apt</w:t>
      </w:r>
      <w:r>
        <w:t xml:space="preserve">,</w:t>
      </w:r>
      <w:r>
        <w:t xml:space="preserve"> </w:t>
      </w:r>
      <w:r>
        <w:rPr>
          <w:rStyle w:val="VerbatimChar"/>
        </w:rPr>
        <w:t xml:space="preserve">systemd</w:t>
      </w:r>
      <w:r>
        <w:t xml:space="preserve">,</w:t>
      </w:r>
      <w:r>
        <w:t xml:space="preserve"> </w:t>
      </w:r>
      <w:r>
        <w:rPr>
          <w:rStyle w:val="VerbatimChar"/>
        </w:rPr>
        <w:t xml:space="preserve">file</w:t>
      </w:r>
      <w:r>
        <w:t xml:space="preserve">,</w:t>
      </w:r>
      <w:r>
        <w:t xml:space="preserve"> </w:t>
      </w:r>
      <w:r>
        <w:rPr>
          <w:rStyle w:val="VerbatimChar"/>
        </w:rPr>
        <w:t xml:space="preserve">user</w:t>
      </w:r>
      <w:r>
        <w:t xml:space="preserve">…) plutôt qu’une commande shell brute, précisément parce que ces modules sont conçus et testés pour être idempotents.</w:t>
      </w:r>
    </w:p>
    <w:bookmarkEnd w:id="1280"/>
    <w:bookmarkStart w:id="1281" w:name="X489ac32590db154a21387fcc8ce2994ad72c86c"/>
    <w:p>
      <w:pPr>
        <w:pStyle w:val="Heading2"/>
      </w:pPr>
      <w:r>
        <w:t xml:space="preserve">52.6 Exécuter le playbook sur le parc de serveurs</w:t>
      </w:r>
    </w:p>
    <w:p>
      <w:pPr>
        <w:pStyle w:val="SourceCode"/>
      </w:pPr>
      <w:r>
        <w:rPr>
          <w:rStyle w:val="VerbatimChar"/>
        </w:rPr>
        <w:t xml:space="preserve"># Executer le playbook sur l'ensemble de l'inventaire</w:t>
      </w:r>
      <w:r>
        <w:br/>
      </w:r>
      <w:r>
        <w:rPr>
          <w:rStyle w:val="VerbatimChar"/>
        </w:rPr>
        <w:t xml:space="preserve">ansible-playbook -i inventaire.ini playbook-securite-base.yml</w:t>
      </w:r>
      <w:r>
        <w:br/>
      </w:r>
      <w:r>
        <w:br/>
      </w:r>
      <w:r>
        <w:rPr>
          <w:rStyle w:val="VerbatimChar"/>
        </w:rPr>
        <w:t xml:space="preserve"># Executer uniquement sur un groupe precis, pour un test cible</w:t>
      </w:r>
      <w:r>
        <w:br/>
      </w:r>
      <w:r>
        <w:rPr>
          <w:rStyle w:val="VerbatimChar"/>
        </w:rPr>
        <w:t xml:space="preserve">ansible-playbook -i inventaire.ini playbook-securite-base.yml --limit serveurs_web</w:t>
      </w:r>
      <w:r>
        <w:br/>
      </w:r>
      <w:r>
        <w:br/>
      </w:r>
      <w:r>
        <w:rPr>
          <w:rStyle w:val="VerbatimChar"/>
        </w:rPr>
        <w:t xml:space="preserve"># Mode "dry run" : afficher ce qui SERAIT change, sans rien appliquer</w:t>
      </w:r>
      <w:r>
        <w:br/>
      </w:r>
      <w:r>
        <w:rPr>
          <w:rStyle w:val="VerbatimChar"/>
        </w:rPr>
        <w:t xml:space="preserve"># reellement -- un reflexe de prudence avant une application en masse</w:t>
      </w:r>
      <w:r>
        <w:br/>
      </w:r>
      <w:r>
        <w:rPr>
          <w:rStyle w:val="VerbatimChar"/>
        </w:rPr>
        <w:t xml:space="preserve">ansible-playbook -i inventaire.ini playbook-securite-base.yml --check</w:t>
      </w:r>
    </w:p>
    <w:p>
      <w:pPr>
        <w:pStyle w:val="FirstParagraph"/>
      </w:pPr>
      <w:r>
        <w:t xml:space="preserve">✅ Bonne pratique — toujours tester avec</w:t>
      </w:r>
      <w:r>
        <w:t xml:space="preserve"> </w:t>
      </w:r>
      <w:r>
        <w:rPr>
          <w:rStyle w:val="VerbatimChar"/>
        </w:rPr>
        <w:t xml:space="preserve">--check</w:t>
      </w:r>
      <w:r>
        <w:t xml:space="preserve"> </w:t>
      </w:r>
      <w:r>
        <w:t xml:space="preserve">avant une application massive</w:t>
      </w:r>
      <w:r>
        <w:t xml:space="preserve"> </w:t>
      </w:r>
      <w:r>
        <w:t xml:space="preserve">Rappel direct du principe déjà établi pour tout changement à risque (chapitre 2) : appliquer un nouveau playbook d’un seul coup à l’ensemble du parc de serveurs, sans test préalable, expose à un risque similaire à celui déjà dénoncé pour un déploiement GPO massif sans groupe pilote (chapitre 7). Le mode</w:t>
      </w:r>
      <w:r>
        <w:t xml:space="preserve"> </w:t>
      </w:r>
      <w:r>
        <w:rPr>
          <w:rStyle w:val="VerbatimChar"/>
        </w:rPr>
        <w:t xml:space="preserve">--check</w:t>
      </w:r>
      <w:r>
        <w:t xml:space="preserve">, combiné à</w:t>
      </w:r>
      <w:r>
        <w:t xml:space="preserve"> </w:t>
      </w:r>
      <w:r>
        <w:rPr>
          <w:rStyle w:val="VerbatimChar"/>
        </w:rPr>
        <w:t xml:space="preserve">--limit</w:t>
      </w:r>
      <w:r>
        <w:t xml:space="preserve"> </w:t>
      </w:r>
      <w:r>
        <w:t xml:space="preserve">sur un sous-ensemble restreint de serveurs, permet de valider un playbook avant sa généralisation.</w:t>
      </w:r>
    </w:p>
    <w:bookmarkEnd w:id="1281"/>
    <w:bookmarkStart w:id="1282" w:name="X73090e4ea464647a3516a6fb6c70cb4c0fee869"/>
    <w:p>
      <w:pPr>
        <w:pStyle w:val="Heading2"/>
      </w:pPr>
      <w:r>
        <w:t xml:space="preserve">52.7 Commandes ad-hoc : pour une vérification ponctuelle, pas une configuration durable</w:t>
      </w:r>
    </w:p>
    <w:p>
      <w:pPr>
        <w:pStyle w:val="SourceCode"/>
      </w:pPr>
      <w:r>
        <w:rPr>
          <w:rStyle w:val="VerbatimChar"/>
        </w:rPr>
        <w:t xml:space="preserve"># Verifier rapidement l'espace disque sur tous les serveurs, sans</w:t>
      </w:r>
      <w:r>
        <w:br/>
      </w:r>
      <w:r>
        <w:rPr>
          <w:rStyle w:val="VerbatimChar"/>
        </w:rPr>
        <w:t xml:space="preserve"># ecrire de playbook complet pour une simple verification ponctuelle</w:t>
      </w:r>
      <w:r>
        <w:br/>
      </w:r>
      <w:r>
        <w:rPr>
          <w:rStyle w:val="VerbatimChar"/>
        </w:rPr>
        <w:t xml:space="preserve">ansible tous_les_serveurs -i inventaire.ini -a "df -h /"</w:t>
      </w:r>
    </w:p>
    <w:p>
      <w:pPr>
        <w:pStyle w:val="FirstParagraph"/>
      </w:pPr>
      <w:r>
        <w:t xml:space="preserve">💡 Ad-hoc pour l’instantané, playbook pour la durée</w:t>
      </w:r>
      <w:r>
        <w:t xml:space="preserve"> </w:t>
      </w:r>
      <w:r>
        <w:t xml:space="preserve">Une commande</w:t>
      </w:r>
      <w:r>
        <w:t xml:space="preserve"> </w:t>
      </w:r>
      <w:r>
        <w:rPr>
          <w:b/>
          <w:bCs/>
        </w:rPr>
        <w:t xml:space="preserve">ad-hoc</w:t>
      </w:r>
      <w:r>
        <w:t xml:space="preserve"> </w:t>
      </w:r>
      <w:r>
        <w:t xml:space="preserve">convient à une vérification ou une action ponctuelle et rapide sur l’ensemble du parc — un playbook reste l’outil approprié pour toute configuration destinée à durer et à être réappliquée, versionnée dans Git (chapitre 51) comme source de vérité durable.</w:t>
      </w:r>
    </w:p>
    <w:bookmarkEnd w:id="1282"/>
    <w:bookmarkStart w:id="1283" w:name="X2e17b5b07ea39e560219c2428c1bd647203253c"/>
    <w:p>
      <w:pPr>
        <w:pStyle w:val="Heading2"/>
      </w:pPr>
      <w:r>
        <w:t xml:space="preserve">Atelier — Corriger la dérive de configuration du scénario d’ouverture</w:t>
      </w:r>
    </w:p>
    <w:p>
      <w:pPr>
        <w:pStyle w:val="FirstParagraph"/>
      </w:pPr>
      <w:r>
        <w:t xml:space="preserve">🛠️ Atelier 52 — Standardiser la configuration sudo entre serveurs</w:t>
      </w:r>
    </w:p>
    <w:p>
      <w:pPr>
        <w:pStyle w:val="BodyText"/>
      </w:pPr>
      <w:r>
        <w:rPr>
          <w:b/>
          <w:bCs/>
        </w:rPr>
        <w:t xml:space="preserve">Objectif</w:t>
      </w:r>
      <w:r>
        <w:t xml:space="preserve"> </w:t>
      </w:r>
      <w:r>
        <w:t xml:space="preserve">: écrire un playbook qui applique de façon cohérente et idempotente la configuration sudo granulaire déjà recommandée au chapitre 18, sur l’ensemble du parc de serveurs Linux.</w:t>
      </w:r>
    </w:p>
    <w:p>
      <w:pPr>
        <w:pStyle w:val="BodyText"/>
      </w:pPr>
      <w:r>
        <w:rPr>
          <w:b/>
          <w:bCs/>
        </w:rPr>
        <w:t xml:space="preserve">Préparation</w:t>
      </w:r>
      <w:r>
        <w:t xml:space="preserve"> </w:t>
      </w:r>
      <w:r>
        <w:t xml:space="preserve">: accès à un environnement Ansible de test avec plusieurs hôtes, ou une lecture attentive suffit pour cet atelier conceptuel.</w:t>
      </w:r>
    </w:p>
    <w:p>
      <w:pPr>
        <w:pStyle w:val="BodyText"/>
      </w:pPr>
      <w:r>
        <w:rPr>
          <w:b/>
          <w:bCs/>
        </w:rPr>
        <w:t xml:space="preserve">Étapes détaillées</w:t>
      </w:r>
      <w:r>
        <w:t xml:space="preserve"> </w:t>
      </w:r>
      <w:r>
        <w:t xml:space="preserve">:</w:t>
      </w:r>
    </w:p>
    <w:p>
      <w:pPr>
        <w:pStyle w:val="Compact"/>
        <w:numPr>
          <w:ilvl w:val="0"/>
          <w:numId w:val="2194"/>
        </w:numPr>
      </w:pPr>
      <w:r>
        <w:t xml:space="preserve">Rédige un playbook qui s’assure qu’un groupe</w:t>
      </w:r>
      <w:r>
        <w:t xml:space="preserve"> </w:t>
      </w:r>
      <w:r>
        <w:rPr>
          <w:rStyle w:val="VerbatimChar"/>
        </w:rPr>
        <w:t xml:space="preserve">dev_portail</w:t>
      </w:r>
      <w:r>
        <w:t xml:space="preserve"> </w:t>
      </w:r>
      <w:r>
        <w:t xml:space="preserve">existe sur chaque serveur du groupe</w:t>
      </w:r>
      <w:r>
        <w:t xml:space="preserve"> </w:t>
      </w:r>
      <w:r>
        <w:rPr>
          <w:rStyle w:val="VerbatimChar"/>
        </w:rPr>
        <w:t xml:space="preserve">serveurs_web</w:t>
      </w:r>
      <w:r>
        <w:t xml:space="preserve">, en t’appuyant sur le module</w:t>
      </w:r>
      <w:r>
        <w:t xml:space="preserve"> </w:t>
      </w:r>
      <w:r>
        <w:rPr>
          <w:rStyle w:val="VerbatimChar"/>
        </w:rPr>
        <w:t xml:space="preserve">group</w:t>
      </w:r>
      <w:r>
        <w:t xml:space="preserve"> </w:t>
      </w:r>
      <w:r>
        <w:t xml:space="preserve">d’Ansible.</w:t>
      </w:r>
    </w:p>
    <w:p>
      <w:pPr>
        <w:pStyle w:val="Compact"/>
        <w:numPr>
          <w:ilvl w:val="0"/>
          <w:numId w:val="2194"/>
        </w:numPr>
      </w:pPr>
      <w:r>
        <w:t xml:space="preserve">Ajoute une tâche qui dépose un fichier de règle sudo granulaire (rappel du chapitre 18) via le module</w:t>
      </w:r>
      <w:r>
        <w:t xml:space="preserve"> </w:t>
      </w:r>
      <w:r>
        <w:rPr>
          <w:rStyle w:val="VerbatimChar"/>
        </w:rPr>
        <w:t xml:space="preserve">copy</w:t>
      </w:r>
      <w:r>
        <w:t xml:space="preserve"> </w:t>
      </w:r>
      <w:r>
        <w:t xml:space="preserve">ou</w:t>
      </w:r>
      <w:r>
        <w:t xml:space="preserve"> </w:t>
      </w:r>
      <w:r>
        <w:rPr>
          <w:rStyle w:val="VerbatimChar"/>
        </w:rPr>
        <w:t xml:space="preserve">template</w:t>
      </w:r>
      <w:r>
        <w:t xml:space="preserve">.</w:t>
      </w:r>
    </w:p>
    <w:p>
      <w:pPr>
        <w:pStyle w:val="Compact"/>
        <w:numPr>
          <w:ilvl w:val="0"/>
          <w:numId w:val="2194"/>
        </w:numPr>
      </w:pPr>
      <w:r>
        <w:t xml:space="preserve">Teste ce playbook en mode</w:t>
      </w:r>
      <w:r>
        <w:t xml:space="preserve"> </w:t>
      </w:r>
      <w:r>
        <w:rPr>
          <w:rStyle w:val="VerbatimChar"/>
        </w:rPr>
        <w:t xml:space="preserve">--check</w:t>
      </w:r>
      <w:r>
        <w:t xml:space="preserve"> </w:t>
      </w:r>
      <w:r>
        <w:t xml:space="preserve">avant toute application réelle.</w:t>
      </w:r>
    </w:p>
    <w:p>
      <w:pPr>
        <w:pStyle w:val="Compact"/>
        <w:numPr>
          <w:ilvl w:val="0"/>
          <w:numId w:val="2194"/>
        </w:numPr>
      </w:pPr>
      <w:r>
        <w:t xml:space="preserve">Compare ta démarche à la section</w:t>
      </w:r>
      <w:r>
        <w:t xml:space="preserve"> </w:t>
      </w:r>
      <w:r>
        <w:t xml:space="preserve">“Résultat attendu”</w:t>
      </w:r>
      <w:r>
        <w:t xml:space="preserve">.</w:t>
      </w:r>
    </w:p>
    <w:p>
      <w:pPr>
        <w:pStyle w:val="FirstParagraph"/>
      </w:pPr>
      <w:r>
        <w:rPr>
          <w:b/>
          <w:bCs/>
        </w:rPr>
        <w:t xml:space="preserve">Résultat attendu</w:t>
      </w:r>
      <w:r>
        <w:t xml:space="preserve"> </w:t>
      </w:r>
      <w:r>
        <w:t xml:space="preserve">:</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Standardiser la configuration sudo</w:t>
      </w:r>
      <w:r>
        <w:br/>
      </w:r>
      <w:r>
        <w:rPr>
          <w:rStyle w:val="AttributeTok"/>
        </w:rPr>
        <w:t xml:space="preserve">  </w:t>
      </w:r>
      <w:r>
        <w:rPr>
          <w:rStyle w:val="FunctionTok"/>
        </w:rPr>
        <w:t xml:space="preserve">hosts</w:t>
      </w:r>
      <w:r>
        <w:rPr>
          <w:rStyle w:val="KeywordTok"/>
        </w:rPr>
        <w:t xml:space="preserve">:</w:t>
      </w:r>
      <w:r>
        <w:rPr>
          <w:rStyle w:val="AttributeTok"/>
        </w:rPr>
        <w:t xml:space="preserve"> serveurs_web</w:t>
      </w:r>
      <w:r>
        <w:br/>
      </w:r>
      <w:r>
        <w:rPr>
          <w:rStyle w:val="AttributeTok"/>
        </w:rPr>
        <w:t xml:space="preserve">  </w:t>
      </w:r>
      <w:r>
        <w:rPr>
          <w:rStyle w:val="FunctionTok"/>
        </w:rPr>
        <w:t xml:space="preserve">become</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tasks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S'assurer que le groupe dev_portail existe</w:t>
      </w:r>
      <w:r>
        <w:br/>
      </w:r>
      <w:r>
        <w:rPr>
          <w:rStyle w:val="AttributeTok"/>
        </w:rPr>
        <w:t xml:space="preserve">      </w:t>
      </w:r>
      <w:r>
        <w:rPr>
          <w:rStyle w:val="FunctionTok"/>
        </w:rPr>
        <w:t xml:space="preserve">group</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dev_portail</w:t>
      </w:r>
      <w:r>
        <w:br/>
      </w:r>
      <w:r>
        <w:rPr>
          <w:rStyle w:val="AttributeTok"/>
        </w:rPr>
        <w:t xml:space="preserve">        </w:t>
      </w:r>
      <w:r>
        <w:rPr>
          <w:rStyle w:val="FunctionTok"/>
        </w:rPr>
        <w:t xml:space="preserve">state</w:t>
      </w:r>
      <w:r>
        <w:rPr>
          <w:rStyle w:val="KeywordTok"/>
        </w:rPr>
        <w:t xml:space="preserve">:</w:t>
      </w:r>
      <w:r>
        <w:rPr>
          <w:rStyle w:val="AttributeTok"/>
        </w:rPr>
        <w:t xml:space="preserve"> present</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Deployer la regle sudo granulaire</w:t>
      </w:r>
      <w:r>
        <w:br/>
      </w:r>
      <w:r>
        <w:rPr>
          <w:rStyle w:val="AttributeTok"/>
        </w:rPr>
        <w:t xml:space="preserve">      </w:t>
      </w:r>
      <w:r>
        <w:rPr>
          <w:rStyle w:val="FunctionTok"/>
        </w:rPr>
        <w:t xml:space="preserve">copy</w:t>
      </w:r>
      <w:r>
        <w:rPr>
          <w:rStyle w:val="KeywordTok"/>
        </w:rPr>
        <w:t xml:space="preserve">:</w:t>
      </w:r>
      <w:r>
        <w:br/>
      </w:r>
      <w:r>
        <w:rPr>
          <w:rStyle w:val="AttributeTok"/>
        </w:rPr>
        <w:t xml:space="preserve">        </w:t>
      </w:r>
      <w:r>
        <w:rPr>
          <w:rStyle w:val="FunctionTok"/>
        </w:rPr>
        <w:t xml:space="preserve">src</w:t>
      </w:r>
      <w:r>
        <w:rPr>
          <w:rStyle w:val="KeywordTok"/>
        </w:rPr>
        <w:t xml:space="preserve">:</w:t>
      </w:r>
      <w:r>
        <w:rPr>
          <w:rStyle w:val="AttributeTok"/>
        </w:rPr>
        <w:t xml:space="preserve"> files/dev_portail_sudoers</w:t>
      </w:r>
      <w:r>
        <w:br/>
      </w:r>
      <w:r>
        <w:rPr>
          <w:rStyle w:val="AttributeTok"/>
        </w:rPr>
        <w:t xml:space="preserve">        </w:t>
      </w:r>
      <w:r>
        <w:rPr>
          <w:rStyle w:val="FunctionTok"/>
        </w:rPr>
        <w:t xml:space="preserve">dest</w:t>
      </w:r>
      <w:r>
        <w:rPr>
          <w:rStyle w:val="KeywordTok"/>
        </w:rPr>
        <w:t xml:space="preserve">:</w:t>
      </w:r>
      <w:r>
        <w:rPr>
          <w:rStyle w:val="AttributeTok"/>
        </w:rPr>
        <w:t xml:space="preserve"> /etc/sudoers.d/dev_portail</w:t>
      </w:r>
      <w:r>
        <w:br/>
      </w:r>
      <w:r>
        <w:rPr>
          <w:rStyle w:val="AttributeTok"/>
        </w:rPr>
        <w:t xml:space="preserve">        </w:t>
      </w:r>
      <w:r>
        <w:rPr>
          <w:rStyle w:val="FunctionTok"/>
        </w:rPr>
        <w:t xml:space="preserve">mode</w:t>
      </w:r>
      <w:r>
        <w:rPr>
          <w:rStyle w:val="KeywordTok"/>
        </w:rPr>
        <w:t xml:space="preserve">:</w:t>
      </w:r>
      <w:r>
        <w:rPr>
          <w:rStyle w:val="AttributeTok"/>
        </w:rPr>
        <w:t xml:space="preserve"> </w:t>
      </w:r>
      <w:r>
        <w:rPr>
          <w:rStyle w:val="StringTok"/>
        </w:rPr>
        <w:t xml:space="preserve">"0440"</w:t>
      </w:r>
      <w:r>
        <w:br/>
      </w:r>
      <w:r>
        <w:rPr>
          <w:rStyle w:val="AttributeTok"/>
        </w:rPr>
        <w:t xml:space="preserve">        </w:t>
      </w:r>
      <w:r>
        <w:rPr>
          <w:rStyle w:val="FunctionTok"/>
        </w:rPr>
        <w:t xml:space="preserve">validate</w:t>
      </w:r>
      <w:r>
        <w:rPr>
          <w:rStyle w:val="KeywordTok"/>
        </w:rPr>
        <w:t xml:space="preserve">:</w:t>
      </w:r>
      <w:r>
        <w:rPr>
          <w:rStyle w:val="AttributeTok"/>
        </w:rPr>
        <w:t xml:space="preserve"> </w:t>
      </w:r>
      <w:r>
        <w:rPr>
          <w:rStyle w:val="StringTok"/>
        </w:rPr>
        <w:t xml:space="preserve">"visudo -cf %s"</w:t>
      </w:r>
    </w:p>
    <w:p>
      <w:pPr>
        <w:pStyle w:val="FirstParagraph"/>
      </w:pPr>
      <w:r>
        <w:t xml:space="preserve">Le paramètre</w:t>
      </w:r>
      <w:r>
        <w:t xml:space="preserve"> </w:t>
      </w:r>
      <w:r>
        <w:rPr>
          <w:rStyle w:val="VerbatimChar"/>
        </w:rPr>
        <w:t xml:space="preserve">validate</w:t>
      </w:r>
      <w:r>
        <w:t xml:space="preserve"> </w:t>
      </w:r>
      <w:r>
        <w:t xml:space="preserve">reprend directement la prudence déjà établie au chapitre 18 : vérifier la syntaxe avant application, exactement le rôle que jouait</w:t>
      </w:r>
      <w:r>
        <w:t xml:space="preserve"> </w:t>
      </w:r>
      <w:r>
        <w:rPr>
          <w:rStyle w:val="VerbatimChar"/>
        </w:rPr>
        <w:t xml:space="preserve">visudo</w:t>
      </w:r>
      <w:r>
        <w:t xml:space="preserve"> </w:t>
      </w:r>
      <w:r>
        <w:t xml:space="preserve">manuellement, désormais automatisé et appliqué de façon identique et vérifiée sur chaque serveur.</w:t>
      </w:r>
    </w:p>
    <w:p>
      <w:pPr>
        <w:pStyle w:val="BodyText"/>
      </w:pPr>
      <w:r>
        <w:rPr>
          <w:b/>
          <w:bCs/>
        </w:rPr>
        <w:t xml:space="preserve">Dépannage</w:t>
      </w:r>
      <w:r>
        <w:t xml:space="preserve"> </w:t>
      </w:r>
      <w:r>
        <w:t xml:space="preserve">: si le playbook échoue sur un seul serveur précis parmi plusieurs, Ansible signale clairement lequel — vérifie en priorité la connectivité SSH et les permissions sudo du compte utilisé par Ansible sur ce serveur spécifique, la cause la plus fréquente d’un échec isolé.</w:t>
      </w:r>
    </w:p>
    <w:bookmarkEnd w:id="1283"/>
    <w:bookmarkStart w:id="1284" w:name="erreurs-fréquentes-51"/>
    <w:p>
      <w:pPr>
        <w:pStyle w:val="Heading2"/>
      </w:pPr>
      <w:r>
        <w:t xml:space="preserve">Erreurs fréquentes</w:t>
      </w:r>
    </w:p>
    <w:p>
      <w:pPr>
        <w:pStyle w:val="FirstParagraph"/>
      </w:pPr>
      <w:r>
        <w:t xml:space="preserve">⚠️ Erreur n°1 — écrire des playbooks non idempotents avec des commandes shell brutes</w:t>
      </w:r>
      <w:r>
        <w:t xml:space="preserve"> </w:t>
      </w:r>
      <w:r>
        <w:t xml:space="preserve">Rappel de la section 52.5 : privilégier systématiquement les modules Ansible dédiés plutôt qu’une commande shell arbitraire, pour garantir un comportement prévisible à chaque exécution répétée.</w:t>
      </w:r>
    </w:p>
    <w:p>
      <w:pPr>
        <w:pStyle w:val="BodyText"/>
      </w:pPr>
      <w:r>
        <w:t xml:space="preserve">⚠️ Erreur n°2 — appliquer un nouveau playbook à tout le parc sans test préalable</w:t>
      </w:r>
      <w:r>
        <w:t xml:space="preserve"> </w:t>
      </w:r>
      <w:r>
        <w:t xml:space="preserve">Rappel de la section 52.6 : le même risque déjà dénoncé pour un déploiement massif sans groupe pilote au chapitre 7 —</w:t>
      </w:r>
      <w:r>
        <w:t xml:space="preserve"> </w:t>
      </w:r>
      <w:r>
        <w:rPr>
          <w:rStyle w:val="VerbatimChar"/>
        </w:rPr>
        <w:t xml:space="preserve">--check</w:t>
      </w:r>
      <w:r>
        <w:t xml:space="preserve"> </w:t>
      </w:r>
      <w:r>
        <w:t xml:space="preserve">et</w:t>
      </w:r>
      <w:r>
        <w:t xml:space="preserve"> </w:t>
      </w:r>
      <w:r>
        <w:rPr>
          <w:rStyle w:val="VerbatimChar"/>
        </w:rPr>
        <w:t xml:space="preserve">--limit</w:t>
      </w:r>
      <w:r>
        <w:t xml:space="preserve"> </w:t>
      </w:r>
      <w:r>
        <w:t xml:space="preserve">existent précisément pour éviter cette précipitation.</w:t>
      </w:r>
    </w:p>
    <w:p>
      <w:pPr>
        <w:pStyle w:val="BodyText"/>
      </w:pPr>
      <w:r>
        <w:t xml:space="preserve">⚠️ Erreur n°3 — coder un secret en clair dans un playbook</w:t>
      </w:r>
      <w:r>
        <w:t xml:space="preserve"> </w:t>
      </w:r>
      <w:r>
        <w:t xml:space="preserve">Rappel direct des chapitres 20, 40 et 51 : un mot de passe ou une clé visible en clair dans un playbook committé dans Git expose ce secret à quiconque a accès au dépôt — une solution dédiée (Ansible Vault) existe précisément pour ce besoin, approfondie au chapitre 53.</w:t>
      </w:r>
    </w:p>
    <w:bookmarkEnd w:id="1284"/>
    <w:bookmarkStart w:id="1285" w:name="Xf53bd18858d78bb1ffe923755f0546405223cc5"/>
    <w:p>
      <w:pPr>
        <w:pStyle w:val="Heading2"/>
      </w:pPr>
      <w:r>
        <w:t xml:space="preserve">Diagnostiquer un playbook qui échoue sur un hôte précis</w:t>
      </w:r>
    </w:p>
    <w:p>
      <w:pPr>
        <w:pStyle w:val="FirstParagraph"/>
      </w:pPr>
      <w:r>
        <w:t xml:space="preserve">🩺 Symptôme : un playbook réussit sur la plupart des serveurs, mais échoue sur un ou deux hôtes précis</w:t>
      </w:r>
    </w:p>
    <w:p>
      <w:pPr>
        <w:pStyle w:val="Compact"/>
        <w:numPr>
          <w:ilvl w:val="0"/>
          <w:numId w:val="2195"/>
        </w:numPr>
      </w:pPr>
      <w:r>
        <w:rPr>
          <w:b/>
          <w:bCs/>
        </w:rPr>
        <w:t xml:space="preserve">Diagnostic</w:t>
      </w:r>
      <w:r>
        <w:t xml:space="preserve"> </w:t>
      </w:r>
      <w:r>
        <w:t xml:space="preserve">: Ansible signale explicitement quel hôte a échoué et à quelle tâche précise — jamais besoin de deviner, contrairement à un script manuel exécuté séparément sur chaque serveur.</w:t>
      </w:r>
    </w:p>
    <w:p>
      <w:pPr>
        <w:pStyle w:val="Compact"/>
        <w:numPr>
          <w:ilvl w:val="0"/>
          <w:numId w:val="2195"/>
        </w:numPr>
      </w:pPr>
      <w:r>
        <w:rPr>
          <w:b/>
          <w:bCs/>
        </w:rPr>
        <w:t xml:space="preserve">Comment vérifier</w:t>
      </w:r>
      <w:r>
        <w:t xml:space="preserve"> </w:t>
      </w:r>
      <w:r>
        <w:t xml:space="preserve">: exécuter le playbook avec l’option</w:t>
      </w:r>
      <w:r>
        <w:t xml:space="preserve"> </w:t>
      </w:r>
      <w:r>
        <w:rPr>
          <w:rStyle w:val="VerbatimChar"/>
        </w:rPr>
        <w:t xml:space="preserve">-vvv</w:t>
      </w:r>
      <w:r>
        <w:t xml:space="preserve"> </w:t>
      </w:r>
      <w:r>
        <w:t xml:space="preserve">(verbosité maximale) limité à cet hôte précis (</w:t>
      </w:r>
      <w:r>
        <w:rPr>
          <w:rStyle w:val="VerbatimChar"/>
        </w:rPr>
        <w:t xml:space="preserve">--limit</w:t>
      </w:r>
      <w:r>
        <w:t xml:space="preserve">), révélant le détail exact de l’erreur rencontrée.</w:t>
      </w:r>
    </w:p>
    <w:p>
      <w:pPr>
        <w:pStyle w:val="Compact"/>
        <w:numPr>
          <w:ilvl w:val="0"/>
          <w:numId w:val="2195"/>
        </w:numPr>
      </w:pPr>
      <w:r>
        <w:rPr>
          <w:b/>
          <w:bCs/>
        </w:rPr>
        <w:t xml:space="preserve">Résolution</w:t>
      </w:r>
      <w:r>
        <w:t xml:space="preserve"> </w:t>
      </w:r>
      <w:r>
        <w:t xml:space="preserve">: les causes les plus fréquentes sont une divergence de configuration déjà existante sur ce serveur (exactement le type de dérive évoqué dans le scénario d’ouverture), un accès SSH ou sudo insuffisant, ou une version de paquet différente empêchant le module de fonctionner comme attendu ailleurs.</w:t>
      </w:r>
    </w:p>
    <w:bookmarkEnd w:id="1285"/>
    <w:bookmarkStart w:id="1286" w:name="en-entreprise-51"/>
    <w:p>
      <w:pPr>
        <w:pStyle w:val="Heading2"/>
      </w:pPr>
      <w:r>
        <w:t xml:space="preserve">En entreprise</w:t>
      </w:r>
    </w:p>
    <w:p>
      <w:pPr>
        <w:pStyle w:val="Compact"/>
        <w:numPr>
          <w:ilvl w:val="0"/>
          <w:numId w:val="2196"/>
        </w:numPr>
      </w:pPr>
      <w:r>
        <w:rPr>
          <w:b/>
          <w:bCs/>
        </w:rPr>
        <w:t xml:space="preserve">Bonne pratique répandue</w:t>
      </w:r>
      <w:r>
        <w:t xml:space="preserve"> </w:t>
      </w:r>
      <w:r>
        <w:t xml:space="preserve">: versionner l’ensemble des playbooks et inventaires dans Git (chapitre 51), avec une revue avant toute modification touchant la configuration de production.</w:t>
      </w:r>
    </w:p>
    <w:p>
      <w:pPr>
        <w:pStyle w:val="Compact"/>
        <w:numPr>
          <w:ilvl w:val="0"/>
          <w:numId w:val="2196"/>
        </w:numPr>
      </w:pPr>
      <w:r>
        <w:rPr>
          <w:b/>
          <w:bCs/>
        </w:rPr>
        <w:t xml:space="preserve">Bonne pratique répandue</w:t>
      </w:r>
      <w:r>
        <w:t xml:space="preserve"> </w:t>
      </w:r>
      <w:r>
        <w:t xml:space="preserve">: exécuter régulièrement les playbooks existants en mode</w:t>
      </w:r>
      <w:r>
        <w:t xml:space="preserve"> </w:t>
      </w:r>
      <w:r>
        <w:rPr>
          <w:rStyle w:val="VerbatimChar"/>
        </w:rPr>
        <w:t xml:space="preserve">--check</w:t>
      </w:r>
      <w:r>
        <w:t xml:space="preserve"> </w:t>
      </w:r>
      <w:r>
        <w:t xml:space="preserve">sur l’ensemble du parc, même sans changement prévu, pour détecter proactivement toute dérive de configuration avant qu’elle ne s’aggrave — exactement la supervision proactive déjà établie au chapitre 1, appliquée ici à la cohérence de configuration.</w:t>
      </w:r>
    </w:p>
    <w:p>
      <w:pPr>
        <w:pStyle w:val="Compact"/>
        <w:numPr>
          <w:ilvl w:val="0"/>
          <w:numId w:val="2196"/>
        </w:numPr>
      </w:pPr>
      <w:r>
        <w:rPr>
          <w:b/>
          <w:bCs/>
        </w:rPr>
        <w:t xml:space="preserve">Erreur classique observée</w:t>
      </w:r>
      <w:r>
        <w:t xml:space="preserve"> </w:t>
      </w:r>
      <w:r>
        <w:t xml:space="preserve">: une organisation qui découvre, après un incident de sécurité, que seule une partie de son parc de serveurs avait effectivement reçu un correctif critique, faute d’un mécanisme garantissant une application cohérente à l’ensemble de l’infrastructure.</w:t>
      </w:r>
    </w:p>
    <w:bookmarkEnd w:id="1286"/>
    <w:bookmarkStart w:id="1287" w:name="entretien-technique-51"/>
    <w:p>
      <w:pPr>
        <w:pStyle w:val="Heading2"/>
      </w:pPr>
      <w:r>
        <w:t xml:space="preserve">Entretien technique</w:t>
      </w:r>
    </w:p>
    <w:p>
      <w:pPr>
        <w:pStyle w:val="FirstParagraph"/>
      </w:pPr>
      <w:r>
        <w:t xml:space="preserve">💼 Questions fréquemment posées en entretien</w:t>
      </w:r>
    </w:p>
    <w:p>
      <w:pPr>
        <w:pStyle w:val="BodyText"/>
      </w:pPr>
      <w:r>
        <w:rPr>
          <w:b/>
          <w:bCs/>
        </w:rPr>
        <w:t xml:space="preserve">Q1.</w:t>
      </w:r>
      <w:r>
        <w:rPr>
          <w:b/>
          <w:bCs/>
        </w:rPr>
        <w:t xml:space="preserve"> </w:t>
      </w:r>
      <w:r>
        <w:rPr>
          <w:b/>
          <w:bCs/>
        </w:rPr>
        <w:t xml:space="preserve">“Qu’est-ce que l’idempotence, et pourquoi est-ce si important en automatisation d’infrastructure ?”</w:t>
      </w:r>
      <w:r>
        <w:t xml:space="preserve"> </w:t>
      </w:r>
      <w:r>
        <w:t xml:space="preserve">Réponse attendue : une opération idempotente produit toujours le même état final, quel que soit le nombre de fois où elle est exécutée — cette propriété permet de réappliquer un playbook en toute confiance sans se soucier de son état antérieur, contrairement à une séquence de commandes impératives qui pourrait produire des résultats différents ou des erreurs selon l’état de départ.</w:t>
      </w:r>
    </w:p>
    <w:p>
      <w:pPr>
        <w:pStyle w:val="BodyText"/>
      </w:pPr>
      <w:r>
        <w:rPr>
          <w:b/>
          <w:bCs/>
        </w:rPr>
        <w:t xml:space="preserve">Q2.</w:t>
      </w:r>
      <w:r>
        <w:rPr>
          <w:b/>
          <w:bCs/>
        </w:rPr>
        <w:t xml:space="preserve"> </w:t>
      </w:r>
      <w:r>
        <w:rPr>
          <w:b/>
          <w:bCs/>
        </w:rPr>
        <w:t xml:space="preserve">“Pourquoi Ansible est-il qualifié d’outil</w:t>
      </w:r>
      <w:r>
        <w:rPr>
          <w:b/>
          <w:bCs/>
        </w:rPr>
        <w:t xml:space="preserve"> </w:t>
      </w:r>
      <w:r>
        <w:rPr>
          <w:b/>
          <w:bCs/>
        </w:rPr>
        <w:t xml:space="preserve">‘agentless’</w:t>
      </w:r>
      <w:r>
        <w:rPr>
          <w:b/>
          <w:bCs/>
        </w:rPr>
        <w:t xml:space="preserve"> </w:t>
      </w:r>
      <w:r>
        <w:rPr>
          <w:b/>
          <w:bCs/>
        </w:rPr>
        <w:t xml:space="preserve">?”</w:t>
      </w:r>
      <w:r>
        <w:t xml:space="preserve"> </w:t>
      </w:r>
      <w:r>
        <w:t xml:space="preserve">Réponse attendue : contrairement à d’autres outils d’automatisation, Ansible ne nécessite aucune installation préalable sur les serveurs gérés — il se connecte simplement via SSH depuis un poste de contrôle central, réutilisant l’infrastructure d’accès distant déjà en place.</w:t>
      </w:r>
    </w:p>
    <w:p>
      <w:pPr>
        <w:pStyle w:val="BodyText"/>
      </w:pPr>
      <w:r>
        <w:rPr>
          <w:b/>
          <w:bCs/>
        </w:rPr>
        <w:t xml:space="preserve">Q3.</w:t>
      </w:r>
      <w:r>
        <w:rPr>
          <w:b/>
          <w:bCs/>
        </w:rPr>
        <w:t xml:space="preserve"> </w:t>
      </w:r>
      <w:r>
        <w:rPr>
          <w:b/>
          <w:bCs/>
        </w:rPr>
        <w:t xml:space="preserve">“Comment testerais-tu un nouveau playbook avant de l’appliquer à l’ensemble d’un parc de serveurs en production ?”</w:t>
      </w:r>
      <w:r>
        <w:t xml:space="preserve"> </w:t>
      </w:r>
      <w:r>
        <w:t xml:space="preserve">Réponse attendue : en utilisant le mode</w:t>
      </w:r>
      <w:r>
        <w:t xml:space="preserve"> </w:t>
      </w:r>
      <w:r>
        <w:rPr>
          <w:rStyle w:val="VerbatimChar"/>
        </w:rPr>
        <w:t xml:space="preserve">--check</w:t>
      </w:r>
      <w:r>
        <w:t xml:space="preserve"> </w:t>
      </w:r>
      <w:r>
        <w:t xml:space="preserve">(simulation sans application réelle) combiné à</w:t>
      </w:r>
      <w:r>
        <w:t xml:space="preserve"> </w:t>
      </w:r>
      <w:r>
        <w:rPr>
          <w:rStyle w:val="VerbatimChar"/>
        </w:rPr>
        <w:t xml:space="preserve">--limit</w:t>
      </w:r>
      <w:r>
        <w:t xml:space="preserve"> </w:t>
      </w:r>
      <w:r>
        <w:t xml:space="preserve">sur un sous-ensemble restreint de serveurs, exactement le même principe de groupe pilote déjà établi pour les GPO au chapitre 7, avant toute généralisation.</w:t>
      </w:r>
    </w:p>
    <w:bookmarkEnd w:id="1287"/>
    <w:bookmarkStart w:id="1288" w:name="Xecabb07afed4ec92cdd8af2f756ae972d3509f3"/>
    <w:p>
      <w:pPr>
        <w:pStyle w:val="Heading2"/>
      </w:pPr>
      <w:r>
        <w:t xml:space="preserve">Optimisation, sécurité et maintenabilité — les réflexes dès ce chapitre</w:t>
      </w:r>
    </w:p>
    <w:p>
      <w:pPr>
        <w:pStyle w:val="FirstParagraph"/>
      </w:pPr>
      <w:r>
        <w:t xml:space="preserve">🔒 Sécurité</w:t>
      </w:r>
      <w:r>
        <w:t xml:space="preserve"> </w:t>
      </w:r>
      <w:r>
        <w:t xml:space="preserve">Ne code jamais un secret en clair dans un playbook versionné — une solution dédiée existe (Ansible Vault, chapitre 53), exactement le même réflexe déjà établi pour les scripts Bash (chapitre 20) et les fichiers Compose (chapitre 41).</w:t>
      </w:r>
    </w:p>
    <w:p>
      <w:pPr>
        <w:pStyle w:val="BodyText"/>
      </w:pPr>
      <w:r>
        <w:t xml:space="preserve">✅ Maintenabilité</w:t>
      </w:r>
      <w:r>
        <w:t xml:space="preserve"> </w:t>
      </w:r>
      <w:r>
        <w:t xml:space="preserve">Privilégie systématiquement les modules Ansible dédiés plutôt que des commandes shell brutes, garantissant l’idempotence et une meilleure lisibilité du playbook pour quiconque le reprend après toi.</w:t>
      </w:r>
    </w:p>
    <w:p>
      <w:pPr>
        <w:pStyle w:val="BodyText"/>
      </w:pPr>
      <w:r>
        <w:t xml:space="preserve">🚀 Performance</w:t>
      </w:r>
      <w:r>
        <w:t xml:space="preserve"> </w:t>
      </w:r>
      <w:r>
        <w:t xml:space="preserve">Ansible exécute ses tâches en parallèle sur plusieurs hôtes par défaut, avec un nombre de connexions simultanées configurable (</w:t>
      </w:r>
      <w:r>
        <w:rPr>
          <w:rStyle w:val="VerbatimChar"/>
        </w:rPr>
        <w:t xml:space="preserve">forks</w:t>
      </w:r>
      <w:r>
        <w:t xml:space="preserve">) — un réglage à ajuster selon la taille réelle du parc de serveurs et la capacité du poste de contrôle, pour éviter de saturer inutilement les ressources disponibles.</w:t>
      </w:r>
    </w:p>
    <w:bookmarkEnd w:id="1288"/>
    <w:bookmarkStart w:id="1289" w:name="résumé-du-chapitre-51"/>
    <w:p>
      <w:pPr>
        <w:pStyle w:val="Heading2"/>
      </w:pPr>
      <w:r>
        <w:t xml:space="preserve">Résumé du chapitre</w:t>
      </w:r>
    </w:p>
    <w:p>
      <w:pPr>
        <w:pStyle w:val="Compact"/>
        <w:numPr>
          <w:ilvl w:val="0"/>
          <w:numId w:val="2197"/>
        </w:numPr>
      </w:pPr>
      <w:r>
        <w:t xml:space="preserve">La dérive de configuration entre plusieurs serveurs configurés manuellement au fil du temps est un problème structurel, pas un signe de négligence individuelle.</w:t>
      </w:r>
    </w:p>
    <w:p>
      <w:pPr>
        <w:pStyle w:val="Compact"/>
        <w:numPr>
          <w:ilvl w:val="0"/>
          <w:numId w:val="2197"/>
        </w:numPr>
      </w:pPr>
      <w:r>
        <w:t xml:space="preserve">Ansible est agentless, s’appuyant sur SSH déjà maîtrisé depuis le chapitre 4, sans installation supplémentaire sur les serveurs cibles.</w:t>
      </w:r>
    </w:p>
    <w:p>
      <w:pPr>
        <w:pStyle w:val="Compact"/>
        <w:numPr>
          <w:ilvl w:val="0"/>
          <w:numId w:val="2197"/>
        </w:numPr>
      </w:pPr>
      <w:r>
        <w:t xml:space="preserve">Un inventaire regroupe les serveurs par catégorie logique ; un playbook décrit, en YAML déclaratif, l’état désiré à appliquer à ces serveurs.</w:t>
      </w:r>
    </w:p>
    <w:p>
      <w:pPr>
        <w:pStyle w:val="Compact"/>
        <w:numPr>
          <w:ilvl w:val="0"/>
          <w:numId w:val="2197"/>
        </w:numPr>
      </w:pPr>
      <w:r>
        <w:t xml:space="preserve">L’idempotence garantit qu’un playbook peut être réexécuté indéfiniment sans effet secondaire indésirable — un principe à préserver en privilégiant les modules dédiés plutôt que des commandes shell brutes.</w:t>
      </w:r>
    </w:p>
    <w:p>
      <w:pPr>
        <w:pStyle w:val="Compact"/>
        <w:numPr>
          <w:ilvl w:val="0"/>
          <w:numId w:val="2197"/>
        </w:numPr>
      </w:pPr>
      <w:r>
        <w:rPr>
          <w:rStyle w:val="VerbatimChar"/>
        </w:rPr>
        <w:t xml:space="preserve">--check</w:t>
      </w:r>
      <w:r>
        <w:t xml:space="preserve"> </w:t>
      </w:r>
      <w:r>
        <w:t xml:space="preserve">et</w:t>
      </w:r>
      <w:r>
        <w:t xml:space="preserve"> </w:t>
      </w:r>
      <w:r>
        <w:rPr>
          <w:rStyle w:val="VerbatimChar"/>
        </w:rPr>
        <w:t xml:space="preserve">--limit</w:t>
      </w:r>
      <w:r>
        <w:t xml:space="preserve"> </w:t>
      </w:r>
      <w:r>
        <w:t xml:space="preserve">permettent de tester un playbook avant une application massive, le même principe de prudence déjà établi pour tout changement à risque.</w:t>
      </w:r>
    </w:p>
    <w:bookmarkEnd w:id="1289"/>
    <w:bookmarkStart w:id="1290" w:name="quiz-51"/>
    <w:p>
      <w:pPr>
        <w:pStyle w:val="Heading2"/>
      </w:pPr>
      <w:r>
        <w:t xml:space="preserve">Quiz</w:t>
      </w:r>
    </w:p>
    <w:p>
      <w:pPr>
        <w:pStyle w:val="FirstParagraph"/>
      </w:pPr>
      <w:r>
        <w:t xml:space="preserve">📝 QCM (une seule bonne réponse par question)</w:t>
      </w:r>
    </w:p>
    <w:p>
      <w:pPr>
        <w:pStyle w:val="Compact"/>
        <w:numPr>
          <w:ilvl w:val="0"/>
          <w:numId w:val="2198"/>
        </w:numPr>
      </w:pPr>
      <w:r>
        <w:t xml:space="preserve">Ansible est qualifié d’outil</w:t>
      </w:r>
      <w:r>
        <w:t xml:space="preserve"> </w:t>
      </w:r>
      <w:r>
        <w:t xml:space="preserve">“agentless”</w:t>
      </w:r>
      <w:r>
        <w:t xml:space="preserve"> </w:t>
      </w:r>
      <w:r>
        <w:t xml:space="preserve">car :</w:t>
      </w:r>
    </w:p>
    <w:p>
      <w:pPr>
        <w:pStyle w:val="Compact"/>
        <w:numPr>
          <w:ilvl w:val="1"/>
          <w:numId w:val="2199"/>
        </w:numPr>
      </w:pPr>
    </w:p>
    <w:p>
      <w:pPr>
        <w:pStyle w:val="Compact"/>
        <w:numPr>
          <w:ilvl w:val="2"/>
          <w:numId w:val="2200"/>
        </w:numPr>
      </w:pPr>
      <w:r>
        <w:t xml:space="preserve">Il nécessite un agent installé sur chaque serveur géré</w:t>
      </w:r>
    </w:p>
    <w:p>
      <w:pPr>
        <w:pStyle w:val="Compact"/>
        <w:numPr>
          <w:ilvl w:val="1"/>
          <w:numId w:val="2199"/>
        </w:numPr>
      </w:pPr>
    </w:p>
    <w:p>
      <w:pPr>
        <w:pStyle w:val="Compact"/>
        <w:numPr>
          <w:ilvl w:val="2"/>
          <w:numId w:val="2201"/>
        </w:numPr>
      </w:pPr>
      <w:r>
        <w:t xml:space="preserve">Il se connecte via SSH, sans installation préalable sur les serveurs cibles</w:t>
      </w:r>
    </w:p>
    <w:p>
      <w:pPr>
        <w:pStyle w:val="Compact"/>
        <w:numPr>
          <w:ilvl w:val="1"/>
          <w:numId w:val="2199"/>
        </w:numPr>
      </w:pPr>
    </w:p>
    <w:p>
      <w:pPr>
        <w:pStyle w:val="Compact"/>
        <w:numPr>
          <w:ilvl w:val="2"/>
          <w:numId w:val="2202"/>
        </w:numPr>
      </w:pPr>
      <w:r>
        <w:t xml:space="preserve">Il ne peut gérer qu’un seul serveur à la fois</w:t>
      </w:r>
    </w:p>
    <w:p>
      <w:pPr>
        <w:pStyle w:val="Compact"/>
        <w:numPr>
          <w:ilvl w:val="1"/>
          <w:numId w:val="2199"/>
        </w:numPr>
      </w:pPr>
    </w:p>
    <w:p>
      <w:pPr>
        <w:pStyle w:val="Compact"/>
        <w:numPr>
          <w:ilvl w:val="2"/>
          <w:numId w:val="2203"/>
        </w:numPr>
      </w:pPr>
      <w:r>
        <w:t xml:space="preserve">Il fonctionne uniquement sur Windows</w:t>
      </w:r>
    </w:p>
    <w:p>
      <w:pPr>
        <w:pStyle w:val="Compact"/>
        <w:numPr>
          <w:ilvl w:val="0"/>
          <w:numId w:val="2198"/>
        </w:numPr>
      </w:pPr>
      <w:r>
        <w:t xml:space="preserve">L’idempotence d’un module Ansible signifie que :</w:t>
      </w:r>
    </w:p>
    <w:p>
      <w:pPr>
        <w:pStyle w:val="Compact"/>
        <w:numPr>
          <w:ilvl w:val="1"/>
          <w:numId w:val="2204"/>
        </w:numPr>
      </w:pPr>
    </w:p>
    <w:p>
      <w:pPr>
        <w:pStyle w:val="Compact"/>
        <w:numPr>
          <w:ilvl w:val="2"/>
          <w:numId w:val="2205"/>
        </w:numPr>
      </w:pPr>
      <w:r>
        <w:t xml:space="preserve">Il ne peut être exécuté qu’une seule fois</w:t>
      </w:r>
    </w:p>
    <w:p>
      <w:pPr>
        <w:pStyle w:val="Compact"/>
        <w:numPr>
          <w:ilvl w:val="1"/>
          <w:numId w:val="2204"/>
        </w:numPr>
      </w:pPr>
    </w:p>
    <w:p>
      <w:pPr>
        <w:pStyle w:val="Compact"/>
        <w:numPr>
          <w:ilvl w:val="2"/>
          <w:numId w:val="2206"/>
        </w:numPr>
      </w:pPr>
      <w:r>
        <w:t xml:space="preserve">L’exécuter plusieurs fois produit toujours le même état final</w:t>
      </w:r>
    </w:p>
    <w:p>
      <w:pPr>
        <w:pStyle w:val="Compact"/>
        <w:numPr>
          <w:ilvl w:val="1"/>
          <w:numId w:val="2204"/>
        </w:numPr>
      </w:pPr>
    </w:p>
    <w:p>
      <w:pPr>
        <w:pStyle w:val="Compact"/>
        <w:numPr>
          <w:ilvl w:val="2"/>
          <w:numId w:val="2207"/>
        </w:numPr>
      </w:pPr>
      <w:r>
        <w:t xml:space="preserve">Il s’exécute plus rapidement à chaque répétition</w:t>
      </w:r>
    </w:p>
    <w:p>
      <w:pPr>
        <w:pStyle w:val="Compact"/>
        <w:numPr>
          <w:ilvl w:val="1"/>
          <w:numId w:val="2204"/>
        </w:numPr>
      </w:pPr>
    </w:p>
    <w:p>
      <w:pPr>
        <w:pStyle w:val="Compact"/>
        <w:numPr>
          <w:ilvl w:val="2"/>
          <w:numId w:val="2208"/>
        </w:numPr>
      </w:pPr>
      <w:r>
        <w:t xml:space="preserve">Il nécessite une confirmation manuelle à chaque exécution</w:t>
      </w:r>
    </w:p>
    <w:p>
      <w:pPr>
        <w:pStyle w:val="Compact"/>
        <w:numPr>
          <w:ilvl w:val="0"/>
          <w:numId w:val="2198"/>
        </w:numPr>
      </w:pPr>
      <w:r>
        <w:t xml:space="preserve">L’option</w:t>
      </w:r>
      <w:r>
        <w:t xml:space="preserve"> </w:t>
      </w:r>
      <w:r>
        <w:rPr>
          <w:rStyle w:val="VerbatimChar"/>
        </w:rPr>
        <w:t xml:space="preserve">--check</w:t>
      </w:r>
      <w:r>
        <w:t xml:space="preserve"> </w:t>
      </w:r>
      <w:r>
        <w:t xml:space="preserve">d’</w:t>
      </w:r>
      <w:r>
        <w:rPr>
          <w:rStyle w:val="VerbatimChar"/>
        </w:rPr>
        <w:t xml:space="preserve">ansible-playbook</w:t>
      </w:r>
      <w:r>
        <w:t xml:space="preserve"> </w:t>
      </w:r>
      <w:r>
        <w:t xml:space="preserve">permet de :</w:t>
      </w:r>
    </w:p>
    <w:p>
      <w:pPr>
        <w:pStyle w:val="Compact"/>
        <w:numPr>
          <w:ilvl w:val="1"/>
          <w:numId w:val="2209"/>
        </w:numPr>
      </w:pPr>
    </w:p>
    <w:p>
      <w:pPr>
        <w:pStyle w:val="Compact"/>
        <w:numPr>
          <w:ilvl w:val="2"/>
          <w:numId w:val="2210"/>
        </w:numPr>
      </w:pPr>
      <w:r>
        <w:t xml:space="preserve">Appliquer immédiatement tous les changements</w:t>
      </w:r>
    </w:p>
    <w:p>
      <w:pPr>
        <w:pStyle w:val="Compact"/>
        <w:numPr>
          <w:ilvl w:val="1"/>
          <w:numId w:val="2209"/>
        </w:numPr>
      </w:pPr>
    </w:p>
    <w:p>
      <w:pPr>
        <w:pStyle w:val="Compact"/>
        <w:numPr>
          <w:ilvl w:val="2"/>
          <w:numId w:val="2211"/>
        </w:numPr>
      </w:pPr>
      <w:r>
        <w:t xml:space="preserve">Simuler l’exécution sans appliquer réellement les changements</w:t>
      </w:r>
    </w:p>
    <w:p>
      <w:pPr>
        <w:pStyle w:val="Compact"/>
        <w:numPr>
          <w:ilvl w:val="1"/>
          <w:numId w:val="2209"/>
        </w:numPr>
      </w:pPr>
    </w:p>
    <w:p>
      <w:pPr>
        <w:pStyle w:val="Compact"/>
        <w:numPr>
          <w:ilvl w:val="2"/>
          <w:numId w:val="2212"/>
        </w:numPr>
      </w:pPr>
      <w:r>
        <w:t xml:space="preserve">Supprimer le playbook après exécution</w:t>
      </w:r>
    </w:p>
    <w:p>
      <w:pPr>
        <w:pStyle w:val="Compact"/>
        <w:numPr>
          <w:ilvl w:val="1"/>
          <w:numId w:val="2209"/>
        </w:numPr>
      </w:pPr>
    </w:p>
    <w:p>
      <w:pPr>
        <w:pStyle w:val="Compact"/>
        <w:numPr>
          <w:ilvl w:val="2"/>
          <w:numId w:val="2213"/>
        </w:numPr>
      </w:pPr>
      <w:r>
        <w:t xml:space="preserve">Chiffrer automatiquement les secrets du playbook</w:t>
      </w:r>
    </w:p>
    <w:p>
      <w:pPr>
        <w:pStyle w:val="FirstParagraph"/>
      </w:pPr>
      <w:r>
        <w:rPr>
          <w:b/>
          <w:bCs/>
        </w:rPr>
        <w:t xml:space="preserve">Corrigé</w:t>
      </w:r>
      <w:r>
        <w:t xml:space="preserve"> </w:t>
      </w:r>
      <w:r>
        <w:t xml:space="preserve">: 1-b, 2-b, 3-b.</w:t>
      </w:r>
    </w:p>
    <w:p>
      <w:pPr>
        <w:pStyle w:val="BodyText"/>
      </w:pPr>
      <w:r>
        <w:t xml:space="preserve">📝 Vrai ou Faux</w:t>
      </w:r>
    </w:p>
    <w:p>
      <w:pPr>
        <w:pStyle w:val="Compact"/>
        <w:numPr>
          <w:ilvl w:val="0"/>
          <w:numId w:val="2214"/>
        </w:numPr>
      </w:pPr>
      <w:r>
        <w:t xml:space="preserve">Un playbook Ansible utilisant uniquement des commandes shell brutes est garanti idempotent. —</w:t>
      </w:r>
      <w:r>
        <w:t xml:space="preserve"> </w:t>
      </w:r>
      <w:r>
        <w:rPr>
          <w:b/>
          <w:bCs/>
        </w:rPr>
        <w:t xml:space="preserve">Faux</w:t>
      </w:r>
      <w:r>
        <w:t xml:space="preserve"> </w:t>
      </w:r>
      <w:r>
        <w:t xml:space="preserve">(seuls les modules dédiés garantissent cette propriété, section 52.5).</w:t>
      </w:r>
    </w:p>
    <w:p>
      <w:pPr>
        <w:pStyle w:val="Compact"/>
        <w:numPr>
          <w:ilvl w:val="0"/>
          <w:numId w:val="2214"/>
        </w:numPr>
      </w:pPr>
      <w:r>
        <w:t xml:space="preserve">Une commande ad-hoc convient à une vérification ponctuelle, tandis qu’un playbook convient à une configuration durable et versionnée. —</w:t>
      </w:r>
      <w:r>
        <w:t xml:space="preserve"> </w:t>
      </w:r>
      <w:r>
        <w:rPr>
          <w:b/>
          <w:bCs/>
        </w:rPr>
        <w:t xml:space="preserve">Vrai</w:t>
      </w:r>
      <w:r>
        <w:t xml:space="preserve">.</w:t>
      </w:r>
    </w:p>
    <w:p>
      <w:pPr>
        <w:pStyle w:val="Compact"/>
        <w:numPr>
          <w:ilvl w:val="0"/>
          <w:numId w:val="2214"/>
        </w:numPr>
      </w:pPr>
      <w:r>
        <w:t xml:space="preserve">Ansible nécessite l’installation d’un agent logiciel sur chaque serveur avant de pouvoir le gérer. —</w:t>
      </w:r>
      <w:r>
        <w:t xml:space="preserve"> </w:t>
      </w:r>
      <w:r>
        <w:rPr>
          <w:b/>
          <w:bCs/>
        </w:rPr>
        <w:t xml:space="preserve">Faux</w:t>
      </w:r>
      <w:r>
        <w:t xml:space="preserve"> </w:t>
      </w:r>
      <w:r>
        <w:t xml:space="preserve">(agentless, basé sur SSH, section 52.2).</w:t>
      </w:r>
    </w:p>
    <w:p>
      <w:pPr>
        <w:pStyle w:val="Compact"/>
        <w:numPr>
          <w:ilvl w:val="0"/>
          <w:numId w:val="2214"/>
        </w:numPr>
      </w:pPr>
      <w:r>
        <w:t xml:space="preserve">Appliquer un nouveau playbook directement à tout un parc de production, sans test préalable, est une pratique recommandée. —</w:t>
      </w:r>
      <w:r>
        <w:t xml:space="preserve"> </w:t>
      </w:r>
      <w:r>
        <w:rPr>
          <w:b/>
          <w:bCs/>
        </w:rPr>
        <w:t xml:space="preserve">Faux</w:t>
      </w:r>
      <w:r>
        <w:t xml:space="preserve"> </w:t>
      </w:r>
      <w:r>
        <w:t xml:space="preserve">(rappel du même risque déjà dénoncé au chapitre 7).</w:t>
      </w:r>
    </w:p>
    <w:p>
      <w:pPr>
        <w:pStyle w:val="FirstParagraph"/>
      </w:pPr>
      <w:r>
        <w:t xml:space="preserve">📝 Questions ouvertes</w:t>
      </w:r>
    </w:p>
    <w:p>
      <w:pPr>
        <w:pStyle w:val="Compact"/>
        <w:numPr>
          <w:ilvl w:val="0"/>
          <w:numId w:val="2215"/>
        </w:numPr>
      </w:pPr>
      <w:r>
        <w:t xml:space="preserve">Explique pourquoi la dérive de configuration décrite dans le scénario d’ouverture n’est la faute d’aucun administrateur en particulier.</w:t>
      </w:r>
    </w:p>
    <w:p>
      <w:pPr>
        <w:pStyle w:val="Compact"/>
        <w:numPr>
          <w:ilvl w:val="0"/>
          <w:numId w:val="2215"/>
        </w:numPr>
      </w:pPr>
      <w:r>
        <w:t xml:space="preserve">Reprends l’atelier de ce chapitre. Explique pourquoi le paramètre</w:t>
      </w:r>
      <w:r>
        <w:t xml:space="preserve"> </w:t>
      </w:r>
      <w:r>
        <w:rPr>
          <w:rStyle w:val="VerbatimChar"/>
        </w:rPr>
        <w:t xml:space="preserve">validate: "visudo -cf %s"</w:t>
      </w:r>
      <w:r>
        <w:t xml:space="preserve"> </w:t>
      </w:r>
      <w:r>
        <w:t xml:space="preserve">du module</w:t>
      </w:r>
      <w:r>
        <w:t xml:space="preserve"> </w:t>
      </w:r>
      <w:r>
        <w:rPr>
          <w:rStyle w:val="VerbatimChar"/>
        </w:rPr>
        <w:t xml:space="preserve">copy</w:t>
      </w:r>
      <w:r>
        <w:t xml:space="preserve"> </w:t>
      </w:r>
      <w:r>
        <w:t xml:space="preserve">reprend directement un principe déjà établi au chapitre 18.</w:t>
      </w:r>
    </w:p>
    <w:p>
      <w:pPr>
        <w:pStyle w:val="FirstParagraph"/>
      </w:pPr>
      <w:r>
        <w:rPr>
          <w:b/>
          <w:bCs/>
        </w:rPr>
        <w:t xml:space="preserve">Corrigé 1</w:t>
      </w:r>
      <w:r>
        <w:t xml:space="preserve"> </w:t>
      </w:r>
      <w:r>
        <w:t xml:space="preserve">: chaque serveur a été configuré correctement au moment de son installation ou de sa dernière intervention, par des personnes différentes, à des moments différents, sans référence commune obligatoire à suivre — le problème n’est donc pas une erreur individuelle isolée, mais l’absence structurelle d’un mécanisme garantissant que tous les serveurs restent alignés dans le temps, à mesure que l’infrastructure grandit et que les pratiques évoluent. C’est exactement le même type de problème systémique déjà identifié pour la documentation non centralisée au chapitre 3.</w:t>
      </w:r>
    </w:p>
    <w:p>
      <w:pPr>
        <w:pStyle w:val="BodyText"/>
      </w:pPr>
      <w:r>
        <w:rPr>
          <w:b/>
          <w:bCs/>
        </w:rPr>
        <w:t xml:space="preserve">Corrigé 2</w:t>
      </w:r>
      <w:r>
        <w:t xml:space="preserve"> </w:t>
      </w:r>
      <w:r>
        <w:t xml:space="preserve">: le chapitre 18 établissait que</w:t>
      </w:r>
      <w:r>
        <w:t xml:space="preserve"> </w:t>
      </w:r>
      <w:r>
        <w:rPr>
          <w:rStyle w:val="VerbatimChar"/>
        </w:rPr>
        <w:t xml:space="preserve">visudo</w:t>
      </w:r>
      <w:r>
        <w:t xml:space="preserve"> </w:t>
      </w:r>
      <w:r>
        <w:t xml:space="preserve">doit toujours être utilisé pour éditer les règles sudo, car il valide la syntaxe avant d’enregistrer — une erreur de syntaxe non détectée pouvant bloquer l’usage même de</w:t>
      </w:r>
      <w:r>
        <w:t xml:space="preserve"> </w:t>
      </w:r>
      <w:r>
        <w:rPr>
          <w:rStyle w:val="VerbatimChar"/>
        </w:rPr>
        <w:t xml:space="preserve">sudo</w:t>
      </w:r>
      <w:r>
        <w:t xml:space="preserve"> </w:t>
      </w:r>
      <w:r>
        <w:t xml:space="preserve">pour la corriger. Le paramètre</w:t>
      </w:r>
      <w:r>
        <w:t xml:space="preserve"> </w:t>
      </w:r>
      <w:r>
        <w:rPr>
          <w:rStyle w:val="VerbatimChar"/>
        </w:rPr>
        <w:t xml:space="preserve">validate</w:t>
      </w:r>
      <w:r>
        <w:t xml:space="preserve"> </w:t>
      </w:r>
      <w:r>
        <w:t xml:space="preserve">du module</w:t>
      </w:r>
      <w:r>
        <w:t xml:space="preserve"> </w:t>
      </w:r>
      <w:r>
        <w:rPr>
          <w:rStyle w:val="VerbatimChar"/>
        </w:rPr>
        <w:t xml:space="preserve">copy</w:t>
      </w:r>
      <w:r>
        <w:t xml:space="preserve"> </w:t>
      </w:r>
      <w:r>
        <w:t xml:space="preserve">reproduit exactement cette même vérification, mais de façon automatisée et systématique : le fichier n’est déployé que si sa syntaxe est validée par</w:t>
      </w:r>
      <w:r>
        <w:t xml:space="preserve"> </w:t>
      </w:r>
      <w:r>
        <w:rPr>
          <w:rStyle w:val="VerbatimChar"/>
        </w:rPr>
        <w:t xml:space="preserve">visudo -cf</w:t>
      </w:r>
      <w:r>
        <w:t xml:space="preserve">, empêchant qu’une erreur ne soit propagée simultanément à tous les serveurs du parc via l’automatisation, un risque bien plus grave qu’une erreur commise manuellement sur un seul serveur à la fois.</w:t>
      </w:r>
    </w:p>
    <w:bookmarkEnd w:id="1290"/>
    <w:bookmarkStart w:id="1291" w:name="exercices-51"/>
    <w:p>
      <w:pPr>
        <w:pStyle w:val="Heading2"/>
      </w:pPr>
      <w:r>
        <w:t xml:space="preserve">Exercices</w:t>
      </w:r>
    </w:p>
    <w:p>
      <w:pPr>
        <w:pStyle w:val="FirstParagraph"/>
      </w:pPr>
      <w:r>
        <w:t xml:space="preserve">📝 Exercice 52.1</w:t>
      </w:r>
    </w:p>
    <w:p>
      <w:pPr>
        <w:pStyle w:val="BodyText"/>
      </w:pPr>
      <w:r>
        <w:t xml:space="preserve">Un playbook contient la tâche suivante :</w:t>
      </w:r>
      <w:r>
        <w:t xml:space="preserve"> </w:t>
      </w:r>
      <w:r>
        <w:rPr>
          <w:rStyle w:val="VerbatimChar"/>
        </w:rPr>
        <w:t xml:space="preserve">ansible.builtin.shell: echo "nouvelle ligne" &gt;&gt; /etc/hosts</w:t>
      </w:r>
      <w:r>
        <w:t xml:space="preserve">. Explique pourquoi cette tâche n’est pas idempotente, et propose une alternative qui le serait.</w:t>
      </w:r>
    </w:p>
    <w:p>
      <w:pPr>
        <w:pStyle w:val="BodyText"/>
      </w:pPr>
      <w:r>
        <w:rPr>
          <w:b/>
          <w:bCs/>
        </w:rPr>
        <w:t xml:space="preserve">Corrigé :</w:t>
      </w:r>
      <w:r>
        <w:t xml:space="preserve"> </w:t>
      </w:r>
      <w:r>
        <w:t xml:space="preserve">Cette commande ajoute la ligne à chaque exécution du playbook, quel que soit son état actuel — après trois exécutions, la ligne apparaîtrait trois fois dans</w:t>
      </w:r>
      <w:r>
        <w:t xml:space="preserve"> </w:t>
      </w:r>
      <w:r>
        <w:rPr>
          <w:rStyle w:val="VerbatimChar"/>
        </w:rPr>
        <w:t xml:space="preserve">/etc/hosts</w:t>
      </w:r>
      <w:r>
        <w:t xml:space="preserve">, un résultat différent à chaque répétition, la définition même d’un comportement non idempotent (section 52.5). Une alternative idempotente utiliserait le module dédié</w:t>
      </w:r>
      <w:r>
        <w:t xml:space="preserve"> </w:t>
      </w:r>
      <w:r>
        <w:rPr>
          <w:rStyle w:val="VerbatimChar"/>
        </w:rPr>
        <w:t xml:space="preserve">ansible.builtin.lineinfile</w:t>
      </w:r>
      <w:r>
        <w:t xml:space="preserve">, qui vérifie d’abord si la ligne existe déjà avant de l’ajouter, garantissant qu’elle n’apparaît jamais qu’une seule fois, quel que soit le nombre d’exécutions du playbook.</w:t>
      </w:r>
    </w:p>
    <w:p>
      <w:pPr>
        <w:pStyle w:val="BodyText"/>
      </w:pPr>
      <w:r>
        <w:t xml:space="preserve">📝 Exercice 52.2</w:t>
      </w:r>
    </w:p>
    <w:p>
      <w:pPr>
        <w:pStyle w:val="BodyText"/>
      </w:pPr>
      <w:r>
        <w:t xml:space="preserve">Rédige, en 3 à 5 phrases, pourquoi regrouper les serveurs par catégorie logique dans l’inventaire (comme</w:t>
      </w:r>
      <w:r>
        <w:t xml:space="preserve"> </w:t>
      </w:r>
      <w:r>
        <w:rPr>
          <w:rStyle w:val="VerbatimChar"/>
        </w:rPr>
        <w:t xml:space="preserve">serveurs_web</w:t>
      </w:r>
      <w:r>
        <w:t xml:space="preserve"> </w:t>
      </w:r>
      <w:r>
        <w:t xml:space="preserve">et</w:t>
      </w:r>
      <w:r>
        <w:t xml:space="preserve"> </w:t>
      </w:r>
      <w:r>
        <w:rPr>
          <w:rStyle w:val="VerbatimChar"/>
        </w:rPr>
        <w:t xml:space="preserve">serveurs_documentaire</w:t>
      </w:r>
      <w:r>
        <w:t xml:space="preserve">) facilite la maintenance à long terme, en t’appuyant sur le même principe déjà établi pour les groupes Unix au chapitre 18.</w:t>
      </w:r>
    </w:p>
    <w:p>
      <w:pPr>
        <w:pStyle w:val="BodyText"/>
      </w:pPr>
      <w:r>
        <w:rPr>
          <w:b/>
          <w:bCs/>
        </w:rPr>
        <w:t xml:space="preserve">Corrigé (exemple de réponse) :</w:t>
      </w:r>
      <w:r>
        <w:t xml:space="preserve"> </w:t>
      </w:r>
      <w:r>
        <w:t xml:space="preserve">Regrouper les serveurs par catégorie logique permet d’appliquer un playbook à exactement le périmètre concerné, sans devoir lister individuellement chaque serveur à chaque exécution — exactement le même bénéfice déjà établi pour les groupes Unix au chapitre 18, où ajouter un nouvel utilisateur à un groupe existant suffisait sans modifier chaque règle sudo individuellement. Quand un nouveau serveur rejoint l’infrastructure (par exemple, un troisième site avec ses propres serveurs web), il suffit de l’ajouter au bon groupe dans l’inventaire pour qu’il bénéficie automatiquement de tous les playbooks déjà définis pour ce groupe, sans réécrire aucune configuration existante.</w:t>
      </w:r>
    </w:p>
    <w:bookmarkEnd w:id="1291"/>
    <w:bookmarkStart w:id="1292" w:name="checklist-de-fin-de-chapitre-51"/>
    <w:p>
      <w:pPr>
        <w:pStyle w:val="Heading2"/>
      </w:pPr>
      <w:r>
        <w:t xml:space="preserve">Checklist de fin de chapitre</w:t>
      </w:r>
    </w:p>
    <w:p>
      <w:pPr>
        <w:pStyle w:val="FirstParagraph"/>
      </w:pPr>
      <w:r>
        <w:t xml:space="preserve">☐ Je comprends le problème de la dérive de configuration et comment Ansible y répond.</w:t>
      </w:r>
    </w:p>
    <w:p>
      <w:pPr>
        <w:pStyle w:val="BodyText"/>
      </w:pPr>
      <w:r>
        <w:t xml:space="preserve">☐ Je sais écrire un inventaire regroupant des serveurs par catégorie logique.</w:t>
      </w:r>
    </w:p>
    <w:p>
      <w:pPr>
        <w:pStyle w:val="BodyText"/>
      </w:pPr>
      <w:r>
        <w:t xml:space="preserve">☐ Je sais écrire un playbook simple utilisant des modules Ansible dédiés.</w:t>
      </w:r>
    </w:p>
    <w:p>
      <w:pPr>
        <w:pStyle w:val="BodyText"/>
      </w:pPr>
      <w:r>
        <w:t xml:space="preserve">☐ Je comprends le principe d’idempotence et pourquoi privilégier les modules aux commandes shell brutes.</w:t>
      </w:r>
    </w:p>
    <w:p>
      <w:pPr>
        <w:pStyle w:val="BodyText"/>
      </w:pPr>
      <w:r>
        <w:t xml:space="preserve">☐ Je sais utiliser</w:t>
      </w:r>
      <w:r>
        <w:t xml:space="preserve"> </w:t>
      </w:r>
      <w:r>
        <w:rPr>
          <w:rStyle w:val="VerbatimChar"/>
        </w:rPr>
        <w:t xml:space="preserve">--check</w:t>
      </w:r>
      <w:r>
        <w:t xml:space="preserve"> </w:t>
      </w:r>
      <w:r>
        <w:t xml:space="preserve">et</w:t>
      </w:r>
      <w:r>
        <w:t xml:space="preserve"> </w:t>
      </w:r>
      <w:r>
        <w:rPr>
          <w:rStyle w:val="VerbatimChar"/>
        </w:rPr>
        <w:t xml:space="preserve">--limit</w:t>
      </w:r>
      <w:r>
        <w:t xml:space="preserve"> </w:t>
      </w:r>
      <w:r>
        <w:t xml:space="preserve">pour tester un playbook avant une application massive.</w:t>
      </w:r>
    </w:p>
    <w:p>
      <w:pPr>
        <w:pStyle w:val="BodyText"/>
      </w:pPr>
      <w:r>
        <w:t xml:space="preserve">☐ Je sais diagnostiquer un playbook qui échoue sur un hôte précis.</w:t>
      </w:r>
    </w:p>
    <w:bookmarkEnd w:id="1292"/>
    <w:bookmarkStart w:id="1293" w:name="faq-51"/>
    <w:p>
      <w:pPr>
        <w:pStyle w:val="Heading2"/>
      </w:pPr>
      <w:r>
        <w:t xml:space="preserve">FAQ</w:t>
      </w:r>
    </w:p>
    <w:p>
      <w:pPr>
        <w:pStyle w:val="FirstParagraph"/>
      </w:pPr>
      <w:r>
        <w:t xml:space="preserve">Ansible peut-il gérer des serveurs Windows, ou uniquement Linux ?</w:t>
      </w:r>
    </w:p>
    <w:p>
      <w:pPr>
        <w:pStyle w:val="BodyText"/>
      </w:pPr>
      <w:r>
        <w:t xml:space="preserve">Ansible peut gérer des serveurs Windows via WinRM plutôt que SSH, avec des modules dédiés — les exemples de ce chapitre se concentrent sur Linux, mais les mêmes principes d’idempotence et de playbooks déclaratifs s’appliquent, avec une syntaxe de connexion adaptée.</w:t>
      </w:r>
    </w:p>
    <w:p>
      <w:pPr>
        <w:pStyle w:val="BodyText"/>
      </w:pPr>
      <w:r>
        <w:t xml:space="preserve">Faut-il réécrire tous les scripts Bash déjà appris (chapitre 20) en playbooks Ansible ?</w:t>
      </w:r>
    </w:p>
    <w:p>
      <w:pPr>
        <w:pStyle w:val="BodyText"/>
      </w:pPr>
      <w:r>
        <w:t xml:space="preserve">Non, les deux outils restent complémentaires selon le besoin — un script Bash reste adapté à une logique procédurale complexe ou à un diagnostic ponctuel, tandis qu’Ansible excelle pour appliquer un état de configuration cohérent à travers plusieurs serveurs, un besoin structurellement différent.</w:t>
      </w:r>
    </w:p>
    <w:p>
      <w:pPr>
        <w:pStyle w:val="BodyText"/>
      </w:pPr>
      <w:r>
        <w:t xml:space="preserve">Combien de temps faut-il pour automatiser l’ensemble de la configuration déjà apprise manuellement dans ce manuel ?</w:t>
      </w:r>
    </w:p>
    <w:p>
      <w:pPr>
        <w:pStyle w:val="BodyText"/>
      </w:pPr>
      <w:r>
        <w:t xml:space="preserve">Cela dépend de l’ampleur du parc et de la complexité des configurations existantes — une approche progressive, commençant par les configurations les plus critiques ou les plus sujettes à la dérive (comme la sécurité de base du scénario d’ouverture), reste plus réaliste qu’une automatisation complète immédiate de toute l’infrastructure.</w:t>
      </w:r>
    </w:p>
    <w:p>
      <w:pPr>
        <w:pStyle w:val="BodyText"/>
      </w:pPr>
      <w:r>
        <w:t xml:space="preserve">Ansible peut-il aussi provisionner de nouvelles ressources cloud (chapitres 46-48), pas seulement configurer des serveurs existants ?</w:t>
      </w:r>
    </w:p>
    <w:p>
      <w:pPr>
        <w:pStyle w:val="BodyText"/>
      </w:pPr>
      <w:r>
        <w:t xml:space="preserve">Oui, Ansible dispose de modules pour de nombreux fournisseurs cloud, mais Terraform (chapitres 54-55) reste généralement l’outil de référence pour le provisionnement d’infrastructure, Ansible excellant davantage dans la configuration de systèmes déjà existants — une distinction approfondie dans les prochains chapitres.</w:t>
      </w:r>
    </w:p>
    <w:bookmarkEnd w:id="1293"/>
    <w:bookmarkStart w:id="1297" w:name="références-et-pour-aller-plus-loin-51"/>
    <w:p>
      <w:pPr>
        <w:pStyle w:val="Heading2"/>
      </w:pPr>
      <w:r>
        <w:t xml:space="preserve">Références et pour aller plus loin</w:t>
      </w:r>
    </w:p>
    <w:p>
      <w:pPr>
        <w:pStyle w:val="Compact"/>
        <w:numPr>
          <w:ilvl w:val="0"/>
          <w:numId w:val="2216"/>
        </w:numPr>
      </w:pPr>
      <w:r>
        <w:t xml:space="preserve">Documentation officielle Ansible :</w:t>
      </w:r>
      <w:r>
        <w:t xml:space="preserve"> </w:t>
      </w:r>
      <w:hyperlink r:id="rId1294">
        <w:r>
          <w:rPr>
            <w:rStyle w:val="Hyperlink"/>
          </w:rPr>
          <w:t xml:space="preserve">https://docs.ansible.com/</w:t>
        </w:r>
      </w:hyperlink>
    </w:p>
    <w:p>
      <w:pPr>
        <w:pStyle w:val="Compact"/>
        <w:numPr>
          <w:ilvl w:val="0"/>
          <w:numId w:val="2216"/>
        </w:numPr>
      </w:pPr>
      <w:r>
        <w:t xml:space="preserve">Ansible — Guide sur l’idempotence et les meilleures pratiques de modules :</w:t>
      </w:r>
      <w:r>
        <w:t xml:space="preserve"> </w:t>
      </w:r>
      <w:hyperlink r:id="rId1295">
        <w:r>
          <w:rPr>
            <w:rStyle w:val="Hyperlink"/>
          </w:rPr>
          <w:t xml:space="preserve">https://docs.ansible.com/ansible/latest/reference_appendices/glossary.html</w:t>
        </w:r>
      </w:hyperlink>
    </w:p>
    <w:p>
      <w:pPr>
        <w:pStyle w:val="Compact"/>
        <w:numPr>
          <w:ilvl w:val="0"/>
          <w:numId w:val="2216"/>
        </w:numPr>
      </w:pPr>
      <w:r>
        <w:t xml:space="preserve">Ansible Galaxy — répertoire de rôles et collections communautaires :</w:t>
      </w:r>
      <w:r>
        <w:t xml:space="preserve"> </w:t>
      </w:r>
      <w:hyperlink r:id="rId1296">
        <w:r>
          <w:rPr>
            <w:rStyle w:val="Hyperlink"/>
          </w:rPr>
          <w:t xml:space="preserve">https://galaxy.ansible.com/</w:t>
        </w:r>
      </w:hyperlink>
    </w:p>
    <w:p>
      <w:pPr>
        <w:pStyle w:val="FirstParagraph"/>
      </w:pPr>
      <w:r>
        <w:rPr>
          <w:i/>
          <w:iCs/>
        </w:rPr>
        <w:t xml:space="preserve">Chapitre suivant : Ansible avancé — rôles, playbooks complexes et Ansible Vault, pour protéger les secrets et structurer une automatisation à l’échelle de toute l’infrastructure de l’entreprise.</w:t>
      </w:r>
    </w:p>
    <w:p>
      <w:pPr>
        <w:pStyle w:val="BodyText"/>
      </w:pPr>
      <w:r>
        <w:t xml:space="preserve">CHAPITRE 53</w:t>
      </w:r>
    </w:p>
    <w:bookmarkEnd w:id="1297"/>
    <w:bookmarkEnd w:id="1298"/>
    <w:bookmarkStart w:id="1320" w:name="X9d3e4131a71abab4dc83c2529086a8038cc5d6e"/>
    <w:p>
      <w:pPr>
        <w:pStyle w:val="Heading1"/>
      </w:pPr>
      <w:r>
        <w:t xml:space="preserve">Ansible avancé : rôles, playbooks complexes et Ansible Vault</w:t>
      </w:r>
    </w:p>
    <w:p>
      <w:pPr>
        <w:pStyle w:val="FirstParagraph"/>
      </w:pPr>
      <w:r>
        <w:t xml:space="preserve">🎯 Objectif du chapitre</w:t>
      </w:r>
      <w:r>
        <w:t xml:space="preserve"> </w:t>
      </w:r>
      <w:r>
        <w:t xml:space="preserve">Structurer l’automatisation Ansible à mesure qu’elle grandit, et résoudre le piège des secrets en clair déjà identifié au chapitre 52. À la fin de ce chapitre, tu sauras organiser des playbooks en rôles réutilisables, chiffrer des secrets avec Ansible Vault, personnaliser une configuration par environnement avec des templates, et déclencher des actions conditionnelles avec des handlers.</w:t>
      </w:r>
    </w:p>
    <w:p>
      <w:pPr>
        <w:pStyle w:val="BodyText"/>
      </w:pPr>
      <w:r>
        <w:t xml:space="preserve">🎬 Mise en situation</w:t>
      </w:r>
      <w:r>
        <w:t xml:space="preserve"> </w:t>
      </w:r>
      <w:r>
        <w:t xml:space="preserve">Le playbook de sécurité de base du chapitre 52 a fait ses preuves — l’équipe l’étend progressivement pour couvrir la configuration complète des nouveaux serveurs (paquets, utilisateurs, pare-feu, journalisation). Après quelques semaines, le fichier unique dépasse 400 lignes, devenu difficile à lire et à maintenir. Pire, un développeur a récemment ajouté une tâche qui configure l’accès à la base de données du portail, avec le mot de passe écrit en clair directement dans le playbook — visible par quiconque a accès au dépôt Git (chapitre 51).</w:t>
      </w:r>
      <w:r>
        <w:t xml:space="preserve"> </w:t>
      </w:r>
      <w:r>
        <w:t xml:space="preserve">“On a le même problème qu’avec la GPO géante du chapitre 7,”</w:t>
      </w:r>
      <w:r>
        <w:t xml:space="preserve"> </w:t>
      </w:r>
      <w:r>
        <w:t xml:space="preserve">remarque le DSI,</w:t>
      </w:r>
      <w:r>
        <w:t xml:space="preserve"> </w:t>
      </w:r>
      <w:r>
        <w:t xml:space="preserve">“sauf que cette fois, il y a aussi une fuite de mot de passe en plus.”</w:t>
      </w:r>
      <w:r>
        <w:t xml:space="preserve"> </w:t>
      </w:r>
      <w:r>
        <w:t xml:space="preserve">Ce chapitre corrige les deux problèmes.</w:t>
      </w:r>
    </w:p>
    <w:bookmarkStart w:id="1299" w:name="Xb0ad2175d4c72a534065fc8019ef29f74b60e34"/>
    <w:p>
      <w:pPr>
        <w:pStyle w:val="Heading2"/>
      </w:pPr>
      <w:r>
        <w:t xml:space="preserve">53.1 Le problème d’un playbook qui grossit : rappel direct du chapitre 7</w:t>
      </w:r>
    </w:p>
    <w:p>
      <w:pPr>
        <w:pStyle w:val="FirstParagraph"/>
      </w:pPr>
      <w:r>
        <w:t xml:space="preserve">📌 À retenir — le même principe qu’</w:t>
      </w:r>
      <w:r>
        <w:t xml:space="preserve">“une GPO, un objectif”</w:t>
      </w:r>
      <w:r>
        <w:t xml:space="preserve"> </w:t>
      </w:r>
      <w:r>
        <w:t xml:space="preserve">Rappel direct du chapitre 7 (section 7.3) : regrouper des dizaines de tâches sans lien logique dans un seul playbook géant rend le diagnostic et la maintenance beaucoup plus difficiles qu’une structure organisée par objectif clair — exactement le même problème déjà résolu pour les stratégies de groupe, maintenant transposé à l’automatisation Ansible.</w:t>
      </w:r>
    </w:p>
    <w:bookmarkEnd w:id="1299"/>
    <w:bookmarkStart w:id="1300" w:name="Xab5b98d1b3b4ecf9309fdac2600e042b5ee391b"/>
    <w:p>
      <w:pPr>
        <w:pStyle w:val="Heading2"/>
      </w:pPr>
      <w:r>
        <w:t xml:space="preserve">53.2 Les rôles : structurer l’automatisation en unités réutilisables</w:t>
      </w:r>
    </w:p>
    <w:p>
      <w:pPr>
        <w:pStyle w:val="SourceCode"/>
      </w:pPr>
      <w:r>
        <w:rPr>
          <w:rStyle w:val="VerbatimChar"/>
        </w:rPr>
        <w:t xml:space="preserve">roles/</w:t>
      </w:r>
      <w:r>
        <w:br/>
      </w:r>
      <w:r>
        <w:rPr>
          <w:rStyle w:val="VerbatimChar"/>
        </w:rPr>
        <w:t xml:space="preserve">  securite_base/</w:t>
      </w:r>
      <w:r>
        <w:br/>
      </w:r>
      <w:r>
        <w:rPr>
          <w:rStyle w:val="VerbatimChar"/>
        </w:rPr>
        <w:t xml:space="preserve">    tasks/</w:t>
      </w:r>
      <w:r>
        <w:br/>
      </w:r>
      <w:r>
        <w:rPr>
          <w:rStyle w:val="VerbatimChar"/>
        </w:rPr>
        <w:t xml:space="preserve">      main.yml</w:t>
      </w:r>
      <w:r>
        <w:br/>
      </w:r>
      <w:r>
        <w:rPr>
          <w:rStyle w:val="VerbatimChar"/>
        </w:rPr>
        <w:t xml:space="preserve">    handlers/</w:t>
      </w:r>
      <w:r>
        <w:br/>
      </w:r>
      <w:r>
        <w:rPr>
          <w:rStyle w:val="VerbatimChar"/>
        </w:rPr>
        <w:t xml:space="preserve">      main.yml</w:t>
      </w:r>
      <w:r>
        <w:br/>
      </w:r>
      <w:r>
        <w:rPr>
          <w:rStyle w:val="VerbatimChar"/>
        </w:rPr>
        <w:t xml:space="preserve">    templates/</w:t>
      </w:r>
      <w:r>
        <w:br/>
      </w:r>
      <w:r>
        <w:rPr>
          <w:rStyle w:val="VerbatimChar"/>
        </w:rPr>
        <w:t xml:space="preserve">      sudoers.j2</w:t>
      </w:r>
      <w:r>
        <w:br/>
      </w:r>
      <w:r>
        <w:rPr>
          <w:rStyle w:val="VerbatimChar"/>
        </w:rPr>
        <w:t xml:space="preserve">    defaults/</w:t>
      </w:r>
      <w:r>
        <w:br/>
      </w:r>
      <w:r>
        <w:rPr>
          <w:rStyle w:val="VerbatimChar"/>
        </w:rPr>
        <w:t xml:space="preserve">      main.yml</w:t>
      </w:r>
      <w:r>
        <w:br/>
      </w:r>
      <w:r>
        <w:rPr>
          <w:rStyle w:val="VerbatimChar"/>
        </w:rPr>
        <w:t xml:space="preserve">  base_donnees/</w:t>
      </w:r>
      <w:r>
        <w:br/>
      </w:r>
      <w:r>
        <w:rPr>
          <w:rStyle w:val="VerbatimChar"/>
        </w:rPr>
        <w:t xml:space="preserve">    tasks/</w:t>
      </w:r>
      <w:r>
        <w:br/>
      </w:r>
      <w:r>
        <w:rPr>
          <w:rStyle w:val="VerbatimChar"/>
        </w:rPr>
        <w:t xml:space="preserve">      main.yml</w:t>
      </w:r>
      <w:r>
        <w:br/>
      </w:r>
      <w:r>
        <w:rPr>
          <w:rStyle w:val="VerbatimChar"/>
        </w:rPr>
        <w:t xml:space="preserve">    vars/</w:t>
      </w:r>
      <w:r>
        <w:br/>
      </w:r>
      <w:r>
        <w:rPr>
          <w:rStyle w:val="VerbatimChar"/>
        </w:rPr>
        <w:t xml:space="preserve">      main.yml</w:t>
      </w:r>
    </w:p>
    <w:p>
      <w:pPr>
        <w:pStyle w:val="FirstParagraph"/>
      </w:pPr>
      <w:r>
        <w:t xml:space="preserve">💡 Un rôle par objectif clair, comme une GPO du chapitre 7</w:t>
      </w:r>
      <w:r>
        <w:t xml:space="preserve"> </w:t>
      </w:r>
      <w:r>
        <w:t xml:space="preserve">Un</w:t>
      </w:r>
      <w:r>
        <w:t xml:space="preserve"> </w:t>
      </w:r>
      <w:r>
        <w:rPr>
          <w:b/>
          <w:bCs/>
        </w:rPr>
        <w:t xml:space="preserve">rôle</w:t>
      </w:r>
      <w:r>
        <w:t xml:space="preserve"> </w:t>
      </w:r>
      <w:r>
        <w:t xml:space="preserve">Ansible regroupe tout ce qui concerne un objectif précis (tâches, gestionnaires d’événements, modèles, variables) dans une structure de dossiers standardisée et réutilisable — exactement le même principe déjà établi pour les GPO nommées et documentées du chapitre 7, transposé à l’automatisation.</w:t>
      </w:r>
    </w:p>
    <w:p>
      <w:pPr>
        <w:pStyle w:val="SourceCode"/>
      </w:pPr>
      <w:r>
        <w:rPr>
          <w:rStyle w:val="CommentTok"/>
        </w:rPr>
        <w:t xml:space="preserve"># playbook-principal.yml, desormais court et lisible</w:t>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Configurer les serveurs de l'entreprise</w:t>
      </w:r>
      <w:r>
        <w:br/>
      </w:r>
      <w:r>
        <w:rPr>
          <w:rStyle w:val="AttributeTok"/>
        </w:rPr>
        <w:t xml:space="preserve">  </w:t>
      </w:r>
      <w:r>
        <w:rPr>
          <w:rStyle w:val="FunctionTok"/>
        </w:rPr>
        <w:t xml:space="preserve">hosts</w:t>
      </w:r>
      <w:r>
        <w:rPr>
          <w:rStyle w:val="KeywordTok"/>
        </w:rPr>
        <w:t xml:space="preserve">:</w:t>
      </w:r>
      <w:r>
        <w:rPr>
          <w:rStyle w:val="AttributeTok"/>
        </w:rPr>
        <w:t xml:space="preserve"> tous_les_serveurs</w:t>
      </w:r>
      <w:r>
        <w:br/>
      </w:r>
      <w:r>
        <w:rPr>
          <w:rStyle w:val="AttributeTok"/>
        </w:rPr>
        <w:t xml:space="preserve">  </w:t>
      </w:r>
      <w:r>
        <w:rPr>
          <w:rStyle w:val="FunctionTok"/>
        </w:rPr>
        <w:t xml:space="preserve">become</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roles</w:t>
      </w:r>
      <w:r>
        <w:rPr>
          <w:rStyle w:val="KeywordTok"/>
        </w:rPr>
        <w:t xml:space="preserve">:</w:t>
      </w:r>
      <w:r>
        <w:br/>
      </w:r>
      <w:r>
        <w:rPr>
          <w:rStyle w:val="AttributeTok"/>
        </w:rPr>
        <w:t xml:space="preserve">    </w:t>
      </w:r>
      <w:r>
        <w:rPr>
          <w:rStyle w:val="KeywordTok"/>
        </w:rPr>
        <w:t xml:space="preserve">-</w:t>
      </w:r>
      <w:r>
        <w:rPr>
          <w:rStyle w:val="AttributeTok"/>
        </w:rPr>
        <w:t xml:space="preserve"> securite_base</w:t>
      </w:r>
      <w:r>
        <w:br/>
      </w:r>
      <w:r>
        <w:rPr>
          <w:rStyle w:val="AttributeTok"/>
        </w:rPr>
        <w:t xml:space="preserve">    </w:t>
      </w:r>
      <w:r>
        <w:rPr>
          <w:rStyle w:val="KeywordTok"/>
        </w:rPr>
        <w:t xml:space="preserve">-</w:t>
      </w:r>
      <w:r>
        <w:rPr>
          <w:rStyle w:val="AttributeTok"/>
        </w:rPr>
        <w:t xml:space="preserve"> base_donnees</w:t>
      </w:r>
    </w:p>
    <w:bookmarkEnd w:id="1300"/>
    <w:bookmarkStart w:id="1301" w:name="X306b757210233a7a6833c4a309c83324457e790"/>
    <w:p>
      <w:pPr>
        <w:pStyle w:val="Heading2"/>
      </w:pPr>
      <w:r>
        <w:t xml:space="preserve">53.3 Ansible Vault : résoudre le problème du mot de passe en clair</w:t>
      </w:r>
    </w:p>
    <w:p>
      <w:pPr>
        <w:pStyle w:val="FirstParagraph"/>
      </w:pPr>
      <w:r>
        <w:t xml:space="preserve">🔒 Sécurité — la réponse directe au piège identifié au chapitre 52</w:t>
      </w:r>
      <w:r>
        <w:t xml:space="preserve"> </w:t>
      </w:r>
      <w:r>
        <w:rPr>
          <w:b/>
          <w:bCs/>
        </w:rPr>
        <w:t xml:space="preserve">Ansible Vault</w:t>
      </w:r>
      <w:r>
        <w:t xml:space="preserve"> </w:t>
      </w:r>
      <w:r>
        <w:t xml:space="preserve">chiffre un fichier entier (souvent un fichier de variables contenant des secrets), le rendant illisible sans le mot de passe de déchiffrement — résolvant exactement le problème du scénario d’ouverture : le mot de passe de base de données peut désormais être commité dans Git sous forme chiffrée, sans jamais apparaître en clair dans l’historique du dépôt.</w:t>
      </w:r>
    </w:p>
    <w:p>
      <w:pPr>
        <w:pStyle w:val="SourceCode"/>
      </w:pPr>
      <w:r>
        <w:rPr>
          <w:rStyle w:val="VerbatimChar"/>
        </w:rPr>
        <w:t xml:space="preserve"># Creer un fichier chiffre pour les variables sensibles</w:t>
      </w:r>
      <w:r>
        <w:br/>
      </w:r>
      <w:r>
        <w:rPr>
          <w:rStyle w:val="VerbatimChar"/>
        </w:rPr>
        <w:t xml:space="preserve">ansible-vault create roles/base_donnees/vars/secrets.yml</w:t>
      </w:r>
      <w:r>
        <w:br/>
      </w:r>
      <w:r>
        <w:br/>
      </w:r>
      <w:r>
        <w:rPr>
          <w:rStyle w:val="VerbatimChar"/>
        </w:rPr>
        <w:t xml:space="preserve"># Editer un fichier deja chiffre (demande le mot de passe du vault)</w:t>
      </w:r>
      <w:r>
        <w:br/>
      </w:r>
      <w:r>
        <w:rPr>
          <w:rStyle w:val="VerbatimChar"/>
        </w:rPr>
        <w:t xml:space="preserve">ansible-vault edit roles/base_donnees/vars/secrets.yml</w:t>
      </w:r>
      <w:r>
        <w:br/>
      </w:r>
      <w:r>
        <w:br/>
      </w:r>
      <w:r>
        <w:rPr>
          <w:rStyle w:val="VerbatimChar"/>
        </w:rPr>
        <w:t xml:space="preserve"># Executer un playbook utilisant des variables chiffrees</w:t>
      </w:r>
      <w:r>
        <w:br/>
      </w:r>
      <w:r>
        <w:rPr>
          <w:rStyle w:val="VerbatimChar"/>
        </w:rPr>
        <w:t xml:space="preserve">ansible-playbook -i inventaire.ini playbook-principal.yml --ask-vault-pass</w:t>
      </w:r>
    </w:p>
    <w:p>
      <w:pPr>
        <w:pStyle w:val="FirstParagraph"/>
      </w:pPr>
      <w:r>
        <w:t xml:space="preserve">⚠️ Le mot de passe du vault lui-même ne doit jamais être committé</w:t>
      </w:r>
      <w:r>
        <w:t xml:space="preserve"> </w:t>
      </w:r>
      <w:r>
        <w:t xml:space="preserve">Ansible Vault protège le</w:t>
      </w:r>
      <w:r>
        <w:t xml:space="preserve"> </w:t>
      </w:r>
      <w:r>
        <w:rPr>
          <w:b/>
          <w:bCs/>
        </w:rPr>
        <w:t xml:space="preserve">contenu</w:t>
      </w:r>
      <w:r>
        <w:t xml:space="preserve"> </w:t>
      </w:r>
      <w:r>
        <w:t xml:space="preserve">du fichier, mais le mot de passe utilisé pour le chiffrer/déchiffrer reste une information tout aussi sensible que le secret lui-même — le stocker dans un fichier committé dans le même dépôt Git annulerait entièrement la protection apportée par le chiffrement, exactement le même piège déjà dénoncé pour une clé privée TLS mal protégée au chapitre 24. Ce mot de passe doit être géré séparément (gestionnaire de mots de passe, variable d’environnement sur le poste de contrôle, ou un coffre-fort de secrets plus large approfondi ultérieurement).</w:t>
      </w:r>
    </w:p>
    <w:bookmarkEnd w:id="1301"/>
    <w:bookmarkStart w:id="1302" w:name="Xfea8ddfed44e1e510aa7a6675eff3a734ae0d69"/>
    <w:p>
      <w:pPr>
        <w:pStyle w:val="Heading2"/>
      </w:pPr>
      <w:r>
        <w:t xml:space="preserve">53.4 Variables et templates : personnaliser par environnement</w:t>
      </w:r>
    </w:p>
    <w:p>
      <w:pPr>
        <w:pStyle w:val="FirstParagraph"/>
      </w:pPr>
      <w:r>
        <w:t xml:space="preserve">💡 Rappel direct du chapitre 41</w:t>
      </w:r>
      <w:r>
        <w:t xml:space="preserve"> </w:t>
      </w:r>
      <w:r>
        <w:t xml:space="preserve">Exactement le même besoin déjà résolu par les fichiers</w:t>
      </w:r>
      <w:r>
        <w:t xml:space="preserve"> </w:t>
      </w:r>
      <w:r>
        <w:rPr>
          <w:rStyle w:val="VerbatimChar"/>
        </w:rPr>
        <w:t xml:space="preserve">.env</w:t>
      </w:r>
      <w:r>
        <w:t xml:space="preserve"> </w:t>
      </w:r>
      <w:r>
        <w:t xml:space="preserve">de Docker Compose (chapitre 41) : un rôle Ansible peut définir des valeurs par défaut (</w:t>
      </w:r>
      <w:r>
        <w:rPr>
          <w:rStyle w:val="VerbatimChar"/>
        </w:rPr>
        <w:t xml:space="preserve">defaults/main.yml</w:t>
      </w:r>
      <w:r>
        <w:t xml:space="preserve">), personnalisables par groupe d’hôtes ou par environnement, sans dupliquer le rôle lui-même pour chaque contexte.</w:t>
      </w:r>
    </w:p>
    <w:p>
      <w:pPr>
        <w:pStyle w:val="SourceCode"/>
      </w:pPr>
      <w:r>
        <w:rPr>
          <w:rStyle w:val="VerbatimChar"/>
        </w:rPr>
        <w:t xml:space="preserve">{# templates/sudoers.j2 -- un template Jinja2, avec une variable</w:t>
      </w:r>
      <w:r>
        <w:br/>
      </w:r>
      <w:r>
        <w:rPr>
          <w:rStyle w:val="VerbatimChar"/>
        </w:rPr>
        <w:t xml:space="preserve">   substituee dynamiquement selon le serveur cible #}</w:t>
      </w:r>
      <w:r>
        <w:br/>
      </w:r>
      <w:r>
        <w:rPr>
          <w:rStyle w:val="VerbatimChar"/>
        </w:rPr>
        <w:t xml:space="preserve">{{ groupe_dev }} ALL=(root) /usr/bin/systemctl restart {{ service_applicatif }}</w:t>
      </w:r>
    </w:p>
    <w:p>
      <w:pPr>
        <w:pStyle w:val="SourceCode"/>
      </w:pPr>
      <w:r>
        <w:rPr>
          <w:rStyle w:val="CommentTok"/>
        </w:rPr>
        <w:t xml:space="preserve"># defaults/main.yml du role</w:t>
      </w:r>
      <w:r>
        <w:br/>
      </w:r>
      <w:r>
        <w:rPr>
          <w:rStyle w:val="FunctionTok"/>
        </w:rPr>
        <w:t xml:space="preserve">groupe_dev</w:t>
      </w:r>
      <w:r>
        <w:rPr>
          <w:rStyle w:val="KeywordTok"/>
        </w:rPr>
        <w:t xml:space="preserve">:</w:t>
      </w:r>
      <w:r>
        <w:rPr>
          <w:rStyle w:val="AttributeTok"/>
        </w:rPr>
        <w:t xml:space="preserve"> dev_portail</w:t>
      </w:r>
      <w:r>
        <w:br/>
      </w:r>
      <w:r>
        <w:rPr>
          <w:rStyle w:val="FunctionTok"/>
        </w:rPr>
        <w:t xml:space="preserve">service_applicatif</w:t>
      </w:r>
      <w:r>
        <w:rPr>
          <w:rStyle w:val="KeywordTok"/>
        </w:rPr>
        <w:t xml:space="preserve">:</w:t>
      </w:r>
      <w:r>
        <w:rPr>
          <w:rStyle w:val="AttributeTok"/>
        </w:rPr>
        <w:t xml:space="preserve"> portail-worker</w:t>
      </w:r>
    </w:p>
    <w:bookmarkEnd w:id="1302"/>
    <w:bookmarkStart w:id="1303" w:name="X6fa6929e9468962e77e56638614361ad6ba526d"/>
    <w:p>
      <w:pPr>
        <w:pStyle w:val="Heading2"/>
      </w:pPr>
      <w:r>
        <w:t xml:space="preserve">53.5 Handlers : agir seulement quand c’est réellement nécessaire</w:t>
      </w:r>
    </w:p>
    <w:p>
      <w:pPr>
        <w:pStyle w:val="SourceCode"/>
      </w:pPr>
      <w:r>
        <w:rPr>
          <w:rStyle w:val="CommentTok"/>
        </w:rPr>
        <w:t xml:space="preserve"># tasks/main.yml du role securite_base</w:t>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Deployer la configuration sudo</w:t>
      </w:r>
      <w:r>
        <w:br/>
      </w:r>
      <w:r>
        <w:rPr>
          <w:rStyle w:val="AttributeTok"/>
        </w:rPr>
        <w:t xml:space="preserve">  </w:t>
      </w:r>
      <w:r>
        <w:rPr>
          <w:rStyle w:val="FunctionTok"/>
        </w:rPr>
        <w:t xml:space="preserve">template</w:t>
      </w:r>
      <w:r>
        <w:rPr>
          <w:rStyle w:val="KeywordTok"/>
        </w:rPr>
        <w:t xml:space="preserve">:</w:t>
      </w:r>
      <w:r>
        <w:br/>
      </w:r>
      <w:r>
        <w:rPr>
          <w:rStyle w:val="AttributeTok"/>
        </w:rPr>
        <w:t xml:space="preserve">    </w:t>
      </w:r>
      <w:r>
        <w:rPr>
          <w:rStyle w:val="FunctionTok"/>
        </w:rPr>
        <w:t xml:space="preserve">src</w:t>
      </w:r>
      <w:r>
        <w:rPr>
          <w:rStyle w:val="KeywordTok"/>
        </w:rPr>
        <w:t xml:space="preserve">:</w:t>
      </w:r>
      <w:r>
        <w:rPr>
          <w:rStyle w:val="AttributeTok"/>
        </w:rPr>
        <w:t xml:space="preserve"> sudoers.j2</w:t>
      </w:r>
      <w:r>
        <w:br/>
      </w:r>
      <w:r>
        <w:rPr>
          <w:rStyle w:val="AttributeTok"/>
        </w:rPr>
        <w:t xml:space="preserve">    </w:t>
      </w:r>
      <w:r>
        <w:rPr>
          <w:rStyle w:val="FunctionTok"/>
        </w:rPr>
        <w:t xml:space="preserve">dest</w:t>
      </w:r>
      <w:r>
        <w:rPr>
          <w:rStyle w:val="KeywordTok"/>
        </w:rPr>
        <w:t xml:space="preserve">:</w:t>
      </w:r>
      <w:r>
        <w:rPr>
          <w:rStyle w:val="AttributeTok"/>
        </w:rPr>
        <w:t xml:space="preserve"> /etc/sudoers.d/dev_portail</w:t>
      </w:r>
      <w:r>
        <w:br/>
      </w:r>
      <w:r>
        <w:rPr>
          <w:rStyle w:val="AttributeTok"/>
        </w:rPr>
        <w:t xml:space="preserve">    </w:t>
      </w:r>
      <w:r>
        <w:rPr>
          <w:rStyle w:val="FunctionTok"/>
        </w:rPr>
        <w:t xml:space="preserve">mode</w:t>
      </w:r>
      <w:r>
        <w:rPr>
          <w:rStyle w:val="KeywordTok"/>
        </w:rPr>
        <w:t xml:space="preserve">:</w:t>
      </w:r>
      <w:r>
        <w:rPr>
          <w:rStyle w:val="AttributeTok"/>
        </w:rPr>
        <w:t xml:space="preserve"> </w:t>
      </w:r>
      <w:r>
        <w:rPr>
          <w:rStyle w:val="StringTok"/>
        </w:rPr>
        <w:t xml:space="preserve">"0440"</w:t>
      </w:r>
      <w:r>
        <w:br/>
      </w:r>
      <w:r>
        <w:rPr>
          <w:rStyle w:val="AttributeTok"/>
        </w:rPr>
        <w:t xml:space="preserve">    </w:t>
      </w:r>
      <w:r>
        <w:rPr>
          <w:rStyle w:val="FunctionTok"/>
        </w:rPr>
        <w:t xml:space="preserve">validate</w:t>
      </w:r>
      <w:r>
        <w:rPr>
          <w:rStyle w:val="KeywordTok"/>
        </w:rPr>
        <w:t xml:space="preserve">:</w:t>
      </w:r>
      <w:r>
        <w:rPr>
          <w:rStyle w:val="AttributeTok"/>
        </w:rPr>
        <w:t xml:space="preserve"> </w:t>
      </w:r>
      <w:r>
        <w:rPr>
          <w:rStyle w:val="StringTok"/>
        </w:rPr>
        <w:t xml:space="preserve">"visudo -cf %s"</w:t>
      </w:r>
      <w:r>
        <w:br/>
      </w:r>
      <w:r>
        <w:rPr>
          <w:rStyle w:val="AttributeTok"/>
        </w:rPr>
        <w:t xml:space="preserve">  </w:t>
      </w:r>
      <w:r>
        <w:rPr>
          <w:rStyle w:val="FunctionTok"/>
        </w:rPr>
        <w:t xml:space="preserve">notify</w:t>
      </w:r>
      <w:r>
        <w:rPr>
          <w:rStyle w:val="KeywordTok"/>
        </w:rPr>
        <w:t xml:space="preserve">:</w:t>
      </w:r>
      <w:r>
        <w:rPr>
          <w:rStyle w:val="AttributeTok"/>
        </w:rPr>
        <w:t xml:space="preserve"> Recharger la configuration sudo</w:t>
      </w:r>
      <w:r>
        <w:br/>
      </w:r>
      <w:r>
        <w:br/>
      </w:r>
      <w:r>
        <w:rPr>
          <w:rStyle w:val="CommentTok"/>
        </w:rPr>
        <w:t xml:space="preserve"># handlers/main.yml</w:t>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Recharger la configuration sudo</w:t>
      </w:r>
      <w:r>
        <w:br/>
      </w:r>
      <w:r>
        <w:rPr>
          <w:rStyle w:val="AttributeTok"/>
        </w:rPr>
        <w:t xml:space="preserve">  </w:t>
      </w:r>
      <w:r>
        <w:rPr>
          <w:rStyle w:val="FunctionTok"/>
        </w:rPr>
        <w:t xml:space="preserve">systemd</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sudo</w:t>
      </w:r>
      <w:r>
        <w:br/>
      </w:r>
      <w:r>
        <w:rPr>
          <w:rStyle w:val="AttributeTok"/>
        </w:rPr>
        <w:t xml:space="preserve">    </w:t>
      </w:r>
      <w:r>
        <w:rPr>
          <w:rStyle w:val="FunctionTok"/>
        </w:rPr>
        <w:t xml:space="preserve">state</w:t>
      </w:r>
      <w:r>
        <w:rPr>
          <w:rStyle w:val="KeywordTok"/>
        </w:rPr>
        <w:t xml:space="preserve">:</w:t>
      </w:r>
      <w:r>
        <w:rPr>
          <w:rStyle w:val="AttributeTok"/>
        </w:rPr>
        <w:t xml:space="preserve"> reloaded</w:t>
      </w:r>
    </w:p>
    <w:p>
      <w:pPr>
        <w:pStyle w:val="FirstParagraph"/>
      </w:pPr>
      <w:r>
        <w:t xml:space="preserve">✅ Un handler ne s’exécute que si un changement réel a eu lieu</w:t>
      </w:r>
      <w:r>
        <w:t xml:space="preserve"> </w:t>
      </w:r>
      <w:r>
        <w:t xml:space="preserve">Un</w:t>
      </w:r>
      <w:r>
        <w:t xml:space="preserve"> </w:t>
      </w:r>
      <w:r>
        <w:rPr>
          <w:b/>
          <w:bCs/>
        </w:rPr>
        <w:t xml:space="preserve">handler</w:t>
      </w:r>
      <w:r>
        <w:t xml:space="preserve"> </w:t>
      </w:r>
      <w:r>
        <w:t xml:space="preserve">ne se déclenche que si la tâche qui le notifie a réellement produit un changement — si le fichier de configuration sudo était déjà identique (rappel de l’idempotence, chapitre 52), aucun rechargement inutile n’est déclenché. Ce mécanisme répond directement au risque du scénario d’ouverture évoqué dans les erreurs fréquentes : sans handler, un changement de configuration pourrait être déployé sur le disque sans jamais être réellement pris en compte par le service concerné, tant qu’aucun redémarrage ou rechargement n’a été explicitement provoqué.</w:t>
      </w:r>
    </w:p>
    <w:bookmarkEnd w:id="1303"/>
    <w:bookmarkStart w:id="1304" w:name="assembler-un-rôle-complet"/>
    <w:p>
      <w:pPr>
        <w:pStyle w:val="Heading2"/>
      </w:pPr>
      <w:r>
        <w:t xml:space="preserve">53.6 Assembler un rôle complet</w:t>
      </w:r>
    </w:p>
    <w:p>
      <w:pPr>
        <w:pStyle w:val="FirstParagraph"/>
      </w:pPr>
      <w:r>
        <w:t xml:space="preserve">🧠 À mémoriser — la structure complète répond au scénario d’ouverture</w:t>
      </w:r>
      <w:r>
        <w:t xml:space="preserve"> </w:t>
      </w:r>
      <w:r>
        <w:t xml:space="preserve">Un rôle</w:t>
      </w:r>
      <w:r>
        <w:t xml:space="preserve"> </w:t>
      </w:r>
      <w:r>
        <w:rPr>
          <w:rStyle w:val="VerbatimChar"/>
        </w:rPr>
        <w:t xml:space="preserve">base_donnees</w:t>
      </w:r>
      <w:r>
        <w:t xml:space="preserve"> </w:t>
      </w:r>
      <w:r>
        <w:t xml:space="preserve">bien structuré combine une tâche déployant la configuration de connexion (section 53.2), un fichier de variables</w:t>
      </w:r>
      <w:r>
        <w:t xml:space="preserve"> </w:t>
      </w:r>
      <w:r>
        <w:rPr>
          <w:b/>
          <w:bCs/>
        </w:rPr>
        <w:t xml:space="preserve">chiffré</w:t>
      </w:r>
      <w:r>
        <w:t xml:space="preserve"> </w:t>
      </w:r>
      <w:r>
        <w:t xml:space="preserve">avec Ansible Vault pour le mot de passe (section 53.3), un template pour personnaliser la configuration selon l’environnement (section 53.4), et un handler qui redémarre le service applicatif uniquement si la configuration a réellement changé (section 53.5) — la réponse complète et structurée aux deux problèmes soulevés par le DSI dans le scénario d’ouverture.</w:t>
      </w:r>
    </w:p>
    <w:bookmarkEnd w:id="1304"/>
    <w:bookmarkStart w:id="1305" w:name="Xe972d60b483337d3802850c9fb204a2e2f02c61"/>
    <w:p>
      <w:pPr>
        <w:pStyle w:val="Heading2"/>
      </w:pPr>
      <w:r>
        <w:t xml:space="preserve">Atelier — Refactoriser le playbook du chapitre 52 en rôle sécurisé</w:t>
      </w:r>
    </w:p>
    <w:p>
      <w:pPr>
        <w:pStyle w:val="FirstParagraph"/>
      </w:pPr>
      <w:r>
        <w:t xml:space="preserve">🛠️ Atelier 53 — Corriger les deux problèmes du scénario d’ouverture</w:t>
      </w:r>
    </w:p>
    <w:p>
      <w:pPr>
        <w:pStyle w:val="BodyText"/>
      </w:pPr>
      <w:r>
        <w:rPr>
          <w:b/>
          <w:bCs/>
        </w:rPr>
        <w:t xml:space="preserve">Objectif</w:t>
      </w:r>
      <w:r>
        <w:t xml:space="preserve"> </w:t>
      </w:r>
      <w:r>
        <w:t xml:space="preserve">: transformer le playbook plat du chapitre 52 en un rôle structuré, avec le mot de passe de base de données protégé par Vault.</w:t>
      </w:r>
    </w:p>
    <w:p>
      <w:pPr>
        <w:pStyle w:val="BodyText"/>
      </w:pPr>
      <w:r>
        <w:rPr>
          <w:b/>
          <w:bCs/>
        </w:rPr>
        <w:t xml:space="preserve">Préparation</w:t>
      </w:r>
      <w:r>
        <w:t xml:space="preserve"> </w:t>
      </w:r>
      <w:r>
        <w:t xml:space="preserve">: accès à un environnement Ansible de test, ou une lecture attentive suffit pour cet atelier conceptuel.</w:t>
      </w:r>
    </w:p>
    <w:p>
      <w:pPr>
        <w:pStyle w:val="BodyText"/>
      </w:pPr>
      <w:r>
        <w:rPr>
          <w:b/>
          <w:bCs/>
        </w:rPr>
        <w:t xml:space="preserve">Étapes détaillées</w:t>
      </w:r>
      <w:r>
        <w:t xml:space="preserve"> </w:t>
      </w:r>
      <w:r>
        <w:t xml:space="preserve">:</w:t>
      </w:r>
    </w:p>
    <w:p>
      <w:pPr>
        <w:pStyle w:val="Compact"/>
        <w:numPr>
          <w:ilvl w:val="0"/>
          <w:numId w:val="2217"/>
        </w:numPr>
      </w:pPr>
      <w:r>
        <w:t xml:space="preserve">Réorganise le playbook</w:t>
      </w:r>
      <w:r>
        <w:t xml:space="preserve"> </w:t>
      </w:r>
      <w:r>
        <w:rPr>
          <w:rStyle w:val="VerbatimChar"/>
        </w:rPr>
        <w:t xml:space="preserve">playbook-securite-base.yml</w:t>
      </w:r>
      <w:r>
        <w:t xml:space="preserve"> </w:t>
      </w:r>
      <w:r>
        <w:t xml:space="preserve">du chapitre 52 en un rôle</w:t>
      </w:r>
      <w:r>
        <w:t xml:space="preserve"> </w:t>
      </w:r>
      <w:r>
        <w:rPr>
          <w:rStyle w:val="VerbatimChar"/>
        </w:rPr>
        <w:t xml:space="preserve">securite_base</w:t>
      </w:r>
      <w:r>
        <w:t xml:space="preserve"> </w:t>
      </w:r>
      <w:r>
        <w:t xml:space="preserve">avec la structure de dossiers de la section 53.2.</w:t>
      </w:r>
    </w:p>
    <w:p>
      <w:pPr>
        <w:pStyle w:val="Compact"/>
        <w:numPr>
          <w:ilvl w:val="0"/>
          <w:numId w:val="2217"/>
        </w:numPr>
      </w:pPr>
      <w:r>
        <w:t xml:space="preserve">Crée un fichier de variables chiffré pour le mot de passe de la base de données, en utilisant</w:t>
      </w:r>
      <w:r>
        <w:t xml:space="preserve"> </w:t>
      </w:r>
      <w:r>
        <w:rPr>
          <w:rStyle w:val="VerbatimChar"/>
        </w:rPr>
        <w:t xml:space="preserve">ansible-vault create</w:t>
      </w:r>
      <w:r>
        <w:t xml:space="preserve">.</w:t>
      </w:r>
    </w:p>
    <w:p>
      <w:pPr>
        <w:pStyle w:val="Compact"/>
        <w:numPr>
          <w:ilvl w:val="0"/>
          <w:numId w:val="2217"/>
        </w:numPr>
      </w:pPr>
      <w:r>
        <w:t xml:space="preserve">Ajoute un handler qui redémarre le service applicatif uniquement si sa configuration change.</w:t>
      </w:r>
    </w:p>
    <w:p>
      <w:pPr>
        <w:pStyle w:val="Compact"/>
        <w:numPr>
          <w:ilvl w:val="0"/>
          <w:numId w:val="2217"/>
        </w:numPr>
      </w:pPr>
      <w:r>
        <w:t xml:space="preserve">Compare ta démarche à la section</w:t>
      </w:r>
      <w:r>
        <w:t xml:space="preserve"> </w:t>
      </w:r>
      <w:r>
        <w:t xml:space="preserve">“Résultat attendu”</w:t>
      </w:r>
      <w:r>
        <w:t xml:space="preserve">.</w:t>
      </w:r>
    </w:p>
    <w:p>
      <w:pPr>
        <w:pStyle w:val="FirstParagraph"/>
      </w:pPr>
      <w:r>
        <w:rPr>
          <w:b/>
          <w:bCs/>
        </w:rPr>
        <w:t xml:space="preserve">Résultat attendu</w:t>
      </w:r>
      <w:r>
        <w:t xml:space="preserve"> </w:t>
      </w:r>
      <w:r>
        <w:t xml:space="preserve">: les tâches de fail2ban et de mise à jour des paquets migrent vers</w:t>
      </w:r>
      <w:r>
        <w:t xml:space="preserve"> </w:t>
      </w:r>
      <w:r>
        <w:rPr>
          <w:rStyle w:val="VerbatimChar"/>
        </w:rPr>
        <w:t xml:space="preserve">roles/securite_base/tasks/main.yml</w:t>
      </w:r>
      <w:r>
        <w:t xml:space="preserve">. Le mot de passe de la base de données est déplacé dans</w:t>
      </w:r>
      <w:r>
        <w:t xml:space="preserve"> </w:t>
      </w:r>
      <w:r>
        <w:rPr>
          <w:rStyle w:val="VerbatimChar"/>
        </w:rPr>
        <w:t xml:space="preserve">roles/base_donnees/vars/secrets.yml</w:t>
      </w:r>
      <w:r>
        <w:t xml:space="preserve">, chiffré via</w:t>
      </w:r>
      <w:r>
        <w:t xml:space="preserve"> </w:t>
      </w:r>
      <w:r>
        <w:rPr>
          <w:rStyle w:val="VerbatimChar"/>
        </w:rPr>
        <w:t xml:space="preserve">ansible-vault create</w:t>
      </w:r>
      <w:r>
        <w:t xml:space="preserve">, jamais visible en clair dans le dépôt Git. Un handler</w:t>
      </w:r>
      <w:r>
        <w:t xml:space="preserve"> </w:t>
      </w:r>
      <w:r>
        <w:rPr>
          <w:rStyle w:val="VerbatimChar"/>
        </w:rPr>
        <w:t xml:space="preserve">Redemarrer le service applicatif</w:t>
      </w:r>
      <w:r>
        <w:t xml:space="preserve"> </w:t>
      </w:r>
      <w:r>
        <w:t xml:space="preserve">est notifié uniquement par la tâche qui déploie effectivement un changement de configuration, garantissant que le service prend en compte tout changement réel sans redémarrage inutile en l’absence de changement.</w:t>
      </w:r>
    </w:p>
    <w:p>
      <w:pPr>
        <w:pStyle w:val="BodyText"/>
      </w:pPr>
      <w:r>
        <w:rPr>
          <w:b/>
          <w:bCs/>
        </w:rPr>
        <w:t xml:space="preserve">Dépannage</w:t>
      </w:r>
      <w:r>
        <w:t xml:space="preserve"> </w:t>
      </w:r>
      <w:r>
        <w:t xml:space="preserve">: si</w:t>
      </w:r>
      <w:r>
        <w:t xml:space="preserve"> </w:t>
      </w:r>
      <w:r>
        <w:rPr>
          <w:rStyle w:val="VerbatimChar"/>
        </w:rPr>
        <w:t xml:space="preserve">ansible-vault edit</w:t>
      </w:r>
      <w:r>
        <w:t xml:space="preserve"> </w:t>
      </w:r>
      <w:r>
        <w:t xml:space="preserve">échoue en réclamant un mot de passe incorrect, vérifie que tu utilises bien le même mot de passe de vault que celui utilisé lors de la création initiale du fichier — ce mot de passe n’est jamais récupérable depuis le fichier chiffré lui-même, une raison supplémentaire de le gérer avec autant de rigueur qu’un secret applicatif.</w:t>
      </w:r>
    </w:p>
    <w:bookmarkEnd w:id="1305"/>
    <w:bookmarkStart w:id="1306" w:name="erreurs-fréquentes-52"/>
    <w:p>
      <w:pPr>
        <w:pStyle w:val="Heading2"/>
      </w:pPr>
      <w:r>
        <w:t xml:space="preserve">Erreurs fréquentes</w:t>
      </w:r>
    </w:p>
    <w:p>
      <w:pPr>
        <w:pStyle w:val="FirstParagraph"/>
      </w:pPr>
      <w:r>
        <w:t xml:space="preserve">⚠️ Erreur n°1 — un playbook géant sans structure en rôles</w:t>
      </w:r>
      <w:r>
        <w:t xml:space="preserve"> </w:t>
      </w:r>
      <w:r>
        <w:t xml:space="preserve">Exactement le problème initial du scénario d’ouverture, rappel direct du principe déjà établi au chapitre 7 pour les GPO.</w:t>
      </w:r>
    </w:p>
    <w:p>
      <w:pPr>
        <w:pStyle w:val="BodyText"/>
      </w:pPr>
      <w:r>
        <w:t xml:space="preserve">⚠️ Erreur n°2 — stocker le mot de passe du vault à côté du fichier chiffré</w:t>
      </w:r>
      <w:r>
        <w:t xml:space="preserve"> </w:t>
      </w:r>
      <w:r>
        <w:t xml:space="preserve">Rappel de la section 53.3 : cette pratique annule entièrement la protection apportée par le chiffrement, exactement comme une clé privée TLS stockée avec des permissions trop larges au chapitre 24.</w:t>
      </w:r>
    </w:p>
    <w:p>
      <w:pPr>
        <w:pStyle w:val="BodyText"/>
      </w:pPr>
      <w:r>
        <w:t xml:space="preserve">⚠️ Erreur n°3 — oublier un handler après une tâche de configuration</w:t>
      </w:r>
      <w:r>
        <w:t xml:space="preserve"> </w:t>
      </w:r>
      <w:r>
        <w:t xml:space="preserve">Une configuration déployée sur le disque, mais jamais réellement prise en compte par le service concerné faute de redémarrage ou de rechargement — un piège qui donne une fausse impression de succès (la tâche Ansible réussit) alors que le changement réel n’est jamais devenu effectif.</w:t>
      </w:r>
    </w:p>
    <w:bookmarkEnd w:id="1306"/>
    <w:bookmarkStart w:id="1307" w:name="X7ad820626156d9e7d9899bb95e31c656a08b651"/>
    <w:p>
      <w:pPr>
        <w:pStyle w:val="Heading2"/>
      </w:pPr>
      <w:r>
        <w:t xml:space="preserve">Diagnostiquer une configuration déployée mais jamais appliquée</w:t>
      </w:r>
    </w:p>
    <w:p>
      <w:pPr>
        <w:pStyle w:val="FirstParagraph"/>
      </w:pPr>
      <w:r>
        <w:t xml:space="preserve">🩺 Symptôme : un playbook s’exécute avec succès, mais le comportement du service ne change pas</w:t>
      </w:r>
    </w:p>
    <w:p>
      <w:pPr>
        <w:pStyle w:val="Compact"/>
        <w:numPr>
          <w:ilvl w:val="0"/>
          <w:numId w:val="2218"/>
        </w:numPr>
      </w:pPr>
      <w:r>
        <w:rPr>
          <w:b/>
          <w:bCs/>
        </w:rPr>
        <w:t xml:space="preserve">Diagnostic</w:t>
      </w:r>
      <w:r>
        <w:t xml:space="preserve"> </w:t>
      </w:r>
      <w:r>
        <w:t xml:space="preserve">: vérifier si la tâche de déploiement de configuration comportait bien un</w:t>
      </w:r>
      <w:r>
        <w:t xml:space="preserve"> </w:t>
      </w:r>
      <w:r>
        <w:rPr>
          <w:rStyle w:val="VerbatimChar"/>
        </w:rPr>
        <w:t xml:space="preserve">notify</w:t>
      </w:r>
      <w:r>
        <w:t xml:space="preserve"> </w:t>
      </w:r>
      <w:r>
        <w:t xml:space="preserve">vers un handler approprié (section 53.5) — une tâche qui modifie un fichier de configuration sans notifier de handler laisse le service tourner avec son ancienne configuration en mémoire, malgré un fichier sur disque déjà à jour.</w:t>
      </w:r>
    </w:p>
    <w:p>
      <w:pPr>
        <w:pStyle w:val="Compact"/>
        <w:numPr>
          <w:ilvl w:val="0"/>
          <w:numId w:val="2218"/>
        </w:numPr>
      </w:pPr>
      <w:r>
        <w:rPr>
          <w:b/>
          <w:bCs/>
        </w:rPr>
        <w:t xml:space="preserve">Comment vérifier</w:t>
      </w:r>
      <w:r>
        <w:t xml:space="preserve"> </w:t>
      </w:r>
      <w:r>
        <w:t xml:space="preserve">: comparer la configuration effectivement chargée par le service (souvent consultable via une commande de diagnostic spécifique au service, ou en comparant l’horodatage du dernier redémarrage du service à celui du fichier de configuration) avec le fichier réellement présent sur le disque.</w:t>
      </w:r>
    </w:p>
    <w:p>
      <w:pPr>
        <w:pStyle w:val="Compact"/>
        <w:numPr>
          <w:ilvl w:val="0"/>
          <w:numId w:val="2218"/>
        </w:numPr>
      </w:pPr>
      <w:r>
        <w:rPr>
          <w:b/>
          <w:bCs/>
        </w:rPr>
        <w:t xml:space="preserve">Résolution</w:t>
      </w:r>
      <w:r>
        <w:t xml:space="preserve"> </w:t>
      </w:r>
      <w:r>
        <w:t xml:space="preserve">: ajouter le</w:t>
      </w:r>
      <w:r>
        <w:t xml:space="preserve"> </w:t>
      </w:r>
      <w:r>
        <w:rPr>
          <w:rStyle w:val="VerbatimChar"/>
        </w:rPr>
        <w:t xml:space="preserve">notify</w:t>
      </w:r>
      <w:r>
        <w:t xml:space="preserve"> </w:t>
      </w:r>
      <w:r>
        <w:t xml:space="preserve">manquant vers le handler approprié, puis redémarrer manuellement le service une première fois pour rattraper le décalage déjà accumulé avant que le playbook corrigé ne prenne le relais pour les futurs changements.</w:t>
      </w:r>
    </w:p>
    <w:bookmarkEnd w:id="1307"/>
    <w:bookmarkStart w:id="1308" w:name="en-entreprise-52"/>
    <w:p>
      <w:pPr>
        <w:pStyle w:val="Heading2"/>
      </w:pPr>
      <w:r>
        <w:t xml:space="preserve">En entreprise</w:t>
      </w:r>
    </w:p>
    <w:p>
      <w:pPr>
        <w:pStyle w:val="Compact"/>
        <w:numPr>
          <w:ilvl w:val="0"/>
          <w:numId w:val="2219"/>
        </w:numPr>
      </w:pPr>
      <w:r>
        <w:rPr>
          <w:b/>
          <w:bCs/>
        </w:rPr>
        <w:t xml:space="preserve">Bonne pratique répandue</w:t>
      </w:r>
      <w:r>
        <w:t xml:space="preserve"> </w:t>
      </w:r>
      <w:r>
        <w:t xml:space="preserve">: structurer systématiquement l’automatisation en rôles dès qu’un playbook dépasse une poignée de tâches liées à un seul objectif clair, plutôt que d’attendre que la maintenance devienne pénible.</w:t>
      </w:r>
    </w:p>
    <w:p>
      <w:pPr>
        <w:pStyle w:val="Compact"/>
        <w:numPr>
          <w:ilvl w:val="0"/>
          <w:numId w:val="2219"/>
        </w:numPr>
      </w:pPr>
      <w:r>
        <w:rPr>
          <w:b/>
          <w:bCs/>
        </w:rPr>
        <w:t xml:space="preserve">Bonne pratique répandue</w:t>
      </w:r>
      <w:r>
        <w:t xml:space="preserve"> </w:t>
      </w:r>
      <w:r>
        <w:t xml:space="preserve">: gérer le mot de passe du vault via un gestionnaire de secrets dédié plutôt qu’un simple fichier local, en particulier pour une équipe de plusieurs personnes ayant besoin d’un accès partagé et audité.</w:t>
      </w:r>
    </w:p>
    <w:p>
      <w:pPr>
        <w:pStyle w:val="Compact"/>
        <w:numPr>
          <w:ilvl w:val="0"/>
          <w:numId w:val="2219"/>
        </w:numPr>
      </w:pPr>
      <w:r>
        <w:rPr>
          <w:b/>
          <w:bCs/>
        </w:rPr>
        <w:t xml:space="preserve">Erreur classique observée</w:t>
      </w:r>
      <w:r>
        <w:t xml:space="preserve"> </w:t>
      </w:r>
      <w:r>
        <w:t xml:space="preserve">: une organisation qui découvre, lors d’un audit de sécurité du dépôt Git, plusieurs mots de passe en clair accumulés dans l’historique de playbooks jamais passés par Ansible Vault — un rappel direct du même risque déjà évoqué au chapitre 51 pour tout secret committé par erreur.</w:t>
      </w:r>
    </w:p>
    <w:bookmarkEnd w:id="1308"/>
    <w:bookmarkStart w:id="1309" w:name="entretien-technique-52"/>
    <w:p>
      <w:pPr>
        <w:pStyle w:val="Heading2"/>
      </w:pPr>
      <w:r>
        <w:t xml:space="preserve">Entretien technique</w:t>
      </w:r>
    </w:p>
    <w:p>
      <w:pPr>
        <w:pStyle w:val="FirstParagraph"/>
      </w:pPr>
      <w:r>
        <w:t xml:space="preserve">💼 Questions fréquemment posées en entretien</w:t>
      </w:r>
    </w:p>
    <w:p>
      <w:pPr>
        <w:pStyle w:val="BodyText"/>
      </w:pPr>
      <w:r>
        <w:rPr>
          <w:b/>
          <w:bCs/>
        </w:rPr>
        <w:t xml:space="preserve">Q1.</w:t>
      </w:r>
      <w:r>
        <w:rPr>
          <w:b/>
          <w:bCs/>
        </w:rPr>
        <w:t xml:space="preserve"> </w:t>
      </w:r>
      <w:r>
        <w:rPr>
          <w:b/>
          <w:bCs/>
        </w:rPr>
        <w:t xml:space="preserve">“Pourquoi organiser l’automatisation Ansible en rôles plutôt qu’un seul grand playbook ?”</w:t>
      </w:r>
      <w:r>
        <w:t xml:space="preserve"> </w:t>
      </w:r>
      <w:r>
        <w:t xml:space="preserve">Réponse attendue : un rôle regroupe tout ce qui concerne un objectif précis dans une structure réutilisable et clairement délimitée, facilitant le diagnostic et la maintenance — exactement le même principe déjà établi pour les GPO au chapitre 7 (</w:t>
      </w:r>
      <w:r>
        <w:t xml:space="preserve">“une GPO, un objectif”</w:t>
      </w:r>
      <w:r>
        <w:t xml:space="preserve">), transposé à l’automatisation.</w:t>
      </w:r>
    </w:p>
    <w:p>
      <w:pPr>
        <w:pStyle w:val="BodyText"/>
      </w:pPr>
      <w:r>
        <w:rPr>
          <w:b/>
          <w:bCs/>
        </w:rPr>
        <w:t xml:space="preserve">Q2.</w:t>
      </w:r>
      <w:r>
        <w:rPr>
          <w:b/>
          <w:bCs/>
        </w:rPr>
        <w:t xml:space="preserve"> </w:t>
      </w:r>
      <w:r>
        <w:rPr>
          <w:b/>
          <w:bCs/>
        </w:rPr>
        <w:t xml:space="preserve">“Comment Ansible Vault protège-t-il un secret comme un mot de passe de base de données ?”</w:t>
      </w:r>
      <w:r>
        <w:t xml:space="preserve"> </w:t>
      </w:r>
      <w:r>
        <w:t xml:space="preserve">Réponse attendue : il chiffre le fichier contenant ce secret, le rendant illisible sans le mot de passe du vault — permettant de committer ce fichier dans Git en toute sécurité, sans jamais exposer le secret en clair dans l’historique du dépôt.</w:t>
      </w:r>
    </w:p>
    <w:p>
      <w:pPr>
        <w:pStyle w:val="BodyText"/>
      </w:pPr>
      <w:r>
        <w:rPr>
          <w:b/>
          <w:bCs/>
        </w:rPr>
        <w:t xml:space="preserve">Q3.</w:t>
      </w:r>
      <w:r>
        <w:rPr>
          <w:b/>
          <w:bCs/>
        </w:rPr>
        <w:t xml:space="preserve"> </w:t>
      </w:r>
      <w:r>
        <w:rPr>
          <w:b/>
          <w:bCs/>
        </w:rPr>
        <w:t xml:space="preserve">“Qu’est-ce qu’un handler, et pourquoi est-il important dans un playbook de configuration ?”</w:t>
      </w:r>
      <w:r>
        <w:t xml:space="preserve"> </w:t>
      </w:r>
      <w:r>
        <w:t xml:space="preserve">Réponse attendue : un handler est une action déclenchée uniquement si la tâche qui le notifie a réellement produit un changement — il garantit qu’un service redémarre ou recharge sa configuration seulement quand c’est réellement nécessaire, évitant à la fois des redémarrages inutiles et le piège inverse d’une configuration déployée mais jamais réellement prise en compte.</w:t>
      </w:r>
    </w:p>
    <w:bookmarkEnd w:id="1309"/>
    <w:bookmarkStart w:id="1310" w:name="X248839d8d1ec645b841b99943a650affc81b4ee"/>
    <w:p>
      <w:pPr>
        <w:pStyle w:val="Heading2"/>
      </w:pPr>
      <w:r>
        <w:t xml:space="preserve">Optimisation, sécurité et maintenabilité — les réflexes dès ce chapitre</w:t>
      </w:r>
    </w:p>
    <w:p>
      <w:pPr>
        <w:pStyle w:val="FirstParagraph"/>
      </w:pPr>
      <w:r>
        <w:t xml:space="preserve">🔒 Sécurité</w:t>
      </w:r>
      <w:r>
        <w:t xml:space="preserve"> </w:t>
      </w:r>
      <w:r>
        <w:t xml:space="preserve">Ne stocke jamais le mot de passe d’un vault Ansible dans le même dépôt que le fichier chiffré qu’il protège — le réflexe de sécurité le plus important de ce chapitre, directement transposé du principe déjà établi pour les clés privées au chapitre 24.</w:t>
      </w:r>
    </w:p>
    <w:p>
      <w:pPr>
        <w:pStyle w:val="BodyText"/>
      </w:pPr>
      <w:r>
        <w:t xml:space="preserve">✅ Maintenabilité</w:t>
      </w:r>
      <w:r>
        <w:t xml:space="preserve"> </w:t>
      </w:r>
      <w:r>
        <w:t xml:space="preserve">Structure chaque nouvel objectif d’automatisation en rôle dédié dès sa création, plutôt que d’ajouter des tâches à un playbook existant sans lien logique clair — une discipline qui coûte peu au moment de la création, mais qui évite la dérive vers un fichier géant illisible.</w:t>
      </w:r>
    </w:p>
    <w:p>
      <w:pPr>
        <w:pStyle w:val="BodyText"/>
      </w:pPr>
      <w:r>
        <w:t xml:space="preserve">🚀 Performance</w:t>
      </w:r>
      <w:r>
        <w:t xml:space="preserve"> </w:t>
      </w:r>
      <w:r>
        <w:t xml:space="preserve">Utilise systématiquement des handlers pour les actions de redémarrage ou de rechargement plutôt que de les inclure comme tâches ordinaires — un service ne redémarre alors que lorsque c’est réellement nécessaire, évitant des interruptions de service inutiles à chaque exécution du playbook.</w:t>
      </w:r>
    </w:p>
    <w:bookmarkEnd w:id="1310"/>
    <w:bookmarkStart w:id="1311" w:name="résumé-du-chapitre-52"/>
    <w:p>
      <w:pPr>
        <w:pStyle w:val="Heading2"/>
      </w:pPr>
      <w:r>
        <w:t xml:space="preserve">Résumé du chapitre</w:t>
      </w:r>
    </w:p>
    <w:p>
      <w:pPr>
        <w:pStyle w:val="Compact"/>
        <w:numPr>
          <w:ilvl w:val="0"/>
          <w:numId w:val="2220"/>
        </w:numPr>
      </w:pPr>
      <w:r>
        <w:t xml:space="preserve">Un playbook qui grossit sans structure devient difficile à maintenir, exactement le même problème déjà résolu pour les GPO au chapitre 7 — les rôles apportent la même solution structurelle à l’automatisation.</w:t>
      </w:r>
    </w:p>
    <w:p>
      <w:pPr>
        <w:pStyle w:val="Compact"/>
        <w:numPr>
          <w:ilvl w:val="0"/>
          <w:numId w:val="2220"/>
        </w:numPr>
      </w:pPr>
      <w:r>
        <w:t xml:space="preserve">Ansible Vault chiffre les fichiers de secrets, permettant de les committer dans Git en toute sécurité, à condition que le mot de passe du vault lui-même reste géré séparément.</w:t>
      </w:r>
    </w:p>
    <w:p>
      <w:pPr>
        <w:pStyle w:val="Compact"/>
        <w:numPr>
          <w:ilvl w:val="0"/>
          <w:numId w:val="2220"/>
        </w:numPr>
      </w:pPr>
      <w:r>
        <w:t xml:space="preserve">Les templates Jinja2 et les variables permettent de personnaliser un rôle par environnement, sans dupliquer sa logique.</w:t>
      </w:r>
    </w:p>
    <w:p>
      <w:pPr>
        <w:pStyle w:val="Compact"/>
        <w:numPr>
          <w:ilvl w:val="0"/>
          <w:numId w:val="2220"/>
        </w:numPr>
      </w:pPr>
      <w:r>
        <w:t xml:space="preserve">Les handlers déclenchent une action (redémarrage, rechargement) uniquement si un changement réel a eu lieu, évitant à la fois les actions inutiles et le piège d’une configuration jamais réellement appliquée.</w:t>
      </w:r>
    </w:p>
    <w:p>
      <w:pPr>
        <w:pStyle w:val="Compact"/>
        <w:numPr>
          <w:ilvl w:val="0"/>
          <w:numId w:val="2220"/>
        </w:numPr>
      </w:pPr>
      <w:r>
        <w:t xml:space="preserve">Un rôle complet combine tâches, variables chiffrées, templates et handlers pour répondre de façon structurée et sécurisée à un objectif précis d’automatisation.</w:t>
      </w:r>
    </w:p>
    <w:bookmarkEnd w:id="1311"/>
    <w:bookmarkStart w:id="1312" w:name="quiz-52"/>
    <w:p>
      <w:pPr>
        <w:pStyle w:val="Heading2"/>
      </w:pPr>
      <w:r>
        <w:t xml:space="preserve">Quiz</w:t>
      </w:r>
    </w:p>
    <w:p>
      <w:pPr>
        <w:pStyle w:val="FirstParagraph"/>
      </w:pPr>
      <w:r>
        <w:t xml:space="preserve">📝 QCM (une seule bonne réponse par question)</w:t>
      </w:r>
    </w:p>
    <w:p>
      <w:pPr>
        <w:pStyle w:val="Compact"/>
        <w:numPr>
          <w:ilvl w:val="0"/>
          <w:numId w:val="2221"/>
        </w:numPr>
      </w:pPr>
      <w:r>
        <w:t xml:space="preserve">Un rôle Ansible sert principalement à :</w:t>
      </w:r>
    </w:p>
    <w:p>
      <w:pPr>
        <w:pStyle w:val="Compact"/>
        <w:numPr>
          <w:ilvl w:val="1"/>
          <w:numId w:val="2222"/>
        </w:numPr>
      </w:pPr>
    </w:p>
    <w:p>
      <w:pPr>
        <w:pStyle w:val="Compact"/>
        <w:numPr>
          <w:ilvl w:val="2"/>
          <w:numId w:val="2223"/>
        </w:numPr>
      </w:pPr>
      <w:r>
        <w:t xml:space="preserve">Chiffrer automatiquement tous les secrets</w:t>
      </w:r>
    </w:p>
    <w:p>
      <w:pPr>
        <w:pStyle w:val="Compact"/>
        <w:numPr>
          <w:ilvl w:val="1"/>
          <w:numId w:val="2222"/>
        </w:numPr>
      </w:pPr>
    </w:p>
    <w:p>
      <w:pPr>
        <w:pStyle w:val="Compact"/>
        <w:numPr>
          <w:ilvl w:val="2"/>
          <w:numId w:val="2224"/>
        </w:numPr>
      </w:pPr>
      <w:r>
        <w:t xml:space="preserve">Regrouper tâches, variables et templates liés à un objectif précis, dans une structure réutilisable</w:t>
      </w:r>
    </w:p>
    <w:p>
      <w:pPr>
        <w:pStyle w:val="Compact"/>
        <w:numPr>
          <w:ilvl w:val="1"/>
          <w:numId w:val="2222"/>
        </w:numPr>
      </w:pPr>
    </w:p>
    <w:p>
      <w:pPr>
        <w:pStyle w:val="Compact"/>
        <w:numPr>
          <w:ilvl w:val="2"/>
          <w:numId w:val="2225"/>
        </w:numPr>
      </w:pPr>
      <w:r>
        <w:t xml:space="preserve">Remplacer le besoin d’inventaire</w:t>
      </w:r>
    </w:p>
    <w:p>
      <w:pPr>
        <w:pStyle w:val="Compact"/>
        <w:numPr>
          <w:ilvl w:val="1"/>
          <w:numId w:val="2222"/>
        </w:numPr>
      </w:pPr>
    </w:p>
    <w:p>
      <w:pPr>
        <w:pStyle w:val="Compact"/>
        <w:numPr>
          <w:ilvl w:val="2"/>
          <w:numId w:val="2226"/>
        </w:numPr>
      </w:pPr>
      <w:r>
        <w:t xml:space="preserve">Exécuter un playbook plus rapidement</w:t>
      </w:r>
    </w:p>
    <w:p>
      <w:pPr>
        <w:pStyle w:val="Compact"/>
        <w:numPr>
          <w:ilvl w:val="0"/>
          <w:numId w:val="2221"/>
        </w:numPr>
      </w:pPr>
      <w:r>
        <w:t xml:space="preserve">Ansible Vault protège :</w:t>
      </w:r>
    </w:p>
    <w:p>
      <w:pPr>
        <w:pStyle w:val="Compact"/>
        <w:numPr>
          <w:ilvl w:val="1"/>
          <w:numId w:val="2227"/>
        </w:numPr>
      </w:pPr>
    </w:p>
    <w:p>
      <w:pPr>
        <w:pStyle w:val="Compact"/>
        <w:numPr>
          <w:ilvl w:val="2"/>
          <w:numId w:val="2228"/>
        </w:numPr>
      </w:pPr>
      <w:r>
        <w:t xml:space="preserve">Uniquement les mots de passe SSH</w:t>
      </w:r>
    </w:p>
    <w:p>
      <w:pPr>
        <w:pStyle w:val="Compact"/>
        <w:numPr>
          <w:ilvl w:val="1"/>
          <w:numId w:val="2227"/>
        </w:numPr>
      </w:pPr>
    </w:p>
    <w:p>
      <w:pPr>
        <w:pStyle w:val="Compact"/>
        <w:numPr>
          <w:ilvl w:val="2"/>
          <w:numId w:val="2229"/>
        </w:numPr>
      </w:pPr>
      <w:r>
        <w:t xml:space="preserve">Le contenu d’un fichier, en le chiffrant, permettant de le committer en toute sécurité</w:t>
      </w:r>
    </w:p>
    <w:p>
      <w:pPr>
        <w:pStyle w:val="Compact"/>
        <w:numPr>
          <w:ilvl w:val="1"/>
          <w:numId w:val="2227"/>
        </w:numPr>
      </w:pPr>
    </w:p>
    <w:p>
      <w:pPr>
        <w:pStyle w:val="Compact"/>
        <w:numPr>
          <w:ilvl w:val="2"/>
          <w:numId w:val="2230"/>
        </w:numPr>
      </w:pPr>
      <w:r>
        <w:t xml:space="preserve">L’intégralité du dépôt Git automatiquement</w:t>
      </w:r>
    </w:p>
    <w:p>
      <w:pPr>
        <w:pStyle w:val="Compact"/>
        <w:numPr>
          <w:ilvl w:val="1"/>
          <w:numId w:val="2227"/>
        </w:numPr>
      </w:pPr>
    </w:p>
    <w:p>
      <w:pPr>
        <w:pStyle w:val="Compact"/>
        <w:numPr>
          <w:ilvl w:val="2"/>
          <w:numId w:val="2231"/>
        </w:numPr>
      </w:pPr>
      <w:r>
        <w:t xml:space="preserve">Les connexions réseau entre le poste de contrôle et les serveurs</w:t>
      </w:r>
    </w:p>
    <w:p>
      <w:pPr>
        <w:pStyle w:val="Compact"/>
        <w:numPr>
          <w:ilvl w:val="0"/>
          <w:numId w:val="2221"/>
        </w:numPr>
      </w:pPr>
      <w:r>
        <w:t xml:space="preserve">Un handler se déclenche :</w:t>
      </w:r>
    </w:p>
    <w:p>
      <w:pPr>
        <w:pStyle w:val="Compact"/>
        <w:numPr>
          <w:ilvl w:val="1"/>
          <w:numId w:val="2232"/>
        </w:numPr>
      </w:pPr>
    </w:p>
    <w:p>
      <w:pPr>
        <w:pStyle w:val="Compact"/>
        <w:numPr>
          <w:ilvl w:val="2"/>
          <w:numId w:val="2233"/>
        </w:numPr>
      </w:pPr>
      <w:r>
        <w:t xml:space="preserve">À chaque exécution du playbook, sans condition</w:t>
      </w:r>
    </w:p>
    <w:p>
      <w:pPr>
        <w:pStyle w:val="Compact"/>
        <w:numPr>
          <w:ilvl w:val="1"/>
          <w:numId w:val="2232"/>
        </w:numPr>
      </w:pPr>
    </w:p>
    <w:p>
      <w:pPr>
        <w:pStyle w:val="Compact"/>
        <w:numPr>
          <w:ilvl w:val="2"/>
          <w:numId w:val="2234"/>
        </w:numPr>
      </w:pPr>
      <w:r>
        <w:t xml:space="preserve">Uniquement si la tâche qui le notifie a réellement produit un changement</w:t>
      </w:r>
    </w:p>
    <w:p>
      <w:pPr>
        <w:pStyle w:val="Compact"/>
        <w:numPr>
          <w:ilvl w:val="1"/>
          <w:numId w:val="2232"/>
        </w:numPr>
      </w:pPr>
    </w:p>
    <w:p>
      <w:pPr>
        <w:pStyle w:val="Compact"/>
        <w:numPr>
          <w:ilvl w:val="2"/>
          <w:numId w:val="2235"/>
        </w:numPr>
      </w:pPr>
      <w:r>
        <w:t xml:space="preserve">Uniquement le premier jour du mois</w:t>
      </w:r>
    </w:p>
    <w:p>
      <w:pPr>
        <w:pStyle w:val="Compact"/>
        <w:numPr>
          <w:ilvl w:val="1"/>
          <w:numId w:val="2232"/>
        </w:numPr>
      </w:pPr>
    </w:p>
    <w:p>
      <w:pPr>
        <w:pStyle w:val="Compact"/>
        <w:numPr>
          <w:ilvl w:val="2"/>
          <w:numId w:val="2236"/>
        </w:numPr>
      </w:pPr>
      <w:r>
        <w:t xml:space="preserve">Jamais automatiquement, il nécessite toujours une confirmation manuelle</w:t>
      </w:r>
    </w:p>
    <w:p>
      <w:pPr>
        <w:pStyle w:val="FirstParagraph"/>
      </w:pPr>
      <w:r>
        <w:rPr>
          <w:b/>
          <w:bCs/>
        </w:rPr>
        <w:t xml:space="preserve">Corrigé</w:t>
      </w:r>
      <w:r>
        <w:t xml:space="preserve"> </w:t>
      </w:r>
      <w:r>
        <w:t xml:space="preserve">: 1-b, 2-b, 3-b.</w:t>
      </w:r>
    </w:p>
    <w:p>
      <w:pPr>
        <w:pStyle w:val="BodyText"/>
      </w:pPr>
      <w:r>
        <w:t xml:space="preserve">📝 Vrai ou Faux</w:t>
      </w:r>
    </w:p>
    <w:p>
      <w:pPr>
        <w:pStyle w:val="Compact"/>
        <w:numPr>
          <w:ilvl w:val="0"/>
          <w:numId w:val="2237"/>
        </w:numPr>
      </w:pPr>
      <w:r>
        <w:t xml:space="preserve">Le mot de passe du vault Ansible peut être stocké sans risque dans le même dépôt Git que le fichier chiffré. —</w:t>
      </w:r>
      <w:r>
        <w:t xml:space="preserve"> </w:t>
      </w:r>
      <w:r>
        <w:rPr>
          <w:b/>
          <w:bCs/>
        </w:rPr>
        <w:t xml:space="preserve">Faux</w:t>
      </w:r>
      <w:r>
        <w:t xml:space="preserve"> </w:t>
      </w:r>
      <w:r>
        <w:t xml:space="preserve">(cela annule la protection, section 53.3).</w:t>
      </w:r>
    </w:p>
    <w:p>
      <w:pPr>
        <w:pStyle w:val="Compact"/>
        <w:numPr>
          <w:ilvl w:val="0"/>
          <w:numId w:val="2237"/>
        </w:numPr>
      </w:pPr>
      <w:r>
        <w:t xml:space="preserve">Un handler s’exécute uniquement si un changement réel a été détecté par la tâche qui le notifie. —</w:t>
      </w:r>
      <w:r>
        <w:t xml:space="preserve"> </w:t>
      </w:r>
      <w:r>
        <w:rPr>
          <w:b/>
          <w:bCs/>
        </w:rPr>
        <w:t xml:space="preserve">Vrai</w:t>
      </w:r>
      <w:r>
        <w:t xml:space="preserve">.</w:t>
      </w:r>
    </w:p>
    <w:p>
      <w:pPr>
        <w:pStyle w:val="Compact"/>
        <w:numPr>
          <w:ilvl w:val="0"/>
          <w:numId w:val="2237"/>
        </w:numPr>
      </w:pPr>
      <w:r>
        <w:t xml:space="preserve">Structurer l’automatisation en rôles est utile uniquement pour de très grandes organisations. —</w:t>
      </w:r>
      <w:r>
        <w:t xml:space="preserve"> </w:t>
      </w:r>
      <w:r>
        <w:rPr>
          <w:b/>
          <w:bCs/>
        </w:rPr>
        <w:t xml:space="preserve">Faux</w:t>
      </w:r>
      <w:r>
        <w:t xml:space="preserve"> </w:t>
      </w:r>
      <w:r>
        <w:t xml:space="preserve">(utile dès qu’un playbook dépasse une poignée de tâches liées, section 53.1).</w:t>
      </w:r>
    </w:p>
    <w:p>
      <w:pPr>
        <w:pStyle w:val="Compact"/>
        <w:numPr>
          <w:ilvl w:val="0"/>
          <w:numId w:val="2237"/>
        </w:numPr>
      </w:pPr>
      <w:r>
        <w:t xml:space="preserve">Un template Jinja2 permet de personnaliser une configuration selon des variables, sans dupliquer le rôle entier. —</w:t>
      </w:r>
      <w:r>
        <w:t xml:space="preserve"> </w:t>
      </w:r>
      <w:r>
        <w:rPr>
          <w:b/>
          <w:bCs/>
        </w:rPr>
        <w:t xml:space="preserve">Vrai</w:t>
      </w:r>
      <w:r>
        <w:t xml:space="preserve">.</w:t>
      </w:r>
    </w:p>
    <w:p>
      <w:pPr>
        <w:pStyle w:val="FirstParagraph"/>
      </w:pPr>
      <w:r>
        <w:t xml:space="preserve">📝 Questions ouvertes</w:t>
      </w:r>
    </w:p>
    <w:p>
      <w:pPr>
        <w:pStyle w:val="Compact"/>
        <w:numPr>
          <w:ilvl w:val="0"/>
          <w:numId w:val="2238"/>
        </w:numPr>
      </w:pPr>
      <w:r>
        <w:t xml:space="preserve">Explique pourquoi la structure en rôles d’Ansible rappelle directement le principe</w:t>
      </w:r>
      <w:r>
        <w:t xml:space="preserve"> </w:t>
      </w:r>
      <w:r>
        <w:t xml:space="preserve">“une GPO, un objectif”</w:t>
      </w:r>
      <w:r>
        <w:t xml:space="preserve"> </w:t>
      </w:r>
      <w:r>
        <w:t xml:space="preserve">du chapitre 7, malgré des technologies complètement différentes.</w:t>
      </w:r>
    </w:p>
    <w:p>
      <w:pPr>
        <w:pStyle w:val="Compact"/>
        <w:numPr>
          <w:ilvl w:val="0"/>
          <w:numId w:val="2238"/>
        </w:numPr>
      </w:pPr>
      <w:r>
        <w:t xml:space="preserve">Reprends le scénario d’ouverture. Explique comment Ansible Vault et les rôles résolvent, chacun de leur côté, un des deux problèmes distincts soulevés par le DSI.</w:t>
      </w:r>
    </w:p>
    <w:p>
      <w:pPr>
        <w:pStyle w:val="FirstParagraph"/>
      </w:pPr>
      <w:r>
        <w:rPr>
          <w:b/>
          <w:bCs/>
        </w:rPr>
        <w:t xml:space="preserve">Corrigé 1</w:t>
      </w:r>
      <w:r>
        <w:t xml:space="preserve"> </w:t>
      </w:r>
      <w:r>
        <w:t xml:space="preserve">: dans les deux cas, le problème sous-jacent est le même — une accumulation non structurée d’éléments individuellement corrects (des paramètres GPO, des tâches Ansible) devient, une fois regroupée sans organisation logique claire, difficile à diagnostiquer et à maintenir. La solution est également structurellement identique : regrouper par objectif cohérent (une GPO par intention claire, un rôle par objectif d’automatisation précis), permettant d’isoler rapidement la source d’un problème sans devoir parcourir un ensemble monolithique et confus.</w:t>
      </w:r>
    </w:p>
    <w:p>
      <w:pPr>
        <w:pStyle w:val="BodyText"/>
      </w:pPr>
      <w:r>
        <w:rPr>
          <w:b/>
          <w:bCs/>
        </w:rPr>
        <w:t xml:space="preserve">Corrigé 2</w:t>
      </w:r>
      <w:r>
        <w:t xml:space="preserve"> </w:t>
      </w:r>
      <w:r>
        <w:t xml:space="preserve">: les rôles (section 53.2) résolvent le premier problème — un playbook devenu trop long et difficile à maintenir — en le réorganisant en unités cohérentes et réutilisables par objectif. Ansible Vault (section 53.3) résout le second problème — un mot de passe de base de données visible en clair dans le dépôt Git — en chiffrant le fichier qui le contient, permettant de le committer en toute sécurité. Les deux solutions sont indépendantes l’une de l’autre, mais se combinent naturellement dans un rôle bien structuré, comme illustré par l’atelier de ce chapitre.</w:t>
      </w:r>
    </w:p>
    <w:bookmarkEnd w:id="1312"/>
    <w:bookmarkStart w:id="1313" w:name="exercices-52"/>
    <w:p>
      <w:pPr>
        <w:pStyle w:val="Heading2"/>
      </w:pPr>
      <w:r>
        <w:t xml:space="preserve">Exercices</w:t>
      </w:r>
    </w:p>
    <w:p>
      <w:pPr>
        <w:pStyle w:val="FirstParagraph"/>
      </w:pPr>
      <w:r>
        <w:t xml:space="preserve">📝 Exercice 53.1</w:t>
      </w:r>
    </w:p>
    <w:p>
      <w:pPr>
        <w:pStyle w:val="BodyText"/>
      </w:pPr>
      <w:r>
        <w:t xml:space="preserve">Un rôle Ansible modifie un fichier de configuration Nginx, mais n’inclut aucun</w:t>
      </w:r>
      <w:r>
        <w:t xml:space="preserve"> </w:t>
      </w:r>
      <w:r>
        <w:rPr>
          <w:rStyle w:val="VerbatimChar"/>
        </w:rPr>
        <w:t xml:space="preserve">notify</w:t>
      </w:r>
      <w:r>
        <w:t xml:space="preserve"> </w:t>
      </w:r>
      <w:r>
        <w:t xml:space="preserve">vers un handler de redémarrage. Explique le symptôme que rencontrerait l’équipe après avoir exécuté ce playbook, et la correction à apporter.</w:t>
      </w:r>
    </w:p>
    <w:p>
      <w:pPr>
        <w:pStyle w:val="BodyText"/>
      </w:pPr>
      <w:r>
        <w:rPr>
          <w:b/>
          <w:bCs/>
        </w:rPr>
        <w:t xml:space="preserve">Corrigé :</w:t>
      </w:r>
      <w:r>
        <w:t xml:space="preserve"> </w:t>
      </w:r>
      <w:r>
        <w:t xml:space="preserve">Le fichier de configuration Nginx serait correctement mis à jour sur le disque, mais le processus Nginx déjà en cours d’exécution continuerait à utiliser son ancienne configuration chargée en mémoire, jusqu’à un redémarrage manuel ou un événement externe qui le relancerait — exactement le symptôme déjà décrit dans la section</w:t>
      </w:r>
      <w:r>
        <w:t xml:space="preserve"> </w:t>
      </w:r>
      <w:r>
        <w:t xml:space="preserve">“Diagnostiquer une configuration déployée mais jamais appliquée”</w:t>
      </w:r>
      <w:r>
        <w:t xml:space="preserve"> </w:t>
      </w:r>
      <w:r>
        <w:t xml:space="preserve">de ce chapitre. La correction consiste à ajouter</w:t>
      </w:r>
      <w:r>
        <w:t xml:space="preserve"> </w:t>
      </w:r>
      <w:r>
        <w:rPr>
          <w:rStyle w:val="VerbatimChar"/>
        </w:rPr>
        <w:t xml:space="preserve">notify: Redemarrer nginx</w:t>
      </w:r>
      <w:r>
        <w:t xml:space="preserve"> </w:t>
      </w:r>
      <w:r>
        <w:t xml:space="preserve">à la tâche de déploiement de configuration, avec un handler correspondant qui exécute effectivement ce redémarrage (ou un rechargement, si Nginx le supporte sans interruption complète du service) uniquement quand la tâche produit un changement réel.</w:t>
      </w:r>
    </w:p>
    <w:p>
      <w:pPr>
        <w:pStyle w:val="BodyText"/>
      </w:pPr>
      <w:r>
        <w:t xml:space="preserve">📝 Exercice 53.2</w:t>
      </w:r>
    </w:p>
    <w:p>
      <w:pPr>
        <w:pStyle w:val="BodyText"/>
      </w:pPr>
      <w:r>
        <w:t xml:space="preserve">Rédige, en 3 à 5 phrases, pourquoi gérer le mot de passe du vault Ansible via un gestionnaire de secrets dédié est préférable à un simple fichier texte local sur le poste de chaque administrateur, pour une équipe de plusieurs personnes.</w:t>
      </w:r>
    </w:p>
    <w:p>
      <w:pPr>
        <w:pStyle w:val="BodyText"/>
      </w:pPr>
      <w:r>
        <w:rPr>
          <w:b/>
          <w:bCs/>
        </w:rPr>
        <w:t xml:space="preserve">Corrigé (exemple de réponse) :</w:t>
      </w:r>
      <w:r>
        <w:t xml:space="preserve"> </w:t>
      </w:r>
      <w:r>
        <w:t xml:space="preserve">Un fichier texte local sur chaque poste multiplie les copies du même secret critique, chacune potentiellement exposée différemment (poste volé, sauvegarde non chiffrée, partage accidentel) et sans aucune traçabilité de qui y accède réellement. Un gestionnaire de secrets dédié centralise ce mot de passe unique, permet de révoquer ou de faire tourner l’accès d’une personne quittant l’équipe sans devoir redistribuer un nouveau fichier à tout le monde, et offre généralement un audit de qui a consulté le secret et quand — exactement le même bénéfice de traçabilité et de contrôle centralisé déjà recherché pour l’identité depuis le chapitre 22, appliqué ici à la protection d’un secret d’automatisation.</w:t>
      </w:r>
    </w:p>
    <w:bookmarkEnd w:id="1313"/>
    <w:bookmarkStart w:id="1314" w:name="checklist-de-fin-de-chapitre-52"/>
    <w:p>
      <w:pPr>
        <w:pStyle w:val="Heading2"/>
      </w:pPr>
      <w:r>
        <w:t xml:space="preserve">Checklist de fin de chapitre</w:t>
      </w:r>
    </w:p>
    <w:p>
      <w:pPr>
        <w:pStyle w:val="FirstParagraph"/>
      </w:pPr>
      <w:r>
        <w:t xml:space="preserve">☐ Je sais structurer une automatisation Ansible en rôles, par objectif clair.</w:t>
      </w:r>
    </w:p>
    <w:p>
      <w:pPr>
        <w:pStyle w:val="BodyText"/>
      </w:pPr>
      <w:r>
        <w:t xml:space="preserve">☐ Je sais créer et éditer un fichier chiffré avec Ansible Vault.</w:t>
      </w:r>
    </w:p>
    <w:p>
      <w:pPr>
        <w:pStyle w:val="BodyText"/>
      </w:pPr>
      <w:r>
        <w:t xml:space="preserve">☐ Je comprends pourquoi le mot de passe du vault doit être géré séparément du fichier qu’il protège.</w:t>
      </w:r>
    </w:p>
    <w:p>
      <w:pPr>
        <w:pStyle w:val="BodyText"/>
      </w:pPr>
      <w:r>
        <w:t xml:space="preserve">☐ Je sais utiliser des variables et des templates Jinja2 pour personnaliser un rôle par environnement.</w:t>
      </w:r>
    </w:p>
    <w:p>
      <w:pPr>
        <w:pStyle w:val="BodyText"/>
      </w:pPr>
      <w:r>
        <w:t xml:space="preserve">☐ Je sais utiliser un handler pour déclencher une action uniquement en cas de changement réel.</w:t>
      </w:r>
    </w:p>
    <w:p>
      <w:pPr>
        <w:pStyle w:val="BodyText"/>
      </w:pPr>
      <w:r>
        <w:t xml:space="preserve">☐ Je sais diagnostiquer une configuration déployée mais jamais réellement appliquée faute de handler.</w:t>
      </w:r>
    </w:p>
    <w:bookmarkEnd w:id="1314"/>
    <w:bookmarkStart w:id="1315" w:name="faq-52"/>
    <w:p>
      <w:pPr>
        <w:pStyle w:val="Heading2"/>
      </w:pPr>
      <w:r>
        <w:t xml:space="preserve">FAQ</w:t>
      </w:r>
    </w:p>
    <w:p>
      <w:pPr>
        <w:pStyle w:val="FirstParagraph"/>
      </w:pPr>
      <w:r>
        <w:t xml:space="preserve">Peut-on chiffrer uniquement certaines variables d’un fichier, plutôt que le fichier entier ?</w:t>
      </w:r>
    </w:p>
    <w:p>
      <w:pPr>
        <w:pStyle w:val="BodyText"/>
      </w:pPr>
      <w:r>
        <w:t xml:space="preserve">Oui, Ansible propose</w:t>
      </w:r>
      <w:r>
        <w:t xml:space="preserve"> </w:t>
      </w:r>
      <w:r>
        <w:rPr>
          <w:rStyle w:val="VerbatimChar"/>
        </w:rPr>
        <w:t xml:space="preserve">ansible-vault encrypt_string</w:t>
      </w:r>
      <w:r>
        <w:t xml:space="preserve"> </w:t>
      </w:r>
      <w:r>
        <w:t xml:space="preserve">pour chiffrer une valeur individuelle, insérable directement dans un fichier de variables par ailleurs non chiffré — utile quand seule une partie des variables d’un fichier est réellement sensible, évitant de chiffrer inutilement des informations déjà publiques.</w:t>
      </w:r>
    </w:p>
    <w:p>
      <w:pPr>
        <w:pStyle w:val="BodyText"/>
      </w:pPr>
      <w:r>
        <w:t xml:space="preserve">Existe-t-il des rôles Ansible déjà écrits et partagés, ou faut-il toujours tout écrire soi-même ?</w:t>
      </w:r>
    </w:p>
    <w:p>
      <w:pPr>
        <w:pStyle w:val="BodyText"/>
      </w:pPr>
      <w:r>
        <w:t xml:space="preserve">Ansible Galaxy héberge une large communauté de rôles réutilisables pour des besoins courants (installation de logiciels populaires, configurations de sécurité standard) — une ressource à évaluer avant d’écrire un rôle depuis zéro, tout en gardant la même vigilance de vérification de provenance déjà établie pour les images Docker au chapitre 39.</w:t>
      </w:r>
    </w:p>
    <w:p>
      <w:pPr>
        <w:pStyle w:val="BodyText"/>
      </w:pPr>
      <w:r>
        <w:t xml:space="preserve">Faut-il un mot de passe de vault différent par environnement (développement, production) ?</w:t>
      </w:r>
    </w:p>
    <w:p>
      <w:pPr>
        <w:pStyle w:val="BodyText"/>
      </w:pPr>
      <w:r>
        <w:t xml:space="preserve">C’est une bonne pratique répandue, réduisant l’impact d’une compromission du mot de passe de vault de développement sur les secrets de production — chaque environnement conservant ainsi une protection indépendante des autres.</w:t>
      </w:r>
    </w:p>
    <w:p>
      <w:pPr>
        <w:pStyle w:val="BodyText"/>
      </w:pPr>
      <w:r>
        <w:t xml:space="preserve">Les handlers s’exécutent-ils immédiatement, ou à un moment précis du playbook ?</w:t>
      </w:r>
    </w:p>
    <w:p>
      <w:pPr>
        <w:pStyle w:val="BodyText"/>
      </w:pPr>
      <w:r>
        <w:t xml:space="preserve">Par défaut, les handlers s’exécutent à la toute fin du playbook, après l’ensemble des tâches, même si plusieurs tâches différentes ont notifié le même handler au cours de l’exécution — celui-ci ne s’exécute alors qu’une seule fois, évitant les redémarrages redondants pour plusieurs changements liés au même service.</w:t>
      </w:r>
    </w:p>
    <w:bookmarkEnd w:id="1315"/>
    <w:bookmarkStart w:id="1319" w:name="références-et-pour-aller-plus-loin-52"/>
    <w:p>
      <w:pPr>
        <w:pStyle w:val="Heading2"/>
      </w:pPr>
      <w:r>
        <w:t xml:space="preserve">Références et pour aller plus loin</w:t>
      </w:r>
    </w:p>
    <w:p>
      <w:pPr>
        <w:pStyle w:val="Compact"/>
        <w:numPr>
          <w:ilvl w:val="0"/>
          <w:numId w:val="2239"/>
        </w:numPr>
      </w:pPr>
      <w:r>
        <w:t xml:space="preserve">Documentation officielle Ansible — Rôles :</w:t>
      </w:r>
      <w:r>
        <w:t xml:space="preserve"> </w:t>
      </w:r>
      <w:hyperlink r:id="rId1316">
        <w:r>
          <w:rPr>
            <w:rStyle w:val="Hyperlink"/>
          </w:rPr>
          <w:t xml:space="preserve">https://docs.ansible.com/ansible/latest/playbook_guide/playbooks_reuse_roles.html</w:t>
        </w:r>
      </w:hyperlink>
    </w:p>
    <w:p>
      <w:pPr>
        <w:pStyle w:val="Compact"/>
        <w:numPr>
          <w:ilvl w:val="0"/>
          <w:numId w:val="2239"/>
        </w:numPr>
      </w:pPr>
      <w:r>
        <w:t xml:space="preserve">Documentation officielle Ansible Vault :</w:t>
      </w:r>
      <w:r>
        <w:t xml:space="preserve"> </w:t>
      </w:r>
      <w:hyperlink r:id="rId1317">
        <w:r>
          <w:rPr>
            <w:rStyle w:val="Hyperlink"/>
          </w:rPr>
          <w:t xml:space="preserve">https://docs.ansible.com/ansible/latest/vault_guide/index.html</w:t>
        </w:r>
      </w:hyperlink>
    </w:p>
    <w:p>
      <w:pPr>
        <w:pStyle w:val="Compact"/>
        <w:numPr>
          <w:ilvl w:val="0"/>
          <w:numId w:val="2239"/>
        </w:numPr>
      </w:pPr>
      <w:r>
        <w:t xml:space="preserve">Documentation Jinja2 (moteur de templates utilisé par Ansible) :</w:t>
      </w:r>
      <w:r>
        <w:t xml:space="preserve"> </w:t>
      </w:r>
      <w:hyperlink r:id="rId1318">
        <w:r>
          <w:rPr>
            <w:rStyle w:val="Hyperlink"/>
          </w:rPr>
          <w:t xml:space="preserve">https://jinja.palletsprojects.com/</w:t>
        </w:r>
      </w:hyperlink>
    </w:p>
    <w:p>
      <w:pPr>
        <w:pStyle w:val="FirstParagraph"/>
      </w:pPr>
      <w:r>
        <w:rPr>
          <w:i/>
          <w:iCs/>
        </w:rPr>
        <w:t xml:space="preserve">Chapitre suivant : Terraform — fondamentaux, pour provisionner l’infrastructure elle-même (serveurs, réseaux, ressources cloud des chapitres 46-48) de façon déclarative, avant qu’Ansible ne prenne le relais pour la configurer.</w:t>
      </w:r>
    </w:p>
    <w:p>
      <w:pPr>
        <w:pStyle w:val="BodyText"/>
      </w:pPr>
      <w:r>
        <w:t xml:space="preserve">CHAPITRE 54</w:t>
      </w:r>
    </w:p>
    <w:bookmarkEnd w:id="1319"/>
    <w:bookmarkEnd w:id="1320"/>
    <w:bookmarkStart w:id="1343" w:name="terraform-fondamentaux"/>
    <w:p>
      <w:pPr>
        <w:pStyle w:val="Heading1"/>
      </w:pPr>
      <w:r>
        <w:t xml:space="preserve">Terraform : fondamentaux</w:t>
      </w:r>
    </w:p>
    <w:p>
      <w:pPr>
        <w:pStyle w:val="FirstParagraph"/>
      </w:pPr>
      <w:r>
        <w:t xml:space="preserve">🎯 Objectif du chapitre</w:t>
      </w:r>
      <w:r>
        <w:t xml:space="preserve"> </w:t>
      </w:r>
      <w:r>
        <w:t xml:space="preserve">Provisionner l’infrastructure elle-même (VPC, instances, bases de données) de façon déclarative et reproductible, là où Ansible (chapitres 52-53) configure des systèmes déjà existants. À la fin de ce chapitre, tu sauras écrire une configuration Terraform de base, comprendre le rôle central et sensible du fichier d’état, et recréer l’architecture AWS du chapitre 46 de façon entièrement reproductible.</w:t>
      </w:r>
    </w:p>
    <w:p>
      <w:pPr>
        <w:pStyle w:val="BodyText"/>
      </w:pPr>
      <w:r>
        <w:t xml:space="preserve">🎬 Mise en situation</w:t>
      </w:r>
      <w:r>
        <w:t xml:space="preserve"> </w:t>
      </w:r>
      <w:r>
        <w:t xml:space="preserve">L’architecture AWS du portail client (chapitre 46) — VPC, sous-réseaux, instance EC2, RDS — a été entièrement créée à la main via la console web AWS. Quand l’équipe doit recréer un environnement de test identique, personne ne se souvient précisément de tous les paramètres exacts choisis lors de la création initiale — la taille de l’instance, les plages d’adresses IP du VPC, les règles de pare-feu associées. Reconstruire cet environnement</w:t>
      </w:r>
      <w:r>
        <w:t xml:space="preserve"> </w:t>
      </w:r>
      <w:r>
        <w:t xml:space="preserve">“à l’œil”</w:t>
      </w:r>
      <w:r>
        <w:t xml:space="preserve"> </w:t>
      </w:r>
      <w:r>
        <w:t xml:space="preserve">via la console prend des heures et risque de produire un résultat subtilement différent.</w:t>
      </w:r>
      <w:r>
        <w:t xml:space="preserve"> </w:t>
      </w:r>
      <w:r>
        <w:t xml:space="preserve">“On a exactement le même problème que la dérive de configuration du chapitre 52,”</w:t>
      </w:r>
      <w:r>
        <w:t xml:space="preserve"> </w:t>
      </w:r>
      <w:r>
        <w:t xml:space="preserve">observe le DSI,</w:t>
      </w:r>
      <w:r>
        <w:t xml:space="preserve"> </w:t>
      </w:r>
      <w:r>
        <w:t xml:space="preserve">“mais appliqué à l’infrastructure elle-même plutôt qu’à la configuration des serveurs.”</w:t>
      </w:r>
      <w:r>
        <w:t xml:space="preserve"> </w:t>
      </w:r>
      <w:r>
        <w:t xml:space="preserve">Terraform résout précisément ce problème.</w:t>
      </w:r>
    </w:p>
    <w:bookmarkStart w:id="1321" w:name="le-problème-du-clickops"/>
    <w:p>
      <w:pPr>
        <w:pStyle w:val="Heading2"/>
      </w:pPr>
      <w:r>
        <w:t xml:space="preserve">54.1 Le problème du</w:t>
      </w:r>
      <w:r>
        <w:t xml:space="preserve"> </w:t>
      </w:r>
      <w:r>
        <w:t xml:space="preserve">“ClickOps”</w:t>
      </w:r>
    </w:p>
    <w:p>
      <w:pPr>
        <w:pStyle w:val="FirstParagraph"/>
      </w:pPr>
      <w:r>
        <w:t xml:space="preserve">📌 À retenir — un terme qui désigne exactement le scénario d’ouverture</w:t>
      </w:r>
      <w:r>
        <w:t xml:space="preserve"> </w:t>
      </w:r>
      <w:r>
        <w:t xml:space="preserve">Le</w:t>
      </w:r>
      <w:r>
        <w:t xml:space="preserve"> </w:t>
      </w:r>
      <w:r>
        <w:rPr>
          <w:b/>
          <w:bCs/>
        </w:rPr>
        <w:t xml:space="preserve">ClickOps</w:t>
      </w:r>
      <w:r>
        <w:t xml:space="preserve"> </w:t>
      </w:r>
      <w:r>
        <w:t xml:space="preserve">désigne la pratique de construire une infrastructure cloud manuellement, clic par clic, via une console web — exactement comment l’architecture AWS du chapitre 46 a été construite. Cette approche fonctionne pour une première exploration, mais devient rapidement un problème de reproductibilité (rappel direct du scénario d’ouverture) et de traçabilité (aucun historique de</w:t>
      </w:r>
      <w:r>
        <w:t xml:space="preserve"> </w:t>
      </w:r>
      <w:r>
        <w:t xml:space="preserve">“qui a changé quoi et pourquoi”</w:t>
      </w:r>
      <w:r>
        <w:t xml:space="preserve">, contrairement à Git, chapitre 51).</w:t>
      </w:r>
    </w:p>
    <w:bookmarkEnd w:id="1321"/>
    <w:bookmarkStart w:id="1322" w:name="X12bf3dc08be78e77fdd7c2048f2abbc5d29dc57"/>
    <w:p>
      <w:pPr>
        <w:pStyle w:val="Heading2"/>
      </w:pPr>
      <w:r>
        <w:t xml:space="preserve">54.2 Terraform : provisionner, là où Ansible configure</w:t>
      </w:r>
    </w:p>
    <w:p>
      <w:pPr>
        <w:pStyle w:val="FirstParagraph"/>
      </w:pPr>
      <w:r>
        <w:t xml:space="preserve">🧠 À mémoriser — une distinction essentielle avec les chapitres 52-53</w:t>
      </w:r>
      <w:r>
        <w:t xml:space="preserve"> </w:t>
      </w:r>
      <w:r>
        <w:rPr>
          <w:b/>
          <w:bCs/>
        </w:rPr>
        <w:t xml:space="preserve">Terraform</w:t>
      </w:r>
      <w:r>
        <w:t xml:space="preserve"> </w:t>
      </w:r>
      <w:r>
        <w:t xml:space="preserve">crée et gère le cycle de vie de l’infrastructure elle-même (une instance EC2 existe-t-elle, avec quelle taille, dans quel VPC) —</w:t>
      </w:r>
      <w:r>
        <w:t xml:space="preserve"> </w:t>
      </w:r>
      <w:r>
        <w:rPr>
          <w:b/>
          <w:bCs/>
        </w:rPr>
        <w:t xml:space="preserve">Ansible</w:t>
      </w:r>
      <w:r>
        <w:t xml:space="preserve"> </w:t>
      </w:r>
      <w:r>
        <w:t xml:space="preserve">configure ce qui tourne à l’intérieur d’une infrastructure déjà existante (quels paquets installés, quels utilisateurs, chapitres 52-53). Les deux outils sont complémentaires, pas concurrents : un flux de travail courant utilise Terraform pour provisionner une instance, puis Ansible pour la configurer une fois créée — exactement la transition annoncée à la fin du chapitre 53.</w:t>
      </w:r>
    </w:p>
    <w:bookmarkEnd w:id="1322"/>
    <w:bookmarkStart w:id="1323" w:name="hcl-le-langage-déclaratif-de-terraform"/>
    <w:p>
      <w:pPr>
        <w:pStyle w:val="Heading2"/>
      </w:pPr>
      <w:r>
        <w:t xml:space="preserve">54.3 HCL : le langage déclaratif de Terraform</w:t>
      </w:r>
    </w:p>
    <w:p>
      <w:pPr>
        <w:pStyle w:val="SourceCode"/>
      </w:pPr>
      <w:r>
        <w:rPr>
          <w:rStyle w:val="VerbatimChar"/>
        </w:rPr>
        <w:t xml:space="preserve"># main.tf</w:t>
      </w:r>
      <w:r>
        <w:br/>
      </w:r>
      <w:r>
        <w:rPr>
          <w:rStyle w:val="VerbatimChar"/>
        </w:rPr>
        <w:t xml:space="preserve">resource "aws_instance" "portail_app" {</w:t>
      </w:r>
      <w:r>
        <w:br/>
      </w:r>
      <w:r>
        <w:rPr>
          <w:rStyle w:val="VerbatimChar"/>
        </w:rPr>
        <w:t xml:space="preserve">  ami           = "ami-0abcdef1234567890"</w:t>
      </w:r>
      <w:r>
        <w:br/>
      </w:r>
      <w:r>
        <w:rPr>
          <w:rStyle w:val="VerbatimChar"/>
        </w:rPr>
        <w:t xml:space="preserve">  instance_type = "t3.medium"</w:t>
      </w:r>
      <w:r>
        <w:br/>
      </w:r>
      <w:r>
        <w:rPr>
          <w:rStyle w:val="VerbatimChar"/>
        </w:rPr>
        <w:t xml:space="preserve">  subnet_id     = aws_subnet.public.id</w:t>
      </w:r>
      <w:r>
        <w:br/>
      </w:r>
      <w:r>
        <w:br/>
      </w:r>
      <w:r>
        <w:rPr>
          <w:rStyle w:val="VerbatimChar"/>
        </w:rPr>
        <w:t xml:space="preserve">  tags = {</w:t>
      </w:r>
      <w:r>
        <w:br/>
      </w:r>
      <w:r>
        <w:rPr>
          <w:rStyle w:val="VerbatimChar"/>
        </w:rPr>
        <w:t xml:space="preserve">    Projet      = "PortailClient"</w:t>
      </w:r>
      <w:r>
        <w:br/>
      </w:r>
      <w:r>
        <w:rPr>
          <w:rStyle w:val="VerbatimChar"/>
        </w:rPr>
        <w:t xml:space="preserve">    Environnement = "Production"</w:t>
      </w:r>
      <w:r>
        <w:br/>
      </w:r>
      <w:r>
        <w:rPr>
          <w:rStyle w:val="VerbatimChar"/>
        </w:rPr>
        <w:t xml:space="preserve">  }</w:t>
      </w:r>
      <w:r>
        <w:br/>
      </w:r>
      <w:r>
        <w:rPr>
          <w:rStyle w:val="VerbatimChar"/>
        </w:rPr>
        <w:t xml:space="preserve">}</w:t>
      </w:r>
    </w:p>
    <w:p>
      <w:pPr>
        <w:pStyle w:val="FirstParagraph"/>
      </w:pPr>
      <w:r>
        <w:t xml:space="preserve">💡 HCL, une syntaxe déclarative proche de YAML dans l’esprit</w:t>
      </w:r>
      <w:r>
        <w:t xml:space="preserve"> </w:t>
      </w:r>
      <w:r>
        <w:rPr>
          <w:b/>
          <w:bCs/>
        </w:rPr>
        <w:t xml:space="preserve">HCL</w:t>
      </w:r>
      <w:r>
        <w:t xml:space="preserve"> </w:t>
      </w:r>
      <w:r>
        <w:t xml:space="preserve">(</w:t>
      </w:r>
      <w:r>
        <w:rPr>
          <w:i/>
          <w:iCs/>
        </w:rPr>
        <w:t xml:space="preserve">HashiCorp Configuration Language</w:t>
      </w:r>
      <w:r>
        <w:t xml:space="preserve">) décrit un état désiré — exactement la même philosophie déclarative déjà pratiquée en YAML pour Docker Compose (chapitre 41), Kubernetes (chapitre 43) et Ansible (chapitres 52-53), avec une syntaxe propre à Terraform. Le rappel du tagging systématique (chapitre 50, FinOps) apparaît directement dans cet exemple — une discipline désormais appliquée dès la définition de l’infrastructure elle-même, pas ajoutée après coup.</w:t>
      </w:r>
    </w:p>
    <w:bookmarkEnd w:id="1323"/>
    <w:bookmarkStart w:id="1324" w:name="Xb133d935d42fa45c28bc534bb0ecea659b3b7c6"/>
    <w:p>
      <w:pPr>
        <w:pStyle w:val="Heading2"/>
      </w:pPr>
      <w:r>
        <w:t xml:space="preserve">54.4 Les providers : rappel direct des chapitres 46-48</w:t>
      </w:r>
    </w:p>
    <w:p>
      <w:pPr>
        <w:pStyle w:val="FirstParagraph"/>
      </w:pPr>
      <w:r>
        <w:t xml:space="preserve">💡 Un seul outil, plusieurs fournisseurs</w:t>
      </w:r>
      <w:r>
        <w:t xml:space="preserve"> </w:t>
      </w:r>
      <w:r>
        <w:t xml:space="preserve">Un</w:t>
      </w:r>
      <w:r>
        <w:t xml:space="preserve"> </w:t>
      </w:r>
      <w:r>
        <w:rPr>
          <w:b/>
          <w:bCs/>
        </w:rPr>
        <w:t xml:space="preserve">provider</w:t>
      </w:r>
      <w:r>
        <w:t xml:space="preserve"> </w:t>
      </w:r>
      <w:r>
        <w:t xml:space="preserve">Terraform connecte la configuration HCL à un fournisseur précis (AWS, Azure, GCP — chapitres 46-48, ou même Kubernetes, chapitre 42). Une même syntaxe et une même discipline de travail s’appliquent quel que soit le fournisseur, ce qui explique en partie pourquoi Terraform reste pertinent dans une stratégie multi-cloud (chapitre 49) : la compétence Terraform elle-même reste largement transférable d’un fournisseur à l’autre, même si les ressources spécifiques diffèrent.</w:t>
      </w:r>
    </w:p>
    <w:p>
      <w:pPr>
        <w:pStyle w:val="SourceCode"/>
      </w:pPr>
      <w:r>
        <w:rPr>
          <w:rStyle w:val="VerbatimChar"/>
        </w:rPr>
        <w:t xml:space="preserve">provider "aws" {</w:t>
      </w:r>
      <w:r>
        <w:br/>
      </w:r>
      <w:r>
        <w:rPr>
          <w:rStyle w:val="VerbatimChar"/>
        </w:rPr>
        <w:t xml:space="preserve">  region = "us-east-1"</w:t>
      </w:r>
      <w:r>
        <w:br/>
      </w:r>
      <w:r>
        <w:rPr>
          <w:rStyle w:val="VerbatimChar"/>
        </w:rPr>
        <w:t xml:space="preserve">}</w:t>
      </w:r>
    </w:p>
    <w:bookmarkEnd w:id="1324"/>
    <w:bookmarkStart w:id="1325" w:name="X2c2fe9e9e1758bca23209bd9a5eb777cf35ab1f"/>
    <w:p>
      <w:pPr>
        <w:pStyle w:val="Heading2"/>
      </w:pPr>
      <w:r>
        <w:t xml:space="preserve">54.5 Le fichier d’état : le concept le plus sensible de ce chapitre</w:t>
      </w:r>
    </w:p>
    <w:p>
      <w:pPr>
        <w:pStyle w:val="FirstParagraph"/>
      </w:pPr>
      <w:r>
        <w:t xml:space="preserve">⚠️ Le state Terraform, une information critique à protéger</w:t>
      </w:r>
      <w:r>
        <w:t xml:space="preserve"> </w:t>
      </w:r>
      <w:r>
        <w:t xml:space="preserve">Terraform maintient un</w:t>
      </w:r>
      <w:r>
        <w:t xml:space="preserve"> </w:t>
      </w:r>
      <w:r>
        <w:rPr>
          <w:b/>
          <w:bCs/>
        </w:rPr>
        <w:t xml:space="preserve">fichier d’état</w:t>
      </w:r>
      <w:r>
        <w:t xml:space="preserve"> </w:t>
      </w:r>
      <w:r>
        <w:t xml:space="preserve">(</w:t>
      </w:r>
      <w:r>
        <w:rPr>
          <w:i/>
          <w:iCs/>
        </w:rPr>
        <w:t xml:space="preserve">state</w:t>
      </w:r>
      <w:r>
        <w:t xml:space="preserve">) qui associe chaque ressource déclarée dans la configuration HCL à la ressource réelle correspondante dans le cloud — c’est ce fichier qui permet à Terraform de savoir ce qui existe déjà, ce qui doit être créé, modifié ou détruit. Ce fichier peut contenir des informations sensibles (parfois des mots de passe générés automatiquement) et représente une cartographie complète et à jour de l’infrastructure — sa perte ou sa corruption peut rendre Terraform incapable de gérer correctement l’infrastructure existante, un risque bien plus grave qu’une simple gêne opérationnelle.</w:t>
      </w:r>
    </w:p>
    <w:p>
      <w:pPr>
        <w:pStyle w:val="BodyText"/>
      </w:pPr>
      <w:r>
        <w:t xml:space="preserve">🔒 Sécurité — ne jamais committer le state en clair dans Git</w:t>
      </w:r>
      <w:r>
        <w:t xml:space="preserve"> </w:t>
      </w:r>
      <w:r>
        <w:t xml:space="preserve">Exactement le même principe déjà établi pour les secrets Ansible (chapitre 53) : le fichier d’état ne doit jamais être committé en clair dans un dépôt Git partagé, en raison des informations sensibles qu’il peut contenir. La bonne pratique consiste à utiliser un</w:t>
      </w:r>
      <w:r>
        <w:t xml:space="preserve"> </w:t>
      </w:r>
      <w:r>
        <w:rPr>
          <w:b/>
          <w:bCs/>
        </w:rPr>
        <w:t xml:space="preserve">backend distant</w:t>
      </w:r>
      <w:r>
        <w:t xml:space="preserve"> </w:t>
      </w:r>
      <w:r>
        <w:t xml:space="preserve">(comme un bucket S3 chiffré, chapitre 46, avec verrouillage pour éviter les écritures concurrentes) plutôt qu’un fichier local — une pratique d’autant plus nécessaire pour une équipe de plusieurs personnes travaillant sur la même infrastructure.</w:t>
      </w:r>
    </w:p>
    <w:p>
      <w:pPr>
        <w:pStyle w:val="SourceCode"/>
      </w:pPr>
      <w:r>
        <w:rPr>
          <w:rStyle w:val="VerbatimChar"/>
        </w:rPr>
        <w:t xml:space="preserve"># backend.tf -- stocker le state a distance, jamais en local uniquement</w:t>
      </w:r>
      <w:r>
        <w:br/>
      </w:r>
      <w:r>
        <w:rPr>
          <w:rStyle w:val="VerbatimChar"/>
        </w:rPr>
        <w:t xml:space="preserve">terraform {</w:t>
      </w:r>
      <w:r>
        <w:br/>
      </w:r>
      <w:r>
        <w:rPr>
          <w:rStyle w:val="VerbatimChar"/>
        </w:rPr>
        <w:t xml:space="preserve">  backend "s3" {</w:t>
      </w:r>
      <w:r>
        <w:br/>
      </w:r>
      <w:r>
        <w:rPr>
          <w:rStyle w:val="VerbatimChar"/>
        </w:rPr>
        <w:t xml:space="preserve">    bucket = "assuranceht-terraform-state"</w:t>
      </w:r>
      <w:r>
        <w:br/>
      </w:r>
      <w:r>
        <w:rPr>
          <w:rStyle w:val="VerbatimChar"/>
        </w:rPr>
        <w:t xml:space="preserve">    key    = "portail/terraform.tfstate"</w:t>
      </w:r>
      <w:r>
        <w:br/>
      </w:r>
      <w:r>
        <w:rPr>
          <w:rStyle w:val="VerbatimChar"/>
        </w:rPr>
        <w:t xml:space="preserve">    region = "us-east-1"</w:t>
      </w:r>
      <w:r>
        <w:br/>
      </w:r>
      <w:r>
        <w:rPr>
          <w:rStyle w:val="VerbatimChar"/>
        </w:rPr>
        <w:t xml:space="preserve">  }</w:t>
      </w:r>
      <w:r>
        <w:br/>
      </w:r>
      <w:r>
        <w:rPr>
          <w:rStyle w:val="VerbatimChar"/>
        </w:rPr>
        <w:t xml:space="preserve">}</w:t>
      </w:r>
    </w:p>
    <w:bookmarkEnd w:id="1325"/>
    <w:bookmarkStart w:id="1326" w:name="plan-et-apply-le-dry-run-universel"/>
    <w:p>
      <w:pPr>
        <w:pStyle w:val="Heading2"/>
      </w:pPr>
      <w:r>
        <w:t xml:space="preserve">54.6</w:t>
      </w:r>
      <w:r>
        <w:t xml:space="preserve"> </w:t>
      </w:r>
      <w:r>
        <w:rPr>
          <w:rStyle w:val="VerbatimChar"/>
        </w:rPr>
        <w:t xml:space="preserve">plan</w:t>
      </w:r>
      <w:r>
        <w:t xml:space="preserve"> </w:t>
      </w:r>
      <w:r>
        <w:t xml:space="preserve">et</w:t>
      </w:r>
      <w:r>
        <w:t xml:space="preserve"> </w:t>
      </w:r>
      <w:r>
        <w:rPr>
          <w:rStyle w:val="VerbatimChar"/>
        </w:rPr>
        <w:t xml:space="preserve">apply</w:t>
      </w:r>
      <w:r>
        <w:t xml:space="preserve"> </w:t>
      </w:r>
      <w:r>
        <w:t xml:space="preserve">: le</w:t>
      </w:r>
      <w:r>
        <w:t xml:space="preserve"> </w:t>
      </w:r>
      <w:r>
        <w:t xml:space="preserve">“dry run”</w:t>
      </w:r>
      <w:r>
        <w:t xml:space="preserve"> </w:t>
      </w:r>
      <w:r>
        <w:t xml:space="preserve">universel</w:t>
      </w:r>
    </w:p>
    <w:p>
      <w:pPr>
        <w:pStyle w:val="SourceCode"/>
      </w:pPr>
      <w:r>
        <w:rPr>
          <w:rStyle w:val="VerbatimChar"/>
        </w:rPr>
        <w:t xml:space="preserve"># Initialiser le repertoire de travail (telecharge les providers necessaires)</w:t>
      </w:r>
      <w:r>
        <w:br/>
      </w:r>
      <w:r>
        <w:rPr>
          <w:rStyle w:val="VerbatimChar"/>
        </w:rPr>
        <w:t xml:space="preserve">terraform init</w:t>
      </w:r>
      <w:r>
        <w:br/>
      </w:r>
      <w:r>
        <w:br/>
      </w:r>
      <w:r>
        <w:rPr>
          <w:rStyle w:val="VerbatimChar"/>
        </w:rPr>
        <w:t xml:space="preserve"># Afficher precisement ce qui SERAIT change, sans rien appliquer --</w:t>
      </w:r>
      <w:r>
        <w:br/>
      </w:r>
      <w:r>
        <w:rPr>
          <w:rStyle w:val="VerbatimChar"/>
        </w:rPr>
        <w:t xml:space="preserve"># le meme reflexe de prudence deja etabli pour --check au chapitre 52</w:t>
      </w:r>
      <w:r>
        <w:br/>
      </w:r>
      <w:r>
        <w:rPr>
          <w:rStyle w:val="VerbatimChar"/>
        </w:rPr>
        <w:t xml:space="preserve">terraform plan</w:t>
      </w:r>
      <w:r>
        <w:br/>
      </w:r>
      <w:r>
        <w:br/>
      </w:r>
      <w:r>
        <w:rPr>
          <w:rStyle w:val="VerbatimChar"/>
        </w:rPr>
        <w:t xml:space="preserve"># Appliquer reellement les changements, apres avoir revu le plan</w:t>
      </w:r>
      <w:r>
        <w:br/>
      </w:r>
      <w:r>
        <w:rPr>
          <w:rStyle w:val="VerbatimChar"/>
        </w:rPr>
        <w:t xml:space="preserve">terraform apply</w:t>
      </w:r>
    </w:p>
    <w:p>
      <w:pPr>
        <w:pStyle w:val="FirstParagraph"/>
      </w:pPr>
      <w:r>
        <w:t xml:space="preserve">✅ Bonne pratique — toujours lire le plan avant d’appliquer</w:t>
      </w:r>
      <w:r>
        <w:t xml:space="preserve"> </w:t>
      </w:r>
      <w:r>
        <w:t xml:space="preserve">Rappel direct du principe déjà établi pour</w:t>
      </w:r>
      <w:r>
        <w:t xml:space="preserve"> </w:t>
      </w:r>
      <w:r>
        <w:rPr>
          <w:rStyle w:val="VerbatimChar"/>
        </w:rPr>
        <w:t xml:space="preserve">--check</w:t>
      </w:r>
      <w:r>
        <w:t xml:space="preserve"> </w:t>
      </w:r>
      <w:r>
        <w:t xml:space="preserve">avec Ansible (chapitre 52) et pour tout changement à risque (chapitre 2) :</w:t>
      </w:r>
      <w:r>
        <w:t xml:space="preserve"> </w:t>
      </w:r>
      <w:r>
        <w:rPr>
          <w:rStyle w:val="VerbatimChar"/>
        </w:rPr>
        <w:t xml:space="preserve">terraform plan</w:t>
      </w:r>
      <w:r>
        <w:t xml:space="preserve"> </w:t>
      </w:r>
      <w:r>
        <w:t xml:space="preserve">affiche précisément ce qui serait créé, modifié ou</w:t>
      </w:r>
      <w:r>
        <w:t xml:space="preserve"> </w:t>
      </w:r>
      <w:r>
        <w:rPr>
          <w:b/>
          <w:bCs/>
        </w:rPr>
        <w:t xml:space="preserve">détruit</w:t>
      </w:r>
      <w:r>
        <w:t xml:space="preserve">, avant toute application réelle — ignorer cette étape et appliquer directement expose au risque de suppression accidentelle d’une ressource critique, sans avertissement préalable.</w:t>
      </w:r>
    </w:p>
    <w:bookmarkEnd w:id="1326"/>
    <w:bookmarkStart w:id="1327" w:name="recréer-larchitecture-du-chapitre-46"/>
    <w:p>
      <w:pPr>
        <w:pStyle w:val="Heading2"/>
      </w:pPr>
      <w:r>
        <w:t xml:space="preserve">54.7 Recréer l’architecture du chapitre 46</w:t>
      </w:r>
    </w:p>
    <w:p>
      <w:pPr>
        <w:pStyle w:val="FirstParagraph"/>
      </w:pPr>
      <w:r>
        <w:t xml:space="preserve">🧠 À mémoriser — la réponse complète au scénario d’ouverture</w:t>
      </w:r>
      <w:r>
        <w:t xml:space="preserve"> </w:t>
      </w:r>
      <w:r>
        <w:t xml:space="preserve">Une fois le VPC, les sous-réseaux, l’instance EC2 et RDS du chapitre 46 décrits en HCL, recréer un environnement de test identique devient une simple exécution de</w:t>
      </w:r>
      <w:r>
        <w:t xml:space="preserve"> </w:t>
      </w:r>
      <w:r>
        <w:rPr>
          <w:rStyle w:val="VerbatimChar"/>
        </w:rPr>
        <w:t xml:space="preserve">terraform apply</w:t>
      </w:r>
      <w:r>
        <w:t xml:space="preserve"> </w:t>
      </w:r>
      <w:r>
        <w:t xml:space="preserve">sur une nouvelle configuration nommée différemment — exactement le besoin exprimé par le DSI dans le scénario d’ouverture, résolu en quelques minutes plutôt qu’en plusieurs heures de reconstruction manuelle incertaine via la console.</w:t>
      </w:r>
    </w:p>
    <w:bookmarkEnd w:id="1327"/>
    <w:bookmarkStart w:id="1328" w:name="Xd79fe30abeb298878595522c5acbeaf0bfc42fc"/>
    <w:p>
      <w:pPr>
        <w:pStyle w:val="Heading2"/>
      </w:pPr>
      <w:r>
        <w:t xml:space="preserve">Atelier — Décrire l’architecture AWS en Terraform</w:t>
      </w:r>
    </w:p>
    <w:p>
      <w:pPr>
        <w:pStyle w:val="FirstParagraph"/>
      </w:pPr>
      <w:r>
        <w:t xml:space="preserve">🛠️ Atelier 54 — Rendre reproductible l’architecture du chapitre 46</w:t>
      </w:r>
    </w:p>
    <w:p>
      <w:pPr>
        <w:pStyle w:val="BodyText"/>
      </w:pPr>
      <w:r>
        <w:rPr>
          <w:b/>
          <w:bCs/>
        </w:rPr>
        <w:t xml:space="preserve">Objectif</w:t>
      </w:r>
      <w:r>
        <w:t xml:space="preserve"> </w:t>
      </w:r>
      <w:r>
        <w:t xml:space="preserve">: traduire l’architecture VPC/EC2/RDS du chapitre 46 en configuration Terraform.</w:t>
      </w:r>
    </w:p>
    <w:p>
      <w:pPr>
        <w:pStyle w:val="BodyText"/>
      </w:pPr>
      <w:r>
        <w:rPr>
          <w:b/>
          <w:bCs/>
        </w:rPr>
        <w:t xml:space="preserve">Préparation</w:t>
      </w:r>
      <w:r>
        <w:t xml:space="preserve"> </w:t>
      </w:r>
      <w:r>
        <w:t xml:space="preserve">: accès à un compte AWS de test avec Terraform installé, ou une lecture attentive suffit pour cet atelier conceptuel.</w:t>
      </w:r>
    </w:p>
    <w:p>
      <w:pPr>
        <w:pStyle w:val="BodyText"/>
      </w:pPr>
      <w:r>
        <w:rPr>
          <w:b/>
          <w:bCs/>
        </w:rPr>
        <w:t xml:space="preserve">Étapes détaillées</w:t>
      </w:r>
      <w:r>
        <w:t xml:space="preserve"> </w:t>
      </w:r>
      <w:r>
        <w:t xml:space="preserve">:</w:t>
      </w:r>
    </w:p>
    <w:p>
      <w:pPr>
        <w:pStyle w:val="Compact"/>
        <w:numPr>
          <w:ilvl w:val="0"/>
          <w:numId w:val="2240"/>
        </w:numPr>
      </w:pPr>
      <w:r>
        <w:t xml:space="preserve">Décris, en HCL, les ressources VPC et sous-réseaux public/privé du chapitre 46 (section 46.4).</w:t>
      </w:r>
    </w:p>
    <w:p>
      <w:pPr>
        <w:pStyle w:val="Compact"/>
        <w:numPr>
          <w:ilvl w:val="0"/>
          <w:numId w:val="2240"/>
        </w:numPr>
      </w:pPr>
      <w:r>
        <w:t xml:space="preserve">Ajoute la ressource EC2 pour l’application, avec un tagging cohérent (rappel du chapitre 50).</w:t>
      </w:r>
    </w:p>
    <w:p>
      <w:pPr>
        <w:pStyle w:val="Compact"/>
        <w:numPr>
          <w:ilvl w:val="0"/>
          <w:numId w:val="2240"/>
        </w:numPr>
      </w:pPr>
      <w:r>
        <w:t xml:space="preserve">Explique pourquoi le backend distant (section 54.5) est indispensable avant que l’équipe entière ne commence à utiliser cette configuration.</w:t>
      </w:r>
    </w:p>
    <w:p>
      <w:pPr>
        <w:pStyle w:val="Compact"/>
        <w:numPr>
          <w:ilvl w:val="0"/>
          <w:numId w:val="2240"/>
        </w:numPr>
      </w:pPr>
      <w:r>
        <w:t xml:space="preserve">Compare ta démarche à la section</w:t>
      </w:r>
      <w:r>
        <w:t xml:space="preserve"> </w:t>
      </w:r>
      <w:r>
        <w:t xml:space="preserve">“Résultat attendu”</w:t>
      </w:r>
      <w:r>
        <w:t xml:space="preserve">.</w:t>
      </w:r>
    </w:p>
    <w:p>
      <w:pPr>
        <w:pStyle w:val="FirstParagraph"/>
      </w:pPr>
      <w:r>
        <w:rPr>
          <w:b/>
          <w:bCs/>
        </w:rPr>
        <w:t xml:space="preserve">Résultat attendu</w:t>
      </w:r>
      <w:r>
        <w:t xml:space="preserve"> </w:t>
      </w:r>
      <w:r>
        <w:t xml:space="preserve">: les ressources</w:t>
      </w:r>
      <w:r>
        <w:t xml:space="preserve"> </w:t>
      </w:r>
      <w:r>
        <w:rPr>
          <w:rStyle w:val="VerbatimChar"/>
        </w:rPr>
        <w:t xml:space="preserve">aws_vpc</w:t>
      </w:r>
      <w:r>
        <w:t xml:space="preserve">,</w:t>
      </w:r>
      <w:r>
        <w:t xml:space="preserve"> </w:t>
      </w:r>
      <w:r>
        <w:rPr>
          <w:rStyle w:val="VerbatimChar"/>
        </w:rPr>
        <w:t xml:space="preserve">aws_subnet</w:t>
      </w:r>
      <w:r>
        <w:t xml:space="preserve"> </w:t>
      </w:r>
      <w:r>
        <w:t xml:space="preserve">(public et privé, rappel de la segmentation du chapitre 46) et</w:t>
      </w:r>
      <w:r>
        <w:t xml:space="preserve"> </w:t>
      </w:r>
      <w:r>
        <w:rPr>
          <w:rStyle w:val="VerbatimChar"/>
        </w:rPr>
        <w:t xml:space="preserve">aws_instance</w:t>
      </w:r>
      <w:r>
        <w:t xml:space="preserve"> </w:t>
      </w:r>
      <w:r>
        <w:t xml:space="preserve">reprennent exactement la même architecture déjà construite manuellement, mais désormais entièrement décrite en code. Le backend distant est indispensable dès qu’une seconde personne pourrait exécuter</w:t>
      </w:r>
      <w:r>
        <w:t xml:space="preserve"> </w:t>
      </w:r>
      <w:r>
        <w:rPr>
          <w:rStyle w:val="VerbatimChar"/>
        </w:rPr>
        <w:t xml:space="preserve">terraform apply</w:t>
      </w:r>
      <w:r>
        <w:t xml:space="preserve"> </w:t>
      </w:r>
      <w:r>
        <w:t xml:space="preserve">sur la même infrastructure — sans lui, chaque personne disposerait d’un état local potentiellement désynchronisé de la réalité, provoquant des conflits ou des actions destructrices imprévues.</w:t>
      </w:r>
    </w:p>
    <w:p>
      <w:pPr>
        <w:pStyle w:val="BodyText"/>
      </w:pPr>
      <w:r>
        <w:rPr>
          <w:b/>
          <w:bCs/>
        </w:rPr>
        <w:t xml:space="preserve">Dépannage</w:t>
      </w:r>
      <w:r>
        <w:t xml:space="preserve"> </w:t>
      </w:r>
      <w:r>
        <w:t xml:space="preserve">: si</w:t>
      </w:r>
      <w:r>
        <w:t xml:space="preserve"> </w:t>
      </w:r>
      <w:r>
        <w:rPr>
          <w:rStyle w:val="VerbatimChar"/>
        </w:rPr>
        <w:t xml:space="preserve">terraform plan</w:t>
      </w:r>
      <w:r>
        <w:t xml:space="preserve"> </w:t>
      </w:r>
      <w:r>
        <w:t xml:space="preserve">propose de recréer une ressource qui existe déjà manuellement (créée via la console avant l’adoption de Terraform), utilise</w:t>
      </w:r>
      <w:r>
        <w:t xml:space="preserve"> </w:t>
      </w:r>
      <w:r>
        <w:rPr>
          <w:rStyle w:val="VerbatimChar"/>
        </w:rPr>
        <w:t xml:space="preserve">terraform import</w:t>
      </w:r>
      <w:r>
        <w:t xml:space="preserve"> </w:t>
      </w:r>
      <w:r>
        <w:t xml:space="preserve">pour faire correspondre cette ressource existante à sa déclaration HCL, plutôt que de la laisser détruire et recréer inutilement.</w:t>
      </w:r>
    </w:p>
    <w:bookmarkEnd w:id="1328"/>
    <w:bookmarkStart w:id="1329" w:name="erreurs-fréquentes-53"/>
    <w:p>
      <w:pPr>
        <w:pStyle w:val="Heading2"/>
      </w:pPr>
      <w:r>
        <w:t xml:space="preserve">Erreurs fréquentes</w:t>
      </w:r>
    </w:p>
    <w:p>
      <w:pPr>
        <w:pStyle w:val="FirstParagraph"/>
      </w:pPr>
      <w:r>
        <w:t xml:space="preserve">⚠️ Erreur n°1 — un fichier d’état local, jamais partagé ni sauvegardé</w:t>
      </w:r>
      <w:r>
        <w:t xml:space="preserve"> </w:t>
      </w:r>
      <w:r>
        <w:t xml:space="preserve">Exactement le risque de la section 54.5 — la perte de ce fichier laisse Terraform incapable de gérer correctement l’infrastructure existante, un risque bien supérieur à une simple gêne.</w:t>
      </w:r>
    </w:p>
    <w:p>
      <w:pPr>
        <w:pStyle w:val="BodyText"/>
      </w:pPr>
      <w:r>
        <w:t xml:space="preserve">⚠️ Erreur n°2 — committer le state en clair dans Git</w:t>
      </w:r>
      <w:r>
        <w:t xml:space="preserve"> </w:t>
      </w:r>
      <w:r>
        <w:t xml:space="preserve">Rappel de la section 54.5 : ce fichier peut contenir des informations sensibles, exactement le même risque déjà dénoncé pour les secrets Ansible non chiffrés au chapitre 53.</w:t>
      </w:r>
    </w:p>
    <w:p>
      <w:pPr>
        <w:pStyle w:val="BodyText"/>
      </w:pPr>
      <w:r>
        <w:t xml:space="preserve">⚠️ Erreur n°3 — exécuter</w:t>
      </w:r>
      <w:r>
        <w:t xml:space="preserve"> </w:t>
      </w:r>
      <w:r>
        <w:rPr>
          <w:rStyle w:val="VerbatimChar"/>
        </w:rPr>
        <w:t xml:space="preserve">terraform apply</w:t>
      </w:r>
      <w:r>
        <w:t xml:space="preserve"> </w:t>
      </w:r>
      <w:r>
        <w:t xml:space="preserve">sans avoir lu le plan au préalable</w:t>
      </w:r>
      <w:r>
        <w:t xml:space="preserve"> </w:t>
      </w:r>
      <w:r>
        <w:t xml:space="preserve">Rappel de la section 54.6 : ignorer cette étape expose au risque de suppression accidentelle d’une ressource critique, sans avertissement préalable — le même risque déjà dénoncé pour tout changement appliqué sans revue au chapitre 2.</w:t>
      </w:r>
    </w:p>
    <w:bookmarkEnd w:id="1329"/>
    <w:bookmarkStart w:id="1330" w:name="X284d7a07638dc2aa029b38111f6f748885ecd74"/>
    <w:p>
      <w:pPr>
        <w:pStyle w:val="Heading2"/>
      </w:pPr>
      <w:r>
        <w:t xml:space="preserve">Diagnostiquer une dérive entre le state et la réalité</w:t>
      </w:r>
    </w:p>
    <w:p>
      <w:pPr>
        <w:pStyle w:val="FirstParagraph"/>
      </w:pPr>
      <w:r>
        <w:t xml:space="preserve">🩺 Situation :</w:t>
      </w:r>
      <w:r>
        <w:t xml:space="preserve"> </w:t>
      </w:r>
      <w:r>
        <w:t xml:space="preserve">“L’infrastructure réelle a été modifiée manuellement (ClickOps) après l’adoption de Terraform, et</w:t>
      </w:r>
      <w:r>
        <w:t xml:space="preserve"> </w:t>
      </w:r>
      <w:r>
        <w:rPr>
          <w:rStyle w:val="VerbatimChar"/>
        </w:rPr>
        <w:t xml:space="preserve">terraform plan</w:t>
      </w:r>
      <w:r>
        <w:t xml:space="preserve"> </w:t>
      </w:r>
      <w:r>
        <w:t xml:space="preserve">propose maintenant des changements inattendus”</w:t>
      </w:r>
    </w:p>
    <w:p>
      <w:pPr>
        <w:pStyle w:val="Compact"/>
        <w:numPr>
          <w:ilvl w:val="0"/>
          <w:numId w:val="2241"/>
        </w:numPr>
      </w:pPr>
      <w:r>
        <w:rPr>
          <w:b/>
          <w:bCs/>
        </w:rPr>
        <w:t xml:space="preserve">Diagnostic</w:t>
      </w:r>
      <w:r>
        <w:t xml:space="preserve"> </w:t>
      </w:r>
      <w:r>
        <w:t xml:space="preserve">: une modification manuelle (via la console, en dehors de Terraform) crée une divergence entre le fichier d’état et la réalité — exactement la même dérive de configuration déjà dénoncée au chapitre 52, appliquée ici à l’infrastructure plutôt qu’à la configuration système.</w:t>
      </w:r>
    </w:p>
    <w:p>
      <w:pPr>
        <w:pStyle w:val="Compact"/>
        <w:numPr>
          <w:ilvl w:val="0"/>
          <w:numId w:val="2241"/>
        </w:numPr>
      </w:pPr>
      <w:r>
        <w:rPr>
          <w:b/>
          <w:bCs/>
        </w:rPr>
        <w:t xml:space="preserve">Comment vérifier</w:t>
      </w:r>
      <w:r>
        <w:t xml:space="preserve"> </w:t>
      </w:r>
      <w:r>
        <w:t xml:space="preserve">:</w:t>
      </w:r>
      <w:r>
        <w:t xml:space="preserve"> </w:t>
      </w:r>
      <w:r>
        <w:rPr>
          <w:rStyle w:val="VerbatimChar"/>
        </w:rPr>
        <w:t xml:space="preserve">terraform plan</w:t>
      </w:r>
      <w:r>
        <w:t xml:space="preserve"> </w:t>
      </w:r>
      <w:r>
        <w:t xml:space="preserve">révèle précisément cette divergence, en comparant l’état enregistré à l’état réel actuel de l’infrastructure.</w:t>
      </w:r>
    </w:p>
    <w:p>
      <w:pPr>
        <w:pStyle w:val="Compact"/>
        <w:numPr>
          <w:ilvl w:val="0"/>
          <w:numId w:val="2241"/>
        </w:numPr>
      </w:pPr>
      <w:r>
        <w:rPr>
          <w:b/>
          <w:bCs/>
        </w:rPr>
        <w:t xml:space="preserve">Résolution</w:t>
      </w:r>
      <w:r>
        <w:t xml:space="preserve"> </w:t>
      </w:r>
      <w:r>
        <w:t xml:space="preserve">: soit aligner l’infrastructure réelle sur la configuration HCL (en appliquant le plan proposé), soit mettre à jour la configuration HCL pour refléter le changement manuel voulu, puis exécuter</w:t>
      </w:r>
      <w:r>
        <w:t xml:space="preserve"> </w:t>
      </w:r>
      <w:r>
        <w:rPr>
          <w:rStyle w:val="VerbatimChar"/>
        </w:rPr>
        <w:t xml:space="preserve">terraform apply</w:t>
      </w:r>
      <w:r>
        <w:t xml:space="preserve"> </w:t>
      </w:r>
      <w:r>
        <w:t xml:space="preserve">pour resynchroniser le state — jamais laisser cette divergence s’accumuler sans la traiter consciemment, au risque de perdre progressivement le contrôle réel de l’infrastructure gérée par Terraform.</w:t>
      </w:r>
    </w:p>
    <w:bookmarkEnd w:id="1330"/>
    <w:bookmarkStart w:id="1331" w:name="en-entreprise-53"/>
    <w:p>
      <w:pPr>
        <w:pStyle w:val="Heading2"/>
      </w:pPr>
      <w:r>
        <w:t xml:space="preserve">En entreprise</w:t>
      </w:r>
    </w:p>
    <w:p>
      <w:pPr>
        <w:pStyle w:val="Compact"/>
        <w:numPr>
          <w:ilvl w:val="0"/>
          <w:numId w:val="2242"/>
        </w:numPr>
      </w:pPr>
      <w:r>
        <w:rPr>
          <w:b/>
          <w:bCs/>
        </w:rPr>
        <w:t xml:space="preserve">Bonne pratique répandue</w:t>
      </w:r>
      <w:r>
        <w:t xml:space="preserve"> </w:t>
      </w:r>
      <w:r>
        <w:t xml:space="preserve">: configurer un backend distant avec verrouillage dès le premier projet Terraform d’une équipe de plus d’une personne, jamais après coup une fois le risque de conflit déjà matérialisé.</w:t>
      </w:r>
    </w:p>
    <w:p>
      <w:pPr>
        <w:pStyle w:val="Compact"/>
        <w:numPr>
          <w:ilvl w:val="0"/>
          <w:numId w:val="2242"/>
        </w:numPr>
      </w:pPr>
      <w:r>
        <w:rPr>
          <w:b/>
          <w:bCs/>
        </w:rPr>
        <w:t xml:space="preserve">Bonne pratique répandue</w:t>
      </w:r>
      <w:r>
        <w:t xml:space="preserve"> </w:t>
      </w:r>
      <w:r>
        <w:t xml:space="preserve">: interdire toute modification manuelle (ClickOps) des ressources gérées par Terraform, pour préserver la cohérence entre le state et la réalité — une discipline d’équipe à faire respecter, pas seulement une bonne pratique individuelle.</w:t>
      </w:r>
    </w:p>
    <w:p>
      <w:pPr>
        <w:pStyle w:val="Compact"/>
        <w:numPr>
          <w:ilvl w:val="0"/>
          <w:numId w:val="2242"/>
        </w:numPr>
      </w:pPr>
      <w:r>
        <w:rPr>
          <w:b/>
          <w:bCs/>
        </w:rPr>
        <w:t xml:space="preserve">Erreur classique observée</w:t>
      </w:r>
      <w:r>
        <w:t xml:space="preserve"> </w:t>
      </w:r>
      <w:r>
        <w:t xml:space="preserve">: une infrastructure Terraform et des modifications manuelles ponctuelles coexistant sans discipline claire, provoquant des divergences de state de plus en plus fréquentes et difficiles à résoudre à mesure que le temps passe.</w:t>
      </w:r>
    </w:p>
    <w:bookmarkEnd w:id="1331"/>
    <w:bookmarkStart w:id="1332" w:name="entretien-technique-53"/>
    <w:p>
      <w:pPr>
        <w:pStyle w:val="Heading2"/>
      </w:pPr>
      <w:r>
        <w:t xml:space="preserve">Entretien technique</w:t>
      </w:r>
    </w:p>
    <w:p>
      <w:pPr>
        <w:pStyle w:val="FirstParagraph"/>
      </w:pPr>
      <w:r>
        <w:t xml:space="preserve">💼 Questions fréquemment posées en entretien</w:t>
      </w:r>
    </w:p>
    <w:p>
      <w:pPr>
        <w:pStyle w:val="BodyText"/>
      </w:pPr>
      <w:r>
        <w:rPr>
          <w:b/>
          <w:bCs/>
        </w:rPr>
        <w:t xml:space="preserve">Q1.</w:t>
      </w:r>
      <w:r>
        <w:rPr>
          <w:b/>
          <w:bCs/>
        </w:rPr>
        <w:t xml:space="preserve"> </w:t>
      </w:r>
      <w:r>
        <w:rPr>
          <w:b/>
          <w:bCs/>
        </w:rPr>
        <w:t xml:space="preserve">“Quelle est la différence entre Terraform et Ansible ?”</w:t>
      </w:r>
      <w:r>
        <w:t xml:space="preserve"> </w:t>
      </w:r>
      <w:r>
        <w:t xml:space="preserve">Réponse attendue : Terraform provisionne et gère le cycle de vie de l’infrastructure elle-même (créer, modifier, détruire des ressources cloud) ; Ansible configure ce qui tourne à l’intérieur d’une infrastructure déjà existante — les deux outils sont complémentaires, souvent utilisés ensemble dans un même flux de travail.</w:t>
      </w:r>
    </w:p>
    <w:p>
      <w:pPr>
        <w:pStyle w:val="BodyText"/>
      </w:pPr>
      <w:r>
        <w:rPr>
          <w:b/>
          <w:bCs/>
        </w:rPr>
        <w:t xml:space="preserve">Q2.</w:t>
      </w:r>
      <w:r>
        <w:rPr>
          <w:b/>
          <w:bCs/>
        </w:rPr>
        <w:t xml:space="preserve"> </w:t>
      </w:r>
      <w:r>
        <w:rPr>
          <w:b/>
          <w:bCs/>
        </w:rPr>
        <w:t xml:space="preserve">“Pourquoi le fichier d’état Terraform est-il si sensible, et comment le protéger correctement ?”</w:t>
      </w:r>
      <w:r>
        <w:t xml:space="preserve"> </w:t>
      </w:r>
      <w:r>
        <w:t xml:space="preserve">Réponse attendue : il associe chaque ressource déclarée à sa ressource réelle correspondante, peut contenir des informations sensibles, et sa perte rend Terraform incapable de gérer correctement l’infrastructure existante — il doit être stocké dans un backend distant avec verrouillage, jamais localement ni committé en clair dans Git.</w:t>
      </w:r>
    </w:p>
    <w:p>
      <w:pPr>
        <w:pStyle w:val="BodyText"/>
      </w:pPr>
      <w:r>
        <w:rPr>
          <w:b/>
          <w:bCs/>
        </w:rPr>
        <w:t xml:space="preserve">Q3.</w:t>
      </w:r>
      <w:r>
        <w:rPr>
          <w:b/>
          <w:bCs/>
        </w:rPr>
        <w:t xml:space="preserve"> </w:t>
      </w:r>
      <w:r>
        <w:rPr>
          <w:b/>
          <w:bCs/>
        </w:rPr>
        <w:t xml:space="preserve">“Que se passe-t-il si quelqu’un modifie manuellement une ressource gérée par Terraform, en dehors de tout</w:t>
      </w:r>
      <w:r>
        <w:rPr>
          <w:b/>
          <w:bCs/>
        </w:rPr>
        <w:t xml:space="preserve"> </w:t>
      </w:r>
      <w:r>
        <w:rPr>
          <w:rStyle w:val="VerbatimChar"/>
          <w:b/>
          <w:bCs/>
        </w:rPr>
        <w:t xml:space="preserve">apply</w:t>
      </w:r>
      <w:r>
        <w:rPr>
          <w:b/>
          <w:bCs/>
        </w:rPr>
        <w:t xml:space="preserve"> </w:t>
      </w:r>
      <w:r>
        <w:rPr>
          <w:b/>
          <w:bCs/>
        </w:rPr>
        <w:t xml:space="preserve">?”</w:t>
      </w:r>
      <w:r>
        <w:t xml:space="preserve"> </w:t>
      </w:r>
      <w:r>
        <w:t xml:space="preserve">Réponse attendue : une divergence (drift) apparaît entre le fichier d’état et la réalité, détectable via</w:t>
      </w:r>
      <w:r>
        <w:t xml:space="preserve"> </w:t>
      </w:r>
      <w:r>
        <w:rPr>
          <w:rStyle w:val="VerbatimChar"/>
        </w:rPr>
        <w:t xml:space="preserve">terraform plan</w:t>
      </w:r>
      <w:r>
        <w:t xml:space="preserve"> </w:t>
      </w:r>
      <w:r>
        <w:t xml:space="preserve">— cette divergence doit être résolue consciemment, soit en réalignant l’infrastructure sur la configuration, soit en mettant à jour la configuration pour refléter le changement voulu, jamais laissée sans traitement.</w:t>
      </w:r>
    </w:p>
    <w:bookmarkEnd w:id="1332"/>
    <w:bookmarkStart w:id="1333" w:name="X21e53158af7250d7d4936b8c3a171c50d2e8898"/>
    <w:p>
      <w:pPr>
        <w:pStyle w:val="Heading2"/>
      </w:pPr>
      <w:r>
        <w:t xml:space="preserve">Optimisation, sécurité et maintenabilité — les réflexes dès ce chapitre</w:t>
      </w:r>
    </w:p>
    <w:p>
      <w:pPr>
        <w:pStyle w:val="FirstParagraph"/>
      </w:pPr>
      <w:r>
        <w:t xml:space="preserve">🔒 Sécurité</w:t>
      </w:r>
      <w:r>
        <w:t xml:space="preserve"> </w:t>
      </w:r>
      <w:r>
        <w:t xml:space="preserve">Configure systématiquement un backend distant chiffré pour le fichier d’état, avec verrouillage — jamais un state local ou committé en clair, le réflexe de sécurité le plus important de ce chapitre.</w:t>
      </w:r>
    </w:p>
    <w:p>
      <w:pPr>
        <w:pStyle w:val="BodyText"/>
      </w:pPr>
      <w:r>
        <w:t xml:space="preserve">✅ Maintenabilité</w:t>
      </w:r>
      <w:r>
        <w:t xml:space="preserve"> </w:t>
      </w:r>
      <w:r>
        <w:t xml:space="preserve">Applique le même tagging systématique déjà établi au chapitre 50 dès la définition des ressources en HCL — la discipline FinOps commence dès la conception de l’infrastructure, pas ajoutée après coup une fois les ressources déjà créées.</w:t>
      </w:r>
    </w:p>
    <w:p>
      <w:pPr>
        <w:pStyle w:val="BodyText"/>
      </w:pPr>
      <w:r>
        <w:t xml:space="preserve">🚀 Performance</w:t>
      </w:r>
      <w:r>
        <w:t xml:space="preserve"> </w:t>
      </w:r>
      <w:r>
        <w:t xml:space="preserve">Structure les configurations Terraform en modules réutilisables (approfondi au chapitre 55) plutôt qu’un seul fichier monolithique — le même principe déjà établi pour les rôles Ansible (chapitre 53), appliqué ici au provisionnement d’infrastructure.</w:t>
      </w:r>
    </w:p>
    <w:bookmarkEnd w:id="1333"/>
    <w:bookmarkStart w:id="1334" w:name="résumé-du-chapitre-53"/>
    <w:p>
      <w:pPr>
        <w:pStyle w:val="Heading2"/>
      </w:pPr>
      <w:r>
        <w:t xml:space="preserve">Résumé du chapitre</w:t>
      </w:r>
    </w:p>
    <w:p>
      <w:pPr>
        <w:pStyle w:val="Compact"/>
        <w:numPr>
          <w:ilvl w:val="0"/>
          <w:numId w:val="2243"/>
        </w:numPr>
      </w:pPr>
      <w:r>
        <w:t xml:space="preserve">Terraform provisionne l’infrastructure elle-même (VPC, instances, bases de données), tandis qu’Ansible configure ce qui tourne à l’intérieur d’une infrastructure déjà existante.</w:t>
      </w:r>
    </w:p>
    <w:p>
      <w:pPr>
        <w:pStyle w:val="Compact"/>
        <w:numPr>
          <w:ilvl w:val="0"/>
          <w:numId w:val="2243"/>
        </w:numPr>
      </w:pPr>
      <w:r>
        <w:t xml:space="preserve">HCL décrit un état désiré de façon déclarative, dans le même esprit que YAML déjà pratiqué pour Docker Compose, Kubernetes et Ansible.</w:t>
      </w:r>
    </w:p>
    <w:p>
      <w:pPr>
        <w:pStyle w:val="Compact"/>
        <w:numPr>
          <w:ilvl w:val="0"/>
          <w:numId w:val="2243"/>
        </w:numPr>
      </w:pPr>
      <w:r>
        <w:t xml:space="preserve">Le fichier d’état associe chaque ressource déclarée à sa ressource réelle correspondante — il doit toujours résider dans un backend distant sécurisé, jamais localement ni en clair dans Git.</w:t>
      </w:r>
    </w:p>
    <w:p>
      <w:pPr>
        <w:pStyle w:val="Compact"/>
        <w:numPr>
          <w:ilvl w:val="0"/>
          <w:numId w:val="2243"/>
        </w:numPr>
      </w:pPr>
      <w:r>
        <w:rPr>
          <w:rStyle w:val="VerbatimChar"/>
        </w:rPr>
        <w:t xml:space="preserve">terraform plan</w:t>
      </w:r>
      <w:r>
        <w:t xml:space="preserve"> </w:t>
      </w:r>
      <w:r>
        <w:t xml:space="preserve">doit toujours précéder</w:t>
      </w:r>
      <w:r>
        <w:t xml:space="preserve"> </w:t>
      </w:r>
      <w:r>
        <w:rPr>
          <w:rStyle w:val="VerbatimChar"/>
        </w:rPr>
        <w:t xml:space="preserve">terraform apply</w:t>
      </w:r>
      <w:r>
        <w:t xml:space="preserve">, exactement le même principe de prudence déjà établi pour</w:t>
      </w:r>
      <w:r>
        <w:t xml:space="preserve"> </w:t>
      </w:r>
      <w:r>
        <w:rPr>
          <w:rStyle w:val="VerbatimChar"/>
        </w:rPr>
        <w:t xml:space="preserve">--check</w:t>
      </w:r>
      <w:r>
        <w:t xml:space="preserve"> </w:t>
      </w:r>
      <w:r>
        <w:t xml:space="preserve">avec Ansible.</w:t>
      </w:r>
    </w:p>
    <w:p>
      <w:pPr>
        <w:pStyle w:val="Compact"/>
        <w:numPr>
          <w:ilvl w:val="0"/>
          <w:numId w:val="2243"/>
        </w:numPr>
      </w:pPr>
      <w:r>
        <w:t xml:space="preserve">Une modification manuelle (ClickOps) d’une ressource gérée par Terraform crée une divergence détectable, à résoudre consciemment plutôt qu’ignorée.</w:t>
      </w:r>
    </w:p>
    <w:bookmarkEnd w:id="1334"/>
    <w:bookmarkStart w:id="1335" w:name="quiz-53"/>
    <w:p>
      <w:pPr>
        <w:pStyle w:val="Heading2"/>
      </w:pPr>
      <w:r>
        <w:t xml:space="preserve">Quiz</w:t>
      </w:r>
    </w:p>
    <w:p>
      <w:pPr>
        <w:pStyle w:val="FirstParagraph"/>
      </w:pPr>
      <w:r>
        <w:t xml:space="preserve">📝 QCM (une seule bonne réponse par question)</w:t>
      </w:r>
    </w:p>
    <w:p>
      <w:pPr>
        <w:pStyle w:val="Compact"/>
        <w:numPr>
          <w:ilvl w:val="0"/>
          <w:numId w:val="2244"/>
        </w:numPr>
      </w:pPr>
      <w:r>
        <w:t xml:space="preserve">Terraform sert principalement à :</w:t>
      </w:r>
    </w:p>
    <w:p>
      <w:pPr>
        <w:pStyle w:val="Compact"/>
        <w:numPr>
          <w:ilvl w:val="1"/>
          <w:numId w:val="2245"/>
        </w:numPr>
      </w:pPr>
    </w:p>
    <w:p>
      <w:pPr>
        <w:pStyle w:val="Compact"/>
        <w:numPr>
          <w:ilvl w:val="2"/>
          <w:numId w:val="2246"/>
        </w:numPr>
      </w:pPr>
      <w:r>
        <w:t xml:space="preserve">Configurer des paquets sur un serveur déjà existant</w:t>
      </w:r>
    </w:p>
    <w:p>
      <w:pPr>
        <w:pStyle w:val="Compact"/>
        <w:numPr>
          <w:ilvl w:val="1"/>
          <w:numId w:val="2245"/>
        </w:numPr>
      </w:pPr>
    </w:p>
    <w:p>
      <w:pPr>
        <w:pStyle w:val="Compact"/>
        <w:numPr>
          <w:ilvl w:val="2"/>
          <w:numId w:val="2247"/>
        </w:numPr>
      </w:pPr>
      <w:r>
        <w:t xml:space="preserve">Provisionner et gérer le cycle de vie de l’infrastructure elle-même</w:t>
      </w:r>
    </w:p>
    <w:p>
      <w:pPr>
        <w:pStyle w:val="Compact"/>
        <w:numPr>
          <w:ilvl w:val="1"/>
          <w:numId w:val="2245"/>
        </w:numPr>
      </w:pPr>
    </w:p>
    <w:p>
      <w:pPr>
        <w:pStyle w:val="Compact"/>
        <w:numPr>
          <w:ilvl w:val="2"/>
          <w:numId w:val="2248"/>
        </w:numPr>
      </w:pPr>
      <w:r>
        <w:t xml:space="preserve">Chiffrer des secrets applicatifs</w:t>
      </w:r>
    </w:p>
    <w:p>
      <w:pPr>
        <w:pStyle w:val="Compact"/>
        <w:numPr>
          <w:ilvl w:val="1"/>
          <w:numId w:val="2245"/>
        </w:numPr>
      </w:pPr>
    </w:p>
    <w:p>
      <w:pPr>
        <w:pStyle w:val="Compact"/>
        <w:numPr>
          <w:ilvl w:val="2"/>
          <w:numId w:val="2249"/>
        </w:numPr>
      </w:pPr>
      <w:r>
        <w:t xml:space="preserve">Remplacer entièrement Ansible</w:t>
      </w:r>
    </w:p>
    <w:p>
      <w:pPr>
        <w:pStyle w:val="Compact"/>
        <w:numPr>
          <w:ilvl w:val="0"/>
          <w:numId w:val="2244"/>
        </w:numPr>
      </w:pPr>
      <w:r>
        <w:t xml:space="preserve">Le fichier d’état Terraform devrait être stocké :</w:t>
      </w:r>
    </w:p>
    <w:p>
      <w:pPr>
        <w:pStyle w:val="Compact"/>
        <w:numPr>
          <w:ilvl w:val="1"/>
          <w:numId w:val="2250"/>
        </w:numPr>
      </w:pPr>
    </w:p>
    <w:p>
      <w:pPr>
        <w:pStyle w:val="Compact"/>
        <w:numPr>
          <w:ilvl w:val="2"/>
          <w:numId w:val="2251"/>
        </w:numPr>
      </w:pPr>
      <w:r>
        <w:t xml:space="preserve">Localement uniquement, sur le poste de chaque développeur</w:t>
      </w:r>
    </w:p>
    <w:p>
      <w:pPr>
        <w:pStyle w:val="Compact"/>
        <w:numPr>
          <w:ilvl w:val="1"/>
          <w:numId w:val="2250"/>
        </w:numPr>
      </w:pPr>
    </w:p>
    <w:p>
      <w:pPr>
        <w:pStyle w:val="Compact"/>
        <w:numPr>
          <w:ilvl w:val="2"/>
          <w:numId w:val="2252"/>
        </w:numPr>
      </w:pPr>
      <w:r>
        <w:t xml:space="preserve">Dans un backend distant sécurisé avec verrouillage</w:t>
      </w:r>
    </w:p>
    <w:p>
      <w:pPr>
        <w:pStyle w:val="Compact"/>
        <w:numPr>
          <w:ilvl w:val="1"/>
          <w:numId w:val="2250"/>
        </w:numPr>
      </w:pPr>
    </w:p>
    <w:p>
      <w:pPr>
        <w:pStyle w:val="Compact"/>
        <w:numPr>
          <w:ilvl w:val="2"/>
          <w:numId w:val="2253"/>
        </w:numPr>
      </w:pPr>
      <w:r>
        <w:t xml:space="preserve">En clair dans le dépôt Git public du projet</w:t>
      </w:r>
    </w:p>
    <w:p>
      <w:pPr>
        <w:pStyle w:val="Compact"/>
        <w:numPr>
          <w:ilvl w:val="1"/>
          <w:numId w:val="2250"/>
        </w:numPr>
      </w:pPr>
    </w:p>
    <w:p>
      <w:pPr>
        <w:pStyle w:val="Compact"/>
        <w:numPr>
          <w:ilvl w:val="2"/>
          <w:numId w:val="2254"/>
        </w:numPr>
      </w:pPr>
      <w:r>
        <w:t xml:space="preserve">Il n’est pas nécessaire de le conserver</w:t>
      </w:r>
    </w:p>
    <w:p>
      <w:pPr>
        <w:pStyle w:val="Compact"/>
        <w:numPr>
          <w:ilvl w:val="0"/>
          <w:numId w:val="2244"/>
        </w:numPr>
      </w:pPr>
      <w:r>
        <w:rPr>
          <w:rStyle w:val="VerbatimChar"/>
        </w:rPr>
        <w:t xml:space="preserve">terraform plan</w:t>
      </w:r>
      <w:r>
        <w:t xml:space="preserve"> </w:t>
      </w:r>
      <w:r>
        <w:t xml:space="preserve">sert à :</w:t>
      </w:r>
    </w:p>
    <w:p>
      <w:pPr>
        <w:pStyle w:val="Compact"/>
        <w:numPr>
          <w:ilvl w:val="1"/>
          <w:numId w:val="2255"/>
        </w:numPr>
      </w:pPr>
    </w:p>
    <w:p>
      <w:pPr>
        <w:pStyle w:val="Compact"/>
        <w:numPr>
          <w:ilvl w:val="2"/>
          <w:numId w:val="2256"/>
        </w:numPr>
      </w:pPr>
      <w:r>
        <w:t xml:space="preserve">Appliquer immédiatement tous les changements</w:t>
      </w:r>
    </w:p>
    <w:p>
      <w:pPr>
        <w:pStyle w:val="Compact"/>
        <w:numPr>
          <w:ilvl w:val="1"/>
          <w:numId w:val="2255"/>
        </w:numPr>
      </w:pPr>
    </w:p>
    <w:p>
      <w:pPr>
        <w:pStyle w:val="Compact"/>
        <w:numPr>
          <w:ilvl w:val="2"/>
          <w:numId w:val="2257"/>
        </w:numPr>
      </w:pPr>
      <w:r>
        <w:t xml:space="preserve">Afficher ce qui serait modifié, sans rien appliquer réellement</w:t>
      </w:r>
    </w:p>
    <w:p>
      <w:pPr>
        <w:pStyle w:val="Compact"/>
        <w:numPr>
          <w:ilvl w:val="1"/>
          <w:numId w:val="2255"/>
        </w:numPr>
      </w:pPr>
    </w:p>
    <w:p>
      <w:pPr>
        <w:pStyle w:val="Compact"/>
        <w:numPr>
          <w:ilvl w:val="2"/>
          <w:numId w:val="2258"/>
        </w:numPr>
      </w:pPr>
      <w:r>
        <w:t xml:space="preserve">Supprimer le fichier d’état</w:t>
      </w:r>
    </w:p>
    <w:p>
      <w:pPr>
        <w:pStyle w:val="Compact"/>
        <w:numPr>
          <w:ilvl w:val="1"/>
          <w:numId w:val="2255"/>
        </w:numPr>
      </w:pPr>
    </w:p>
    <w:p>
      <w:pPr>
        <w:pStyle w:val="Compact"/>
        <w:numPr>
          <w:ilvl w:val="2"/>
          <w:numId w:val="2259"/>
        </w:numPr>
      </w:pPr>
      <w:r>
        <w:t xml:space="preserve">Installer les providers nécessaires</w:t>
      </w:r>
    </w:p>
    <w:p>
      <w:pPr>
        <w:pStyle w:val="FirstParagraph"/>
      </w:pPr>
      <w:r>
        <w:rPr>
          <w:b/>
          <w:bCs/>
        </w:rPr>
        <w:t xml:space="preserve">Corrigé</w:t>
      </w:r>
      <w:r>
        <w:t xml:space="preserve"> </w:t>
      </w:r>
      <w:r>
        <w:t xml:space="preserve">: 1-b, 2-b, 3-b.</w:t>
      </w:r>
    </w:p>
    <w:p>
      <w:pPr>
        <w:pStyle w:val="BodyText"/>
      </w:pPr>
      <w:r>
        <w:t xml:space="preserve">📝 Vrai ou Faux</w:t>
      </w:r>
    </w:p>
    <w:p>
      <w:pPr>
        <w:pStyle w:val="Compact"/>
        <w:numPr>
          <w:ilvl w:val="0"/>
          <w:numId w:val="2260"/>
        </w:numPr>
      </w:pPr>
      <w:r>
        <w:t xml:space="preserve">Terraform et Ansible sont des outils concurrents, on ne devrait jamais les utiliser ensemble. —</w:t>
      </w:r>
      <w:r>
        <w:t xml:space="preserve"> </w:t>
      </w:r>
      <w:r>
        <w:rPr>
          <w:b/>
          <w:bCs/>
        </w:rPr>
        <w:t xml:space="preserve">Faux</w:t>
      </w:r>
      <w:r>
        <w:t xml:space="preserve"> </w:t>
      </w:r>
      <w:r>
        <w:t xml:space="preserve">(complémentaires, section 54.2).</w:t>
      </w:r>
    </w:p>
    <w:p>
      <w:pPr>
        <w:pStyle w:val="Compact"/>
        <w:numPr>
          <w:ilvl w:val="0"/>
          <w:numId w:val="2260"/>
        </w:numPr>
      </w:pPr>
      <w:r>
        <w:t xml:space="preserve">Une modification manuelle d’une ressource gérée par Terraform crée une divergence détectable via</w:t>
      </w:r>
      <w:r>
        <w:t xml:space="preserve"> </w:t>
      </w:r>
      <w:r>
        <w:rPr>
          <w:rStyle w:val="VerbatimChar"/>
        </w:rPr>
        <w:t xml:space="preserve">terraform plan</w:t>
      </w:r>
      <w:r>
        <w:t xml:space="preserve">. —</w:t>
      </w:r>
      <w:r>
        <w:t xml:space="preserve"> </w:t>
      </w:r>
      <w:r>
        <w:rPr>
          <w:b/>
          <w:bCs/>
        </w:rPr>
        <w:t xml:space="preserve">Vrai</w:t>
      </w:r>
      <w:r>
        <w:t xml:space="preserve">.</w:t>
      </w:r>
    </w:p>
    <w:p>
      <w:pPr>
        <w:pStyle w:val="Compact"/>
        <w:numPr>
          <w:ilvl w:val="0"/>
          <w:numId w:val="2260"/>
        </w:numPr>
      </w:pPr>
      <w:r>
        <w:t xml:space="preserve">Le fichier d’état Terraform ne contient jamais d’information sensible. —</w:t>
      </w:r>
      <w:r>
        <w:t xml:space="preserve"> </w:t>
      </w:r>
      <w:r>
        <w:rPr>
          <w:b/>
          <w:bCs/>
        </w:rPr>
        <w:t xml:space="preserve">Faux</w:t>
      </w:r>
      <w:r>
        <w:t xml:space="preserve"> </w:t>
      </w:r>
      <w:r>
        <w:t xml:space="preserve">(il peut contenir des secrets, section 54.5).</w:t>
      </w:r>
    </w:p>
    <w:p>
      <w:pPr>
        <w:pStyle w:val="Compact"/>
        <w:numPr>
          <w:ilvl w:val="0"/>
          <w:numId w:val="2260"/>
        </w:numPr>
      </w:pPr>
      <w:r>
        <w:t xml:space="preserve">Appliquer directement</w:t>
      </w:r>
      <w:r>
        <w:t xml:space="preserve"> </w:t>
      </w:r>
      <w:r>
        <w:rPr>
          <w:rStyle w:val="VerbatimChar"/>
        </w:rPr>
        <w:t xml:space="preserve">terraform apply</w:t>
      </w:r>
      <w:r>
        <w:t xml:space="preserve"> </w:t>
      </w:r>
      <w:r>
        <w:t xml:space="preserve">sans consulter le plan au préalable est une pratique recommandée pour gagner du temps. —</w:t>
      </w:r>
      <w:r>
        <w:t xml:space="preserve"> </w:t>
      </w:r>
      <w:r>
        <w:rPr>
          <w:b/>
          <w:bCs/>
        </w:rPr>
        <w:t xml:space="preserve">Faux</w:t>
      </w:r>
      <w:r>
        <w:t xml:space="preserve"> </w:t>
      </w:r>
      <w:r>
        <w:t xml:space="preserve">(rappel du même risque déjà dénoncé pour tout changement non revu).</w:t>
      </w:r>
    </w:p>
    <w:p>
      <w:pPr>
        <w:pStyle w:val="FirstParagraph"/>
      </w:pPr>
      <w:r>
        <w:t xml:space="preserve">📝 Questions ouvertes</w:t>
      </w:r>
    </w:p>
    <w:p>
      <w:pPr>
        <w:pStyle w:val="Compact"/>
        <w:numPr>
          <w:ilvl w:val="0"/>
          <w:numId w:val="2261"/>
        </w:numPr>
      </w:pPr>
      <w:r>
        <w:t xml:space="preserve">Explique pourquoi le</w:t>
      </w:r>
      <w:r>
        <w:t xml:space="preserve"> </w:t>
      </w:r>
      <w:r>
        <w:t xml:space="preserve">“ClickOps”</w:t>
      </w:r>
      <w:r>
        <w:t xml:space="preserve"> </w:t>
      </w:r>
      <w:r>
        <w:t xml:space="preserve">du scénario d’ouverture rend la reconstruction d’un environnement de test particulièrement risquée et lente.</w:t>
      </w:r>
    </w:p>
    <w:p>
      <w:pPr>
        <w:pStyle w:val="Compact"/>
        <w:numPr>
          <w:ilvl w:val="0"/>
          <w:numId w:val="2261"/>
        </w:numPr>
      </w:pPr>
      <w:r>
        <w:t xml:space="preserve">Reprends la section 54.2. Explique avec un exemple concret comment Terraform et Ansible se combineraient pour provisionner et configurer un nouveau serveur pour le portail client.</w:t>
      </w:r>
    </w:p>
    <w:p>
      <w:pPr>
        <w:pStyle w:val="FirstParagraph"/>
      </w:pPr>
      <w:r>
        <w:rPr>
          <w:b/>
          <w:bCs/>
        </w:rPr>
        <w:t xml:space="preserve">Corrigé 1</w:t>
      </w:r>
      <w:r>
        <w:t xml:space="preserve"> </w:t>
      </w:r>
      <w:r>
        <w:t xml:space="preserve">: sans description explicite et versionnée de l’infrastructure, la reconstruction dépend entièrement de la mémoire humaine des paramètres exacts utilisés lors de la création initiale — une mémoire faillible et sujette à l’oubli de détails apparemment mineurs (une plage d’adresses IP précise, un paramètre de sécurité spécifique) qui peuvent pourtant avoir un impact réel sur le comportement de l’environnement recréé. Ce risque est exactement celui déjà identifié pour la dérive de configuration au chapitre 52, ici appliqué à l’infrastructure plutôt qu’aux serveurs déjà provisionnés.</w:t>
      </w:r>
    </w:p>
    <w:p>
      <w:pPr>
        <w:pStyle w:val="BodyText"/>
      </w:pPr>
      <w:r>
        <w:rPr>
          <w:b/>
          <w:bCs/>
        </w:rPr>
        <w:t xml:space="preserve">Corrigé 2</w:t>
      </w:r>
      <w:r>
        <w:t xml:space="preserve"> </w:t>
      </w:r>
      <w:r>
        <w:t xml:space="preserve">: Terraform créerait d’abord l’instance EC2 elle-même (avec sa taille, son VPC, ses règles réseau, section 54.3), puis, une fois cette instance disponible, un playbook Ansible (chapitres 52-53) s’y connecterait via SSH pour installer les paquets nécessaires, configurer les utilisateurs et déployer l’application — chaque outil intervenant exactement dans son domaine de responsabilité respectif : Terraform pour l’existence et la forme de l’infrastructure, Ansible pour ce qui tourne à l’intérieur une fois cette infrastructure disponible.</w:t>
      </w:r>
    </w:p>
    <w:bookmarkEnd w:id="1335"/>
    <w:bookmarkStart w:id="1336" w:name="exercices-53"/>
    <w:p>
      <w:pPr>
        <w:pStyle w:val="Heading2"/>
      </w:pPr>
      <w:r>
        <w:t xml:space="preserve">Exercices</w:t>
      </w:r>
    </w:p>
    <w:p>
      <w:pPr>
        <w:pStyle w:val="FirstParagraph"/>
      </w:pPr>
      <w:r>
        <w:t xml:space="preserve">📝 Exercice 54.1</w:t>
      </w:r>
    </w:p>
    <w:p>
      <w:pPr>
        <w:pStyle w:val="BodyText"/>
      </w:pPr>
      <w:r>
        <w:t xml:space="preserve">Un membre de l’équipe supprime accidentellement le fichier d’état Terraform local, sans backend distant configuré. Explique les conséquences concrètes pour la gestion future de l’infrastructure déjà créée.</w:t>
      </w:r>
    </w:p>
    <w:p>
      <w:pPr>
        <w:pStyle w:val="BodyText"/>
      </w:pPr>
      <w:r>
        <w:rPr>
          <w:b/>
          <w:bCs/>
        </w:rPr>
        <w:t xml:space="preserve">Corrigé :</w:t>
      </w:r>
      <w:r>
        <w:t xml:space="preserve"> </w:t>
      </w:r>
      <w:r>
        <w:t xml:space="preserve">Sans ce fichier, Terraform perd toute connaissance de la correspondance entre sa configuration HCL et les ressources réellement existantes dans le cloud — une nouvelle exécution de</w:t>
      </w:r>
      <w:r>
        <w:t xml:space="preserve"> </w:t>
      </w:r>
      <w:r>
        <w:rPr>
          <w:rStyle w:val="VerbatimChar"/>
        </w:rPr>
        <w:t xml:space="preserve">terraform plan</w:t>
      </w:r>
      <w:r>
        <w:t xml:space="preserve"> </w:t>
      </w:r>
      <w:r>
        <w:t xml:space="preserve">proposerait probablement de recréer l’ensemble de l’infrastructure depuis zéro, ignorant totalement que ces ressources existent déjà, avec un risque réel de duplication ou de conflit si cette recréation était appliquée sans discernement. La récupération nécessiterait soit une sauvegarde antérieure du fichier d’état (d’où l’importance cruciale d’un backend distant, section 54.5, qui inclut généralement un historique de versions), soit une reconstruction laborieuse du state via</w:t>
      </w:r>
      <w:r>
        <w:t xml:space="preserve"> </w:t>
      </w:r>
      <w:r>
        <w:rPr>
          <w:rStyle w:val="VerbatimChar"/>
        </w:rPr>
        <w:t xml:space="preserve">terraform import</w:t>
      </w:r>
      <w:r>
        <w:t xml:space="preserve"> </w:t>
      </w:r>
      <w:r>
        <w:t xml:space="preserve">ressource par ressource, un travail long et sujet à l’erreur comparé à la simple restauration d’un backend correctement configuré dès le départ.</w:t>
      </w:r>
    </w:p>
    <w:p>
      <w:pPr>
        <w:pStyle w:val="BodyText"/>
      </w:pPr>
      <w:r>
        <w:t xml:space="preserve">📝 Exercice 54.2</w:t>
      </w:r>
    </w:p>
    <w:p>
      <w:pPr>
        <w:pStyle w:val="BodyText"/>
      </w:pPr>
      <w:r>
        <w:t xml:space="preserve">Rédige, en 3 à 5 phrases, une règle d’équipe à proposer pour éviter que le</w:t>
      </w:r>
      <w:r>
        <w:t xml:space="preserve"> </w:t>
      </w:r>
      <w:r>
        <w:t xml:space="preserve">“ClickOps”</w:t>
      </w:r>
      <w:r>
        <w:t xml:space="preserve"> </w:t>
      </w:r>
      <w:r>
        <w:t xml:space="preserve">ne reprenne une fois Terraform adopté, en t’appuyant sur la section</w:t>
      </w:r>
      <w:r>
        <w:t xml:space="preserve"> </w:t>
      </w:r>
      <w:r>
        <w:t xml:space="preserve">“Diagnostiquer une dérive entre le state et la réalité”</w:t>
      </w:r>
      <w:r>
        <w:t xml:space="preserve">.</w:t>
      </w:r>
    </w:p>
    <w:p>
      <w:pPr>
        <w:pStyle w:val="BodyText"/>
      </w:pPr>
      <w:r>
        <w:rPr>
          <w:b/>
          <w:bCs/>
        </w:rPr>
        <w:t xml:space="preserve">Corrigé (exemple de réponse) :</w:t>
      </w:r>
      <w:r>
        <w:t xml:space="preserve"> </w:t>
      </w:r>
      <w:r>
        <w:t xml:space="preserve">Toute ressource gérée par Terraform ne doit plus jamais être modifiée manuellement via la console du fournisseur cloud — tout changement doit passer par une modification de la configuration HCL suivie de</w:t>
      </w:r>
      <w:r>
        <w:t xml:space="preserve"> </w:t>
      </w:r>
      <w:r>
        <w:rPr>
          <w:rStyle w:val="VerbatimChar"/>
        </w:rPr>
        <w:t xml:space="preserve">terraform plan</w:t>
      </w:r>
      <w:r>
        <w:t xml:space="preserve"> </w:t>
      </w:r>
      <w:r>
        <w:t xml:space="preserve">puis</w:t>
      </w:r>
      <w:r>
        <w:t xml:space="preserve"> </w:t>
      </w:r>
      <w:r>
        <w:rPr>
          <w:rStyle w:val="VerbatimChar"/>
        </w:rPr>
        <w:t xml:space="preserve">terraform apply</w:t>
      </w:r>
      <w:r>
        <w:t xml:space="preserve">, exactement le même principe déjà établi pour</w:t>
      </w:r>
      <w:r>
        <w:t xml:space="preserve"> </w:t>
      </w:r>
      <w:r>
        <w:t xml:space="preserve">“modifier le manifeste, jamais l’objet en direct”</w:t>
      </w:r>
      <w:r>
        <w:t xml:space="preserve"> </w:t>
      </w:r>
      <w:r>
        <w:t xml:space="preserve">au chapitre 43. Un contrôle périodique (</w:t>
      </w:r>
      <w:r>
        <w:rPr>
          <w:rStyle w:val="VerbatimChar"/>
        </w:rPr>
        <w:t xml:space="preserve">terraform plan</w:t>
      </w:r>
      <w:r>
        <w:t xml:space="preserve"> </w:t>
      </w:r>
      <w:r>
        <w:t xml:space="preserve">exécuté régulièrement, même sans changement prévu) permettrait de détecter proactivement toute dérive accidentelle avant qu’elle ne s’accumule, dans le même esprit de supervision proactive déjà établi au chapitre 1.</w:t>
      </w:r>
    </w:p>
    <w:bookmarkEnd w:id="1336"/>
    <w:bookmarkStart w:id="1337" w:name="checklist-de-fin-de-chapitre-53"/>
    <w:p>
      <w:pPr>
        <w:pStyle w:val="Heading2"/>
      </w:pPr>
      <w:r>
        <w:t xml:space="preserve">Checklist de fin de chapitre</w:t>
      </w:r>
    </w:p>
    <w:p>
      <w:pPr>
        <w:pStyle w:val="FirstParagraph"/>
      </w:pPr>
      <w:r>
        <w:t xml:space="preserve">☐ Je comprends la différence entre Terraform (provisionnement) et Ansible (configuration).</w:t>
      </w:r>
    </w:p>
    <w:p>
      <w:pPr>
        <w:pStyle w:val="BodyText"/>
      </w:pPr>
      <w:r>
        <w:t xml:space="preserve">☐ Je sais écrire une configuration HCL de base avec des ressources et un provider.</w:t>
      </w:r>
    </w:p>
    <w:p>
      <w:pPr>
        <w:pStyle w:val="BodyText"/>
      </w:pPr>
      <w:r>
        <w:t xml:space="preserve">☐ Je comprends pourquoi le fichier d’état est sensible et doit résider dans un backend distant sécurisé.</w:t>
      </w:r>
    </w:p>
    <w:p>
      <w:pPr>
        <w:pStyle w:val="BodyText"/>
      </w:pPr>
      <w:r>
        <w:t xml:space="preserve">☐ Je sais utiliser</w:t>
      </w:r>
      <w:r>
        <w:t xml:space="preserve"> </w:t>
      </w:r>
      <w:r>
        <w:rPr>
          <w:rStyle w:val="VerbatimChar"/>
        </w:rPr>
        <w:t xml:space="preserve">terraform plan</w:t>
      </w:r>
      <w:r>
        <w:t xml:space="preserve"> </w:t>
      </w:r>
      <w:r>
        <w:t xml:space="preserve">avant</w:t>
      </w:r>
      <w:r>
        <w:t xml:space="preserve"> </w:t>
      </w:r>
      <w:r>
        <w:rPr>
          <w:rStyle w:val="VerbatimChar"/>
        </w:rPr>
        <w:t xml:space="preserve">terraform apply</w:t>
      </w:r>
      <w:r>
        <w:t xml:space="preserve">, systématiquement.</w:t>
      </w:r>
    </w:p>
    <w:p>
      <w:pPr>
        <w:pStyle w:val="BodyText"/>
      </w:pPr>
      <w:r>
        <w:t xml:space="preserve">☐ Je sais diagnostiquer une divergence entre le state et la réalité (drift).</w:t>
      </w:r>
    </w:p>
    <w:p>
      <w:pPr>
        <w:pStyle w:val="BodyText"/>
      </w:pPr>
      <w:r>
        <w:t xml:space="preserve">☐ Je comprends le risque du</w:t>
      </w:r>
      <w:r>
        <w:t xml:space="preserve"> </w:t>
      </w:r>
      <w:r>
        <w:t xml:space="preserve">“ClickOps”</w:t>
      </w:r>
      <w:r>
        <w:t xml:space="preserve"> </w:t>
      </w:r>
      <w:r>
        <w:t xml:space="preserve">et pourquoi Terraform y répond directement.</w:t>
      </w:r>
    </w:p>
    <w:bookmarkEnd w:id="1337"/>
    <w:bookmarkStart w:id="1338" w:name="faq-53"/>
    <w:p>
      <w:pPr>
        <w:pStyle w:val="Heading2"/>
      </w:pPr>
      <w:r>
        <w:t xml:space="preserve">FAQ</w:t>
      </w:r>
    </w:p>
    <w:p>
      <w:pPr>
        <w:pStyle w:val="FirstParagraph"/>
      </w:pPr>
      <w:r>
        <w:t xml:space="preserve">Faut-il migrer immédiatement toute l’infrastructure existante vers Terraform ?</w:t>
      </w:r>
    </w:p>
    <w:p>
      <w:pPr>
        <w:pStyle w:val="BodyText"/>
      </w:pPr>
      <w:r>
        <w:t xml:space="preserve">Non, une migration progressive reste plus réaliste —</w:t>
      </w:r>
      <w:r>
        <w:t xml:space="preserve"> </w:t>
      </w:r>
      <w:r>
        <w:rPr>
          <w:rStyle w:val="VerbatimChar"/>
        </w:rPr>
        <w:t xml:space="preserve">terraform import</w:t>
      </w:r>
      <w:r>
        <w:t xml:space="preserve"> </w:t>
      </w:r>
      <w:r>
        <w:t xml:space="preserve">permet d’intégrer une ressource existante à la gestion Terraform sans la recréer, une approche à privilégier pour les systèmes déjà en production plutôt qu’une bascule complète et risquée en une seule fois.</w:t>
      </w:r>
    </w:p>
    <w:p>
      <w:pPr>
        <w:pStyle w:val="BodyText"/>
      </w:pPr>
      <w:r>
        <w:t xml:space="preserve">Terraform peut-il gérer des ressources on-premise, pas seulement le cloud ?</w:t>
      </w:r>
    </w:p>
    <w:p>
      <w:pPr>
        <w:pStyle w:val="BodyText"/>
      </w:pPr>
      <w:r>
        <w:t xml:space="preserve">Oui, des providers existent pour de nombreuses technologies on-premise (VMware vSphere, Proxmox déjà rencontrés en Partie 6) — Terraform n’est pas limité aux fournisseurs cloud publics, bien que son usage le plus répandu reste effectivement le provisionnement cloud.</w:t>
      </w:r>
    </w:p>
    <w:p>
      <w:pPr>
        <w:pStyle w:val="BodyText"/>
      </w:pPr>
      <w:r>
        <w:t xml:space="preserve">Que se passe-t-il si deux personnes exécutent</w:t>
      </w:r>
      <w:r>
        <w:t xml:space="preserve"> </w:t>
      </w:r>
      <w:r>
        <w:rPr>
          <w:rStyle w:val="VerbatimChar"/>
        </w:rPr>
        <w:t xml:space="preserve">terraform apply</w:t>
      </w:r>
      <w:r>
        <w:t xml:space="preserve"> </w:t>
      </w:r>
      <w:r>
        <w:t xml:space="preserve">simultanément sur la même infrastructure ?</w:t>
      </w:r>
    </w:p>
    <w:p>
      <w:pPr>
        <w:pStyle w:val="BodyText"/>
      </w:pPr>
      <w:r>
        <w:t xml:space="preserve">Sans backend distant avec verrouillage (section 54.5), ce scénario peut corrompre le fichier d’état ou provoquer des actions contradictoires — le verrouillage empêche précisément cette situation en refusant une seconde exécution tant que la première n’est pas terminée, exactement le même principe de protection contre les écritures concurrentes déjà rencontré ailleurs dans ce manuel (comme le compare-and-swap du chapitre 6).</w:t>
      </w:r>
    </w:p>
    <w:p>
      <w:pPr>
        <w:pStyle w:val="BodyText"/>
      </w:pPr>
      <w:r>
        <w:t xml:space="preserve">Faut-il connaître un fournisseur cloud spécifique (AWS, Azure, GCP) avant d’apprendre Terraform ?</w:t>
      </w:r>
    </w:p>
    <w:p>
      <w:pPr>
        <w:pStyle w:val="BodyText"/>
      </w:pPr>
      <w:r>
        <w:t xml:space="preserve">Une connaissance de base d’au moins un fournisseur (comme AWS, chapitre 46) facilite grandement la compréhension des ressources Terraform correspondantes — les concepts de Terraform lui-même (state, plan, apply) restent cependant transférables d’un fournisseur à l’autre, une fois maîtrisés une première fois.</w:t>
      </w:r>
    </w:p>
    <w:bookmarkEnd w:id="1338"/>
    <w:bookmarkStart w:id="1342" w:name="références-et-pour-aller-plus-loin-53"/>
    <w:p>
      <w:pPr>
        <w:pStyle w:val="Heading2"/>
      </w:pPr>
      <w:r>
        <w:t xml:space="preserve">Références et pour aller plus loin</w:t>
      </w:r>
    </w:p>
    <w:p>
      <w:pPr>
        <w:pStyle w:val="Compact"/>
        <w:numPr>
          <w:ilvl w:val="0"/>
          <w:numId w:val="2262"/>
        </w:numPr>
      </w:pPr>
      <w:r>
        <w:t xml:space="preserve">Documentation officielle Terraform (HashiCorp) :</w:t>
      </w:r>
      <w:r>
        <w:t xml:space="preserve"> </w:t>
      </w:r>
      <w:hyperlink r:id="rId1339">
        <w:r>
          <w:rPr>
            <w:rStyle w:val="Hyperlink"/>
          </w:rPr>
          <w:t xml:space="preserve">https://developer.hashicorp.com/terraform/docs</w:t>
        </w:r>
      </w:hyperlink>
    </w:p>
    <w:p>
      <w:pPr>
        <w:pStyle w:val="Compact"/>
        <w:numPr>
          <w:ilvl w:val="0"/>
          <w:numId w:val="2262"/>
        </w:numPr>
      </w:pPr>
      <w:r>
        <w:t xml:space="preserve">Terraform Registry — providers et modules officiels et communautaires :</w:t>
      </w:r>
      <w:r>
        <w:t xml:space="preserve"> </w:t>
      </w:r>
      <w:hyperlink r:id="rId1340">
        <w:r>
          <w:rPr>
            <w:rStyle w:val="Hyperlink"/>
          </w:rPr>
          <w:t xml:space="preserve">https://registry.terraform.io/</w:t>
        </w:r>
      </w:hyperlink>
    </w:p>
    <w:p>
      <w:pPr>
        <w:pStyle w:val="Compact"/>
        <w:numPr>
          <w:ilvl w:val="0"/>
          <w:numId w:val="2262"/>
        </w:numPr>
      </w:pPr>
      <w:r>
        <w:t xml:space="preserve">HashiCorp — Bonnes pratiques de gestion du fichier d’état :</w:t>
      </w:r>
      <w:r>
        <w:t xml:space="preserve"> </w:t>
      </w:r>
      <w:hyperlink r:id="rId1341">
        <w:r>
          <w:rPr>
            <w:rStyle w:val="Hyperlink"/>
          </w:rPr>
          <w:t xml:space="preserve">https://developer.hashicorp.com/terraform/language/state</w:t>
        </w:r>
      </w:hyperlink>
    </w:p>
    <w:p>
      <w:pPr>
        <w:pStyle w:val="FirstParagraph"/>
      </w:pPr>
      <w:r>
        <w:rPr>
          <w:i/>
          <w:iCs/>
        </w:rPr>
        <w:t xml:space="preserve">Chapitre suivant : Terraform avancé — modules, state distant approfondi et gestion multi-provider, pour structurer une infrastructure Terraform à l’échelle de toute l’entreprise.</w:t>
      </w:r>
    </w:p>
    <w:p>
      <w:pPr>
        <w:pStyle w:val="BodyText"/>
      </w:pPr>
      <w:r>
        <w:t xml:space="preserve">CHAPITRE 55</w:t>
      </w:r>
    </w:p>
    <w:bookmarkEnd w:id="1342"/>
    <w:bookmarkEnd w:id="1343"/>
    <w:bookmarkStart w:id="1366" w:name="Xdcd30e4ecac75e688c30b1e67fd47df39f44a67"/>
    <w:p>
      <w:pPr>
        <w:pStyle w:val="Heading1"/>
      </w:pPr>
      <w:r>
        <w:t xml:space="preserve">Terraform avancé : modules, state distant et multi-provider</w:t>
      </w:r>
    </w:p>
    <w:p>
      <w:pPr>
        <w:pStyle w:val="FirstParagraph"/>
      </w:pPr>
      <w:r>
        <w:t xml:space="preserve">🎯 Objectif du chapitre</w:t>
      </w:r>
      <w:r>
        <w:t xml:space="preserve"> </w:t>
      </w:r>
      <w:r>
        <w:t xml:space="preserve">Structurer Terraform à l’échelle de plusieurs environnements et de plusieurs fournisseurs cloud, plutôt que de dupliquer du code HCL comme un playbook Ansible non structuré (chapitre 53). À la fin de ce chapitre, tu sauras écrire un module réutilisable, gérer plusieurs environnements sans duplication, approfondir la protection du state en équipe, et faire cohabiter AWS et Azure dans un même projet Terraform.</w:t>
      </w:r>
    </w:p>
    <w:p>
      <w:pPr>
        <w:pStyle w:val="BodyText"/>
      </w:pPr>
      <w:r>
        <w:t xml:space="preserve">🎬 Mise en situation</w:t>
      </w:r>
      <w:r>
        <w:t xml:space="preserve"> </w:t>
      </w:r>
      <w:r>
        <w:t xml:space="preserve">Après le succès de la configuration Terraform du chapitre 54, l’équipe doit maintenant créer trois environnements distincts pour le portail client : développement, test et production. Le premier réflexe — copier-coller le fichier HCL du chapitre 54 dans trois dossiers, en changeant quelques valeurs à la main dans chaque copie — reproduit exactement le problème déjà résolu pour Ansible au chapitre 53 : trois versions divergentes d’une même logique, de plus en plus difficiles à maintenir cohérentes dans le temps. Simultanément, la stratégie multi-cloud du chapitre 49 (AWS pour le portail, Azure envisagé pour la gestion documentaire) pose une question supplémentaire : peut-on gérer les deux fournisseurs avec le même outil ? Ce chapitre répond aux deux problèmes.</w:t>
      </w:r>
    </w:p>
    <w:bookmarkStart w:id="1344" w:name="Xf9e107cf4cbc04a0b738c2bb3e5de787b544298"/>
    <w:p>
      <w:pPr>
        <w:pStyle w:val="Heading2"/>
      </w:pPr>
      <w:r>
        <w:t xml:space="preserve">55.1 Le problème de la duplication entre environnements</w:t>
      </w:r>
    </w:p>
    <w:p>
      <w:pPr>
        <w:pStyle w:val="FirstParagraph"/>
      </w:pPr>
      <w:r>
        <w:t xml:space="preserve">📌 À retenir — le même problème que les rôles Ansible, un autre outil</w:t>
      </w:r>
      <w:r>
        <w:t xml:space="preserve"> </w:t>
      </w:r>
      <w:r>
        <w:t xml:space="preserve">Copier-coller une configuration Terraform pour chaque environnement reproduit exactement le problème déjà résolu par les rôles Ansible au chapitre 53 : toute correction ou amélioration doit être répétée manuellement dans chaque copie, avec un risque croissant de divergence non intentionnelle entre les environnements — précisément l’inverse de la reproductibilité que Terraform est censé garantir.</w:t>
      </w:r>
    </w:p>
    <w:bookmarkEnd w:id="1344"/>
    <w:bookmarkStart w:id="1345" w:name="X23b6833eba384a13f2390431432ca8f4f26f2e8"/>
    <w:p>
      <w:pPr>
        <w:pStyle w:val="Heading2"/>
      </w:pPr>
      <w:r>
        <w:t xml:space="preserve">55.2 Les modules : la réponse directe, rappel des rôles Ansible</w:t>
      </w:r>
    </w:p>
    <w:p>
      <w:pPr>
        <w:pStyle w:val="SourceCode"/>
      </w:pPr>
      <w:r>
        <w:rPr>
          <w:rStyle w:val="VerbatimChar"/>
        </w:rPr>
        <w:t xml:space="preserve"># modules/reseau/main.tf -- un module reutilisable, parametre</w:t>
      </w:r>
      <w:r>
        <w:br/>
      </w:r>
      <w:r>
        <w:rPr>
          <w:rStyle w:val="VerbatimChar"/>
        </w:rPr>
        <w:t xml:space="preserve">variable "environnement" {</w:t>
      </w:r>
      <w:r>
        <w:br/>
      </w:r>
      <w:r>
        <w:rPr>
          <w:rStyle w:val="VerbatimChar"/>
        </w:rPr>
        <w:t xml:space="preserve">  type = string</w:t>
      </w:r>
      <w:r>
        <w:br/>
      </w:r>
      <w:r>
        <w:rPr>
          <w:rStyle w:val="VerbatimChar"/>
        </w:rPr>
        <w:t xml:space="preserve">}</w:t>
      </w:r>
      <w:r>
        <w:br/>
      </w:r>
      <w:r>
        <w:br/>
      </w:r>
      <w:r>
        <w:rPr>
          <w:rStyle w:val="VerbatimChar"/>
        </w:rPr>
        <w:t xml:space="preserve">variable "cidr_vpc" {</w:t>
      </w:r>
      <w:r>
        <w:br/>
      </w:r>
      <w:r>
        <w:rPr>
          <w:rStyle w:val="VerbatimChar"/>
        </w:rPr>
        <w:t xml:space="preserve">  type = string</w:t>
      </w:r>
      <w:r>
        <w:br/>
      </w:r>
      <w:r>
        <w:rPr>
          <w:rStyle w:val="VerbatimChar"/>
        </w:rPr>
        <w:t xml:space="preserve">}</w:t>
      </w:r>
      <w:r>
        <w:br/>
      </w:r>
      <w:r>
        <w:br/>
      </w:r>
      <w:r>
        <w:rPr>
          <w:rStyle w:val="VerbatimChar"/>
        </w:rPr>
        <w:t xml:space="preserve">resource "aws_vpc" "principal" {</w:t>
      </w:r>
      <w:r>
        <w:br/>
      </w:r>
      <w:r>
        <w:rPr>
          <w:rStyle w:val="VerbatimChar"/>
        </w:rPr>
        <w:t xml:space="preserve">  cidr_block = var.cidr_vpc</w:t>
      </w:r>
      <w:r>
        <w:br/>
      </w:r>
      <w:r>
        <w:rPr>
          <w:rStyle w:val="VerbatimChar"/>
        </w:rPr>
        <w:t xml:space="preserve">  tags = {</w:t>
      </w:r>
      <w:r>
        <w:br/>
      </w:r>
      <w:r>
        <w:rPr>
          <w:rStyle w:val="VerbatimChar"/>
        </w:rPr>
        <w:t xml:space="preserve">    Nom           = "vpc-${var.environnement}"</w:t>
      </w:r>
      <w:r>
        <w:br/>
      </w:r>
      <w:r>
        <w:rPr>
          <w:rStyle w:val="VerbatimChar"/>
        </w:rPr>
        <w:t xml:space="preserve">    Environnement = var.environnement</w:t>
      </w:r>
      <w:r>
        <w:br/>
      </w:r>
      <w:r>
        <w:rPr>
          <w:rStyle w:val="VerbatimChar"/>
        </w:rPr>
        <w:t xml:space="preserve">  }</w:t>
      </w:r>
      <w:r>
        <w:br/>
      </w:r>
      <w:r>
        <w:rPr>
          <w:rStyle w:val="VerbatimChar"/>
        </w:rPr>
        <w:t xml:space="preserve">}</w:t>
      </w:r>
      <w:r>
        <w:br/>
      </w:r>
      <w:r>
        <w:br/>
      </w:r>
      <w:r>
        <w:rPr>
          <w:rStyle w:val="VerbatimChar"/>
        </w:rPr>
        <w:t xml:space="preserve">output "vpc_id" {</w:t>
      </w:r>
      <w:r>
        <w:br/>
      </w:r>
      <w:r>
        <w:rPr>
          <w:rStyle w:val="VerbatimChar"/>
        </w:rPr>
        <w:t xml:space="preserve">  value = aws_vpc.principal.id</w:t>
      </w:r>
      <w:r>
        <w:br/>
      </w:r>
      <w:r>
        <w:rPr>
          <w:rStyle w:val="VerbatimChar"/>
        </w:rPr>
        <w:t xml:space="preserve">}</w:t>
      </w:r>
    </w:p>
    <w:p>
      <w:pPr>
        <w:pStyle w:val="FirstParagraph"/>
      </w:pPr>
      <w:r>
        <w:t xml:space="preserve">💡 Un module Terraform, exactement l’équivalent d’un rôle Ansible</w:t>
      </w:r>
      <w:r>
        <w:t xml:space="preserve"> </w:t>
      </w:r>
      <w:r>
        <w:t xml:space="preserve">Un</w:t>
      </w:r>
      <w:r>
        <w:t xml:space="preserve"> </w:t>
      </w:r>
      <w:r>
        <w:rPr>
          <w:b/>
          <w:bCs/>
        </w:rPr>
        <w:t xml:space="preserve">module</w:t>
      </w:r>
      <w:r>
        <w:t xml:space="preserve"> </w:t>
      </w:r>
      <w:r>
        <w:t xml:space="preserve">Terraform regroupe une logique réutilisable, paramétrée par des variables — exactement le même principe déjà établi pour les rôles Ansible au chapitre 53 : écrire la logique une seule fois, puis l’appeler avec des paramètres différents pour chaque contexte, plutôt que de dupliquer le code lui-même.</w:t>
      </w:r>
    </w:p>
    <w:bookmarkEnd w:id="1345"/>
    <w:bookmarkStart w:id="1346" w:name="Xc3357d1326f4d4f5623f40e9dfa67b7ec833050"/>
    <w:p>
      <w:pPr>
        <w:pStyle w:val="Heading2"/>
      </w:pPr>
      <w:r>
        <w:t xml:space="preserve">55.3 Utiliser le module pour chaque environnement</w:t>
      </w:r>
    </w:p>
    <w:p>
      <w:pPr>
        <w:pStyle w:val="SourceCode"/>
      </w:pPr>
      <w:r>
        <w:rPr>
          <w:rStyle w:val="VerbatimChar"/>
        </w:rPr>
        <w:t xml:space="preserve"># environnements/dev/main.tf</w:t>
      </w:r>
      <w:r>
        <w:br/>
      </w:r>
      <w:r>
        <w:rPr>
          <w:rStyle w:val="VerbatimChar"/>
        </w:rPr>
        <w:t xml:space="preserve">module "reseau_dev" {</w:t>
      </w:r>
      <w:r>
        <w:br/>
      </w:r>
      <w:r>
        <w:rPr>
          <w:rStyle w:val="VerbatimChar"/>
        </w:rPr>
        <w:t xml:space="preserve">  source        = "../../modules/reseau"</w:t>
      </w:r>
      <w:r>
        <w:br/>
      </w:r>
      <w:r>
        <w:rPr>
          <w:rStyle w:val="VerbatimChar"/>
        </w:rPr>
        <w:t xml:space="preserve">  environnement = "developpement"</w:t>
      </w:r>
      <w:r>
        <w:br/>
      </w:r>
      <w:r>
        <w:rPr>
          <w:rStyle w:val="VerbatimChar"/>
        </w:rPr>
        <w:t xml:space="preserve">  cidr_vpc      = "10.0.0.0/16"</w:t>
      </w:r>
      <w:r>
        <w:br/>
      </w:r>
      <w:r>
        <w:rPr>
          <w:rStyle w:val="VerbatimChar"/>
        </w:rPr>
        <w:t xml:space="preserve">}</w:t>
      </w:r>
      <w:r>
        <w:br/>
      </w:r>
      <w:r>
        <w:br/>
      </w:r>
      <w:r>
        <w:rPr>
          <w:rStyle w:val="VerbatimChar"/>
        </w:rPr>
        <w:t xml:space="preserve"># environnements/production/main.tf</w:t>
      </w:r>
      <w:r>
        <w:br/>
      </w:r>
      <w:r>
        <w:rPr>
          <w:rStyle w:val="VerbatimChar"/>
        </w:rPr>
        <w:t xml:space="preserve">module "reseau_production" {</w:t>
      </w:r>
      <w:r>
        <w:br/>
      </w:r>
      <w:r>
        <w:rPr>
          <w:rStyle w:val="VerbatimChar"/>
        </w:rPr>
        <w:t xml:space="preserve">  source        = "../../modules/reseau"</w:t>
      </w:r>
      <w:r>
        <w:br/>
      </w:r>
      <w:r>
        <w:rPr>
          <w:rStyle w:val="VerbatimChar"/>
        </w:rPr>
        <w:t xml:space="preserve">  environnement = "production"</w:t>
      </w:r>
      <w:r>
        <w:br/>
      </w:r>
      <w:r>
        <w:rPr>
          <w:rStyle w:val="VerbatimChar"/>
        </w:rPr>
        <w:t xml:space="preserve">  cidr_vpc      = "10.1.0.0/16"</w:t>
      </w:r>
      <w:r>
        <w:br/>
      </w:r>
      <w:r>
        <w:rPr>
          <w:rStyle w:val="VerbatimChar"/>
        </w:rPr>
        <w:t xml:space="preserve">}</w:t>
      </w:r>
    </w:p>
    <w:p>
      <w:pPr>
        <w:pStyle w:val="FirstParagraph"/>
      </w:pPr>
      <w:r>
        <w:t xml:space="preserve">✅ Une seule logique, trois environnements, zéro duplication</w:t>
      </w:r>
      <w:r>
        <w:t xml:space="preserve"> </w:t>
      </w:r>
      <w:r>
        <w:t xml:space="preserve">Une correction ou une amélioration apportée au module</w:t>
      </w:r>
      <w:r>
        <w:t xml:space="preserve"> </w:t>
      </w:r>
      <w:r>
        <w:rPr>
          <w:rStyle w:val="VerbatimChar"/>
        </w:rPr>
        <w:t xml:space="preserve">reseau</w:t>
      </w:r>
      <w:r>
        <w:t xml:space="preserve"> </w:t>
      </w:r>
      <w:r>
        <w:t xml:space="preserve">bénéficie automatiquement à tous les environnements qui l’utilisent, dès leur prochain</w:t>
      </w:r>
      <w:r>
        <w:t xml:space="preserve"> </w:t>
      </w:r>
      <w:r>
        <w:rPr>
          <w:rStyle w:val="VerbatimChar"/>
        </w:rPr>
        <w:t xml:space="preserve">terraform apply</w:t>
      </w:r>
      <w:r>
        <w:t xml:space="preserve"> </w:t>
      </w:r>
      <w:r>
        <w:t xml:space="preserve">— résolvant exactement le problème du scénario d’ouverture, sans jamais avoir à répéter manuellement un changement dans trois copies distinctes.</w:t>
      </w:r>
    </w:p>
    <w:bookmarkEnd w:id="1346"/>
    <w:bookmarkStart w:id="1347" w:name="X9f9100daa6eb20850e419ebbb2da756a9e4ba69"/>
    <w:p>
      <w:pPr>
        <w:pStyle w:val="Heading2"/>
      </w:pPr>
      <w:r>
        <w:t xml:space="preserve">55.4 Séparer les environnements : dossiers distincts plutôt que workspaces</w:t>
      </w:r>
    </w:p>
    <w:p>
      <w:pPr>
        <w:pStyle w:val="FirstParagraph"/>
      </w:pPr>
      <w:r>
        <w:t xml:space="preserve">⚠️ Une recommandation pragmatique, pas une règle absolue</w:t>
      </w:r>
      <w:r>
        <w:t xml:space="preserve"> </w:t>
      </w:r>
      <w:r>
        <w:t xml:space="preserve">Terraform propose une fonctionnalité native de</w:t>
      </w:r>
      <w:r>
        <w:t xml:space="preserve"> </w:t>
      </w:r>
      <w:r>
        <w:t xml:space="preserve">“workspaces”</w:t>
      </w:r>
      <w:r>
        <w:t xml:space="preserve"> </w:t>
      </w:r>
      <w:r>
        <w:t xml:space="preserve">pour gérer plusieurs environnements avec un seul dossier de configuration — mais l’expérience répandue dans l’industrie montre que des</w:t>
      </w:r>
      <w:r>
        <w:t xml:space="preserve"> </w:t>
      </w:r>
      <w:r>
        <w:rPr>
          <w:b/>
          <w:bCs/>
        </w:rPr>
        <w:t xml:space="preserve">dossiers séparés par environnement</w:t>
      </w:r>
      <w:r>
        <w:t xml:space="preserve"> </w:t>
      </w:r>
      <w:r>
        <w:t xml:space="preserve">(comme dans l’exemple de la section 55.3), chacun avec son propre fichier d’état, offrent une séparation plus claire et réduisent le risque d’appliquer accidentellement un changement destiné au développement sur la production. Cette approche reste un choix pragmatique majoritaire, pas une règle technique absolue.</w:t>
      </w:r>
    </w:p>
    <w:bookmarkEnd w:id="1347"/>
    <w:bookmarkStart w:id="1348" w:name="X3c057982e40bb41d6f3b92bca66e484aaee5989"/>
    <w:p>
      <w:pPr>
        <w:pStyle w:val="Heading2"/>
      </w:pPr>
      <w:r>
        <w:t xml:space="preserve">55.5 State distant approfondi : le verrouillage en pratique</w:t>
      </w:r>
    </w:p>
    <w:p>
      <w:pPr>
        <w:pStyle w:val="FirstParagraph"/>
      </w:pPr>
      <w:r>
        <w:t xml:space="preserve">🔒 Sécurité — répondre à la question centrale de ce chapitre pour une équipe</w:t>
      </w:r>
      <w:r>
        <w:t xml:space="preserve"> </w:t>
      </w:r>
      <w:r>
        <w:t xml:space="preserve">Rappel direct de la section 54.5, approfondi ici : un backend distant comme S3 (chapitre 46) associé à une table de verrouillage (souvent via DynamoDB sur AWS) empêche deux exécutions simultanées de</w:t>
      </w:r>
      <w:r>
        <w:t xml:space="preserve"> </w:t>
      </w:r>
      <w:r>
        <w:rPr>
          <w:rStyle w:val="VerbatimChar"/>
        </w:rPr>
        <w:t xml:space="preserve">terraform apply</w:t>
      </w:r>
      <w:r>
        <w:t xml:space="preserve"> </w:t>
      </w:r>
      <w:r>
        <w:t xml:space="preserve">sur le même environnement — la seconde tentative attend ou échoue explicitement plutôt que de corrompre silencieusement le fichier d’état, exactement le même principe de protection contre les écritures concurrentes déjà rencontré pour le compare-and-swap du chapitre 6.</w:t>
      </w:r>
    </w:p>
    <w:p>
      <w:pPr>
        <w:pStyle w:val="SourceCode"/>
      </w:pPr>
      <w:r>
        <w:rPr>
          <w:rStyle w:val="VerbatimChar"/>
        </w:rPr>
        <w:t xml:space="preserve">terraform {</w:t>
      </w:r>
      <w:r>
        <w:br/>
      </w:r>
      <w:r>
        <w:rPr>
          <w:rStyle w:val="VerbatimChar"/>
        </w:rPr>
        <w:t xml:space="preserve">  backend "s3" {</w:t>
      </w:r>
      <w:r>
        <w:br/>
      </w:r>
      <w:r>
        <w:rPr>
          <w:rStyle w:val="VerbatimChar"/>
        </w:rPr>
        <w:t xml:space="preserve">    bucket         = "assuranceht-terraform-state"</w:t>
      </w:r>
      <w:r>
        <w:br/>
      </w:r>
      <w:r>
        <w:rPr>
          <w:rStyle w:val="VerbatimChar"/>
        </w:rPr>
        <w:t xml:space="preserve">    key            = "portail/production/terraform.tfstate"</w:t>
      </w:r>
      <w:r>
        <w:br/>
      </w:r>
      <w:r>
        <w:rPr>
          <w:rStyle w:val="VerbatimChar"/>
        </w:rPr>
        <w:t xml:space="preserve">    region         = "us-east-1"</w:t>
      </w:r>
      <w:r>
        <w:br/>
      </w:r>
      <w:r>
        <w:rPr>
          <w:rStyle w:val="VerbatimChar"/>
        </w:rPr>
        <w:t xml:space="preserve">    dynamodb_table = "terraform-locks"</w:t>
      </w:r>
      <w:r>
        <w:br/>
      </w:r>
      <w:r>
        <w:rPr>
          <w:rStyle w:val="VerbatimChar"/>
        </w:rPr>
        <w:t xml:space="preserve">  }</w:t>
      </w:r>
      <w:r>
        <w:br/>
      </w:r>
      <w:r>
        <w:rPr>
          <w:rStyle w:val="VerbatimChar"/>
        </w:rPr>
        <w:t xml:space="preserve">}</w:t>
      </w:r>
    </w:p>
    <w:bookmarkEnd w:id="1348"/>
    <w:bookmarkStart w:id="1349" w:name="X21c9b7b205c64c1f37808c21722d36f0f6ecb39"/>
    <w:p>
      <w:pPr>
        <w:pStyle w:val="Heading2"/>
      </w:pPr>
      <w:r>
        <w:t xml:space="preserve">55.6 Multi-provider : AWS et Azure dans le même projet</w:t>
      </w:r>
    </w:p>
    <w:p>
      <w:pPr>
        <w:pStyle w:val="FirstParagraph"/>
      </w:pPr>
      <w:r>
        <w:t xml:space="preserve">💡 Répondre à la question multi-cloud du chapitre 49</w:t>
      </w:r>
      <w:r>
        <w:t xml:space="preserve"> </w:t>
      </w:r>
      <w:r>
        <w:t xml:space="preserve">Terraform peut gérer plusieurs providers simultanément dans un même projet — utile pour une organisation en situation multi-cloud consciente (chapitre 49), comme celle de ce manuel avec AWS pour le portail et Azure envisagé pour la gestion documentaire.</w:t>
      </w:r>
    </w:p>
    <w:p>
      <w:pPr>
        <w:pStyle w:val="SourceCode"/>
      </w:pPr>
      <w:r>
        <w:rPr>
          <w:rStyle w:val="VerbatimChar"/>
        </w:rPr>
        <w:t xml:space="preserve">provider "aws" {</w:t>
      </w:r>
      <w:r>
        <w:br/>
      </w:r>
      <w:r>
        <w:rPr>
          <w:rStyle w:val="VerbatimChar"/>
        </w:rPr>
        <w:t xml:space="preserve">  region = "us-east-1"</w:t>
      </w:r>
      <w:r>
        <w:br/>
      </w:r>
      <w:r>
        <w:rPr>
          <w:rStyle w:val="VerbatimChar"/>
        </w:rPr>
        <w:t xml:space="preserve">}</w:t>
      </w:r>
      <w:r>
        <w:br/>
      </w:r>
      <w:r>
        <w:br/>
      </w:r>
      <w:r>
        <w:rPr>
          <w:rStyle w:val="VerbatimChar"/>
        </w:rPr>
        <w:t xml:space="preserve">provider "azurerm" {</w:t>
      </w:r>
      <w:r>
        <w:br/>
      </w:r>
      <w:r>
        <w:rPr>
          <w:rStyle w:val="VerbatimChar"/>
        </w:rPr>
        <w:t xml:space="preserve">  features {}</w:t>
      </w:r>
      <w:r>
        <w:br/>
      </w:r>
      <w:r>
        <w:rPr>
          <w:rStyle w:val="VerbatimChar"/>
        </w:rPr>
        <w:t xml:space="preserve">}</w:t>
      </w:r>
      <w:r>
        <w:br/>
      </w:r>
      <w:r>
        <w:br/>
      </w:r>
      <w:r>
        <w:rPr>
          <w:rStyle w:val="VerbatimChar"/>
        </w:rPr>
        <w:t xml:space="preserve">resource "aws_instance" "portail" {</w:t>
      </w:r>
      <w:r>
        <w:br/>
      </w:r>
      <w:r>
        <w:rPr>
          <w:rStyle w:val="VerbatimChar"/>
        </w:rPr>
        <w:t xml:space="preserve">  # ... configuration AWS</w:t>
      </w:r>
      <w:r>
        <w:br/>
      </w:r>
      <w:r>
        <w:rPr>
          <w:rStyle w:val="VerbatimChar"/>
        </w:rPr>
        <w:t xml:space="preserve">}</w:t>
      </w:r>
      <w:r>
        <w:br/>
      </w:r>
      <w:r>
        <w:br/>
      </w:r>
      <w:r>
        <w:rPr>
          <w:rStyle w:val="VerbatimChar"/>
        </w:rPr>
        <w:t xml:space="preserve">resource "azurerm_linux_virtual_machine" "documentaire" {</w:t>
      </w:r>
      <w:r>
        <w:br/>
      </w:r>
      <w:r>
        <w:rPr>
          <w:rStyle w:val="VerbatimChar"/>
        </w:rPr>
        <w:t xml:space="preserve">  # ... configuration Azure</w:t>
      </w:r>
      <w:r>
        <w:br/>
      </w:r>
      <w:r>
        <w:rPr>
          <w:rStyle w:val="VerbatimChar"/>
        </w:rPr>
        <w:t xml:space="preserve">}</w:t>
      </w:r>
    </w:p>
    <w:p>
      <w:pPr>
        <w:pStyle w:val="FirstParagraph"/>
      </w:pPr>
      <w:r>
        <w:t xml:space="preserve">🧠 À mémoriser — un outil unique pour une gouvernance cohérente</w:t>
      </w:r>
      <w:r>
        <w:t xml:space="preserve"> </w:t>
      </w:r>
      <w:r>
        <w:t xml:space="preserve">Gérer AWS et Azure via le même outil Terraform, avec la même discipline de state distant et de revue de plan, apporte une cohérence de gouvernance directement alignée sur la recommandation du chapitre 49 : documenter et gérer consciemment une infrastructure multi-cloud, plutôt que de laisser chaque fournisseur être géré avec des outils et des pratiques complètement disjoints.</w:t>
      </w:r>
    </w:p>
    <w:bookmarkEnd w:id="1349"/>
    <w:bookmarkStart w:id="1350" w:name="un-module-réutilisable-complet"/>
    <w:p>
      <w:pPr>
        <w:pStyle w:val="Heading2"/>
      </w:pPr>
      <w:r>
        <w:t xml:space="preserve">55.7 Un module réutilisable complet</w:t>
      </w:r>
    </w:p>
    <w:p>
      <w:pPr>
        <w:pStyle w:val="FirstParagraph"/>
      </w:pPr>
      <w:r>
        <w:t xml:space="preserve">🚀 Performance — la structure finale répond aux deux problèmes du scénario d’ouverture</w:t>
      </w:r>
      <w:r>
        <w:t xml:space="preserve"> </w:t>
      </w:r>
      <w:r>
        <w:t xml:space="preserve">Un module</w:t>
      </w:r>
      <w:r>
        <w:t xml:space="preserve"> </w:t>
      </w:r>
      <w:r>
        <w:rPr>
          <w:rStyle w:val="VerbatimChar"/>
        </w:rPr>
        <w:t xml:space="preserve">reseau</w:t>
      </w:r>
      <w:r>
        <w:t xml:space="preserve"> </w:t>
      </w:r>
      <w:r>
        <w:t xml:space="preserve">paramétré (section 55.2), appelé trois fois avec des variables différentes pour dev/test/production (section 55.3), chacun avec son propre state distant verrouillé (section 55.5), et une organisation prête à intégrer un second provider Azure si nécessaire (section 55.6) — la réponse complète et structurée aux deux problèmes soulevés dans le scénario d’ouverture.</w:t>
      </w:r>
    </w:p>
    <w:bookmarkEnd w:id="1350"/>
    <w:bookmarkStart w:id="1351" w:name="Xc2325eda4d613d30ac31f68dbf6141157fb39a8"/>
    <w:p>
      <w:pPr>
        <w:pStyle w:val="Heading2"/>
      </w:pPr>
      <w:r>
        <w:t xml:space="preserve">Atelier — Créer un module réseau pour les trois environnements</w:t>
      </w:r>
    </w:p>
    <w:p>
      <w:pPr>
        <w:pStyle w:val="FirstParagraph"/>
      </w:pPr>
      <w:r>
        <w:t xml:space="preserve">🛠️ Atelier 55 — Éliminer la duplication du scénario d’ouverture</w:t>
      </w:r>
    </w:p>
    <w:p>
      <w:pPr>
        <w:pStyle w:val="BodyText"/>
      </w:pPr>
      <w:r>
        <w:rPr>
          <w:b/>
          <w:bCs/>
        </w:rPr>
        <w:t xml:space="preserve">Objectif</w:t>
      </w:r>
      <w:r>
        <w:t xml:space="preserve"> </w:t>
      </w:r>
      <w:r>
        <w:t xml:space="preserve">: structurer un module Terraform réutilisable pour les trois environnements du portail client.</w:t>
      </w:r>
    </w:p>
    <w:p>
      <w:pPr>
        <w:pStyle w:val="BodyText"/>
      </w:pPr>
      <w:r>
        <w:rPr>
          <w:b/>
          <w:bCs/>
        </w:rPr>
        <w:t xml:space="preserve">Préparation</w:t>
      </w:r>
      <w:r>
        <w:t xml:space="preserve"> </w:t>
      </w:r>
      <w:r>
        <w:t xml:space="preserve">: accès à un compte AWS de test avec Terraform installé, ou une lecture attentive suffit pour cet atelier conceptuel.</w:t>
      </w:r>
    </w:p>
    <w:p>
      <w:pPr>
        <w:pStyle w:val="BodyText"/>
      </w:pPr>
      <w:r>
        <w:rPr>
          <w:b/>
          <w:bCs/>
        </w:rPr>
        <w:t xml:space="preserve">Étapes détaillées</w:t>
      </w:r>
      <w:r>
        <w:t xml:space="preserve"> </w:t>
      </w:r>
      <w:r>
        <w:t xml:space="preserve">:</w:t>
      </w:r>
    </w:p>
    <w:p>
      <w:pPr>
        <w:pStyle w:val="Compact"/>
        <w:numPr>
          <w:ilvl w:val="0"/>
          <w:numId w:val="2263"/>
        </w:numPr>
      </w:pPr>
      <w:r>
        <w:t xml:space="preserve">Écris un module</w:t>
      </w:r>
      <w:r>
        <w:t xml:space="preserve"> </w:t>
      </w:r>
      <w:r>
        <w:rPr>
          <w:rStyle w:val="VerbatimChar"/>
        </w:rPr>
        <w:t xml:space="preserve">reseau</w:t>
      </w:r>
      <w:r>
        <w:t xml:space="preserve"> </w:t>
      </w:r>
      <w:r>
        <w:t xml:space="preserve">paramétré par</w:t>
      </w:r>
      <w:r>
        <w:t xml:space="preserve"> </w:t>
      </w:r>
      <w:r>
        <w:rPr>
          <w:rStyle w:val="VerbatimChar"/>
        </w:rPr>
        <w:t xml:space="preserve">environnement</w:t>
      </w:r>
      <w:r>
        <w:t xml:space="preserve"> </w:t>
      </w:r>
      <w:r>
        <w:t xml:space="preserve">et</w:t>
      </w:r>
      <w:r>
        <w:t xml:space="preserve"> </w:t>
      </w:r>
      <w:r>
        <w:rPr>
          <w:rStyle w:val="VerbatimChar"/>
        </w:rPr>
        <w:t xml:space="preserve">cidr_vpc</w:t>
      </w:r>
      <w:r>
        <w:t xml:space="preserve">, reprenant la structure de la section 55.2.</w:t>
      </w:r>
    </w:p>
    <w:p>
      <w:pPr>
        <w:pStyle w:val="Compact"/>
        <w:numPr>
          <w:ilvl w:val="0"/>
          <w:numId w:val="2263"/>
        </w:numPr>
      </w:pPr>
      <w:r>
        <w:t xml:space="preserve">Crée trois dossiers d’environnement (développement, test, production) qui appellent ce module avec des valeurs différentes.</w:t>
      </w:r>
    </w:p>
    <w:p>
      <w:pPr>
        <w:pStyle w:val="Compact"/>
        <w:numPr>
          <w:ilvl w:val="0"/>
          <w:numId w:val="2263"/>
        </w:numPr>
      </w:pPr>
      <w:r>
        <w:t xml:space="preserve">Configure un backend distant distinct pour chaque environnement, avec verrouillage.</w:t>
      </w:r>
    </w:p>
    <w:p>
      <w:pPr>
        <w:pStyle w:val="Compact"/>
        <w:numPr>
          <w:ilvl w:val="0"/>
          <w:numId w:val="2263"/>
        </w:numPr>
      </w:pPr>
      <w:r>
        <w:t xml:space="preserve">Compare ta démarche à la section</w:t>
      </w:r>
      <w:r>
        <w:t xml:space="preserve"> </w:t>
      </w:r>
      <w:r>
        <w:t xml:space="preserve">“Résultat attendu”</w:t>
      </w:r>
      <w:r>
        <w:t xml:space="preserve">.</w:t>
      </w:r>
    </w:p>
    <w:p>
      <w:pPr>
        <w:pStyle w:val="FirstParagraph"/>
      </w:pPr>
      <w:r>
        <w:rPr>
          <w:b/>
          <w:bCs/>
        </w:rPr>
        <w:t xml:space="preserve">Résultat attendu</w:t>
      </w:r>
      <w:r>
        <w:t xml:space="preserve"> </w:t>
      </w:r>
      <w:r>
        <w:t xml:space="preserve">: le module unique dans</w:t>
      </w:r>
      <w:r>
        <w:t xml:space="preserve"> </w:t>
      </w:r>
      <w:r>
        <w:rPr>
          <w:rStyle w:val="VerbatimChar"/>
        </w:rPr>
        <w:t xml:space="preserve">modules/reseau/</w:t>
      </w:r>
      <w:r>
        <w:t xml:space="preserve"> </w:t>
      </w:r>
      <w:r>
        <w:t xml:space="preserve">est appelé trois fois depuis</w:t>
      </w:r>
      <w:r>
        <w:t xml:space="preserve"> </w:t>
      </w:r>
      <w:r>
        <w:rPr>
          <w:rStyle w:val="VerbatimChar"/>
        </w:rPr>
        <w:t xml:space="preserve">environnements/dev/</w:t>
      </w:r>
      <w:r>
        <w:t xml:space="preserve">,</w:t>
      </w:r>
      <w:r>
        <w:t xml:space="preserve"> </w:t>
      </w:r>
      <w:r>
        <w:rPr>
          <w:rStyle w:val="VerbatimChar"/>
        </w:rPr>
        <w:t xml:space="preserve">environnements/test/</w:t>
      </w:r>
      <w:r>
        <w:t xml:space="preserve"> </w:t>
      </w:r>
      <w:r>
        <w:t xml:space="preserve">et</w:t>
      </w:r>
      <w:r>
        <w:t xml:space="preserve"> </w:t>
      </w:r>
      <w:r>
        <w:rPr>
          <w:rStyle w:val="VerbatimChar"/>
        </w:rPr>
        <w:t xml:space="preserve">environnements/production/</w:t>
      </w:r>
      <w:r>
        <w:t xml:space="preserve">, chacun avec sa propre plage CIDR et son propre fichier de state distant (une</w:t>
      </w:r>
      <w:r>
        <w:t xml:space="preserve"> </w:t>
      </w:r>
      <w:r>
        <w:rPr>
          <w:rStyle w:val="VerbatimChar"/>
        </w:rPr>
        <w:t xml:space="preserve">key</w:t>
      </w:r>
      <w:r>
        <w:t xml:space="preserve"> </w:t>
      </w:r>
      <w:r>
        <w:t xml:space="preserve">S3 différente par environnement, section 55.5) — garantissant qu’une opération sur l’environnement de test ne peut jamais affecter accidentellement le state ou l’infrastructure de production, tout en partageant la même logique de base sans duplication.</w:t>
      </w:r>
    </w:p>
    <w:p>
      <w:pPr>
        <w:pStyle w:val="BodyText"/>
      </w:pPr>
      <w:r>
        <w:rPr>
          <w:b/>
          <w:bCs/>
        </w:rPr>
        <w:t xml:space="preserve">Dépannage</w:t>
      </w:r>
      <w:r>
        <w:t xml:space="preserve"> </w:t>
      </w:r>
      <w:r>
        <w:t xml:space="preserve">: si une modification du module ne semble pas se propager à un environnement particulier, vérifie que</w:t>
      </w:r>
      <w:r>
        <w:t xml:space="preserve"> </w:t>
      </w:r>
      <w:r>
        <w:rPr>
          <w:rStyle w:val="VerbatimChar"/>
        </w:rPr>
        <w:t xml:space="preserve">terraform init</w:t>
      </w:r>
      <w:r>
        <w:t xml:space="preserve"> </w:t>
      </w:r>
      <w:r>
        <w:t xml:space="preserve">a bien été relancé après la modification du module — Terraform doit retélécharger ou revalider les modules référencés après tout changement de leur code source.</w:t>
      </w:r>
    </w:p>
    <w:bookmarkEnd w:id="1351"/>
    <w:bookmarkStart w:id="1352" w:name="erreurs-fréquentes-54"/>
    <w:p>
      <w:pPr>
        <w:pStyle w:val="Heading2"/>
      </w:pPr>
      <w:r>
        <w:t xml:space="preserve">Erreurs fréquentes</w:t>
      </w:r>
    </w:p>
    <w:p>
      <w:pPr>
        <w:pStyle w:val="FirstParagraph"/>
      </w:pPr>
      <w:r>
        <w:t xml:space="preserve">⚠️ Erreur n°1 — copier-coller la configuration entre environnements</w:t>
      </w:r>
      <w:r>
        <w:t xml:space="preserve"> </w:t>
      </w:r>
      <w:r>
        <w:t xml:space="preserve">Exactement le problème initial du scénario d’ouverture — les modules (section 55.2) éliminent structurellement ce risque de divergence non intentionnelle.</w:t>
      </w:r>
    </w:p>
    <w:p>
      <w:pPr>
        <w:pStyle w:val="BodyText"/>
      </w:pPr>
      <w:r>
        <w:t xml:space="preserve">⚠️ Erreur n°2 — un state partagé sans verrouillage pour une équipe de plusieurs personnes</w:t>
      </w:r>
      <w:r>
        <w:t xml:space="preserve"> </w:t>
      </w:r>
      <w:r>
        <w:t xml:space="preserve">Rappel de la section 55.5 : deux exécutions simultanées sans verrouillage peuvent corrompre le fichier d’état, un risque bien réel dès qu’une équipe dépasse une seule personne travaillant sur la même infrastructure.</w:t>
      </w:r>
    </w:p>
    <w:p>
      <w:pPr>
        <w:pStyle w:val="BodyText"/>
      </w:pPr>
      <w:r>
        <w:t xml:space="preserve">⚠️ Erreur n°3 — mélanger les environnements dans un seul fichier d’état</w:t>
      </w:r>
      <w:r>
        <w:t xml:space="preserve"> </w:t>
      </w:r>
      <w:r>
        <w:t xml:space="preserve">Rappel de la section 55.4 : un seul state partagé entre développement et production augmente considérablement le risque qu’une opération destinée à un environnement de test affecte accidentellement la production.</w:t>
      </w:r>
    </w:p>
    <w:bookmarkEnd w:id="1352"/>
    <w:bookmarkStart w:id="1353" w:name="X2a85754bd9ecda7cd1d0486480cf9e4e75dfa93"/>
    <w:p>
      <w:pPr>
        <w:pStyle w:val="Heading2"/>
      </w:pPr>
      <w:r>
        <w:t xml:space="preserve">Diagnostiquer un conflit d’exécution simultanée</w:t>
      </w:r>
    </w:p>
    <w:p>
      <w:pPr>
        <w:pStyle w:val="FirstParagraph"/>
      </w:pPr>
      <w:r>
        <w:t xml:space="preserve">🩺 Situation :</w:t>
      </w:r>
      <w:r>
        <w:t xml:space="preserve"> </w:t>
      </w:r>
      <w:r>
        <w:t xml:space="preserve">“Deux membres de l’équipe exécutent</w:t>
      </w:r>
      <w:r>
        <w:t xml:space="preserve"> </w:t>
      </w:r>
      <w:r>
        <w:rPr>
          <w:rStyle w:val="VerbatimChar"/>
        </w:rPr>
        <w:t xml:space="preserve">terraform apply</w:t>
      </w:r>
      <w:r>
        <w:t xml:space="preserve"> </w:t>
      </w:r>
      <w:r>
        <w:t xml:space="preserve">en même temps sur le même environnement”</w:t>
      </w:r>
    </w:p>
    <w:p>
      <w:pPr>
        <w:pStyle w:val="Compact"/>
        <w:numPr>
          <w:ilvl w:val="0"/>
          <w:numId w:val="2264"/>
        </w:numPr>
      </w:pPr>
      <w:r>
        <w:rPr>
          <w:b/>
          <w:bCs/>
        </w:rPr>
        <w:t xml:space="preserve">Diagnostic</w:t>
      </w:r>
      <w:r>
        <w:t xml:space="preserve"> </w:t>
      </w:r>
      <w:r>
        <w:t xml:space="preserve">: avec un backend correctement verrouillé (section 55.5), la seconde exécution reçoit un message explicite indiquant que le state est déjà verrouillé par une autre opération en cours — jamais une corruption silencieuse.</w:t>
      </w:r>
    </w:p>
    <w:p>
      <w:pPr>
        <w:pStyle w:val="Compact"/>
        <w:numPr>
          <w:ilvl w:val="0"/>
          <w:numId w:val="2264"/>
        </w:numPr>
      </w:pPr>
      <w:r>
        <w:rPr>
          <w:b/>
          <w:bCs/>
        </w:rPr>
        <w:t xml:space="preserve">Comment vérifier</w:t>
      </w:r>
      <w:r>
        <w:t xml:space="preserve"> </w:t>
      </w:r>
      <w:r>
        <w:t xml:space="preserve">: le message d’erreur de Terraform précise généralement qui détient le verrou et depuis quand, permettant de contacter directement la personne concernée plutôt que de forcer une action risquée.</w:t>
      </w:r>
    </w:p>
    <w:p>
      <w:pPr>
        <w:pStyle w:val="Compact"/>
        <w:numPr>
          <w:ilvl w:val="0"/>
          <w:numId w:val="2264"/>
        </w:numPr>
      </w:pPr>
      <w:r>
        <w:rPr>
          <w:b/>
          <w:bCs/>
        </w:rPr>
        <w:t xml:space="preserve">Résolution</w:t>
      </w:r>
      <w:r>
        <w:t xml:space="preserve"> </w:t>
      </w:r>
      <w:r>
        <w:t xml:space="preserve">: attendre que la première opération se termine normalement ; si le verrou semble bloqué anormalement longtemps (par exemple après un crash du processus initial),</w:t>
      </w:r>
      <w:r>
        <w:t xml:space="preserve"> </w:t>
      </w:r>
      <w:r>
        <w:rPr>
          <w:rStyle w:val="VerbatimChar"/>
        </w:rPr>
        <w:t xml:space="preserve">terraform force-unlock</w:t>
      </w:r>
      <w:r>
        <w:t xml:space="preserve"> </w:t>
      </w:r>
      <w:r>
        <w:t xml:space="preserve">existe mais doit être utilisé avec une extrême prudence, seulement après avoir confirmé qu’aucune opération n’est réellement encore en cours.</w:t>
      </w:r>
    </w:p>
    <w:bookmarkEnd w:id="1353"/>
    <w:bookmarkStart w:id="1354" w:name="en-entreprise-54"/>
    <w:p>
      <w:pPr>
        <w:pStyle w:val="Heading2"/>
      </w:pPr>
      <w:r>
        <w:t xml:space="preserve">En entreprise</w:t>
      </w:r>
    </w:p>
    <w:p>
      <w:pPr>
        <w:pStyle w:val="Compact"/>
        <w:numPr>
          <w:ilvl w:val="0"/>
          <w:numId w:val="2265"/>
        </w:numPr>
      </w:pPr>
      <w:r>
        <w:rPr>
          <w:b/>
          <w:bCs/>
        </w:rPr>
        <w:t xml:space="preserve">Bonne pratique répandue</w:t>
      </w:r>
      <w:r>
        <w:t xml:space="preserve"> </w:t>
      </w:r>
      <w:r>
        <w:t xml:space="preserve">: structurer systématiquement toute logique Terraform destinée à être réutilisée dans plusieurs environnements en modules dès le départ, plutôt que d’attendre qu’une duplication déjà existante devienne pénible à maintenir.</w:t>
      </w:r>
    </w:p>
    <w:p>
      <w:pPr>
        <w:pStyle w:val="Compact"/>
        <w:numPr>
          <w:ilvl w:val="0"/>
          <w:numId w:val="2265"/>
        </w:numPr>
      </w:pPr>
      <w:r>
        <w:rPr>
          <w:b/>
          <w:bCs/>
        </w:rPr>
        <w:t xml:space="preserve">Bonne pratique répandue</w:t>
      </w:r>
      <w:r>
        <w:t xml:space="preserve"> </w:t>
      </w:r>
      <w:r>
        <w:t xml:space="preserve">: documenter (chapitre 3) la structure des environnements et des states distants, pour que toute personne rejoignant l’équipe comprenne immédiatement où trouver et comment intervenir sur chaque environnement.</w:t>
      </w:r>
    </w:p>
    <w:p>
      <w:pPr>
        <w:pStyle w:val="Compact"/>
        <w:numPr>
          <w:ilvl w:val="0"/>
          <w:numId w:val="2265"/>
        </w:numPr>
      </w:pPr>
      <w:r>
        <w:rPr>
          <w:b/>
          <w:bCs/>
        </w:rPr>
        <w:t xml:space="preserve">Erreur classique observée</w:t>
      </w:r>
      <w:r>
        <w:t xml:space="preserve"> </w:t>
      </w:r>
      <w:r>
        <w:t xml:space="preserve">: une organisation qui découvre, après un incident de production, qu’un changement testé et validé en développement n’avait en réalité jamais été appliqué de façon identique en production, faute de module partagé garantissant cette cohérence.</w:t>
      </w:r>
    </w:p>
    <w:bookmarkEnd w:id="1354"/>
    <w:bookmarkStart w:id="1355" w:name="entretien-technique-54"/>
    <w:p>
      <w:pPr>
        <w:pStyle w:val="Heading2"/>
      </w:pPr>
      <w:r>
        <w:t xml:space="preserve">Entretien technique</w:t>
      </w:r>
    </w:p>
    <w:p>
      <w:pPr>
        <w:pStyle w:val="FirstParagraph"/>
      </w:pPr>
      <w:r>
        <w:t xml:space="preserve">💼 Questions fréquemment posées en entretien</w:t>
      </w:r>
    </w:p>
    <w:p>
      <w:pPr>
        <w:pStyle w:val="BodyText"/>
      </w:pPr>
      <w:r>
        <w:rPr>
          <w:b/>
          <w:bCs/>
        </w:rPr>
        <w:t xml:space="preserve">Q1.</w:t>
      </w:r>
      <w:r>
        <w:rPr>
          <w:b/>
          <w:bCs/>
        </w:rPr>
        <w:t xml:space="preserve"> </w:t>
      </w:r>
      <w:r>
        <w:rPr>
          <w:b/>
          <w:bCs/>
        </w:rPr>
        <w:t xml:space="preserve">“Qu’est-ce qu’un module Terraform, et pourquoi l’utiliser plutôt que de dupliquer du code ?”</w:t>
      </w:r>
      <w:r>
        <w:t xml:space="preserve"> </w:t>
      </w:r>
      <w:r>
        <w:t xml:space="preserve">Réponse attendue : un module regroupe une logique réutilisable et paramétrée, appelable plusieurs fois avec des valeurs différentes — exactement le même principe déjà établi pour les rôles Ansible au chapitre 53, évitant la divergence progressive entre plusieurs copies d’une même configuration.</w:t>
      </w:r>
    </w:p>
    <w:p>
      <w:pPr>
        <w:pStyle w:val="BodyText"/>
      </w:pPr>
      <w:r>
        <w:rPr>
          <w:b/>
          <w:bCs/>
        </w:rPr>
        <w:t xml:space="preserve">Q2.</w:t>
      </w:r>
      <w:r>
        <w:rPr>
          <w:b/>
          <w:bCs/>
        </w:rPr>
        <w:t xml:space="preserve"> </w:t>
      </w:r>
      <w:r>
        <w:rPr>
          <w:b/>
          <w:bCs/>
        </w:rPr>
        <w:t xml:space="preserve">“Pourquoi séparer les environnements (dev/test/production) en dossiers et states distincts, plutôt qu’un seul state partagé ?”</w:t>
      </w:r>
      <w:r>
        <w:t xml:space="preserve"> </w:t>
      </w:r>
      <w:r>
        <w:t xml:space="preserve">Réponse attendue : un state partagé augmente le risque qu’une opération destinée à un environnement affecte accidentellement un autre — des states distincts, chacun correspondant à un environnement précis, isolent structurellement ce risque, au prix d’une légère duplication de la structure de dossiers (compensée par la réutilisation du module lui-même).</w:t>
      </w:r>
    </w:p>
    <w:p>
      <w:pPr>
        <w:pStyle w:val="BodyText"/>
      </w:pPr>
      <w:r>
        <w:rPr>
          <w:b/>
          <w:bCs/>
        </w:rPr>
        <w:t xml:space="preserve">Q3.</w:t>
      </w:r>
      <w:r>
        <w:rPr>
          <w:b/>
          <w:bCs/>
        </w:rPr>
        <w:t xml:space="preserve"> </w:t>
      </w:r>
      <w:r>
        <w:rPr>
          <w:b/>
          <w:bCs/>
        </w:rPr>
        <w:t xml:space="preserve">“Comment le verrouillage du state Terraform protège-t-il une équipe de plusieurs personnes ?”</w:t>
      </w:r>
      <w:r>
        <w:t xml:space="preserve"> </w:t>
      </w:r>
      <w:r>
        <w:t xml:space="preserve">Réponse attendue : il empêche deux exécutions simultanées de</w:t>
      </w:r>
      <w:r>
        <w:t xml:space="preserve"> </w:t>
      </w:r>
      <w:r>
        <w:rPr>
          <w:rStyle w:val="VerbatimChar"/>
        </w:rPr>
        <w:t xml:space="preserve">terraform apply</w:t>
      </w:r>
      <w:r>
        <w:t xml:space="preserve"> </w:t>
      </w:r>
      <w:r>
        <w:t xml:space="preserve">sur le même environnement, la seconde tentative recevant un refus explicite plutôt que de risquer une corruption silencieuse du fichier d’état — le même principe de protection contre les écritures concurrentes déjà rencontré pour d’autres systèmes critiques dans ce manuel.</w:t>
      </w:r>
    </w:p>
    <w:bookmarkEnd w:id="1355"/>
    <w:bookmarkStart w:id="1356" w:name="X13191d73458ceabfa56cd22391a6bf577625257"/>
    <w:p>
      <w:pPr>
        <w:pStyle w:val="Heading2"/>
      </w:pPr>
      <w:r>
        <w:t xml:space="preserve">Optimisation, sécurité et maintenabilité — les réflexes dès ce chapitre</w:t>
      </w:r>
    </w:p>
    <w:p>
      <w:pPr>
        <w:pStyle w:val="FirstParagraph"/>
      </w:pPr>
      <w:r>
        <w:t xml:space="preserve">🔒 Sécurité</w:t>
      </w:r>
      <w:r>
        <w:t xml:space="preserve"> </w:t>
      </w:r>
      <w:r>
        <w:t xml:space="preserve">Configure systématiquement un verrouillage de state pour toute infrastructure gérée par plus d’une personne — le réflexe de sécurité le plus important de ce chapitre pour tout travail d’équipe.</w:t>
      </w:r>
    </w:p>
    <w:p>
      <w:pPr>
        <w:pStyle w:val="BodyText"/>
      </w:pPr>
      <w:r>
        <w:t xml:space="preserve">✅ Maintenabilité</w:t>
      </w:r>
      <w:r>
        <w:t xml:space="preserve"> </w:t>
      </w:r>
      <w:r>
        <w:t xml:space="preserve">Structure toute logique Terraform réutilisable en modules dès sa conception initiale, plutôt que d’attendre qu’une duplication déjà existante devienne difficile à corriger — le même principe déjà établi pour les rôles Ansible au chapitre 53.</w:t>
      </w:r>
    </w:p>
    <w:p>
      <w:pPr>
        <w:pStyle w:val="BodyText"/>
      </w:pPr>
      <w:r>
        <w:t xml:space="preserve">🚀 Performance</w:t>
      </w:r>
      <w:r>
        <w:t xml:space="preserve"> </w:t>
      </w:r>
      <w:r>
        <w:t xml:space="preserve">Sépare les states par environnement pour limiter l’impact et la durée d’une opération Terraform à son périmètre réel, plutôt qu’un state géant unique ralentissant chaque</w:t>
      </w:r>
      <w:r>
        <w:t xml:space="preserve"> </w:t>
      </w:r>
      <w:r>
        <w:rPr>
          <w:rStyle w:val="VerbatimChar"/>
        </w:rPr>
        <w:t xml:space="preserve">plan</w:t>
      </w:r>
      <w:r>
        <w:t xml:space="preserve"> </w:t>
      </w:r>
      <w:r>
        <w:t xml:space="preserve">et</w:t>
      </w:r>
      <w:r>
        <w:t xml:space="preserve"> </w:t>
      </w:r>
      <w:r>
        <w:rPr>
          <w:rStyle w:val="VerbatimChar"/>
        </w:rPr>
        <w:t xml:space="preserve">apply</w:t>
      </w:r>
      <w:r>
        <w:t xml:space="preserve"> </w:t>
      </w:r>
      <w:r>
        <w:t xml:space="preserve">par l’évaluation de ressources sans rapport avec le changement réellement en cours.</w:t>
      </w:r>
    </w:p>
    <w:bookmarkEnd w:id="1356"/>
    <w:bookmarkStart w:id="1357" w:name="résumé-du-chapitre-54"/>
    <w:p>
      <w:pPr>
        <w:pStyle w:val="Heading2"/>
      </w:pPr>
      <w:r>
        <w:t xml:space="preserve">Résumé du chapitre</w:t>
      </w:r>
    </w:p>
    <w:p>
      <w:pPr>
        <w:pStyle w:val="Compact"/>
        <w:numPr>
          <w:ilvl w:val="0"/>
          <w:numId w:val="2266"/>
        </w:numPr>
      </w:pPr>
      <w:r>
        <w:t xml:space="preserve">Copier-coller une configuration Terraform entre environnements reproduit le même problème déjà résolu par les rôles Ansible au chapitre 53 — les modules Terraform apportent la même solution structurelle.</w:t>
      </w:r>
    </w:p>
    <w:p>
      <w:pPr>
        <w:pStyle w:val="Compact"/>
        <w:numPr>
          <w:ilvl w:val="0"/>
          <w:numId w:val="2266"/>
        </w:numPr>
      </w:pPr>
      <w:r>
        <w:t xml:space="preserve">Un module paramétré par variables peut être appelé plusieurs fois pour différents environnements, sans duplication de la logique elle-même.</w:t>
      </w:r>
    </w:p>
    <w:p>
      <w:pPr>
        <w:pStyle w:val="Compact"/>
        <w:numPr>
          <w:ilvl w:val="0"/>
          <w:numId w:val="2266"/>
        </w:numPr>
      </w:pPr>
      <w:r>
        <w:t xml:space="preserve">Des dossiers et states distincts par environnement, plutôt qu’un state partagé unique, réduisent le risque qu’une opération affecte accidentellement le mauvais environnement.</w:t>
      </w:r>
    </w:p>
    <w:p>
      <w:pPr>
        <w:pStyle w:val="Compact"/>
        <w:numPr>
          <w:ilvl w:val="0"/>
          <w:numId w:val="2266"/>
        </w:numPr>
      </w:pPr>
      <w:r>
        <w:t xml:space="preserve">Le verrouillage du state distant empêche une corruption silencieuse lors d’exécutions simultanées, un risque bien réel dès qu’une équipe dépasse une seule personne.</w:t>
      </w:r>
    </w:p>
    <w:p>
      <w:pPr>
        <w:pStyle w:val="Compact"/>
        <w:numPr>
          <w:ilvl w:val="0"/>
          <w:numId w:val="2266"/>
        </w:numPr>
      </w:pPr>
      <w:r>
        <w:t xml:space="preserve">Terraform peut gérer plusieurs providers (AWS, Azure) dans un même projet, apportant une cohérence de gouvernance à une infrastructure multi-cloud consciente (chapitre 49).</w:t>
      </w:r>
    </w:p>
    <w:bookmarkEnd w:id="1357"/>
    <w:bookmarkStart w:id="1358" w:name="quiz-54"/>
    <w:p>
      <w:pPr>
        <w:pStyle w:val="Heading2"/>
      </w:pPr>
      <w:r>
        <w:t xml:space="preserve">Quiz</w:t>
      </w:r>
    </w:p>
    <w:p>
      <w:pPr>
        <w:pStyle w:val="FirstParagraph"/>
      </w:pPr>
      <w:r>
        <w:t xml:space="preserve">📝 QCM (une seule bonne réponse par question)</w:t>
      </w:r>
    </w:p>
    <w:p>
      <w:pPr>
        <w:pStyle w:val="Compact"/>
        <w:numPr>
          <w:ilvl w:val="0"/>
          <w:numId w:val="2267"/>
        </w:numPr>
      </w:pPr>
      <w:r>
        <w:t xml:space="preserve">Un module Terraform sert principalement à :</w:t>
      </w:r>
    </w:p>
    <w:p>
      <w:pPr>
        <w:pStyle w:val="Compact"/>
        <w:numPr>
          <w:ilvl w:val="1"/>
          <w:numId w:val="2268"/>
        </w:numPr>
      </w:pPr>
    </w:p>
    <w:p>
      <w:pPr>
        <w:pStyle w:val="Compact"/>
        <w:numPr>
          <w:ilvl w:val="2"/>
          <w:numId w:val="2269"/>
        </w:numPr>
      </w:pPr>
      <w:r>
        <w:t xml:space="preserve">Chiffrer le fichier d’état</w:t>
      </w:r>
    </w:p>
    <w:p>
      <w:pPr>
        <w:pStyle w:val="Compact"/>
        <w:numPr>
          <w:ilvl w:val="1"/>
          <w:numId w:val="2268"/>
        </w:numPr>
      </w:pPr>
    </w:p>
    <w:p>
      <w:pPr>
        <w:pStyle w:val="Compact"/>
        <w:numPr>
          <w:ilvl w:val="2"/>
          <w:numId w:val="2270"/>
        </w:numPr>
      </w:pPr>
      <w:r>
        <w:t xml:space="preserve">Regrouper une logique réutilisable, paramétrée par des variables</w:t>
      </w:r>
    </w:p>
    <w:p>
      <w:pPr>
        <w:pStyle w:val="Compact"/>
        <w:numPr>
          <w:ilvl w:val="1"/>
          <w:numId w:val="2268"/>
        </w:numPr>
      </w:pPr>
    </w:p>
    <w:p>
      <w:pPr>
        <w:pStyle w:val="Compact"/>
        <w:numPr>
          <w:ilvl w:val="2"/>
          <w:numId w:val="2271"/>
        </w:numPr>
      </w:pPr>
      <w:r>
        <w:t xml:space="preserve">Remplacer le besoin de providers</w:t>
      </w:r>
    </w:p>
    <w:p>
      <w:pPr>
        <w:pStyle w:val="Compact"/>
        <w:numPr>
          <w:ilvl w:val="1"/>
          <w:numId w:val="2268"/>
        </w:numPr>
      </w:pPr>
    </w:p>
    <w:p>
      <w:pPr>
        <w:pStyle w:val="Compact"/>
        <w:numPr>
          <w:ilvl w:val="2"/>
          <w:numId w:val="2272"/>
        </w:numPr>
      </w:pPr>
      <w:r>
        <w:t xml:space="preserve">Accélérer uniquement</w:t>
      </w:r>
      <w:r>
        <w:t xml:space="preserve"> </w:t>
      </w:r>
      <w:r>
        <w:rPr>
          <w:rStyle w:val="VerbatimChar"/>
        </w:rPr>
        <w:t xml:space="preserve">terraform init</w:t>
      </w:r>
    </w:p>
    <w:p>
      <w:pPr>
        <w:pStyle w:val="Compact"/>
        <w:numPr>
          <w:ilvl w:val="0"/>
          <w:numId w:val="2267"/>
        </w:numPr>
      </w:pPr>
      <w:r>
        <w:t xml:space="preserve">La bonne pratique pour gérer plusieurs environnements (dev/test/production) est de :</w:t>
      </w:r>
    </w:p>
    <w:p>
      <w:pPr>
        <w:pStyle w:val="Compact"/>
        <w:numPr>
          <w:ilvl w:val="1"/>
          <w:numId w:val="2273"/>
        </w:numPr>
      </w:pPr>
    </w:p>
    <w:p>
      <w:pPr>
        <w:pStyle w:val="Compact"/>
        <w:numPr>
          <w:ilvl w:val="2"/>
          <w:numId w:val="2274"/>
        </w:numPr>
      </w:pPr>
      <w:r>
        <w:t xml:space="preserve">Utiliser un seul state partagé pour tous les environnements</w:t>
      </w:r>
    </w:p>
    <w:p>
      <w:pPr>
        <w:pStyle w:val="Compact"/>
        <w:numPr>
          <w:ilvl w:val="1"/>
          <w:numId w:val="2273"/>
        </w:numPr>
      </w:pPr>
    </w:p>
    <w:p>
      <w:pPr>
        <w:pStyle w:val="Compact"/>
        <w:numPr>
          <w:ilvl w:val="2"/>
          <w:numId w:val="2275"/>
        </w:numPr>
      </w:pPr>
      <w:r>
        <w:t xml:space="preserve">Utiliser des dossiers et des states distincts par environnement, avec un module partagé</w:t>
      </w:r>
    </w:p>
    <w:p>
      <w:pPr>
        <w:pStyle w:val="Compact"/>
        <w:numPr>
          <w:ilvl w:val="1"/>
          <w:numId w:val="2273"/>
        </w:numPr>
      </w:pPr>
    </w:p>
    <w:p>
      <w:pPr>
        <w:pStyle w:val="Compact"/>
        <w:numPr>
          <w:ilvl w:val="2"/>
          <w:numId w:val="2276"/>
        </w:numPr>
      </w:pPr>
      <w:r>
        <w:t xml:space="preserve">Dupliquer entièrement le code sans aucune structure commune</w:t>
      </w:r>
    </w:p>
    <w:p>
      <w:pPr>
        <w:pStyle w:val="Compact"/>
        <w:numPr>
          <w:ilvl w:val="1"/>
          <w:numId w:val="2273"/>
        </w:numPr>
      </w:pPr>
    </w:p>
    <w:p>
      <w:pPr>
        <w:pStyle w:val="Compact"/>
        <w:numPr>
          <w:ilvl w:val="2"/>
          <w:numId w:val="2277"/>
        </w:numPr>
      </w:pPr>
      <w:r>
        <w:t xml:space="preserve">Ne jamais séparer les environnements</w:t>
      </w:r>
    </w:p>
    <w:p>
      <w:pPr>
        <w:pStyle w:val="Compact"/>
        <w:numPr>
          <w:ilvl w:val="0"/>
          <w:numId w:val="2267"/>
        </w:numPr>
      </w:pPr>
      <w:r>
        <w:t xml:space="preserve">Le verrouillage du state Terraform sert à :</w:t>
      </w:r>
    </w:p>
    <w:p>
      <w:pPr>
        <w:pStyle w:val="Compact"/>
        <w:numPr>
          <w:ilvl w:val="1"/>
          <w:numId w:val="2278"/>
        </w:numPr>
      </w:pPr>
    </w:p>
    <w:p>
      <w:pPr>
        <w:pStyle w:val="Compact"/>
        <w:numPr>
          <w:ilvl w:val="2"/>
          <w:numId w:val="2279"/>
        </w:numPr>
      </w:pPr>
      <w:r>
        <w:t xml:space="preserve">Chiffrer automatiquement les secrets</w:t>
      </w:r>
    </w:p>
    <w:p>
      <w:pPr>
        <w:pStyle w:val="Compact"/>
        <w:numPr>
          <w:ilvl w:val="1"/>
          <w:numId w:val="2278"/>
        </w:numPr>
      </w:pPr>
    </w:p>
    <w:p>
      <w:pPr>
        <w:pStyle w:val="Compact"/>
        <w:numPr>
          <w:ilvl w:val="2"/>
          <w:numId w:val="2280"/>
        </w:numPr>
      </w:pPr>
      <w:r>
        <w:t xml:space="preserve">Empêcher deux exécutions simultanées de corrompre le fichier d’état</w:t>
      </w:r>
    </w:p>
    <w:p>
      <w:pPr>
        <w:pStyle w:val="Compact"/>
        <w:numPr>
          <w:ilvl w:val="1"/>
          <w:numId w:val="2278"/>
        </w:numPr>
      </w:pPr>
    </w:p>
    <w:p>
      <w:pPr>
        <w:pStyle w:val="Compact"/>
        <w:numPr>
          <w:ilvl w:val="2"/>
          <w:numId w:val="2281"/>
        </w:numPr>
      </w:pPr>
      <w:r>
        <w:t xml:space="preserve">Accélérer l’exécution de</w:t>
      </w:r>
      <w:r>
        <w:t xml:space="preserve"> </w:t>
      </w:r>
      <w:r>
        <w:rPr>
          <w:rStyle w:val="VerbatimChar"/>
        </w:rPr>
        <w:t xml:space="preserve">terraform apply</w:t>
      </w:r>
    </w:p>
    <w:p>
      <w:pPr>
        <w:pStyle w:val="Compact"/>
        <w:numPr>
          <w:ilvl w:val="1"/>
          <w:numId w:val="2278"/>
        </w:numPr>
      </w:pPr>
    </w:p>
    <w:p>
      <w:pPr>
        <w:pStyle w:val="Compact"/>
        <w:numPr>
          <w:ilvl w:val="2"/>
          <w:numId w:val="2282"/>
        </w:numPr>
      </w:pPr>
      <w:r>
        <w:t xml:space="preserve">Supprimer automatiquement les ressources inutilisées</w:t>
      </w:r>
    </w:p>
    <w:p>
      <w:pPr>
        <w:pStyle w:val="FirstParagraph"/>
      </w:pPr>
      <w:r>
        <w:rPr>
          <w:b/>
          <w:bCs/>
        </w:rPr>
        <w:t xml:space="preserve">Corrigé</w:t>
      </w:r>
      <w:r>
        <w:t xml:space="preserve"> </w:t>
      </w:r>
      <w:r>
        <w:t xml:space="preserve">: 1-b, 2-b, 3-b.</w:t>
      </w:r>
    </w:p>
    <w:p>
      <w:pPr>
        <w:pStyle w:val="BodyText"/>
      </w:pPr>
      <w:r>
        <w:t xml:space="preserve">📝 Vrai ou Faux</w:t>
      </w:r>
    </w:p>
    <w:p>
      <w:pPr>
        <w:pStyle w:val="Compact"/>
        <w:numPr>
          <w:ilvl w:val="0"/>
          <w:numId w:val="2283"/>
        </w:numPr>
      </w:pPr>
      <w:r>
        <w:t xml:space="preserve">Un module Terraform peut être appelé plusieurs fois avec des variables différentes, sans dupliquer sa logique interne. —</w:t>
      </w:r>
      <w:r>
        <w:t xml:space="preserve"> </w:t>
      </w:r>
      <w:r>
        <w:rPr>
          <w:b/>
          <w:bCs/>
        </w:rPr>
        <w:t xml:space="preserve">Vrai</w:t>
      </w:r>
      <w:r>
        <w:t xml:space="preserve">.</w:t>
      </w:r>
    </w:p>
    <w:p>
      <w:pPr>
        <w:pStyle w:val="Compact"/>
        <w:numPr>
          <w:ilvl w:val="0"/>
          <w:numId w:val="2283"/>
        </w:numPr>
      </w:pPr>
      <w:r>
        <w:t xml:space="preserve">Un state partagé unique entre tous les environnements est la pratique la plus sûre. —</w:t>
      </w:r>
      <w:r>
        <w:t xml:space="preserve"> </w:t>
      </w:r>
      <w:r>
        <w:rPr>
          <w:b/>
          <w:bCs/>
        </w:rPr>
        <w:t xml:space="preserve">Faux</w:t>
      </w:r>
      <w:r>
        <w:t xml:space="preserve"> </w:t>
      </w:r>
      <w:r>
        <w:t xml:space="preserve">(des states distincts par environnement réduisent le risque, section 55.4).</w:t>
      </w:r>
    </w:p>
    <w:p>
      <w:pPr>
        <w:pStyle w:val="Compact"/>
        <w:numPr>
          <w:ilvl w:val="0"/>
          <w:numId w:val="2283"/>
        </w:numPr>
      </w:pPr>
      <w:r>
        <w:t xml:space="preserve">Terraform ne peut gérer qu’un seul fournisseur cloud à la fois dans un même projet. —</w:t>
      </w:r>
      <w:r>
        <w:t xml:space="preserve"> </w:t>
      </w:r>
      <w:r>
        <w:rPr>
          <w:b/>
          <w:bCs/>
        </w:rPr>
        <w:t xml:space="preserve">Faux</w:t>
      </w:r>
      <w:r>
        <w:t xml:space="preserve"> </w:t>
      </w:r>
      <w:r>
        <w:t xml:space="preserve">(multi-provider possible, section 55.6).</w:t>
      </w:r>
    </w:p>
    <w:p>
      <w:pPr>
        <w:pStyle w:val="Compact"/>
        <w:numPr>
          <w:ilvl w:val="0"/>
          <w:numId w:val="2283"/>
        </w:numPr>
      </w:pPr>
      <w:r>
        <w:t xml:space="preserve">Sans verrouillage de state, deux exécutions simultanées de</w:t>
      </w:r>
      <w:r>
        <w:t xml:space="preserve"> </w:t>
      </w:r>
      <w:r>
        <w:rPr>
          <w:rStyle w:val="VerbatimChar"/>
        </w:rPr>
        <w:t xml:space="preserve">terraform apply</w:t>
      </w:r>
      <w:r>
        <w:t xml:space="preserve"> </w:t>
      </w:r>
      <w:r>
        <w:t xml:space="preserve">peuvent corrompre le fichier d’état. —</w:t>
      </w:r>
      <w:r>
        <w:t xml:space="preserve"> </w:t>
      </w:r>
      <w:r>
        <w:rPr>
          <w:b/>
          <w:bCs/>
        </w:rPr>
        <w:t xml:space="preserve">Vrai</w:t>
      </w:r>
      <w:r>
        <w:t xml:space="preserve">.</w:t>
      </w:r>
    </w:p>
    <w:p>
      <w:pPr>
        <w:pStyle w:val="FirstParagraph"/>
      </w:pPr>
      <w:r>
        <w:t xml:space="preserve">📝 Questions ouvertes</w:t>
      </w:r>
    </w:p>
    <w:p>
      <w:pPr>
        <w:pStyle w:val="Compact"/>
        <w:numPr>
          <w:ilvl w:val="0"/>
          <w:numId w:val="2284"/>
        </w:numPr>
      </w:pPr>
      <w:r>
        <w:t xml:space="preserve">Explique pourquoi le problème résolu par les modules Terraform (section 55.2) est structurellement identique à celui déjà résolu par les rôles Ansible au chapitre 53.</w:t>
      </w:r>
    </w:p>
    <w:p>
      <w:pPr>
        <w:pStyle w:val="Compact"/>
        <w:numPr>
          <w:ilvl w:val="0"/>
          <w:numId w:val="2284"/>
        </w:numPr>
      </w:pPr>
      <w:r>
        <w:t xml:space="preserve">Reprends le scénario d’ouverture. Explique comment la structure modulaire de ce chapitre facilite une future migration partielle vers Azure pour la gestion documentaire, sans perturber l’infrastructure AWS existante du portail.</w:t>
      </w:r>
    </w:p>
    <w:p>
      <w:pPr>
        <w:pStyle w:val="FirstParagraph"/>
      </w:pPr>
      <w:r>
        <w:rPr>
          <w:b/>
          <w:bCs/>
        </w:rPr>
        <w:t xml:space="preserve">Corrigé 1</w:t>
      </w:r>
      <w:r>
        <w:t xml:space="preserve"> </w:t>
      </w:r>
      <w:r>
        <w:t xml:space="preserve">: dans les deux cas, une logique correcte mais dupliquée manuellement à travers plusieurs contextes (playbooks pour plusieurs objectifs, configurations pour plusieurs environnements) devient de plus en plus difficile à maintenir cohérente à mesure que les copies divergent au fil du temps — les rôles et les modules répondent tous deux en isolant cette logique une seule fois, réutilisable et paramétrable, garantissant qu’une correction ou une amélioration se propage automatiquement partout où elle est utilisée.</w:t>
      </w:r>
    </w:p>
    <w:p>
      <w:pPr>
        <w:pStyle w:val="BodyText"/>
      </w:pPr>
      <w:r>
        <w:rPr>
          <w:b/>
          <w:bCs/>
        </w:rPr>
        <w:t xml:space="preserve">Corrigé 2</w:t>
      </w:r>
      <w:r>
        <w:t xml:space="preserve"> </w:t>
      </w:r>
      <w:r>
        <w:t xml:space="preserve">: grâce au multi-provider (section 55.6) et à la structure modulaire déjà en place, ajouter les ressources Azure pour la gestion documentaire consisterait à ajouter un nouveau provider</w:t>
      </w:r>
      <w:r>
        <w:t xml:space="preserve"> </w:t>
      </w:r>
      <w:r>
        <w:rPr>
          <w:rStyle w:val="VerbatimChar"/>
        </w:rPr>
        <w:t xml:space="preserve">azurerm</w:t>
      </w:r>
      <w:r>
        <w:t xml:space="preserve"> </w:t>
      </w:r>
      <w:r>
        <w:t xml:space="preserve">et de nouveaux modules dédiés, dans des dossiers et des states distincts de ceux du portail AWS déjà en production — la séparation stricte des états par environnement et par périmètre (déjà établie pour dev/test/production) garantit qu’aucune opération sur les nouvelles ressources Azure ne pourrait accidentellement affecter l’infrastructure AWS existante, exactement le bénéfice recherché par une gouvernance multi-cloud consciente.</w:t>
      </w:r>
    </w:p>
    <w:bookmarkEnd w:id="1358"/>
    <w:bookmarkStart w:id="1359" w:name="exercices-54"/>
    <w:p>
      <w:pPr>
        <w:pStyle w:val="Heading2"/>
      </w:pPr>
      <w:r>
        <w:t xml:space="preserve">Exercices</w:t>
      </w:r>
    </w:p>
    <w:p>
      <w:pPr>
        <w:pStyle w:val="FirstParagraph"/>
      </w:pPr>
      <w:r>
        <w:t xml:space="preserve">📝 Exercice 55.1</w:t>
      </w:r>
    </w:p>
    <w:p>
      <w:pPr>
        <w:pStyle w:val="BodyText"/>
      </w:pPr>
      <w:r>
        <w:t xml:space="preserve">Une équipe utilise un seul fichier de state partagé pour développement et production. Un ingénieur, en testant un changement en développement, exécute accidentellement</w:t>
      </w:r>
      <w:r>
        <w:t xml:space="preserve"> </w:t>
      </w:r>
      <w:r>
        <w:rPr>
          <w:rStyle w:val="VerbatimChar"/>
        </w:rPr>
        <w:t xml:space="preserve">terraform apply</w:t>
      </w:r>
      <w:r>
        <w:t xml:space="preserve"> </w:t>
      </w:r>
      <w:r>
        <w:t xml:space="preserve">en pensant être sur cet environnement, mais le state chargé correspond en réalité à la production. Explique la conséquence, et comment la structure de la section 55.4 aurait évité cet incident.</w:t>
      </w:r>
    </w:p>
    <w:p>
      <w:pPr>
        <w:pStyle w:val="BodyText"/>
      </w:pPr>
      <w:r>
        <w:rPr>
          <w:b/>
          <w:bCs/>
        </w:rPr>
        <w:t xml:space="preserve">Corrigé :</w:t>
      </w:r>
      <w:r>
        <w:t xml:space="preserve"> </w:t>
      </w:r>
      <w:r>
        <w:t xml:space="preserve">Avec un state partagé, Terraform appliquerait le changement destiné au développement directement sur les ressources de production réelles — une confusion qui pourrait provoquer une interruption de service ou une perte de données selon la nature exacte du changement appliqué par erreur. Avec des dossiers et des states distincts par environnement (section 55.4), cette confusion devient structurellement impossible : l’ingénieur devrait explicitement naviguer vers le dossier</w:t>
      </w:r>
      <w:r>
        <w:t xml:space="preserve"> </w:t>
      </w:r>
      <w:r>
        <w:rPr>
          <w:rStyle w:val="VerbatimChar"/>
        </w:rPr>
        <w:t xml:space="preserve">environnements/production/</w:t>
      </w:r>
      <w:r>
        <w:t xml:space="preserve"> </w:t>
      </w:r>
      <w:r>
        <w:t xml:space="preserve">et utiliser son backend distinct pour affecter la production, une action bien plus délibérée et difficile à déclencher accidentellement qu’une simple confusion de contexte au sein d’un état unique partagé.</w:t>
      </w:r>
    </w:p>
    <w:p>
      <w:pPr>
        <w:pStyle w:val="BodyText"/>
      </w:pPr>
      <w:r>
        <w:t xml:space="preserve">📝 Exercice 55.2</w:t>
      </w:r>
    </w:p>
    <w:p>
      <w:pPr>
        <w:pStyle w:val="BodyText"/>
      </w:pPr>
      <w:r>
        <w:t xml:space="preserve">Rédige, en 3 à 5 phrases, pourquoi la gouvernance multi-cloud déjà recommandée au chapitre 49 devient plus facile à appliquer concrètement une fois Terraform multi-provider adopté, plutôt qu’avec des outils entièrement séparés pour chaque fournisseur.</w:t>
      </w:r>
    </w:p>
    <w:p>
      <w:pPr>
        <w:pStyle w:val="BodyText"/>
      </w:pPr>
      <w:r>
        <w:rPr>
          <w:b/>
          <w:bCs/>
        </w:rPr>
        <w:t xml:space="preserve">Corrigé (exemple de réponse) :</w:t>
      </w:r>
      <w:r>
        <w:t xml:space="preserve"> </w:t>
      </w:r>
      <w:r>
        <w:t xml:space="preserve">Le chapitre 49 recommandait de documenter consciemment</w:t>
      </w:r>
      <w:r>
        <w:t xml:space="preserve"> </w:t>
      </w:r>
      <w:r>
        <w:t xml:space="preserve">“quel système vit où et pourquoi”</w:t>
      </w:r>
      <w:r>
        <w:t xml:space="preserve"> </w:t>
      </w:r>
      <w:r>
        <w:t xml:space="preserve">plutôt que de laisser une dispersion s’accumuler sans gouvernance — un projet Terraform unique, gérant à la fois AWS et Azure avec la même discipline de modules, de state distant verrouillé et de revue de plan avant application, rend cette gouvernance directement visible et applicable dans le code lui-même, plutôt que dispersée entre des outils et des pratiques complètement différents pour chaque fournisseur. Cette cohérence facilite aussi la formation de l’équipe, qui n’a besoin de maîtriser qu’un seul outil et une seule discipline opérationnelle, indépendamment du fournisseur cloud concerné par un changement donné.</w:t>
      </w:r>
    </w:p>
    <w:bookmarkEnd w:id="1359"/>
    <w:bookmarkStart w:id="1360" w:name="checklist-de-fin-de-chapitre-54"/>
    <w:p>
      <w:pPr>
        <w:pStyle w:val="Heading2"/>
      </w:pPr>
      <w:r>
        <w:t xml:space="preserve">Checklist de fin de chapitre</w:t>
      </w:r>
    </w:p>
    <w:p>
      <w:pPr>
        <w:pStyle w:val="FirstParagraph"/>
      </w:pPr>
      <w:r>
        <w:t xml:space="preserve">☐ Je sais écrire un module Terraform paramétré et réutilisable.</w:t>
      </w:r>
    </w:p>
    <w:p>
      <w:pPr>
        <w:pStyle w:val="BodyText"/>
      </w:pPr>
      <w:r>
        <w:t xml:space="preserve">☐ Je sais organiser plusieurs environnements avec des dossiers et states distincts.</w:t>
      </w:r>
    </w:p>
    <w:p>
      <w:pPr>
        <w:pStyle w:val="BodyText"/>
      </w:pPr>
      <w:r>
        <w:t xml:space="preserve">☐ Je comprends pourquoi le verrouillage du state est indispensable pour une équipe de plusieurs personnes.</w:t>
      </w:r>
    </w:p>
    <w:p>
      <w:pPr>
        <w:pStyle w:val="BodyText"/>
      </w:pPr>
      <w:r>
        <w:t xml:space="preserve">☐ Je sais configurer plusieurs providers (AWS, Azure) dans un même projet Terraform.</w:t>
      </w:r>
    </w:p>
    <w:p>
      <w:pPr>
        <w:pStyle w:val="BodyText"/>
      </w:pPr>
      <w:r>
        <w:t xml:space="preserve">☐ Je sais diagnostiquer et résoudre un conflit d’exécution simultanée sur le state.</w:t>
      </w:r>
    </w:p>
    <w:bookmarkEnd w:id="1360"/>
    <w:bookmarkStart w:id="1361" w:name="faq-54"/>
    <w:p>
      <w:pPr>
        <w:pStyle w:val="Heading2"/>
      </w:pPr>
      <w:r>
        <w:t xml:space="preserve">FAQ</w:t>
      </w:r>
    </w:p>
    <w:p>
      <w:pPr>
        <w:pStyle w:val="FirstParagraph"/>
      </w:pPr>
      <w:r>
        <w:t xml:space="preserve">Les modules Terraform peuvent-ils être partagés entre plusieurs projets ou équipes ?</w:t>
      </w:r>
    </w:p>
    <w:p>
      <w:pPr>
        <w:pStyle w:val="BodyText"/>
      </w:pPr>
      <w:r>
        <w:t xml:space="preserve">Oui, un module peut être publié dans un dépôt Git distinct ou sur le Terraform Registry public, puis référencé depuis plusieurs projets — une pratique qui rejoint directement la réutilisation déjà recherchée pour les rôles Ansible via Ansible Galaxy au chapitre 53.</w:t>
      </w:r>
    </w:p>
    <w:p>
      <w:pPr>
        <w:pStyle w:val="BodyText"/>
      </w:pPr>
      <w:r>
        <w:t xml:space="preserve">Faut-il toujours utiliser DynamoDB pour le verrouillage du state sur AWS ?</w:t>
      </w:r>
    </w:p>
    <w:p>
      <w:pPr>
        <w:pStyle w:val="BodyText"/>
      </w:pPr>
      <w:r>
        <w:t xml:space="preserve">C’est le mécanisme le plus répandu et documenté pour un backend S3, mais d’autres backends (Azure Storage, Terraform Cloud) proposent leurs propres mécanismes de verrouillage natifs — le principe reste identique, seule l’implémentation technique varie selon le backend choisi.</w:t>
      </w:r>
    </w:p>
    <w:p>
      <w:pPr>
        <w:pStyle w:val="BodyText"/>
      </w:pPr>
      <w:r>
        <w:t xml:space="preserve">Combien de modules faut-il créer pour une infrastructure de taille moyenne ?</w:t>
      </w:r>
    </w:p>
    <w:p>
      <w:pPr>
        <w:pStyle w:val="BodyText"/>
      </w:pPr>
      <w:r>
        <w:t xml:space="preserve">Il n’existe pas de chiffre universel — un bon repère est de créer un module dès qu’une logique doit être réutilisée dans plus d’un contexte (plusieurs environnements, ou des ressources similaires répétées), plutôt que de modulariser prématurément une logique utilisée une seule fois.</w:t>
      </w:r>
    </w:p>
    <w:p>
      <w:pPr>
        <w:pStyle w:val="BodyText"/>
      </w:pPr>
      <w:r>
        <w:t xml:space="preserve">Un incident de verrouillage bloqué (state verrouillé après un crash) est-il fréquent ?</w:t>
      </w:r>
    </w:p>
    <w:p>
      <w:pPr>
        <w:pStyle w:val="BodyText"/>
      </w:pPr>
      <w:r>
        <w:t xml:space="preserve">Relativement rare avec un backend correctement configuré, mais possible en cas d’interruption brutale d’une exécution en cours (perte de connexion réseau, arrêt forcé du processus) —</w:t>
      </w:r>
      <w:r>
        <w:t xml:space="preserve"> </w:t>
      </w:r>
      <w:r>
        <w:rPr>
          <w:rStyle w:val="VerbatimChar"/>
        </w:rPr>
        <w:t xml:space="preserve">terraform force-unlock</w:t>
      </w:r>
      <w:r>
        <w:t xml:space="preserve"> </w:t>
      </w:r>
      <w:r>
        <w:t xml:space="preserve">existe précisément pour ce cas, à utiliser uniquement après confirmation qu’aucune opération n’est réellement encore active, rappel de la section</w:t>
      </w:r>
      <w:r>
        <w:t xml:space="preserve"> </w:t>
      </w:r>
      <w:r>
        <w:t xml:space="preserve">“Diagnostiquer un conflit d’exécution simultanée”</w:t>
      </w:r>
      <w:r>
        <w:t xml:space="preserve">.</w:t>
      </w:r>
    </w:p>
    <w:bookmarkEnd w:id="1361"/>
    <w:bookmarkStart w:id="1365" w:name="références-et-pour-aller-plus-loin-54"/>
    <w:p>
      <w:pPr>
        <w:pStyle w:val="Heading2"/>
      </w:pPr>
      <w:r>
        <w:t xml:space="preserve">Références et pour aller plus loin</w:t>
      </w:r>
    </w:p>
    <w:p>
      <w:pPr>
        <w:pStyle w:val="Compact"/>
        <w:numPr>
          <w:ilvl w:val="0"/>
          <w:numId w:val="2285"/>
        </w:numPr>
      </w:pPr>
      <w:r>
        <w:t xml:space="preserve">Documentation officielle Terraform — Modules :</w:t>
      </w:r>
      <w:r>
        <w:t xml:space="preserve"> </w:t>
      </w:r>
      <w:hyperlink r:id="rId1362">
        <w:r>
          <w:rPr>
            <w:rStyle w:val="Hyperlink"/>
          </w:rPr>
          <w:t xml:space="preserve">https://developer.hashicorp.com/terraform/language/modules</w:t>
        </w:r>
      </w:hyperlink>
    </w:p>
    <w:p>
      <w:pPr>
        <w:pStyle w:val="Compact"/>
        <w:numPr>
          <w:ilvl w:val="0"/>
          <w:numId w:val="2285"/>
        </w:numPr>
      </w:pPr>
      <w:r>
        <w:t xml:space="preserve">Documentation officielle Terraform — Verrouillage du state :</w:t>
      </w:r>
      <w:r>
        <w:t xml:space="preserve"> </w:t>
      </w:r>
      <w:hyperlink r:id="rId1363">
        <w:r>
          <w:rPr>
            <w:rStyle w:val="Hyperlink"/>
          </w:rPr>
          <w:t xml:space="preserve">https://developer.hashicorp.com/terraform/language/state/locking</w:t>
        </w:r>
      </w:hyperlink>
    </w:p>
    <w:p>
      <w:pPr>
        <w:pStyle w:val="Compact"/>
        <w:numPr>
          <w:ilvl w:val="0"/>
          <w:numId w:val="2285"/>
        </w:numPr>
      </w:pPr>
      <w:r>
        <w:t xml:space="preserve">Terraform Registry — providers multi-cloud (AWS, Azure, GCP) :</w:t>
      </w:r>
      <w:r>
        <w:t xml:space="preserve"> </w:t>
      </w:r>
      <w:hyperlink r:id="rId1364">
        <w:r>
          <w:rPr>
            <w:rStyle w:val="Hyperlink"/>
          </w:rPr>
          <w:t xml:space="preserve">https://registry.terraform.io/browse/providers</w:t>
        </w:r>
      </w:hyperlink>
    </w:p>
    <w:p>
      <w:pPr>
        <w:pStyle w:val="FirstParagraph"/>
      </w:pPr>
      <w:r>
        <w:rPr>
          <w:i/>
          <w:iCs/>
        </w:rPr>
        <w:t xml:space="preserve">Chapitre suivant : Jenkins et intégration continue pour l’infrastructure — automatiser l’exécution des playbooks Ansible et des plans Terraform à chaque changement, plutôt que de les exécuter manuellement depuis un poste individuel.</w:t>
      </w:r>
    </w:p>
    <w:p>
      <w:pPr>
        <w:pStyle w:val="BodyText"/>
      </w:pPr>
      <w:r>
        <w:t xml:space="preserve">CHAPITRE 56</w:t>
      </w:r>
    </w:p>
    <w:bookmarkEnd w:id="1365"/>
    <w:bookmarkEnd w:id="1366"/>
    <w:bookmarkStart w:id="1389" w:name="Xbeebe93ca7c239d7d7207124dfa2cd9b90f73b5"/>
    <w:p>
      <w:pPr>
        <w:pStyle w:val="Heading1"/>
      </w:pPr>
      <w:r>
        <w:t xml:space="preserve">Jenkins et intégration continue pour l’infrastructure</w:t>
      </w:r>
    </w:p>
    <w:p>
      <w:pPr>
        <w:pStyle w:val="FirstParagraph"/>
      </w:pPr>
      <w:r>
        <w:t xml:space="preserve">🎯 Objectif du chapitre</w:t>
      </w:r>
      <w:r>
        <w:t xml:space="preserve"> </w:t>
      </w:r>
      <w:r>
        <w:t xml:space="preserve">Automatiser l’exécution des playbooks Ansible et des plans Terraform à chaque changement versionné dans Git (chapitre 51), plutôt que de les exécuter manuellement depuis le poste individuel d’un administrateur. À la fin de ce chapitre, tu sauras écrire un pipeline Jenkins déclaratif, déclencher son exécution sur un commit Git, insérer une étape d’approbation avant tout changement de production, et protéger les identifiants utilisés par le pipeline.</w:t>
      </w:r>
    </w:p>
    <w:p>
      <w:pPr>
        <w:pStyle w:val="BodyText"/>
      </w:pPr>
      <w:r>
        <w:t xml:space="preserve">🎬 Mise en situation</w:t>
      </w:r>
      <w:r>
        <w:t xml:space="preserve"> </w:t>
      </w:r>
      <w:r>
        <w:t xml:space="preserve">Malgré l’adoption de Terraform (chapitres 54-55) et d’Ansible (chapitres 52-53), chaque exécution reste lancée manuellement depuis le poste d’un administrateur — avec sa propre version de Terraform installée, son propre fichier de configuration local, et aucune trace centralisée de qui a exécuté quoi, quand, et avec quel résultat. Un jour, deux administrateurs découvrent qu’ils utilisent des versions différentes de Terraform, produisant des plans légèrement différents pour la même configuration.</w:t>
      </w:r>
      <w:r>
        <w:t xml:space="preserve"> </w:t>
      </w:r>
      <w:r>
        <w:t xml:space="preserve">“On a résolu le ClickOps du chapitre 54,”</w:t>
      </w:r>
      <w:r>
        <w:t xml:space="preserve"> </w:t>
      </w:r>
      <w:r>
        <w:t xml:space="preserve">observe le DSI,</w:t>
      </w:r>
      <w:r>
        <w:t xml:space="preserve"> </w:t>
      </w:r>
      <w:r>
        <w:t xml:space="preserve">“mais on a maintenant un problème similaire avec l’exécution elle-même de nos outils d’automatisation.”</w:t>
      </w:r>
      <w:r>
        <w:t xml:space="preserve"> </w:t>
      </w:r>
      <w:r>
        <w:t xml:space="preserve">Ce chapitre centralise cette exécution via Jenkins.</w:t>
      </w:r>
    </w:p>
    <w:bookmarkStart w:id="1367" w:name="X5c5f8fc04fce5be0e9842633622d71e8ce4890a"/>
    <w:p>
      <w:pPr>
        <w:pStyle w:val="Heading2"/>
      </w:pPr>
      <w:r>
        <w:t xml:space="preserve">56.1 Le problème de l’exécution manuelle, même avec de bons outils</w:t>
      </w:r>
    </w:p>
    <w:p>
      <w:pPr>
        <w:pStyle w:val="FirstParagraph"/>
      </w:pPr>
      <w:r>
        <w:t xml:space="preserve">📌 À retenir — un problème de cohérence d’exécution, pas de qualité des outils</w:t>
      </w:r>
      <w:r>
        <w:t xml:space="preserve"> </w:t>
      </w:r>
      <w:r>
        <w:t xml:space="preserve">Terraform et Ansible eux-mêmes ne sont pas en cause dans le scénario d’ouverture — le problème est l’</w:t>
      </w:r>
      <w:r>
        <w:rPr>
          <w:b/>
          <w:bCs/>
        </w:rPr>
        <w:t xml:space="preserve">absence d’un environnement d’exécution centralisé et cohérent</w:t>
      </w:r>
      <w:r>
        <w:t xml:space="preserve">. Chaque poste individuel peut avoir une version différente d’un outil, un accès réseau différent, ou une configuration locale légèrement divergente — exactement le même problème</w:t>
      </w:r>
      <w:r>
        <w:t xml:space="preserve"> </w:t>
      </w:r>
      <w:r>
        <w:t xml:space="preserve">“ça marche sur ma machine”</w:t>
      </w:r>
      <w:r>
        <w:t xml:space="preserve"> </w:t>
      </w:r>
      <w:r>
        <w:t xml:space="preserve">déjà résolu pour les applications par Docker au chapitre 39, ici appliqué à l’exécution des outils d’infrastructure eux-mêmes.</w:t>
      </w:r>
    </w:p>
    <w:bookmarkEnd w:id="1367"/>
    <w:bookmarkStart w:id="1368" w:name="jenkins-un-serveur-dintégration-continue"/>
    <w:p>
      <w:pPr>
        <w:pStyle w:val="Heading2"/>
      </w:pPr>
      <w:r>
        <w:t xml:space="preserve">56.2 Jenkins : un serveur d’intégration continue</w:t>
      </w:r>
    </w:p>
    <w:p>
      <w:pPr>
        <w:pStyle w:val="FirstParagraph"/>
      </w:pPr>
      <w:r>
        <w:t xml:space="preserve">💡 Analogie — un poste de travail centralisé et toujours identique</w:t>
      </w:r>
      <w:r>
        <w:t xml:space="preserve"> </w:t>
      </w:r>
      <w:r>
        <w:rPr>
          <w:b/>
          <w:bCs/>
        </w:rPr>
        <w:t xml:space="preserve">Jenkins</w:t>
      </w:r>
      <w:r>
        <w:t xml:space="preserve"> </w:t>
      </w:r>
      <w:r>
        <w:t xml:space="preserve">est un serveur qui exécute des tâches automatisées (des</w:t>
      </w:r>
      <w:r>
        <w:t xml:space="preserve"> </w:t>
      </w:r>
      <w:r>
        <w:t xml:space="preserve">“pipelines”</w:t>
      </w:r>
      <w:r>
        <w:t xml:space="preserve">) de façon centralisée et reproductible — chaque exécution se déroule dans un environnement contrôlé et cohérent, plutôt que sur le poste variable de chaque administrateur. C’est l’équivalent, pour l’exécution des outils d’infrastructure, de ce que Docker apporte à l’exécution d’une application : un environnement toujours identique, indépendant de la machine qui déclenche l’opération.</w:t>
      </w:r>
    </w:p>
    <w:bookmarkEnd w:id="1368"/>
    <w:bookmarkStart w:id="1369" w:name="X6950b8166672447c14656d0446e5dcd3ec8887b"/>
    <w:p>
      <w:pPr>
        <w:pStyle w:val="Heading2"/>
      </w:pPr>
      <w:r>
        <w:t xml:space="preserve">56.3 Le Jenkinsfile : un pipeline déclaratif, encore une fois</w:t>
      </w:r>
    </w:p>
    <w:p>
      <w:pPr>
        <w:pStyle w:val="SourceCode"/>
      </w:pPr>
      <w:r>
        <w:rPr>
          <w:rStyle w:val="CommentTok"/>
        </w:rPr>
        <w:t xml:space="preserve">// Jenkinsfile</w:t>
      </w:r>
      <w:r>
        <w:br/>
      </w:r>
      <w:r>
        <w:rPr>
          <w:rStyle w:val="NormalTok"/>
        </w:rPr>
        <w:t xml:space="preserve">pipeline </w:t>
      </w:r>
      <w:r>
        <w:rPr>
          <w:rStyle w:val="OperatorTok"/>
        </w:rPr>
        <w:t xml:space="preserve">{</w:t>
      </w:r>
      <w:r>
        <w:br/>
      </w:r>
      <w:r>
        <w:rPr>
          <w:rStyle w:val="NormalTok"/>
        </w:rPr>
        <w:t xml:space="preserve">    agent any</w:t>
      </w:r>
      <w:r>
        <w:br/>
      </w:r>
      <w:r>
        <w:rPr>
          <w:rStyle w:val="NormalTok"/>
        </w:rPr>
        <w:t xml:space="preserve">    stages </w:t>
      </w:r>
      <w:r>
        <w:rPr>
          <w:rStyle w:val="OperatorTok"/>
        </w:rPr>
        <w:t xml:space="preserve">{</w:t>
      </w:r>
      <w:r>
        <w:br/>
      </w:r>
      <w:r>
        <w:rPr>
          <w:rStyle w:val="NormalTok"/>
        </w:rPr>
        <w:t xml:space="preserve">        </w:t>
      </w:r>
      <w:r>
        <w:rPr>
          <w:rStyle w:val="FunctionTok"/>
        </w:rPr>
        <w:t xml:space="preserve">stage</w:t>
      </w:r>
      <w:r>
        <w:rPr>
          <w:rStyle w:val="OperatorTok"/>
        </w:rPr>
        <w:t xml:space="preserve">(</w:t>
      </w:r>
      <w:r>
        <w:rPr>
          <w:rStyle w:val="StringTok"/>
        </w:rPr>
        <w:t xml:space="preserve">'Recuperer le code'</w:t>
      </w:r>
      <w:r>
        <w:rPr>
          <w:rStyle w:val="OperatorTok"/>
        </w:rPr>
        <w:t xml:space="preserve">)</w:t>
      </w:r>
      <w:r>
        <w:rPr>
          <w:rStyle w:val="NormalTok"/>
        </w:rPr>
        <w:t xml:space="preserve"> </w:t>
      </w:r>
      <w:r>
        <w:rPr>
          <w:rStyle w:val="OperatorTok"/>
        </w:rPr>
        <w:t xml:space="preserve">{</w:t>
      </w:r>
      <w:r>
        <w:br/>
      </w:r>
      <w:r>
        <w:rPr>
          <w:rStyle w:val="NormalTok"/>
        </w:rPr>
        <w:t xml:space="preserve">            steps </w:t>
      </w:r>
      <w:r>
        <w:rPr>
          <w:rStyle w:val="OperatorTok"/>
        </w:rPr>
        <w:t xml:space="preserve">{</w:t>
      </w:r>
      <w:r>
        <w:br/>
      </w:r>
      <w:r>
        <w:rPr>
          <w:rStyle w:val="NormalTok"/>
        </w:rPr>
        <w:t xml:space="preserve">                checkout scm</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stage</w:t>
      </w:r>
      <w:r>
        <w:rPr>
          <w:rStyle w:val="OperatorTok"/>
        </w:rPr>
        <w:t xml:space="preserve">(</w:t>
      </w:r>
      <w:r>
        <w:rPr>
          <w:rStyle w:val="StringTok"/>
        </w:rPr>
        <w:t xml:space="preserve">'Terraform Plan'</w:t>
      </w:r>
      <w:r>
        <w:rPr>
          <w:rStyle w:val="OperatorTok"/>
        </w:rPr>
        <w:t xml:space="preserve">)</w:t>
      </w:r>
      <w:r>
        <w:rPr>
          <w:rStyle w:val="NormalTok"/>
        </w:rPr>
        <w:t xml:space="preserve"> </w:t>
      </w:r>
      <w:r>
        <w:rPr>
          <w:rStyle w:val="OperatorTok"/>
        </w:rPr>
        <w:t xml:space="preserve">{</w:t>
      </w:r>
      <w:r>
        <w:br/>
      </w:r>
      <w:r>
        <w:rPr>
          <w:rStyle w:val="NormalTok"/>
        </w:rPr>
        <w:t xml:space="preserve">            steps </w:t>
      </w:r>
      <w:r>
        <w:rPr>
          <w:rStyle w:val="OperatorTok"/>
        </w:rPr>
        <w:t xml:space="preserve">{</w:t>
      </w:r>
      <w:r>
        <w:br/>
      </w:r>
      <w:r>
        <w:rPr>
          <w:rStyle w:val="NormalTok"/>
        </w:rPr>
        <w:t xml:space="preserve">                sh </w:t>
      </w:r>
      <w:r>
        <w:rPr>
          <w:rStyle w:val="StringTok"/>
        </w:rPr>
        <w:t xml:space="preserve">'terraform init'</w:t>
      </w:r>
      <w:r>
        <w:br/>
      </w:r>
      <w:r>
        <w:rPr>
          <w:rStyle w:val="NormalTok"/>
        </w:rPr>
        <w:t xml:space="preserve">                sh </w:t>
      </w:r>
      <w:r>
        <w:rPr>
          <w:rStyle w:val="StringTok"/>
        </w:rPr>
        <w:t xml:space="preserve">'terraform plan -out=tfplan'</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stage</w:t>
      </w:r>
      <w:r>
        <w:rPr>
          <w:rStyle w:val="OperatorTok"/>
        </w:rPr>
        <w:t xml:space="preserve">(</w:t>
      </w:r>
      <w:r>
        <w:rPr>
          <w:rStyle w:val="StringTok"/>
        </w:rPr>
        <w:t xml:space="preserve">'Approbation'</w:t>
      </w:r>
      <w:r>
        <w:rPr>
          <w:rStyle w:val="OperatorTok"/>
        </w:rPr>
        <w:t xml:space="preserve">)</w:t>
      </w:r>
      <w:r>
        <w:rPr>
          <w:rStyle w:val="NormalTok"/>
        </w:rPr>
        <w:t xml:space="preserve"> </w:t>
      </w:r>
      <w:r>
        <w:rPr>
          <w:rStyle w:val="OperatorTok"/>
        </w:rPr>
        <w:t xml:space="preserve">{</w:t>
      </w:r>
      <w:r>
        <w:br/>
      </w:r>
      <w:r>
        <w:rPr>
          <w:rStyle w:val="NormalTok"/>
        </w:rPr>
        <w:t xml:space="preserve">            steps </w:t>
      </w:r>
      <w:r>
        <w:rPr>
          <w:rStyle w:val="OperatorTok"/>
        </w:rPr>
        <w:t xml:space="preserve">{</w:t>
      </w:r>
      <w:r>
        <w:br/>
      </w:r>
      <w:r>
        <w:rPr>
          <w:rStyle w:val="NormalTok"/>
        </w:rPr>
        <w:t xml:space="preserve">                input message</w:t>
      </w:r>
      <w:r>
        <w:rPr>
          <w:rStyle w:val="OperatorTok"/>
        </w:rPr>
        <w:t xml:space="preserve">:</w:t>
      </w:r>
      <w:r>
        <w:rPr>
          <w:rStyle w:val="NormalTok"/>
        </w:rPr>
        <w:t xml:space="preserve"> </w:t>
      </w:r>
      <w:r>
        <w:rPr>
          <w:rStyle w:val="StringTok"/>
        </w:rPr>
        <w:t xml:space="preserve">'Appliquer ce plan en production ?'</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stage</w:t>
      </w:r>
      <w:r>
        <w:rPr>
          <w:rStyle w:val="OperatorTok"/>
        </w:rPr>
        <w:t xml:space="preserve">(</w:t>
      </w:r>
      <w:r>
        <w:rPr>
          <w:rStyle w:val="StringTok"/>
        </w:rPr>
        <w:t xml:space="preserve">'Terraform Apply'</w:t>
      </w:r>
      <w:r>
        <w:rPr>
          <w:rStyle w:val="OperatorTok"/>
        </w:rPr>
        <w:t xml:space="preserve">)</w:t>
      </w:r>
      <w:r>
        <w:rPr>
          <w:rStyle w:val="NormalTok"/>
        </w:rPr>
        <w:t xml:space="preserve"> </w:t>
      </w:r>
      <w:r>
        <w:rPr>
          <w:rStyle w:val="OperatorTok"/>
        </w:rPr>
        <w:t xml:space="preserve">{</w:t>
      </w:r>
      <w:r>
        <w:br/>
      </w:r>
      <w:r>
        <w:rPr>
          <w:rStyle w:val="NormalTok"/>
        </w:rPr>
        <w:t xml:space="preserve">            steps </w:t>
      </w:r>
      <w:r>
        <w:rPr>
          <w:rStyle w:val="OperatorTok"/>
        </w:rPr>
        <w:t xml:space="preserve">{</w:t>
      </w:r>
      <w:r>
        <w:br/>
      </w:r>
      <w:r>
        <w:rPr>
          <w:rStyle w:val="NormalTok"/>
        </w:rPr>
        <w:t xml:space="preserve">                sh </w:t>
      </w:r>
      <w:r>
        <w:rPr>
          <w:rStyle w:val="StringTok"/>
        </w:rPr>
        <w:t xml:space="preserve">'terraform apply tfplan'</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 À retenir — la même famille de syntaxe déclarative, une nouvelle fois</w:t>
      </w:r>
      <w:r>
        <w:t xml:space="preserve"> </w:t>
      </w:r>
      <w:r>
        <w:t xml:space="preserve">Le Jenkinsfile décrit un ensemble d’étapes (</w:t>
      </w:r>
      <w:r>
        <w:rPr>
          <w:i/>
          <w:iCs/>
        </w:rPr>
        <w:t xml:space="preserve">stages</w:t>
      </w:r>
      <w:r>
        <w:t xml:space="preserve">) de façon déclarative — exactement la même philosophie déjà rencontrée en YAML (Docker Compose, Kubernetes, Ansible) et en HCL (Terraform), désormais appliquée à l’orchestration de l’exécution elle-même. Cette convergence de style à travers tout l’écosystème d’infrastructure n’est pas un hasard : elle facilite la transposition de compétences déjà acquises d’un outil à l’autre.</w:t>
      </w:r>
    </w:p>
    <w:bookmarkEnd w:id="1369"/>
    <w:bookmarkStart w:id="1370" w:name="déclencher-le-pipeline-sur-un-commit-git"/>
    <w:p>
      <w:pPr>
        <w:pStyle w:val="Heading2"/>
      </w:pPr>
      <w:r>
        <w:t xml:space="preserve">56.4 Déclencher le pipeline sur un commit Git</w:t>
      </w:r>
    </w:p>
    <w:p>
      <w:pPr>
        <w:pStyle w:val="FirstParagraph"/>
      </w:pPr>
      <w:r>
        <w:t xml:space="preserve">✅ Le push devient le déclencheur, rappel direct du chapitre 51</w:t>
      </w:r>
      <w:r>
        <w:t xml:space="preserve"> </w:t>
      </w:r>
      <w:r>
        <w:t xml:space="preserve">Jenkins peut se connecter au dépôt Git (chapitre 51) et déclencher automatiquement un pipeline à chaque push — transformant</w:t>
      </w:r>
      <w:r>
        <w:t xml:space="preserve"> </w:t>
      </w:r>
      <w:r>
        <w:rPr>
          <w:rStyle w:val="VerbatimChar"/>
        </w:rPr>
        <w:t xml:space="preserve">git push</w:t>
      </w:r>
      <w:r>
        <w:t xml:space="preserve"> </w:t>
      </w:r>
      <w:r>
        <w:t xml:space="preserve">en point de départ d’une chaîne automatisée et cohérente, plutôt qu’une simple sauvegarde suivie d’une exécution manuelle séparée sur le poste d’un administrateur. Cette automatisation garantit qu’un changement de configuration ne peut jamais être appliqué sans avoir d’abord transité par Git — rendant structurellement impossible le scénario d’ouverture du chapitre 43 (modifier un objet en direct sans passer par le fichier source).</w:t>
      </w:r>
    </w:p>
    <w:bookmarkEnd w:id="1370"/>
    <w:bookmarkStart w:id="1371" w:name="X77784be156cc599a180732dfc4612ebbbba126d"/>
    <w:p>
      <w:pPr>
        <w:pStyle w:val="Heading2"/>
      </w:pPr>
      <w:r>
        <w:t xml:space="preserve">56.5 L’étape d’approbation : rappel direct du principe de revue</w:t>
      </w:r>
    </w:p>
    <w:p>
      <w:pPr>
        <w:pStyle w:val="FirstParagraph"/>
      </w:pPr>
      <w:r>
        <w:t xml:space="preserve">🔒 Sécurité — jamais d’application automatique en production sans validation humaine</w:t>
      </w:r>
      <w:r>
        <w:t xml:space="preserve"> </w:t>
      </w:r>
      <w:r>
        <w:t xml:space="preserve">L’étape</w:t>
      </w:r>
      <w:r>
        <w:t xml:space="preserve"> </w:t>
      </w:r>
      <w:r>
        <w:rPr>
          <w:rStyle w:val="VerbatimChar"/>
        </w:rPr>
        <w:t xml:space="preserve">input</w:t>
      </w:r>
      <w:r>
        <w:t xml:space="preserve"> </w:t>
      </w:r>
      <w:r>
        <w:t xml:space="preserve">du Jenkinsfile de la section 56.3 met le pipeline en pause, affichant le plan Terraform généré et attendant une validation humaine explicite avant de poursuivre vers</w:t>
      </w:r>
      <w:r>
        <w:t xml:space="preserve"> </w:t>
      </w:r>
      <w:r>
        <w:rPr>
          <w:rStyle w:val="VerbatimChar"/>
        </w:rPr>
        <w:t xml:space="preserve">terraform apply</w:t>
      </w:r>
      <w:r>
        <w:t xml:space="preserve"> </w:t>
      </w:r>
      <w:r>
        <w:t xml:space="preserve">— exactement le même principe déjà établi pour la revue avant fusion Git (chapitre 51) et le CAB léger du chapitre 2 : un changement de production ne devrait jamais s’appliquer automatiquement sans qu’une personne n’ait explicitement confirmé avoir revu ce qui va réellement changer.</w:t>
      </w:r>
    </w:p>
    <w:bookmarkEnd w:id="1371"/>
    <w:bookmarkStart w:id="1372" w:name="Xb805de121446e52a658fb2b79f7833e34b2a998"/>
    <w:p>
      <w:pPr>
        <w:pStyle w:val="Heading2"/>
      </w:pPr>
      <w:r>
        <w:t xml:space="preserve">56.6 Agents Jenkins : garantir un environnement d’exécution reproductible</w:t>
      </w:r>
    </w:p>
    <w:p>
      <w:pPr>
        <w:pStyle w:val="FirstParagraph"/>
      </w:pPr>
      <w:r>
        <w:t xml:space="preserve">💡 Rappel indirect du chapitre 39</w:t>
      </w:r>
      <w:r>
        <w:t xml:space="preserve"> </w:t>
      </w:r>
      <w:r>
        <w:t xml:space="preserve">Un</w:t>
      </w:r>
      <w:r>
        <w:t xml:space="preserve"> </w:t>
      </w:r>
      <w:r>
        <w:rPr>
          <w:b/>
          <w:bCs/>
        </w:rPr>
        <w:t xml:space="preserve">agent</w:t>
      </w:r>
      <w:r>
        <w:t xml:space="preserve"> </w:t>
      </w:r>
      <w:r>
        <w:t xml:space="preserve">Jenkins exécute réellement les étapes du pipeline — souvent, en pratique moderne, un conteneur Docker avec une version précise et figée de Terraform et Ansible, exactement le même principe déjà établi au chapitre 39 pour garantir une reproductibilité totale : le pipeline s’exécute toujours dans le même environnement, peu importe l’agent physique qui l’héberge, résolvant directement le problème de versions divergentes du scénario d’ouverture.</w:t>
      </w:r>
    </w:p>
    <w:p>
      <w:pPr>
        <w:pStyle w:val="SourceCode"/>
      </w:pPr>
      <w:r>
        <w:rPr>
          <w:rStyle w:val="NormalTok"/>
        </w:rPr>
        <w:t xml:space="preserve">pipeline </w:t>
      </w:r>
      <w:r>
        <w:rPr>
          <w:rStyle w:val="OperatorTok"/>
        </w:rPr>
        <w:t xml:space="preserve">{</w:t>
      </w:r>
      <w:r>
        <w:br/>
      </w:r>
      <w:r>
        <w:rPr>
          <w:rStyle w:val="NormalTok"/>
        </w:rPr>
        <w:t xml:space="preserve">    agent </w:t>
      </w:r>
      <w:r>
        <w:rPr>
          <w:rStyle w:val="OperatorTok"/>
        </w:rPr>
        <w:t xml:space="preserve">{</w:t>
      </w:r>
      <w:r>
        <w:br/>
      </w:r>
      <w:r>
        <w:rPr>
          <w:rStyle w:val="NormalTok"/>
        </w:rPr>
        <w:t xml:space="preserve">        docker </w:t>
      </w:r>
      <w:r>
        <w:rPr>
          <w:rStyle w:val="OperatorTok"/>
        </w:rPr>
        <w:t xml:space="preserve">{</w:t>
      </w:r>
      <w:r>
        <w:rPr>
          <w:rStyle w:val="NormalTok"/>
        </w:rPr>
        <w:t xml:space="preserve"> image </w:t>
      </w:r>
      <w:r>
        <w:rPr>
          <w:rStyle w:val="StringTok"/>
        </w:rPr>
        <w:t xml:space="preserve">'hashicorp/terraform:1.9'</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 stages identiques</w:t>
      </w:r>
      <w:r>
        <w:br/>
      </w:r>
      <w:r>
        <w:rPr>
          <w:rStyle w:val="OperatorTok"/>
        </w:rPr>
        <w:t xml:space="preserve">}</w:t>
      </w:r>
    </w:p>
    <w:bookmarkEnd w:id="1372"/>
    <w:bookmarkStart w:id="1373" w:name="Xda737fbdfe8902214d0194b0130693f1cfd219c"/>
    <w:p>
      <w:pPr>
        <w:pStyle w:val="Heading2"/>
      </w:pPr>
      <w:r>
        <w:t xml:space="preserve">56.7 Protéger les identifiants utilisés par le pipeline</w:t>
      </w:r>
    </w:p>
    <w:p>
      <w:pPr>
        <w:pStyle w:val="FirstParagraph"/>
      </w:pPr>
      <w:r>
        <w:t xml:space="preserve">🔒 Sécurité — le même principe déjà établi pour Ansible Vault et le state Terraform</w:t>
      </w:r>
      <w:r>
        <w:t xml:space="preserve"> </w:t>
      </w:r>
      <w:r>
        <w:t xml:space="preserve">Un pipeline Jenkins a souvent besoin d’identifiants sensibles (accès AWS/Azure, mot de passe du vault Ansible du chapitre 53) — Jenkins propose un système de gestion des identifiants (</w:t>
      </w:r>
      <w:r>
        <w:rPr>
          <w:i/>
          <w:iCs/>
        </w:rPr>
        <w:t xml:space="preserve">Credentials</w:t>
      </w:r>
      <w:r>
        <w:t xml:space="preserve">) qui les stocke chiffrés et les injecte dans le pipeline sans jamais les afficher en clair dans les journaux d’exécution, exactement le même principe de protection déjà établi pour les secrets Ansible et le fichier d’état Terraform.</w:t>
      </w:r>
    </w:p>
    <w:p>
      <w:pPr>
        <w:pStyle w:val="SourceCode"/>
      </w:pPr>
      <w:r>
        <w:rPr>
          <w:rStyle w:val="FunctionTok"/>
        </w:rPr>
        <w:t xml:space="preserve">stage</w:t>
      </w:r>
      <w:r>
        <w:rPr>
          <w:rStyle w:val="OperatorTok"/>
        </w:rPr>
        <w:t xml:space="preserve">(</w:t>
      </w:r>
      <w:r>
        <w:rPr>
          <w:rStyle w:val="StringTok"/>
        </w:rPr>
        <w:t xml:space="preserve">'Terraform Apply'</w:t>
      </w:r>
      <w:r>
        <w:rPr>
          <w:rStyle w:val="OperatorTok"/>
        </w:rPr>
        <w:t xml:space="preserve">)</w:t>
      </w:r>
      <w:r>
        <w:rPr>
          <w:rStyle w:val="NormalTok"/>
        </w:rPr>
        <w:t xml:space="preserve"> </w:t>
      </w:r>
      <w:r>
        <w:rPr>
          <w:rStyle w:val="OperatorTok"/>
        </w:rPr>
        <w:t xml:space="preserve">{</w:t>
      </w:r>
      <w:r>
        <w:br/>
      </w:r>
      <w:r>
        <w:rPr>
          <w:rStyle w:val="NormalTok"/>
        </w:rPr>
        <w:t xml:space="preserve">    environment </w:t>
      </w:r>
      <w:r>
        <w:rPr>
          <w:rStyle w:val="OperatorTok"/>
        </w:rPr>
        <w:t xml:space="preserve">{</w:t>
      </w:r>
      <w:r>
        <w:br/>
      </w:r>
      <w:r>
        <w:rPr>
          <w:rStyle w:val="NormalTok"/>
        </w:rPr>
        <w:t xml:space="preserve">        AWS_ACCESS_KEY_ID     </w:t>
      </w:r>
      <w:r>
        <w:rPr>
          <w:rStyle w:val="OperatorTok"/>
        </w:rPr>
        <w:t xml:space="preserve">=</w:t>
      </w:r>
      <w:r>
        <w:rPr>
          <w:rStyle w:val="NormalTok"/>
        </w:rPr>
        <w:t xml:space="preserve"> </w:t>
      </w:r>
      <w:r>
        <w:rPr>
          <w:rStyle w:val="FunctionTok"/>
        </w:rPr>
        <w:t xml:space="preserve">credentials</w:t>
      </w:r>
      <w:r>
        <w:rPr>
          <w:rStyle w:val="OperatorTok"/>
        </w:rPr>
        <w:t xml:space="preserve">(</w:t>
      </w:r>
      <w:r>
        <w:rPr>
          <w:rStyle w:val="StringTok"/>
        </w:rPr>
        <w:t xml:space="preserve">'aws-access-key'</w:t>
      </w:r>
      <w:r>
        <w:rPr>
          <w:rStyle w:val="OperatorTok"/>
        </w:rPr>
        <w:t xml:space="preserve">)</w:t>
      </w:r>
      <w:r>
        <w:br/>
      </w:r>
      <w:r>
        <w:rPr>
          <w:rStyle w:val="NormalTok"/>
        </w:rPr>
        <w:t xml:space="preserve">        AWS_SECRET_ACCESS_KEY </w:t>
      </w:r>
      <w:r>
        <w:rPr>
          <w:rStyle w:val="OperatorTok"/>
        </w:rPr>
        <w:t xml:space="preserve">=</w:t>
      </w:r>
      <w:r>
        <w:rPr>
          <w:rStyle w:val="NormalTok"/>
        </w:rPr>
        <w:t xml:space="preserve"> </w:t>
      </w:r>
      <w:r>
        <w:rPr>
          <w:rStyle w:val="FunctionTok"/>
        </w:rPr>
        <w:t xml:space="preserve">credentials</w:t>
      </w:r>
      <w:r>
        <w:rPr>
          <w:rStyle w:val="OperatorTok"/>
        </w:rPr>
        <w:t xml:space="preserve">(</w:t>
      </w:r>
      <w:r>
        <w:rPr>
          <w:rStyle w:val="StringTok"/>
        </w:rPr>
        <w:t xml:space="preserve">'aws-secret-key'</w:t>
      </w:r>
      <w:r>
        <w:rPr>
          <w:rStyle w:val="OperatorTok"/>
        </w:rPr>
        <w:t xml:space="preserve">)</w:t>
      </w:r>
      <w:r>
        <w:br/>
      </w:r>
      <w:r>
        <w:rPr>
          <w:rStyle w:val="NormalTok"/>
        </w:rPr>
        <w:t xml:space="preserve">    </w:t>
      </w:r>
      <w:r>
        <w:rPr>
          <w:rStyle w:val="OperatorTok"/>
        </w:rPr>
        <w:t xml:space="preserve">}</w:t>
      </w:r>
      <w:r>
        <w:br/>
      </w:r>
      <w:r>
        <w:rPr>
          <w:rStyle w:val="NormalTok"/>
        </w:rPr>
        <w:t xml:space="preserve">    steps </w:t>
      </w:r>
      <w:r>
        <w:rPr>
          <w:rStyle w:val="OperatorTok"/>
        </w:rPr>
        <w:t xml:space="preserve">{</w:t>
      </w:r>
      <w:r>
        <w:br/>
      </w:r>
      <w:r>
        <w:rPr>
          <w:rStyle w:val="NormalTok"/>
        </w:rPr>
        <w:t xml:space="preserve">        sh </w:t>
      </w:r>
      <w:r>
        <w:rPr>
          <w:rStyle w:val="StringTok"/>
        </w:rPr>
        <w:t xml:space="preserve">'terraform apply tfplan'</w:t>
      </w:r>
      <w:r>
        <w:br/>
      </w:r>
      <w:r>
        <w:rPr>
          <w:rStyle w:val="NormalTok"/>
        </w:rPr>
        <w:t xml:space="preserve">    </w:t>
      </w:r>
      <w:r>
        <w:rPr>
          <w:rStyle w:val="OperatorTok"/>
        </w:rPr>
        <w:t xml:space="preserve">}</w:t>
      </w:r>
      <w:r>
        <w:br/>
      </w:r>
      <w:r>
        <w:rPr>
          <w:rStyle w:val="OperatorTok"/>
        </w:rPr>
        <w:t xml:space="preserve">}</w:t>
      </w:r>
    </w:p>
    <w:bookmarkEnd w:id="1373"/>
    <w:bookmarkStart w:id="1374" w:name="Xc6a18c98a848a4bc9d3f85db99335db4ff6ccb1"/>
    <w:p>
      <w:pPr>
        <w:pStyle w:val="Heading2"/>
      </w:pPr>
      <w:r>
        <w:t xml:space="preserve">Atelier — Construire le pipeline complet du scénario d’ouverture</w:t>
      </w:r>
    </w:p>
    <w:p>
      <w:pPr>
        <w:pStyle w:val="FirstParagraph"/>
      </w:pPr>
      <w:r>
        <w:t xml:space="preserve">🛠️ Atelier 56 — Centraliser l’exécution Terraform</w:t>
      </w:r>
    </w:p>
    <w:p>
      <w:pPr>
        <w:pStyle w:val="BodyText"/>
      </w:pPr>
      <w:r>
        <w:rPr>
          <w:b/>
          <w:bCs/>
        </w:rPr>
        <w:t xml:space="preserve">Objectif</w:t>
      </w:r>
      <w:r>
        <w:t xml:space="preserve"> </w:t>
      </w:r>
      <w:r>
        <w:t xml:space="preserve">: assembler un pipeline Jenkins complet répondant au problème du scénario d’ouverture.</w:t>
      </w:r>
    </w:p>
    <w:p>
      <w:pPr>
        <w:pStyle w:val="BodyText"/>
      </w:pPr>
      <w:r>
        <w:rPr>
          <w:b/>
          <w:bCs/>
        </w:rPr>
        <w:t xml:space="preserve">Préparation</w:t>
      </w:r>
      <w:r>
        <w:t xml:space="preserve"> </w:t>
      </w:r>
      <w:r>
        <w:t xml:space="preserve">: accès à une instance Jenkins de test, ou une lecture attentive suffit pour cet atelier conceptuel.</w:t>
      </w:r>
    </w:p>
    <w:p>
      <w:pPr>
        <w:pStyle w:val="BodyText"/>
      </w:pPr>
      <w:r>
        <w:rPr>
          <w:b/>
          <w:bCs/>
        </w:rPr>
        <w:t xml:space="preserve">Étapes détaillées</w:t>
      </w:r>
      <w:r>
        <w:t xml:space="preserve"> </w:t>
      </w:r>
      <w:r>
        <w:t xml:space="preserve">:</w:t>
      </w:r>
    </w:p>
    <w:p>
      <w:pPr>
        <w:pStyle w:val="Compact"/>
        <w:numPr>
          <w:ilvl w:val="0"/>
          <w:numId w:val="2286"/>
        </w:numPr>
      </w:pPr>
      <w:r>
        <w:t xml:space="preserve">Rédige un Jenkinsfile combinant un agent Docker figé (section 56.6), les étapes de checkout, plan, approbation et apply (section 56.3), et l’injection sécurisée des identifiants AWS (section 56.7).</w:t>
      </w:r>
    </w:p>
    <w:p>
      <w:pPr>
        <w:pStyle w:val="Compact"/>
        <w:numPr>
          <w:ilvl w:val="0"/>
          <w:numId w:val="2286"/>
        </w:numPr>
      </w:pPr>
      <w:r>
        <w:t xml:space="preserve">Explique comment ce pipeline élimine spécifiquement le problème de versions divergentes observé dans le scénario d’ouverture.</w:t>
      </w:r>
    </w:p>
    <w:p>
      <w:pPr>
        <w:pStyle w:val="Compact"/>
        <w:numPr>
          <w:ilvl w:val="0"/>
          <w:numId w:val="2286"/>
        </w:numPr>
      </w:pPr>
      <w:r>
        <w:t xml:space="preserve">Propose une règle d’équipe interdisant désormais l’exécution manuelle de</w:t>
      </w:r>
      <w:r>
        <w:t xml:space="preserve"> </w:t>
      </w:r>
      <w:r>
        <w:rPr>
          <w:rStyle w:val="VerbatimChar"/>
        </w:rPr>
        <w:t xml:space="preserve">terraform apply</w:t>
      </w:r>
      <w:r>
        <w:t xml:space="preserve"> </w:t>
      </w:r>
      <w:r>
        <w:t xml:space="preserve">en dehors de ce pipeline.</w:t>
      </w:r>
    </w:p>
    <w:p>
      <w:pPr>
        <w:pStyle w:val="Compact"/>
        <w:numPr>
          <w:ilvl w:val="0"/>
          <w:numId w:val="2286"/>
        </w:numPr>
      </w:pPr>
      <w:r>
        <w:t xml:space="preserve">Compare ta démarche à la section</w:t>
      </w:r>
      <w:r>
        <w:t xml:space="preserve"> </w:t>
      </w:r>
      <w:r>
        <w:t xml:space="preserve">“Résultat attendu”</w:t>
      </w:r>
      <w:r>
        <w:t xml:space="preserve">.</w:t>
      </w:r>
    </w:p>
    <w:p>
      <w:pPr>
        <w:pStyle w:val="FirstParagraph"/>
      </w:pPr>
      <w:r>
        <w:rPr>
          <w:b/>
          <w:bCs/>
        </w:rPr>
        <w:t xml:space="preserve">Résultat attendu</w:t>
      </w:r>
      <w:r>
        <w:t xml:space="preserve"> </w:t>
      </w:r>
      <w:r>
        <w:t xml:space="preserve">: le pipeline complet combine tous les éléments des sections précédentes de ce chapitre. L’agent Docker figé (section 56.6) garantit que chaque exécution utilise exactement la même version de Terraform, quel que soit l’administrateur qui déclenche le pipeline via un push Git — éliminant structurellement la divergence de versions du scénario d’ouverture. La règle d’équipe pourrait être formulée :</w:t>
      </w:r>
      <w:r>
        <w:t xml:space="preserve"> </w:t>
      </w:r>
      <w:r>
        <w:t xml:space="preserve">“Toute application de changement d’infrastructure passe désormais exclusivement par le pipeline Jenkins ; un</w:t>
      </w:r>
      <w:r>
        <w:t xml:space="preserve"> </w:t>
      </w:r>
      <w:r>
        <w:rPr>
          <w:rStyle w:val="VerbatimChar"/>
        </w:rPr>
        <w:t xml:space="preserve">terraform apply</w:t>
      </w:r>
      <w:r>
        <w:t xml:space="preserve"> </w:t>
      </w:r>
      <w:r>
        <w:t xml:space="preserve">exécuté manuellement en dehors de ce pipeline est considéré comme un incident à signaler”</w:t>
      </w:r>
      <w:r>
        <w:t xml:space="preserve">, exactement le même esprit de discipline déjà établi pour</w:t>
      </w:r>
      <w:r>
        <w:t xml:space="preserve"> </w:t>
      </w:r>
      <w:r>
        <w:t xml:space="preserve">“modifier le manifeste, jamais l’objet en direct”</w:t>
      </w:r>
      <w:r>
        <w:t xml:space="preserve"> </w:t>
      </w:r>
      <w:r>
        <w:t xml:space="preserve">au chapitre 43.</w:t>
      </w:r>
    </w:p>
    <w:p>
      <w:pPr>
        <w:pStyle w:val="BodyText"/>
      </w:pPr>
      <w:r>
        <w:rPr>
          <w:b/>
          <w:bCs/>
        </w:rPr>
        <w:t xml:space="preserve">Dépannage</w:t>
      </w:r>
      <w:r>
        <w:t xml:space="preserve"> </w:t>
      </w:r>
      <w:r>
        <w:t xml:space="preserve">: si le pipeline échoue à l’étape d’authentification AWS malgré des identifiants correctement configurés dans Jenkins, vérifie que le nom exact référencé dans</w:t>
      </w:r>
      <w:r>
        <w:t xml:space="preserve"> </w:t>
      </w:r>
      <w:r>
        <w:rPr>
          <w:rStyle w:val="VerbatimChar"/>
        </w:rPr>
        <w:t xml:space="preserve">credentials('aws-access-key')</w:t>
      </w:r>
      <w:r>
        <w:t xml:space="preserve"> </w:t>
      </w:r>
      <w:r>
        <w:t xml:space="preserve">correspond précisément à l’identifiant configuré dans Jenkins — une simple faute de frappe dans ce nom est la cause la plus fréquente de ce type d’échec.</w:t>
      </w:r>
    </w:p>
    <w:bookmarkEnd w:id="1374"/>
    <w:bookmarkStart w:id="1375" w:name="erreurs-fréquentes-55"/>
    <w:p>
      <w:pPr>
        <w:pStyle w:val="Heading2"/>
      </w:pPr>
      <w:r>
        <w:t xml:space="preserve">Erreurs fréquentes</w:t>
      </w:r>
    </w:p>
    <w:p>
      <w:pPr>
        <w:pStyle w:val="FirstParagraph"/>
      </w:pPr>
      <w:r>
        <w:t xml:space="preserve">⚠️ Erreur n°1 — aucune étape d’approbation avant l’application en production</w:t>
      </w:r>
      <w:r>
        <w:t xml:space="preserve"> </w:t>
      </w:r>
      <w:r>
        <w:t xml:space="preserve">Rappel de la section 56.5 : un pipeline entièrement automatique, sans validation humaine avant</w:t>
      </w:r>
      <w:r>
        <w:t xml:space="preserve"> </w:t>
      </w:r>
      <w:r>
        <w:rPr>
          <w:rStyle w:val="VerbatimChar"/>
        </w:rPr>
        <w:t xml:space="preserve">apply</w:t>
      </w:r>
      <w:r>
        <w:t xml:space="preserve">, reproduit le même risque déjà dénoncé pour tout changement appliqué sans revue au chapitre 2.</w:t>
      </w:r>
    </w:p>
    <w:p>
      <w:pPr>
        <w:pStyle w:val="BodyText"/>
      </w:pPr>
      <w:r>
        <w:t xml:space="preserve">⚠️ Erreur n°2 — des secrets en clair directement dans le Jenkinsfile</w:t>
      </w:r>
      <w:r>
        <w:t xml:space="preserve"> </w:t>
      </w:r>
      <w:r>
        <w:t xml:space="preserve">Rappel de la section 56.7 : exactement le même piège déjà dénoncé pour les playbooks Ansible au chapitre 52 — utiliser systématiquement le système de Credentials plutôt que d’écrire un identifiant en clair dans le code du pipeline.</w:t>
      </w:r>
    </w:p>
    <w:p>
      <w:pPr>
        <w:pStyle w:val="BodyText"/>
      </w:pPr>
      <w:r>
        <w:t xml:space="preserve">⚠️ Erreur n°3 — des agents non reproductibles entre eux</w:t>
      </w:r>
      <w:r>
        <w:t xml:space="preserve"> </w:t>
      </w:r>
      <w:r>
        <w:t xml:space="preserve">Rappel de la section 56.6 : un pipeline qui réussit sur un agent mais échoue différemment sur un autre reproduit exactement le problème</w:t>
      </w:r>
      <w:r>
        <w:t xml:space="preserve"> </w:t>
      </w:r>
      <w:r>
        <w:t xml:space="preserve">“ça marche sur ma machine”</w:t>
      </w:r>
      <w:r>
        <w:t xml:space="preserve"> </w:t>
      </w:r>
      <w:r>
        <w:t xml:space="preserve">que ce chapitre cherche précisément à éliminer.</w:t>
      </w:r>
    </w:p>
    <w:bookmarkEnd w:id="1375"/>
    <w:bookmarkStart w:id="1376" w:name="X0019aa9fbdacbeacbb7979fe7b9d1a58d6b1b97"/>
    <w:p>
      <w:pPr>
        <w:pStyle w:val="Heading2"/>
      </w:pPr>
      <w:r>
        <w:t xml:space="preserve">Diagnostiquer un pipeline qui échoue différemment selon l’agent</w:t>
      </w:r>
    </w:p>
    <w:p>
      <w:pPr>
        <w:pStyle w:val="FirstParagraph"/>
      </w:pPr>
      <w:r>
        <w:t xml:space="preserve">🩺 Symptôme : le même pipeline réussit sur certaines exécutions et échoue sur d’autres, sans changement de code apparent</w:t>
      </w:r>
    </w:p>
    <w:p>
      <w:pPr>
        <w:pStyle w:val="Compact"/>
        <w:numPr>
          <w:ilvl w:val="0"/>
          <w:numId w:val="2287"/>
        </w:numPr>
      </w:pPr>
      <w:r>
        <w:rPr>
          <w:b/>
          <w:bCs/>
        </w:rPr>
        <w:t xml:space="preserve">Diagnostic</w:t>
      </w:r>
      <w:r>
        <w:t xml:space="preserve"> </w:t>
      </w:r>
      <w:r>
        <w:t xml:space="preserve">: vérifier si le pipeline utilise un agent Docker figé (section 56.6) ou un agent générique dépendant de l’outillage préinstallé sur chaque machine hôte — une cause fréquente de comportement incohérent entre exécutions.</w:t>
      </w:r>
    </w:p>
    <w:p>
      <w:pPr>
        <w:pStyle w:val="Compact"/>
        <w:numPr>
          <w:ilvl w:val="0"/>
          <w:numId w:val="2287"/>
        </w:numPr>
      </w:pPr>
      <w:r>
        <w:rPr>
          <w:b/>
          <w:bCs/>
        </w:rPr>
        <w:t xml:space="preserve">Comment vérifier</w:t>
      </w:r>
      <w:r>
        <w:t xml:space="preserve"> </w:t>
      </w:r>
      <w:r>
        <w:t xml:space="preserve">: comparer les versions exactes des outils (Terraform, Ansible) rapportées dans les journaux de deux exécutions, l’une réussie et l’une échouée.</w:t>
      </w:r>
    </w:p>
    <w:p>
      <w:pPr>
        <w:pStyle w:val="Compact"/>
        <w:numPr>
          <w:ilvl w:val="0"/>
          <w:numId w:val="2287"/>
        </w:numPr>
      </w:pPr>
      <w:r>
        <w:rPr>
          <w:b/>
          <w:bCs/>
        </w:rPr>
        <w:t xml:space="preserve">Résolution</w:t>
      </w:r>
      <w:r>
        <w:t xml:space="preserve"> </w:t>
      </w:r>
      <w:r>
        <w:t xml:space="preserve">: figer explicitement l’image Docker de l’agent avec une version précise, exactement le même réflexe déjà établi pour éviter le tag</w:t>
      </w:r>
      <w:r>
        <w:t xml:space="preserve"> </w:t>
      </w:r>
      <w:r>
        <w:rPr>
          <w:rStyle w:val="VerbatimChar"/>
        </w:rPr>
        <w:t xml:space="preserve">latest</w:t>
      </w:r>
      <w:r>
        <w:t xml:space="preserve"> </w:t>
      </w:r>
      <w:r>
        <w:t xml:space="preserve">d’une image Docker au chapitre 39, garantissant une exécution strictement identique à chaque déclenchement du pipeline.</w:t>
      </w:r>
    </w:p>
    <w:bookmarkEnd w:id="1376"/>
    <w:bookmarkStart w:id="1377" w:name="en-entreprise-55"/>
    <w:p>
      <w:pPr>
        <w:pStyle w:val="Heading2"/>
      </w:pPr>
      <w:r>
        <w:t xml:space="preserve">En entreprise</w:t>
      </w:r>
    </w:p>
    <w:p>
      <w:pPr>
        <w:pStyle w:val="Compact"/>
        <w:numPr>
          <w:ilvl w:val="0"/>
          <w:numId w:val="2288"/>
        </w:numPr>
      </w:pPr>
      <w:r>
        <w:rPr>
          <w:b/>
          <w:bCs/>
        </w:rPr>
        <w:t xml:space="preserve">Bonne pratique répandue</w:t>
      </w:r>
      <w:r>
        <w:t xml:space="preserve"> </w:t>
      </w:r>
      <w:r>
        <w:t xml:space="preserve">: interdire l’exécution manuelle de</w:t>
      </w:r>
      <w:r>
        <w:t xml:space="preserve"> </w:t>
      </w:r>
      <w:r>
        <w:rPr>
          <w:rStyle w:val="VerbatimChar"/>
        </w:rPr>
        <w:t xml:space="preserve">terraform apply</w:t>
      </w:r>
      <w:r>
        <w:t xml:space="preserve"> </w:t>
      </w:r>
      <w:r>
        <w:t xml:space="preserve">ou de playbooks Ansible en dehors du pipeline centralisé, avec une trace d’audit complète de chaque exécution (qui a déclenché, qui a approuvé, quel résultat) conservée par Jenkins.</w:t>
      </w:r>
    </w:p>
    <w:p>
      <w:pPr>
        <w:pStyle w:val="Compact"/>
        <w:numPr>
          <w:ilvl w:val="0"/>
          <w:numId w:val="2288"/>
        </w:numPr>
      </w:pPr>
      <w:r>
        <w:rPr>
          <w:b/>
          <w:bCs/>
        </w:rPr>
        <w:t xml:space="preserve">Bonne pratique répandue</w:t>
      </w:r>
      <w:r>
        <w:t xml:space="preserve"> </w:t>
      </w:r>
      <w:r>
        <w:t xml:space="preserve">: figer précisément la version de chaque outil dans l’image Docker de l’agent, mise à jour consciemment et testée avant tout changement de version en production.</w:t>
      </w:r>
    </w:p>
    <w:p>
      <w:pPr>
        <w:pStyle w:val="Compact"/>
        <w:numPr>
          <w:ilvl w:val="0"/>
          <w:numId w:val="2288"/>
        </w:numPr>
      </w:pPr>
      <w:r>
        <w:rPr>
          <w:b/>
          <w:bCs/>
        </w:rPr>
        <w:t xml:space="preserve">Erreur classique observée</w:t>
      </w:r>
      <w:r>
        <w:t xml:space="preserve"> </w:t>
      </w:r>
      <w:r>
        <w:t xml:space="preserve">: une organisation qui découvre, après un incident, qu’un changement de production avait été appliqué directement depuis le poste d’un administrateur sans passer par le pipeline, sans aucune trace d’approbation ni de revue — exactement le type de contournement que ce chapitre cherche à rendre structurellement impossible.</w:t>
      </w:r>
    </w:p>
    <w:bookmarkEnd w:id="1377"/>
    <w:bookmarkStart w:id="1378" w:name="entretien-technique-55"/>
    <w:p>
      <w:pPr>
        <w:pStyle w:val="Heading2"/>
      </w:pPr>
      <w:r>
        <w:t xml:space="preserve">Entretien technique</w:t>
      </w:r>
    </w:p>
    <w:p>
      <w:pPr>
        <w:pStyle w:val="FirstParagraph"/>
      </w:pPr>
      <w:r>
        <w:t xml:space="preserve">💼 Questions fréquemment posées en entretien</w:t>
      </w:r>
    </w:p>
    <w:p>
      <w:pPr>
        <w:pStyle w:val="BodyText"/>
      </w:pPr>
      <w:r>
        <w:rPr>
          <w:b/>
          <w:bCs/>
        </w:rPr>
        <w:t xml:space="preserve">Q1.</w:t>
      </w:r>
      <w:r>
        <w:rPr>
          <w:b/>
          <w:bCs/>
        </w:rPr>
        <w:t xml:space="preserve"> </w:t>
      </w:r>
      <w:r>
        <w:rPr>
          <w:b/>
          <w:bCs/>
        </w:rPr>
        <w:t xml:space="preserve">“Pourquoi centraliser l’exécution de Terraform et Ansible via un outil comme Jenkins, plutôt que de les exécuter depuis le poste de chaque administrateur ?”</w:t>
      </w:r>
      <w:r>
        <w:t xml:space="preserve"> </w:t>
      </w:r>
      <w:r>
        <w:t xml:space="preserve">Réponse attendue : cela garantit un environnement d’exécution cohérent et reproductible (même version d’outils, mêmes accès), une trace d’audit complète de qui a exécuté quoi et quand, et permet d’insérer une étape d’approbation obligatoire avant tout changement critique — éliminant le risque de divergence entre postes individuels.</w:t>
      </w:r>
    </w:p>
    <w:p>
      <w:pPr>
        <w:pStyle w:val="BodyText"/>
      </w:pPr>
      <w:r>
        <w:rPr>
          <w:b/>
          <w:bCs/>
        </w:rPr>
        <w:t xml:space="preserve">Q2.</w:t>
      </w:r>
      <w:r>
        <w:rPr>
          <w:b/>
          <w:bCs/>
        </w:rPr>
        <w:t xml:space="preserve"> </w:t>
      </w:r>
      <w:r>
        <w:rPr>
          <w:b/>
          <w:bCs/>
        </w:rPr>
        <w:t xml:space="preserve">“Pourquoi une étape d’approbation manuelle est-elle importante dans un pipeline d’infrastructure, même automatisé ?”</w:t>
      </w:r>
      <w:r>
        <w:t xml:space="preserve"> </w:t>
      </w:r>
      <w:r>
        <w:t xml:space="preserve">Réponse attendue : elle garantit qu’un humain a explicitement revu le plan de changement avant son application réelle, exactement le même principe déjà établi pour la revue Git avant fusion (chapitre 51) et le processus de changement du chapitre 2 — l’automatisation ne doit jamais supprimer ce point de contrôle humain pour les changements les plus critiques.</w:t>
      </w:r>
    </w:p>
    <w:p>
      <w:pPr>
        <w:pStyle w:val="BodyText"/>
      </w:pPr>
      <w:r>
        <w:rPr>
          <w:b/>
          <w:bCs/>
        </w:rPr>
        <w:t xml:space="preserve">Q3.</w:t>
      </w:r>
      <w:r>
        <w:rPr>
          <w:b/>
          <w:bCs/>
        </w:rPr>
        <w:t xml:space="preserve"> </w:t>
      </w:r>
      <w:r>
        <w:rPr>
          <w:b/>
          <w:bCs/>
        </w:rPr>
        <w:t xml:space="preserve">“Comment un pipeline Jenkins protège-t-il les identifiants sensibles qu’il utilise ?”</w:t>
      </w:r>
      <w:r>
        <w:t xml:space="preserve"> </w:t>
      </w:r>
      <w:r>
        <w:t xml:space="preserve">Réponse attendue : via un système de Credentials dédié, qui stocke les identifiants chiffrés et les injecte dans l’exécution sans jamais les exposer en clair dans le code du pipeline ni dans les journaux d’exécution, le même principe de protection déjà établi pour Ansible Vault et le fichier d’état Terraform.</w:t>
      </w:r>
    </w:p>
    <w:bookmarkEnd w:id="1378"/>
    <w:bookmarkStart w:id="1379" w:name="X61b9ab850be777b054031c92c66848981d9fbe2"/>
    <w:p>
      <w:pPr>
        <w:pStyle w:val="Heading2"/>
      </w:pPr>
      <w:r>
        <w:t xml:space="preserve">Optimisation, sécurité et maintenabilité — les réflexes dès ce chapitre</w:t>
      </w:r>
    </w:p>
    <w:p>
      <w:pPr>
        <w:pStyle w:val="FirstParagraph"/>
      </w:pPr>
      <w:r>
        <w:t xml:space="preserve">🔒 Sécurité</w:t>
      </w:r>
      <w:r>
        <w:t xml:space="preserve"> </w:t>
      </w:r>
      <w:r>
        <w:t xml:space="preserve">N’inclus jamais un identifiant en clair dans un Jenkinsfile — utilise systématiquement le système de Credentials, et insère toujours une étape d’approbation avant toute application de changement en production.</w:t>
      </w:r>
    </w:p>
    <w:p>
      <w:pPr>
        <w:pStyle w:val="BodyText"/>
      </w:pPr>
      <w:r>
        <w:t xml:space="preserve">✅ Maintenabilité</w:t>
      </w:r>
      <w:r>
        <w:t xml:space="preserve"> </w:t>
      </w:r>
      <w:r>
        <w:t xml:space="preserve">Verse le Jenkinsfile lui-même dans le même dépôt Git que la configuration qu’il orchestre (Terraform, Ansible) — une pratique appelée</w:t>
      </w:r>
      <w:r>
        <w:t xml:space="preserve"> </w:t>
      </w:r>
      <w:r>
        <w:t xml:space="preserve">“Pipeline as Code”</w:t>
      </w:r>
      <w:r>
        <w:t xml:space="preserve">, qui applique le même principe de versionnement déjà établi depuis le chapitre 51 à l’orchestration elle-même, pas seulement à la configuration qu’elle exécute.</w:t>
      </w:r>
    </w:p>
    <w:p>
      <w:pPr>
        <w:pStyle w:val="BodyText"/>
      </w:pPr>
      <w:r>
        <w:t xml:space="preserve">🚀 Performance</w:t>
      </w:r>
      <w:r>
        <w:t xml:space="preserve"> </w:t>
      </w:r>
      <w:r>
        <w:t xml:space="preserve">Fige précisément la version de chaque outil dans l’image Docker de l’agent, mise à jour consciemment plutôt qu’automatiquement — un changement de version non maîtrisé peut introduire un comportement différent d’un plan Terraform ou d’un playbook Ansible sans qu’aucun changement de configuration n’ait été fait, un piège difficile à diagnostiquer.</w:t>
      </w:r>
    </w:p>
    <w:bookmarkEnd w:id="1379"/>
    <w:bookmarkStart w:id="1380" w:name="résumé-du-chapitre-55"/>
    <w:p>
      <w:pPr>
        <w:pStyle w:val="Heading2"/>
      </w:pPr>
      <w:r>
        <w:t xml:space="preserve">Résumé du chapitre</w:t>
      </w:r>
    </w:p>
    <w:p>
      <w:pPr>
        <w:pStyle w:val="Compact"/>
        <w:numPr>
          <w:ilvl w:val="0"/>
          <w:numId w:val="2289"/>
        </w:numPr>
      </w:pPr>
      <w:r>
        <w:t xml:space="preserve">L’exécution manuelle de Terraform et Ansible depuis des postes individuels reproduit un problème de cohérence similaire au</w:t>
      </w:r>
      <w:r>
        <w:t xml:space="preserve"> </w:t>
      </w:r>
      <w:r>
        <w:t xml:space="preserve">“ça marche sur ma machine”</w:t>
      </w:r>
      <w:r>
        <w:t xml:space="preserve"> </w:t>
      </w:r>
      <w:r>
        <w:t xml:space="preserve">déjà résolu pour les applications par Docker.</w:t>
      </w:r>
    </w:p>
    <w:p>
      <w:pPr>
        <w:pStyle w:val="Compact"/>
        <w:numPr>
          <w:ilvl w:val="0"/>
          <w:numId w:val="2289"/>
        </w:numPr>
      </w:pPr>
      <w:r>
        <w:t xml:space="preserve">Jenkins centralise l’exécution des pipelines dans un environnement contrôlé et reproductible, avec une trace d’audit complète de chaque exécution.</w:t>
      </w:r>
    </w:p>
    <w:p>
      <w:pPr>
        <w:pStyle w:val="Compact"/>
        <w:numPr>
          <w:ilvl w:val="0"/>
          <w:numId w:val="2289"/>
        </w:numPr>
      </w:pPr>
      <w:r>
        <w:t xml:space="preserve">Le Jenkinsfile décrit un pipeline de façon déclarative, dans la même famille de syntaxe que YAML et HCL déjà maîtrisée.</w:t>
      </w:r>
    </w:p>
    <w:p>
      <w:pPr>
        <w:pStyle w:val="Compact"/>
        <w:numPr>
          <w:ilvl w:val="0"/>
          <w:numId w:val="2289"/>
        </w:numPr>
      </w:pPr>
      <w:r>
        <w:t xml:space="preserve">Une étape d’approbation manuelle avant l’application d’un changement critique reste indispensable, même dans un pipeline largement automatisé.</w:t>
      </w:r>
    </w:p>
    <w:p>
      <w:pPr>
        <w:pStyle w:val="Compact"/>
        <w:numPr>
          <w:ilvl w:val="0"/>
          <w:numId w:val="2289"/>
        </w:numPr>
      </w:pPr>
      <w:r>
        <w:t xml:space="preserve">Un agent Docker figé garantit un environnement d’exécution strictement identique à chaque déclenchement, éliminant la divergence de versions entre postes.</w:t>
      </w:r>
    </w:p>
    <w:p>
      <w:pPr>
        <w:pStyle w:val="Compact"/>
        <w:numPr>
          <w:ilvl w:val="0"/>
          <w:numId w:val="2289"/>
        </w:numPr>
      </w:pPr>
      <w:r>
        <w:t xml:space="preserve">Le système de Credentials de Jenkins protège les identifiants sensibles, exactement le même principe déjà établi pour Ansible Vault et le state Terraform.</w:t>
      </w:r>
    </w:p>
    <w:bookmarkEnd w:id="1380"/>
    <w:bookmarkStart w:id="1381" w:name="quiz-55"/>
    <w:p>
      <w:pPr>
        <w:pStyle w:val="Heading2"/>
      </w:pPr>
      <w:r>
        <w:t xml:space="preserve">Quiz</w:t>
      </w:r>
    </w:p>
    <w:p>
      <w:pPr>
        <w:pStyle w:val="FirstParagraph"/>
      </w:pPr>
      <w:r>
        <w:t xml:space="preserve">📝 QCM (une seule bonne réponse par question)</w:t>
      </w:r>
    </w:p>
    <w:p>
      <w:pPr>
        <w:pStyle w:val="Compact"/>
        <w:numPr>
          <w:ilvl w:val="0"/>
          <w:numId w:val="2290"/>
        </w:numPr>
      </w:pPr>
      <w:r>
        <w:t xml:space="preserve">Jenkins sert principalement à :</w:t>
      </w:r>
    </w:p>
    <w:p>
      <w:pPr>
        <w:pStyle w:val="Compact"/>
        <w:numPr>
          <w:ilvl w:val="1"/>
          <w:numId w:val="2291"/>
        </w:numPr>
      </w:pPr>
    </w:p>
    <w:p>
      <w:pPr>
        <w:pStyle w:val="Compact"/>
        <w:numPr>
          <w:ilvl w:val="2"/>
          <w:numId w:val="2292"/>
        </w:numPr>
      </w:pPr>
      <w:r>
        <w:t xml:space="preserve">Remplacer Terraform et Ansible</w:t>
      </w:r>
    </w:p>
    <w:p>
      <w:pPr>
        <w:pStyle w:val="Compact"/>
        <w:numPr>
          <w:ilvl w:val="1"/>
          <w:numId w:val="2291"/>
        </w:numPr>
      </w:pPr>
    </w:p>
    <w:p>
      <w:pPr>
        <w:pStyle w:val="Compact"/>
        <w:numPr>
          <w:ilvl w:val="2"/>
          <w:numId w:val="2293"/>
        </w:numPr>
      </w:pPr>
      <w:r>
        <w:t xml:space="preserve">Centraliser et automatiser l’exécution de pipelines dans un environnement cohérent</w:t>
      </w:r>
    </w:p>
    <w:p>
      <w:pPr>
        <w:pStyle w:val="Compact"/>
        <w:numPr>
          <w:ilvl w:val="1"/>
          <w:numId w:val="2291"/>
        </w:numPr>
      </w:pPr>
    </w:p>
    <w:p>
      <w:pPr>
        <w:pStyle w:val="Compact"/>
        <w:numPr>
          <w:ilvl w:val="2"/>
          <w:numId w:val="2294"/>
        </w:numPr>
      </w:pPr>
      <w:r>
        <w:t xml:space="preserve">Chiffrer automatiquement tous les secrets d’une organisation</w:t>
      </w:r>
    </w:p>
    <w:p>
      <w:pPr>
        <w:pStyle w:val="Compact"/>
        <w:numPr>
          <w:ilvl w:val="1"/>
          <w:numId w:val="2291"/>
        </w:numPr>
      </w:pPr>
    </w:p>
    <w:p>
      <w:pPr>
        <w:pStyle w:val="Compact"/>
        <w:numPr>
          <w:ilvl w:val="2"/>
          <w:numId w:val="2295"/>
        </w:numPr>
      </w:pPr>
      <w:r>
        <w:t xml:space="preserve">Gérer uniquement des applications web, jamais l’infrastructure</w:t>
      </w:r>
    </w:p>
    <w:p>
      <w:pPr>
        <w:pStyle w:val="Compact"/>
        <w:numPr>
          <w:ilvl w:val="0"/>
          <w:numId w:val="2290"/>
        </w:numPr>
      </w:pPr>
      <w:r>
        <w:t xml:space="preserve">L’étape</w:t>
      </w:r>
      <w:r>
        <w:t xml:space="preserve"> </w:t>
      </w:r>
      <w:r>
        <w:rPr>
          <w:rStyle w:val="VerbatimChar"/>
        </w:rPr>
        <w:t xml:space="preserve">input</w:t>
      </w:r>
      <w:r>
        <w:t xml:space="preserve"> </w:t>
      </w:r>
      <w:r>
        <w:t xml:space="preserve">d’un Jenkinsfile sert à :</w:t>
      </w:r>
    </w:p>
    <w:p>
      <w:pPr>
        <w:pStyle w:val="Compact"/>
        <w:numPr>
          <w:ilvl w:val="1"/>
          <w:numId w:val="2296"/>
        </w:numPr>
      </w:pPr>
    </w:p>
    <w:p>
      <w:pPr>
        <w:pStyle w:val="Compact"/>
        <w:numPr>
          <w:ilvl w:val="2"/>
          <w:numId w:val="2297"/>
        </w:numPr>
      </w:pPr>
      <w:r>
        <w:t xml:space="preserve">Récupérer automatiquement le code source</w:t>
      </w:r>
    </w:p>
    <w:p>
      <w:pPr>
        <w:pStyle w:val="Compact"/>
        <w:numPr>
          <w:ilvl w:val="1"/>
          <w:numId w:val="2296"/>
        </w:numPr>
      </w:pPr>
    </w:p>
    <w:p>
      <w:pPr>
        <w:pStyle w:val="Compact"/>
        <w:numPr>
          <w:ilvl w:val="2"/>
          <w:numId w:val="2298"/>
        </w:numPr>
      </w:pPr>
      <w:r>
        <w:t xml:space="preserve">Mettre le pipeline en pause pour une validation humaine explicite</w:t>
      </w:r>
    </w:p>
    <w:p>
      <w:pPr>
        <w:pStyle w:val="Compact"/>
        <w:numPr>
          <w:ilvl w:val="1"/>
          <w:numId w:val="2296"/>
        </w:numPr>
      </w:pPr>
    </w:p>
    <w:p>
      <w:pPr>
        <w:pStyle w:val="Compact"/>
        <w:numPr>
          <w:ilvl w:val="2"/>
          <w:numId w:val="2299"/>
        </w:numPr>
      </w:pPr>
      <w:r>
        <w:t xml:space="preserve">Supprimer les identifiants utilisés</w:t>
      </w:r>
    </w:p>
    <w:p>
      <w:pPr>
        <w:pStyle w:val="Compact"/>
        <w:numPr>
          <w:ilvl w:val="1"/>
          <w:numId w:val="2296"/>
        </w:numPr>
      </w:pPr>
    </w:p>
    <w:p>
      <w:pPr>
        <w:pStyle w:val="Compact"/>
        <w:numPr>
          <w:ilvl w:val="2"/>
          <w:numId w:val="2300"/>
        </w:numPr>
      </w:pPr>
      <w:r>
        <w:t xml:space="preserve">Accélérer l’exécution du pipeline</w:t>
      </w:r>
    </w:p>
    <w:p>
      <w:pPr>
        <w:pStyle w:val="Compact"/>
        <w:numPr>
          <w:ilvl w:val="0"/>
          <w:numId w:val="2290"/>
        </w:numPr>
      </w:pPr>
      <w:r>
        <w:t xml:space="preserve">Un agent Jenkins basé sur une image Docker figée sert à :</w:t>
      </w:r>
    </w:p>
    <w:p>
      <w:pPr>
        <w:pStyle w:val="Compact"/>
        <w:numPr>
          <w:ilvl w:val="1"/>
          <w:numId w:val="2301"/>
        </w:numPr>
      </w:pPr>
    </w:p>
    <w:p>
      <w:pPr>
        <w:pStyle w:val="Compact"/>
        <w:numPr>
          <w:ilvl w:val="2"/>
          <w:numId w:val="2302"/>
        </w:numPr>
      </w:pPr>
      <w:r>
        <w:t xml:space="preserve">Réduire le coût du pipeline</w:t>
      </w:r>
    </w:p>
    <w:p>
      <w:pPr>
        <w:pStyle w:val="Compact"/>
        <w:numPr>
          <w:ilvl w:val="1"/>
          <w:numId w:val="2301"/>
        </w:numPr>
      </w:pPr>
    </w:p>
    <w:p>
      <w:pPr>
        <w:pStyle w:val="Compact"/>
        <w:numPr>
          <w:ilvl w:val="2"/>
          <w:numId w:val="2303"/>
        </w:numPr>
      </w:pPr>
      <w:r>
        <w:t xml:space="preserve">Garantir un environnement d’exécution strictement identique à chaque exécution</w:t>
      </w:r>
    </w:p>
    <w:p>
      <w:pPr>
        <w:pStyle w:val="Compact"/>
        <w:numPr>
          <w:ilvl w:val="1"/>
          <w:numId w:val="2301"/>
        </w:numPr>
      </w:pPr>
    </w:p>
    <w:p>
      <w:pPr>
        <w:pStyle w:val="Compact"/>
        <w:numPr>
          <w:ilvl w:val="2"/>
          <w:numId w:val="2304"/>
        </w:numPr>
      </w:pPr>
      <w:r>
        <w:t xml:space="preserve">Remplacer le besoin de Credentials</w:t>
      </w:r>
    </w:p>
    <w:p>
      <w:pPr>
        <w:pStyle w:val="Compact"/>
        <w:numPr>
          <w:ilvl w:val="1"/>
          <w:numId w:val="2301"/>
        </w:numPr>
      </w:pPr>
    </w:p>
    <w:p>
      <w:pPr>
        <w:pStyle w:val="Compact"/>
        <w:numPr>
          <w:ilvl w:val="2"/>
          <w:numId w:val="2305"/>
        </w:numPr>
      </w:pPr>
      <w:r>
        <w:t xml:space="preserve">Chiffrer automatiquement le fichier d’état Terraform</w:t>
      </w:r>
    </w:p>
    <w:p>
      <w:pPr>
        <w:pStyle w:val="FirstParagraph"/>
      </w:pPr>
      <w:r>
        <w:rPr>
          <w:b/>
          <w:bCs/>
        </w:rPr>
        <w:t xml:space="preserve">Corrigé</w:t>
      </w:r>
      <w:r>
        <w:t xml:space="preserve"> </w:t>
      </w:r>
      <w:r>
        <w:t xml:space="preserve">: 1-b, 2-b, 3-b.</w:t>
      </w:r>
    </w:p>
    <w:p>
      <w:pPr>
        <w:pStyle w:val="BodyText"/>
      </w:pPr>
      <w:r>
        <w:t xml:space="preserve">📝 Vrai ou Faux</w:t>
      </w:r>
    </w:p>
    <w:p>
      <w:pPr>
        <w:pStyle w:val="Compact"/>
        <w:numPr>
          <w:ilvl w:val="0"/>
          <w:numId w:val="2306"/>
        </w:numPr>
      </w:pPr>
      <w:r>
        <w:t xml:space="preserve">Un pipeline Jenkins devrait toujours appliquer automatiquement un changement de production sans validation humaine, pour gagner du temps. —</w:t>
      </w:r>
      <w:r>
        <w:t xml:space="preserve"> </w:t>
      </w:r>
      <w:r>
        <w:rPr>
          <w:b/>
          <w:bCs/>
        </w:rPr>
        <w:t xml:space="preserve">Faux</w:t>
      </w:r>
      <w:r>
        <w:t xml:space="preserve"> </w:t>
      </w:r>
      <w:r>
        <w:t xml:space="preserve">(une étape d’approbation reste indispensable, section 56.5).</w:t>
      </w:r>
    </w:p>
    <w:p>
      <w:pPr>
        <w:pStyle w:val="Compact"/>
        <w:numPr>
          <w:ilvl w:val="0"/>
          <w:numId w:val="2306"/>
        </w:numPr>
      </w:pPr>
      <w:r>
        <w:t xml:space="preserve">Le système de Credentials de Jenkins protège les identifiants sensibles utilisés par un pipeline. —</w:t>
      </w:r>
      <w:r>
        <w:t xml:space="preserve"> </w:t>
      </w:r>
      <w:r>
        <w:rPr>
          <w:b/>
          <w:bCs/>
        </w:rPr>
        <w:t xml:space="preserve">Vrai</w:t>
      </w:r>
      <w:r>
        <w:t xml:space="preserve">.</w:t>
      </w:r>
    </w:p>
    <w:p>
      <w:pPr>
        <w:pStyle w:val="Compact"/>
        <w:numPr>
          <w:ilvl w:val="0"/>
          <w:numId w:val="2306"/>
        </w:numPr>
      </w:pPr>
      <w:r>
        <w:t xml:space="preserve">Un agent Jenkins générique, sans version d’outil figée, garantit toujours un comportement identique entre exécutions. —</w:t>
      </w:r>
      <w:r>
        <w:t xml:space="preserve"> </w:t>
      </w:r>
      <w:r>
        <w:rPr>
          <w:b/>
          <w:bCs/>
        </w:rPr>
        <w:t xml:space="preserve">Faux</w:t>
      </w:r>
      <w:r>
        <w:t xml:space="preserve"> </w:t>
      </w:r>
      <w:r>
        <w:t xml:space="preserve">(source fréquente d’incohérence, section 56.6).</w:t>
      </w:r>
    </w:p>
    <w:p>
      <w:pPr>
        <w:pStyle w:val="Compact"/>
        <w:numPr>
          <w:ilvl w:val="0"/>
          <w:numId w:val="2306"/>
        </w:numPr>
      </w:pPr>
      <w:r>
        <w:t xml:space="preserve">Le Jenkinsfile peut être versionné dans le même dépôt Git que la configuration qu’il orchestre. —</w:t>
      </w:r>
      <w:r>
        <w:t xml:space="preserve"> </w:t>
      </w:r>
      <w:r>
        <w:rPr>
          <w:b/>
          <w:bCs/>
        </w:rPr>
        <w:t xml:space="preserve">Vrai</w:t>
      </w:r>
      <w:r>
        <w:t xml:space="preserve">.</w:t>
      </w:r>
    </w:p>
    <w:p>
      <w:pPr>
        <w:pStyle w:val="FirstParagraph"/>
      </w:pPr>
      <w:r>
        <w:t xml:space="preserve">📝 Questions ouvertes</w:t>
      </w:r>
    </w:p>
    <w:p>
      <w:pPr>
        <w:pStyle w:val="Compact"/>
        <w:numPr>
          <w:ilvl w:val="0"/>
          <w:numId w:val="2307"/>
        </w:numPr>
      </w:pPr>
      <w:r>
        <w:t xml:space="preserve">Explique pourquoi le problème du scénario d’ouverture (versions Terraform divergentes entre administrateurs) n’aurait jamais pu se produire avec un agent Docker figé.</w:t>
      </w:r>
    </w:p>
    <w:p>
      <w:pPr>
        <w:pStyle w:val="Compact"/>
        <w:numPr>
          <w:ilvl w:val="0"/>
          <w:numId w:val="2307"/>
        </w:numPr>
      </w:pPr>
      <w:r>
        <w:t xml:space="preserve">Reprends la section 56.4. Explique pourquoi déclencher automatiquement un pipeline sur un push Git rejoint directement le principe</w:t>
      </w:r>
      <w:r>
        <w:t xml:space="preserve"> </w:t>
      </w:r>
      <w:r>
        <w:t xml:space="preserve">“modifier le manifeste, jamais l’objet en direct”</w:t>
      </w:r>
      <w:r>
        <w:t xml:space="preserve"> </w:t>
      </w:r>
      <w:r>
        <w:t xml:space="preserve">déjà établi au chapitre 43.</w:t>
      </w:r>
    </w:p>
    <w:p>
      <w:pPr>
        <w:pStyle w:val="FirstParagraph"/>
      </w:pPr>
      <w:r>
        <w:rPr>
          <w:b/>
          <w:bCs/>
        </w:rPr>
        <w:t xml:space="preserve">Corrigé 1</w:t>
      </w:r>
      <w:r>
        <w:t xml:space="preserve"> </w:t>
      </w:r>
      <w:r>
        <w:t xml:space="preserve">: sans agent figé, chaque administrateur exécutait Terraform depuis son propre poste, avec sa propre version installée localement, potentiellement différente de celle d’un collègue — une divergence invisible tant que personne ne compare explicitement les versions utilisées. Avec un agent Docker figé sur une version précise (section 56.6), toute exécution du pipeline, peu importe qui la déclenche, utilise strictement la même version de Terraform, éliminant structurellement cette source de divergence, exactement comme le tag de version précis d’une image Docker élimine la dérive déjà dénoncée au chapitre 39.</w:t>
      </w:r>
    </w:p>
    <w:p>
      <w:pPr>
        <w:pStyle w:val="BodyText"/>
      </w:pPr>
      <w:r>
        <w:rPr>
          <w:b/>
          <w:bCs/>
        </w:rPr>
        <w:t xml:space="preserve">Corrigé 2</w:t>
      </w:r>
      <w:r>
        <w:t xml:space="preserve"> </w:t>
      </w:r>
      <w:r>
        <w:t xml:space="preserve">: le chapitre 43 établissait que tout changement devait passer par le manifeste source, jamais une modification directe de l’objet en production. En liant le déclenchement du pipeline au push Git, ce principe devient techniquement inévitable plutôt que simplement recommandé — il n’existe littéralement plus de chemin pour appliquer un changement d’infrastructure sans qu’il soit d’abord passé par Git, committé, potentiellement revu, puis exécuté dans l’environnement cohérent du pipeline, éliminant structurellement la possibilité même d’un contournement, plutôt que de compter sur la seule discipline volontaire de chaque administrateur.</w:t>
      </w:r>
    </w:p>
    <w:bookmarkEnd w:id="1381"/>
    <w:bookmarkStart w:id="1382" w:name="exercices-55"/>
    <w:p>
      <w:pPr>
        <w:pStyle w:val="Heading2"/>
      </w:pPr>
      <w:r>
        <w:t xml:space="preserve">Exercices</w:t>
      </w:r>
    </w:p>
    <w:p>
      <w:pPr>
        <w:pStyle w:val="FirstParagraph"/>
      </w:pPr>
      <w:r>
        <w:t xml:space="preserve">📝 Exercice 56.1</w:t>
      </w:r>
    </w:p>
    <w:p>
      <w:pPr>
        <w:pStyle w:val="BodyText"/>
      </w:pPr>
      <w:r>
        <w:t xml:space="preserve">Un pipeline Jenkins applique directement</w:t>
      </w:r>
      <w:r>
        <w:t xml:space="preserve"> </w:t>
      </w:r>
      <w:r>
        <w:rPr>
          <w:rStyle w:val="VerbatimChar"/>
        </w:rPr>
        <w:t xml:space="preserve">terraform apply</w:t>
      </w:r>
      <w:r>
        <w:t xml:space="preserve"> </w:t>
      </w:r>
      <w:r>
        <w:t xml:space="preserve">dès la fin de l’étape</w:t>
      </w:r>
      <w:r>
        <w:t xml:space="preserve"> </w:t>
      </w:r>
      <w:r>
        <w:rPr>
          <w:rStyle w:val="VerbatimChar"/>
        </w:rPr>
        <w:t xml:space="preserve">plan</w:t>
      </w:r>
      <w:r>
        <w:t xml:space="preserve">, sans aucune étape</w:t>
      </w:r>
      <w:r>
        <w:t xml:space="preserve"> </w:t>
      </w:r>
      <w:r>
        <w:rPr>
          <w:rStyle w:val="VerbatimChar"/>
        </w:rPr>
        <w:t xml:space="preserve">input</w:t>
      </w:r>
      <w:r>
        <w:t xml:space="preserve"> </w:t>
      </w:r>
      <w:r>
        <w:t xml:space="preserve">intermédiaire. Explique le risque de cette configuration pour un changement touchant l’infrastructure de production.</w:t>
      </w:r>
    </w:p>
    <w:p>
      <w:pPr>
        <w:pStyle w:val="BodyText"/>
      </w:pPr>
      <w:r>
        <w:rPr>
          <w:b/>
          <w:bCs/>
        </w:rPr>
        <w:t xml:space="preserve">Corrigé :</w:t>
      </w:r>
      <w:r>
        <w:t xml:space="preserve"> </w:t>
      </w:r>
      <w:r>
        <w:t xml:space="preserve">Sans étape d’approbation, tout push Git modifiant la configuration Terraform déclencherait automatiquement l’application réelle du changement en production, sans qu’aucun humain n’ait eu l’occasion de revoir le plan généré — un risque direct si le changement contient une erreur, une suppression accidentelle de ressource, ou un effet secondaire non anticipé par la personne qui l’a committé. Ce risque rejoint directement celui déjà dénoncé pour tout changement de production appliqué sans revue au chapitre 2 ; l’ajout d’une étape</w:t>
      </w:r>
      <w:r>
        <w:t xml:space="preserve"> </w:t>
      </w:r>
      <w:r>
        <w:rPr>
          <w:rStyle w:val="VerbatimChar"/>
        </w:rPr>
        <w:t xml:space="preserve">input</w:t>
      </w:r>
      <w:r>
        <w:t xml:space="preserve"> </w:t>
      </w:r>
      <w:r>
        <w:t xml:space="preserve">(section 56.5) réintroduit ce point de contrôle humain indispensable avant toute application réelle en production, tout en conservant l’automatisation pour la génération et l’affichage du plan lui-même.</w:t>
      </w:r>
    </w:p>
    <w:p>
      <w:pPr>
        <w:pStyle w:val="BodyText"/>
      </w:pPr>
      <w:r>
        <w:t xml:space="preserve">📝 Exercice 56.2</w:t>
      </w:r>
    </w:p>
    <w:p>
      <w:pPr>
        <w:pStyle w:val="BodyText"/>
      </w:pPr>
      <w:r>
        <w:t xml:space="preserve">Rédige, en 3 à 5 phrases, pourquoi la trace d’audit automatique fournie par Jenkins (qui a déclenché, qui a approuvé, quel résultat) constitue une amélioration par rapport à l’exécution manuelle du scénario d’ouverture, au-delà de la simple cohérence de version déjà expliquée.</w:t>
      </w:r>
    </w:p>
    <w:p>
      <w:pPr>
        <w:pStyle w:val="BodyText"/>
      </w:pPr>
      <w:r>
        <w:rPr>
          <w:b/>
          <w:bCs/>
        </w:rPr>
        <w:t xml:space="preserve">Corrigé (exemple de réponse) :</w:t>
      </w:r>
      <w:r>
        <w:t xml:space="preserve"> </w:t>
      </w:r>
      <w:r>
        <w:t xml:space="preserve">Dans le scénario d’ouverture, aucune trace centralisée n’existait de qui avait exécuté quelle commande, à quel moment, avec quel résultat — une information reconstituée seulement en interrogeant directement chaque administrateur après coup, un exercice lent et potentiellement incomplet. Jenkins conserve automatiquement cet historique complet pour chaque exécution de pipeline, rejoignant directement le principe déjà établi pour le journal des changements au chapitre 2 : en cas d’incident ultérieur, il devient immédiat de savoir précisément quel changement a été appliqué, par qui, et quand, sans dépendre de la mémoire humaine ni d’une reconstitution a posteriori potentiellement imprécise.</w:t>
      </w:r>
    </w:p>
    <w:bookmarkEnd w:id="1382"/>
    <w:bookmarkStart w:id="1383" w:name="checklist-de-fin-de-chapitre-55"/>
    <w:p>
      <w:pPr>
        <w:pStyle w:val="Heading2"/>
      </w:pPr>
      <w:r>
        <w:t xml:space="preserve">Checklist de fin de chapitre</w:t>
      </w:r>
    </w:p>
    <w:p>
      <w:pPr>
        <w:pStyle w:val="FirstParagraph"/>
      </w:pPr>
      <w:r>
        <w:t xml:space="preserve">☐ Je comprends pourquoi centraliser l’exécution de Terraform et Ansible résout un problème de cohérence, pas seulement de confort.</w:t>
      </w:r>
    </w:p>
    <w:p>
      <w:pPr>
        <w:pStyle w:val="BodyText"/>
      </w:pPr>
      <w:r>
        <w:t xml:space="preserve">☐ Je sais écrire un Jenkinsfile déclaratif avec plusieurs étapes.</w:t>
      </w:r>
    </w:p>
    <w:p>
      <w:pPr>
        <w:pStyle w:val="BodyText"/>
      </w:pPr>
      <w:r>
        <w:t xml:space="preserve">☐ Je sais déclencher un pipeline automatiquement sur un push Git.</w:t>
      </w:r>
    </w:p>
    <w:p>
      <w:pPr>
        <w:pStyle w:val="BodyText"/>
      </w:pPr>
      <w:r>
        <w:t xml:space="preserve">☐ Je sais insérer une étape d’approbation avant l’application d’un changement critique.</w:t>
      </w:r>
    </w:p>
    <w:p>
      <w:pPr>
        <w:pStyle w:val="BodyText"/>
      </w:pPr>
      <w:r>
        <w:t xml:space="preserve">☐ Je comprends pourquoi un agent Docker figé garantit un environnement d’exécution reproductible.</w:t>
      </w:r>
    </w:p>
    <w:p>
      <w:pPr>
        <w:pStyle w:val="BodyText"/>
      </w:pPr>
      <w:r>
        <w:t xml:space="preserve">☐ Je sais protéger les identifiants sensibles utilisés par un pipeline via le système de Credentials.</w:t>
      </w:r>
    </w:p>
    <w:bookmarkEnd w:id="1383"/>
    <w:bookmarkStart w:id="1384" w:name="faq-55"/>
    <w:p>
      <w:pPr>
        <w:pStyle w:val="Heading2"/>
      </w:pPr>
      <w:r>
        <w:t xml:space="preserve">FAQ</w:t>
      </w:r>
    </w:p>
    <w:p>
      <w:pPr>
        <w:pStyle w:val="FirstParagraph"/>
      </w:pPr>
      <w:r>
        <w:t xml:space="preserve">Jenkins est-il le seul outil d’intégration continue disponible ?</w:t>
      </w:r>
    </w:p>
    <w:p>
      <w:pPr>
        <w:pStyle w:val="BodyText"/>
      </w:pPr>
      <w:r>
        <w:t xml:space="preserve">Non, GitLab CI, GitHub Actions et d’autres alternatives existent avec des philosophies similaires — Jenkins reste l’un des plus anciens et des plus répandus, particulièrement adapté à un environnement auto-hébergé, mais les principes de ce chapitre (pipeline déclaratif, approbation, agent reproductible) restent transférables à d’autres outils équivalents.</w:t>
      </w:r>
    </w:p>
    <w:p>
      <w:pPr>
        <w:pStyle w:val="BodyText"/>
      </w:pPr>
      <w:r>
        <w:t xml:space="preserve">Faut-il un pipeline distinct pour chaque environnement (dev/test/production) ?</w:t>
      </w:r>
    </w:p>
    <w:p>
      <w:pPr>
        <w:pStyle w:val="BodyText"/>
      </w:pPr>
      <w:r>
        <w:t xml:space="preserve">Souvent oui, ou au minimum une distinction claire au sein d’un même pipeline (rappel de la séparation des states par environnement au chapitre 55) — un changement destiné au développement ne devrait jamais pouvoir affecter accidentellement la production via une confusion de pipeline, le même principe de séparation déjà établi pour Terraform.</w:t>
      </w:r>
    </w:p>
    <w:p>
      <w:pPr>
        <w:pStyle w:val="BodyText"/>
      </w:pPr>
      <w:r>
        <w:t xml:space="preserve">Combien de temps faut-il pour automatiser complètement l’exécution de Terraform et Ansible via Jenkins ?</w:t>
      </w:r>
    </w:p>
    <w:p>
      <w:pPr>
        <w:pStyle w:val="BodyText"/>
      </w:pPr>
      <w:r>
        <w:t xml:space="preserve">Une mise en place initiale reste relativement rapide pour un pipeline simple, mais l’adoption complète (interdiction effective de l’exécution manuelle, formation de toute l’équipe) prend plus de temps — une transition progressive, en commençant par les changements les plus fréquents ou les plus à risque, reste plus réaliste qu’une bascule totale immédiate.</w:t>
      </w:r>
    </w:p>
    <w:p>
      <w:pPr>
        <w:pStyle w:val="BodyText"/>
      </w:pPr>
      <w:r>
        <w:t xml:space="preserve">Un pipeline Jenkins remplace-t-il le besoin de revue Git avant fusion (chapitre 51) ?</w:t>
      </w:r>
    </w:p>
    <w:p>
      <w:pPr>
        <w:pStyle w:val="BodyText"/>
      </w:pPr>
      <w:r>
        <w:t xml:space="preserve">Non, les deux se complètent — la revue Git valide la qualité et la pertinence du changement de code lui-même avant fusion ; l’étape d’approbation du pipeline (section 56.5) valide spécifiquement le plan d’application réel généré à partir de ce code, une vérification complémentaire portant sur l’effet concret du changement.</w:t>
      </w:r>
    </w:p>
    <w:bookmarkEnd w:id="1384"/>
    <w:bookmarkStart w:id="1388" w:name="références-et-pour-aller-plus-loin-55"/>
    <w:p>
      <w:pPr>
        <w:pStyle w:val="Heading2"/>
      </w:pPr>
      <w:r>
        <w:t xml:space="preserve">Références et pour aller plus loin</w:t>
      </w:r>
    </w:p>
    <w:p>
      <w:pPr>
        <w:pStyle w:val="Compact"/>
        <w:numPr>
          <w:ilvl w:val="0"/>
          <w:numId w:val="2308"/>
        </w:numPr>
      </w:pPr>
      <w:r>
        <w:t xml:space="preserve">Documentation officielle Jenkins :</w:t>
      </w:r>
      <w:r>
        <w:t xml:space="preserve"> </w:t>
      </w:r>
      <w:hyperlink r:id="rId1385">
        <w:r>
          <w:rPr>
            <w:rStyle w:val="Hyperlink"/>
          </w:rPr>
          <w:t xml:space="preserve">https://www.jenkins.io/doc/</w:t>
        </w:r>
      </w:hyperlink>
    </w:p>
    <w:p>
      <w:pPr>
        <w:pStyle w:val="Compact"/>
        <w:numPr>
          <w:ilvl w:val="0"/>
          <w:numId w:val="2308"/>
        </w:numPr>
      </w:pPr>
      <w:r>
        <w:t xml:space="preserve">Jenkins — Référence de la syntaxe des Pipelines déclaratifs :</w:t>
      </w:r>
      <w:r>
        <w:t xml:space="preserve"> </w:t>
      </w:r>
      <w:hyperlink r:id="rId1386">
        <w:r>
          <w:rPr>
            <w:rStyle w:val="Hyperlink"/>
          </w:rPr>
          <w:t xml:space="preserve">https://www.jenkins.io/doc/book/pipeline/syntax/</w:t>
        </w:r>
      </w:hyperlink>
    </w:p>
    <w:p>
      <w:pPr>
        <w:pStyle w:val="Compact"/>
        <w:numPr>
          <w:ilvl w:val="0"/>
          <w:numId w:val="2308"/>
        </w:numPr>
      </w:pPr>
      <w:r>
        <w:t xml:space="preserve">Jenkins — Documentation sur la gestion des Credentials :</w:t>
      </w:r>
      <w:r>
        <w:t xml:space="preserve"> </w:t>
      </w:r>
      <w:hyperlink r:id="rId1387">
        <w:r>
          <w:rPr>
            <w:rStyle w:val="Hyperlink"/>
          </w:rPr>
          <w:t xml:space="preserve">https://www.jenkins.io/doc/book/using/using-credentials/</w:t>
        </w:r>
      </w:hyperlink>
    </w:p>
    <w:p>
      <w:pPr>
        <w:pStyle w:val="FirstParagraph"/>
      </w:pPr>
      <w:r>
        <w:rPr>
          <w:i/>
          <w:iCs/>
        </w:rPr>
        <w:t xml:space="preserve">Chapitre suivant : pipelines DevSecOps — intégrer des vérifications de sécurité automatisées directement dans le pipeline déjà construit dans ce chapitre, pour clore la Partie 9 de ce manuel.</w:t>
      </w:r>
    </w:p>
    <w:p>
      <w:pPr>
        <w:pStyle w:val="BodyText"/>
      </w:pPr>
      <w:r>
        <w:t xml:space="preserve">CHAPITRE 57</w:t>
      </w:r>
    </w:p>
    <w:bookmarkEnd w:id="1388"/>
    <w:bookmarkEnd w:id="1389"/>
    <w:bookmarkStart w:id="1411" w:name="pipelines-devsecops"/>
    <w:p>
      <w:pPr>
        <w:pStyle w:val="Heading1"/>
      </w:pPr>
      <w:r>
        <w:t xml:space="preserve">Pipelines DevSecOps</w:t>
      </w:r>
    </w:p>
    <w:p>
      <w:pPr>
        <w:pStyle w:val="FirstParagraph"/>
      </w:pPr>
      <w:r>
        <w:t xml:space="preserve">🎯 Objectif du chapitre</w:t>
      </w:r>
      <w:r>
        <w:t xml:space="preserve"> </w:t>
      </w:r>
      <w:r>
        <w:t xml:space="preserve">Intégrer des vérifications de sécurité automatisées directement dans le pipeline Jenkins construit au chapitre précédent, plutôt que de les traiter comme une étape séparée réalisée après coup. À la fin de ce chapitre, tu sauras ajouter des étapes d’analyse de code, de dépendances et de configuration à un pipeline, faire échouer volontairement un pipeline en présence d’un problème critique, et doser les seuils d’alerte pour éviter qu’une équipe ne finisse par contourner des vérifications devenues trop bruyantes.</w:t>
      </w:r>
    </w:p>
    <w:p>
      <w:pPr>
        <w:pStyle w:val="BodyText"/>
      </w:pPr>
      <w:r>
        <w:t xml:space="preserve">🎬 Mise en situation</w:t>
      </w:r>
      <w:r>
        <w:t xml:space="preserve"> </w:t>
      </w:r>
      <w:r>
        <w:t xml:space="preserve">Le pipeline Jenkins du chapitre 56 fonctionne bien : les changements d’infrastructure s’appliquent désormais de façon cohérente et tracée. Lors d’une revue trimestrielle, la RSSI pose une question inconfortable :</w:t>
      </w:r>
      <w:r>
        <w:t xml:space="preserve"> </w:t>
      </w:r>
      <w:r>
        <w:t xml:space="preserve">“Ce pipeline applique des changements plus vite qu’avant. Qu’est-ce qui l’empêche d’appliquer, tout aussi vite, une configuration réseau qui expose un port sensible à Internet, ou une image Docker contenant une bibliothèque vulnérable connue ?”</w:t>
      </w:r>
      <w:r>
        <w:t xml:space="preserve"> </w:t>
      </w:r>
      <w:r>
        <w:t xml:space="preserve">Personne n’a de réponse solide. Le pipeline vérifie que le plan est cohérent et approuvé — il ne vérifie rien sur la sécurité du contenu de ce plan. Ce chapitre corrige ce manque.</w:t>
      </w:r>
    </w:p>
    <w:bookmarkStart w:id="1390" w:name="X3a4694b3490c369ffae45351cb030fc1c33bea1"/>
    <w:p>
      <w:pPr>
        <w:pStyle w:val="Heading2"/>
      </w:pPr>
      <w:r>
        <w:t xml:space="preserve">57.1 Automatiser sans vérifier : plus rapide, pas plus sûr</w:t>
      </w:r>
    </w:p>
    <w:p>
      <w:pPr>
        <w:pStyle w:val="FirstParagraph"/>
      </w:pPr>
      <w:r>
        <w:t xml:space="preserve">⚠️ Un rappel essentiel</w:t>
      </w:r>
      <w:r>
        <w:t xml:space="preserve"> </w:t>
      </w:r>
      <w:r>
        <w:t xml:space="preserve">Le pipeline du chapitre 56 valide que le changement est cohérent (même version d’outils) et revu par un humain avant application — il ne vérifie en rien que ce changement est lui-même sûr. Un pipeline mal conçu peut ainsi appliquer une erreur de sécurité avec la même rapidité et la même confiance qu’un changement légitime, exactement le même risque que celui déjà observé pour l’application directe d’un manifeste Kubernetes sans revue au chapitre 43 — l’automatisation amplifie la vitesse d’exécution, dans un sens comme dans l’autre.</w:t>
      </w:r>
    </w:p>
    <w:bookmarkEnd w:id="1390"/>
    <w:bookmarkStart w:id="1391" w:name="X71e4157df210ac2b1da18766c202da5fd226900"/>
    <w:p>
      <w:pPr>
        <w:pStyle w:val="Heading2"/>
      </w:pPr>
      <w:r>
        <w:t xml:space="preserve">57.2 DevSecOps : la sécurité intégrée au pipeline, pas ajoutée après coup</w:t>
      </w:r>
    </w:p>
    <w:p>
      <w:pPr>
        <w:pStyle w:val="FirstParagraph"/>
      </w:pPr>
      <w:r>
        <w:t xml:space="preserve">💡 Analogie — le contrôle qualité sur la chaîne, pas à la sortie d’usine</w:t>
      </w:r>
      <w:r>
        <w:t xml:space="preserve"> </w:t>
      </w:r>
      <w:r>
        <w:rPr>
          <w:b/>
          <w:bCs/>
        </w:rPr>
        <w:t xml:space="preserve">DevSecOps</w:t>
      </w:r>
      <w:r>
        <w:t xml:space="preserve"> </w:t>
      </w:r>
      <w:r>
        <w:t xml:space="preserve">consiste à intégrer des vérifications de sécurité directement dans le pipeline d’intégration continue, à chaque changement, plutôt que de les réaliser ponctuellement en fin de projet ou après un incident. C’est l’équivalent d’un contrôle qualité effectué à chaque étape d’une chaîne de production, plutôt qu’un contrôle unique effectué sur le produit fini — un défaut est détecté et corrigé immédiatement après son introduction, pas des semaines plus tard quand son origine est devenue difficile à retracer.</w:t>
      </w:r>
    </w:p>
    <w:bookmarkEnd w:id="1391"/>
    <w:bookmarkStart w:id="1392" w:name="analyse-statique-du-code-dinfrastructure"/>
    <w:p>
      <w:pPr>
        <w:pStyle w:val="Heading2"/>
      </w:pPr>
      <w:r>
        <w:t xml:space="preserve">57.3 Analyse statique du code d’infrastructure</w:t>
      </w:r>
    </w:p>
    <w:p>
      <w:pPr>
        <w:pStyle w:val="FirstParagraph"/>
      </w:pPr>
      <w:r>
        <w:t xml:space="preserve">📌 À retenir — analyser le code Terraform et Ansible avant même de l’exécuter</w:t>
      </w:r>
      <w:r>
        <w:t xml:space="preserve"> </w:t>
      </w:r>
      <w:r>
        <w:t xml:space="preserve">Des outils d’analyse statique (SAST —</w:t>
      </w:r>
      <w:r>
        <w:t xml:space="preserve"> </w:t>
      </w:r>
      <w:r>
        <w:rPr>
          <w:i/>
          <w:iCs/>
        </w:rPr>
        <w:t xml:space="preserve">Static Application Security Testing</w:t>
      </w:r>
      <w:r>
        <w:t xml:space="preserve">, appliqué ici au code d’infrastructure plutôt qu’applicatif) examinent le code Terraform et les playbooks Ansible sans les exécuter, à la recherche de pratiques dangereuses connues — un mot de passe en clair, un bucket de stockage rendu public par erreur, une règle de pare-feu trop permissive.</w:t>
      </w:r>
    </w:p>
    <w:p>
      <w:pPr>
        <w:pStyle w:val="SourceCode"/>
      </w:pPr>
      <w:r>
        <w:rPr>
          <w:rStyle w:val="FunctionTok"/>
        </w:rPr>
        <w:t xml:space="preserve">stage</w:t>
      </w:r>
      <w:r>
        <w:rPr>
          <w:rStyle w:val="OperatorTok"/>
        </w:rPr>
        <w:t xml:space="preserve">(</w:t>
      </w:r>
      <w:r>
        <w:rPr>
          <w:rStyle w:val="StringTok"/>
        </w:rPr>
        <w:t xml:space="preserve">'Analyse de securite du code'</w:t>
      </w:r>
      <w:r>
        <w:rPr>
          <w:rStyle w:val="OperatorTok"/>
        </w:rPr>
        <w:t xml:space="preserve">)</w:t>
      </w:r>
      <w:r>
        <w:rPr>
          <w:rStyle w:val="NormalTok"/>
        </w:rPr>
        <w:t xml:space="preserve"> </w:t>
      </w:r>
      <w:r>
        <w:rPr>
          <w:rStyle w:val="OperatorTok"/>
        </w:rPr>
        <w:t xml:space="preserve">{</w:t>
      </w:r>
      <w:r>
        <w:br/>
      </w:r>
      <w:r>
        <w:rPr>
          <w:rStyle w:val="NormalTok"/>
        </w:rPr>
        <w:t xml:space="preserve">    steps </w:t>
      </w:r>
      <w:r>
        <w:rPr>
          <w:rStyle w:val="OperatorTok"/>
        </w:rPr>
        <w:t xml:space="preserve">{</w:t>
      </w:r>
      <w:r>
        <w:br/>
      </w:r>
      <w:r>
        <w:rPr>
          <w:rStyle w:val="NormalTok"/>
        </w:rPr>
        <w:t xml:space="preserve">        sh </w:t>
      </w:r>
      <w:r>
        <w:rPr>
          <w:rStyle w:val="StringTok"/>
        </w:rPr>
        <w:t xml:space="preserve">'tfsec .'</w:t>
      </w:r>
      <w:r>
        <w:br/>
      </w:r>
      <w:r>
        <w:rPr>
          <w:rStyle w:val="NormalTok"/>
        </w:rPr>
        <w:t xml:space="preserve">    </w:t>
      </w:r>
      <w:r>
        <w:rPr>
          <w:rStyle w:val="OperatorTok"/>
        </w:rPr>
        <w:t xml:space="preserve">}</w:t>
      </w:r>
      <w:r>
        <w:br/>
      </w:r>
      <w:r>
        <w:rPr>
          <w:rStyle w:val="OperatorTok"/>
        </w:rPr>
        <w:t xml:space="preserve">}</w:t>
      </w:r>
    </w:p>
    <w:bookmarkEnd w:id="1392"/>
    <w:bookmarkStart w:id="1393" w:name="scanner-les-dépendances-et-les-images"/>
    <w:p>
      <w:pPr>
        <w:pStyle w:val="Heading2"/>
      </w:pPr>
      <w:r>
        <w:t xml:space="preserve">57.4 Scanner les dépendances et les images</w:t>
      </w:r>
    </w:p>
    <w:p>
      <w:pPr>
        <w:pStyle w:val="FirstParagraph"/>
      </w:pPr>
      <w:r>
        <w:t xml:space="preserve">🔒 Sécurité — rappel direct du chapitre 39</w:t>
      </w:r>
      <w:r>
        <w:t xml:space="preserve"> </w:t>
      </w:r>
      <w:r>
        <w:t xml:space="preserve">Une image Docker construite à partir d’une base obsolète (chapitre 39) peut contenir des bibliothèques avec des vulnérabilités connues et déjà publiées. Un scan d’image (</w:t>
      </w:r>
      <w:r>
        <w:rPr>
          <w:i/>
          <w:iCs/>
        </w:rPr>
        <w:t xml:space="preserve">SCA — Software Composition Analysis</w:t>
      </w:r>
      <w:r>
        <w:t xml:space="preserve">) compare le contenu de l’image aux bases de données publiques de vulnérabilités avant que cette image ne soit déployée, plutôt que de découvrir le problème après coup lors d’un audit de sécurité ou, pire, lors d’une intrusion.</w:t>
      </w:r>
    </w:p>
    <w:p>
      <w:pPr>
        <w:pStyle w:val="SourceCode"/>
      </w:pPr>
      <w:r>
        <w:rPr>
          <w:rStyle w:val="FunctionTok"/>
        </w:rPr>
        <w:t xml:space="preserve">stage</w:t>
      </w:r>
      <w:r>
        <w:rPr>
          <w:rStyle w:val="OperatorTok"/>
        </w:rPr>
        <w:t xml:space="preserve">(</w:t>
      </w:r>
      <w:r>
        <w:rPr>
          <w:rStyle w:val="StringTok"/>
        </w:rPr>
        <w:t xml:space="preserve">'Scan de l</w:t>
      </w:r>
      <w:r>
        <w:rPr>
          <w:rStyle w:val="SpecialCharTok"/>
        </w:rPr>
        <w:t xml:space="preserve">\'</w:t>
      </w:r>
      <w:r>
        <w:rPr>
          <w:rStyle w:val="StringTok"/>
        </w:rPr>
        <w:t xml:space="preserve">image Docker'</w:t>
      </w:r>
      <w:r>
        <w:rPr>
          <w:rStyle w:val="OperatorTok"/>
        </w:rPr>
        <w:t xml:space="preserve">)</w:t>
      </w:r>
      <w:r>
        <w:rPr>
          <w:rStyle w:val="NormalTok"/>
        </w:rPr>
        <w:t xml:space="preserve"> </w:t>
      </w:r>
      <w:r>
        <w:rPr>
          <w:rStyle w:val="OperatorTok"/>
        </w:rPr>
        <w:t xml:space="preserve">{</w:t>
      </w:r>
      <w:r>
        <w:br/>
      </w:r>
      <w:r>
        <w:rPr>
          <w:rStyle w:val="NormalTok"/>
        </w:rPr>
        <w:t xml:space="preserve">    steps </w:t>
      </w:r>
      <w:r>
        <w:rPr>
          <w:rStyle w:val="OperatorTok"/>
        </w:rPr>
        <w:t xml:space="preserve">{</w:t>
      </w:r>
      <w:r>
        <w:br/>
      </w:r>
      <w:r>
        <w:rPr>
          <w:rStyle w:val="NormalTok"/>
        </w:rPr>
        <w:t xml:space="preserve">        sh </w:t>
      </w:r>
      <w:r>
        <w:rPr>
          <w:rStyle w:val="StringTok"/>
        </w:rPr>
        <w:t xml:space="preserve">'trivy image portail-client:${BUILD_NUMBER}'</w:t>
      </w:r>
      <w:r>
        <w:br/>
      </w:r>
      <w:r>
        <w:rPr>
          <w:rStyle w:val="NormalTok"/>
        </w:rPr>
        <w:t xml:space="preserve">    </w:t>
      </w:r>
      <w:r>
        <w:rPr>
          <w:rStyle w:val="OperatorTok"/>
        </w:rPr>
        <w:t xml:space="preserve">}</w:t>
      </w:r>
      <w:r>
        <w:br/>
      </w:r>
      <w:r>
        <w:rPr>
          <w:rStyle w:val="OperatorTok"/>
        </w:rPr>
        <w:t xml:space="preserve">}</w:t>
      </w:r>
    </w:p>
    <w:bookmarkEnd w:id="1393"/>
    <w:bookmarkStart w:id="1394" w:name="Xd72f051d8976f1b8c8d39dacbcac6374192197e"/>
    <w:p>
      <w:pPr>
        <w:pStyle w:val="Heading2"/>
      </w:pPr>
      <w:r>
        <w:t xml:space="preserve">57.5 Scanner la configuration cloud et Terraform</w:t>
      </w:r>
    </w:p>
    <w:p>
      <w:pPr>
        <w:pStyle w:val="FirstParagraph"/>
      </w:pPr>
      <w:r>
        <w:t xml:space="preserve">🔒 Sécurité — rappel direct des chapitres 46-50 et 54-55</w:t>
      </w:r>
      <w:r>
        <w:t xml:space="preserve"> </w:t>
      </w:r>
      <w:r>
        <w:t xml:space="preserve">Les mêmes outils d’analyse peuvent vérifier un plan Terraform avant application, à la recherche de configurations cloud risquées déjà rencontrées dans ce manuel — un groupe de sécurité AWS ouvert sur Internet (chapitre 46), un compte de stockage sans chiffrement, une base de données accessible publiquement. Cette vérification s’insère naturellement entre l’étape</w:t>
      </w:r>
      <w:r>
        <w:t xml:space="preserve"> </w:t>
      </w:r>
      <w:r>
        <w:rPr>
          <w:rStyle w:val="VerbatimChar"/>
        </w:rPr>
        <w:t xml:space="preserve">terraform plan</w:t>
      </w:r>
      <w:r>
        <w:t xml:space="preserve"> </w:t>
      </w:r>
      <w:r>
        <w:t xml:space="preserve">et l’étape d’approbation déjà établies au chapitre 56.</w:t>
      </w:r>
    </w:p>
    <w:bookmarkEnd w:id="1394"/>
    <w:bookmarkStart w:id="1395" w:name="Xc9dccf08b3327e0397c04605b674829c7aa8136"/>
    <w:p>
      <w:pPr>
        <w:pStyle w:val="Heading2"/>
      </w:pPr>
      <w:r>
        <w:t xml:space="preserve">57.6 Faire échouer le pipeline en présence d’un problème critique</w:t>
      </w:r>
    </w:p>
    <w:p>
      <w:pPr>
        <w:pStyle w:val="FirstParagraph"/>
      </w:pPr>
      <w:r>
        <w:t xml:space="preserve">✅ Un scan qui n’interrompt jamais le pipeline ne sert à rien</w:t>
      </w:r>
      <w:r>
        <w:t xml:space="preserve"> </w:t>
      </w:r>
      <w:r>
        <w:t xml:space="preserve">Un scan de sécurité qui se contente d’afficher un avertissement, sans jamais bloquer le pipeline, finit rapidement ignoré par l’équipe — exactement le même risque que celui déjà observé pour une alerte non exploitée. Configure le pipeline pour qu’il échoue explicitement (</w:t>
      </w:r>
      <w:r>
        <w:rPr>
          <w:rStyle w:val="VerbatimChar"/>
        </w:rPr>
        <w:t xml:space="preserve">exit 1</w:t>
      </w:r>
      <w:r>
        <w:t xml:space="preserve">) lorsqu’une vulnérabilité critique est détectée, empêchant structurellement l’étape d’approbation et l’application du changement tant que le problème n’est pas corrigé ou explicitement accepté par une personne autorisée.</w:t>
      </w:r>
    </w:p>
    <w:bookmarkEnd w:id="1395"/>
    <w:bookmarkStart w:id="1396" w:name="Xac031e86480cc524c5b3ab60488662ba297dd4f"/>
    <w:p>
      <w:pPr>
        <w:pStyle w:val="Heading2"/>
      </w:pPr>
      <w:r>
        <w:t xml:space="preserve">57.7 Doser les seuils : éviter la fatigue d’alerte dès la conception</w:t>
      </w:r>
    </w:p>
    <w:p>
      <w:pPr>
        <w:pStyle w:val="FirstParagraph"/>
      </w:pPr>
      <w:r>
        <w:t xml:space="preserve">⚠️ Un pipeline qui bloque sur tout finit contourné</w:t>
      </w:r>
      <w:r>
        <w:t xml:space="preserve"> </w:t>
      </w:r>
      <w:r>
        <w:t xml:space="preserve">Un scan configuré pour bloquer le pipeline sur la moindre vulnérabilité, même mineure ou sans exploitation connue, produit rapidement une telle quantité de blocages que l’équipe cherche des moyens de contourner le pipeline plutôt que de corriger chaque problème signalé — un risque qui sera détaillé plus largement au chapitre consacré à la supervision (Partie 10), mais qui s’applique déjà pleinement ici : ne fais échouer le pipeline que sur les niveaux de sévérité réellement critiques, et journalise le reste pour une revue périodique plutôt qu’un blocage systématique.</w:t>
      </w:r>
    </w:p>
    <w:bookmarkEnd w:id="1396"/>
    <w:bookmarkStart w:id="1397" w:name="Xd5d2c1cce3b3a645b1d7b76ac3c5853429aca97"/>
    <w:p>
      <w:pPr>
        <w:pStyle w:val="Heading2"/>
      </w:pPr>
      <w:r>
        <w:t xml:space="preserve">Atelier — Sécuriser le pipeline du chapitre 56</w:t>
      </w:r>
    </w:p>
    <w:p>
      <w:pPr>
        <w:pStyle w:val="FirstParagraph"/>
      </w:pPr>
      <w:r>
        <w:t xml:space="preserve">🛠️ Atelier 57 — Un pipeline DevSecOps complet</w:t>
      </w:r>
    </w:p>
    <w:p>
      <w:pPr>
        <w:pStyle w:val="BodyText"/>
      </w:pPr>
      <w:r>
        <w:rPr>
          <w:b/>
          <w:bCs/>
        </w:rPr>
        <w:t xml:space="preserve">Objectif</w:t>
      </w:r>
      <w:r>
        <w:t xml:space="preserve"> </w:t>
      </w:r>
      <w:r>
        <w:t xml:space="preserve">: enrichir le Jenkinsfile du chapitre 56 avec des étapes de sécurité automatisées.</w:t>
      </w:r>
    </w:p>
    <w:p>
      <w:pPr>
        <w:pStyle w:val="BodyText"/>
      </w:pPr>
      <w:r>
        <w:rPr>
          <w:b/>
          <w:bCs/>
        </w:rPr>
        <w:t xml:space="preserve">Préparation</w:t>
      </w:r>
      <w:r>
        <w:t xml:space="preserve"> </w:t>
      </w:r>
      <w:r>
        <w:t xml:space="preserve">: le Jenkinsfile de l’atelier du chapitre 56 comme point de départ.</w:t>
      </w:r>
    </w:p>
    <w:p>
      <w:pPr>
        <w:pStyle w:val="BodyText"/>
      </w:pPr>
      <w:r>
        <w:rPr>
          <w:b/>
          <w:bCs/>
        </w:rPr>
        <w:t xml:space="preserve">Étapes détaillées</w:t>
      </w:r>
      <w:r>
        <w:t xml:space="preserve"> </w:t>
      </w:r>
      <w:r>
        <w:t xml:space="preserve">:</w:t>
      </w:r>
    </w:p>
    <w:p>
      <w:pPr>
        <w:pStyle w:val="Compact"/>
        <w:numPr>
          <w:ilvl w:val="0"/>
          <w:numId w:val="2309"/>
        </w:numPr>
      </w:pPr>
      <w:r>
        <w:t xml:space="preserve">Ajoute une étape d’analyse statique du code Terraform (section 57.3) immédiatement après le checkout et avant</w:t>
      </w:r>
      <w:r>
        <w:t xml:space="preserve"> </w:t>
      </w:r>
      <w:r>
        <w:rPr>
          <w:rStyle w:val="VerbatimChar"/>
        </w:rPr>
        <w:t xml:space="preserve">terraform plan</w:t>
      </w:r>
      <w:r>
        <w:t xml:space="preserve">.</w:t>
      </w:r>
    </w:p>
    <w:p>
      <w:pPr>
        <w:pStyle w:val="Compact"/>
        <w:numPr>
          <w:ilvl w:val="0"/>
          <w:numId w:val="2309"/>
        </w:numPr>
      </w:pPr>
      <w:r>
        <w:t xml:space="preserve">Ajoute une étape de scan de configuration (section 57.5) entre</w:t>
      </w:r>
      <w:r>
        <w:t xml:space="preserve"> </w:t>
      </w:r>
      <w:r>
        <w:rPr>
          <w:rStyle w:val="VerbatimChar"/>
        </w:rPr>
        <w:t xml:space="preserve">terraform plan</w:t>
      </w:r>
      <w:r>
        <w:t xml:space="preserve"> </w:t>
      </w:r>
      <w:r>
        <w:t xml:space="preserve">et l’étape d’approbation.</w:t>
      </w:r>
    </w:p>
    <w:p>
      <w:pPr>
        <w:pStyle w:val="Compact"/>
        <w:numPr>
          <w:ilvl w:val="0"/>
          <w:numId w:val="2309"/>
        </w:numPr>
      </w:pPr>
      <w:r>
        <w:t xml:space="preserve">Configure ces deux étapes pour faire échouer le pipeline uniquement sur une sévérité</w:t>
      </w:r>
      <w:r>
        <w:t xml:space="preserve"> </w:t>
      </w:r>
      <w:r>
        <w:t xml:space="preserve">“critique”</w:t>
      </w:r>
      <w:r>
        <w:t xml:space="preserve"> </w:t>
      </w:r>
      <w:r>
        <w:t xml:space="preserve">(section 57.7), pas sur toute vulnérabilité mineure.</w:t>
      </w:r>
    </w:p>
    <w:p>
      <w:pPr>
        <w:pStyle w:val="Compact"/>
        <w:numPr>
          <w:ilvl w:val="0"/>
          <w:numId w:val="2309"/>
        </w:numPr>
      </w:pPr>
      <w:r>
        <w:t xml:space="preserve">Explique où se positionnent ces nouvelles étapes par rapport à l’étape d’approbation humaine déjà en place, et pourquoi cet ordre est important.</w:t>
      </w:r>
    </w:p>
    <w:p>
      <w:pPr>
        <w:pStyle w:val="Compact"/>
        <w:numPr>
          <w:ilvl w:val="0"/>
          <w:numId w:val="2309"/>
        </w:numPr>
      </w:pPr>
      <w:r>
        <w:t xml:space="preserve">Compare ta démarche à la section</w:t>
      </w:r>
      <w:r>
        <w:t xml:space="preserve"> </w:t>
      </w:r>
      <w:r>
        <w:t xml:space="preserve">“Résultat attendu”</w:t>
      </w:r>
      <w:r>
        <w:t xml:space="preserve">.</w:t>
      </w:r>
    </w:p>
    <w:p>
      <w:pPr>
        <w:pStyle w:val="FirstParagraph"/>
      </w:pPr>
      <w:r>
        <w:rPr>
          <w:b/>
          <w:bCs/>
        </w:rPr>
        <w:t xml:space="preserve">Résultat attendu</w:t>
      </w:r>
      <w:r>
        <w:t xml:space="preserve"> </w:t>
      </w:r>
      <w:r>
        <w:t xml:space="preserve">: les étapes de sécurité doivent s’exécuter</w:t>
      </w:r>
      <w:r>
        <w:t xml:space="preserve"> </w:t>
      </w:r>
      <w:r>
        <w:rPr>
          <w:b/>
          <w:bCs/>
        </w:rPr>
        <w:t xml:space="preserve">avant</w:t>
      </w:r>
      <w:r>
        <w:t xml:space="preserve"> </w:t>
      </w:r>
      <w:r>
        <w:t xml:space="preserve">l’étape d’approbation humaine, jamais après — l’objectif est de présenter à la personne qui approuve un plan déjà vérifié, pas de découvrir un problème de sécurité après que le changement a déjà été validé et appliqué. En limitant l’échec automatique aux seules vulnérabilités critiques (section 57.7), le pipeline reste utilisable au quotidien tout en bloquant structurellement les problèmes les plus graves, un compromis directement inspiré du principe de dosage des seuils déjà appliqué à la criticité des incidents au chapitre 2.</w:t>
      </w:r>
    </w:p>
    <w:p>
      <w:pPr>
        <w:pStyle w:val="BodyText"/>
      </w:pPr>
      <w:r>
        <w:rPr>
          <w:b/>
          <w:bCs/>
        </w:rPr>
        <w:t xml:space="preserve">Dépannage</w:t>
      </w:r>
      <w:r>
        <w:t xml:space="preserve"> </w:t>
      </w:r>
      <w:r>
        <w:t xml:space="preserve">: si l’équipe commence à demander de désactiver temporairement les scans de sécurité pour</w:t>
      </w:r>
      <w:r>
        <w:t xml:space="preserve"> </w:t>
      </w:r>
      <w:r>
        <w:t xml:space="preserve">“aller plus vite”</w:t>
      </w:r>
      <w:r>
        <w:t xml:space="preserve">, c’est généralement le signe que les seuils sont mal calibrés (trop de faux positifs bloquants) plutôt qu’un problème avec le principe même du scan — revoir les seuils de sévérité avant d’envisager toute désactivation.</w:t>
      </w:r>
    </w:p>
    <w:bookmarkEnd w:id="1397"/>
    <w:bookmarkStart w:id="1398" w:name="erreurs-fréquentes-56"/>
    <w:p>
      <w:pPr>
        <w:pStyle w:val="Heading2"/>
      </w:pPr>
      <w:r>
        <w:t xml:space="preserve">Erreurs fréquentes</w:t>
      </w:r>
    </w:p>
    <w:p>
      <w:pPr>
        <w:pStyle w:val="FirstParagraph"/>
      </w:pPr>
      <w:r>
        <w:t xml:space="preserve">⚠️ Erreur n°1 — aucun scan de sécurité automatisé dans le pipeline</w:t>
      </w:r>
      <w:r>
        <w:t xml:space="preserve"> </w:t>
      </w:r>
      <w:r>
        <w:t xml:space="preserve">Rappel de la section 57.1 : un pipeline sans aucune vérification de sécurité applique une erreur de sécurité avec la même rapidité et la même confiance qu’un changement légitime.</w:t>
      </w:r>
    </w:p>
    <w:p>
      <w:pPr>
        <w:pStyle w:val="BodyText"/>
      </w:pPr>
      <w:r>
        <w:t xml:space="preserve">⚠️ Erreur n°2 — des scans configurés pour ne jamais bloquer le pipeline</w:t>
      </w:r>
      <w:r>
        <w:t xml:space="preserve"> </w:t>
      </w:r>
      <w:r>
        <w:t xml:space="preserve">Rappel de la section 57.6 : un scan qui se contente d’afficher un avertissement sans jamais interrompre le pipeline finit rapidement ignoré par l’équipe.</w:t>
      </w:r>
    </w:p>
    <w:p>
      <w:pPr>
        <w:pStyle w:val="BodyText"/>
      </w:pPr>
      <w:r>
        <w:t xml:space="preserve">⚠️ Erreur n°3 — des seuils si stricts que le pipeline bloque en permanence</w:t>
      </w:r>
      <w:r>
        <w:t xml:space="preserve"> </w:t>
      </w:r>
      <w:r>
        <w:t xml:space="preserve">Rappel de la section 57.7 : un excès de blocages sur des problèmes mineurs pousse l’équipe à chercher des contournements, un résultat opposé à l’objectif recherché.</w:t>
      </w:r>
    </w:p>
    <w:bookmarkEnd w:id="1398"/>
    <w:bookmarkStart w:id="1399" w:name="diagnostiquer-un-pipeline-devenu-bruyant"/>
    <w:p>
      <w:pPr>
        <w:pStyle w:val="Heading2"/>
      </w:pPr>
      <w:r>
        <w:t xml:space="preserve">Diagnostiquer un pipeline devenu bruyant</w:t>
      </w:r>
    </w:p>
    <w:p>
      <w:pPr>
        <w:pStyle w:val="FirstParagraph"/>
      </w:pPr>
      <w:r>
        <w:t xml:space="preserve">🩺 Symptôme : l’équipe commence à contourner ou désactiver systématiquement les étapes de sécurité du pipeline</w:t>
      </w:r>
    </w:p>
    <w:p>
      <w:pPr>
        <w:pStyle w:val="Compact"/>
        <w:numPr>
          <w:ilvl w:val="0"/>
          <w:numId w:val="2310"/>
        </w:numPr>
      </w:pPr>
      <w:r>
        <w:rPr>
          <w:b/>
          <w:bCs/>
        </w:rPr>
        <w:t xml:space="preserve">Diagnostic</w:t>
      </w:r>
      <w:r>
        <w:t xml:space="preserve"> </w:t>
      </w:r>
      <w:r>
        <w:t xml:space="preserve">: examiner l’historique récent des échecs de pipeline liés aux scans de sécurité — un taux élevé d’échecs sur des vulnérabilités mineures ou déjà connues et acceptées est le signe le plus fréquent d’un seuil mal calibré.</w:t>
      </w:r>
    </w:p>
    <w:p>
      <w:pPr>
        <w:pStyle w:val="Compact"/>
        <w:numPr>
          <w:ilvl w:val="0"/>
          <w:numId w:val="2310"/>
        </w:numPr>
      </w:pPr>
      <w:r>
        <w:rPr>
          <w:b/>
          <w:bCs/>
        </w:rPr>
        <w:t xml:space="preserve">Comment vérifier</w:t>
      </w:r>
      <w:r>
        <w:t xml:space="preserve"> </w:t>
      </w:r>
      <w:r>
        <w:t xml:space="preserve">: comparer le nombre de blocages liés à des vulnérabilités réellement critiques au nombre total de blocages sur une période donnée.</w:t>
      </w:r>
    </w:p>
    <w:p>
      <w:pPr>
        <w:pStyle w:val="Compact"/>
        <w:numPr>
          <w:ilvl w:val="0"/>
          <w:numId w:val="2310"/>
        </w:numPr>
      </w:pPr>
      <w:r>
        <w:rPr>
          <w:b/>
          <w:bCs/>
        </w:rPr>
        <w:t xml:space="preserve">Résolution</w:t>
      </w:r>
      <w:r>
        <w:t xml:space="preserve"> </w:t>
      </w:r>
      <w:r>
        <w:t xml:space="preserve">: ajuster le seuil de sévérité qui déclenche un échec du pipeline (section 57.7), et mettre en place une liste d’exceptions documentées et revues périodiquement pour les vulnérabilités mineures déjà connues et jugées acceptables, plutôt que de laisser l’équipe désactiver silencieusement l’ensemble du dispositif.</w:t>
      </w:r>
    </w:p>
    <w:bookmarkEnd w:id="1399"/>
    <w:bookmarkStart w:id="1400" w:name="en-entreprise-56"/>
    <w:p>
      <w:pPr>
        <w:pStyle w:val="Heading2"/>
      </w:pPr>
      <w:r>
        <w:t xml:space="preserve">En entreprise</w:t>
      </w:r>
    </w:p>
    <w:p>
      <w:pPr>
        <w:pStyle w:val="Compact"/>
        <w:numPr>
          <w:ilvl w:val="0"/>
          <w:numId w:val="2311"/>
        </w:numPr>
      </w:pPr>
      <w:r>
        <w:rPr>
          <w:b/>
          <w:bCs/>
        </w:rPr>
        <w:t xml:space="preserve">Bonne pratique répandue</w:t>
      </w:r>
      <w:r>
        <w:t xml:space="preserve"> </w:t>
      </w:r>
      <w:r>
        <w:t xml:space="preserve">: positionner les étapes de sécurité le plus tôt possible dans le pipeline (</w:t>
      </w:r>
      <w:r>
        <w:t xml:space="preserve">“shift left”</w:t>
      </w:r>
      <w:r>
        <w:t xml:space="preserve">), avant l’étape d’approbation humaine, pour que la personne qui approuve dispose d’une vision déjà vérifiée du changement.</w:t>
      </w:r>
    </w:p>
    <w:p>
      <w:pPr>
        <w:pStyle w:val="Compact"/>
        <w:numPr>
          <w:ilvl w:val="0"/>
          <w:numId w:val="2311"/>
        </w:numPr>
      </w:pPr>
      <w:r>
        <w:rPr>
          <w:b/>
          <w:bCs/>
        </w:rPr>
        <w:t xml:space="preserve">Bonne pratique répandue</w:t>
      </w:r>
      <w:r>
        <w:t xml:space="preserve"> </w:t>
      </w:r>
      <w:r>
        <w:t xml:space="preserve">: revoir périodiquement, avec l’équipe sécurité, les seuils de sévérité configurés dans le pipeline, plutôt que de les fixer une seule fois et de ne jamais les ajuster.</w:t>
      </w:r>
    </w:p>
    <w:p>
      <w:pPr>
        <w:pStyle w:val="Compact"/>
        <w:numPr>
          <w:ilvl w:val="0"/>
          <w:numId w:val="2311"/>
        </w:numPr>
      </w:pPr>
      <w:r>
        <w:rPr>
          <w:b/>
          <w:bCs/>
        </w:rPr>
        <w:t xml:space="preserve">Erreur classique observée</w:t>
      </w:r>
      <w:r>
        <w:t xml:space="preserve"> </w:t>
      </w:r>
      <w:r>
        <w:t xml:space="preserve">: une équipe sécurité qui impose des scans bloquants sans jamais consulter l’équipe infrastructure sur les seuils réalistes, provoquant un contournement généralisé du dispositif quelques semaines après sa mise en place — un échec organisationnel plus que technique.</w:t>
      </w:r>
    </w:p>
    <w:bookmarkEnd w:id="1400"/>
    <w:bookmarkStart w:id="1401" w:name="entretien-technique-56"/>
    <w:p>
      <w:pPr>
        <w:pStyle w:val="Heading2"/>
      </w:pPr>
      <w:r>
        <w:t xml:space="preserve">Entretien technique</w:t>
      </w:r>
    </w:p>
    <w:p>
      <w:pPr>
        <w:pStyle w:val="FirstParagraph"/>
      </w:pPr>
      <w:r>
        <w:t xml:space="preserve">💼 Questions fréquemment posées en entretien</w:t>
      </w:r>
    </w:p>
    <w:p>
      <w:pPr>
        <w:pStyle w:val="BodyText"/>
      </w:pPr>
      <w:r>
        <w:rPr>
          <w:b/>
          <w:bCs/>
        </w:rPr>
        <w:t xml:space="preserve">Q1.</w:t>
      </w:r>
      <w:r>
        <w:rPr>
          <w:b/>
          <w:bCs/>
        </w:rPr>
        <w:t xml:space="preserve"> </w:t>
      </w:r>
      <w:r>
        <w:rPr>
          <w:b/>
          <w:bCs/>
        </w:rPr>
        <w:t xml:space="preserve">“Qu’est-ce que le DevSecOps, et en quoi se distingue-t-il d’une simple revue de sécurité en fin de projet ?”</w:t>
      </w:r>
      <w:r>
        <w:t xml:space="preserve"> </w:t>
      </w:r>
      <w:r>
        <w:t xml:space="preserve">Réponse attendue : le DevSecOps intègre les vérifications de sécurité directement dans le pipeline d’intégration continue, à chaque changement, plutôt que ponctuellement en fin de projet — un défaut est détecté et corrigé immédiatement après son introduction, pas des semaines plus tard.</w:t>
      </w:r>
    </w:p>
    <w:p>
      <w:pPr>
        <w:pStyle w:val="BodyText"/>
      </w:pPr>
      <w:r>
        <w:rPr>
          <w:b/>
          <w:bCs/>
        </w:rPr>
        <w:t xml:space="preserve">Q2.</w:t>
      </w:r>
      <w:r>
        <w:rPr>
          <w:b/>
          <w:bCs/>
        </w:rPr>
        <w:t xml:space="preserve"> </w:t>
      </w:r>
      <w:r>
        <w:rPr>
          <w:b/>
          <w:bCs/>
        </w:rPr>
        <w:t xml:space="preserve">“Pourquoi est-il important qu’un pipeline puisse échouer automatiquement en présence d’une vulnérabilité critique ?”</w:t>
      </w:r>
      <w:r>
        <w:t xml:space="preserve"> </w:t>
      </w:r>
      <w:r>
        <w:t xml:space="preserve">Réponse attendue : sans ce blocage automatique, un scan se limite à informer sans empêcher réellement l’application d’un changement dangereux — le blocage transforme une simple alerte en contrôle effectif, empêchant structurellement l’application du changement tant que le problème n’est pas corrigé.</w:t>
      </w:r>
    </w:p>
    <w:p>
      <w:pPr>
        <w:pStyle w:val="BodyText"/>
      </w:pPr>
      <w:r>
        <w:rPr>
          <w:b/>
          <w:bCs/>
        </w:rPr>
        <w:t xml:space="preserve">Q3.</w:t>
      </w:r>
      <w:r>
        <w:rPr>
          <w:b/>
          <w:bCs/>
        </w:rPr>
        <w:t xml:space="preserve"> </w:t>
      </w:r>
      <w:r>
        <w:rPr>
          <w:b/>
          <w:bCs/>
        </w:rPr>
        <w:t xml:space="preserve">“Pourquoi faut-il doser soigneusement les seuils de sévérité qui déclenchent un blocage, plutôt que de bloquer sur toute vulnérabilité détectée ?”</w:t>
      </w:r>
      <w:r>
        <w:t xml:space="preserve"> </w:t>
      </w:r>
      <w:r>
        <w:t xml:space="preserve">Réponse attendue : un excès de blocages sur des problèmes mineurs épuise la patience de l’équipe et la pousse à chercher des contournements, un résultat opposé à l’objectif recherché — un dosage raisonnable, limité aux problèmes réellement critiques, maintient l’efficacité du dispositif dans la durée.</w:t>
      </w:r>
    </w:p>
    <w:bookmarkEnd w:id="1401"/>
    <w:bookmarkStart w:id="1402" w:name="X8d3fcb8fe5dfa1b27cacc07ea48a8bfc00ffa40"/>
    <w:p>
      <w:pPr>
        <w:pStyle w:val="Heading2"/>
      </w:pPr>
      <w:r>
        <w:t xml:space="preserve">Optimisation, sécurité et maintenabilité — les réflexes dès ce chapitre</w:t>
      </w:r>
    </w:p>
    <w:p>
      <w:pPr>
        <w:pStyle w:val="FirstParagraph"/>
      </w:pPr>
      <w:r>
        <w:t xml:space="preserve">🔒 Sécurité</w:t>
      </w:r>
      <w:r>
        <w:t xml:space="preserve"> </w:t>
      </w:r>
      <w:r>
        <w:t xml:space="preserve">Positionne toujours les étapes de scan de sécurité avant l’étape d’approbation humaine du pipeline, jamais après — la personne qui approuve un changement doit disposer d’une vision déjà vérifiée, pas découvrir un problème après application.</w:t>
      </w:r>
    </w:p>
    <w:p>
      <w:pPr>
        <w:pStyle w:val="BodyText"/>
      </w:pPr>
      <w:r>
        <w:t xml:space="preserve">✅ Maintenabilité</w:t>
      </w:r>
      <w:r>
        <w:t xml:space="preserve"> </w:t>
      </w:r>
      <w:r>
        <w:t xml:space="preserve">Documente et journalise les vulnérabilités mineures acceptées comme exceptions, avec une date de revue — une exception sans date de revue devient rapidement une exception permanente et oubliée.</w:t>
      </w:r>
    </w:p>
    <w:p>
      <w:pPr>
        <w:pStyle w:val="BodyText"/>
      </w:pPr>
      <w:r>
        <w:t xml:space="preserve">🚀 Performance</w:t>
      </w:r>
      <w:r>
        <w:t xml:space="preserve"> </w:t>
      </w:r>
      <w:r>
        <w:t xml:space="preserve">Les scans les plus rapides (analyse statique du code) peuvent s’exécuter tôt et systématiquement ; les scans plus lents (analyse approfondie d’image) peuvent être réservés aux changements touchant réellement les images concernées, pour éviter d’allonger inutilement chaque exécution du pipeline.</w:t>
      </w:r>
    </w:p>
    <w:bookmarkEnd w:id="1402"/>
    <w:bookmarkStart w:id="1403" w:name="résumé-du-chapitre-56"/>
    <w:p>
      <w:pPr>
        <w:pStyle w:val="Heading2"/>
      </w:pPr>
      <w:r>
        <w:t xml:space="preserve">Résumé du chapitre</w:t>
      </w:r>
    </w:p>
    <w:p>
      <w:pPr>
        <w:pStyle w:val="Compact"/>
        <w:numPr>
          <w:ilvl w:val="0"/>
          <w:numId w:val="2312"/>
        </w:numPr>
      </w:pPr>
      <w:r>
        <w:t xml:space="preserve">Un pipeline automatisé applique les changements plus vite qu’une exécution manuelle, dans un sens comme dans l’autre — l’automatisation seule ne garantit aucune sécurité.</w:t>
      </w:r>
    </w:p>
    <w:p>
      <w:pPr>
        <w:pStyle w:val="Compact"/>
        <w:numPr>
          <w:ilvl w:val="0"/>
          <w:numId w:val="2312"/>
        </w:numPr>
      </w:pPr>
      <w:r>
        <w:t xml:space="preserve">Le DevSecOps intègre les vérifications de sécurité directement dans le pipeline, à chaque changement, plutôt qu’en fin de projet.</w:t>
      </w:r>
    </w:p>
    <w:p>
      <w:pPr>
        <w:pStyle w:val="Compact"/>
        <w:numPr>
          <w:ilvl w:val="0"/>
          <w:numId w:val="2312"/>
        </w:numPr>
      </w:pPr>
      <w:r>
        <w:t xml:space="preserve">Une analyse statique du code Terraform et Ansible détecte des pratiques dangereuses avant même l’exécution.</w:t>
      </w:r>
    </w:p>
    <w:p>
      <w:pPr>
        <w:pStyle w:val="Compact"/>
        <w:numPr>
          <w:ilvl w:val="0"/>
          <w:numId w:val="2312"/>
        </w:numPr>
      </w:pPr>
      <w:r>
        <w:t xml:space="preserve">Un scan des images Docker et des dépendances détecte des vulnérabilités déjà connues avant leur déploiement.</w:t>
      </w:r>
    </w:p>
    <w:p>
      <w:pPr>
        <w:pStyle w:val="Compact"/>
        <w:numPr>
          <w:ilvl w:val="0"/>
          <w:numId w:val="2312"/>
        </w:numPr>
      </w:pPr>
      <w:r>
        <w:t xml:space="preserve">Un scan de configuration cloud détecte des erreurs comme un groupe de sécurité trop permissif avant l’application du plan.</w:t>
      </w:r>
    </w:p>
    <w:p>
      <w:pPr>
        <w:pStyle w:val="Compact"/>
        <w:numPr>
          <w:ilvl w:val="0"/>
          <w:numId w:val="2312"/>
        </w:numPr>
      </w:pPr>
      <w:r>
        <w:t xml:space="preserve">Un pipeline doit pouvoir échouer explicitement sur un problème critique, sinon les scans deviennent de simples avertissements ignorés.</w:t>
      </w:r>
    </w:p>
    <w:p>
      <w:pPr>
        <w:pStyle w:val="Compact"/>
        <w:numPr>
          <w:ilvl w:val="0"/>
          <w:numId w:val="2312"/>
        </w:numPr>
      </w:pPr>
      <w:r>
        <w:t xml:space="preserve">Les seuils de sévérité doivent rester raisonnables, sous peine de pousser l’équipe à contourner le dispositif.</w:t>
      </w:r>
    </w:p>
    <w:bookmarkEnd w:id="1403"/>
    <w:bookmarkStart w:id="1404" w:name="quiz-56"/>
    <w:p>
      <w:pPr>
        <w:pStyle w:val="Heading2"/>
      </w:pPr>
      <w:r>
        <w:t xml:space="preserve">Quiz</w:t>
      </w:r>
    </w:p>
    <w:p>
      <w:pPr>
        <w:pStyle w:val="FirstParagraph"/>
      </w:pPr>
      <w:r>
        <w:t xml:space="preserve">📝 QCM (une seule bonne réponse par question)</w:t>
      </w:r>
    </w:p>
    <w:p>
      <w:pPr>
        <w:pStyle w:val="Compact"/>
        <w:numPr>
          <w:ilvl w:val="0"/>
          <w:numId w:val="2313"/>
        </w:numPr>
      </w:pPr>
      <w:r>
        <w:t xml:space="preserve">Le DevSecOps consiste principalement à :</w:t>
      </w:r>
    </w:p>
    <w:p>
      <w:pPr>
        <w:pStyle w:val="Compact"/>
        <w:numPr>
          <w:ilvl w:val="1"/>
          <w:numId w:val="2314"/>
        </w:numPr>
      </w:pPr>
    </w:p>
    <w:p>
      <w:pPr>
        <w:pStyle w:val="Compact"/>
        <w:numPr>
          <w:ilvl w:val="2"/>
          <w:numId w:val="2315"/>
        </w:numPr>
      </w:pPr>
      <w:r>
        <w:t xml:space="preserve">Remplacer l’équipe sécurité par de l’automatisation</w:t>
      </w:r>
    </w:p>
    <w:p>
      <w:pPr>
        <w:pStyle w:val="Compact"/>
        <w:numPr>
          <w:ilvl w:val="1"/>
          <w:numId w:val="2314"/>
        </w:numPr>
      </w:pPr>
    </w:p>
    <w:p>
      <w:pPr>
        <w:pStyle w:val="Compact"/>
        <w:numPr>
          <w:ilvl w:val="2"/>
          <w:numId w:val="2316"/>
        </w:numPr>
      </w:pPr>
      <w:r>
        <w:t xml:space="preserve">Intégrer les vérifications de sécurité directement dans le pipeline, à chaque changement</w:t>
      </w:r>
    </w:p>
    <w:p>
      <w:pPr>
        <w:pStyle w:val="Compact"/>
        <w:numPr>
          <w:ilvl w:val="1"/>
          <w:numId w:val="2314"/>
        </w:numPr>
      </w:pPr>
    </w:p>
    <w:p>
      <w:pPr>
        <w:pStyle w:val="Compact"/>
        <w:numPr>
          <w:ilvl w:val="2"/>
          <w:numId w:val="2317"/>
        </w:numPr>
      </w:pPr>
      <w:r>
        <w:t xml:space="preserve">Effectuer un audit de sécurité annuel unique</w:t>
      </w:r>
    </w:p>
    <w:p>
      <w:pPr>
        <w:pStyle w:val="Compact"/>
        <w:numPr>
          <w:ilvl w:val="1"/>
          <w:numId w:val="2314"/>
        </w:numPr>
      </w:pPr>
    </w:p>
    <w:p>
      <w:pPr>
        <w:pStyle w:val="Compact"/>
        <w:numPr>
          <w:ilvl w:val="2"/>
          <w:numId w:val="2318"/>
        </w:numPr>
      </w:pPr>
      <w:r>
        <w:t xml:space="preserve">Bloquer systématiquement toute vulnérabilité, quelle que soit sa sévérité</w:t>
      </w:r>
    </w:p>
    <w:p>
      <w:pPr>
        <w:pStyle w:val="Compact"/>
        <w:numPr>
          <w:ilvl w:val="0"/>
          <w:numId w:val="2313"/>
        </w:numPr>
      </w:pPr>
      <w:r>
        <w:t xml:space="preserve">Où doivent se positionner les étapes de scan de sécurité par rapport à l’étape d’approbation humaine du pipeline ?</w:t>
      </w:r>
    </w:p>
    <w:p>
      <w:pPr>
        <w:pStyle w:val="Compact"/>
        <w:numPr>
          <w:ilvl w:val="1"/>
          <w:numId w:val="2319"/>
        </w:numPr>
      </w:pPr>
    </w:p>
    <w:p>
      <w:pPr>
        <w:pStyle w:val="Compact"/>
        <w:numPr>
          <w:ilvl w:val="2"/>
          <w:numId w:val="2320"/>
        </w:numPr>
      </w:pPr>
      <w:r>
        <w:t xml:space="preserve">Après l’approbation, pour ne pas ralentir la revue</w:t>
      </w:r>
    </w:p>
    <w:p>
      <w:pPr>
        <w:pStyle w:val="Compact"/>
        <w:numPr>
          <w:ilvl w:val="1"/>
          <w:numId w:val="2319"/>
        </w:numPr>
      </w:pPr>
    </w:p>
    <w:p>
      <w:pPr>
        <w:pStyle w:val="Compact"/>
        <w:numPr>
          <w:ilvl w:val="2"/>
          <w:numId w:val="2321"/>
        </w:numPr>
      </w:pPr>
      <w:r>
        <w:t xml:space="preserve">Avant l’approbation, pour présenter un plan déjà vérifié</w:t>
      </w:r>
    </w:p>
    <w:p>
      <w:pPr>
        <w:pStyle w:val="Compact"/>
        <w:numPr>
          <w:ilvl w:val="1"/>
          <w:numId w:val="2319"/>
        </w:numPr>
      </w:pPr>
    </w:p>
    <w:p>
      <w:pPr>
        <w:pStyle w:val="Compact"/>
        <w:numPr>
          <w:ilvl w:val="2"/>
          <w:numId w:val="2322"/>
        </w:numPr>
      </w:pPr>
      <w:r>
        <w:t xml:space="preserve">Peu importe l’ordre</w:t>
      </w:r>
    </w:p>
    <w:p>
      <w:pPr>
        <w:pStyle w:val="Compact"/>
        <w:numPr>
          <w:ilvl w:val="1"/>
          <w:numId w:val="2319"/>
        </w:numPr>
      </w:pPr>
    </w:p>
    <w:p>
      <w:pPr>
        <w:pStyle w:val="Compact"/>
        <w:numPr>
          <w:ilvl w:val="2"/>
          <w:numId w:val="2323"/>
        </w:numPr>
      </w:pPr>
      <w:r>
        <w:t xml:space="preserve">Uniquement en fin de pipeline, après l’application</w:t>
      </w:r>
    </w:p>
    <w:p>
      <w:pPr>
        <w:pStyle w:val="Compact"/>
        <w:numPr>
          <w:ilvl w:val="0"/>
          <w:numId w:val="2313"/>
        </w:numPr>
      </w:pPr>
      <w:r>
        <w:t xml:space="preserve">Un pipeline qui bloque systématiquement sur la moindre vulnérabilité mineure risque de :</w:t>
      </w:r>
    </w:p>
    <w:p>
      <w:pPr>
        <w:pStyle w:val="Compact"/>
        <w:numPr>
          <w:ilvl w:val="1"/>
          <w:numId w:val="2324"/>
        </w:numPr>
      </w:pPr>
    </w:p>
    <w:p>
      <w:pPr>
        <w:pStyle w:val="Compact"/>
        <w:numPr>
          <w:ilvl w:val="2"/>
          <w:numId w:val="2325"/>
        </w:numPr>
      </w:pPr>
      <w:r>
        <w:t xml:space="preserve">Améliorer immédiatement la sécurité sans effet secondaire</w:t>
      </w:r>
    </w:p>
    <w:p>
      <w:pPr>
        <w:pStyle w:val="Compact"/>
        <w:numPr>
          <w:ilvl w:val="1"/>
          <w:numId w:val="2324"/>
        </w:numPr>
      </w:pPr>
    </w:p>
    <w:p>
      <w:pPr>
        <w:pStyle w:val="Compact"/>
        <w:numPr>
          <w:ilvl w:val="2"/>
          <w:numId w:val="2326"/>
        </w:numPr>
      </w:pPr>
      <w:r>
        <w:t xml:space="preserve">Pousser l’équipe à contourner le dispositif</w:t>
      </w:r>
    </w:p>
    <w:p>
      <w:pPr>
        <w:pStyle w:val="Compact"/>
        <w:numPr>
          <w:ilvl w:val="1"/>
          <w:numId w:val="2324"/>
        </w:numPr>
      </w:pPr>
    </w:p>
    <w:p>
      <w:pPr>
        <w:pStyle w:val="Compact"/>
        <w:numPr>
          <w:ilvl w:val="2"/>
          <w:numId w:val="2327"/>
        </w:numPr>
      </w:pPr>
      <w:r>
        <w:t xml:space="preserve">Réduire le temps d’exécution du pipeline</w:t>
      </w:r>
    </w:p>
    <w:p>
      <w:pPr>
        <w:pStyle w:val="Compact"/>
        <w:numPr>
          <w:ilvl w:val="1"/>
          <w:numId w:val="2324"/>
        </w:numPr>
      </w:pPr>
    </w:p>
    <w:p>
      <w:pPr>
        <w:pStyle w:val="Compact"/>
        <w:numPr>
          <w:ilvl w:val="2"/>
          <w:numId w:val="2328"/>
        </w:numPr>
      </w:pPr>
      <w:r>
        <w:t xml:space="preserve">Remplacer le besoin d’une étape d’approbation</w:t>
      </w:r>
    </w:p>
    <w:p>
      <w:pPr>
        <w:pStyle w:val="FirstParagraph"/>
      </w:pPr>
      <w:r>
        <w:rPr>
          <w:b/>
          <w:bCs/>
        </w:rPr>
        <w:t xml:space="preserve">Corrigé</w:t>
      </w:r>
      <w:r>
        <w:t xml:space="preserve"> </w:t>
      </w:r>
      <w:r>
        <w:t xml:space="preserve">: 1-b, 2-b, 3-b.</w:t>
      </w:r>
    </w:p>
    <w:p>
      <w:pPr>
        <w:pStyle w:val="BodyText"/>
      </w:pPr>
      <w:r>
        <w:t xml:space="preserve">📝 Vrai ou Faux</w:t>
      </w:r>
    </w:p>
    <w:p>
      <w:pPr>
        <w:pStyle w:val="Compact"/>
        <w:numPr>
          <w:ilvl w:val="0"/>
          <w:numId w:val="2329"/>
        </w:numPr>
      </w:pPr>
      <w:r>
        <w:t xml:space="preserve">Un pipeline automatisé applique par nature des changements plus sûrs qu’une exécution manuelle. —</w:t>
      </w:r>
      <w:r>
        <w:t xml:space="preserve"> </w:t>
      </w:r>
      <w:r>
        <w:rPr>
          <w:b/>
          <w:bCs/>
        </w:rPr>
        <w:t xml:space="preserve">Faux</w:t>
      </w:r>
      <w:r>
        <w:t xml:space="preserve"> </w:t>
      </w:r>
      <w:r>
        <w:t xml:space="preserve">(l’automatisation accélère l’exécution, elle ne garantit rien sur la sécurité du contenu, section 57.1).</w:t>
      </w:r>
    </w:p>
    <w:p>
      <w:pPr>
        <w:pStyle w:val="Compact"/>
        <w:numPr>
          <w:ilvl w:val="0"/>
          <w:numId w:val="2329"/>
        </w:numPr>
      </w:pPr>
      <w:r>
        <w:t xml:space="preserve">Un scan qui se contente d’afficher un avertissement sans bloquer le pipeline finit généralement ignoré. —</w:t>
      </w:r>
      <w:r>
        <w:t xml:space="preserve"> </w:t>
      </w:r>
      <w:r>
        <w:rPr>
          <w:b/>
          <w:bCs/>
        </w:rPr>
        <w:t xml:space="preserve">Vrai</w:t>
      </w:r>
      <w:r>
        <w:t xml:space="preserve">.</w:t>
      </w:r>
    </w:p>
    <w:p>
      <w:pPr>
        <w:pStyle w:val="Compact"/>
        <w:numPr>
          <w:ilvl w:val="0"/>
          <w:numId w:val="2329"/>
        </w:numPr>
      </w:pPr>
      <w:r>
        <w:t xml:space="preserve">Les seuils de sévérité déclenchant un blocage du pipeline devraient rester fixes indéfiniment, sans jamais être révisés. —</w:t>
      </w:r>
      <w:r>
        <w:t xml:space="preserve"> </w:t>
      </w:r>
      <w:r>
        <w:rPr>
          <w:b/>
          <w:bCs/>
        </w:rPr>
        <w:t xml:space="preserve">Faux</w:t>
      </w:r>
      <w:r>
        <w:t xml:space="preserve"> </w:t>
      </w:r>
      <w:r>
        <w:t xml:space="preserve">(une revue périodique reste nécessaire, section 57.7).</w:t>
      </w:r>
    </w:p>
    <w:p>
      <w:pPr>
        <w:pStyle w:val="Compact"/>
        <w:numPr>
          <w:ilvl w:val="0"/>
          <w:numId w:val="2329"/>
        </w:numPr>
      </w:pPr>
      <w:r>
        <w:t xml:space="preserve">Une analyse statique du code Terraform peut détecter un problème avant même l’exécution du code. —</w:t>
      </w:r>
      <w:r>
        <w:t xml:space="preserve"> </w:t>
      </w:r>
      <w:r>
        <w:rPr>
          <w:b/>
          <w:bCs/>
        </w:rPr>
        <w:t xml:space="preserve">Vrai</w:t>
      </w:r>
      <w:r>
        <w:t xml:space="preserve">.</w:t>
      </w:r>
    </w:p>
    <w:p>
      <w:pPr>
        <w:pStyle w:val="FirstParagraph"/>
      </w:pPr>
      <w:r>
        <w:t xml:space="preserve">📝 Questions ouvertes</w:t>
      </w:r>
    </w:p>
    <w:p>
      <w:pPr>
        <w:pStyle w:val="Compact"/>
        <w:numPr>
          <w:ilvl w:val="0"/>
          <w:numId w:val="2330"/>
        </w:numPr>
      </w:pPr>
      <w:r>
        <w:t xml:space="preserve">Explique pourquoi la question posée par la RSSI dans le scénario d’ouverture (</w:t>
      </w:r>
      <w:r>
        <w:t xml:space="preserve">“qu’est-ce qui empêche ce pipeline d’appliquer un changement dangereux ?”</w:t>
      </w:r>
      <w:r>
        <w:t xml:space="preserve">) était légitime malgré la solidité du pipeline déjà construit au chapitre 56.</w:t>
      </w:r>
    </w:p>
    <w:p>
      <w:pPr>
        <w:pStyle w:val="Compact"/>
        <w:numPr>
          <w:ilvl w:val="0"/>
          <w:numId w:val="2330"/>
        </w:numPr>
      </w:pPr>
      <w:r>
        <w:t xml:space="preserve">Un membre de l’équipe propose de configurer le pipeline pour bloquer sur toute vulnérabilité détectée, sans distinction de sévérité,</w:t>
      </w:r>
      <w:r>
        <w:t xml:space="preserve"> </w:t>
      </w:r>
      <w:r>
        <w:t xml:space="preserve">“pour être certain de ne rien laisser passer”</w:t>
      </w:r>
      <w:r>
        <w:t xml:space="preserve">. Explique pourquoi cette approche, bien qu’intentionnée positivement, risque de produire l’effet inverse.</w:t>
      </w:r>
    </w:p>
    <w:p>
      <w:pPr>
        <w:pStyle w:val="FirstParagraph"/>
      </w:pPr>
      <w:r>
        <w:rPr>
          <w:b/>
          <w:bCs/>
        </w:rPr>
        <w:t xml:space="preserve">Corrigé 1</w:t>
      </w:r>
      <w:r>
        <w:t xml:space="preserve"> </w:t>
      </w:r>
      <w:r>
        <w:t xml:space="preserve">: le pipeline du chapitre 56 résolvait un problème de cohérence et de traçabilité de l’exécution — il garantissait que le changement appliqué correspondait exactement au code committé, exécuté dans un environnement reproductible, avec une approbation humaine enregistrée. Rien dans ce dispositif n’évaluait la sécurité du contenu même du changement : un plan Terraform ouvrant un port sensible sur Internet aurait été appliqué avec la même rigueur procédurale qu’un changement inoffensif, simplement parce que la procédure elle-même avait été respectée. La question de la RSSI pointait précisément cette limite : la cohérence d’exécution et la sécurité du contenu sont deux problèmes distincts, et résoudre le premier ne résout pas automatiquement le second.</w:t>
      </w:r>
    </w:p>
    <w:p>
      <w:pPr>
        <w:pStyle w:val="BodyText"/>
      </w:pPr>
      <w:r>
        <w:rPr>
          <w:b/>
          <w:bCs/>
        </w:rPr>
        <w:t xml:space="preserve">Corrigé 2</w:t>
      </w:r>
      <w:r>
        <w:t xml:space="preserve"> </w:t>
      </w:r>
      <w:r>
        <w:t xml:space="preserve">: un blocage systématique sur toute vulnérabilité, y compris les plus mineures ou sans exploitation connue, produit un très grand nombre d’échecs de pipeline pour des problèmes de faible impact réel. Face à cette accumulation de blocages perçus comme excessifs, l’équipe cherche typiquement des moyens de contourner le dispositif — désactiver temporairement les scans, ignorer systématiquement les échecs, ou dans le pire des cas, retourner à une exécution manuelle en dehors du pipeline pour éviter les blocages. Le résultat final est une sécurité effective plus faible qu’avec un seuil raisonnable limité aux vulnérabilités réellement critiques, exactement le même mécanisme de fatigue d’alerte qui sera approfondi au chapitre consacré à la supervision.</w:t>
      </w:r>
    </w:p>
    <w:bookmarkEnd w:id="1404"/>
    <w:bookmarkStart w:id="1405" w:name="exercices-56"/>
    <w:p>
      <w:pPr>
        <w:pStyle w:val="Heading2"/>
      </w:pPr>
      <w:r>
        <w:t xml:space="preserve">Exercices</w:t>
      </w:r>
    </w:p>
    <w:p>
      <w:pPr>
        <w:pStyle w:val="FirstParagraph"/>
      </w:pPr>
      <w:r>
        <w:t xml:space="preserve">📝 Exercice 57.1</w:t>
      </w:r>
    </w:p>
    <w:p>
      <w:pPr>
        <w:pStyle w:val="BodyText"/>
      </w:pPr>
      <w:r>
        <w:t xml:space="preserve">Place, dans l’ordre correct, les étapes suivantes d’un pipeline DevSecOps complet combinant les chapitres 56 et 57 :</w:t>
      </w:r>
      <w:r>
        <w:t xml:space="preserve"> </w:t>
      </w:r>
      <w:r>
        <w:rPr>
          <w:rStyle w:val="VerbatimChar"/>
        </w:rPr>
        <w:t xml:space="preserve">terraform apply</w:t>
      </w:r>
      <w:r>
        <w:t xml:space="preserve">,</w:t>
      </w:r>
      <w:r>
        <w:t xml:space="preserve"> </w:t>
      </w:r>
      <w:r>
        <w:rPr>
          <w:rStyle w:val="VerbatimChar"/>
        </w:rPr>
        <w:t xml:space="preserve">checkout</w:t>
      </w:r>
      <w:r>
        <w:t xml:space="preserve">,</w:t>
      </w:r>
      <w:r>
        <w:t xml:space="preserve"> </w:t>
      </w:r>
      <w:r>
        <w:rPr>
          <w:rStyle w:val="VerbatimChar"/>
        </w:rPr>
        <w:t xml:space="preserve">terraform plan</w:t>
      </w:r>
      <w:r>
        <w:t xml:space="preserve">, scan de configuration, approbation humaine, analyse statique du code.</w:t>
      </w:r>
    </w:p>
    <w:p>
      <w:pPr>
        <w:pStyle w:val="BodyText"/>
      </w:pPr>
      <w:r>
        <w:rPr>
          <w:b/>
          <w:bCs/>
        </w:rPr>
        <w:t xml:space="preserve">Corrigé :</w:t>
      </w:r>
      <w:r>
        <w:t xml:space="preserve"> </w:t>
      </w:r>
      <w:r>
        <w:t xml:space="preserve">L’ordre correct est :</w:t>
      </w:r>
      <w:r>
        <w:t xml:space="preserve"> </w:t>
      </w:r>
      <w:r>
        <w:rPr>
          <w:rStyle w:val="VerbatimChar"/>
        </w:rPr>
        <w:t xml:space="preserve">checkout</w:t>
      </w:r>
      <w:r>
        <w:t xml:space="preserve"> </w:t>
      </w:r>
      <w:r>
        <w:t xml:space="preserve">(récupérer le code), analyse statique du code (section 57.3, vérifier le code source avant toute exécution),</w:t>
      </w:r>
      <w:r>
        <w:t xml:space="preserve"> </w:t>
      </w:r>
      <w:r>
        <w:rPr>
          <w:rStyle w:val="VerbatimChar"/>
        </w:rPr>
        <w:t xml:space="preserve">terraform plan</w:t>
      </w:r>
      <w:r>
        <w:t xml:space="preserve"> </w:t>
      </w:r>
      <w:r>
        <w:t xml:space="preserve">(générer le plan de changement, chapitre 56), scan de configuration (section 57.5, vérifier le contenu du plan généré), approbation humaine (chapitre 56, valider un plan déjà vérifié),</w:t>
      </w:r>
      <w:r>
        <w:t xml:space="preserve"> </w:t>
      </w:r>
      <w:r>
        <w:rPr>
          <w:rStyle w:val="VerbatimChar"/>
        </w:rPr>
        <w:t xml:space="preserve">terraform apply</w:t>
      </w:r>
      <w:r>
        <w:t xml:space="preserve"> </w:t>
      </w:r>
      <w:r>
        <w:t xml:space="preserve">(appliquer le changement approuvé). Cet ordre garantit que chaque vérification de sécurité s’exécute sur l’artefact le plus pertinent disponible à ce stade, et que la personne qui approuve dispose toujours d’une vision déjà passée au crible des vérifications automatisées.</w:t>
      </w:r>
    </w:p>
    <w:p>
      <w:pPr>
        <w:pStyle w:val="BodyText"/>
      </w:pPr>
      <w:r>
        <w:t xml:space="preserve">📝 Exercice 57.2</w:t>
      </w:r>
    </w:p>
    <w:p>
      <w:pPr>
        <w:pStyle w:val="BodyText"/>
      </w:pPr>
      <w:r>
        <w:t xml:space="preserve">Rédige, en 3 à 5 phrases, une politique d’équipe définissant comment traiter une vulnérabilité mineure détectée par le pipeline mais jugée non critique, en t’appuyant sur les principes de la section 57.7.</w:t>
      </w:r>
    </w:p>
    <w:p>
      <w:pPr>
        <w:pStyle w:val="BodyText"/>
      </w:pPr>
      <w:r>
        <w:rPr>
          <w:b/>
          <w:bCs/>
        </w:rPr>
        <w:t xml:space="preserve">Corrigé (exemple de réponse) :</w:t>
      </w:r>
      <w:r>
        <w:t xml:space="preserve"> </w:t>
      </w:r>
      <w:r>
        <w:t xml:space="preserve">Toute vulnérabilité détectée par le pipeline et jugée non critique sera journalisée automatiquement sans bloquer l’exécution, plutôt que de provoquer un échec systématique. Chaque vulnérabilité ainsi journalisée sera consignée dans une liste d’exceptions documentée, accompagnée d’une justification et d’une date de revue fixée à un maximum de trois mois. Cette liste sera examinée collectivement lors d’une revue périodique impliquant l’équipe infrastructure et l’équipe sécurité, qui décidera de corriger, d’accepter durablement, ou de reclasser en critique chaque élément selon l’évolution du contexte. Cette politique évite à la fois l’accumulation silencieuse de dette de sécurité et le blocage systématique du pipeline sur des problèmes de faible impact réel.</w:t>
      </w:r>
    </w:p>
    <w:bookmarkEnd w:id="1405"/>
    <w:bookmarkStart w:id="1406" w:name="checklist-de-fin-de-chapitre-56"/>
    <w:p>
      <w:pPr>
        <w:pStyle w:val="Heading2"/>
      </w:pPr>
      <w:r>
        <w:t xml:space="preserve">Checklist de fin de chapitre</w:t>
      </w:r>
    </w:p>
    <w:p>
      <w:pPr>
        <w:pStyle w:val="FirstParagraph"/>
      </w:pPr>
      <w:r>
        <w:t xml:space="preserve">☐ Je comprends pourquoi un pipeline automatisé n’est pas automatiquement plus sûr, seulement plus rapide.</w:t>
      </w:r>
    </w:p>
    <w:p>
      <w:pPr>
        <w:pStyle w:val="BodyText"/>
      </w:pPr>
      <w:r>
        <w:t xml:space="preserve">☐ Je sais définir le principe DevSecOps par rapport à une revue de sécurité ponctuelle.</w:t>
      </w:r>
    </w:p>
    <w:p>
      <w:pPr>
        <w:pStyle w:val="BodyText"/>
      </w:pPr>
      <w:r>
        <w:t xml:space="preserve">☐ Je sais ajouter une étape d’analyse statique du code d’infrastructure à un pipeline.</w:t>
      </w:r>
    </w:p>
    <w:p>
      <w:pPr>
        <w:pStyle w:val="BodyText"/>
      </w:pPr>
      <w:r>
        <w:t xml:space="preserve">☐ Je sais ajouter un scan de vulnérabilités des images et un scan de configuration cloud.</w:t>
      </w:r>
    </w:p>
    <w:p>
      <w:pPr>
        <w:pStyle w:val="BodyText"/>
      </w:pPr>
      <w:r>
        <w:t xml:space="preserve">☐ Je sais positionner correctement ces étapes par rapport à l’approbation humaine.</w:t>
      </w:r>
    </w:p>
    <w:p>
      <w:pPr>
        <w:pStyle w:val="BodyText"/>
      </w:pPr>
      <w:r>
        <w:t xml:space="preserve">☐ Je comprends pourquoi les seuils de sévérité doivent rester raisonnables pour éviter le contournement du dispositif.</w:t>
      </w:r>
    </w:p>
    <w:bookmarkEnd w:id="1406"/>
    <w:bookmarkStart w:id="1407" w:name="faq-56"/>
    <w:p>
      <w:pPr>
        <w:pStyle w:val="Heading2"/>
      </w:pPr>
      <w:r>
        <w:t xml:space="preserve">FAQ</w:t>
      </w:r>
    </w:p>
    <w:p>
      <w:pPr>
        <w:pStyle w:val="FirstParagraph"/>
      </w:pPr>
      <w:r>
        <w:t xml:space="preserve">DevSecOps remplace-t-il le besoin d’une équipe sécurité dédiée ?</w:t>
      </w:r>
    </w:p>
    <w:p>
      <w:pPr>
        <w:pStyle w:val="BodyText"/>
      </w:pPr>
      <w:r>
        <w:t xml:space="preserve">Non, il change la façon dont cette équipe intervient — plutôt que de valider ponctuellement des changements déjà réalisés, elle définit les règles et les seuils intégrés au pipeline, et intervient en priorité sur les cas les plus critiques ou les exceptions documentées, un rôle différent mais tout aussi nécessaire.</w:t>
      </w:r>
    </w:p>
    <w:p>
      <w:pPr>
        <w:pStyle w:val="BodyText"/>
      </w:pPr>
      <w:r>
        <w:t xml:space="preserve">Faut-il scanner absolument tout à chaque exécution du pipeline, même les changements mineurs ?</w:t>
      </w:r>
    </w:p>
    <w:p>
      <w:pPr>
        <w:pStyle w:val="BodyText"/>
      </w:pPr>
      <w:r>
        <w:t xml:space="preserve">Pas nécessairement au même niveau de profondeur — les scans rapides (analyse statique du code) peuvent s’exécuter systématiquement, tandis que les scans plus longs peuvent être réservés aux changements touchant réellement les éléments concernés (section</w:t>
      </w:r>
      <w:r>
        <w:t xml:space="preserve"> </w:t>
      </w:r>
      <w:r>
        <w:t xml:space="preserve">“Performance”</w:t>
      </w:r>
      <w:r>
        <w:t xml:space="preserve">), un compromis entre couverture et rapidité d’exécution.</w:t>
      </w:r>
    </w:p>
    <w:p>
      <w:pPr>
        <w:pStyle w:val="BodyText"/>
      </w:pPr>
      <w:r>
        <w:t xml:space="preserve">Que faire si un scan bloque un pipeline en urgence, alors qu’un changement critique doit être appliqué immédiatement ?</w:t>
      </w:r>
    </w:p>
    <w:p>
      <w:pPr>
        <w:pStyle w:val="BodyText"/>
      </w:pPr>
      <w:r>
        <w:t xml:space="preserve">Une procédure d’exception documentée et tracée, nécessitant une validation explicite d’une personne autorisée (souvent la RSSI ou un responsable désigné), reste préférable à une désactivation informelle du scan — l’urgence ne devrait jamais devenir un prétexte silencieux pour contourner durablement le dispositif.</w:t>
      </w:r>
    </w:p>
    <w:p>
      <w:pPr>
        <w:pStyle w:val="BodyText"/>
      </w:pPr>
      <w:r>
        <w:t xml:space="preserve">Les mêmes outils de scan couvrent-ils à la fois le code Terraform, les images Docker et le code applicatif ?</w:t>
      </w:r>
    </w:p>
    <w:p>
      <w:pPr>
        <w:pStyle w:val="BodyText"/>
      </w:pPr>
      <w:r>
        <w:t xml:space="preserve">Pas toujours avec un seul et même outil — des outils spécialisés existent souvent pour chaque type d’analyse (code d’infrastructure, images de conteneurs, dépendances applicatives), qu’il convient de combiner selon les besoins réels de l’organisation plutôt que de chercher un outil unique couvrant tous les cas.</w:t>
      </w:r>
    </w:p>
    <w:bookmarkEnd w:id="1407"/>
    <w:bookmarkStart w:id="1410" w:name="références-et-pour-aller-plus-loin-56"/>
    <w:p>
      <w:pPr>
        <w:pStyle w:val="Heading2"/>
      </w:pPr>
      <w:r>
        <w:t xml:space="preserve">Références et pour aller plus loin</w:t>
      </w:r>
    </w:p>
    <w:p>
      <w:pPr>
        <w:pStyle w:val="Compact"/>
        <w:numPr>
          <w:ilvl w:val="0"/>
          <w:numId w:val="2331"/>
        </w:numPr>
      </w:pPr>
      <w:r>
        <w:t xml:space="preserve">OWASP — DevSecOps Guideline :</w:t>
      </w:r>
      <w:r>
        <w:t xml:space="preserve"> </w:t>
      </w:r>
      <w:hyperlink r:id="rId1408">
        <w:r>
          <w:rPr>
            <w:rStyle w:val="Hyperlink"/>
          </w:rPr>
          <w:t xml:space="preserve">https://owasp.org/www-project-devsecops-guideline/</w:t>
        </w:r>
      </w:hyperlink>
    </w:p>
    <w:p>
      <w:pPr>
        <w:pStyle w:val="Compact"/>
        <w:numPr>
          <w:ilvl w:val="0"/>
          <w:numId w:val="2331"/>
        </w:numPr>
      </w:pPr>
      <w:r>
        <w:t xml:space="preserve">NIST — Secure Software Development Framework (SSDF) :</w:t>
      </w:r>
      <w:r>
        <w:t xml:space="preserve"> </w:t>
      </w:r>
      <w:hyperlink r:id="rId1409">
        <w:r>
          <w:rPr>
            <w:rStyle w:val="Hyperlink"/>
          </w:rPr>
          <w:t xml:space="preserve">https://csrc.nist.gov/Projects/ssdf</w:t>
        </w:r>
      </w:hyperlink>
    </w:p>
    <w:p>
      <w:pPr>
        <w:pStyle w:val="Compact"/>
        <w:numPr>
          <w:ilvl w:val="0"/>
          <w:numId w:val="2331"/>
        </w:numPr>
      </w:pPr>
      <w:r>
        <w:t xml:space="preserve">CIS Benchmarks — configurations de référence sécurisées :</w:t>
      </w:r>
      <w:r>
        <w:t xml:space="preserve"> </w:t>
      </w:r>
      <w:hyperlink r:id="rId198">
        <w:r>
          <w:rPr>
            <w:rStyle w:val="Hyperlink"/>
          </w:rPr>
          <w:t xml:space="preserve">https://www.cisecurity.org/cis-benchmarks</w:t>
        </w:r>
      </w:hyperlink>
    </w:p>
    <w:p>
      <w:pPr>
        <w:pStyle w:val="FirstParagraph"/>
      </w:pPr>
      <w:r>
        <w:rPr>
          <w:i/>
          <w:iCs/>
        </w:rPr>
        <w:t xml:space="preserve">Chapitre suivant : ouverture de la Partie 10 de ce manuel, consacrée à la supervision, la journalisation et l’observabilité — comment savoir, en temps réel, ce qui se passe réellement sur une infrastructure devenue largement automatisée, plutôt que de l’apprendre après coup lors d’un incident.</w:t>
      </w:r>
    </w:p>
    <w:p>
      <w:pPr>
        <w:pStyle w:val="BodyText"/>
      </w:pPr>
      <w:r>
        <w:t xml:space="preserve">CHAPITRE 58</w:t>
      </w:r>
    </w:p>
    <w:bookmarkEnd w:id="1410"/>
    <w:bookmarkEnd w:id="1411"/>
    <w:bookmarkStart w:id="1434" w:name="X05249d471f7683df01bee504070f316c3efad56"/>
    <w:p>
      <w:pPr>
        <w:pStyle w:val="Heading1"/>
      </w:pPr>
      <w:r>
        <w:t xml:space="preserve">Principes de la supervision (métriques, logs, traces)</w:t>
      </w:r>
    </w:p>
    <w:p>
      <w:pPr>
        <w:pStyle w:val="FirstParagraph"/>
      </w:pPr>
      <w:r>
        <w:t xml:space="preserve">🎯 Objectif du chapitre</w:t>
      </w:r>
      <w:r>
        <w:t xml:space="preserve"> </w:t>
      </w:r>
      <w:r>
        <w:t xml:space="preserve">Savoir, en temps réel, ce qui se passe réellement sur une infrastructure devenue largement automatisée, plutôt que de l’apprendre après coup lors d’un incident signalé par les utilisateurs. À la fin de ce chapitre, tu comprendras les trois piliers de l’observabilité (métriques, logs, traces), la différence entre supervision active et passive, et tu sauras définir un plan de supervision minimal avec des seuils d’alerte raisonnables — la base indispensable avant d’aborder les outils concrets des chapitres suivants (Zabbix, Prometheus, Grafana, ELK, Graylog).</w:t>
      </w:r>
    </w:p>
    <w:p>
      <w:pPr>
        <w:pStyle w:val="BodyText"/>
      </w:pPr>
      <w:r>
        <w:t xml:space="preserve">🎬 Mise en situation</w:t>
      </w:r>
      <w:r>
        <w:t xml:space="preserve"> </w:t>
      </w:r>
      <w:r>
        <w:t xml:space="preserve">Un vendredi après-midi, plusieurs employés du service comptabilité signalent qu’ils ne parviennent plus à enregistrer de documents sur le serveur de gestion documentaire (chapitre 19). L’administrateur de garde se connecte et découvre que le disque est plein depuis probablement plusieurs heures — les journaux d’application s’accumulaient silencieusement sans qu’aucune rotation ne soit configurée. Rien n’a alerté personne : aucun système ne surveillait l’espace disque disponible.</w:t>
      </w:r>
      <w:r>
        <w:t xml:space="preserve"> </w:t>
      </w:r>
      <w:r>
        <w:t xml:space="preserve">“On l’a appris par les utilisateurs, pas par nos propres outils,”</w:t>
      </w:r>
      <w:r>
        <w:t xml:space="preserve"> </w:t>
      </w:r>
      <w:r>
        <w:t xml:space="preserve">résume le DSI en réunion post-incident.</w:t>
      </w:r>
      <w:r>
        <w:t xml:space="preserve"> </w:t>
      </w:r>
      <w:r>
        <w:t xml:space="preserve">“Ça doit changer.”</w:t>
      </w:r>
      <w:r>
        <w:t xml:space="preserve"> </w:t>
      </w:r>
      <w:r>
        <w:t xml:space="preserve">Ce chapitre pose les bases pour que ce type d’incident soit détecté avant que les utilisateurs ne le remarquent.</w:t>
      </w:r>
    </w:p>
    <w:bookmarkStart w:id="1412" w:name="X8e88a7eec2b8b33ebac4f042b7adc6446b20fd7"/>
    <w:p>
      <w:pPr>
        <w:pStyle w:val="Heading2"/>
      </w:pPr>
      <w:r>
        <w:t xml:space="preserve">58.1 Le problème : apprendre un incident par les utilisateurs</w:t>
      </w:r>
    </w:p>
    <w:p>
      <w:pPr>
        <w:pStyle w:val="FirstParagraph"/>
      </w:pPr>
      <w:r>
        <w:t xml:space="preserve">📌 À retenir — un incident non supervisé est un incident découvert trop tard</w:t>
      </w:r>
      <w:r>
        <w:t xml:space="preserve"> </w:t>
      </w:r>
      <w:r>
        <w:t xml:space="preserve">Sans supervision active, une infrastructure ne signale jamais elle-même ses problèmes — elle continue simplement à fonctionner en dégradé, silencieusement, jusqu’à ce qu’un utilisateur rencontre une erreur suffisamment visible pour la signaler. Le délai entre l’apparition réelle d’un problème (le disque qui se remplit progressivement) et sa détection (l’appel de l’utilisateur bloqué) constitue une fenêtre de risque évitable — l’objectif de la supervision est de réduire cette fenêtre au minimum, idéalement jusqu’à zéro.</w:t>
      </w:r>
    </w:p>
    <w:bookmarkEnd w:id="1412"/>
    <w:bookmarkStart w:id="1413" w:name="les-trois-piliers-de-lobservabilité"/>
    <w:p>
      <w:pPr>
        <w:pStyle w:val="Heading2"/>
      </w:pPr>
      <w:r>
        <w:t xml:space="preserve">58.2 Les trois piliers de l’observabilité</w:t>
      </w:r>
    </w:p>
    <w:p>
      <w:pPr>
        <w:pStyle w:val="FirstParagraph"/>
      </w:pPr>
      <w:r>
        <w:t xml:space="preserve">💡 Analogie — le tableau de bord d’un véhicule</w:t>
      </w:r>
      <w:r>
        <w:t xml:space="preserve"> </w:t>
      </w:r>
      <w:r>
        <w:t xml:space="preserve">Un tableau de bord de véhicule combine plusieurs types d’information complémentaires : des jauges numériques continues (vitesse, niveau de carburant), un journal d’événements (les voyants qui s’allument à un moment précis), et la capacité de retracer un trajet complet point par point. L’observabilité d’une infrastructure repose sur cette même combinaison, formalisée en trois piliers : les</w:t>
      </w:r>
      <w:r>
        <w:t xml:space="preserve"> </w:t>
      </w:r>
      <w:r>
        <w:rPr>
          <w:b/>
          <w:bCs/>
        </w:rPr>
        <w:t xml:space="preserve">métriques</w:t>
      </w:r>
      <w:r>
        <w:t xml:space="preserve">, les</w:t>
      </w:r>
      <w:r>
        <w:t xml:space="preserve"> </w:t>
      </w:r>
      <w:r>
        <w:rPr>
          <w:b/>
          <w:bCs/>
        </w:rPr>
        <w:t xml:space="preserve">logs</w:t>
      </w:r>
      <w:r>
        <w:t xml:space="preserve">, et les</w:t>
      </w:r>
      <w:r>
        <w:t xml:space="preserve"> </w:t>
      </w:r>
      <w:r>
        <w:rPr>
          <w:b/>
          <w:bCs/>
        </w:rPr>
        <w:t xml:space="preserve">traces</w:t>
      </w:r>
      <w:r>
        <w:t xml:space="preserve">.</w:t>
      </w:r>
    </w:p>
    <w:bookmarkEnd w:id="1413"/>
    <w:bookmarkStart w:id="1414" w:name="X87cb9a5e89498c9cad84762eb81accb62212e73"/>
    <w:p>
      <w:pPr>
        <w:pStyle w:val="Heading2"/>
      </w:pPr>
      <w:r>
        <w:t xml:space="preserve">58.3 Les métriques : des mesures numériques dans le temps</w:t>
      </w:r>
    </w:p>
    <w:p>
      <w:pPr>
        <w:pStyle w:val="FirstParagraph"/>
      </w:pPr>
      <w:r>
        <w:t xml:space="preserve">📌 À retenir — la jauge continue</w:t>
      </w:r>
      <w:r>
        <w:t xml:space="preserve"> </w:t>
      </w:r>
      <w:r>
        <w:t xml:space="preserve">Une</w:t>
      </w:r>
      <w:r>
        <w:t xml:space="preserve"> </w:t>
      </w:r>
      <w:r>
        <w:rPr>
          <w:b/>
          <w:bCs/>
        </w:rPr>
        <w:t xml:space="preserve">métrique</w:t>
      </w:r>
      <w:r>
        <w:t xml:space="preserve"> </w:t>
      </w:r>
      <w:r>
        <w:t xml:space="preserve">est une valeur numérique mesurée régulièrement dans le temps — l’utilisation du CPU, la mémoire disponible, l’espace disque restant, le nombre de requêtes par seconde, le temps de réponse moyen. Une métrique répond à la question</w:t>
      </w:r>
      <w:r>
        <w:t xml:space="preserve"> </w:t>
      </w:r>
      <w:r>
        <w:t xml:space="preserve">“combien”</w:t>
      </w:r>
      <w:r>
        <w:t xml:space="preserve"> </w:t>
      </w:r>
      <w:r>
        <w:t xml:space="preserve">et</w:t>
      </w:r>
      <w:r>
        <w:t xml:space="preserve"> </w:t>
      </w:r>
      <w:r>
        <w:t xml:space="preserve">“à quel rythme cette valeur évolue-t-elle”</w:t>
      </w:r>
      <w:r>
        <w:t xml:space="preserve"> </w:t>
      </w:r>
      <w:r>
        <w:t xml:space="preserve">— dans le scénario d’ouverture, une métrique d’espace disque disponible, surveillée en continu, aurait révélé la tendance à la baisse bien avant que le disque ne soit réellement plein.</w:t>
      </w:r>
    </w:p>
    <w:bookmarkEnd w:id="1414"/>
    <w:bookmarkStart w:id="1415" w:name="les-logs-un-journal-dévénements"/>
    <w:p>
      <w:pPr>
        <w:pStyle w:val="Heading2"/>
      </w:pPr>
      <w:r>
        <w:t xml:space="preserve">58.4 Les logs : un journal d’événements</w:t>
      </w:r>
    </w:p>
    <w:p>
      <w:pPr>
        <w:pStyle w:val="FirstParagraph"/>
      </w:pPr>
      <w:r>
        <w:t xml:space="preserve">📌 À retenir — le voyant qui s’allume à un instant précis</w:t>
      </w:r>
      <w:r>
        <w:t xml:space="preserve"> </w:t>
      </w:r>
      <w:r>
        <w:t xml:space="preserve">Un</w:t>
      </w:r>
      <w:r>
        <w:t xml:space="preserve"> </w:t>
      </w:r>
      <w:r>
        <w:rPr>
          <w:b/>
          <w:bCs/>
        </w:rPr>
        <w:t xml:space="preserve">log</w:t>
      </w:r>
      <w:r>
        <w:t xml:space="preserve"> </w:t>
      </w:r>
      <w:r>
        <w:t xml:space="preserve">(journal) est un enregistrement horodaté d’un événement précis — une connexion réussie, une erreur applicative, un service qui redémarre. Un log répond à la question</w:t>
      </w:r>
      <w:r>
        <w:t xml:space="preserve"> </w:t>
      </w:r>
      <w:r>
        <w:t xml:space="preserve">“que s’est-il passé, et quand exactement”</w:t>
      </w:r>
      <w:r>
        <w:t xml:space="preserve"> </w:t>
      </w:r>
      <w:r>
        <w:t xml:space="preserve">— contrairement à une métrique, il ne décrit pas une tendance continue mais un événement ponctuel. Les chapitres 62 et 63 approfondiront la centralisation et l’analyse des logs à grande échelle.</w:t>
      </w:r>
    </w:p>
    <w:bookmarkEnd w:id="1415"/>
    <w:bookmarkStart w:id="1416" w:name="Xfc17676ee4a79be32248aaaf3fd36641cb4d312"/>
    <w:p>
      <w:pPr>
        <w:pStyle w:val="Heading2"/>
      </w:pPr>
      <w:r>
        <w:t xml:space="preserve">58.5 Les traces : suivre une requête à travers plusieurs services</w:t>
      </w:r>
    </w:p>
    <w:p>
      <w:pPr>
        <w:pStyle w:val="FirstParagraph"/>
      </w:pPr>
      <w:r>
        <w:t xml:space="preserve">💡 Rappel indirect des chapitres 39-44</w:t>
      </w:r>
      <w:r>
        <w:t xml:space="preserve"> </w:t>
      </w:r>
      <w:r>
        <w:t xml:space="preserve">Une</w:t>
      </w:r>
      <w:r>
        <w:t xml:space="preserve"> </w:t>
      </w:r>
      <w:r>
        <w:rPr>
          <w:b/>
          <w:bCs/>
        </w:rPr>
        <w:t xml:space="preserve">trace</w:t>
      </w:r>
      <w:r>
        <w:t xml:space="preserve"> </w:t>
      </w:r>
      <w:r>
        <w:t xml:space="preserve">suit le parcours complet d’une requête unique à travers plusieurs composants d’un système distribué — particulièrement utile pour le portail client une fois déployé sur Kubernetes (chapitres 41-44), où une seule requête utilisateur peut traverser plusieurs microservices avant de recevoir une réponse. Une trace répond à la question</w:t>
      </w:r>
      <w:r>
        <w:t xml:space="preserve"> </w:t>
      </w:r>
      <w:r>
        <w:t xml:space="preserve">“où exactement, dans cette chaîne de composants, le ralentissement ou l’erreur s’est-il produit”</w:t>
      </w:r>
      <w:r>
        <w:t xml:space="preserve"> </w:t>
      </w:r>
      <w:r>
        <w:t xml:space="preserve">— une question à laquelle ni une métrique globale ni un log isolé ne peuvent répondre à eux seuls.</w:t>
      </w:r>
    </w:p>
    <w:bookmarkEnd w:id="1416"/>
    <w:bookmarkStart w:id="1417" w:name="X77a348c2b048a297e67ed043ad5aa804e2d7663"/>
    <w:p>
      <w:pPr>
        <w:pStyle w:val="Heading2"/>
      </w:pPr>
      <w:r>
        <w:t xml:space="preserve">58.6 Supervision active et supervision passive</w:t>
      </w:r>
    </w:p>
    <w:p>
      <w:pPr>
        <w:pStyle w:val="FirstParagraph"/>
      </w:pPr>
      <w:r>
        <w:t xml:space="preserve">📌 À retenir — interroger ou attendre d’être informé</w:t>
      </w:r>
      <w:r>
        <w:t xml:space="preserve"> </w:t>
      </w:r>
      <w:r>
        <w:t xml:space="preserve">La</w:t>
      </w:r>
      <w:r>
        <w:t xml:space="preserve"> </w:t>
      </w:r>
      <w:r>
        <w:rPr>
          <w:b/>
          <w:bCs/>
        </w:rPr>
        <w:t xml:space="preserve">supervision active</w:t>
      </w:r>
      <w:r>
        <w:t xml:space="preserve"> </w:t>
      </w:r>
      <w:r>
        <w:t xml:space="preserve">(ou</w:t>
      </w:r>
      <w:r>
        <w:t xml:space="preserve"> </w:t>
      </w:r>
      <w:r>
        <w:rPr>
          <w:i/>
          <w:iCs/>
        </w:rPr>
        <w:t xml:space="preserve">polling</w:t>
      </w:r>
      <w:r>
        <w:t xml:space="preserve">) interroge régulièrement chaque système surveillé pour connaître son état (</w:t>
      </w:r>
      <w:r>
        <w:t xml:space="preserve">“le serveur répond-il ? quel est son espace disque ?”</w:t>
      </w:r>
      <w:r>
        <w:t xml:space="preserve">). La</w:t>
      </w:r>
      <w:r>
        <w:t xml:space="preserve"> </w:t>
      </w:r>
      <w:r>
        <w:rPr>
          <w:b/>
          <w:bCs/>
        </w:rPr>
        <w:t xml:space="preserve">supervision passive</w:t>
      </w:r>
      <w:r>
        <w:t xml:space="preserve"> </w:t>
      </w:r>
      <w:r>
        <w:t xml:space="preserve">attend que le système surveillé signale lui-même un événement ou envoie sa métrique (un agent installé localement qui pousse ses données vers un serveur central). Les deux approches se complètent en pratique — un système peut être interrogé périodiquement tout en envoyant également des alertes immédiates dès qu’un seuil critique est franchi.</w:t>
      </w:r>
    </w:p>
    <w:bookmarkEnd w:id="1417"/>
    <w:bookmarkStart w:id="1418" w:name="Xa07bb2c7a4f4a3fbc660220ad01e25a3f874c20"/>
    <w:p>
      <w:pPr>
        <w:pStyle w:val="Heading2"/>
      </w:pPr>
      <w:r>
        <w:t xml:space="preserve">58.7 Seuils d’alerte : rappel direct du chapitre 57</w:t>
      </w:r>
    </w:p>
    <w:p>
      <w:pPr>
        <w:pStyle w:val="FirstParagraph"/>
      </w:pPr>
      <w:r>
        <w:t xml:space="preserve">⚠️ Le même piège que celui déjà rencontré au chapitre 57</w:t>
      </w:r>
      <w:r>
        <w:t xml:space="preserve"> </w:t>
      </w:r>
      <w:r>
        <w:t xml:space="preserve">Exactement le même risque de fatigue d’alerte déjà rencontré pour les seuils de sévérité d’un pipeline DevSecOps (section 57.7) s’applique à la supervision : un seuil d’alerte trop sensible (par exemple, une alerte à chaque pic normal et temporaire d’utilisation CPU) noie rapidement les alertes réellement importantes sous un flot d’alertes sans conséquence, jusqu’à ce que l’équipe cesse d’y prêter attention. Un seuil raisonnable, combiné à une durée minimale avant déclenchement (par exemple,</w:t>
      </w:r>
      <w:r>
        <w:t xml:space="preserve"> </w:t>
      </w:r>
      <w:r>
        <w:t xml:space="preserve">“CPU au-dessus de 90 % pendant plus de 5 minutes”</w:t>
      </w:r>
      <w:r>
        <w:t xml:space="preserve"> </w:t>
      </w:r>
      <w:r>
        <w:t xml:space="preserve">plutôt qu’un pic instantané), reste généralement plus efficace qu’un seuil brut sur une valeur instantanée.</w:t>
      </w:r>
    </w:p>
    <w:bookmarkEnd w:id="1418"/>
    <w:bookmarkStart w:id="1419" w:name="X118eeb904c237745da75e398531a9df5501c9bd"/>
    <w:p>
      <w:pPr>
        <w:pStyle w:val="Heading2"/>
      </w:pPr>
      <w:r>
        <w:t xml:space="preserve">58.8 Le tableau de bord : rendre visible l’état de santé de l’infrastructure</w:t>
      </w:r>
    </w:p>
    <w:p>
      <w:pPr>
        <w:pStyle w:val="FirstParagraph"/>
      </w:pPr>
      <w:r>
        <w:t xml:space="preserve">✅ Une supervision qui n’est jamais consultée ne sert à rien</w:t>
      </w:r>
      <w:r>
        <w:t xml:space="preserve"> </w:t>
      </w:r>
      <w:r>
        <w:t xml:space="preserve">Collecter des métriques et des logs ne suffit pas si personne ne les consulte jamais — un tableau de bord visuel, centralisant les indicateurs les plus critiques, rend l’état de santé de l’infrastructure immédiatement visible sans nécessiter d’interroger manuellement chaque système un par un. Le chapitre 61 (Grafana) détaillera la construction de ces tableaux de bord.</w:t>
      </w:r>
    </w:p>
    <w:bookmarkEnd w:id="1419"/>
    <w:bookmarkStart w:id="1420" w:name="X374b27db8f7179bfbcb5c0b5a4ac9729b8291c8"/>
    <w:p>
      <w:pPr>
        <w:pStyle w:val="Heading2"/>
      </w:pPr>
      <w:r>
        <w:t xml:space="preserve">Atelier — Définir un plan de supervision minimal</w:t>
      </w:r>
    </w:p>
    <w:p>
      <w:pPr>
        <w:pStyle w:val="FirstParagraph"/>
      </w:pPr>
      <w:r>
        <w:t xml:space="preserve">🛠️ Atelier 58 — Éviter la répétition du scénario d’ouverture</w:t>
      </w:r>
    </w:p>
    <w:p>
      <w:pPr>
        <w:pStyle w:val="BodyText"/>
      </w:pPr>
      <w:r>
        <w:rPr>
          <w:b/>
          <w:bCs/>
        </w:rPr>
        <w:t xml:space="preserve">Objectif</w:t>
      </w:r>
      <w:r>
        <w:t xml:space="preserve"> </w:t>
      </w:r>
      <w:r>
        <w:t xml:space="preserve">: concevoir un plan de supervision minimal pour le serveur de gestion documentaire, empêchant la répétition de l’incident du scénario d’ouverture.</w:t>
      </w:r>
    </w:p>
    <w:p>
      <w:pPr>
        <w:pStyle w:val="BodyText"/>
      </w:pPr>
      <w:r>
        <w:rPr>
          <w:b/>
          <w:bCs/>
        </w:rPr>
        <w:t xml:space="preserve">Préparation</w:t>
      </w:r>
      <w:r>
        <w:t xml:space="preserve"> </w:t>
      </w:r>
      <w:r>
        <w:t xml:space="preserve">: le serveur de gestion documentaire (Rocky Linux, chapitre 19) comme système de référence.</w:t>
      </w:r>
    </w:p>
    <w:p>
      <w:pPr>
        <w:pStyle w:val="BodyText"/>
      </w:pPr>
      <w:r>
        <w:rPr>
          <w:b/>
          <w:bCs/>
        </w:rPr>
        <w:t xml:space="preserve">Étapes détaillées</w:t>
      </w:r>
      <w:r>
        <w:t xml:space="preserve"> </w:t>
      </w:r>
      <w:r>
        <w:t xml:space="preserve">:</w:t>
      </w:r>
    </w:p>
    <w:p>
      <w:pPr>
        <w:pStyle w:val="Compact"/>
        <w:numPr>
          <w:ilvl w:val="0"/>
          <w:numId w:val="2332"/>
        </w:numPr>
      </w:pPr>
      <w:r>
        <w:t xml:space="preserve">Identifie au moins trois métriques essentielles à surveiller en continu sur ce serveur (section 58.3).</w:t>
      </w:r>
    </w:p>
    <w:p>
      <w:pPr>
        <w:pStyle w:val="Compact"/>
        <w:numPr>
          <w:ilvl w:val="0"/>
          <w:numId w:val="2332"/>
        </w:numPr>
      </w:pPr>
      <w:r>
        <w:t xml:space="preserve">Propose un seuil d’alerte raisonnable pour l’espace disque disponible, en tenant compte du risque de fatigue d’alerte (section 58.7).</w:t>
      </w:r>
    </w:p>
    <w:p>
      <w:pPr>
        <w:pStyle w:val="Compact"/>
        <w:numPr>
          <w:ilvl w:val="0"/>
          <w:numId w:val="2332"/>
        </w:numPr>
      </w:pPr>
      <w:r>
        <w:t xml:space="preserve">Identifie un log applicatif pertinent à centraliser pour ce serveur (section 58.4).</w:t>
      </w:r>
    </w:p>
    <w:p>
      <w:pPr>
        <w:pStyle w:val="Compact"/>
        <w:numPr>
          <w:ilvl w:val="0"/>
          <w:numId w:val="2332"/>
        </w:numPr>
      </w:pPr>
      <w:r>
        <w:t xml:space="preserve">Explique la différence entre une alerte déclenchée par supervision active et une alerte déclenchée par supervision passive dans ce contexte précis.</w:t>
      </w:r>
    </w:p>
    <w:p>
      <w:pPr>
        <w:pStyle w:val="Compact"/>
        <w:numPr>
          <w:ilvl w:val="0"/>
          <w:numId w:val="2332"/>
        </w:numPr>
      </w:pPr>
      <w:r>
        <w:t xml:space="preserve">Compare ta démarche à la section</w:t>
      </w:r>
      <w:r>
        <w:t xml:space="preserve"> </w:t>
      </w:r>
      <w:r>
        <w:t xml:space="preserve">“Résultat attendu”</w:t>
      </w:r>
      <w:r>
        <w:t xml:space="preserve">.</w:t>
      </w:r>
    </w:p>
    <w:p>
      <w:pPr>
        <w:pStyle w:val="FirstParagraph"/>
      </w:pPr>
      <w:r>
        <w:rPr>
          <w:b/>
          <w:bCs/>
        </w:rPr>
        <w:t xml:space="preserve">Résultat attendu</w:t>
      </w:r>
      <w:r>
        <w:t xml:space="preserve"> </w:t>
      </w:r>
      <w:r>
        <w:t xml:space="preserve">: trois métriques essentielles pour ce serveur incluent typiquement l’espace disque disponible, l’utilisation CPU et l’utilisation mémoire. Un seuil raisonnable pour l’espace disque pourrait être fixé à</w:t>
      </w:r>
      <w:r>
        <w:t xml:space="preserve"> </w:t>
      </w:r>
      <w:r>
        <w:t xml:space="preserve">“espace disponible inférieur à 15 % pendant plus de 10 minutes”</w:t>
      </w:r>
      <w:r>
        <w:t xml:space="preserve">, évitant une alerte sur une fluctuation normale et temporaire tout en laissant suffisamment de marge d’action avant que le disque ne soit réellement plein — contrairement au scénario d’ouverture, où aucun seuil n’existait. Le log applicatif du logiciel de gestion documentaire lui-même constitue une source pertinente à centraliser, pour détecter d’éventuelles erreurs d’écriture précédant le remplissage complet du disque. Une supervision active interrogerait régulièrement l’espace disque disponible ; une supervision passive recevrait une alerte immédiate poussée par un agent local dès le franchissement du seuil, sans attendre le prochain cycle d’interrogation.</w:t>
      </w:r>
    </w:p>
    <w:p>
      <w:pPr>
        <w:pStyle w:val="BodyText"/>
      </w:pPr>
      <w:r>
        <w:rPr>
          <w:b/>
          <w:bCs/>
        </w:rPr>
        <w:t xml:space="preserve">Dépannage</w:t>
      </w:r>
      <w:r>
        <w:t xml:space="preserve"> </w:t>
      </w:r>
      <w:r>
        <w:t xml:space="preserve">: si un plan de supervision nouvellement mis en place génère immédiatement un grand nombre d’alertes, ce n’est généralement pas le signe d’une infrastructure soudainement dégradée, mais celui de seuils mal calibrés qui n’avaient simplement jamais été mesurés auparavant — ajuste les seuils après quelques jours d’observation réelle plutôt que de les fixer arbitrairement dès le départ.</w:t>
      </w:r>
    </w:p>
    <w:bookmarkEnd w:id="1420"/>
    <w:bookmarkStart w:id="1421" w:name="erreurs-fréquentes-57"/>
    <w:p>
      <w:pPr>
        <w:pStyle w:val="Heading2"/>
      </w:pPr>
      <w:r>
        <w:t xml:space="preserve">Erreurs fréquentes</w:t>
      </w:r>
    </w:p>
    <w:p>
      <w:pPr>
        <w:pStyle w:val="FirstParagraph"/>
      </w:pPr>
      <w:r>
        <w:t xml:space="preserve">⚠️ Erreur n°1 — aucune supervision active, uniquement une découverte par les utilisateurs</w:t>
      </w:r>
      <w:r>
        <w:t xml:space="preserve"> </w:t>
      </w:r>
      <w:r>
        <w:t xml:space="preserve">Rappel du scénario d’ouverture : sans supervision, le délai entre l’apparition d’un problème et sa détection dépend entièrement de la patience et de la rapidité de signalement des utilisateurs.</w:t>
      </w:r>
    </w:p>
    <w:p>
      <w:pPr>
        <w:pStyle w:val="BodyText"/>
      </w:pPr>
      <w:r>
        <w:t xml:space="preserve">⚠️ Erreur n°2 — des seuils d’alerte mal calibrés, trop sensibles ou trop laxistes</w:t>
      </w:r>
      <w:r>
        <w:t xml:space="preserve"> </w:t>
      </w:r>
      <w:r>
        <w:t xml:space="preserve">Rappel de la section 58.7 : un seuil trop sensible noie les alertes importantes ; un seuil trop laxiste retarde inutilement la détection d’un problème réel.</w:t>
      </w:r>
    </w:p>
    <w:p>
      <w:pPr>
        <w:pStyle w:val="BodyText"/>
      </w:pPr>
      <w:r>
        <w:t xml:space="preserve">⚠️ Erreur n°3 — des métriques collectées mais jamais consultées</w:t>
      </w:r>
      <w:r>
        <w:t xml:space="preserve"> </w:t>
      </w:r>
      <w:r>
        <w:t xml:space="preserve">Rappel de la section 58.8 : une supervision techniquement fonctionnelle mais dont personne ne consulte jamais le tableau de bord équivaut en pratique à une absence de supervision.</w:t>
      </w:r>
    </w:p>
    <w:bookmarkEnd w:id="1421"/>
    <w:bookmarkStart w:id="1422" w:name="diagnostiquer-une-supervision-inefficace"/>
    <w:p>
      <w:pPr>
        <w:pStyle w:val="Heading2"/>
      </w:pPr>
      <w:r>
        <w:t xml:space="preserve">Diagnostiquer une supervision inefficace</w:t>
      </w:r>
    </w:p>
    <w:p>
      <w:pPr>
        <w:pStyle w:val="FirstParagraph"/>
      </w:pPr>
      <w:r>
        <w:t xml:space="preserve">🩺 Symptôme : un incident est découvert par les utilisateurs malgré l’existence d’un système de supervision</w:t>
      </w:r>
    </w:p>
    <w:p>
      <w:pPr>
        <w:pStyle w:val="Compact"/>
        <w:numPr>
          <w:ilvl w:val="0"/>
          <w:numId w:val="2333"/>
        </w:numPr>
      </w:pPr>
      <w:r>
        <w:rPr>
          <w:b/>
          <w:bCs/>
        </w:rPr>
        <w:t xml:space="preserve">Diagnostic</w:t>
      </w:r>
      <w:r>
        <w:t xml:space="preserve"> </w:t>
      </w:r>
      <w:r>
        <w:t xml:space="preserve">: vérifier si la métrique concernée était réellement surveillée, si un seuil d’alerte était configuré pour cette métrique, et si l’alerte générée avait effectivement un destinataire clairement identifié et disponible au moment de l’incident.</w:t>
      </w:r>
    </w:p>
    <w:p>
      <w:pPr>
        <w:pStyle w:val="Compact"/>
        <w:numPr>
          <w:ilvl w:val="0"/>
          <w:numId w:val="2333"/>
        </w:numPr>
      </w:pPr>
      <w:r>
        <w:rPr>
          <w:b/>
          <w:bCs/>
        </w:rPr>
        <w:t xml:space="preserve">Comment vérifier</w:t>
      </w:r>
      <w:r>
        <w:t xml:space="preserve"> </w:t>
      </w:r>
      <w:r>
        <w:t xml:space="preserve">: rechercher dans l’historique du système de supervision si une alerte a bien été générée au moment de l’incident, et si oui, retracer pourquoi elle n’a pas été traitée à temps.</w:t>
      </w:r>
    </w:p>
    <w:p>
      <w:pPr>
        <w:pStyle w:val="Compact"/>
        <w:numPr>
          <w:ilvl w:val="0"/>
          <w:numId w:val="2333"/>
        </w:numPr>
      </w:pPr>
      <w:r>
        <w:rPr>
          <w:b/>
          <w:bCs/>
        </w:rPr>
        <w:t xml:space="preserve">Résolution</w:t>
      </w:r>
      <w:r>
        <w:t xml:space="preserve"> </w:t>
      </w:r>
      <w:r>
        <w:t xml:space="preserve">: combler l’angle mort identifié (métrique non surveillée, seuil absent, ou destinataire d’alerte mal défini) — un incident non détecté révèle presque toujours un trou précis et corrigible dans le plan de supervision, plutôt qu’une défaillance générale du concept de supervision lui-même.</w:t>
      </w:r>
    </w:p>
    <w:bookmarkEnd w:id="1422"/>
    <w:bookmarkStart w:id="1423" w:name="en-entreprise-57"/>
    <w:p>
      <w:pPr>
        <w:pStyle w:val="Heading2"/>
      </w:pPr>
      <w:r>
        <w:t xml:space="preserve">En entreprise</w:t>
      </w:r>
    </w:p>
    <w:p>
      <w:pPr>
        <w:pStyle w:val="Compact"/>
        <w:numPr>
          <w:ilvl w:val="0"/>
          <w:numId w:val="2334"/>
        </w:numPr>
      </w:pPr>
      <w:r>
        <w:rPr>
          <w:b/>
          <w:bCs/>
        </w:rPr>
        <w:t xml:space="preserve">Bonne pratique répandue</w:t>
      </w:r>
      <w:r>
        <w:t xml:space="preserve"> </w:t>
      </w:r>
      <w:r>
        <w:t xml:space="preserve">: définir un plan de supervision minimal pour chaque nouveau système dès sa mise en production, plutôt que d’ajouter la supervision après un premier incident non détecté.</w:t>
      </w:r>
    </w:p>
    <w:p>
      <w:pPr>
        <w:pStyle w:val="Compact"/>
        <w:numPr>
          <w:ilvl w:val="0"/>
          <w:numId w:val="2334"/>
        </w:numPr>
      </w:pPr>
      <w:r>
        <w:rPr>
          <w:b/>
          <w:bCs/>
        </w:rPr>
        <w:t xml:space="preserve">Bonne pratique répandue</w:t>
      </w:r>
      <w:r>
        <w:t xml:space="preserve"> </w:t>
      </w:r>
      <w:r>
        <w:t xml:space="preserve">: revoir périodiquement les seuils d’alerte à la lumière des données réellement observées, plutôt que de les fixer une seule fois arbitrairement.</w:t>
      </w:r>
    </w:p>
    <w:p>
      <w:pPr>
        <w:pStyle w:val="Compact"/>
        <w:numPr>
          <w:ilvl w:val="0"/>
          <w:numId w:val="2334"/>
        </w:numPr>
      </w:pPr>
      <w:r>
        <w:rPr>
          <w:b/>
          <w:bCs/>
        </w:rPr>
        <w:t xml:space="preserve">Erreur classique observée</w:t>
      </w:r>
      <w:r>
        <w:t xml:space="preserve"> </w:t>
      </w:r>
      <w:r>
        <w:t xml:space="preserve">: une organisation qui investit dans des outils de supervision sophistiqués sans jamais définir clairement qui reçoit et traite chaque type d’alerte — l’outil existe, mais personne n’agit dessus, reproduisant en pratique le même résultat que l’absence totale de supervision.</w:t>
      </w:r>
    </w:p>
    <w:bookmarkEnd w:id="1423"/>
    <w:bookmarkStart w:id="1424" w:name="entretien-technique-57"/>
    <w:p>
      <w:pPr>
        <w:pStyle w:val="Heading2"/>
      </w:pPr>
      <w:r>
        <w:t xml:space="preserve">Entretien technique</w:t>
      </w:r>
    </w:p>
    <w:p>
      <w:pPr>
        <w:pStyle w:val="FirstParagraph"/>
      </w:pPr>
      <w:r>
        <w:t xml:space="preserve">💼 Questions fréquemment posées en entretien</w:t>
      </w:r>
    </w:p>
    <w:p>
      <w:pPr>
        <w:pStyle w:val="BodyText"/>
      </w:pPr>
      <w:r>
        <w:rPr>
          <w:b/>
          <w:bCs/>
        </w:rPr>
        <w:t xml:space="preserve">Q1.</w:t>
      </w:r>
      <w:r>
        <w:rPr>
          <w:b/>
          <w:bCs/>
        </w:rPr>
        <w:t xml:space="preserve"> </w:t>
      </w:r>
      <w:r>
        <w:rPr>
          <w:b/>
          <w:bCs/>
        </w:rPr>
        <w:t xml:space="preserve">“Quels sont les trois piliers de l’observabilité, et à quelle question chacun répond-il ?”</w:t>
      </w:r>
      <w:r>
        <w:t xml:space="preserve"> </w:t>
      </w:r>
      <w:r>
        <w:t xml:space="preserve">Réponse attendue : les métriques répondent à</w:t>
      </w:r>
      <w:r>
        <w:t xml:space="preserve"> </w:t>
      </w:r>
      <w:r>
        <w:t xml:space="preserve">“combien, et à quel rythme cette valeur évolue”</w:t>
      </w:r>
      <w:r>
        <w:t xml:space="preserve"> </w:t>
      </w:r>
      <w:r>
        <w:t xml:space="preserve">; les logs répondent à</w:t>
      </w:r>
      <w:r>
        <w:t xml:space="preserve"> </w:t>
      </w:r>
      <w:r>
        <w:t xml:space="preserve">“que s’est-il passé, et quand”</w:t>
      </w:r>
      <w:r>
        <w:t xml:space="preserve"> </w:t>
      </w:r>
      <w:r>
        <w:t xml:space="preserve">; les traces répondent à</w:t>
      </w:r>
      <w:r>
        <w:t xml:space="preserve"> </w:t>
      </w:r>
      <w:r>
        <w:t xml:space="preserve">“où, dans une chaîne de composants distribués, un problème s’est-il produit”</w:t>
      </w:r>
      <w:r>
        <w:t xml:space="preserve">.</w:t>
      </w:r>
    </w:p>
    <w:p>
      <w:pPr>
        <w:pStyle w:val="BodyText"/>
      </w:pPr>
      <w:r>
        <w:rPr>
          <w:b/>
          <w:bCs/>
        </w:rPr>
        <w:t xml:space="preserve">Q2.</w:t>
      </w:r>
      <w:r>
        <w:rPr>
          <w:b/>
          <w:bCs/>
        </w:rPr>
        <w:t xml:space="preserve"> </w:t>
      </w:r>
      <w:r>
        <w:rPr>
          <w:b/>
          <w:bCs/>
        </w:rPr>
        <w:t xml:space="preserve">“Quelle est la différence entre supervision active et supervision passive ?”</w:t>
      </w:r>
      <w:r>
        <w:t xml:space="preserve"> </w:t>
      </w:r>
      <w:r>
        <w:t xml:space="preserve">Réponse attendue : la supervision active interroge régulièrement chaque système surveillé pour connaître son état ; la supervision passive attend que le système surveillé signale lui-même un événement ou pousse sa métrique vers un serveur central — les deux approches se complètent généralement en pratique.</w:t>
      </w:r>
    </w:p>
    <w:p>
      <w:pPr>
        <w:pStyle w:val="BodyText"/>
      </w:pPr>
      <w:r>
        <w:rPr>
          <w:b/>
          <w:bCs/>
        </w:rPr>
        <w:t xml:space="preserve">Q3.</w:t>
      </w:r>
      <w:r>
        <w:rPr>
          <w:b/>
          <w:bCs/>
        </w:rPr>
        <w:t xml:space="preserve"> </w:t>
      </w:r>
      <w:r>
        <w:rPr>
          <w:b/>
          <w:bCs/>
        </w:rPr>
        <w:t xml:space="preserve">“Pourquoi un seuil d’alerte trop sensible peut-il réduire l’efficacité globale d’un système de supervision ?”</w:t>
      </w:r>
      <w:r>
        <w:t xml:space="preserve"> </w:t>
      </w:r>
      <w:r>
        <w:t xml:space="preserve">Réponse attendue : un seuil trop sensible génère un grand nombre d’alertes sans réelle conséquence, ce qui pousse progressivement l’équipe à ignorer les alertes en général, y compris celles qui signalent un problème réellement critique — le même mécanisme de fatigue d’alerte déjà rencontré pour les seuils de sévérité d’un pipeline DevSecOps au chapitre 57.</w:t>
      </w:r>
    </w:p>
    <w:bookmarkEnd w:id="1424"/>
    <w:bookmarkStart w:id="1425" w:name="Xf43757123e30a209c48c57a2de4f943c5ae8db7"/>
    <w:p>
      <w:pPr>
        <w:pStyle w:val="Heading2"/>
      </w:pPr>
      <w:r>
        <w:t xml:space="preserve">Optimisation, sécurité et maintenabilité — les réflexes dès ce chapitre</w:t>
      </w:r>
    </w:p>
    <w:p>
      <w:pPr>
        <w:pStyle w:val="FirstParagraph"/>
      </w:pPr>
      <w:r>
        <w:t xml:space="preserve">🔒 Sécurité</w:t>
      </w:r>
      <w:r>
        <w:t xml:space="preserve"> </w:t>
      </w:r>
      <w:r>
        <w:t xml:space="preserve">La supervision n’est pas réservée aux problèmes de performance — une métrique d’authentifications échouées en forte hausse, ou un log signalant un accès inhabituel, constitue une donnée de supervision au même titre qu’une métrique d’espace disque, et sera approfondie dans la Partie 12 consacrée à la cybersécurité.</w:t>
      </w:r>
    </w:p>
    <w:p>
      <w:pPr>
        <w:pStyle w:val="BodyText"/>
      </w:pPr>
      <w:r>
        <w:t xml:space="preserve">✅ Bonne pratique</w:t>
      </w:r>
      <w:r>
        <w:t xml:space="preserve"> </w:t>
      </w:r>
      <w:r>
        <w:t xml:space="preserve">Définis systématiquement, pour chaque nouveau système mis en production, une liste minimale de métriques à surveiller et un destinataire clair pour chaque type d’alerte — une supervision improvisée après coup couvre presque toujours moins bien les angles morts qu’une supervision pensée dès la conception.</w:t>
      </w:r>
    </w:p>
    <w:p>
      <w:pPr>
        <w:pStyle w:val="BodyText"/>
      </w:pPr>
      <w:r>
        <w:t xml:space="preserve">🚀 Performance</w:t>
      </w:r>
      <w:r>
        <w:t xml:space="preserve"> </w:t>
      </w:r>
      <w:r>
        <w:t xml:space="preserve">La collecte de métriques elle-même consomme des ressources (CPU, réseau, stockage) — un intervalle de collecte trop fréquent sur un grand nombre de systèmes peut, paradoxalement, dégrader légèrement la performance de l’infrastructure qu’elle est censée surveiller ; un intervalle raisonnable, adapté à la criticité de chaque métrique, reste préférable à une collecte maximale systématique.</w:t>
      </w:r>
    </w:p>
    <w:bookmarkEnd w:id="1425"/>
    <w:bookmarkStart w:id="1426" w:name="résumé-du-chapitre-57"/>
    <w:p>
      <w:pPr>
        <w:pStyle w:val="Heading2"/>
      </w:pPr>
      <w:r>
        <w:t xml:space="preserve">Résumé du chapitre</w:t>
      </w:r>
    </w:p>
    <w:p>
      <w:pPr>
        <w:pStyle w:val="Compact"/>
        <w:numPr>
          <w:ilvl w:val="0"/>
          <w:numId w:val="2335"/>
        </w:numPr>
      </w:pPr>
      <w:r>
        <w:t xml:space="preserve">Sans supervision active, un incident est généralement découvert par les utilisateurs, avec un délai de détection dépendant entièrement de leur patience.</w:t>
      </w:r>
    </w:p>
    <w:p>
      <w:pPr>
        <w:pStyle w:val="Compact"/>
        <w:numPr>
          <w:ilvl w:val="0"/>
          <w:numId w:val="2335"/>
        </w:numPr>
      </w:pPr>
      <w:r>
        <w:t xml:space="preserve">Les trois piliers de l’observabilité sont les métriques (mesures numériques continues), les logs (événements ponctuels horodatés) et les traces (parcours d’une requête à travers plusieurs composants).</w:t>
      </w:r>
    </w:p>
    <w:p>
      <w:pPr>
        <w:pStyle w:val="Compact"/>
        <w:numPr>
          <w:ilvl w:val="0"/>
          <w:numId w:val="2335"/>
        </w:numPr>
      </w:pPr>
      <w:r>
        <w:t xml:space="preserve">La supervision active interroge régulièrement les systèmes surveillés ; la supervision passive attend qu’ils signalent eux-mêmes un événement.</w:t>
      </w:r>
    </w:p>
    <w:p>
      <w:pPr>
        <w:pStyle w:val="Compact"/>
        <w:numPr>
          <w:ilvl w:val="0"/>
          <w:numId w:val="2335"/>
        </w:numPr>
      </w:pPr>
      <w:r>
        <w:t xml:space="preserve">Les seuils d’alerte doivent rester raisonnables, sous peine de provoquer la même fatigue d’alerte déjà rencontrée pour les pipelines DevSecOps.</w:t>
      </w:r>
    </w:p>
    <w:p>
      <w:pPr>
        <w:pStyle w:val="Compact"/>
        <w:numPr>
          <w:ilvl w:val="0"/>
          <w:numId w:val="2335"/>
        </w:numPr>
      </w:pPr>
      <w:r>
        <w:t xml:space="preserve">Un tableau de bord visuel rend l’état de santé de l’infrastructure immédiatement consultable, sans nécessiter d’interroger chaque système individuellement.</w:t>
      </w:r>
    </w:p>
    <w:p>
      <w:pPr>
        <w:pStyle w:val="Compact"/>
        <w:numPr>
          <w:ilvl w:val="0"/>
          <w:numId w:val="2335"/>
        </w:numPr>
      </w:pPr>
      <w:r>
        <w:t xml:space="preserve">Un plan de supervision minimal devrait être défini dès la mise en production d’un système, pas après un premier incident non détecté.</w:t>
      </w:r>
    </w:p>
    <w:bookmarkEnd w:id="1426"/>
    <w:bookmarkStart w:id="1427" w:name="quiz-57"/>
    <w:p>
      <w:pPr>
        <w:pStyle w:val="Heading2"/>
      </w:pPr>
      <w:r>
        <w:t xml:space="preserve">Quiz</w:t>
      </w:r>
    </w:p>
    <w:p>
      <w:pPr>
        <w:pStyle w:val="FirstParagraph"/>
      </w:pPr>
      <w:r>
        <w:t xml:space="preserve">📝 QCM (une seule bonne réponse par question)</w:t>
      </w:r>
    </w:p>
    <w:p>
      <w:pPr>
        <w:pStyle w:val="Compact"/>
        <w:numPr>
          <w:ilvl w:val="0"/>
          <w:numId w:val="2336"/>
        </w:numPr>
      </w:pPr>
      <w:r>
        <w:t xml:space="preserve">Une métrique répond principalement à la question :</w:t>
      </w:r>
    </w:p>
    <w:p>
      <w:pPr>
        <w:pStyle w:val="Compact"/>
        <w:numPr>
          <w:ilvl w:val="1"/>
          <w:numId w:val="2337"/>
        </w:numPr>
      </w:pPr>
    </w:p>
    <w:p>
      <w:pPr>
        <w:pStyle w:val="Compact"/>
        <w:numPr>
          <w:ilvl w:val="2"/>
          <w:numId w:val="2338"/>
        </w:numPr>
      </w:pPr>
      <w:r>
        <w:t xml:space="preserve">Que s’est-il passé, et quand exactement ?</w:t>
      </w:r>
    </w:p>
    <w:p>
      <w:pPr>
        <w:pStyle w:val="Compact"/>
        <w:numPr>
          <w:ilvl w:val="1"/>
          <w:numId w:val="2337"/>
        </w:numPr>
      </w:pPr>
    </w:p>
    <w:p>
      <w:pPr>
        <w:pStyle w:val="Compact"/>
        <w:numPr>
          <w:ilvl w:val="2"/>
          <w:numId w:val="2339"/>
        </w:numPr>
      </w:pPr>
      <w:r>
        <w:t xml:space="preserve">Combien, et comment cette valeur évolue-t-elle dans le temps ?</w:t>
      </w:r>
    </w:p>
    <w:p>
      <w:pPr>
        <w:pStyle w:val="Compact"/>
        <w:numPr>
          <w:ilvl w:val="1"/>
          <w:numId w:val="2337"/>
        </w:numPr>
      </w:pPr>
    </w:p>
    <w:p>
      <w:pPr>
        <w:pStyle w:val="Compact"/>
        <w:numPr>
          <w:ilvl w:val="2"/>
          <w:numId w:val="2340"/>
        </w:numPr>
      </w:pPr>
      <w:r>
        <w:t xml:space="preserve">Où, dans une chaîne de composants, un problème s’est-il produit ?</w:t>
      </w:r>
    </w:p>
    <w:p>
      <w:pPr>
        <w:pStyle w:val="Compact"/>
        <w:numPr>
          <w:ilvl w:val="1"/>
          <w:numId w:val="2337"/>
        </w:numPr>
      </w:pPr>
    </w:p>
    <w:p>
      <w:pPr>
        <w:pStyle w:val="Compact"/>
        <w:numPr>
          <w:ilvl w:val="2"/>
          <w:numId w:val="2341"/>
        </w:numPr>
      </w:pPr>
      <w:r>
        <w:t xml:space="preserve">Qui a approuvé ce changement ?</w:t>
      </w:r>
    </w:p>
    <w:p>
      <w:pPr>
        <w:pStyle w:val="Compact"/>
        <w:numPr>
          <w:ilvl w:val="0"/>
          <w:numId w:val="2336"/>
        </w:numPr>
      </w:pPr>
      <w:r>
        <w:t xml:space="preserve">La supervision passive se caractérise par :</w:t>
      </w:r>
    </w:p>
    <w:p>
      <w:pPr>
        <w:pStyle w:val="Compact"/>
        <w:numPr>
          <w:ilvl w:val="1"/>
          <w:numId w:val="2342"/>
        </w:numPr>
      </w:pPr>
    </w:p>
    <w:p>
      <w:pPr>
        <w:pStyle w:val="Compact"/>
        <w:numPr>
          <w:ilvl w:val="2"/>
          <w:numId w:val="2343"/>
        </w:numPr>
      </w:pPr>
      <w:r>
        <w:t xml:space="preserve">L’interrogation régulière de chaque système surveillé</w:t>
      </w:r>
    </w:p>
    <w:p>
      <w:pPr>
        <w:pStyle w:val="Compact"/>
        <w:numPr>
          <w:ilvl w:val="1"/>
          <w:numId w:val="2342"/>
        </w:numPr>
      </w:pPr>
    </w:p>
    <w:p>
      <w:pPr>
        <w:pStyle w:val="Compact"/>
        <w:numPr>
          <w:ilvl w:val="2"/>
          <w:numId w:val="2344"/>
        </w:numPr>
      </w:pPr>
      <w:r>
        <w:t xml:space="preserve">L’absence totale de tout mécanisme d’alerte</w:t>
      </w:r>
    </w:p>
    <w:p>
      <w:pPr>
        <w:pStyle w:val="Compact"/>
        <w:numPr>
          <w:ilvl w:val="1"/>
          <w:numId w:val="2342"/>
        </w:numPr>
      </w:pPr>
    </w:p>
    <w:p>
      <w:pPr>
        <w:pStyle w:val="Compact"/>
        <w:numPr>
          <w:ilvl w:val="2"/>
          <w:numId w:val="2345"/>
        </w:numPr>
      </w:pPr>
      <w:r>
        <w:t xml:space="preserve">Le système surveillé qui signale lui-même un événement ou pousse sa métrique</w:t>
      </w:r>
    </w:p>
    <w:p>
      <w:pPr>
        <w:pStyle w:val="Compact"/>
        <w:numPr>
          <w:ilvl w:val="1"/>
          <w:numId w:val="2342"/>
        </w:numPr>
      </w:pPr>
    </w:p>
    <w:p>
      <w:pPr>
        <w:pStyle w:val="Compact"/>
        <w:numPr>
          <w:ilvl w:val="2"/>
          <w:numId w:val="2346"/>
        </w:numPr>
      </w:pPr>
      <w:r>
        <w:t xml:space="preserve">Une supervision réalisée uniquement une fois par an</w:t>
      </w:r>
    </w:p>
    <w:p>
      <w:pPr>
        <w:pStyle w:val="Compact"/>
        <w:numPr>
          <w:ilvl w:val="0"/>
          <w:numId w:val="2336"/>
        </w:numPr>
      </w:pPr>
      <w:r>
        <w:t xml:space="preserve">Un seuil d’alerte trop sensible risque principalement de :</w:t>
      </w:r>
    </w:p>
    <w:p>
      <w:pPr>
        <w:pStyle w:val="Compact"/>
        <w:numPr>
          <w:ilvl w:val="1"/>
          <w:numId w:val="2347"/>
        </w:numPr>
      </w:pPr>
    </w:p>
    <w:p>
      <w:pPr>
        <w:pStyle w:val="Compact"/>
        <w:numPr>
          <w:ilvl w:val="2"/>
          <w:numId w:val="2348"/>
        </w:numPr>
      </w:pPr>
      <w:r>
        <w:t xml:space="preserve">Détecter tous les incidents plus rapidement, sans inconvénient</w:t>
      </w:r>
    </w:p>
    <w:p>
      <w:pPr>
        <w:pStyle w:val="Compact"/>
        <w:numPr>
          <w:ilvl w:val="1"/>
          <w:numId w:val="2347"/>
        </w:numPr>
      </w:pPr>
    </w:p>
    <w:p>
      <w:pPr>
        <w:pStyle w:val="Compact"/>
        <w:numPr>
          <w:ilvl w:val="2"/>
          <w:numId w:val="2349"/>
        </w:numPr>
      </w:pPr>
      <w:r>
        <w:t xml:space="preserve">Provoquer une fatigue d’alerte qui réduit l’attention portée aux alertes réellement critiques</w:t>
      </w:r>
    </w:p>
    <w:p>
      <w:pPr>
        <w:pStyle w:val="Compact"/>
        <w:numPr>
          <w:ilvl w:val="1"/>
          <w:numId w:val="2347"/>
        </w:numPr>
      </w:pPr>
    </w:p>
    <w:p>
      <w:pPr>
        <w:pStyle w:val="Compact"/>
        <w:numPr>
          <w:ilvl w:val="2"/>
          <w:numId w:val="2350"/>
        </w:numPr>
      </w:pPr>
      <w:r>
        <w:t xml:space="preserve">Réduire la consommation de ressources de la supervision</w:t>
      </w:r>
    </w:p>
    <w:p>
      <w:pPr>
        <w:pStyle w:val="Compact"/>
        <w:numPr>
          <w:ilvl w:val="1"/>
          <w:numId w:val="2347"/>
        </w:numPr>
      </w:pPr>
    </w:p>
    <w:p>
      <w:pPr>
        <w:pStyle w:val="Compact"/>
        <w:numPr>
          <w:ilvl w:val="2"/>
          <w:numId w:val="2351"/>
        </w:numPr>
      </w:pPr>
      <w:r>
        <w:t xml:space="preserve">Remplacer le besoin d’un tableau de bord</w:t>
      </w:r>
    </w:p>
    <w:p>
      <w:pPr>
        <w:pStyle w:val="FirstParagraph"/>
      </w:pPr>
      <w:r>
        <w:rPr>
          <w:b/>
          <w:bCs/>
        </w:rPr>
        <w:t xml:space="preserve">Corrigé</w:t>
      </w:r>
      <w:r>
        <w:t xml:space="preserve"> </w:t>
      </w:r>
      <w:r>
        <w:t xml:space="preserve">: 1-b, 2-c, 3-b.</w:t>
      </w:r>
    </w:p>
    <w:p>
      <w:pPr>
        <w:pStyle w:val="BodyText"/>
      </w:pPr>
      <w:r>
        <w:t xml:space="preserve">📝 Vrai ou Faux</w:t>
      </w:r>
    </w:p>
    <w:p>
      <w:pPr>
        <w:pStyle w:val="Compact"/>
        <w:numPr>
          <w:ilvl w:val="0"/>
          <w:numId w:val="2352"/>
        </w:numPr>
      </w:pPr>
      <w:r>
        <w:t xml:space="preserve">Sans supervision active, le délai de détection d’un incident dépend généralement de la rapidité de signalement des utilisateurs. —</w:t>
      </w:r>
      <w:r>
        <w:t xml:space="preserve"> </w:t>
      </w:r>
      <w:r>
        <w:rPr>
          <w:b/>
          <w:bCs/>
        </w:rPr>
        <w:t xml:space="preserve">Vrai</w:t>
      </w:r>
      <w:r>
        <w:t xml:space="preserve">.</w:t>
      </w:r>
    </w:p>
    <w:p>
      <w:pPr>
        <w:pStyle w:val="Compact"/>
        <w:numPr>
          <w:ilvl w:val="0"/>
          <w:numId w:val="2352"/>
        </w:numPr>
      </w:pPr>
      <w:r>
        <w:t xml:space="preserve">Une trace permet de suivre le parcours complet d’une requête à travers plusieurs composants d’un système distribué. —</w:t>
      </w:r>
      <w:r>
        <w:t xml:space="preserve"> </w:t>
      </w:r>
      <w:r>
        <w:rPr>
          <w:b/>
          <w:bCs/>
        </w:rPr>
        <w:t xml:space="preserve">Vrai</w:t>
      </w:r>
      <w:r>
        <w:t xml:space="preserve">.</w:t>
      </w:r>
    </w:p>
    <w:p>
      <w:pPr>
        <w:pStyle w:val="Compact"/>
        <w:numPr>
          <w:ilvl w:val="0"/>
          <w:numId w:val="2352"/>
        </w:numPr>
      </w:pPr>
      <w:r>
        <w:t xml:space="preserve">Collecter des métriques et des logs suffit à garantir une supervision efficace, même sans tableau de bord consulté régulièrement. —</w:t>
      </w:r>
      <w:r>
        <w:t xml:space="preserve"> </w:t>
      </w:r>
      <w:r>
        <w:rPr>
          <w:b/>
          <w:bCs/>
        </w:rPr>
        <w:t xml:space="preserve">Faux</w:t>
      </w:r>
      <w:r>
        <w:t xml:space="preserve"> </w:t>
      </w:r>
      <w:r>
        <w:t xml:space="preserve">(section 58.8).</w:t>
      </w:r>
    </w:p>
    <w:p>
      <w:pPr>
        <w:pStyle w:val="Compact"/>
        <w:numPr>
          <w:ilvl w:val="0"/>
          <w:numId w:val="2352"/>
        </w:numPr>
      </w:pPr>
      <w:r>
        <w:t xml:space="preserve">La collecte de métriques ne consomme aucune ressource et peut être configurée à la fréquence maximale sans inconvénient. —</w:t>
      </w:r>
      <w:r>
        <w:t xml:space="preserve"> </w:t>
      </w:r>
      <w:r>
        <w:rPr>
          <w:b/>
          <w:bCs/>
        </w:rPr>
        <w:t xml:space="preserve">Faux</w:t>
      </w:r>
      <w:r>
        <w:t xml:space="preserve"> </w:t>
      </w:r>
      <w:r>
        <w:t xml:space="preserve">(section</w:t>
      </w:r>
      <w:r>
        <w:t xml:space="preserve"> </w:t>
      </w:r>
      <w:r>
        <w:t xml:space="preserve">“Performance”</w:t>
      </w:r>
      <w:r>
        <w:t xml:space="preserve">).</w:t>
      </w:r>
    </w:p>
    <w:p>
      <w:pPr>
        <w:pStyle w:val="FirstParagraph"/>
      </w:pPr>
      <w:r>
        <w:t xml:space="preserve">📝 Questions ouvertes</w:t>
      </w:r>
    </w:p>
    <w:p>
      <w:pPr>
        <w:pStyle w:val="Compact"/>
        <w:numPr>
          <w:ilvl w:val="0"/>
          <w:numId w:val="2353"/>
        </w:numPr>
      </w:pPr>
      <w:r>
        <w:t xml:space="preserve">Explique, en te basant sur les trois piliers de l’observabilité (section 58.2), quelle combinaison aurait permis de détecter l’incident du scénario d’ouverture avant qu’il n’affecte les utilisateurs.</w:t>
      </w:r>
    </w:p>
    <w:p>
      <w:pPr>
        <w:pStyle w:val="Compact"/>
        <w:numPr>
          <w:ilvl w:val="0"/>
          <w:numId w:val="2353"/>
        </w:numPr>
      </w:pPr>
      <w:r>
        <w:t xml:space="preserve">Un administrateur propose de configurer une alerte immédiate dès que l’utilisation CPU dépasse 80 %, même pour quelques secondes. Explique pourquoi cette configuration, bien qu’intentionnée positivement, illustre l’erreur décrite à la section 58.7.</w:t>
      </w:r>
    </w:p>
    <w:p>
      <w:pPr>
        <w:pStyle w:val="FirstParagraph"/>
      </w:pPr>
      <w:r>
        <w:rPr>
          <w:b/>
          <w:bCs/>
        </w:rPr>
        <w:t xml:space="preserve">Corrigé 1</w:t>
      </w:r>
      <w:r>
        <w:t xml:space="preserve"> </w:t>
      </w:r>
      <w:r>
        <w:t xml:space="preserve">: une métrique d’espace disque disponible, surveillée en continu (section 58.3) avec un seuil d’alerte raisonnable (section 58.7), aurait révélé la tendance à la baisse progressive du disque bien avant qu’il ne soit réellement plein, laissant le temps à l’équipe d’intervenir avant tout impact utilisateur. Un log applicatif signalant d’éventuelles erreurs d’écriture (section 58.4) aurait pu compléter cette détection en révélant les premiers symptômes concrets du problème. La combinaison des deux — une métrique pour anticiper la tendance, un log pour confirmer la cause — offre une détection plus fiable qu’un seul pilier isolé.</w:t>
      </w:r>
    </w:p>
    <w:p>
      <w:pPr>
        <w:pStyle w:val="BodyText"/>
      </w:pPr>
      <w:r>
        <w:rPr>
          <w:b/>
          <w:bCs/>
        </w:rPr>
        <w:t xml:space="preserve">Corrigé 2</w:t>
      </w:r>
      <w:r>
        <w:t xml:space="preserve"> </w:t>
      </w:r>
      <w:r>
        <w:t xml:space="preserve">: un pic d’utilisation CPU de quelques secondes est souvent normal et sans conséquence — un serveur peut légitimement atteindre une charge élevée brièvement lors d’une tâche ponctuelle sans que cela ne représente un problème réel. Une alerte déclenchée sur chaque pic instantané, sans durée minimale de maintien du seuil, produira un très grand nombre d’alertes sans réelle conséquence, exactement le mécanisme de fatigue d’alerte décrit à la section 58.7 — une configuration plus raisonnable exigerait un maintien du seuil pendant plusieurs minutes avant de déclencher une alerte, filtrant les pics normaux tout en conservant la capacité de détecter une charge réellement anormale et prolongée.</w:t>
      </w:r>
    </w:p>
    <w:bookmarkEnd w:id="1427"/>
    <w:bookmarkStart w:id="1428" w:name="exercices-57"/>
    <w:p>
      <w:pPr>
        <w:pStyle w:val="Heading2"/>
      </w:pPr>
      <w:r>
        <w:t xml:space="preserve">Exercices</w:t>
      </w:r>
    </w:p>
    <w:p>
      <w:pPr>
        <w:pStyle w:val="FirstParagraph"/>
      </w:pPr>
      <w:r>
        <w:t xml:space="preserve">📝 Exercice 58.1</w:t>
      </w:r>
    </w:p>
    <w:p>
      <w:pPr>
        <w:pStyle w:val="BodyText"/>
      </w:pPr>
      <w:r>
        <w:t xml:space="preserve">Pour chacun des trois scénarios suivants, indique quel pilier de l’observabilité (métrique, log, ou trace) est le plus pertinent pour le diagnostiquer, et justifie brièvement : (a) le temps de réponse du portail client augmente progressivement sur plusieurs jours ; (b) une requête utilisateur spécifique échoue, et il faut identifier lequel des microservices du portail (chapitre 41) en est responsable ; (c) un utilisateur signale une erreur précise survenue à 14h32.</w:t>
      </w:r>
    </w:p>
    <w:p>
      <w:pPr>
        <w:pStyle w:val="BodyText"/>
      </w:pPr>
      <w:r>
        <w:rPr>
          <w:b/>
          <w:bCs/>
        </w:rPr>
        <w:t xml:space="preserve">Corrigé :</w:t>
      </w:r>
      <w:r>
        <w:t xml:space="preserve"> </w:t>
      </w:r>
      <w:r>
        <w:t xml:space="preserve">(a) une métrique de temps de réponse, surveillée en continu, révèle directement une tendance progressive sur plusieurs jours — exactement le type d’évolution graduelle qu’une métrique est conçue pour révéler (section 58.3). (b) une trace, en suivant le parcours complet de cette requête spécifique à travers les différents microservices du portail, permet d’identifier précisément lequel d’entre eux a introduit l’erreur ou le ralentissement (section 58.5) — une métrique globale ou un log isolé ne suffiraient pas à localiser le composant responsable dans une chaîne distribuée. (c) un log, horodaté précisément, permet de retrouver l’événement exact survenu à 14h32 signalé par l’utilisateur (section 58.4) — une métrique continue ne capture pas nécessairement un événement ponctuel isolé de cette façon.</w:t>
      </w:r>
    </w:p>
    <w:p>
      <w:pPr>
        <w:pStyle w:val="BodyText"/>
      </w:pPr>
      <w:r>
        <w:t xml:space="preserve">📝 Exercice 58.2</w:t>
      </w:r>
    </w:p>
    <w:p>
      <w:pPr>
        <w:pStyle w:val="BodyText"/>
      </w:pPr>
      <w:r>
        <w:t xml:space="preserve">Rédige, en 3 à 5 phrases, une politique d’équipe garantissant qu’un plan de supervision minimal est systématiquement défini pour tout nouveau système avant sa mise en production, en t’appuyant sur les principes de ce chapitre.</w:t>
      </w:r>
    </w:p>
    <w:p>
      <w:pPr>
        <w:pStyle w:val="BodyText"/>
      </w:pPr>
      <w:r>
        <w:rPr>
          <w:b/>
          <w:bCs/>
        </w:rPr>
        <w:t xml:space="preserve">Corrigé (exemple de réponse) :</w:t>
      </w:r>
      <w:r>
        <w:t xml:space="preserve"> </w:t>
      </w:r>
      <w:r>
        <w:t xml:space="preserve">Avant toute mise en production d’un nouveau système, l’équipe responsable définira un plan de supervision minimal incluant au moins les métriques d’espace disque, de CPU et de mémoire, avec des seuils d’alerte calibrés après une période d’observation initiale plutôt que fixés arbitrairement. Chaque alerte configurée aura un destinataire clairement identifié et disponible, évitant qu’une alerte générée ne reste sans réponse faute de destinataire défini. La mise en production d’un système sans ce plan minimal sera considérée comme incomplète, au même titre qu’une mise en production sans sauvegarde configurée (chapitre 27) — la supervision fait partie intégrante du système, pas un ajout optionnel réalisé après coup.</w:t>
      </w:r>
    </w:p>
    <w:bookmarkEnd w:id="1428"/>
    <w:bookmarkStart w:id="1429" w:name="checklist-de-fin-de-chapitre-57"/>
    <w:p>
      <w:pPr>
        <w:pStyle w:val="Heading2"/>
      </w:pPr>
      <w:r>
        <w:t xml:space="preserve">Checklist de fin de chapitre</w:t>
      </w:r>
    </w:p>
    <w:p>
      <w:pPr>
        <w:pStyle w:val="FirstParagraph"/>
      </w:pPr>
      <w:r>
        <w:t xml:space="preserve">☐ Je comprends pourquoi un incident non supervisé est généralement découvert trop tard, par les utilisateurs.</w:t>
      </w:r>
    </w:p>
    <w:p>
      <w:pPr>
        <w:pStyle w:val="BodyText"/>
      </w:pPr>
      <w:r>
        <w:t xml:space="preserve">☐ Je sais distinguer les trois piliers de l’observabilité : métriques, logs, traces.</w:t>
      </w:r>
    </w:p>
    <w:p>
      <w:pPr>
        <w:pStyle w:val="BodyText"/>
      </w:pPr>
      <w:r>
        <w:t xml:space="preserve">☐ Je sais expliquer la différence entre supervision active et supervision passive.</w:t>
      </w:r>
    </w:p>
    <w:p>
      <w:pPr>
        <w:pStyle w:val="BodyText"/>
      </w:pPr>
      <w:r>
        <w:t xml:space="preserve">☐ Je sais calibrer un seuil d’alerte pour éviter la fatigue d’alerte.</w:t>
      </w:r>
    </w:p>
    <w:p>
      <w:pPr>
        <w:pStyle w:val="BodyText"/>
      </w:pPr>
      <w:r>
        <w:t xml:space="preserve">☐ Je comprends pourquoi un tableau de bord consulté régulièrement est indispensable, au-delà de la simple collecte de données.</w:t>
      </w:r>
    </w:p>
    <w:p>
      <w:pPr>
        <w:pStyle w:val="BodyText"/>
      </w:pPr>
      <w:r>
        <w:t xml:space="preserve">☐ Je sais définir un plan de supervision minimal pour un nouveau système.</w:t>
      </w:r>
    </w:p>
    <w:bookmarkEnd w:id="1429"/>
    <w:bookmarkStart w:id="1430" w:name="faq-57"/>
    <w:p>
      <w:pPr>
        <w:pStyle w:val="Heading2"/>
      </w:pPr>
      <w:r>
        <w:t xml:space="preserve">FAQ</w:t>
      </w:r>
    </w:p>
    <w:p>
      <w:pPr>
        <w:pStyle w:val="FirstParagraph"/>
      </w:pPr>
      <w:r>
        <w:t xml:space="preserve">Faut-il superviser absolument tous les systèmes de l’infrastructure au même niveau de détail ?</w:t>
      </w:r>
    </w:p>
    <w:p>
      <w:pPr>
        <w:pStyle w:val="BodyText"/>
      </w:pPr>
      <w:r>
        <w:t xml:space="preserve">Non, la profondeur de supervision devrait être proportionnelle à la criticité du système concerné — un serveur hébergeant une application critique pour les utilisateurs mérite une supervision plus fine qu’un serveur de test rarement utilisé, un principe de priorisation qui reviendra dans les chapitres consacrés aux outils concrets.</w:t>
      </w:r>
    </w:p>
    <w:p>
      <w:pPr>
        <w:pStyle w:val="BodyText"/>
      </w:pPr>
      <w:r>
        <w:t xml:space="preserve">Les métriques, logs et traces nécessitent-ils toujours trois outils distincts ?</w:t>
      </w:r>
    </w:p>
    <w:p>
      <w:pPr>
        <w:pStyle w:val="BodyText"/>
      </w:pPr>
      <w:r>
        <w:t xml:space="preserve">Pas nécessairement — certaines plateformes modernes combinent les trois piliers dans un outil unique, tandis que d’autres organisations préfèrent des outils spécialisés pour chacun (approche détaillée dans les chapitres suivants sur Zabbix, Prometheus, Grafana et ELK) ; le choix dépend du contexte et de la taille de l’infrastructure.</w:t>
      </w:r>
    </w:p>
    <w:p>
      <w:pPr>
        <w:pStyle w:val="BodyText"/>
      </w:pPr>
      <w:r>
        <w:t xml:space="preserve">Une supervision bien conçue élimine-t-elle complètement le risque d’incident ?</w:t>
      </w:r>
    </w:p>
    <w:p>
      <w:pPr>
        <w:pStyle w:val="BodyText"/>
      </w:pPr>
      <w:r>
        <w:t xml:space="preserve">Non, elle réduit le délai de détection et permet une intervention avant impact majeur pour les utilisateurs, mais elle ne prévient pas la survenue du problème lui-même — la prévention relève d’autres pratiques déjà couvertes dans ce manuel (sauvegardes, haute disponibilité, revue de changement), la supervision intervenant en complément, pas en remplacement.</w:t>
      </w:r>
    </w:p>
    <w:p>
      <w:pPr>
        <w:pStyle w:val="BodyText"/>
      </w:pPr>
      <w:r>
        <w:t xml:space="preserve">Combien de temps faut-il pour calibrer correctement les seuils d’alerte d’un nouveau système ?</w:t>
      </w:r>
    </w:p>
    <w:p>
      <w:pPr>
        <w:pStyle w:val="BodyText"/>
      </w:pPr>
      <w:r>
        <w:t xml:space="preserve">Une période d’observation d’au moins une à deux semaines d’activité normale est généralement recommandée avant de figer des seuils définitifs, permettant de distinguer les variations normales des variations réellement anormales — des seuils fixés sans cette période d’observation risquent d’être soit trop sensibles, soit trop laxistes.</w:t>
      </w:r>
    </w:p>
    <w:bookmarkEnd w:id="1430"/>
    <w:bookmarkStart w:id="1433" w:name="références-et-pour-aller-plus-loin-57"/>
    <w:p>
      <w:pPr>
        <w:pStyle w:val="Heading2"/>
      </w:pPr>
      <w:r>
        <w:t xml:space="preserve">Références et pour aller plus loin</w:t>
      </w:r>
    </w:p>
    <w:p>
      <w:pPr>
        <w:pStyle w:val="Compact"/>
        <w:numPr>
          <w:ilvl w:val="0"/>
          <w:numId w:val="2354"/>
        </w:numPr>
      </w:pPr>
      <w:r>
        <w:t xml:space="preserve">Google — Site Reliability Engineering, chapitre sur la surveillance :</w:t>
      </w:r>
      <w:r>
        <w:t xml:space="preserve"> </w:t>
      </w:r>
      <w:hyperlink r:id="rId1431">
        <w:r>
          <w:rPr>
            <w:rStyle w:val="Hyperlink"/>
          </w:rPr>
          <w:t xml:space="preserve">https://sre.google/sre-book/monitoring-distributed-systems/</w:t>
        </w:r>
      </w:hyperlink>
    </w:p>
    <w:p>
      <w:pPr>
        <w:pStyle w:val="Compact"/>
        <w:numPr>
          <w:ilvl w:val="0"/>
          <w:numId w:val="2354"/>
        </w:numPr>
      </w:pPr>
      <w:r>
        <w:t xml:space="preserve">CNCF — Cloud Native Observability Whitepaper :</w:t>
      </w:r>
      <w:r>
        <w:t xml:space="preserve"> </w:t>
      </w:r>
      <w:hyperlink r:id="rId1054">
        <w:r>
          <w:rPr>
            <w:rStyle w:val="Hyperlink"/>
          </w:rPr>
          <w:t xml:space="preserve">https://www.cncf.io/</w:t>
        </w:r>
      </w:hyperlink>
    </w:p>
    <w:p>
      <w:pPr>
        <w:pStyle w:val="Compact"/>
        <w:numPr>
          <w:ilvl w:val="0"/>
          <w:numId w:val="2354"/>
        </w:numPr>
      </w:pPr>
      <w:r>
        <w:t xml:space="preserve">OpenTelemetry — standard ouvert pour métriques, logs et traces :</w:t>
      </w:r>
      <w:r>
        <w:t xml:space="preserve"> </w:t>
      </w:r>
      <w:hyperlink r:id="rId1432">
        <w:r>
          <w:rPr>
            <w:rStyle w:val="Hyperlink"/>
          </w:rPr>
          <w:t xml:space="preserve">https://opentelemetry.io/</w:t>
        </w:r>
      </w:hyperlink>
    </w:p>
    <w:p>
      <w:pPr>
        <w:pStyle w:val="FirstParagraph"/>
      </w:pPr>
      <w:r>
        <w:rPr>
          <w:i/>
          <w:iCs/>
        </w:rPr>
        <w:t xml:space="preserve">Chapitre suivant : Zabbix — mettre en pratique les principes de ce chapitre avec un outil de supervision open source complet, largement utilisé en entreprise pour la collecte de métriques et la gestion d’alertes.</w:t>
      </w:r>
    </w:p>
    <w:p>
      <w:pPr>
        <w:pStyle w:val="BodyText"/>
      </w:pPr>
      <w:r>
        <w:t xml:space="preserve">CHAPITRE 59</w:t>
      </w:r>
    </w:p>
    <w:bookmarkEnd w:id="1433"/>
    <w:bookmarkEnd w:id="1434"/>
    <w:bookmarkStart w:id="1460" w:name="zabbix"/>
    <w:p>
      <w:pPr>
        <w:pStyle w:val="Heading1"/>
      </w:pPr>
      <w:r>
        <w:t xml:space="preserve">Zabbix</w:t>
      </w:r>
    </w:p>
    <w:p>
      <w:pPr>
        <w:pStyle w:val="FirstParagraph"/>
      </w:pPr>
      <w:r>
        <w:t xml:space="preserve">🎯 Objectif du chapitre</w:t>
      </w:r>
      <w:r>
        <w:t xml:space="preserve"> </w:t>
      </w:r>
      <w:r>
        <w:t xml:space="preserve">Mettre en pratique les principes de supervision du chapitre 58 avec Zabbix, une solution open source complète largement utilisée en entreprise pour superviser un parc de serveurs hétérogène. À la fin de ce chapitre, tu sauras installer un agent Zabbix, définir des éléments à surveiller (items), configurer des seuils d’alerte (triggers) sans reproduire l’erreur de fatigue d’alerte du chapitre précédent, et réutiliser une configuration standard sur plusieurs hôtes via des templates.</w:t>
      </w:r>
    </w:p>
    <w:p>
      <w:pPr>
        <w:pStyle w:val="BodyText"/>
      </w:pPr>
      <w:r>
        <w:t xml:space="preserve">🎬 Mise en situation</w:t>
      </w:r>
      <w:r>
        <w:t xml:space="preserve"> </w:t>
      </w:r>
      <w:r>
        <w:t xml:space="preserve">Suite à l’incident du chapitre 58, le DSI demande la mise en place rapide d’une supervision sur l’ensemble du parc de serveurs — un mélange de serveurs Windows Server (chapitres 5-13) et de serveurs Linux (chapitres 14-21), avec une dizaine de machines au total entre Port-au-Prince et Cap-Haïtien. L’équipe cherche une solution capable de couvrir cette hétérogénéité avec un seul outil, sans devoir apprendre et maintenir des systèmes différents pour chaque famille de serveurs. Zabbix, avec son modèle client-serveur portable sur Windows comme sur Linux, correspond directement à ce besoin.</w:t>
      </w:r>
    </w:p>
    <w:bookmarkStart w:id="1435" w:name="X37c9d69d9016b5b5c0b25e57e62d20af8a28297"/>
    <w:p>
      <w:pPr>
        <w:pStyle w:val="Heading2"/>
      </w:pPr>
      <w:r>
        <w:t xml:space="preserve">59.1 Pourquoi Zabbix : une solution tout-en-un pour un parc hétérogène</w:t>
      </w:r>
    </w:p>
    <w:p>
      <w:pPr>
        <w:pStyle w:val="FirstParagraph"/>
      </w:pPr>
      <w:r>
        <w:t xml:space="preserve">✅ Un choix pragmatique, rappel du même raisonnement qu’aux chapitres 14 et 46</w:t>
      </w:r>
      <w:r>
        <w:t xml:space="preserve"> </w:t>
      </w:r>
      <w:r>
        <w:t xml:space="preserve">Zabbix est choisi ici pour la même raison pragmatique qui avait guidé le choix d’Ubuntu Server au chapitre 14 ou d’AWS au chapitre 46 : une solution unique, largement documentée, capable de couvrir Windows et Linux sans outillage séparé, réduisant la charge d’apprentissage et de maintenance pour une équipe encore restreinte. Ce choix n’exclut pas l’usage complémentaire d’autres outils plus spécialisés pour des besoins précis, comme le chapitre suivant le montrera avec Prometheus pour l’environnement Kubernetes du portail client.</w:t>
      </w:r>
    </w:p>
    <w:bookmarkEnd w:id="1435"/>
    <w:bookmarkStart w:id="1439" w:name="X5b0a845664e60314f1484d00c34af1518d63b41"/>
    <w:p>
      <w:pPr>
        <w:pStyle w:val="Heading2"/>
      </w:pPr>
      <w:r>
        <w:t xml:space="preserve">59.2 Architecture Zabbix : serveur, agents, base de données</w:t>
      </w:r>
    </w:p>
    <w:p>
      <w:pPr>
        <w:pStyle w:val="CaptionedFigure"/>
      </w:pPr>
      <w:r>
        <w:drawing>
          <wp:inline>
            <wp:extent cx="5334000" cy="2233210"/>
            <wp:effectExtent b="0" l="0" r="0" t="0"/>
            <wp:docPr descr="Diagramme" title="" id="1437" name="Picture"/>
            <a:graphic>
              <a:graphicData uri="http://schemas.openxmlformats.org/drawingml/2006/picture">
                <pic:pic>
                  <pic:nvPicPr>
                    <pic:cNvPr descr="C:/Users/ingja/Desktop/jarvis-starter-kit/livrables/formations/manuel-administration-systeme/assets/diagrams/d-59-zabbix-diagramme-1.png" id="1438" name="Picture"/>
                    <pic:cNvPicPr>
                      <a:picLocks noChangeArrowheads="1" noChangeAspect="1"/>
                    </pic:cNvPicPr>
                  </pic:nvPicPr>
                  <pic:blipFill>
                    <a:blip r:embed="rId1436"/>
                    <a:stretch>
                      <a:fillRect/>
                    </a:stretch>
                  </pic:blipFill>
                  <pic:spPr bwMode="auto">
                    <a:xfrm>
                      <a:off x="0" y="0"/>
                      <a:ext cx="5334000" cy="2233210"/>
                    </a:xfrm>
                    <a:prstGeom prst="rect">
                      <a:avLst/>
                    </a:prstGeom>
                    <a:noFill/>
                    <a:ln w="9525">
                      <a:noFill/>
                      <a:headEnd/>
                      <a:tailEnd/>
                    </a:ln>
                  </pic:spPr>
                </pic:pic>
              </a:graphicData>
            </a:graphic>
          </wp:inline>
        </w:drawing>
      </w:r>
    </w:p>
    <w:p>
      <w:pPr>
        <w:pStyle w:val="ImageCaption"/>
      </w:pPr>
      <w:r>
        <w:t xml:space="preserve">Diagramme</w:t>
      </w:r>
    </w:p>
    <w:p>
      <w:pPr>
        <w:pStyle w:val="BodyText"/>
      </w:pPr>
      <w:r>
        <w:t xml:space="preserve">📌 À retenir</w:t>
      </w:r>
      <w:r>
        <w:t xml:space="preserve"> </w:t>
      </w:r>
      <w:r>
        <w:t xml:space="preserve">Le</w:t>
      </w:r>
      <w:r>
        <w:t xml:space="preserve"> </w:t>
      </w:r>
      <w:r>
        <w:rPr>
          <w:b/>
          <w:bCs/>
        </w:rPr>
        <w:t xml:space="preserve">Zabbix Server</w:t>
      </w:r>
      <w:r>
        <w:t xml:space="preserve"> </w:t>
      </w:r>
      <w:r>
        <w:t xml:space="preserve">centralise la collecte et l’évaluation des seuils ; un</w:t>
      </w:r>
      <w:r>
        <w:t xml:space="preserve"> </w:t>
      </w:r>
      <w:r>
        <w:rPr>
          <w:b/>
          <w:bCs/>
        </w:rPr>
        <w:t xml:space="preserve">agent Zabbix</w:t>
      </w:r>
      <w:r>
        <w:t xml:space="preserve">, installé sur chaque machine surveillée, remonte périodiquement ses métriques locales vers le serveur ; une</w:t>
      </w:r>
      <w:r>
        <w:t xml:space="preserve"> </w:t>
      </w:r>
      <w:r>
        <w:rPr>
          <w:b/>
          <w:bCs/>
        </w:rPr>
        <w:t xml:space="preserve">base de données</w:t>
      </w:r>
      <w:r>
        <w:t xml:space="preserve"> </w:t>
      </w:r>
      <w:r>
        <w:t xml:space="preserve">conserve l’historique des mesures ; une</w:t>
      </w:r>
      <w:r>
        <w:t xml:space="preserve"> </w:t>
      </w:r>
      <w:r>
        <w:rPr>
          <w:b/>
          <w:bCs/>
        </w:rPr>
        <w:t xml:space="preserve">interface web</w:t>
      </w:r>
      <w:r>
        <w:t xml:space="preserve"> </w:t>
      </w:r>
      <w:r>
        <w:t xml:space="preserve">permet de consulter l’état du parc et de configurer la supervision.</w:t>
      </w:r>
    </w:p>
    <w:bookmarkEnd w:id="1439"/>
    <w:bookmarkStart w:id="1440" w:name="installer-et-configurer-un-agent-zabbix"/>
    <w:p>
      <w:pPr>
        <w:pStyle w:val="Heading2"/>
      </w:pPr>
      <w:r>
        <w:t xml:space="preserve">59.3 Installer et configurer un agent Zabbix</w:t>
      </w:r>
    </w:p>
    <w:p>
      <w:pPr>
        <w:pStyle w:val="SourceCode"/>
      </w:pPr>
      <w:r>
        <w:rPr>
          <w:rStyle w:val="CommentTok"/>
        </w:rPr>
        <w:t xml:space="preserve"># Sur le serveur de gestion documentaire (Rocky Linux)</w:t>
      </w:r>
      <w:r>
        <w:br/>
      </w:r>
      <w:r>
        <w:rPr>
          <w:rStyle w:val="FunctionTok"/>
        </w:rPr>
        <w:t xml:space="preserve">sudo</w:t>
      </w:r>
      <w:r>
        <w:rPr>
          <w:rStyle w:val="NormalTok"/>
        </w:rPr>
        <w:t xml:space="preserve"> dnf install zabbix-agent2</w:t>
      </w:r>
      <w:r>
        <w:br/>
      </w:r>
      <w:r>
        <w:rPr>
          <w:rStyle w:val="FunctionTok"/>
        </w:rPr>
        <w:t xml:space="preserve">sudo</w:t>
      </w:r>
      <w:r>
        <w:rPr>
          <w:rStyle w:val="NormalTok"/>
        </w:rPr>
        <w:t xml:space="preserve"> systemctl enable </w:t>
      </w:r>
      <w:r>
        <w:rPr>
          <w:rStyle w:val="AttributeTok"/>
        </w:rPr>
        <w:t xml:space="preserve">--now</w:t>
      </w:r>
      <w:r>
        <w:rPr>
          <w:rStyle w:val="NormalTok"/>
        </w:rPr>
        <w:t xml:space="preserve"> zabbix-agent2</w:t>
      </w:r>
    </w:p>
    <w:p>
      <w:pPr>
        <w:pStyle w:val="SourceCode"/>
      </w:pPr>
      <w:r>
        <w:rPr>
          <w:rStyle w:val="CommentTok"/>
        </w:rPr>
        <w:t xml:space="preserve"># /etc/zabbix/zabbix_agent2.conf</w:t>
      </w:r>
      <w:r>
        <w:br/>
      </w:r>
      <w:r>
        <w:rPr>
          <w:rStyle w:val="DataTypeTok"/>
        </w:rPr>
        <w:t xml:space="preserve">Server</w:t>
      </w:r>
      <w:r>
        <w:rPr>
          <w:rStyle w:val="OtherTok"/>
        </w:rPr>
        <w:t xml:space="preserve">=</w:t>
      </w:r>
      <w:r>
        <w:rPr>
          <w:rStyle w:val="StringTok"/>
        </w:rPr>
        <w:t xml:space="preserve">10.10.1.5</w:t>
      </w:r>
      <w:r>
        <w:br/>
      </w:r>
      <w:r>
        <w:rPr>
          <w:rStyle w:val="DataTypeTok"/>
        </w:rPr>
        <w:t xml:space="preserve">ServerActive</w:t>
      </w:r>
      <w:r>
        <w:rPr>
          <w:rStyle w:val="OtherTok"/>
        </w:rPr>
        <w:t xml:space="preserve">=</w:t>
      </w:r>
      <w:r>
        <w:rPr>
          <w:rStyle w:val="StringTok"/>
        </w:rPr>
        <w:t xml:space="preserve">10.10.1.5</w:t>
      </w:r>
      <w:r>
        <w:br/>
      </w:r>
      <w:r>
        <w:rPr>
          <w:rStyle w:val="DataTypeTok"/>
        </w:rPr>
        <w:t xml:space="preserve">Hostname</w:t>
      </w:r>
      <w:r>
        <w:rPr>
          <w:rStyle w:val="OtherTok"/>
        </w:rPr>
        <w:t xml:space="preserve">=</w:t>
      </w:r>
      <w:r>
        <w:rPr>
          <w:rStyle w:val="StringTok"/>
        </w:rPr>
        <w:t xml:space="preserve">doc-cap-01</w:t>
      </w:r>
    </w:p>
    <w:p>
      <w:pPr>
        <w:pStyle w:val="FirstParagraph"/>
      </w:pPr>
      <w:r>
        <w:t xml:space="preserve">🔒 Sécurité</w:t>
      </w:r>
      <w:r>
        <w:t xml:space="preserve"> </w:t>
      </w:r>
      <w:r>
        <w:t xml:space="preserve">Ouvre uniquement le port de l’agent Zabbix (10050/TCP par défaut) entre les hôtes surveillés et le serveur Zabbix, jamais vers Internet — la segmentation réseau déjà pratiquée par VLAN au chapitre 11 s’applique intégralement à ce trafic de supervision.</w:t>
      </w:r>
    </w:p>
    <w:bookmarkEnd w:id="1440"/>
    <w:bookmarkStart w:id="1441" w:name="items-définir-quoi-mesurer"/>
    <w:p>
      <w:pPr>
        <w:pStyle w:val="Heading2"/>
      </w:pPr>
      <w:r>
        <w:t xml:space="preserve">59.4 Items : définir quoi mesurer</w:t>
      </w:r>
    </w:p>
    <w:p>
      <w:pPr>
        <w:pStyle w:val="FirstParagraph"/>
      </w:pPr>
      <w:r>
        <w:t xml:space="preserve">📌 À retenir</w:t>
      </w:r>
      <w:r>
        <w:t xml:space="preserve"> </w:t>
      </w:r>
      <w:r>
        <w:t xml:space="preserve">Un</w:t>
      </w:r>
      <w:r>
        <w:t xml:space="preserve"> </w:t>
      </w:r>
      <w:r>
        <w:rPr>
          <w:b/>
          <w:bCs/>
        </w:rPr>
        <w:t xml:space="preserve">item</w:t>
      </w:r>
      <w:r>
        <w:t xml:space="preserve"> </w:t>
      </w:r>
      <w:r>
        <w:t xml:space="preserve">correspond à une métrique unique surveillée sur un hôte donné — l’espace disque disponible sur</w:t>
      </w:r>
      <w:r>
        <w:t xml:space="preserve"> </w:t>
      </w:r>
      <w:r>
        <w:rPr>
          <w:rStyle w:val="VerbatimChar"/>
        </w:rPr>
        <w:t xml:space="preserve">/</w:t>
      </w:r>
      <w:r>
        <w:t xml:space="preserve">, l’utilisation CPU, la disponibilité du service. Zabbix propose de nombreux items préconfigurés, notamment via ses templates (section 59.7), évitant de redéfinir manuellement chaque métrique élémentaire pour chaque nouvel hôte.</w:t>
      </w:r>
    </w:p>
    <w:bookmarkEnd w:id="1441"/>
    <w:bookmarkStart w:id="1442" w:name="Xffe22a83fcc225063bb18f370c1be71c64854f8"/>
    <w:p>
      <w:pPr>
        <w:pStyle w:val="Heading2"/>
      </w:pPr>
      <w:r>
        <w:t xml:space="preserve">59.5 Triggers : configurer des seuils sans reproduire l’erreur du chapitre 58</w:t>
      </w:r>
    </w:p>
    <w:p>
      <w:pPr>
        <w:pStyle w:val="FirstParagraph"/>
      </w:pPr>
      <w:r>
        <w:t xml:space="preserve">⚠️ Application directe de la section 58.7</w:t>
      </w:r>
      <w:r>
        <w:t xml:space="preserve"> </w:t>
      </w:r>
      <w:r>
        <w:t xml:space="preserve">Un</w:t>
      </w:r>
      <w:r>
        <w:t xml:space="preserve"> </w:t>
      </w:r>
      <w:r>
        <w:rPr>
          <w:b/>
          <w:bCs/>
        </w:rPr>
        <w:t xml:space="preserve">trigger</w:t>
      </w:r>
      <w:r>
        <w:t xml:space="preserve"> </w:t>
      </w:r>
      <w:r>
        <w:t xml:space="preserve">Zabbix définit la condition qui déclenche une alerte à partir d’un ou plusieurs items. Pour reprendre l’exemple du chapitre 58, un trigger mal conçu se contenterait de comparer instantanément l’espace disque à un seuil ; un trigger bien conçu exige un maintien de la condition pendant une durée minimale, exactement le principe déjà établi pour éviter la fatigue d’alerte.</w:t>
      </w:r>
    </w:p>
    <w:p>
      <w:pPr>
        <w:pStyle w:val="SourceCode"/>
      </w:pPr>
      <w:r>
        <w:rPr>
          <w:rStyle w:val="VerbatimChar"/>
        </w:rPr>
        <w:t xml:space="preserve">last(/doc-cap-01/vfs.fs.size[/,pfree],#5)&lt;15</w:t>
      </w:r>
    </w:p>
    <w:p>
      <w:pPr>
        <w:pStyle w:val="FirstParagraph"/>
      </w:pPr>
      <w:r>
        <w:t xml:space="preserve">💡 Explication de l’expression</w:t>
      </w:r>
      <w:r>
        <w:t xml:space="preserve"> </w:t>
      </w:r>
      <w:r>
        <w:t xml:space="preserve">Cette expression déclenche le trigger uniquement si les 5 dernières mesures consécutives de l’espace disque libre (</w:t>
      </w:r>
      <w:r>
        <w:rPr>
          <w:rStyle w:val="VerbatimChar"/>
        </w:rPr>
        <w:t xml:space="preserve">#5</w:t>
      </w:r>
      <w:r>
        <w:t xml:space="preserve">) sont toutes inférieures à 15 %, plutôt que sur une seule mesure isolée potentiellement temporaire — une application concrète du principe</w:t>
      </w:r>
      <w:r>
        <w:t xml:space="preserve"> </w:t>
      </w:r>
      <w:r>
        <w:t xml:space="preserve">“seuil maintenu dans le temps”</w:t>
      </w:r>
      <w:r>
        <w:t xml:space="preserve"> </w:t>
      </w:r>
      <w:r>
        <w:t xml:space="preserve">de la section 58.7.</w:t>
      </w:r>
    </w:p>
    <w:bookmarkEnd w:id="1442"/>
    <w:bookmarkStart w:id="1443" w:name="X55bea3c573e1503cf8d17b7fe1ab0d6ec249cb3"/>
    <w:p>
      <w:pPr>
        <w:pStyle w:val="Heading2"/>
      </w:pPr>
      <w:r>
        <w:t xml:space="preserve">59.6 Actions : transformer un trigger en notification concrète</w:t>
      </w:r>
    </w:p>
    <w:p>
      <w:pPr>
        <w:pStyle w:val="FirstParagraph"/>
      </w:pPr>
      <w:r>
        <w:t xml:space="preserve">✅ Rappel direct de la section 58.8</w:t>
      </w:r>
      <w:r>
        <w:t xml:space="preserve"> </w:t>
      </w:r>
      <w:r>
        <w:t xml:space="preserve">Une</w:t>
      </w:r>
      <w:r>
        <w:t xml:space="preserve"> </w:t>
      </w:r>
      <w:r>
        <w:rPr>
          <w:b/>
          <w:bCs/>
        </w:rPr>
        <w:t xml:space="preserve">action</w:t>
      </w:r>
      <w:r>
        <w:t xml:space="preserve"> </w:t>
      </w:r>
      <w:r>
        <w:t xml:space="preserve">Zabbix relie un trigger déclenché à une notification effective (email, SMS, webhook) envoyée à un destinataire précis — sans action correctement configurée, un trigger déclenché reste invisible, reproduisant exactement le risque déjà dénoncé d’une supervision techniquement fonctionnelle mais jamais consultée.</w:t>
      </w:r>
    </w:p>
    <w:bookmarkEnd w:id="1443"/>
    <w:bookmarkStart w:id="1444" w:name="Xeeaa34321c45b8885a1ccbcda1e1e9fcb43aa88"/>
    <w:p>
      <w:pPr>
        <w:pStyle w:val="Heading2"/>
      </w:pPr>
      <w:r>
        <w:t xml:space="preserve">59.7 Templates : réutiliser une configuration standard, encore le même principe</w:t>
      </w:r>
    </w:p>
    <w:p>
      <w:pPr>
        <w:pStyle w:val="FirstParagraph"/>
      </w:pPr>
      <w:r>
        <w:t xml:space="preserve">💡 Rappel indirect des chapitres 53 et 55</w:t>
      </w:r>
      <w:r>
        <w:t xml:space="preserve"> </w:t>
      </w:r>
      <w:r>
        <w:t xml:space="preserve">Un</w:t>
      </w:r>
      <w:r>
        <w:t xml:space="preserve"> </w:t>
      </w:r>
      <w:r>
        <w:rPr>
          <w:b/>
          <w:bCs/>
        </w:rPr>
        <w:t xml:space="preserve">template</w:t>
      </w:r>
      <w:r>
        <w:t xml:space="preserve"> </w:t>
      </w:r>
      <w:r>
        <w:t xml:space="preserve">Zabbix regroupe un ensemble d’items, de triggers et d’actions réutilisables, appliqué en un clic à n’importe quel hôte du même type — exactement le même principe déjà rencontré pour les rôles Ansible (chapitre 53) et les modules Terraform (chapitre 55) : définir une configuration standard une seule fois, puis l’appliquer de façon cohérente à plusieurs cibles, plutôt que de répéter manuellement la même configuration hôte par hôte, un risque de dérive déjà dénoncé au chapitre 52.</w:t>
      </w:r>
    </w:p>
    <w:bookmarkEnd w:id="1444"/>
    <w:bookmarkStart w:id="1445" w:name="Xb82f2205f15d3b0323d3a0a92c42afc45505fe9"/>
    <w:p>
      <w:pPr>
        <w:pStyle w:val="Heading2"/>
      </w:pPr>
      <w:r>
        <w:t xml:space="preserve">59.8 Tableaux de bord natifs : un aperçu avant Grafana</w:t>
      </w:r>
    </w:p>
    <w:p>
      <w:pPr>
        <w:pStyle w:val="FirstParagraph"/>
      </w:pPr>
      <w:r>
        <w:t xml:space="preserve">📌 À retenir</w:t>
      </w:r>
      <w:r>
        <w:t xml:space="preserve"> </w:t>
      </w:r>
      <w:r>
        <w:t xml:space="preserve">Zabbix propose ses propres tableaux de bord intégrés, suffisants pour un usage quotidien standard. Le chapitre 61 présentera Grafana, souvent connecté à Zabbix comme source de données pour produire des visualisations plus riches et personnalisées, particulièrement utiles pour une présentation à la direction ou un tableau de bord combinant plusieurs sources de supervision.</w:t>
      </w:r>
    </w:p>
    <w:bookmarkEnd w:id="1445"/>
    <w:bookmarkStart w:id="1446" w:name="Xf5a7d62a38fde589efee9b50c1651ab6cdf230c"/>
    <w:p>
      <w:pPr>
        <w:pStyle w:val="Heading2"/>
      </w:pPr>
      <w:r>
        <w:t xml:space="preserve">Atelier — Superviser le serveur de gestion documentaire avec Zabbix</w:t>
      </w:r>
    </w:p>
    <w:p>
      <w:pPr>
        <w:pStyle w:val="FirstParagraph"/>
      </w:pPr>
      <w:r>
        <w:t xml:space="preserve">🛠️ Atelier 59 — Mettre en œuvre le plan de supervision du chapitre 58</w:t>
      </w:r>
    </w:p>
    <w:p>
      <w:pPr>
        <w:pStyle w:val="BodyText"/>
      </w:pPr>
      <w:r>
        <w:rPr>
          <w:b/>
          <w:bCs/>
        </w:rPr>
        <w:t xml:space="preserve">Objectif</w:t>
      </w:r>
      <w:r>
        <w:t xml:space="preserve"> </w:t>
      </w:r>
      <w:r>
        <w:t xml:space="preserve">: configurer dans Zabbix le plan de supervision minimal défini à l’atelier du chapitre 58 pour le serveur de gestion documentaire.</w:t>
      </w:r>
    </w:p>
    <w:p>
      <w:pPr>
        <w:pStyle w:val="BodyText"/>
      </w:pPr>
      <w:r>
        <w:rPr>
          <w:b/>
          <w:bCs/>
        </w:rPr>
        <w:t xml:space="preserve">Préparation</w:t>
      </w:r>
      <w:r>
        <w:t xml:space="preserve"> </w:t>
      </w:r>
      <w:r>
        <w:t xml:space="preserve">: un serveur Zabbix fonctionnel et un agent installé sur le serveur cible (section 59.3).</w:t>
      </w:r>
    </w:p>
    <w:p>
      <w:pPr>
        <w:pStyle w:val="BodyText"/>
      </w:pPr>
      <w:r>
        <w:rPr>
          <w:b/>
          <w:bCs/>
        </w:rPr>
        <w:t xml:space="preserve">Étapes détaillées</w:t>
      </w:r>
      <w:r>
        <w:t xml:space="preserve"> </w:t>
      </w:r>
      <w:r>
        <w:t xml:space="preserve">:</w:t>
      </w:r>
    </w:p>
    <w:p>
      <w:pPr>
        <w:pStyle w:val="Compact"/>
        <w:numPr>
          <w:ilvl w:val="0"/>
          <w:numId w:val="2355"/>
        </w:numPr>
      </w:pPr>
      <w:r>
        <w:t xml:space="preserve">Vérifie que l’hôte</w:t>
      </w:r>
      <w:r>
        <w:t xml:space="preserve"> </w:t>
      </w:r>
      <w:r>
        <w:rPr>
          <w:rStyle w:val="VerbatimChar"/>
        </w:rPr>
        <w:t xml:space="preserve">doc-cap-01</w:t>
      </w:r>
      <w:r>
        <w:t xml:space="preserve"> </w:t>
      </w:r>
      <w:r>
        <w:t xml:space="preserve">apparaît</w:t>
      </w:r>
      <w:r>
        <w:t xml:space="preserve"> </w:t>
      </w:r>
      <w:r>
        <w:t xml:space="preserve">“disponible”</w:t>
      </w:r>
      <w:r>
        <w:t xml:space="preserve"> </w:t>
      </w:r>
      <w:r>
        <w:t xml:space="preserve">dans l’interface Zabbix.</w:t>
      </w:r>
    </w:p>
    <w:p>
      <w:pPr>
        <w:pStyle w:val="Compact"/>
        <w:numPr>
          <w:ilvl w:val="0"/>
          <w:numId w:val="2355"/>
        </w:numPr>
      </w:pPr>
      <w:r>
        <w:t xml:space="preserve">Configure un trigger sur l’espace disque disponible reprenant le seuil défini à l’atelier 58 (15 % pendant une durée maintenue).</w:t>
      </w:r>
    </w:p>
    <w:p>
      <w:pPr>
        <w:pStyle w:val="Compact"/>
        <w:numPr>
          <w:ilvl w:val="0"/>
          <w:numId w:val="2355"/>
        </w:numPr>
      </w:pPr>
      <w:r>
        <w:t xml:space="preserve">Configure une action envoyant une notification email à l’équipe infrastructure dès le déclenchement de ce trigger.</w:t>
      </w:r>
    </w:p>
    <w:p>
      <w:pPr>
        <w:pStyle w:val="Compact"/>
        <w:numPr>
          <w:ilvl w:val="0"/>
          <w:numId w:val="2355"/>
        </w:numPr>
      </w:pPr>
      <w:r>
        <w:t xml:space="preserve">Explique pourquoi la création d’un template regroupant ces éléments serait préférable à une configuration répétée manuellement sur chaque nouveau serveur Linux ajouté au parc.</w:t>
      </w:r>
    </w:p>
    <w:p>
      <w:pPr>
        <w:pStyle w:val="Compact"/>
        <w:numPr>
          <w:ilvl w:val="0"/>
          <w:numId w:val="2355"/>
        </w:numPr>
      </w:pPr>
      <w:r>
        <w:t xml:space="preserve">Compare ta démarche à la section</w:t>
      </w:r>
      <w:r>
        <w:t xml:space="preserve"> </w:t>
      </w:r>
      <w:r>
        <w:t xml:space="preserve">“Résultat attendu”</w:t>
      </w:r>
      <w:r>
        <w:t xml:space="preserve">.</w:t>
      </w:r>
    </w:p>
    <w:p>
      <w:pPr>
        <w:pStyle w:val="FirstParagraph"/>
      </w:pPr>
      <w:r>
        <w:rPr>
          <w:b/>
          <w:bCs/>
        </w:rPr>
        <w:t xml:space="preserve">Résultat attendu</w:t>
      </w:r>
      <w:r>
        <w:t xml:space="preserve"> </w:t>
      </w:r>
      <w:r>
        <w:t xml:space="preserve">: le trigger reprend l’expression de la section 59.5, avec un maintien de 5 mesures consécutives sous le seuil de 15 %, évitant une alerte sur une fluctuation normale et temporaire. L’action associée envoie une notification email uniquement au moment du déclenchement effectif du trigger, garantissant qu’un destinataire réel reçoit l’alerte (section 59.6). Un template regroupant cet item, ce trigger et cette action permettrait d’appliquer la même supervision standardisée à tout nouveau serveur Linux ajouté au parc en une seule opération, plutôt que de répéter manuellement cette configuration à chaque nouvel hôte — le même bénéfice de cohérence déjà obtenu avec les rôles Ansible au chapitre 53.</w:t>
      </w:r>
    </w:p>
    <w:p>
      <w:pPr>
        <w:pStyle w:val="BodyText"/>
      </w:pPr>
      <w:r>
        <w:rPr>
          <w:b/>
          <w:bCs/>
        </w:rPr>
        <w:t xml:space="preserve">Dépannage</w:t>
      </w:r>
      <w:r>
        <w:t xml:space="preserve"> </w:t>
      </w:r>
      <w:r>
        <w:t xml:space="preserve">: si l’hôte apparaît</w:t>
      </w:r>
      <w:r>
        <w:t xml:space="preserve"> </w:t>
      </w:r>
      <w:r>
        <w:t xml:space="preserve">“non disponible”</w:t>
      </w:r>
      <w:r>
        <w:t xml:space="preserve"> </w:t>
      </w:r>
      <w:r>
        <w:t xml:space="preserve">dans Zabbix malgré un agent installé et démarré, vérifie en priorité que le pare-feu de l’hôte surveillé autorise le port 10050/TCP depuis l’adresse du serveur Zabbix — la cause la plus fréquente de ce symptôme.</w:t>
      </w:r>
    </w:p>
    <w:bookmarkEnd w:id="1446"/>
    <w:bookmarkStart w:id="1447" w:name="erreurs-fréquentes-58"/>
    <w:p>
      <w:pPr>
        <w:pStyle w:val="Heading2"/>
      </w:pPr>
      <w:r>
        <w:t xml:space="preserve">Erreurs fréquentes</w:t>
      </w:r>
    </w:p>
    <w:p>
      <w:pPr>
        <w:pStyle w:val="FirstParagraph"/>
      </w:pPr>
      <w:r>
        <w:t xml:space="preserve">⚠️ Erreur n°1 — un pare-feu bloquant la communication entre l’agent et le serveur</w:t>
      </w:r>
      <w:r>
        <w:t xml:space="preserve"> </w:t>
      </w:r>
      <w:r>
        <w:t xml:space="preserve">Rappel de la section 59.3 : sans ouverture explicite du port de l’agent, l’hôte apparaît systématiquement</w:t>
      </w:r>
      <w:r>
        <w:t xml:space="preserve"> </w:t>
      </w:r>
      <w:r>
        <w:t xml:space="preserve">“non disponible”</w:t>
      </w:r>
      <w:r>
        <w:t xml:space="preserve"> </w:t>
      </w:r>
      <w:r>
        <w:t xml:space="preserve">malgré une installation par ailleurs correcte.</w:t>
      </w:r>
    </w:p>
    <w:p>
      <w:pPr>
        <w:pStyle w:val="BodyText"/>
      </w:pPr>
      <w:r>
        <w:t xml:space="preserve">⚠️ Erreur n°2 — des triggers sans durée minimale de maintien du seuil</w:t>
      </w:r>
      <w:r>
        <w:t xml:space="preserve"> </w:t>
      </w:r>
      <w:r>
        <w:t xml:space="preserve">Rappel de la section 59.5 : reproduit exactement l’erreur de fatigue d’alerte déjà dénoncée au chapitre 58.</w:t>
      </w:r>
    </w:p>
    <w:p>
      <w:pPr>
        <w:pStyle w:val="BodyText"/>
      </w:pPr>
      <w:r>
        <w:t xml:space="preserve">⚠️ Erreur n°3 — une configuration répétée manuellement, hôte par hôte, sans template</w:t>
      </w:r>
      <w:r>
        <w:t xml:space="preserve"> </w:t>
      </w:r>
      <w:r>
        <w:t xml:space="preserve">Rappel de la section 59.7 : reproduit le même risque de dérive de configuration déjà dénoncé pour l’administration manuelle multi-serveurs au chapitre 52.</w:t>
      </w:r>
    </w:p>
    <w:bookmarkEnd w:id="1447"/>
    <w:bookmarkStart w:id="1448" w:name="X771f783180ada53ca9362cc735daafa51e77f45"/>
    <w:p>
      <w:pPr>
        <w:pStyle w:val="Heading2"/>
      </w:pPr>
      <w:r>
        <w:t xml:space="preserve">Diagnostiquer un hôte affiché</w:t>
      </w:r>
      <w:r>
        <w:t xml:space="preserve"> </w:t>
      </w:r>
      <w:r>
        <w:t xml:space="preserve">“non disponible”</w:t>
      </w:r>
    </w:p>
    <w:p>
      <w:pPr>
        <w:pStyle w:val="FirstParagraph"/>
      </w:pPr>
      <w:r>
        <w:t xml:space="preserve">🩺 Symptôme : un hôte configuré dans Zabbix apparaît</w:t>
      </w:r>
      <w:r>
        <w:t xml:space="preserve"> </w:t>
      </w:r>
      <w:r>
        <w:t xml:space="preserve">“non disponible”</w:t>
      </w:r>
      <w:r>
        <w:t xml:space="preserve"> </w:t>
      </w:r>
      <w:r>
        <w:t xml:space="preserve">(rouge) dans l’interface</w:t>
      </w:r>
    </w:p>
    <w:p>
      <w:pPr>
        <w:pStyle w:val="Compact"/>
        <w:numPr>
          <w:ilvl w:val="0"/>
          <w:numId w:val="2356"/>
        </w:numPr>
      </w:pPr>
      <w:r>
        <w:rPr>
          <w:b/>
          <w:bCs/>
        </w:rPr>
        <w:t xml:space="preserve">Diagnostic</w:t>
      </w:r>
      <w:r>
        <w:t xml:space="preserve"> </w:t>
      </w:r>
      <w:r>
        <w:t xml:space="preserve">: vérifier dans l’ordre : le service de l’agent est-il démarré sur l’hôte ? le pare-feu de l’hôte autorise-t-il le port 10050/TCP depuis l’adresse du serveur Zabbix ? l’adresse configurée dans Zabbix pour cet hôte correspond-elle bien à l’adresse réelle de la machine ?</w:t>
      </w:r>
    </w:p>
    <w:p>
      <w:pPr>
        <w:pStyle w:val="Compact"/>
        <w:numPr>
          <w:ilvl w:val="0"/>
          <w:numId w:val="2356"/>
        </w:numPr>
      </w:pPr>
      <w:r>
        <w:rPr>
          <w:b/>
          <w:bCs/>
        </w:rPr>
        <w:t xml:space="preserve">Comment vérifier</w:t>
      </w:r>
      <w:r>
        <w:t xml:space="preserve"> </w:t>
      </w:r>
      <w:r>
        <w:t xml:space="preserve">: tenter une connexion réseau directe depuis le serveur Zabbix vers le port de l’agent (</w:t>
      </w:r>
      <w:r>
        <w:rPr>
          <w:rStyle w:val="VerbatimChar"/>
        </w:rPr>
        <w:t xml:space="preserve">telnet &lt;ip_agent&gt; 10050</w:t>
      </w:r>
      <w:r>
        <w:t xml:space="preserve"> </w:t>
      </w:r>
      <w:r>
        <w:t xml:space="preserve">ou équivalent).</w:t>
      </w:r>
    </w:p>
    <w:p>
      <w:pPr>
        <w:pStyle w:val="Compact"/>
        <w:numPr>
          <w:ilvl w:val="0"/>
          <w:numId w:val="2356"/>
        </w:numPr>
      </w:pPr>
      <w:r>
        <w:rPr>
          <w:b/>
          <w:bCs/>
        </w:rPr>
        <w:t xml:space="preserve">Résolution</w:t>
      </w:r>
      <w:r>
        <w:t xml:space="preserve"> </w:t>
      </w:r>
      <w:r>
        <w:t xml:space="preserve">: la cause la plus fréquente reste un pare-feu bloquant, suivie d’un service agent non démarré — les deux se corrigent rapidement une fois identifiés.</w:t>
      </w:r>
    </w:p>
    <w:bookmarkEnd w:id="1448"/>
    <w:bookmarkStart w:id="1449" w:name="en-entreprise-58"/>
    <w:p>
      <w:pPr>
        <w:pStyle w:val="Heading2"/>
      </w:pPr>
      <w:r>
        <w:t xml:space="preserve">En entreprise</w:t>
      </w:r>
    </w:p>
    <w:p>
      <w:pPr>
        <w:pStyle w:val="Compact"/>
        <w:numPr>
          <w:ilvl w:val="0"/>
          <w:numId w:val="2357"/>
        </w:numPr>
      </w:pPr>
      <w:r>
        <w:rPr>
          <w:b/>
          <w:bCs/>
        </w:rPr>
        <w:t xml:space="preserve">Bonne pratique répandue</w:t>
      </w:r>
      <w:r>
        <w:t xml:space="preserve"> </w:t>
      </w:r>
      <w:r>
        <w:t xml:space="preserve">: construire un template standard par famille de serveur (serveur Windows générique, serveur Linux générique, serveur de base de données) et l’appliquer systématiquement à chaque nouvel hôte du même type.</w:t>
      </w:r>
    </w:p>
    <w:p>
      <w:pPr>
        <w:pStyle w:val="Compact"/>
        <w:numPr>
          <w:ilvl w:val="0"/>
          <w:numId w:val="2357"/>
        </w:numPr>
      </w:pPr>
      <w:r>
        <w:rPr>
          <w:b/>
          <w:bCs/>
        </w:rPr>
        <w:t xml:space="preserve">Bonne pratique répandue</w:t>
      </w:r>
      <w:r>
        <w:t xml:space="preserve"> </w:t>
      </w:r>
      <w:r>
        <w:t xml:space="preserve">: documenter la liste des destinataires de chaque type d’alerte, avec une astreinte claire en dehors des heures de bureau pour les alertes les plus critiques.</w:t>
      </w:r>
    </w:p>
    <w:p>
      <w:pPr>
        <w:pStyle w:val="Compact"/>
        <w:numPr>
          <w:ilvl w:val="0"/>
          <w:numId w:val="2357"/>
        </w:numPr>
      </w:pPr>
      <w:r>
        <w:rPr>
          <w:b/>
          <w:bCs/>
        </w:rPr>
        <w:t xml:space="preserve">Erreur classique observée</w:t>
      </w:r>
      <w:r>
        <w:t xml:space="preserve"> </w:t>
      </w:r>
      <w:r>
        <w:t xml:space="preserve">: une supervision Zabbix mise en place avec enthousiasme au départ, puis abandonnée progressivement faute de maintenance des templates lors de l’ajout de nouveaux serveurs — la supervision doit rester un réflexe intégré au processus de mise en production, pas une action ponctuelle isolée.</w:t>
      </w:r>
    </w:p>
    <w:bookmarkEnd w:id="1449"/>
    <w:bookmarkStart w:id="1450" w:name="entretien-technique-58"/>
    <w:p>
      <w:pPr>
        <w:pStyle w:val="Heading2"/>
      </w:pPr>
      <w:r>
        <w:t xml:space="preserve">Entretien technique</w:t>
      </w:r>
    </w:p>
    <w:p>
      <w:pPr>
        <w:pStyle w:val="FirstParagraph"/>
      </w:pPr>
      <w:r>
        <w:t xml:space="preserve">💼 Questions fréquemment posées en entretien</w:t>
      </w:r>
    </w:p>
    <w:p>
      <w:pPr>
        <w:pStyle w:val="BodyText"/>
      </w:pPr>
      <w:r>
        <w:rPr>
          <w:b/>
          <w:bCs/>
        </w:rPr>
        <w:t xml:space="preserve">Q1.</w:t>
      </w:r>
      <w:r>
        <w:rPr>
          <w:b/>
          <w:bCs/>
        </w:rPr>
        <w:t xml:space="preserve"> </w:t>
      </w:r>
      <w:r>
        <w:rPr>
          <w:b/>
          <w:bCs/>
        </w:rPr>
        <w:t xml:space="preserve">“Quels sont les composants principaux d’une architecture Zabbix ?”</w:t>
      </w:r>
      <w:r>
        <w:t xml:space="preserve"> </w:t>
      </w:r>
      <w:r>
        <w:t xml:space="preserve">Réponse attendue : le serveur Zabbix (collecte et évaluation), les agents installés sur chaque hôte surveillé (remontée des métriques), une base de données (historique) et une interface web (consultation et configuration).</w:t>
      </w:r>
    </w:p>
    <w:p>
      <w:pPr>
        <w:pStyle w:val="BodyText"/>
      </w:pPr>
      <w:r>
        <w:rPr>
          <w:b/>
          <w:bCs/>
        </w:rPr>
        <w:t xml:space="preserve">Q2.</w:t>
      </w:r>
      <w:r>
        <w:rPr>
          <w:b/>
          <w:bCs/>
        </w:rPr>
        <w:t xml:space="preserve"> </w:t>
      </w:r>
      <w:r>
        <w:rPr>
          <w:b/>
          <w:bCs/>
        </w:rPr>
        <w:t xml:space="preserve">“Pourquoi configurer un trigger avec un maintien de plusieurs mesures consécutives plutôt qu’une seule mesure instantanée ?”</w:t>
      </w:r>
      <w:r>
        <w:t xml:space="preserve"> </w:t>
      </w:r>
      <w:r>
        <w:t xml:space="preserve">Réponse attendue : pour éviter de déclencher une alerte sur une fluctuation normale et temporaire, exactement le même principe de dosage des seuils déjà établi pour éviter la fatigue d’alerte.</w:t>
      </w:r>
    </w:p>
    <w:p>
      <w:pPr>
        <w:pStyle w:val="BodyText"/>
      </w:pPr>
      <w:r>
        <w:rPr>
          <w:b/>
          <w:bCs/>
        </w:rPr>
        <w:t xml:space="preserve">Q3.</w:t>
      </w:r>
      <w:r>
        <w:rPr>
          <w:b/>
          <w:bCs/>
        </w:rPr>
        <w:t xml:space="preserve"> </w:t>
      </w:r>
      <w:r>
        <w:rPr>
          <w:b/>
          <w:bCs/>
        </w:rPr>
        <w:t xml:space="preserve">“Quel est l’intérêt d’un template Zabbix par rapport à une configuration manuelle hôte par hôte ?”</w:t>
      </w:r>
      <w:r>
        <w:t xml:space="preserve"> </w:t>
      </w:r>
      <w:r>
        <w:t xml:space="preserve">Réponse attendue : garantir une configuration cohérente et reproductible sur tous les hôtes du même type, évitant la dérive de configuration, et permettant d’appliquer une supervision standardisée en une seule opération à tout nouvel hôte ajouté au parc.</w:t>
      </w:r>
    </w:p>
    <w:bookmarkEnd w:id="1450"/>
    <w:bookmarkStart w:id="1451" w:name="X6ba2387b90c3dfebaeda466ab8dd24c356d7bbd"/>
    <w:p>
      <w:pPr>
        <w:pStyle w:val="Heading2"/>
      </w:pPr>
      <w:r>
        <w:t xml:space="preserve">Optimisation, sécurité et maintenabilité — les réflexes dès ce chapitre</w:t>
      </w:r>
    </w:p>
    <w:p>
      <w:pPr>
        <w:pStyle w:val="FirstParagraph"/>
      </w:pPr>
      <w:r>
        <w:t xml:space="preserve">🔒 Sécurité</w:t>
      </w:r>
      <w:r>
        <w:t xml:space="preserve"> </w:t>
      </w:r>
      <w:r>
        <w:t xml:space="preserve">N’ouvre le port de l’agent Zabbix qu’entre les hôtes surveillés et le serveur Zabbix, jamais plus largement, et restreins l’accès à l’interface web Zabbix elle-même aux seules personnes autorisées.</w:t>
      </w:r>
    </w:p>
    <w:p>
      <w:pPr>
        <w:pStyle w:val="BodyText"/>
      </w:pPr>
      <w:r>
        <w:t xml:space="preserve">✅ Maintenabilité</w:t>
      </w:r>
      <w:r>
        <w:t xml:space="preserve"> </w:t>
      </w:r>
      <w:r>
        <w:t xml:space="preserve">Privilégie systématiquement les templates plutôt que la configuration manuelle répétée — un changement de seuil appliqué au template se propage automatiquement à tous les hôtes qui l’utilisent, plutôt que de nécessiter une modification répétée sur chaque hôte individuellement.</w:t>
      </w:r>
    </w:p>
    <w:p>
      <w:pPr>
        <w:pStyle w:val="BodyText"/>
      </w:pPr>
      <w:r>
        <w:t xml:space="preserve">🚀 Performance</w:t>
      </w:r>
      <w:r>
        <w:t xml:space="preserve"> </w:t>
      </w:r>
      <w:r>
        <w:t xml:space="preserve">Adapte l’intervalle de collecte de chaque item à sa criticité réelle — une métrique critique peut être collectée toutes les minutes, tandis qu’une métrique moins urgente peut l’être toutes les heures, réduisant la charge globale sur le serveur Zabbix et sur les hôtes surveillés.</w:t>
      </w:r>
    </w:p>
    <w:bookmarkEnd w:id="1451"/>
    <w:bookmarkStart w:id="1452" w:name="résumé-du-chapitre-58"/>
    <w:p>
      <w:pPr>
        <w:pStyle w:val="Heading2"/>
      </w:pPr>
      <w:r>
        <w:t xml:space="preserve">Résumé du chapitre</w:t>
      </w:r>
    </w:p>
    <w:p>
      <w:pPr>
        <w:pStyle w:val="Compact"/>
        <w:numPr>
          <w:ilvl w:val="0"/>
          <w:numId w:val="2358"/>
        </w:numPr>
      </w:pPr>
      <w:r>
        <w:t xml:space="preserve">Zabbix est choisi ici pour sa capacité à couvrir un parc hétérogène Windows/Linux avec un seul outil, pour une équipe encore restreinte.</w:t>
      </w:r>
    </w:p>
    <w:p>
      <w:pPr>
        <w:pStyle w:val="Compact"/>
        <w:numPr>
          <w:ilvl w:val="0"/>
          <w:numId w:val="2358"/>
        </w:numPr>
      </w:pPr>
      <w:r>
        <w:t xml:space="preserve">L’architecture Zabbix repose sur un serveur central, des agents locaux, une base de données et une interface web.</w:t>
      </w:r>
    </w:p>
    <w:p>
      <w:pPr>
        <w:pStyle w:val="Compact"/>
        <w:numPr>
          <w:ilvl w:val="0"/>
          <w:numId w:val="2358"/>
        </w:numPr>
      </w:pPr>
      <w:r>
        <w:t xml:space="preserve">Un item définit une métrique surveillée ; un trigger définit le seuil qui déclenche une alerte ; une action transforme ce déclenchement en notification effective.</w:t>
      </w:r>
    </w:p>
    <w:p>
      <w:pPr>
        <w:pStyle w:val="Compact"/>
        <w:numPr>
          <w:ilvl w:val="0"/>
          <w:numId w:val="2358"/>
        </w:numPr>
      </w:pPr>
      <w:r>
        <w:t xml:space="preserve">Un trigger doit exiger un maintien du seuil dans le temps, pas une simple mesure instantanée, pour éviter la fatigue d’alerte déjà dénoncée au chapitre 58.</w:t>
      </w:r>
    </w:p>
    <w:p>
      <w:pPr>
        <w:pStyle w:val="Compact"/>
        <w:numPr>
          <w:ilvl w:val="0"/>
          <w:numId w:val="2358"/>
        </w:numPr>
      </w:pPr>
      <w:r>
        <w:t xml:space="preserve">Un template regroupe une configuration standard réutilisable, appliquée en une seule opération à tout nouvel hôte du même type.</w:t>
      </w:r>
    </w:p>
    <w:p>
      <w:pPr>
        <w:pStyle w:val="Compact"/>
        <w:numPr>
          <w:ilvl w:val="0"/>
          <w:numId w:val="2358"/>
        </w:numPr>
      </w:pPr>
      <w:r>
        <w:t xml:space="preserve">Les tableaux de bord natifs de Zabbix suffisent à un usage quotidien ; Grafana (chapitre 61) permettra des visualisations plus riches.</w:t>
      </w:r>
    </w:p>
    <w:bookmarkEnd w:id="1452"/>
    <w:bookmarkStart w:id="1453" w:name="quiz-58"/>
    <w:p>
      <w:pPr>
        <w:pStyle w:val="Heading2"/>
      </w:pPr>
      <w:r>
        <w:t xml:space="preserve">Quiz</w:t>
      </w:r>
    </w:p>
    <w:p>
      <w:pPr>
        <w:pStyle w:val="FirstParagraph"/>
      </w:pPr>
      <w:r>
        <w:t xml:space="preserve">📝 QCM (une seule bonne réponse par question)</w:t>
      </w:r>
    </w:p>
    <w:p>
      <w:pPr>
        <w:pStyle w:val="Compact"/>
        <w:numPr>
          <w:ilvl w:val="0"/>
          <w:numId w:val="2359"/>
        </w:numPr>
      </w:pPr>
      <w:r>
        <w:t xml:space="preserve">Dans l’architecture Zabbix, l’agent est installé :</w:t>
      </w:r>
    </w:p>
    <w:p>
      <w:pPr>
        <w:pStyle w:val="Compact"/>
        <w:numPr>
          <w:ilvl w:val="1"/>
          <w:numId w:val="2360"/>
        </w:numPr>
      </w:pPr>
    </w:p>
    <w:p>
      <w:pPr>
        <w:pStyle w:val="Compact"/>
        <w:numPr>
          <w:ilvl w:val="2"/>
          <w:numId w:val="2361"/>
        </w:numPr>
      </w:pPr>
      <w:r>
        <w:t xml:space="preserve">Uniquement sur le serveur Zabbix central</w:t>
      </w:r>
    </w:p>
    <w:p>
      <w:pPr>
        <w:pStyle w:val="Compact"/>
        <w:numPr>
          <w:ilvl w:val="1"/>
          <w:numId w:val="2360"/>
        </w:numPr>
      </w:pPr>
    </w:p>
    <w:p>
      <w:pPr>
        <w:pStyle w:val="Compact"/>
        <w:numPr>
          <w:ilvl w:val="2"/>
          <w:numId w:val="2362"/>
        </w:numPr>
      </w:pPr>
      <w:r>
        <w:t xml:space="preserve">Sur chaque hôte à surveiller</w:t>
      </w:r>
    </w:p>
    <w:p>
      <w:pPr>
        <w:pStyle w:val="Compact"/>
        <w:numPr>
          <w:ilvl w:val="1"/>
          <w:numId w:val="2360"/>
        </w:numPr>
      </w:pPr>
    </w:p>
    <w:p>
      <w:pPr>
        <w:pStyle w:val="Compact"/>
        <w:numPr>
          <w:ilvl w:val="2"/>
          <w:numId w:val="2363"/>
        </w:numPr>
      </w:pPr>
      <w:r>
        <w:t xml:space="preserve">Uniquement sur les postes des administrateurs</w:t>
      </w:r>
    </w:p>
    <w:p>
      <w:pPr>
        <w:pStyle w:val="Compact"/>
        <w:numPr>
          <w:ilvl w:val="1"/>
          <w:numId w:val="2360"/>
        </w:numPr>
      </w:pPr>
    </w:p>
    <w:p>
      <w:pPr>
        <w:pStyle w:val="Compact"/>
        <w:numPr>
          <w:ilvl w:val="2"/>
          <w:numId w:val="2364"/>
        </w:numPr>
      </w:pPr>
      <w:r>
        <w:t xml:space="preserve">Dans le navigateur web</w:t>
      </w:r>
    </w:p>
    <w:p>
      <w:pPr>
        <w:pStyle w:val="Compact"/>
        <w:numPr>
          <w:ilvl w:val="0"/>
          <w:numId w:val="2359"/>
        </w:numPr>
      </w:pPr>
      <w:r>
        <w:t xml:space="preserve">Un trigger Zabbix sert à :</w:t>
      </w:r>
    </w:p>
    <w:p>
      <w:pPr>
        <w:pStyle w:val="Compact"/>
        <w:numPr>
          <w:ilvl w:val="1"/>
          <w:numId w:val="2365"/>
        </w:numPr>
      </w:pPr>
    </w:p>
    <w:p>
      <w:pPr>
        <w:pStyle w:val="Compact"/>
        <w:numPr>
          <w:ilvl w:val="2"/>
          <w:numId w:val="2366"/>
        </w:numPr>
      </w:pPr>
      <w:r>
        <w:t xml:space="preserve">Collecter une métrique brute</w:t>
      </w:r>
    </w:p>
    <w:p>
      <w:pPr>
        <w:pStyle w:val="Compact"/>
        <w:numPr>
          <w:ilvl w:val="1"/>
          <w:numId w:val="2365"/>
        </w:numPr>
      </w:pPr>
    </w:p>
    <w:p>
      <w:pPr>
        <w:pStyle w:val="Compact"/>
        <w:numPr>
          <w:ilvl w:val="2"/>
          <w:numId w:val="2367"/>
        </w:numPr>
      </w:pPr>
      <w:r>
        <w:t xml:space="preserve">Définir la condition qui déclenche une alerte</w:t>
      </w:r>
    </w:p>
    <w:p>
      <w:pPr>
        <w:pStyle w:val="Compact"/>
        <w:numPr>
          <w:ilvl w:val="1"/>
          <w:numId w:val="2365"/>
        </w:numPr>
      </w:pPr>
    </w:p>
    <w:p>
      <w:pPr>
        <w:pStyle w:val="Compact"/>
        <w:numPr>
          <w:ilvl w:val="2"/>
          <w:numId w:val="2368"/>
        </w:numPr>
      </w:pPr>
      <w:r>
        <w:t xml:space="preserve">Installer automatiquement un agent</w:t>
      </w:r>
    </w:p>
    <w:p>
      <w:pPr>
        <w:pStyle w:val="Compact"/>
        <w:numPr>
          <w:ilvl w:val="1"/>
          <w:numId w:val="2365"/>
        </w:numPr>
      </w:pPr>
    </w:p>
    <w:p>
      <w:pPr>
        <w:pStyle w:val="Compact"/>
        <w:numPr>
          <w:ilvl w:val="2"/>
          <w:numId w:val="2369"/>
        </w:numPr>
      </w:pPr>
      <w:r>
        <w:t xml:space="preserve">Remplacer le besoin d’un item</w:t>
      </w:r>
    </w:p>
    <w:p>
      <w:pPr>
        <w:pStyle w:val="Compact"/>
        <w:numPr>
          <w:ilvl w:val="0"/>
          <w:numId w:val="2359"/>
        </w:numPr>
      </w:pPr>
      <w:r>
        <w:t xml:space="preserve">L’intérêt principal d’un template Zabbix est de :</w:t>
      </w:r>
    </w:p>
    <w:p>
      <w:pPr>
        <w:pStyle w:val="Compact"/>
        <w:numPr>
          <w:ilvl w:val="1"/>
          <w:numId w:val="2370"/>
        </w:numPr>
      </w:pPr>
    </w:p>
    <w:p>
      <w:pPr>
        <w:pStyle w:val="Compact"/>
        <w:numPr>
          <w:ilvl w:val="2"/>
          <w:numId w:val="2371"/>
        </w:numPr>
      </w:pPr>
      <w:r>
        <w:t xml:space="preserve">Réduire le nombre de serveurs à superviser</w:t>
      </w:r>
    </w:p>
    <w:p>
      <w:pPr>
        <w:pStyle w:val="Compact"/>
        <w:numPr>
          <w:ilvl w:val="1"/>
          <w:numId w:val="2370"/>
        </w:numPr>
      </w:pPr>
    </w:p>
    <w:p>
      <w:pPr>
        <w:pStyle w:val="Compact"/>
        <w:numPr>
          <w:ilvl w:val="2"/>
          <w:numId w:val="2372"/>
        </w:numPr>
      </w:pPr>
      <w:r>
        <w:t xml:space="preserve">Appliquer une configuration standard et cohérente à plusieurs hôtes du même type</w:t>
      </w:r>
    </w:p>
    <w:p>
      <w:pPr>
        <w:pStyle w:val="Compact"/>
        <w:numPr>
          <w:ilvl w:val="1"/>
          <w:numId w:val="2370"/>
        </w:numPr>
      </w:pPr>
    </w:p>
    <w:p>
      <w:pPr>
        <w:pStyle w:val="Compact"/>
        <w:numPr>
          <w:ilvl w:val="2"/>
          <w:numId w:val="2373"/>
        </w:numPr>
      </w:pPr>
      <w:r>
        <w:t xml:space="preserve">Remplacer complètement le besoin d’une base de données</w:t>
      </w:r>
    </w:p>
    <w:p>
      <w:pPr>
        <w:pStyle w:val="Compact"/>
        <w:numPr>
          <w:ilvl w:val="1"/>
          <w:numId w:val="2370"/>
        </w:numPr>
      </w:pPr>
    </w:p>
    <w:p>
      <w:pPr>
        <w:pStyle w:val="Compact"/>
        <w:numPr>
          <w:ilvl w:val="2"/>
          <w:numId w:val="2374"/>
        </w:numPr>
      </w:pPr>
      <w:r>
        <w:t xml:space="preserve">Chiffrer automatiquement les communications entre agents</w:t>
      </w:r>
    </w:p>
    <w:p>
      <w:pPr>
        <w:pStyle w:val="FirstParagraph"/>
      </w:pPr>
      <w:r>
        <w:rPr>
          <w:b/>
          <w:bCs/>
        </w:rPr>
        <w:t xml:space="preserve">Corrigé</w:t>
      </w:r>
      <w:r>
        <w:t xml:space="preserve"> </w:t>
      </w:r>
      <w:r>
        <w:t xml:space="preserve">: 1-b, 2-b, 3-b.</w:t>
      </w:r>
    </w:p>
    <w:p>
      <w:pPr>
        <w:pStyle w:val="BodyText"/>
      </w:pPr>
      <w:r>
        <w:t xml:space="preserve">📝 Vrai ou Faux</w:t>
      </w:r>
    </w:p>
    <w:p>
      <w:pPr>
        <w:pStyle w:val="Compact"/>
        <w:numPr>
          <w:ilvl w:val="0"/>
          <w:numId w:val="2375"/>
        </w:numPr>
      </w:pPr>
      <w:r>
        <w:t xml:space="preserve">Un hôte</w:t>
      </w:r>
      <w:r>
        <w:t xml:space="preserve"> </w:t>
      </w:r>
      <w:r>
        <w:t xml:space="preserve">“non disponible”</w:t>
      </w:r>
      <w:r>
        <w:t xml:space="preserve"> </w:t>
      </w:r>
      <w:r>
        <w:t xml:space="preserve">dans Zabbix est le plus souvent causé par un pare-feu bloquant la communication avec l’agent. —</w:t>
      </w:r>
      <w:r>
        <w:t xml:space="preserve"> </w:t>
      </w:r>
      <w:r>
        <w:rPr>
          <w:b/>
          <w:bCs/>
        </w:rPr>
        <w:t xml:space="preserve">Vrai</w:t>
      </w:r>
      <w:r>
        <w:t xml:space="preserve">.</w:t>
      </w:r>
    </w:p>
    <w:p>
      <w:pPr>
        <w:pStyle w:val="Compact"/>
        <w:numPr>
          <w:ilvl w:val="0"/>
          <w:numId w:val="2375"/>
        </w:numPr>
      </w:pPr>
      <w:r>
        <w:t xml:space="preserve">Un trigger déclenché sans action associée envoie automatiquement une notification par défaut. —</w:t>
      </w:r>
      <w:r>
        <w:t xml:space="preserve"> </w:t>
      </w:r>
      <w:r>
        <w:rPr>
          <w:b/>
          <w:bCs/>
        </w:rPr>
        <w:t xml:space="preserve">Faux</w:t>
      </w:r>
      <w:r>
        <w:t xml:space="preserve"> </w:t>
      </w:r>
      <w:r>
        <w:t xml:space="preserve">(une action doit être explicitement configurée, section 59.6).</w:t>
      </w:r>
    </w:p>
    <w:p>
      <w:pPr>
        <w:pStyle w:val="Compact"/>
        <w:numPr>
          <w:ilvl w:val="0"/>
          <w:numId w:val="2375"/>
        </w:numPr>
      </w:pPr>
      <w:r>
        <w:t xml:space="preserve">Zabbix peut superviser à la fois des serveurs Windows et des serveurs Linux avec le même outil. —</w:t>
      </w:r>
      <w:r>
        <w:t xml:space="preserve"> </w:t>
      </w:r>
      <w:r>
        <w:rPr>
          <w:b/>
          <w:bCs/>
        </w:rPr>
        <w:t xml:space="preserve">Vrai</w:t>
      </w:r>
      <w:r>
        <w:t xml:space="preserve">.</w:t>
      </w:r>
    </w:p>
    <w:p>
      <w:pPr>
        <w:pStyle w:val="Compact"/>
        <w:numPr>
          <w:ilvl w:val="0"/>
          <w:numId w:val="2375"/>
        </w:numPr>
      </w:pPr>
      <w:r>
        <w:t xml:space="preserve">Un template Zabbix doit être reconfiguré intégralement pour chaque nouvel hôte auquel il est appliqué. —</w:t>
      </w:r>
      <w:r>
        <w:t xml:space="preserve"> </w:t>
      </w:r>
      <w:r>
        <w:rPr>
          <w:b/>
          <w:bCs/>
        </w:rPr>
        <w:t xml:space="preserve">Faux</w:t>
      </w:r>
      <w:r>
        <w:t xml:space="preserve"> </w:t>
      </w:r>
      <w:r>
        <w:t xml:space="preserve">(c’est précisément l’inverse, section 59.7).</w:t>
      </w:r>
    </w:p>
    <w:p>
      <w:pPr>
        <w:pStyle w:val="FirstParagraph"/>
      </w:pPr>
      <w:r>
        <w:t xml:space="preserve">📝 Questions ouvertes</w:t>
      </w:r>
    </w:p>
    <w:p>
      <w:pPr>
        <w:pStyle w:val="Compact"/>
        <w:numPr>
          <w:ilvl w:val="0"/>
          <w:numId w:val="2376"/>
        </w:numPr>
      </w:pPr>
      <w:r>
        <w:t xml:space="preserve">Explique pourquoi Zabbix a été choisi dans le scénario d’ouverture plutôt qu’un outil spécialisé sur une seule famille de systèmes, en te référant au raisonnement déjà appliqué au chapitre 14.</w:t>
      </w:r>
    </w:p>
    <w:p>
      <w:pPr>
        <w:pStyle w:val="Compact"/>
        <w:numPr>
          <w:ilvl w:val="0"/>
          <w:numId w:val="2376"/>
        </w:numPr>
      </w:pPr>
      <w:r>
        <w:t xml:space="preserve">Un collègue configure un trigger déclenchant une alerte dès qu’une seule mesure d’utilisation CPU dépasse 90 %. Explique le risque de cette configuration et propose une amélioration.</w:t>
      </w:r>
    </w:p>
    <w:p>
      <w:pPr>
        <w:pStyle w:val="FirstParagraph"/>
      </w:pPr>
      <w:r>
        <w:rPr>
          <w:b/>
          <w:bCs/>
        </w:rPr>
        <w:t xml:space="preserve">Corrigé 1</w:t>
      </w:r>
      <w:r>
        <w:t xml:space="preserve"> </w:t>
      </w:r>
      <w:r>
        <w:t xml:space="preserve">: au chapitre 14, Ubuntu Server avait été choisi non pas parce qu’il était objectivement supérieur à toute alternative, mais parce qu’il correspondait au contexte réel de l’équipe (familiarité, documentation abondante) pour un besoin donné. Le choix de Zabbix suit exactement le même raisonnement pragmatique : plutôt que de déployer un outil spécialisé Windows et un outil spécialisé Linux séparément, doublant la charge d’apprentissage et de maintenance pour une équipe encore restreinte, un outil unique capable de couvrir les deux familles de systèmes réduit la complexité opérationnelle tout en répondant pleinement au besoin exprimé par le DSI.</w:t>
      </w:r>
    </w:p>
    <w:p>
      <w:pPr>
        <w:pStyle w:val="BodyText"/>
      </w:pPr>
      <w:r>
        <w:rPr>
          <w:b/>
          <w:bCs/>
        </w:rPr>
        <w:t xml:space="preserve">Corrigé 2</w:t>
      </w:r>
      <w:r>
        <w:t xml:space="preserve"> </w:t>
      </w:r>
      <w:r>
        <w:t xml:space="preserve">: un trigger déclenché sur une seule mesure instantanée capture également les pics de charge normaux et temporaires — un serveur peut légitimement atteindre 90 % de CPU pendant quelques secondes lors d’une tâche ponctuelle, sans que cela ne représente un problème réel. Cette configuration reproduit exactement l’erreur de fatigue d’alerte dénoncée à la section 58.7 et rappelée à la section 59.5. Une amélioration consisterait à exiger un maintien de ce seuil sur plusieurs mesures consécutives (par exemple 5 mesures, comme dans l’exemple de la section 59.5), filtrant les pics normaux tout en conservant la capacité de détecter une charge réellement anormale et prolongée.</w:t>
      </w:r>
    </w:p>
    <w:bookmarkEnd w:id="1453"/>
    <w:bookmarkStart w:id="1454" w:name="exercices-58"/>
    <w:p>
      <w:pPr>
        <w:pStyle w:val="Heading2"/>
      </w:pPr>
      <w:r>
        <w:t xml:space="preserve">Exercices</w:t>
      </w:r>
    </w:p>
    <w:p>
      <w:pPr>
        <w:pStyle w:val="FirstParagraph"/>
      </w:pPr>
      <w:r>
        <w:t xml:space="preserve">📝 Exercice 59.1</w:t>
      </w:r>
    </w:p>
    <w:p>
      <w:pPr>
        <w:pStyle w:val="BodyText"/>
      </w:pPr>
      <w:r>
        <w:t xml:space="preserve">Un nouveau serveur Linux rejoint le parc de l’entreprise. Décris, dans l’ordre, les étapes nécessaires pour le superviser via Zabbix en réutilisant au maximum la configuration existante plutôt qu’en la recréant manuellement.</w:t>
      </w:r>
    </w:p>
    <w:p>
      <w:pPr>
        <w:pStyle w:val="BodyText"/>
      </w:pPr>
      <w:r>
        <w:rPr>
          <w:b/>
          <w:bCs/>
        </w:rPr>
        <w:t xml:space="preserve">Corrigé :</w:t>
      </w:r>
      <w:r>
        <w:t xml:space="preserve"> </w:t>
      </w:r>
      <w:r>
        <w:t xml:space="preserve">1) Installer l’agent Zabbix sur le nouveau serveur et le configurer pour pointer vers le serveur Zabbix central (section 59.3). 2) Ajouter le nouvel hôte dans l’interface Zabbix. 3) Appliquer le template standard déjà défini pour les serveurs Linux (section 59.7), qui applique automatiquement l’ensemble des items, triggers et actions déjà configurés pour ce type de serveur, plutôt que de les recréer un par un. 4) Vérifier que l’hôte apparaît</w:t>
      </w:r>
      <w:r>
        <w:t xml:space="preserve"> </w:t>
      </w:r>
      <w:r>
        <w:t xml:space="preserve">“disponible”</w:t>
      </w:r>
      <w:r>
        <w:t xml:space="preserve"> </w:t>
      </w:r>
      <w:r>
        <w:t xml:space="preserve">et que les premières métriques remontent correctement. Cette démarche garantit une supervision cohérente avec celle des autres serveurs Linux du parc dès la mise en production du nouveau serveur, sans effort de configuration répété.</w:t>
      </w:r>
    </w:p>
    <w:p>
      <w:pPr>
        <w:pStyle w:val="BodyText"/>
      </w:pPr>
      <w:r>
        <w:t xml:space="preserve">📝 Exercice 59.2</w:t>
      </w:r>
    </w:p>
    <w:p>
      <w:pPr>
        <w:pStyle w:val="BodyText"/>
      </w:pPr>
      <w:r>
        <w:t xml:space="preserve">Rédige, en 3 à 5 phrases, pourquoi restreindre l’accès réseau au port de l’agent Zabbix constitue une mesure de sécurité pertinente, même si l’agent lui-même ne fait que remonter des métriques.</w:t>
      </w:r>
    </w:p>
    <w:p>
      <w:pPr>
        <w:pStyle w:val="BodyText"/>
      </w:pPr>
      <w:r>
        <w:rPr>
          <w:b/>
          <w:bCs/>
        </w:rPr>
        <w:t xml:space="preserve">Corrigé (exemple de réponse) :</w:t>
      </w:r>
      <w:r>
        <w:t xml:space="preserve"> </w:t>
      </w:r>
      <w:r>
        <w:t xml:space="preserve">Un agent de supervision, même limité à la remontée de métriques, expose un service réseau supplémentaire sur chaque hôte surveillé — toute surface d’exposition réseau supplémentaire représente un point d’entrée potentiel à sécuriser, exactement le même principe déjà appliqué à tout service exposé dans ce manuel. Un accès non restreint au port de l’agent pourrait permettre à un attaquant ayant déjà accès au réseau interne de récupérer des informations sur l’état des systèmes (charge, services actifs), utiles pour préparer une attaque ultérieure plus ciblée. Restreindre ce port aux seules adresses légitimes du serveur Zabbix, via la segmentation VLAN déjà pratiquée au chapitre 11, réduit cette surface d’exposition sans compliquer le fonctionnement normal de la supervision.</w:t>
      </w:r>
    </w:p>
    <w:bookmarkEnd w:id="1454"/>
    <w:bookmarkStart w:id="1455" w:name="checklist-de-fin-de-chapitre-58"/>
    <w:p>
      <w:pPr>
        <w:pStyle w:val="Heading2"/>
      </w:pPr>
      <w:r>
        <w:t xml:space="preserve">Checklist de fin de chapitre</w:t>
      </w:r>
    </w:p>
    <w:p>
      <w:pPr>
        <w:pStyle w:val="FirstParagraph"/>
      </w:pPr>
      <w:r>
        <w:t xml:space="preserve">☐ Je comprends pourquoi Zabbix a été choisi pour couvrir un parc hétérogène Windows/Linux.</w:t>
      </w:r>
    </w:p>
    <w:p>
      <w:pPr>
        <w:pStyle w:val="BodyText"/>
      </w:pPr>
      <w:r>
        <w:t xml:space="preserve">☐ Je sais installer et configurer un agent Zabbix.</w:t>
      </w:r>
    </w:p>
    <w:p>
      <w:pPr>
        <w:pStyle w:val="BodyText"/>
      </w:pPr>
      <w:r>
        <w:t xml:space="preserve">☐ Je sais définir un item, un trigger et une action.</w:t>
      </w:r>
    </w:p>
    <w:p>
      <w:pPr>
        <w:pStyle w:val="BodyText"/>
      </w:pPr>
      <w:r>
        <w:t xml:space="preserve">☐ Je sais configurer un trigger avec un maintien du seuil pour éviter la fatigue d’alerte.</w:t>
      </w:r>
    </w:p>
    <w:p>
      <w:pPr>
        <w:pStyle w:val="BodyText"/>
      </w:pPr>
      <w:r>
        <w:t xml:space="preserve">☐ Je comprends l’intérêt d’un template par rapport à une configuration manuelle répétée.</w:t>
      </w:r>
    </w:p>
    <w:p>
      <w:pPr>
        <w:pStyle w:val="BodyText"/>
      </w:pPr>
      <w:r>
        <w:t xml:space="preserve">☐ Je sais diagnostiquer un hôte affiché</w:t>
      </w:r>
      <w:r>
        <w:t xml:space="preserve"> </w:t>
      </w:r>
      <w:r>
        <w:t xml:space="preserve">“non disponible”</w:t>
      </w:r>
      <w:r>
        <w:t xml:space="preserve"> </w:t>
      </w:r>
      <w:r>
        <w:t xml:space="preserve">dans Zabbix.</w:t>
      </w:r>
    </w:p>
    <w:bookmarkEnd w:id="1455"/>
    <w:bookmarkStart w:id="1456" w:name="faq-58"/>
    <w:p>
      <w:pPr>
        <w:pStyle w:val="Heading2"/>
      </w:pPr>
      <w:r>
        <w:t xml:space="preserve">FAQ</w:t>
      </w:r>
    </w:p>
    <w:p>
      <w:pPr>
        <w:pStyle w:val="FirstParagraph"/>
      </w:pPr>
      <w:r>
        <w:t xml:space="preserve">Zabbix peut-il superviser des équipements réseau (commutateurs, pare-feu), pas seulement des serveurs ?</w:t>
      </w:r>
    </w:p>
    <w:p>
      <w:pPr>
        <w:pStyle w:val="BodyText"/>
      </w:pPr>
      <w:r>
        <w:t xml:space="preserve">Oui, via le protocole SNMP notamment, Zabbix peut également superviser des équipements réseau — une capacité qui sera pertinente lors de la Partie 11 consacrée au réseau d’entreprise avancé.</w:t>
      </w:r>
    </w:p>
    <w:p>
      <w:pPr>
        <w:pStyle w:val="BodyText"/>
      </w:pPr>
      <w:r>
        <w:t xml:space="preserve">Faut-il un serveur Zabbix par site (Port-au-Prince et Cap-Haïtien), ou un seul serveur central suffit-il ?</w:t>
      </w:r>
    </w:p>
    <w:p>
      <w:pPr>
        <w:pStyle w:val="BodyText"/>
      </w:pPr>
      <w:r>
        <w:t xml:space="preserve">Un seul serveur central reste généralement suffisant pour une infrastructure de cette taille, à condition que la liaison réseau entre les sites soit fiable — une architecture distribuée avec des proxys Zabbix par site devient pertinente pour des infrastructures plus grandes ou des liaisons réseau moins fiables.</w:t>
      </w:r>
    </w:p>
    <w:p>
      <w:pPr>
        <w:pStyle w:val="BodyText"/>
      </w:pPr>
      <w:r>
        <w:t xml:space="preserve">Zabbix remplace-t-il le besoin de Prometheus présenté au chapitre suivant ?</w:t>
      </w:r>
    </w:p>
    <w:p>
      <w:pPr>
        <w:pStyle w:val="BodyText"/>
      </w:pPr>
      <w:r>
        <w:t xml:space="preserve">Non, les deux répondent à des besoins souvent complémentaires plutôt que concurrents — Zabbix convient bien à la supervision classique d’un parc de serveurs, tandis que Prometheus s’intègre plus naturellement à un environnement cloud-native comme Kubernetes, comme le chapitre 60 le détaillera.</w:t>
      </w:r>
    </w:p>
    <w:p>
      <w:pPr>
        <w:pStyle w:val="BodyText"/>
      </w:pPr>
      <w:r>
        <w:t xml:space="preserve">Les templates Zabbix officiels couvrent-ils la plupart des besoins courants ?</w:t>
      </w:r>
    </w:p>
    <w:p>
      <w:pPr>
        <w:pStyle w:val="BodyText"/>
      </w:pPr>
      <w:r>
        <w:t xml:space="preserve">Oui, Zabbix fournit de nombreux templates officiels préconfigurés pour les systèmes d’exploitation courants et de nombreuses applications répandues, réduisant significativement le travail de configuration initial par rapport à une création entièrement manuelle.</w:t>
      </w:r>
    </w:p>
    <w:bookmarkEnd w:id="1456"/>
    <w:bookmarkStart w:id="1459" w:name="références-et-pour-aller-plus-loin-58"/>
    <w:p>
      <w:pPr>
        <w:pStyle w:val="Heading2"/>
      </w:pPr>
      <w:r>
        <w:t xml:space="preserve">Références et pour aller plus loin</w:t>
      </w:r>
    </w:p>
    <w:p>
      <w:pPr>
        <w:pStyle w:val="Compact"/>
        <w:numPr>
          <w:ilvl w:val="0"/>
          <w:numId w:val="2377"/>
        </w:numPr>
      </w:pPr>
      <w:r>
        <w:t xml:space="preserve">Documentation officielle Zabbix :</w:t>
      </w:r>
      <w:r>
        <w:t xml:space="preserve"> </w:t>
      </w:r>
      <w:hyperlink r:id="rId1457">
        <w:r>
          <w:rPr>
            <w:rStyle w:val="Hyperlink"/>
          </w:rPr>
          <w:t xml:space="preserve">https://www.zabbix.com/documentation/current/en/manual</w:t>
        </w:r>
      </w:hyperlink>
    </w:p>
    <w:p>
      <w:pPr>
        <w:pStyle w:val="Compact"/>
        <w:numPr>
          <w:ilvl w:val="0"/>
          <w:numId w:val="2377"/>
        </w:numPr>
      </w:pPr>
      <w:r>
        <w:t xml:space="preserve">Zabbix — Bibliothèque de templates officiels :</w:t>
      </w:r>
      <w:r>
        <w:t xml:space="preserve"> </w:t>
      </w:r>
      <w:hyperlink r:id="rId1458">
        <w:r>
          <w:rPr>
            <w:rStyle w:val="Hyperlink"/>
          </w:rPr>
          <w:t xml:space="preserve">https://www.zabbix.com/integrations</w:t>
        </w:r>
      </w:hyperlink>
    </w:p>
    <w:p>
      <w:pPr>
        <w:pStyle w:val="FirstParagraph"/>
      </w:pPr>
      <w:r>
        <w:rPr>
          <w:i/>
          <w:iCs/>
        </w:rPr>
        <w:t xml:space="preserve">Chapitre suivant : Prometheus — une approche différente de la supervision, particulièrement adaptée à l’environnement Kubernetes du portail client construit dans la Partie 7 de ce manuel.</w:t>
      </w:r>
    </w:p>
    <w:p>
      <w:pPr>
        <w:pStyle w:val="BodyText"/>
      </w:pPr>
      <w:r>
        <w:t xml:space="preserve">CHAPITRE 60</w:t>
      </w:r>
    </w:p>
    <w:bookmarkEnd w:id="1459"/>
    <w:bookmarkEnd w:id="1460"/>
    <w:bookmarkStart w:id="1482" w:name="prometheus"/>
    <w:p>
      <w:pPr>
        <w:pStyle w:val="Heading1"/>
      </w:pPr>
      <w:r>
        <w:t xml:space="preserve">Prometheus</w:t>
      </w:r>
    </w:p>
    <w:p>
      <w:pPr>
        <w:pStyle w:val="FirstParagraph"/>
      </w:pPr>
      <w:r>
        <w:t xml:space="preserve">🎯 Objectif du chapitre</w:t>
      </w:r>
      <w:r>
        <w:t xml:space="preserve"> </w:t>
      </w:r>
      <w:r>
        <w:t xml:space="preserve">Superviser l’environnement Kubernetes du portail client (Partie 7) avec Prometheus, une approche différente et complémentaire de celle de Zabbix, particulièrement adaptée à un environnement où les composants surveillés (les pods) apparaissent, disparaissent et changent d’adresse en permanence. À la fin de ce chapitre, tu comprendras le modèle de collecte par interrogation (</w:t>
      </w:r>
      <w:r>
        <w:rPr>
          <w:i/>
          <w:iCs/>
        </w:rPr>
        <w:t xml:space="preserve">pull</w:t>
      </w:r>
      <w:r>
        <w:t xml:space="preserve">), la découverte automatique des cibles dans Kubernetes, le langage de requête PromQL, et la configuration d’alertes via Alertmanager.</w:t>
      </w:r>
    </w:p>
    <w:p>
      <w:pPr>
        <w:pStyle w:val="BodyText"/>
      </w:pPr>
      <w:r>
        <w:t xml:space="preserve">🎬 Mise en situation</w:t>
      </w:r>
      <w:r>
        <w:t xml:space="preserve"> </w:t>
      </w:r>
      <w:r>
        <w:t xml:space="preserve">L’équipe tente d’ajouter le cluster Kubernetes du portail client (chapitres 41-44) à la supervision Zabbix mise en place au chapitre 59. Le problème apparaît rapidement : le montée en charge automatique (HPA, chapitre 44) crée et détruit des pods en continu, chacun avec une adresse IP différente à chaque redémarrage. Configurer manuellement chaque pod comme hôte Zabbix devient intenable — la configuration serait obsolète en quelques minutes.</w:t>
      </w:r>
      <w:r>
        <w:t xml:space="preserve"> </w:t>
      </w:r>
      <w:r>
        <w:t xml:space="preserve">“Zabbix a été pensé pour des serveurs qui existent pendant des mois,”</w:t>
      </w:r>
      <w:r>
        <w:t xml:space="preserve"> </w:t>
      </w:r>
      <w:r>
        <w:t xml:space="preserve">observe un administrateur,</w:t>
      </w:r>
      <w:r>
        <w:t xml:space="preserve"> </w:t>
      </w:r>
      <w:r>
        <w:t xml:space="preserve">“pas pour des pods qui vivent parfois quelques minutes.”</w:t>
      </w:r>
      <w:r>
        <w:t xml:space="preserve"> </w:t>
      </w:r>
      <w:r>
        <w:t xml:space="preserve">Prometheus, conçu nativement pour ce type d’environnement dynamique, résout ce problème.</w:t>
      </w:r>
    </w:p>
    <w:bookmarkStart w:id="1461" w:name="Xdfbd75cd23ee511cb0394111c389a5657a7410e"/>
    <w:p>
      <w:pPr>
        <w:pStyle w:val="Heading2"/>
      </w:pPr>
      <w:r>
        <w:t xml:space="preserve">60.1 Pourquoi Prometheus pour l’environnement Kubernetes</w:t>
      </w:r>
    </w:p>
    <w:p>
      <w:pPr>
        <w:pStyle w:val="FirstParagraph"/>
      </w:pPr>
      <w:r>
        <w:t xml:space="preserve">✅ Deux outils complémentaires, pas concurrents — rappel direct de la section 59.1</w:t>
      </w:r>
      <w:r>
        <w:t xml:space="preserve"> </w:t>
      </w:r>
      <w:r>
        <w:t xml:space="preserve">Prometheus n’est pas choisi ici pour remplacer Zabbix, mais pour couvrir un besoin que Zabbix gère mal nativement : un environnement où le nombre et l’identité des cibles à surveiller changent constamment. Zabbix continue de superviser les serveurs classiques (Windows Server, Rocky Linux) ; Prometheus prend en charge l’environnement Kubernetes du portail. Cette coexistence de deux outils, chacun adapté à son contexte, rejoint le même principe déjà établi au chapitre 49 : une infrastructure hybride nécessite souvent des outils différents selon la nature de chaque environnement, pourvu que ce choix reste conscient et documenté plutôt que subi.</w:t>
      </w:r>
    </w:p>
    <w:bookmarkEnd w:id="1461"/>
    <w:bookmarkStart w:id="1462" w:name="X49b681b2974beb258aeffcba405ee7372540807"/>
    <w:p>
      <w:pPr>
        <w:pStyle w:val="Heading2"/>
      </w:pPr>
      <w:r>
        <w:t xml:space="preserve">60.2 Le modèle pull : Prometheus interroge, il ne reçoit pas passivement</w:t>
      </w:r>
    </w:p>
    <w:p>
      <w:pPr>
        <w:pStyle w:val="FirstParagraph"/>
      </w:pPr>
      <w:r>
        <w:t xml:space="preserve">📌 À retenir — l’inverse du modèle par défaut de Zabbix</w:t>
      </w:r>
      <w:r>
        <w:t xml:space="preserve"> </w:t>
      </w:r>
      <w:r>
        <w:t xml:space="preserve">Contrairement à un agent Zabbix qui pousse ses métriques vers le serveur (section 59.3), Prometheus fonctionne principalement selon un modèle</w:t>
      </w:r>
      <w:r>
        <w:t xml:space="preserve"> </w:t>
      </w:r>
      <w:r>
        <w:rPr>
          <w:b/>
          <w:bCs/>
        </w:rPr>
        <w:t xml:space="preserve">pull</w:t>
      </w:r>
      <w:r>
        <w:t xml:space="preserve"> </w:t>
      </w:r>
      <w:r>
        <w:t xml:space="preserve">: il interroge lui-même, à intervalle régulier, un point de terminaison HTTP (</w:t>
      </w:r>
      <w:r>
        <w:rPr>
          <w:rStyle w:val="VerbatimChar"/>
        </w:rPr>
        <w:t xml:space="preserve">/metrics</w:t>
      </w:r>
      <w:r>
        <w:t xml:space="preserve">) exposé par chaque cible surveillée. Ce modèle s’adapte naturellement à un environnement dynamique : Prometheus découvre la liste des cibles à interroger à chaque cycle, plutôt que d’attendre que chaque nouvelle cible se déclare elle-même.</w:t>
      </w:r>
    </w:p>
    <w:bookmarkEnd w:id="1462"/>
    <w:bookmarkStart w:id="1463" w:name="X823a85c1ff5cda4e96563d4332c4fa6dbd6249d"/>
    <w:p>
      <w:pPr>
        <w:pStyle w:val="Heading2"/>
      </w:pPr>
      <w:r>
        <w:t xml:space="preserve">60.3 Exporters : exposer des métriques dans un format compréhensible</w:t>
      </w:r>
    </w:p>
    <w:p>
      <w:pPr>
        <w:pStyle w:val="FirstParagraph"/>
      </w:pPr>
      <w:r>
        <w:t xml:space="preserve">💡 Analogie — une prise standardisée</w:t>
      </w:r>
      <w:r>
        <w:t xml:space="preserve"> </w:t>
      </w:r>
      <w:r>
        <w:t xml:space="preserve">Un</w:t>
      </w:r>
      <w:r>
        <w:t xml:space="preserve"> </w:t>
      </w:r>
      <w:r>
        <w:rPr>
          <w:b/>
          <w:bCs/>
        </w:rPr>
        <w:t xml:space="preserve">exporter</w:t>
      </w:r>
      <w:r>
        <w:t xml:space="preserve"> </w:t>
      </w:r>
      <w:r>
        <w:t xml:space="preserve">est un petit programme qui traduit les métriques d’un système (CPU, mémoire, métriques applicatives) dans le format texte simple que Prometheus sait interroger — exactement comme un adaptateur électrique standardisé qui rend compatible une prise locale avec n’importe quel appareil. Le</w:t>
      </w:r>
      <w:r>
        <w:t xml:space="preserve"> </w:t>
      </w:r>
      <w:r>
        <w:rPr>
          <w:rStyle w:val="VerbatimChar"/>
        </w:rPr>
        <w:t xml:space="preserve">node_exporter</w:t>
      </w:r>
      <w:r>
        <w:t xml:space="preserve">, par exemple, expose les métriques système d’un serveur Linux ; une application peut également exposer directement ses propres métriques via une bibliothèque cliente Prometheus.</w:t>
      </w:r>
    </w:p>
    <w:p>
      <w:pPr>
        <w:pStyle w:val="SourceCode"/>
      </w:pPr>
      <w:r>
        <w:rPr>
          <w:rStyle w:val="CommentTok"/>
        </w:rPr>
        <w:t xml:space="preserve"># prometheus.yml — configuration de collecte basique</w:t>
      </w:r>
      <w:r>
        <w:br/>
      </w:r>
      <w:r>
        <w:rPr>
          <w:rStyle w:val="FunctionTok"/>
        </w:rPr>
        <w:t xml:space="preserve">scrape_configs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job_name</w:t>
      </w:r>
      <w:r>
        <w:rPr>
          <w:rStyle w:val="KeywordTok"/>
        </w:rPr>
        <w:t xml:space="preserve">:</w:t>
      </w:r>
      <w:r>
        <w:rPr>
          <w:rStyle w:val="AttributeTok"/>
        </w:rPr>
        <w:t xml:space="preserve"> </w:t>
      </w:r>
      <w:r>
        <w:rPr>
          <w:rStyle w:val="StringTok"/>
        </w:rPr>
        <w:t xml:space="preserve">'node-exporter'</w:t>
      </w:r>
      <w:r>
        <w:br/>
      </w:r>
      <w:r>
        <w:rPr>
          <w:rStyle w:val="AttributeTok"/>
        </w:rPr>
        <w:t xml:space="preserve">    </w:t>
      </w:r>
      <w:r>
        <w:rPr>
          <w:rStyle w:val="FunctionTok"/>
        </w:rPr>
        <w:t xml:space="preserve">static_configs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targets</w:t>
      </w:r>
      <w:r>
        <w:rPr>
          <w:rStyle w:val="KeywordTok"/>
        </w:rPr>
        <w:t xml:space="preserve">:</w:t>
      </w:r>
      <w:r>
        <w:rPr>
          <w:rStyle w:val="AttributeTok"/>
        </w:rPr>
        <w:t xml:space="preserve"> </w:t>
      </w:r>
      <w:r>
        <w:rPr>
          <w:rStyle w:val="KeywordTok"/>
        </w:rPr>
        <w:t xml:space="preserve">[</w:t>
      </w:r>
      <w:r>
        <w:rPr>
          <w:rStyle w:val="StringTok"/>
        </w:rPr>
        <w:t xml:space="preserve">'10.10.1.20:9100'</w:t>
      </w:r>
      <w:r>
        <w:rPr>
          <w:rStyle w:val="KeywordTok"/>
        </w:rPr>
        <w:t xml:space="preserve">]</w:t>
      </w:r>
    </w:p>
    <w:bookmarkEnd w:id="1463"/>
    <w:bookmarkStart w:id="1464" w:name="X34b6dc304a9d85500e967421ccd02943d9007ba"/>
    <w:p>
      <w:pPr>
        <w:pStyle w:val="Heading2"/>
      </w:pPr>
      <w:r>
        <w:t xml:space="preserve">60.4 Découverte automatique des cibles dans Kubernetes</w:t>
      </w:r>
    </w:p>
    <w:p>
      <w:pPr>
        <w:pStyle w:val="FirstParagraph"/>
      </w:pPr>
      <w:r>
        <w:t xml:space="preserve">📌 À retenir — la réponse directe au problème du scénario d’ouverture</w:t>
      </w:r>
      <w:r>
        <w:t xml:space="preserve"> </w:t>
      </w:r>
      <w:r>
        <w:t xml:space="preserve">Plutôt qu’une liste statique d’adresses, Prometheus peut interroger directement l’API Kubernetes (chapitre 41) pour découvrir automatiquement l’ensemble des pods actuellement en cours d’exécution, quelle que soit leur adresse IP du moment. Chaque création ou destruction de pod par le contrôleur de mise à l’échelle horizontale (HPA, chapitre 44) est ainsi automatiquement reflétée dans la liste des cibles surveillées, sans aucune intervention manuelle — résolvant exactement le problème rencontré dans le scénario d’ouverture.</w:t>
      </w:r>
    </w:p>
    <w:p>
      <w:pPr>
        <w:pStyle w:val="SourceCode"/>
      </w:pPr>
      <w:r>
        <w:rPr>
          <w:rStyle w:val="FunctionTok"/>
        </w:rPr>
        <w:t xml:space="preserve">scrape_configs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job_name</w:t>
      </w:r>
      <w:r>
        <w:rPr>
          <w:rStyle w:val="KeywordTok"/>
        </w:rPr>
        <w:t xml:space="preserve">:</w:t>
      </w:r>
      <w:r>
        <w:rPr>
          <w:rStyle w:val="AttributeTok"/>
        </w:rPr>
        <w:t xml:space="preserve"> </w:t>
      </w:r>
      <w:r>
        <w:rPr>
          <w:rStyle w:val="StringTok"/>
        </w:rPr>
        <w:t xml:space="preserve">'kubernetes-pods'</w:t>
      </w:r>
      <w:r>
        <w:br/>
      </w:r>
      <w:r>
        <w:rPr>
          <w:rStyle w:val="AttributeTok"/>
        </w:rPr>
        <w:t xml:space="preserve">    </w:t>
      </w:r>
      <w:r>
        <w:rPr>
          <w:rStyle w:val="FunctionTok"/>
        </w:rPr>
        <w:t xml:space="preserve">kubernetes_sd_configs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role</w:t>
      </w:r>
      <w:r>
        <w:rPr>
          <w:rStyle w:val="KeywordTok"/>
        </w:rPr>
        <w:t xml:space="preserve">:</w:t>
      </w:r>
      <w:r>
        <w:rPr>
          <w:rStyle w:val="AttributeTok"/>
        </w:rPr>
        <w:t xml:space="preserve"> pod</w:t>
      </w:r>
    </w:p>
    <w:bookmarkEnd w:id="1464"/>
    <w:bookmarkStart w:id="1465" w:name="Xb2001c728ea958169d5e404ec6244ab88a689d4"/>
    <w:p>
      <w:pPr>
        <w:pStyle w:val="Heading2"/>
      </w:pPr>
      <w:r>
        <w:t xml:space="preserve">60.5 PromQL : interroger les métriques collectées</w:t>
      </w:r>
    </w:p>
    <w:p>
      <w:pPr>
        <w:pStyle w:val="FirstParagraph"/>
      </w:pPr>
      <w:r>
        <w:t xml:space="preserve">📌 À retenir</w:t>
      </w:r>
      <w:r>
        <w:t xml:space="preserve"> </w:t>
      </w:r>
      <w:r>
        <w:rPr>
          <w:b/>
          <w:bCs/>
        </w:rPr>
        <w:t xml:space="preserve">PromQL</w:t>
      </w:r>
      <w:r>
        <w:t xml:space="preserve"> </w:t>
      </w:r>
      <w:r>
        <w:t xml:space="preserve">est le langage de requête de Prometheus, permettant d’interroger et d’agréger les métriques collectées. Il permet, par exemple, de calculer le taux moyen d’utilisation CPU sur les cinq dernières minutes à travers l’ensemble des pods du portail, une agrégation automatique qui serait difficile à reproduire manuellement pods par pods dans un environnement à l’échelle changeante.</w:t>
      </w:r>
    </w:p>
    <w:p>
      <w:pPr>
        <w:pStyle w:val="SourceCode"/>
      </w:pPr>
      <w:r>
        <w:rPr>
          <w:rStyle w:val="VerbatimChar"/>
        </w:rPr>
        <w:t xml:space="preserve">rate(container_cpu_usage_seconds_total{namespace="portail-client"}[5m])</w:t>
      </w:r>
    </w:p>
    <w:bookmarkEnd w:id="1465"/>
    <w:bookmarkStart w:id="1466" w:name="Xdb571b59724085fe87d609ca26a3d1aa38b30e0"/>
    <w:p>
      <w:pPr>
        <w:pStyle w:val="Heading2"/>
      </w:pPr>
      <w:r>
        <w:t xml:space="preserve">60.6 Alertmanager : gérer les alertes, encore le même principe</w:t>
      </w:r>
    </w:p>
    <w:p>
      <w:pPr>
        <w:pStyle w:val="FirstParagraph"/>
      </w:pPr>
      <w:r>
        <w:t xml:space="preserve">⚠️ Rappel direct des sections 58.7 et 59.5</w:t>
      </w:r>
      <w:r>
        <w:t xml:space="preserve"> </w:t>
      </w:r>
      <w:r>
        <w:rPr>
          <w:b/>
          <w:bCs/>
        </w:rPr>
        <w:t xml:space="preserve">Alertmanager</w:t>
      </w:r>
      <w:r>
        <w:t xml:space="preserve"> </w:t>
      </w:r>
      <w:r>
        <w:t xml:space="preserve">reçoit les alertes déclenchées par Prometheus et les achemine vers les bons destinataires — exactement le même rôle que les actions Zabbix (section 59.6). Une règle d’alerte Prometheus doit, comme un trigger Zabbix bien conçu, exiger un maintien de la condition dans le temps via la clause</w:t>
      </w:r>
      <w:r>
        <w:t xml:space="preserve"> </w:t>
      </w:r>
      <w:r>
        <w:rPr>
          <w:rStyle w:val="VerbatimChar"/>
        </w:rPr>
        <w:t xml:space="preserve">for</w:t>
      </w:r>
      <w:r>
        <w:t xml:space="preserve">, sous peine de reproduire la même fatigue d’alerte déjà dénoncée à deux reprises dans ce manuel.</w:t>
      </w:r>
    </w:p>
    <w:p>
      <w:pPr>
        <w:pStyle w:val="SourceCode"/>
      </w:pPr>
      <w:r>
        <w:rPr>
          <w:rStyle w:val="FunctionTok"/>
        </w:rPr>
        <w:t xml:space="preserve">groups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portail-client</w:t>
      </w:r>
      <w:r>
        <w:br/>
      </w:r>
      <w:r>
        <w:rPr>
          <w:rStyle w:val="AttributeTok"/>
        </w:rPr>
        <w:t xml:space="preserve">    </w:t>
      </w:r>
      <w:r>
        <w:rPr>
          <w:rStyle w:val="FunctionTok"/>
        </w:rPr>
        <w:t xml:space="preserve">rules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alert</w:t>
      </w:r>
      <w:r>
        <w:rPr>
          <w:rStyle w:val="KeywordTok"/>
        </w:rPr>
        <w:t xml:space="preserve">:</w:t>
      </w:r>
      <w:r>
        <w:rPr>
          <w:rStyle w:val="AttributeTok"/>
        </w:rPr>
        <w:t xml:space="preserve"> LatenceElevee</w:t>
      </w:r>
      <w:r>
        <w:br/>
      </w:r>
      <w:r>
        <w:rPr>
          <w:rStyle w:val="AttributeTok"/>
        </w:rPr>
        <w:t xml:space="preserve">        </w:t>
      </w:r>
      <w:r>
        <w:rPr>
          <w:rStyle w:val="FunctionTok"/>
        </w:rPr>
        <w:t xml:space="preserve">expr</w:t>
      </w:r>
      <w:r>
        <w:rPr>
          <w:rStyle w:val="KeywordTok"/>
        </w:rPr>
        <w:t xml:space="preserve">:</w:t>
      </w:r>
      <w:r>
        <w:rPr>
          <w:rStyle w:val="AttributeTok"/>
        </w:rPr>
        <w:t xml:space="preserve"> http_request_duration_seconds &gt; 2</w:t>
      </w:r>
      <w:r>
        <w:br/>
      </w:r>
      <w:r>
        <w:rPr>
          <w:rStyle w:val="AttributeTok"/>
        </w:rPr>
        <w:t xml:space="preserve">        </w:t>
      </w:r>
      <w:r>
        <w:rPr>
          <w:rStyle w:val="FunctionTok"/>
        </w:rPr>
        <w:t xml:space="preserve">for</w:t>
      </w:r>
      <w:r>
        <w:rPr>
          <w:rStyle w:val="KeywordTok"/>
        </w:rPr>
        <w:t xml:space="preserve">:</w:t>
      </w:r>
      <w:r>
        <w:rPr>
          <w:rStyle w:val="AttributeTok"/>
        </w:rPr>
        <w:t xml:space="preserve"> 5m</w:t>
      </w:r>
      <w:r>
        <w:br/>
      </w:r>
      <w:r>
        <w:rPr>
          <w:rStyle w:val="AttributeTok"/>
        </w:rPr>
        <w:t xml:space="preserve">        </w:t>
      </w:r>
      <w:r>
        <w:rPr>
          <w:rStyle w:val="FunctionTok"/>
        </w:rPr>
        <w:t xml:space="preserve">labels</w:t>
      </w:r>
      <w:r>
        <w:rPr>
          <w:rStyle w:val="KeywordTok"/>
        </w:rPr>
        <w:t xml:space="preserve">:</w:t>
      </w:r>
      <w:r>
        <w:br/>
      </w:r>
      <w:r>
        <w:rPr>
          <w:rStyle w:val="AttributeTok"/>
        </w:rPr>
        <w:t xml:space="preserve">          </w:t>
      </w:r>
      <w:r>
        <w:rPr>
          <w:rStyle w:val="FunctionTok"/>
        </w:rPr>
        <w:t xml:space="preserve">severity</w:t>
      </w:r>
      <w:r>
        <w:rPr>
          <w:rStyle w:val="KeywordTok"/>
        </w:rPr>
        <w:t xml:space="preserve">:</w:t>
      </w:r>
      <w:r>
        <w:rPr>
          <w:rStyle w:val="AttributeTok"/>
        </w:rPr>
        <w:t xml:space="preserve"> critical</w:t>
      </w:r>
      <w:r>
        <w:br/>
      </w:r>
      <w:r>
        <w:rPr>
          <w:rStyle w:val="AttributeTok"/>
        </w:rPr>
        <w:t xml:space="preserve">        </w:t>
      </w:r>
      <w:r>
        <w:rPr>
          <w:rStyle w:val="FunctionTok"/>
        </w:rPr>
        <w:t xml:space="preserve">annotations</w:t>
      </w:r>
      <w:r>
        <w:rPr>
          <w:rStyle w:val="KeywordTok"/>
        </w:rPr>
        <w:t xml:space="preserve">:</w:t>
      </w:r>
      <w:r>
        <w:br/>
      </w:r>
      <w:r>
        <w:rPr>
          <w:rStyle w:val="AttributeTok"/>
        </w:rPr>
        <w:t xml:space="preserve">          </w:t>
      </w:r>
      <w:r>
        <w:rPr>
          <w:rStyle w:val="FunctionTok"/>
        </w:rPr>
        <w:t xml:space="preserve">summary</w:t>
      </w:r>
      <w:r>
        <w:rPr>
          <w:rStyle w:val="KeywordTok"/>
        </w:rPr>
        <w:t xml:space="preserve">:</w:t>
      </w:r>
      <w:r>
        <w:rPr>
          <w:rStyle w:val="AttributeTok"/>
        </w:rPr>
        <w:t xml:space="preserve"> </w:t>
      </w:r>
      <w:r>
        <w:rPr>
          <w:rStyle w:val="StringTok"/>
        </w:rPr>
        <w:t xml:space="preserve">"Latence du portail superieure a 2 secondes depuis 5 minutes"</w:t>
      </w:r>
    </w:p>
    <w:bookmarkEnd w:id="1466"/>
    <w:bookmarkStart w:id="1467" w:name="X4eeadba8f9a3b679c958eac38e488f35a85a2fd"/>
    <w:p>
      <w:pPr>
        <w:pStyle w:val="Heading2"/>
      </w:pPr>
      <w:r>
        <w:t xml:space="preserve">Atelier — Instrumenter et surveiller le portail client</w:t>
      </w:r>
    </w:p>
    <w:p>
      <w:pPr>
        <w:pStyle w:val="FirstParagraph"/>
      </w:pPr>
      <w:r>
        <w:t xml:space="preserve">🛠️ Atelier 60 — Résoudre concrètement le problème du scénario d’ouverture</w:t>
      </w:r>
    </w:p>
    <w:p>
      <w:pPr>
        <w:pStyle w:val="BodyText"/>
      </w:pPr>
      <w:r>
        <w:rPr>
          <w:b/>
          <w:bCs/>
        </w:rPr>
        <w:t xml:space="preserve">Objectif</w:t>
      </w:r>
      <w:r>
        <w:t xml:space="preserve"> </w:t>
      </w:r>
      <w:r>
        <w:t xml:space="preserve">: configurer Prometheus pour surveiller automatiquement les pods du portail client, sans configuration manuelle par pod.</w:t>
      </w:r>
    </w:p>
    <w:p>
      <w:pPr>
        <w:pStyle w:val="BodyText"/>
      </w:pPr>
      <w:r>
        <w:rPr>
          <w:b/>
          <w:bCs/>
        </w:rPr>
        <w:t xml:space="preserve">Préparation</w:t>
      </w:r>
      <w:r>
        <w:t xml:space="preserve"> </w:t>
      </w:r>
      <w:r>
        <w:t xml:space="preserve">: un cluster Kubernetes fonctionnel avec le portail déployé (chapitres 41-44), et Prometheus installé sur ce cluster.</w:t>
      </w:r>
    </w:p>
    <w:p>
      <w:pPr>
        <w:pStyle w:val="BodyText"/>
      </w:pPr>
      <w:r>
        <w:rPr>
          <w:b/>
          <w:bCs/>
        </w:rPr>
        <w:t xml:space="preserve">Étapes détaillées</w:t>
      </w:r>
      <w:r>
        <w:t xml:space="preserve"> </w:t>
      </w:r>
      <w:r>
        <w:t xml:space="preserve">:</w:t>
      </w:r>
    </w:p>
    <w:p>
      <w:pPr>
        <w:pStyle w:val="Compact"/>
        <w:numPr>
          <w:ilvl w:val="0"/>
          <w:numId w:val="2378"/>
        </w:numPr>
      </w:pPr>
      <w:r>
        <w:t xml:space="preserve">Configure la découverte automatique des cibles Kubernetes pour le namespace</w:t>
      </w:r>
      <w:r>
        <w:t xml:space="preserve"> </w:t>
      </w:r>
      <w:r>
        <w:rPr>
          <w:rStyle w:val="VerbatimChar"/>
        </w:rPr>
        <w:t xml:space="preserve">portail-client</w:t>
      </w:r>
      <w:r>
        <w:t xml:space="preserve"> </w:t>
      </w:r>
      <w:r>
        <w:t xml:space="preserve">(section 60.4).</w:t>
      </w:r>
    </w:p>
    <w:p>
      <w:pPr>
        <w:pStyle w:val="Compact"/>
        <w:numPr>
          <w:ilvl w:val="0"/>
          <w:numId w:val="2378"/>
        </w:numPr>
      </w:pPr>
      <w:r>
        <w:t xml:space="preserve">Écris une requête PromQL calculant le taux d’utilisation CPU moyen sur les cinq dernières minutes pour l’ensemble des pods de ce namespace.</w:t>
      </w:r>
    </w:p>
    <w:p>
      <w:pPr>
        <w:pStyle w:val="Compact"/>
        <w:numPr>
          <w:ilvl w:val="0"/>
          <w:numId w:val="2378"/>
        </w:numPr>
      </w:pPr>
      <w:r>
        <w:t xml:space="preserve">Configure une règle d’alerte déclenchée si la latence moyenne des requêtes dépasse 2 secondes pendant plus de 5 minutes (section 60.6).</w:t>
      </w:r>
    </w:p>
    <w:p>
      <w:pPr>
        <w:pStyle w:val="Compact"/>
        <w:numPr>
          <w:ilvl w:val="0"/>
          <w:numId w:val="2378"/>
        </w:numPr>
      </w:pPr>
      <w:r>
        <w:t xml:space="preserve">Explique ce qui se passerait si le HPA (chapitre 44) déclenchait une mise à l’échelle pendant que cette supervision est active — la configuration nécessiterait-elle une mise à jour manuelle ?</w:t>
      </w:r>
    </w:p>
    <w:p>
      <w:pPr>
        <w:pStyle w:val="Compact"/>
        <w:numPr>
          <w:ilvl w:val="0"/>
          <w:numId w:val="2378"/>
        </w:numPr>
      </w:pPr>
      <w:r>
        <w:t xml:space="preserve">Compare ta démarche à la section</w:t>
      </w:r>
      <w:r>
        <w:t xml:space="preserve"> </w:t>
      </w:r>
      <w:r>
        <w:t xml:space="preserve">“Résultat attendu”</w:t>
      </w:r>
      <w:r>
        <w:t xml:space="preserve">.</w:t>
      </w:r>
    </w:p>
    <w:p>
      <w:pPr>
        <w:pStyle w:val="FirstParagraph"/>
      </w:pPr>
      <w:r>
        <w:rPr>
          <w:b/>
          <w:bCs/>
        </w:rPr>
        <w:t xml:space="preserve">Résultat attendu</w:t>
      </w:r>
      <w:r>
        <w:t xml:space="preserve"> </w:t>
      </w:r>
      <w:r>
        <w:t xml:space="preserve">: la découverte automatique des cibles Kubernetes élimine tout besoin de mise à jour manuelle lors d’une mise à l’échelle du HPA — chaque nouveau pod créé est automatiquement détecté et interrogé au prochain cycle de collecte, et chaque pod détruit disparaît automatiquement de la liste des cibles actives, sans aucune intervention. Cette réponse contraste directement avec le problème du scénario d’ouverture, où une configuration manuelle par hôte Zabbix serait devenue obsolète à chaque cycle de mise à l’échelle.</w:t>
      </w:r>
    </w:p>
    <w:p>
      <w:pPr>
        <w:pStyle w:val="BodyText"/>
      </w:pPr>
      <w:r>
        <w:rPr>
          <w:b/>
          <w:bCs/>
        </w:rPr>
        <w:t xml:space="preserve">Dépannage</w:t>
      </w:r>
      <w:r>
        <w:t xml:space="preserve"> </w:t>
      </w:r>
      <w:r>
        <w:t xml:space="preserve">: si une cible attendue n’apparaît jamais dans Prometheus malgré la configuration de découverte, vérifie que le pod expose bien un port</w:t>
      </w:r>
      <w:r>
        <w:t xml:space="preserve"> </w:t>
      </w:r>
      <w:r>
        <w:rPr>
          <w:rStyle w:val="VerbatimChar"/>
        </w:rPr>
        <w:t xml:space="preserve">/metrics</w:t>
      </w:r>
      <w:r>
        <w:t xml:space="preserve"> </w:t>
      </w:r>
      <w:r>
        <w:t xml:space="preserve">accessible et que les annotations Kubernetes attendues par la configuration de découverte sont bien présentes sur le pod.</w:t>
      </w:r>
    </w:p>
    <w:bookmarkEnd w:id="1467"/>
    <w:bookmarkStart w:id="1468" w:name="erreurs-fréquentes-59"/>
    <w:p>
      <w:pPr>
        <w:pStyle w:val="Heading2"/>
      </w:pPr>
      <w:r>
        <w:t xml:space="preserve">Erreurs fréquentes</w:t>
      </w:r>
    </w:p>
    <w:p>
      <w:pPr>
        <w:pStyle w:val="FirstParagraph"/>
      </w:pPr>
      <w:r>
        <w:t xml:space="preserve">⚠️ Erreur n°1 — une configuration statique des cibles dans un environnement Kubernetes dynamique</w:t>
      </w:r>
      <w:r>
        <w:t xml:space="preserve"> </w:t>
      </w:r>
      <w:r>
        <w:t xml:space="preserve">Rappel du scénario d’ouverture : une liste statique d’adresses devient obsolète dès le premier cycle de mise à l’échelle automatique.</w:t>
      </w:r>
    </w:p>
    <w:p>
      <w:pPr>
        <w:pStyle w:val="BodyText"/>
      </w:pPr>
      <w:r>
        <w:t xml:space="preserve">⚠️ Erreur n°2 — des règles d’alerte sans clause</w:t>
      </w:r>
      <w:r>
        <w:t xml:space="preserve"> </w:t>
      </w:r>
      <w:r>
        <w:rPr>
          <w:rStyle w:val="VerbatimChar"/>
        </w:rPr>
        <w:t xml:space="preserve">for</w:t>
      </w:r>
      <w:r>
        <w:t xml:space="preserve"> </w:t>
      </w:r>
      <w:r>
        <w:t xml:space="preserve">Rappel de la section 60.6 : reproduit exactement la même fatigue d’alerte déjà dénoncée aux chapitres 58 et 59.</w:t>
      </w:r>
    </w:p>
    <w:p>
      <w:pPr>
        <w:pStyle w:val="BodyText"/>
      </w:pPr>
      <w:r>
        <w:t xml:space="preserve">⚠️ Erreur n°3 — une rétention de données Prometheus non dimensionnée</w:t>
      </w:r>
      <w:r>
        <w:t xml:space="preserve"> </w:t>
      </w:r>
      <w:r>
        <w:t xml:space="preserve">Prometheus stocke localement l’historique des métriques collectées ; une rétention trop longue sur un espace disque non dimensionné en conséquence reproduit un risque similaire à celui du scénario d’ouverture du chapitre 58 — un disque qui se remplit silencieusement, cette fois à cause de l’outil de supervision lui-même.</w:t>
      </w:r>
    </w:p>
    <w:bookmarkEnd w:id="1468"/>
    <w:bookmarkStart w:id="1469" w:name="X781d042e75f846b3f8879c2eb54ec200c6d137a"/>
    <w:p>
      <w:pPr>
        <w:pStyle w:val="Heading2"/>
      </w:pPr>
      <w:r>
        <w:t xml:space="preserve">Diagnostiquer une cible affichée</w:t>
      </w:r>
      <w:r>
        <w:t xml:space="preserve"> </w:t>
      </w:r>
      <w:r>
        <w:t xml:space="preserve">“down”</w:t>
      </w:r>
      <w:r>
        <w:t xml:space="preserve"> </w:t>
      </w:r>
      <w:r>
        <w:t xml:space="preserve">dans Prometheus</w:t>
      </w:r>
    </w:p>
    <w:p>
      <w:pPr>
        <w:pStyle w:val="FirstParagraph"/>
      </w:pPr>
      <w:r>
        <w:t xml:space="preserve">🩺 Symptôme : une cible attendue apparaît</w:t>
      </w:r>
      <w:r>
        <w:t xml:space="preserve"> </w:t>
      </w:r>
      <w:r>
        <w:t xml:space="preserve">“down”</w:t>
      </w:r>
      <w:r>
        <w:t xml:space="preserve"> </w:t>
      </w:r>
      <w:r>
        <w:t xml:space="preserve">dans l’interface Prometheus (page Targets)</w:t>
      </w:r>
    </w:p>
    <w:p>
      <w:pPr>
        <w:pStyle w:val="Compact"/>
        <w:numPr>
          <w:ilvl w:val="0"/>
          <w:numId w:val="2379"/>
        </w:numPr>
      </w:pPr>
      <w:r>
        <w:rPr>
          <w:b/>
          <w:bCs/>
        </w:rPr>
        <w:t xml:space="preserve">Diagnostic</w:t>
      </w:r>
      <w:r>
        <w:t xml:space="preserve"> </w:t>
      </w:r>
      <w:r>
        <w:t xml:space="preserve">: vérifier si le point de terminaison</w:t>
      </w:r>
      <w:r>
        <w:t xml:space="preserve"> </w:t>
      </w:r>
      <w:r>
        <w:rPr>
          <w:rStyle w:val="VerbatimChar"/>
        </w:rPr>
        <w:t xml:space="preserve">/metrics</w:t>
      </w:r>
      <w:r>
        <w:t xml:space="preserve"> </w:t>
      </w:r>
      <w:r>
        <w:t xml:space="preserve">de la cible est accessible directement depuis le serveur Prometheus, si le port configuré correspond bien au port réellement exposé, et si un pare-feu ou une politique réseau Kubernetes (NetworkPolicy) ne bloque pas cette communication.</w:t>
      </w:r>
    </w:p>
    <w:p>
      <w:pPr>
        <w:pStyle w:val="Compact"/>
        <w:numPr>
          <w:ilvl w:val="0"/>
          <w:numId w:val="2379"/>
        </w:numPr>
      </w:pPr>
      <w:r>
        <w:rPr>
          <w:b/>
          <w:bCs/>
        </w:rPr>
        <w:t xml:space="preserve">Comment vérifier</w:t>
      </w:r>
      <w:r>
        <w:t xml:space="preserve"> </w:t>
      </w:r>
      <w:r>
        <w:t xml:space="preserve">: effectuer une requête HTTP directe vers l’URL</w:t>
      </w:r>
      <w:r>
        <w:t xml:space="preserve"> </w:t>
      </w:r>
      <w:r>
        <w:rPr>
          <w:rStyle w:val="VerbatimChar"/>
        </w:rPr>
        <w:t xml:space="preserve">/metrics</w:t>
      </w:r>
      <w:r>
        <w:t xml:space="preserve"> </w:t>
      </w:r>
      <w:r>
        <w:t xml:space="preserve">de la cible depuis le pod ou le serveur Prometheus lui-même.</w:t>
      </w:r>
    </w:p>
    <w:p>
      <w:pPr>
        <w:pStyle w:val="Compact"/>
        <w:numPr>
          <w:ilvl w:val="0"/>
          <w:numId w:val="2379"/>
        </w:numPr>
      </w:pPr>
      <w:r>
        <w:rPr>
          <w:b/>
          <w:bCs/>
        </w:rPr>
        <w:t xml:space="preserve">Résolution</w:t>
      </w:r>
      <w:r>
        <w:t xml:space="preserve"> </w:t>
      </w:r>
      <w:r>
        <w:t xml:space="preserve">: corriger le port ou l’exposition réseau identifié comme problématique — une cible</w:t>
      </w:r>
      <w:r>
        <w:t xml:space="preserve"> </w:t>
      </w:r>
      <w:r>
        <w:t xml:space="preserve">“down”</w:t>
      </w:r>
      <w:r>
        <w:t xml:space="preserve"> </w:t>
      </w:r>
      <w:r>
        <w:t xml:space="preserve">indique presque toujours un problème d’accessibilité réseau plutôt qu’un problème de configuration Prometheus lui-même.</w:t>
      </w:r>
    </w:p>
    <w:bookmarkEnd w:id="1469"/>
    <w:bookmarkStart w:id="1470" w:name="en-entreprise-59"/>
    <w:p>
      <w:pPr>
        <w:pStyle w:val="Heading2"/>
      </w:pPr>
      <w:r>
        <w:t xml:space="preserve">En entreprise</w:t>
      </w:r>
    </w:p>
    <w:p>
      <w:pPr>
        <w:pStyle w:val="Compact"/>
        <w:numPr>
          <w:ilvl w:val="0"/>
          <w:numId w:val="2380"/>
        </w:numPr>
      </w:pPr>
      <w:r>
        <w:rPr>
          <w:b/>
          <w:bCs/>
        </w:rPr>
        <w:t xml:space="preserve">Bonne pratique répandue</w:t>
      </w:r>
      <w:r>
        <w:t xml:space="preserve"> </w:t>
      </w:r>
      <w:r>
        <w:t xml:space="preserve">: réserver Prometheus aux environnements dynamiques (conteneurs, Kubernetes, cloud) où la découverte automatique apporte un bénéfice réel, et conserver Zabbix pour l’infrastructure classique, plutôt que de chercher à imposer un seul outil partout par principe.</w:t>
      </w:r>
    </w:p>
    <w:p>
      <w:pPr>
        <w:pStyle w:val="Compact"/>
        <w:numPr>
          <w:ilvl w:val="0"/>
          <w:numId w:val="2380"/>
        </w:numPr>
      </w:pPr>
      <w:r>
        <w:rPr>
          <w:b/>
          <w:bCs/>
        </w:rPr>
        <w:t xml:space="preserve">Bonne pratique répandue</w:t>
      </w:r>
      <w:r>
        <w:t xml:space="preserve"> </w:t>
      </w:r>
      <w:r>
        <w:t xml:space="preserve">: externaliser le stockage de longue durée des métriques Prometheus vers une solution dédiée lorsque la rétention nécessaire dépasse ce que le stockage local peut raisonnablement absorber.</w:t>
      </w:r>
    </w:p>
    <w:p>
      <w:pPr>
        <w:pStyle w:val="Compact"/>
        <w:numPr>
          <w:ilvl w:val="0"/>
          <w:numId w:val="2380"/>
        </w:numPr>
      </w:pPr>
      <w:r>
        <w:rPr>
          <w:b/>
          <w:bCs/>
        </w:rPr>
        <w:t xml:space="preserve">Erreur classique observée</w:t>
      </w:r>
      <w:r>
        <w:t xml:space="preserve"> </w:t>
      </w:r>
      <w:r>
        <w:t xml:space="preserve">: une équipe qui découvre, après plusieurs mois, que le disque du serveur Prometheus est presque plein à cause d’une rétention configurée trop généreusement dès le départ sans jamais être révisée — un écho direct de l’incident du chapitre 58, cette fois provoqué par l’outil de supervision lui-même.</w:t>
      </w:r>
    </w:p>
    <w:bookmarkEnd w:id="1470"/>
    <w:bookmarkStart w:id="1471" w:name="entretien-technique-59"/>
    <w:p>
      <w:pPr>
        <w:pStyle w:val="Heading2"/>
      </w:pPr>
      <w:r>
        <w:t xml:space="preserve">Entretien technique</w:t>
      </w:r>
    </w:p>
    <w:p>
      <w:pPr>
        <w:pStyle w:val="FirstParagraph"/>
      </w:pPr>
      <w:r>
        <w:t xml:space="preserve">💼 Questions fréquemment posées en entretien</w:t>
      </w:r>
    </w:p>
    <w:p>
      <w:pPr>
        <w:pStyle w:val="BodyText"/>
      </w:pPr>
      <w:r>
        <w:rPr>
          <w:b/>
          <w:bCs/>
        </w:rPr>
        <w:t xml:space="preserve">Q1.</w:t>
      </w:r>
      <w:r>
        <w:rPr>
          <w:b/>
          <w:bCs/>
        </w:rPr>
        <w:t xml:space="preserve"> </w:t>
      </w:r>
      <w:r>
        <w:rPr>
          <w:b/>
          <w:bCs/>
        </w:rPr>
        <w:t xml:space="preserve">“Quelle est la différence fondamentale entre le modèle de collecte de Prometheus et celui d’un agent Zabbix classique ?”</w:t>
      </w:r>
      <w:r>
        <w:t xml:space="preserve"> </w:t>
      </w:r>
      <w:r>
        <w:t xml:space="preserve">Réponse attendue : Prometheus fonctionne selon un modèle pull — il interroge lui-même les cibles à intervalle régulier — tandis qu’un agent Zabbix pousse généralement ses métriques vers le serveur ; le modèle pull de Prometheus s’adapte mieux à un environnement où les cibles changent fréquemment, via la découverte automatique.</w:t>
      </w:r>
    </w:p>
    <w:p>
      <w:pPr>
        <w:pStyle w:val="BodyText"/>
      </w:pPr>
      <w:r>
        <w:rPr>
          <w:b/>
          <w:bCs/>
        </w:rPr>
        <w:t xml:space="preserve">Q2.</w:t>
      </w:r>
      <w:r>
        <w:rPr>
          <w:b/>
          <w:bCs/>
        </w:rPr>
        <w:t xml:space="preserve"> </w:t>
      </w:r>
      <w:r>
        <w:rPr>
          <w:b/>
          <w:bCs/>
        </w:rPr>
        <w:t xml:space="preserve">“Pourquoi Prometheus est-il particulièrement adapté à un environnement Kubernetes ?”</w:t>
      </w:r>
      <w:r>
        <w:t xml:space="preserve"> </w:t>
      </w:r>
      <w:r>
        <w:t xml:space="preserve">Réponse attendue : sa capacité de découverte automatique des cibles via l’API Kubernetes élimine le besoin de configuration manuelle à chaque création ou destruction de pod, un besoin critique dans un environnement où le nombre de pods varie automatiquement (HPA).</w:t>
      </w:r>
    </w:p>
    <w:p>
      <w:pPr>
        <w:pStyle w:val="BodyText"/>
      </w:pPr>
      <w:r>
        <w:rPr>
          <w:b/>
          <w:bCs/>
        </w:rPr>
        <w:t xml:space="preserve">Q3.</w:t>
      </w:r>
      <w:r>
        <w:rPr>
          <w:b/>
          <w:bCs/>
        </w:rPr>
        <w:t xml:space="preserve"> </w:t>
      </w:r>
      <w:r>
        <w:rPr>
          <w:b/>
          <w:bCs/>
        </w:rPr>
        <w:t xml:space="preserve">“Qu’est-ce qu’un exporter Prometheus, et pourquoi est-il nécessaire ?”</w:t>
      </w:r>
      <w:r>
        <w:t xml:space="preserve"> </w:t>
      </w:r>
      <w:r>
        <w:t xml:space="preserve">Réponse attendue : un exporter traduit les métriques d’un système dans le format texte que Prometheus sait interroger via HTTP ; il est nécessaire pour tout système qui n’expose pas nativement ses métriques dans ce format.</w:t>
      </w:r>
    </w:p>
    <w:bookmarkEnd w:id="1471"/>
    <w:bookmarkStart w:id="1472" w:name="X506209f0227ff9faea3968dc30a790cd773a057"/>
    <w:p>
      <w:pPr>
        <w:pStyle w:val="Heading2"/>
      </w:pPr>
      <w:r>
        <w:t xml:space="preserve">Optimisation, sécurité et maintenabilité — les réflexes dès ce chapitre</w:t>
      </w:r>
    </w:p>
    <w:p>
      <w:pPr>
        <w:pStyle w:val="FirstParagraph"/>
      </w:pPr>
      <w:r>
        <w:t xml:space="preserve">🔒 Sécurité</w:t>
      </w:r>
      <w:r>
        <w:t xml:space="preserve"> </w:t>
      </w:r>
      <w:r>
        <w:t xml:space="preserve">Le point de terminaison</w:t>
      </w:r>
      <w:r>
        <w:t xml:space="preserve"> </w:t>
      </w:r>
      <w:r>
        <w:rPr>
          <w:rStyle w:val="VerbatimChar"/>
        </w:rPr>
        <w:t xml:space="preserve">/metrics</w:t>
      </w:r>
      <w:r>
        <w:t xml:space="preserve"> </w:t>
      </w:r>
      <w:r>
        <w:t xml:space="preserve">peut exposer des informations sensibles sur l’état interne d’une application — restreins son accès réseau aux seules adresses légitimes de Prometheus, plutôt que de l’exposer publiquement.</w:t>
      </w:r>
    </w:p>
    <w:p>
      <w:pPr>
        <w:pStyle w:val="BodyText"/>
      </w:pPr>
      <w:r>
        <w:t xml:space="preserve">✅ Maintenabilité</w:t>
      </w:r>
      <w:r>
        <w:t xml:space="preserve"> </w:t>
      </w:r>
      <w:r>
        <w:t xml:space="preserve">Privilégie systématiquement la découverte automatique des cibles dans tout environnement dynamique — une configuration statique dans ce contexte représente une dette technique qui se révèle rapidement, comme dans le scénario d’ouverture de ce chapitre.</w:t>
      </w:r>
    </w:p>
    <w:p>
      <w:pPr>
        <w:pStyle w:val="BodyText"/>
      </w:pPr>
      <w:r>
        <w:t xml:space="preserve">🚀 Performance</w:t>
      </w:r>
      <w:r>
        <w:t xml:space="preserve"> </w:t>
      </w:r>
      <w:r>
        <w:t xml:space="preserve">Dimensionne consciemment la durée de rétention des métriques Prometheus en fonction du stockage disponible, et envisage une solution de stockage de longue durée dédiée si les besoins d’historique dépassent plusieurs semaines ou mois.</w:t>
      </w:r>
    </w:p>
    <w:bookmarkEnd w:id="1472"/>
    <w:bookmarkStart w:id="1473" w:name="résumé-du-chapitre-59"/>
    <w:p>
      <w:pPr>
        <w:pStyle w:val="Heading2"/>
      </w:pPr>
      <w:r>
        <w:t xml:space="preserve">Résumé du chapitre</w:t>
      </w:r>
    </w:p>
    <w:p>
      <w:pPr>
        <w:pStyle w:val="Compact"/>
        <w:numPr>
          <w:ilvl w:val="0"/>
          <w:numId w:val="2381"/>
        </w:numPr>
      </w:pPr>
      <w:r>
        <w:t xml:space="preserve">Prometheus complète Zabbix plutôt qu’il ne le remplace, en couvrant les environnements dynamiques comme Kubernetes.</w:t>
      </w:r>
    </w:p>
    <w:p>
      <w:pPr>
        <w:pStyle w:val="Compact"/>
        <w:numPr>
          <w:ilvl w:val="0"/>
          <w:numId w:val="2381"/>
        </w:numPr>
      </w:pPr>
      <w:r>
        <w:t xml:space="preserve">Le modèle pull de Prometheus interroge lui-même les cibles, à l’inverse d’un agent Zabbix qui pousse généralement ses métriques.</w:t>
      </w:r>
    </w:p>
    <w:p>
      <w:pPr>
        <w:pStyle w:val="Compact"/>
        <w:numPr>
          <w:ilvl w:val="0"/>
          <w:numId w:val="2381"/>
        </w:numPr>
      </w:pPr>
      <w:r>
        <w:t xml:space="preserve">Un exporter traduit les métriques d’un système dans le format que Prometheus sait interroger.</w:t>
      </w:r>
    </w:p>
    <w:p>
      <w:pPr>
        <w:pStyle w:val="Compact"/>
        <w:numPr>
          <w:ilvl w:val="0"/>
          <w:numId w:val="2381"/>
        </w:numPr>
      </w:pPr>
      <w:r>
        <w:t xml:space="preserve">La découverte automatique des cibles Kubernetes élimine le besoin de configuration manuelle à chaque changement de pod.</w:t>
      </w:r>
    </w:p>
    <w:p>
      <w:pPr>
        <w:pStyle w:val="Compact"/>
        <w:numPr>
          <w:ilvl w:val="0"/>
          <w:numId w:val="2381"/>
        </w:numPr>
      </w:pPr>
      <w:r>
        <w:t xml:space="preserve">PromQL permet d’interroger et d’agréger les métriques collectées.</w:t>
      </w:r>
    </w:p>
    <w:p>
      <w:pPr>
        <w:pStyle w:val="Compact"/>
        <w:numPr>
          <w:ilvl w:val="0"/>
          <w:numId w:val="2381"/>
        </w:numPr>
      </w:pPr>
      <w:r>
        <w:t xml:space="preserve">Alertmanager gère l’acheminement des alertes, avec la même exigence de maintien du seuil dans le temps déjà établie aux chapitres 58 et 59.</w:t>
      </w:r>
    </w:p>
    <w:bookmarkEnd w:id="1473"/>
    <w:bookmarkStart w:id="1474" w:name="quiz-59"/>
    <w:p>
      <w:pPr>
        <w:pStyle w:val="Heading2"/>
      </w:pPr>
      <w:r>
        <w:t xml:space="preserve">Quiz</w:t>
      </w:r>
    </w:p>
    <w:p>
      <w:pPr>
        <w:pStyle w:val="FirstParagraph"/>
      </w:pPr>
      <w:r>
        <w:t xml:space="preserve">📝 QCM (une seule bonne réponse par question)</w:t>
      </w:r>
    </w:p>
    <w:p>
      <w:pPr>
        <w:pStyle w:val="Compact"/>
        <w:numPr>
          <w:ilvl w:val="0"/>
          <w:numId w:val="2382"/>
        </w:numPr>
      </w:pPr>
      <w:r>
        <w:t xml:space="preserve">Le modèle de collecte principal de Prometheus est :</w:t>
      </w:r>
    </w:p>
    <w:p>
      <w:pPr>
        <w:pStyle w:val="Compact"/>
        <w:numPr>
          <w:ilvl w:val="1"/>
          <w:numId w:val="2383"/>
        </w:numPr>
      </w:pPr>
    </w:p>
    <w:p>
      <w:pPr>
        <w:pStyle w:val="Compact"/>
        <w:numPr>
          <w:ilvl w:val="2"/>
          <w:numId w:val="2384"/>
        </w:numPr>
      </w:pPr>
      <w:r>
        <w:t xml:space="preserve">Push, le serveur reçoit passivement les métriques</w:t>
      </w:r>
    </w:p>
    <w:p>
      <w:pPr>
        <w:pStyle w:val="Compact"/>
        <w:numPr>
          <w:ilvl w:val="1"/>
          <w:numId w:val="2383"/>
        </w:numPr>
      </w:pPr>
    </w:p>
    <w:p>
      <w:pPr>
        <w:pStyle w:val="Compact"/>
        <w:numPr>
          <w:ilvl w:val="2"/>
          <w:numId w:val="2385"/>
        </w:numPr>
      </w:pPr>
      <w:r>
        <w:t xml:space="preserve">Pull, Prometheus interroge lui-même les cibles</w:t>
      </w:r>
    </w:p>
    <w:p>
      <w:pPr>
        <w:pStyle w:val="Compact"/>
        <w:numPr>
          <w:ilvl w:val="1"/>
          <w:numId w:val="2383"/>
        </w:numPr>
      </w:pPr>
    </w:p>
    <w:p>
      <w:pPr>
        <w:pStyle w:val="Compact"/>
        <w:numPr>
          <w:ilvl w:val="2"/>
          <w:numId w:val="2386"/>
        </w:numPr>
      </w:pPr>
      <w:r>
        <w:t xml:space="preserve">Un envoi unique lors de l’installation</w:t>
      </w:r>
    </w:p>
    <w:p>
      <w:pPr>
        <w:pStyle w:val="Compact"/>
        <w:numPr>
          <w:ilvl w:val="1"/>
          <w:numId w:val="2383"/>
        </w:numPr>
      </w:pPr>
    </w:p>
    <w:p>
      <w:pPr>
        <w:pStyle w:val="Compact"/>
        <w:numPr>
          <w:ilvl w:val="2"/>
          <w:numId w:val="2387"/>
        </w:numPr>
      </w:pPr>
      <w:r>
        <w:t xml:space="preserve">Une saisie manuelle par un administrateur</w:t>
      </w:r>
    </w:p>
    <w:p>
      <w:pPr>
        <w:pStyle w:val="Compact"/>
        <w:numPr>
          <w:ilvl w:val="0"/>
          <w:numId w:val="2382"/>
        </w:numPr>
      </w:pPr>
      <w:r>
        <w:t xml:space="preserve">La découverte automatique des cibles Kubernetes résout principalement :</w:t>
      </w:r>
    </w:p>
    <w:p>
      <w:pPr>
        <w:pStyle w:val="Compact"/>
        <w:numPr>
          <w:ilvl w:val="1"/>
          <w:numId w:val="2388"/>
        </w:numPr>
      </w:pPr>
    </w:p>
    <w:p>
      <w:pPr>
        <w:pStyle w:val="Compact"/>
        <w:numPr>
          <w:ilvl w:val="2"/>
          <w:numId w:val="2389"/>
        </w:numPr>
      </w:pPr>
      <w:r>
        <w:t xml:space="preserve">Le problème du stockage disque</w:t>
      </w:r>
    </w:p>
    <w:p>
      <w:pPr>
        <w:pStyle w:val="Compact"/>
        <w:numPr>
          <w:ilvl w:val="1"/>
          <w:numId w:val="2388"/>
        </w:numPr>
      </w:pPr>
    </w:p>
    <w:p>
      <w:pPr>
        <w:pStyle w:val="Compact"/>
        <w:numPr>
          <w:ilvl w:val="2"/>
          <w:numId w:val="2390"/>
        </w:numPr>
      </w:pPr>
      <w:r>
        <w:t xml:space="preserve">Le problème d’une configuration statique obsolète dès qu’un pod change</w:t>
      </w:r>
    </w:p>
    <w:p>
      <w:pPr>
        <w:pStyle w:val="Compact"/>
        <w:numPr>
          <w:ilvl w:val="1"/>
          <w:numId w:val="2388"/>
        </w:numPr>
      </w:pPr>
    </w:p>
    <w:p>
      <w:pPr>
        <w:pStyle w:val="Compact"/>
        <w:numPr>
          <w:ilvl w:val="2"/>
          <w:numId w:val="2391"/>
        </w:numPr>
      </w:pPr>
      <w:r>
        <w:t xml:space="preserve">Le besoin de PromQL</w:t>
      </w:r>
    </w:p>
    <w:p>
      <w:pPr>
        <w:pStyle w:val="Compact"/>
        <w:numPr>
          <w:ilvl w:val="1"/>
          <w:numId w:val="2388"/>
        </w:numPr>
      </w:pPr>
    </w:p>
    <w:p>
      <w:pPr>
        <w:pStyle w:val="Compact"/>
        <w:numPr>
          <w:ilvl w:val="2"/>
          <w:numId w:val="2392"/>
        </w:numPr>
      </w:pPr>
      <w:r>
        <w:t xml:space="preserve">Le besoin d’un exporter</w:t>
      </w:r>
    </w:p>
    <w:p>
      <w:pPr>
        <w:pStyle w:val="Compact"/>
        <w:numPr>
          <w:ilvl w:val="0"/>
          <w:numId w:val="2382"/>
        </w:numPr>
      </w:pPr>
      <w:r>
        <w:t xml:space="preserve">La clause</w:t>
      </w:r>
      <w:r>
        <w:t xml:space="preserve"> </w:t>
      </w:r>
      <w:r>
        <w:rPr>
          <w:rStyle w:val="VerbatimChar"/>
        </w:rPr>
        <w:t xml:space="preserve">for</w:t>
      </w:r>
      <w:r>
        <w:t xml:space="preserve"> </w:t>
      </w:r>
      <w:r>
        <w:t xml:space="preserve">dans une règle d’alerte Prometheus sert à :</w:t>
      </w:r>
    </w:p>
    <w:p>
      <w:pPr>
        <w:pStyle w:val="Compact"/>
        <w:numPr>
          <w:ilvl w:val="1"/>
          <w:numId w:val="2393"/>
        </w:numPr>
      </w:pPr>
    </w:p>
    <w:p>
      <w:pPr>
        <w:pStyle w:val="Compact"/>
        <w:numPr>
          <w:ilvl w:val="2"/>
          <w:numId w:val="2394"/>
        </w:numPr>
      </w:pPr>
      <w:r>
        <w:t xml:space="preserve">Définir la fréquence de collecte</w:t>
      </w:r>
    </w:p>
    <w:p>
      <w:pPr>
        <w:pStyle w:val="Compact"/>
        <w:numPr>
          <w:ilvl w:val="1"/>
          <w:numId w:val="2393"/>
        </w:numPr>
      </w:pPr>
    </w:p>
    <w:p>
      <w:pPr>
        <w:pStyle w:val="Compact"/>
        <w:numPr>
          <w:ilvl w:val="2"/>
          <w:numId w:val="2395"/>
        </w:numPr>
      </w:pPr>
      <w:r>
        <w:t xml:space="preserve">Exiger un maintien de la condition dans le temps avant de déclencher l’alerte</w:t>
      </w:r>
    </w:p>
    <w:p>
      <w:pPr>
        <w:pStyle w:val="Compact"/>
        <w:numPr>
          <w:ilvl w:val="1"/>
          <w:numId w:val="2393"/>
        </w:numPr>
      </w:pPr>
    </w:p>
    <w:p>
      <w:pPr>
        <w:pStyle w:val="Compact"/>
        <w:numPr>
          <w:ilvl w:val="2"/>
          <w:numId w:val="2396"/>
        </w:numPr>
      </w:pPr>
      <w:r>
        <w:t xml:space="preserve">Supprimer automatiquement l’alerte après un délai</w:t>
      </w:r>
    </w:p>
    <w:p>
      <w:pPr>
        <w:pStyle w:val="Compact"/>
        <w:numPr>
          <w:ilvl w:val="1"/>
          <w:numId w:val="2393"/>
        </w:numPr>
      </w:pPr>
    </w:p>
    <w:p>
      <w:pPr>
        <w:pStyle w:val="Compact"/>
        <w:numPr>
          <w:ilvl w:val="2"/>
          <w:numId w:val="2397"/>
        </w:numPr>
      </w:pPr>
      <w:r>
        <w:t xml:space="preserve">Chiffrer les métriques collectées</w:t>
      </w:r>
    </w:p>
    <w:p>
      <w:pPr>
        <w:pStyle w:val="FirstParagraph"/>
      </w:pPr>
      <w:r>
        <w:rPr>
          <w:b/>
          <w:bCs/>
        </w:rPr>
        <w:t xml:space="preserve">Corrigé</w:t>
      </w:r>
      <w:r>
        <w:t xml:space="preserve"> </w:t>
      </w:r>
      <w:r>
        <w:t xml:space="preserve">: 1-b, 2-b, 3-b.</w:t>
      </w:r>
    </w:p>
    <w:p>
      <w:pPr>
        <w:pStyle w:val="BodyText"/>
      </w:pPr>
      <w:r>
        <w:t xml:space="preserve">📝 Vrai ou Faux</w:t>
      </w:r>
    </w:p>
    <w:p>
      <w:pPr>
        <w:pStyle w:val="Compact"/>
        <w:numPr>
          <w:ilvl w:val="0"/>
          <w:numId w:val="2398"/>
        </w:numPr>
      </w:pPr>
      <w:r>
        <w:t xml:space="preserve">Prometheus est destiné à remplacer complètement Zabbix dans toute infrastructure. —</w:t>
      </w:r>
      <w:r>
        <w:t xml:space="preserve"> </w:t>
      </w:r>
      <w:r>
        <w:rPr>
          <w:b/>
          <w:bCs/>
        </w:rPr>
        <w:t xml:space="preserve">Faux</w:t>
      </w:r>
      <w:r>
        <w:t xml:space="preserve"> </w:t>
      </w:r>
      <w:r>
        <w:t xml:space="preserve">(les deux sont complémentaires, section 60.1).</w:t>
      </w:r>
    </w:p>
    <w:p>
      <w:pPr>
        <w:pStyle w:val="Compact"/>
        <w:numPr>
          <w:ilvl w:val="0"/>
          <w:numId w:val="2398"/>
        </w:numPr>
      </w:pPr>
      <w:r>
        <w:t xml:space="preserve">Un exporter traduit les métriques d’un système dans un format compréhensible par Prometheus. —</w:t>
      </w:r>
      <w:r>
        <w:t xml:space="preserve"> </w:t>
      </w:r>
      <w:r>
        <w:rPr>
          <w:b/>
          <w:bCs/>
        </w:rPr>
        <w:t xml:space="preserve">Vrai</w:t>
      </w:r>
      <w:r>
        <w:t xml:space="preserve">.</w:t>
      </w:r>
    </w:p>
    <w:p>
      <w:pPr>
        <w:pStyle w:val="Compact"/>
        <w:numPr>
          <w:ilvl w:val="0"/>
          <w:numId w:val="2398"/>
        </w:numPr>
      </w:pPr>
      <w:r>
        <w:t xml:space="preserve">Une configuration statique des cibles convient parfaitement à un environnement Kubernetes avec mise à l’échelle automatique. —</w:t>
      </w:r>
      <w:r>
        <w:t xml:space="preserve"> </w:t>
      </w:r>
      <w:r>
        <w:rPr>
          <w:b/>
          <w:bCs/>
        </w:rPr>
        <w:t xml:space="preserve">Faux</w:t>
      </w:r>
      <w:r>
        <w:t xml:space="preserve"> </w:t>
      </w:r>
      <w:r>
        <w:t xml:space="preserve">(scénario d’ouverture).</w:t>
      </w:r>
    </w:p>
    <w:p>
      <w:pPr>
        <w:pStyle w:val="Compact"/>
        <w:numPr>
          <w:ilvl w:val="0"/>
          <w:numId w:val="2398"/>
        </w:numPr>
      </w:pPr>
      <w:r>
        <w:t xml:space="preserve">La rétention des métriques Prometheus ne consomme aucun espace disque significatif. —</w:t>
      </w:r>
      <w:r>
        <w:t xml:space="preserve"> </w:t>
      </w:r>
      <w:r>
        <w:rPr>
          <w:b/>
          <w:bCs/>
        </w:rPr>
        <w:t xml:space="preserve">Faux</w:t>
      </w:r>
      <w:r>
        <w:t xml:space="preserve"> </w:t>
      </w:r>
      <w:r>
        <w:t xml:space="preserve">(section</w:t>
      </w:r>
      <w:r>
        <w:t xml:space="preserve"> </w:t>
      </w:r>
      <w:r>
        <w:t xml:space="preserve">“Erreur n°3”</w:t>
      </w:r>
      <w:r>
        <w:t xml:space="preserve">).</w:t>
      </w:r>
    </w:p>
    <w:p>
      <w:pPr>
        <w:pStyle w:val="FirstParagraph"/>
      </w:pPr>
      <w:r>
        <w:t xml:space="preserve">📝 Questions ouvertes</w:t>
      </w:r>
    </w:p>
    <w:p>
      <w:pPr>
        <w:pStyle w:val="Compact"/>
        <w:numPr>
          <w:ilvl w:val="0"/>
          <w:numId w:val="2399"/>
        </w:numPr>
      </w:pPr>
      <w:r>
        <w:t xml:space="preserve">Explique pourquoi une configuration statique des hôtes, qui fonctionne bien pour les serveurs classiques avec Zabbix (chapitre 59), échoue spécifiquement dans l’environnement Kubernetes du portail client.</w:t>
      </w:r>
    </w:p>
    <w:p>
      <w:pPr>
        <w:pStyle w:val="Compact"/>
        <w:numPr>
          <w:ilvl w:val="0"/>
          <w:numId w:val="2399"/>
        </w:numPr>
      </w:pPr>
      <w:r>
        <w:t xml:space="preserve">Compare le rôle d’Alertmanager à celui des actions Zabbix (section 59.6) — en quoi remplissent-ils une fonction équivalente malgré des outils différents ?</w:t>
      </w:r>
    </w:p>
    <w:p>
      <w:pPr>
        <w:pStyle w:val="FirstParagraph"/>
      </w:pPr>
      <w:r>
        <w:rPr>
          <w:b/>
          <w:bCs/>
        </w:rPr>
        <w:t xml:space="preserve">Corrigé 1</w:t>
      </w:r>
      <w:r>
        <w:t xml:space="preserve"> </w:t>
      </w:r>
      <w:r>
        <w:t xml:space="preserve">: un serveur classique, comme ceux supervisés par Zabbix au chapitre 59, conserve généralement la même adresse et la même identité pendant des mois voire des années — une configuration statique reste donc valide sur une longue durée. Un pod Kubernetes, en revanche, peut être créé et détruit en quelques minutes par le contrôleur de mise à l’échelle automatique (HPA, chapitre 44), avec une nouvelle adresse IP à chaque création. Une configuration statique deviendrait obsolète en quelques minutes dans ce contexte, nécessitant une mise à jour manuelle constante et intenable — exactement le problème observé dans le scénario d’ouverture, résolu par la découverte automatique des cibles (section 60.4), absente du modèle Zabbix classique.</w:t>
      </w:r>
    </w:p>
    <w:p>
      <w:pPr>
        <w:pStyle w:val="BodyText"/>
      </w:pPr>
      <w:r>
        <w:rPr>
          <w:b/>
          <w:bCs/>
        </w:rPr>
        <w:t xml:space="preserve">Corrigé 2</w:t>
      </w:r>
      <w:r>
        <w:t xml:space="preserve"> </w:t>
      </w:r>
      <w:r>
        <w:t xml:space="preserve">: les deux remplissent la même fonction fondamentale — transformer un seuil franchi (un trigger Zabbix ou une règle d’alerte Prometheus) en une notification effective acheminée vers un destinataire précis, empêchant qu’un problème détecté par le système de supervision ne reste invisible faute d’être communiqué à une personne capable d’agir. Cette équivalence fonctionnelle malgré des outils et des écosystèmes différents illustre un principe déjà rencontré à plusieurs reprises dans ce manuel : des outils distincts convergent souvent vers des concepts similaires pour résoudre le même problème fondamental, ici la nécessité qu’une alerte déclenchée trouve toujours un destinataire réel.</w:t>
      </w:r>
    </w:p>
    <w:bookmarkEnd w:id="1474"/>
    <w:bookmarkStart w:id="1475" w:name="exercices-59"/>
    <w:p>
      <w:pPr>
        <w:pStyle w:val="Heading2"/>
      </w:pPr>
      <w:r>
        <w:t xml:space="preserve">Exercices</w:t>
      </w:r>
    </w:p>
    <w:p>
      <w:pPr>
        <w:pStyle w:val="FirstParagraph"/>
      </w:pPr>
      <w:r>
        <w:t xml:space="preserve">📝 Exercice 60.1</w:t>
      </w:r>
    </w:p>
    <w:p>
      <w:pPr>
        <w:pStyle w:val="BodyText"/>
      </w:pPr>
      <w:r>
        <w:t xml:space="preserve">Explique pourquoi il serait inapproprié de migrer entièrement la supervision des serveurs Windows Server classiques (chapitres 5-13) de Zabbix vers Prometheus, uniquement par souci d’uniformité d’outillage.</w:t>
      </w:r>
    </w:p>
    <w:p>
      <w:pPr>
        <w:pStyle w:val="BodyText"/>
      </w:pPr>
      <w:r>
        <w:rPr>
          <w:b/>
          <w:bCs/>
        </w:rPr>
        <w:t xml:space="preserve">Corrigé :</w:t>
      </w:r>
      <w:r>
        <w:t xml:space="preserve"> </w:t>
      </w:r>
      <w:r>
        <w:t xml:space="preserve">Prometheus apporte un bénéfice réel principalement dans les environnements dynamiques où la découverte automatique des cibles change fréquemment la liste à surveiller — un avantage peu pertinent pour des serveurs Windows Server classiques dont l’identité et l’adresse restent stables sur de longues périodes. Migrer cette supervision vers Prometheus par simple souci d’uniformité apporterait une complexité supplémentaire (apprentissage de PromQL, gestion d’exporters Windows spécifiques) sans bénéfice correspondant, alors que Zabbix couvre déjà efficacement ce besoin avec un modèle plus simple pour ce contexte précis. Ce raisonnement rejoint le principe déjà établi au chapitre 49 : le bon outil dépend du contexte réel, pas d’une préférence pour l’uniformité en soi — la coexistence de deux outils bien positionnés reste préférable à un outil unique mal adapté à une partie de l’infrastructure.</w:t>
      </w:r>
    </w:p>
    <w:p>
      <w:pPr>
        <w:pStyle w:val="BodyText"/>
      </w:pPr>
      <w:r>
        <w:t xml:space="preserve">📝 Exercice 60.2</w:t>
      </w:r>
    </w:p>
    <w:p>
      <w:pPr>
        <w:pStyle w:val="BodyText"/>
      </w:pPr>
      <w:r>
        <w:t xml:space="preserve">Rédige, en 3 à 5 phrases, une règle d’équipe garantissant que la rétention des métriques Prometheus reste dimensionnée par rapport au stockage disponible, en t’appuyant sur le risque décrit à la section</w:t>
      </w:r>
      <w:r>
        <w:t xml:space="preserve"> </w:t>
      </w:r>
      <w:r>
        <w:t xml:space="preserve">“Erreur n°3”</w:t>
      </w:r>
      <w:r>
        <w:t xml:space="preserve">.</w:t>
      </w:r>
    </w:p>
    <w:p>
      <w:pPr>
        <w:pStyle w:val="BodyText"/>
      </w:pPr>
      <w:r>
        <w:rPr>
          <w:b/>
          <w:bCs/>
        </w:rPr>
        <w:t xml:space="preserve">Corrigé (exemple de réponse) :</w:t>
      </w:r>
      <w:r>
        <w:t xml:space="preserve"> </w:t>
      </w:r>
      <w:r>
        <w:t xml:space="preserve">La durée de rétention des métriques Prometheus sera fixée explicitement dès l’installation, en fonction du stockage disponible et du besoin réel d’historique, plutôt que laissée à sa valeur par défaut sans réflexion. L’espace disque du serveur Prometheus sera lui-même intégré au plan de supervision de l’infrastructure (chapitre 58), garantissant qu’une alerte serait déclenchée avant qu’il ne devienne critique, plutôt que de reproduire silencieusement l’incident du chapitre 58 avec l’outil de supervision lui-même. Toute augmentation significative du volume de métriques collectées (ajout d’un nouveau namespace, nouvel exporter) fera l’objet d’une revue de la capacité de stockage disponible avant sa mise en production.</w:t>
      </w:r>
    </w:p>
    <w:bookmarkEnd w:id="1475"/>
    <w:bookmarkStart w:id="1476" w:name="checklist-de-fin-de-chapitre-59"/>
    <w:p>
      <w:pPr>
        <w:pStyle w:val="Heading2"/>
      </w:pPr>
      <w:r>
        <w:t xml:space="preserve">Checklist de fin de chapitre</w:t>
      </w:r>
    </w:p>
    <w:p>
      <w:pPr>
        <w:pStyle w:val="FirstParagraph"/>
      </w:pPr>
      <w:r>
        <w:t xml:space="preserve">☐ Je comprends pourquoi Prometheus complète Zabbix plutôt qu’il ne le remplace.</w:t>
      </w:r>
    </w:p>
    <w:p>
      <w:pPr>
        <w:pStyle w:val="BodyText"/>
      </w:pPr>
      <w:r>
        <w:t xml:space="preserve">☐ Je sais expliquer la différence entre un modèle de collecte pull et un modèle push.</w:t>
      </w:r>
    </w:p>
    <w:p>
      <w:pPr>
        <w:pStyle w:val="BodyText"/>
      </w:pPr>
      <w:r>
        <w:t xml:space="preserve">☐ Je sais expliquer le rôle d’un exporter Prometheus.</w:t>
      </w:r>
    </w:p>
    <w:p>
      <w:pPr>
        <w:pStyle w:val="BodyText"/>
      </w:pPr>
      <w:r>
        <w:t xml:space="preserve">☐ Je comprends pourquoi la découverte automatique des cibles Kubernetes résout le problème du scénario d’ouverture.</w:t>
      </w:r>
    </w:p>
    <w:p>
      <w:pPr>
        <w:pStyle w:val="BodyText"/>
      </w:pPr>
      <w:r>
        <w:t xml:space="preserve">☐ Je sais écrire une requête PromQL simple et une règle d’alerte avec clause</w:t>
      </w:r>
      <w:r>
        <w:t xml:space="preserve"> </w:t>
      </w:r>
      <w:r>
        <w:rPr>
          <w:rStyle w:val="VerbatimChar"/>
        </w:rPr>
        <w:t xml:space="preserve">for</w:t>
      </w:r>
      <w:r>
        <w:t xml:space="preserve">.</w:t>
      </w:r>
    </w:p>
    <w:p>
      <w:pPr>
        <w:pStyle w:val="BodyText"/>
      </w:pPr>
      <w:r>
        <w:t xml:space="preserve">☐ Je sais diagnostiquer une cible affichée</w:t>
      </w:r>
      <w:r>
        <w:t xml:space="preserve"> </w:t>
      </w:r>
      <w:r>
        <w:t xml:space="preserve">“down”</w:t>
      </w:r>
      <w:r>
        <w:t xml:space="preserve"> </w:t>
      </w:r>
      <w:r>
        <w:t xml:space="preserve">dans Prometheus.</w:t>
      </w:r>
    </w:p>
    <w:bookmarkEnd w:id="1476"/>
    <w:bookmarkStart w:id="1477" w:name="faq-59"/>
    <w:p>
      <w:pPr>
        <w:pStyle w:val="Heading2"/>
      </w:pPr>
      <w:r>
        <w:t xml:space="preserve">FAQ</w:t>
      </w:r>
    </w:p>
    <w:p>
      <w:pPr>
        <w:pStyle w:val="FirstParagraph"/>
      </w:pPr>
      <w:r>
        <w:t xml:space="preserve">Faut-il connaître PromQL en profondeur pour commencer à utiliser Prometheus ?</w:t>
      </w:r>
    </w:p>
    <w:p>
      <w:pPr>
        <w:pStyle w:val="BodyText"/>
      </w:pPr>
      <w:r>
        <w:t xml:space="preserve">Non, des requêtes simples comme celles présentées dans ce chapitre couvrent déjà une grande partie des besoins courants — une maîtrise plus fine du langage devient utile progressivement, à mesure que les besoins d’analyse se complexifient.</w:t>
      </w:r>
    </w:p>
    <w:p>
      <w:pPr>
        <w:pStyle w:val="BodyText"/>
      </w:pPr>
      <w:r>
        <w:t xml:space="preserve">Prometheus peut-il superviser autre chose que Kubernetes ?</w:t>
      </w:r>
    </w:p>
    <w:p>
      <w:pPr>
        <w:pStyle w:val="BodyText"/>
      </w:pPr>
      <w:r>
        <w:t xml:space="preserve">Oui, Prometheus peut superviser tout système exposant ses métriques via un exporter compatible, y compris des serveurs classiques — son usage n’est pas limité à Kubernetes, même si c’est dans ce contexte que sa découverte automatique apporte le bénéfice le plus net.</w:t>
      </w:r>
    </w:p>
    <w:p>
      <w:pPr>
        <w:pStyle w:val="BodyText"/>
      </w:pPr>
      <w:r>
        <w:t xml:space="preserve">Que se passe-t-il si Prometheus lui-même tombe en panne ?</w:t>
      </w:r>
    </w:p>
    <w:p>
      <w:pPr>
        <w:pStyle w:val="BodyText"/>
      </w:pPr>
      <w:r>
        <w:t xml:space="preserve">La collecte de métriques s’interrompt pendant la panne, créant un angle mort temporaire dans l’historique — une haute disponibilité de Prometheus lui-même, ou une solution de secours, devient pertinente pour les environnements où cette continuité est critique, un sujet qui rejoint les principes de haute disponibilité déjà couverts à la Partie 5.</w:t>
      </w:r>
    </w:p>
    <w:p>
      <w:pPr>
        <w:pStyle w:val="BodyText"/>
      </w:pPr>
      <w:r>
        <w:t xml:space="preserve">Alertmanager peut-il regrouper plusieurs alertes similaires en une seule notification ?</w:t>
      </w:r>
    </w:p>
    <w:p>
      <w:pPr>
        <w:pStyle w:val="BodyText"/>
      </w:pPr>
      <w:r>
        <w:t xml:space="preserve">Oui, cette capacité de regroupement (</w:t>
      </w:r>
      <w:r>
        <w:rPr>
          <w:i/>
          <w:iCs/>
        </w:rPr>
        <w:t xml:space="preserve">grouping</w:t>
      </w:r>
      <w:r>
        <w:t xml:space="preserve">) évite qu’un incident affectant simultanément plusieurs pods ne génère une notification distincte pour chacun, réduisant le bruit reçu par l’équipe tout en conservant l’information complète de l’incident.</w:t>
      </w:r>
    </w:p>
    <w:bookmarkEnd w:id="1477"/>
    <w:bookmarkStart w:id="1481" w:name="références-et-pour-aller-plus-loin-59"/>
    <w:p>
      <w:pPr>
        <w:pStyle w:val="Heading2"/>
      </w:pPr>
      <w:r>
        <w:t xml:space="preserve">Références et pour aller plus loin</w:t>
      </w:r>
    </w:p>
    <w:p>
      <w:pPr>
        <w:pStyle w:val="Compact"/>
        <w:numPr>
          <w:ilvl w:val="0"/>
          <w:numId w:val="2400"/>
        </w:numPr>
      </w:pPr>
      <w:r>
        <w:t xml:space="preserve">Documentation officielle Prometheus :</w:t>
      </w:r>
      <w:r>
        <w:t xml:space="preserve"> </w:t>
      </w:r>
      <w:hyperlink r:id="rId1478">
        <w:r>
          <w:rPr>
            <w:rStyle w:val="Hyperlink"/>
          </w:rPr>
          <w:t xml:space="preserve">https://prometheus.io/docs/introduction/overview/</w:t>
        </w:r>
      </w:hyperlink>
    </w:p>
    <w:p>
      <w:pPr>
        <w:pStyle w:val="Compact"/>
        <w:numPr>
          <w:ilvl w:val="0"/>
          <w:numId w:val="2400"/>
        </w:numPr>
      </w:pPr>
      <w:r>
        <w:t xml:space="preserve">Prometheus — Documentation PromQL :</w:t>
      </w:r>
      <w:r>
        <w:t xml:space="preserve"> </w:t>
      </w:r>
      <w:hyperlink r:id="rId1479">
        <w:r>
          <w:rPr>
            <w:rStyle w:val="Hyperlink"/>
          </w:rPr>
          <w:t xml:space="preserve">https://prometheus.io/docs/prometheus/latest/querying/basics/</w:t>
        </w:r>
      </w:hyperlink>
    </w:p>
    <w:p>
      <w:pPr>
        <w:pStyle w:val="Compact"/>
        <w:numPr>
          <w:ilvl w:val="0"/>
          <w:numId w:val="2400"/>
        </w:numPr>
      </w:pPr>
      <w:r>
        <w:t xml:space="preserve">Documentation officielle Alertmanager :</w:t>
      </w:r>
      <w:r>
        <w:t xml:space="preserve"> </w:t>
      </w:r>
      <w:hyperlink r:id="rId1480">
        <w:r>
          <w:rPr>
            <w:rStyle w:val="Hyperlink"/>
          </w:rPr>
          <w:t xml:space="preserve">https://prometheus.io/docs/alerting/latest/alertmanager/</w:t>
        </w:r>
      </w:hyperlink>
    </w:p>
    <w:p>
      <w:pPr>
        <w:pStyle w:val="FirstParagraph"/>
      </w:pPr>
      <w:r>
        <w:rPr>
          <w:i/>
          <w:iCs/>
        </w:rPr>
        <w:t xml:space="preserve">Chapitre suivant : Grafana — construire des tableaux de bord visuels combinant les données de Zabbix et de Prometheus dans une même interface, pour rendre l’état de santé de l’ensemble de l’infrastructure immédiatement lisible.</w:t>
      </w:r>
    </w:p>
    <w:p>
      <w:pPr>
        <w:pStyle w:val="BodyText"/>
      </w:pPr>
      <w:r>
        <w:t xml:space="preserve">CHAPITRE 61</w:t>
      </w:r>
    </w:p>
    <w:bookmarkEnd w:id="1481"/>
    <w:bookmarkEnd w:id="1482"/>
    <w:bookmarkStart w:id="1507" w:name="grafana"/>
    <w:p>
      <w:pPr>
        <w:pStyle w:val="Heading1"/>
      </w:pPr>
      <w:r>
        <w:t xml:space="preserve">Grafana</w:t>
      </w:r>
    </w:p>
    <w:p>
      <w:pPr>
        <w:pStyle w:val="FirstParagraph"/>
      </w:pPr>
      <w:r>
        <w:t xml:space="preserve">🎯 Objectif du chapitre</w:t>
      </w:r>
      <w:r>
        <w:t xml:space="preserve"> </w:t>
      </w:r>
      <w:r>
        <w:t xml:space="preserve">Construire des tableaux de bord visuels combinant les données de Zabbix (chapitre 59) et de Prometheus (chapitre 60) dans une même interface, pour rendre l’état de santé de l’ensemble de l’infrastructure immédiatement lisible, y compris pour un public non technique. À la fin de ce chapitre, tu sauras connecter Grafana à plusieurs sources de données, construire un tableau de bord avec des variables réutilisables, et configurer les accès de façon appropriée selon le public visé.</w:t>
      </w:r>
    </w:p>
    <w:p>
      <w:pPr>
        <w:pStyle w:val="BodyText"/>
      </w:pPr>
      <w:r>
        <w:t xml:space="preserve">🎬 Mise en situation</w:t>
      </w:r>
      <w:r>
        <w:t xml:space="preserve"> </w:t>
      </w:r>
      <w:r>
        <w:t xml:space="preserve">Après la mise en place de Zabbix et de Prometheus, la direction demande un point de situation mensuel sur la santé de l’infrastructure. L’administrateur se retrouve à basculer entre deux interfaces distinctes, à faire des captures d’écran séparées, et à expliquer pourquoi deux outils différents sont nécessaires.</w:t>
      </w:r>
      <w:r>
        <w:t xml:space="preserve"> </w:t>
      </w:r>
      <w:r>
        <w:t xml:space="preserve">“Je veux une seule page qui montre l’essentiel, sans devoir connaître Zabbix ni Prometheus pour la comprendre,”</w:t>
      </w:r>
      <w:r>
        <w:t xml:space="preserve"> </w:t>
      </w:r>
      <w:r>
        <w:t xml:space="preserve">résume le DSI. Grafana répond directement à ce besoin : une couche de visualisation unique, indépendante de l’outil de collecte sous-jacent.</w:t>
      </w:r>
    </w:p>
    <w:bookmarkStart w:id="1483" w:name="Xeaa10d7e4a0f90fc88426192d12fb300c9ff243"/>
    <w:p>
      <w:pPr>
        <w:pStyle w:val="Heading2"/>
      </w:pPr>
      <w:r>
        <w:t xml:space="preserve">61.1 Grafana : une couche de visualisation indépendante des sources</w:t>
      </w:r>
    </w:p>
    <w:p>
      <w:pPr>
        <w:pStyle w:val="FirstParagraph"/>
      </w:pPr>
      <w:r>
        <w:t xml:space="preserve">💡 Analogie — un tableau de bord de pilotage unique pour plusieurs instruments</w:t>
      </w:r>
      <w:r>
        <w:t xml:space="preserve"> </w:t>
      </w:r>
      <w:r>
        <w:t xml:space="preserve">Grafana ne collecte lui-même aucune métrique — il se connecte à des sources de données existantes (Zabbix, Prometheus, et bien d’autres) pour en afficher le contenu de façon unifiée. C’est l’équivalent d’un tableau de bord de pilotage centralisant l’affichage de plusieurs instruments indépendants (altimètre, radar, jauge de carburant), chacun produit par un fabricant différent, dans une seule vue cohérente pour le pilote.</w:t>
      </w:r>
    </w:p>
    <w:bookmarkEnd w:id="1483"/>
    <w:bookmarkStart w:id="1484" w:name="Xfda93548cfc9d95c06c4ebdfb2dbec8bb6549bc"/>
    <w:p>
      <w:pPr>
        <w:pStyle w:val="Heading2"/>
      </w:pPr>
      <w:r>
        <w:t xml:space="preserve">61.2 Connecter plusieurs sources de données simultanément</w:t>
      </w:r>
    </w:p>
    <w:p>
      <w:pPr>
        <w:pStyle w:val="FirstParagraph"/>
      </w:pPr>
      <w:r>
        <w:t xml:space="preserve">📌 À retenir — la réponse directe au problème du scénario d’ouverture</w:t>
      </w:r>
      <w:r>
        <w:t xml:space="preserve"> </w:t>
      </w:r>
      <w:r>
        <w:t xml:space="preserve">Une même instance Grafana peut se connecter simultanément à Zabbix et à Prometheus (ainsi qu’à d’autres sources), et afficher leurs données côte à côte sur un même tableau de bord — éliminant le besoin de basculer entre deux interfaces distinctes pour obtenir une vision d’ensemble de l’infrastructure.</w:t>
      </w:r>
    </w:p>
    <w:p>
      <w:pPr>
        <w:pStyle w:val="SourceCode"/>
      </w:pPr>
      <w:r>
        <w:rPr>
          <w:rStyle w:val="VerbatimChar"/>
        </w:rPr>
        <w:t xml:space="preserve">Configuration &gt; Data sources &gt; Add data source</w:t>
      </w:r>
      <w:r>
        <w:br/>
      </w:r>
      <w:r>
        <w:rPr>
          <w:rStyle w:val="VerbatimChar"/>
        </w:rPr>
        <w:t xml:space="preserve">  - Zabbix (via l'API Zabbix)</w:t>
      </w:r>
      <w:r>
        <w:br/>
      </w:r>
      <w:r>
        <w:rPr>
          <w:rStyle w:val="VerbatimChar"/>
        </w:rPr>
        <w:t xml:space="preserve">  - Prometheus (via son endpoint HTTP)</w:t>
      </w:r>
    </w:p>
    <w:bookmarkEnd w:id="1484"/>
    <w:bookmarkStart w:id="1488" w:name="X58889d69cdbd4b7c10e9c0ea4b4c488682fc427"/>
    <w:p>
      <w:pPr>
        <w:pStyle w:val="Heading2"/>
      </w:pPr>
      <w:r>
        <w:t xml:space="preserve">61.3 Construire un tableau de bord : panels et requêtes</w:t>
      </w:r>
    </w:p>
    <w:p>
      <w:pPr>
        <w:pStyle w:val="FirstParagraph"/>
      </w:pPr>
      <w:r>
        <w:t xml:space="preserve">📌 À retenir</w:t>
      </w:r>
      <w:r>
        <w:t xml:space="preserve"> </w:t>
      </w:r>
      <w:r>
        <w:t xml:space="preserve">Un tableau de bord Grafana est composé de</w:t>
      </w:r>
      <w:r>
        <w:t xml:space="preserve"> </w:t>
      </w:r>
      <w:r>
        <w:rPr>
          <w:b/>
          <w:bCs/>
        </w:rPr>
        <w:t xml:space="preserve">panels</w:t>
      </w:r>
      <w:r>
        <w:t xml:space="preserve">, chacun affichant le résultat d’une requête vers une source de données donnée — un graphique de l’utilisation CPU issu de Zabbix, une jauge de latence issue d’une requête PromQL vers Prometheus, ou une simple valeur numérique mise en évidence. Chaque panel reste indépendant, permettant de composer librement une vue combinant plusieurs sources sur un même écran.</w:t>
      </w:r>
    </w:p>
    <w:p>
      <w:pPr>
        <w:pStyle w:val="CaptionedFigure"/>
      </w:pPr>
      <w:r>
        <w:drawing>
          <wp:inline>
            <wp:extent cx="5334000" cy="3197186"/>
            <wp:effectExtent b="0" l="0" r="0" t="0"/>
            <wp:docPr descr="Diagramme" title="" id="1486" name="Picture"/>
            <a:graphic>
              <a:graphicData uri="http://schemas.openxmlformats.org/drawingml/2006/picture">
                <pic:pic>
                  <pic:nvPicPr>
                    <pic:cNvPr descr="C:/Users/ingja/Desktop/jarvis-starter-kit/livrables/formations/manuel-administration-systeme/assets/diagrams/d-61-grafana-diagramme-1.png" id="1487" name="Picture"/>
                    <pic:cNvPicPr>
                      <a:picLocks noChangeArrowheads="1" noChangeAspect="1"/>
                    </pic:cNvPicPr>
                  </pic:nvPicPr>
                  <pic:blipFill>
                    <a:blip r:embed="rId1485"/>
                    <a:stretch>
                      <a:fillRect/>
                    </a:stretch>
                  </pic:blipFill>
                  <pic:spPr bwMode="auto">
                    <a:xfrm>
                      <a:off x="0" y="0"/>
                      <a:ext cx="5334000" cy="3197186"/>
                    </a:xfrm>
                    <a:prstGeom prst="rect">
                      <a:avLst/>
                    </a:prstGeom>
                    <a:noFill/>
                    <a:ln w="9525">
                      <a:noFill/>
                      <a:headEnd/>
                      <a:tailEnd/>
                    </a:ln>
                  </pic:spPr>
                </pic:pic>
              </a:graphicData>
            </a:graphic>
          </wp:inline>
        </w:drawing>
      </w:r>
    </w:p>
    <w:p>
      <w:pPr>
        <w:pStyle w:val="ImageCaption"/>
      </w:pPr>
      <w:r>
        <w:t xml:space="preserve">Diagramme</w:t>
      </w:r>
    </w:p>
    <w:bookmarkEnd w:id="1488"/>
    <w:bookmarkStart w:id="1489" w:name="X7c610a8352217bb9e27d6742f64054b58daffc6"/>
    <w:p>
      <w:pPr>
        <w:pStyle w:val="Heading2"/>
      </w:pPr>
      <w:r>
        <w:t xml:space="preserve">61.4 Variables de tableau de bord : un même dashboard pour plusieurs contextes</w:t>
      </w:r>
    </w:p>
    <w:p>
      <w:pPr>
        <w:pStyle w:val="FirstParagraph"/>
      </w:pPr>
      <w:r>
        <w:t xml:space="preserve">💡 Rappel indirect des chapitres 53, 55 et 59 — encore le même principe de réutilisation</w:t>
      </w:r>
      <w:r>
        <w:t xml:space="preserve"> </w:t>
      </w:r>
      <w:r>
        <w:t xml:space="preserve">Une</w:t>
      </w:r>
      <w:r>
        <w:t xml:space="preserve"> </w:t>
      </w:r>
      <w:r>
        <w:rPr>
          <w:b/>
          <w:bCs/>
        </w:rPr>
        <w:t xml:space="preserve">variable</w:t>
      </w:r>
      <w:r>
        <w:t xml:space="preserve"> </w:t>
      </w:r>
      <w:r>
        <w:t xml:space="preserve">de tableau de bord permet de construire un panel générique (par exemple</w:t>
      </w:r>
      <w:r>
        <w:t xml:space="preserve"> </w:t>
      </w:r>
      <w:r>
        <w:t xml:space="preserve">“utilisation CPU du serveur sélectionné”</w:t>
      </w:r>
      <w:r>
        <w:t xml:space="preserve">) plutôt qu’un panel figé pour un seul serveur précis — l’utilisateur choisit ensuite le serveur concerné via un menu déroulant, sans qu’aucune duplication de tableau de bord ne soit nécessaire. Ce principe rejoint exactement celui déjà rencontré pour les rôles Ansible, les modules Terraform et les templates Zabbix : définir une fois, réutiliser partout, plutôt que dupliquer une configuration presque identique pour chaque cas particulier — évitant ici la même erreur de duplication déjà dénoncée pour Terraform au chapitre 55.</w:t>
      </w:r>
    </w:p>
    <w:bookmarkEnd w:id="1489"/>
    <w:bookmarkStart w:id="1490" w:name="Xcbb7b4e22857b0ed2aee67d34218d2154c1c8c9"/>
    <w:p>
      <w:pPr>
        <w:pStyle w:val="Heading2"/>
      </w:pPr>
      <w:r>
        <w:t xml:space="preserve">61.5 Alerting Grafana : le même piège, une nouvelle fois</w:t>
      </w:r>
    </w:p>
    <w:p>
      <w:pPr>
        <w:pStyle w:val="FirstParagraph"/>
      </w:pPr>
      <w:r>
        <w:t xml:space="preserve">⚠️ Rappel direct — la troisième fois que ce principe apparaît dans ce manuel</w:t>
      </w:r>
      <w:r>
        <w:t xml:space="preserve"> </w:t>
      </w:r>
      <w:r>
        <w:t xml:space="preserve">Grafana peut également déclencher ses propres alertes à partir des données affichées. Exactement le même principe déjà établi pour les triggers Zabbix (section 59.5) et les règles Prometheus (section 60.6) s’applique une nouvelle fois : une alerte doit exiger un maintien de la condition dans le temps, pas une seule mesure instantanée, sous peine de reproduire la même fatigue d’alerte déjà rencontrée à deux reprises.</w:t>
      </w:r>
    </w:p>
    <w:bookmarkEnd w:id="1490"/>
    <w:bookmarkStart w:id="1491" w:name="Xd95b8f2ac1dd2f8d7c6992161e560b71952fa24"/>
    <w:p>
      <w:pPr>
        <w:pStyle w:val="Heading2"/>
      </w:pPr>
      <w:r>
        <w:t xml:space="preserve">61.6 Partager un tableau de bord avec un public non technique</w:t>
      </w:r>
    </w:p>
    <w:p>
      <w:pPr>
        <w:pStyle w:val="FirstParagraph"/>
      </w:pPr>
      <w:r>
        <w:t xml:space="preserve">✅ Adapter le niveau de détail au public visé</w:t>
      </w:r>
      <w:r>
        <w:t xml:space="preserve"> </w:t>
      </w:r>
      <w:r>
        <w:t xml:space="preserve">Un tableau de bord destiné à la direction devrait privilégier quelques indicateurs de haut niveau, clairement légendés et sans jargon technique — une disponibilité globale en pourcentage, un nombre d’incidents en cours — plutôt que de reproduire la densité d’information d’un tableau de bord destiné à l’équipe technique. Grafana permet de construire plusieurs tableaux de bord distincts à partir des mêmes sources de données, chacun adapté à son public.</w:t>
      </w:r>
    </w:p>
    <w:bookmarkEnd w:id="1491"/>
    <w:bookmarkStart w:id="1492" w:name="contrôler-les-accès-aux-tableaux-de-bord"/>
    <w:p>
      <w:pPr>
        <w:pStyle w:val="Heading2"/>
      </w:pPr>
      <w:r>
        <w:t xml:space="preserve">61.7 Contrôler les accès aux tableaux de bord</w:t>
      </w:r>
    </w:p>
    <w:p>
      <w:pPr>
        <w:pStyle w:val="FirstParagraph"/>
      </w:pPr>
      <w:r>
        <w:t xml:space="preserve">🔒 Sécurité — rappel indirect du principe de moindre privilège déjà établi aux chapitres 22-25</w:t>
      </w:r>
      <w:r>
        <w:t xml:space="preserve"> </w:t>
      </w:r>
      <w:r>
        <w:t xml:space="preserve">Tout le monde ne devrait pas avoir accès à tous les tableaux de bord, ni au même niveau de droits — un tableau de bord affichant des données de sécurité sensibles ne devrait être visible que par les personnes autorisées, et la capacité de modifier un tableau de bord partagé devrait rester limitée à l’équipe qui le maintient. Grafana permet de définir des rôles et des permissions par tableau de bord ou par dossier, exactement le même principe de moindre privilège déjà appliqué à Active Directory.</w:t>
      </w:r>
    </w:p>
    <w:bookmarkEnd w:id="1492"/>
    <w:bookmarkStart w:id="1493" w:name="X1b70ee0bab0ac983517372b10a3788e6f15f200"/>
    <w:p>
      <w:pPr>
        <w:pStyle w:val="Heading2"/>
      </w:pPr>
      <w:r>
        <w:t xml:space="preserve">Atelier — Construire le tableau de bord pour la direction</w:t>
      </w:r>
    </w:p>
    <w:p>
      <w:pPr>
        <w:pStyle w:val="FirstParagraph"/>
      </w:pPr>
      <w:r>
        <w:t xml:space="preserve">🛠️ Atelier 61 — Répondre à la demande du scénario d’ouverture</w:t>
      </w:r>
    </w:p>
    <w:p>
      <w:pPr>
        <w:pStyle w:val="BodyText"/>
      </w:pPr>
      <w:r>
        <w:rPr>
          <w:b/>
          <w:bCs/>
        </w:rPr>
        <w:t xml:space="preserve">Objectif</w:t>
      </w:r>
      <w:r>
        <w:t xml:space="preserve"> </w:t>
      </w:r>
      <w:r>
        <w:t xml:space="preserve">: construire un tableau de bord combinant Zabbix et Prometheus, adapté à une présentation mensuelle à la direction.</w:t>
      </w:r>
    </w:p>
    <w:p>
      <w:pPr>
        <w:pStyle w:val="BodyText"/>
      </w:pPr>
      <w:r>
        <w:rPr>
          <w:b/>
          <w:bCs/>
        </w:rPr>
        <w:t xml:space="preserve">Préparation</w:t>
      </w:r>
      <w:r>
        <w:t xml:space="preserve"> </w:t>
      </w:r>
      <w:r>
        <w:t xml:space="preserve">: Grafana installé, connecté aux sources de données Zabbix (chapitre 59) et Prometheus (chapitre 60).</w:t>
      </w:r>
    </w:p>
    <w:p>
      <w:pPr>
        <w:pStyle w:val="BodyText"/>
      </w:pPr>
      <w:r>
        <w:rPr>
          <w:b/>
          <w:bCs/>
        </w:rPr>
        <w:t xml:space="preserve">Étapes détaillées</w:t>
      </w:r>
      <w:r>
        <w:t xml:space="preserve"> </w:t>
      </w:r>
      <w:r>
        <w:t xml:space="preserve">:</w:t>
      </w:r>
    </w:p>
    <w:p>
      <w:pPr>
        <w:pStyle w:val="Compact"/>
        <w:numPr>
          <w:ilvl w:val="0"/>
          <w:numId w:val="2401"/>
        </w:numPr>
      </w:pPr>
      <w:r>
        <w:t xml:space="preserve">Ajoute les deux sources de données à Grafana (section 61.2).</w:t>
      </w:r>
    </w:p>
    <w:p>
      <w:pPr>
        <w:pStyle w:val="Compact"/>
        <w:numPr>
          <w:ilvl w:val="0"/>
          <w:numId w:val="2401"/>
        </w:numPr>
      </w:pPr>
      <w:r>
        <w:t xml:space="preserve">Construis un panel affichant l’espace disque disponible du serveur de gestion documentaire (source Zabbix).</w:t>
      </w:r>
    </w:p>
    <w:p>
      <w:pPr>
        <w:pStyle w:val="Compact"/>
        <w:numPr>
          <w:ilvl w:val="0"/>
          <w:numId w:val="2401"/>
        </w:numPr>
      </w:pPr>
      <w:r>
        <w:t xml:space="preserve">Construis un panel affichant la latence moyenne du portail client (source Prometheus, requête PromQL de la section 60.5).</w:t>
      </w:r>
    </w:p>
    <w:p>
      <w:pPr>
        <w:pStyle w:val="Compact"/>
        <w:numPr>
          <w:ilvl w:val="0"/>
          <w:numId w:val="2401"/>
        </w:numPr>
      </w:pPr>
      <w:r>
        <w:t xml:space="preserve">Ajoute une variable permettant de sélectionner le site (Port-au-Prince ou Cap-Haïtien) sans dupliquer le tableau de bord.</w:t>
      </w:r>
    </w:p>
    <w:p>
      <w:pPr>
        <w:pStyle w:val="Compact"/>
        <w:numPr>
          <w:ilvl w:val="0"/>
          <w:numId w:val="2401"/>
        </w:numPr>
      </w:pPr>
      <w:r>
        <w:t xml:space="preserve">Explique pourquoi ce tableau de bord ne devrait pas inclure les mêmes détails techniques qu’un tableau de bord destiné à l’équipe infrastructure.</w:t>
      </w:r>
    </w:p>
    <w:p>
      <w:pPr>
        <w:pStyle w:val="Compact"/>
        <w:numPr>
          <w:ilvl w:val="0"/>
          <w:numId w:val="2401"/>
        </w:numPr>
      </w:pPr>
      <w:r>
        <w:t xml:space="preserve">Compare ta démarche à la section</w:t>
      </w:r>
      <w:r>
        <w:t xml:space="preserve"> </w:t>
      </w:r>
      <w:r>
        <w:t xml:space="preserve">“Résultat attendu”</w:t>
      </w:r>
      <w:r>
        <w:t xml:space="preserve">.</w:t>
      </w:r>
    </w:p>
    <w:p>
      <w:pPr>
        <w:pStyle w:val="FirstParagraph"/>
      </w:pPr>
      <w:r>
        <w:rPr>
          <w:b/>
          <w:bCs/>
        </w:rPr>
        <w:t xml:space="preserve">Résultat attendu</w:t>
      </w:r>
      <w:r>
        <w:t xml:space="preserve"> </w:t>
      </w:r>
      <w:r>
        <w:t xml:space="preserve">: le tableau de bord combine des panels issus de deux sources de données distinctes sur un seul écran, résolvant directement le problème du scénario d’ouverture — plus besoin de basculer entre deux interfaces séparées. La variable de site (section 61.4) évite de dupliquer le tableau de bord pour chaque site, un même dashboard générique s’adaptant au site sélectionné. Pour un public de direction, les indicateurs devraient rester simples et peu nombreux (section 61.6) — une disponibilité globale, un nombre d’incidents — plutôt que la densité de détails techniques qui submergerait un public non familier avec l’infrastructure.</w:t>
      </w:r>
    </w:p>
    <w:p>
      <w:pPr>
        <w:pStyle w:val="BodyText"/>
      </w:pPr>
      <w:r>
        <w:rPr>
          <w:b/>
          <w:bCs/>
        </w:rPr>
        <w:t xml:space="preserve">Dépannage</w:t>
      </w:r>
      <w:r>
        <w:t xml:space="preserve"> </w:t>
      </w:r>
      <w:r>
        <w:t xml:space="preserve">: si un panel affiche</w:t>
      </w:r>
      <w:r>
        <w:t xml:space="preserve"> </w:t>
      </w:r>
      <w:r>
        <w:t xml:space="preserve">“No data”</w:t>
      </w:r>
      <w:r>
        <w:t xml:space="preserve"> </w:t>
      </w:r>
      <w:r>
        <w:t xml:space="preserve">malgré une source de données correctement configurée, vérifie en priorité la plage temporelle sélectionnée en haut du tableau de bord — une cause fréquente de ce symptôme est une plage temporelle ne couvrant aucune donnée réellement collectée.</w:t>
      </w:r>
    </w:p>
    <w:bookmarkEnd w:id="1493"/>
    <w:bookmarkStart w:id="1494" w:name="erreurs-fréquentes-60"/>
    <w:p>
      <w:pPr>
        <w:pStyle w:val="Heading2"/>
      </w:pPr>
      <w:r>
        <w:t xml:space="preserve">Erreurs fréquentes</w:t>
      </w:r>
    </w:p>
    <w:p>
      <w:pPr>
        <w:pStyle w:val="FirstParagraph"/>
      </w:pPr>
      <w:r>
        <w:t xml:space="preserve">⚠️ Erreur n°1 — un accès total accordé à tout le monde sur tous les tableaux de bord</w:t>
      </w:r>
      <w:r>
        <w:t xml:space="preserve"> </w:t>
      </w:r>
      <w:r>
        <w:t xml:space="preserve">Rappel de la section 61.7 : reproduit le même risque déjà dénoncé pour un accès administrateur non restreint dans Active Directory.</w:t>
      </w:r>
    </w:p>
    <w:p>
      <w:pPr>
        <w:pStyle w:val="BodyText"/>
      </w:pPr>
      <w:r>
        <w:t xml:space="preserve">⚠️ Erreur n°2 — un tableau de bord surchargé de panels, illisible en un coup d’œil</w:t>
      </w:r>
      <w:r>
        <w:t xml:space="preserve"> </w:t>
      </w:r>
      <w:r>
        <w:t xml:space="preserve">Rappel de la section 61.6 : un tableau de bord destiné à un public non technique doit rester simple, sous peine de perdre son utilité première.</w:t>
      </w:r>
    </w:p>
    <w:p>
      <w:pPr>
        <w:pStyle w:val="BodyText"/>
      </w:pPr>
      <w:r>
        <w:t xml:space="preserve">⚠️ Erreur n°3 — un tableau de bord dupliqué pour chaque environnement au lieu d’utiliser des variables</w:t>
      </w:r>
      <w:r>
        <w:t xml:space="preserve"> </w:t>
      </w:r>
      <w:r>
        <w:t xml:space="preserve">Rappel de la section 61.4 : reproduit exactement la même erreur de duplication déjà dénoncée pour Terraform au chapitre 55.</w:t>
      </w:r>
    </w:p>
    <w:bookmarkEnd w:id="1494"/>
    <w:bookmarkStart w:id="1495" w:name="diagnostiquer-un-panel-affichant-no-data"/>
    <w:p>
      <w:pPr>
        <w:pStyle w:val="Heading2"/>
      </w:pPr>
      <w:r>
        <w:t xml:space="preserve">Diagnostiquer un panel affichant</w:t>
      </w:r>
      <w:r>
        <w:t xml:space="preserve"> </w:t>
      </w:r>
      <w:r>
        <w:t xml:space="preserve">“No data”</w:t>
      </w:r>
    </w:p>
    <w:p>
      <w:pPr>
        <w:pStyle w:val="FirstParagraph"/>
      </w:pPr>
      <w:r>
        <w:t xml:space="preserve">🩺 Symptôme : un panel Grafana affiche</w:t>
      </w:r>
      <w:r>
        <w:t xml:space="preserve"> </w:t>
      </w:r>
      <w:r>
        <w:t xml:space="preserve">“No data”</w:t>
      </w:r>
      <w:r>
        <w:t xml:space="preserve"> </w:t>
      </w:r>
      <w:r>
        <w:t xml:space="preserve">malgré une source de données a priori fonctionnelle</w:t>
      </w:r>
    </w:p>
    <w:p>
      <w:pPr>
        <w:pStyle w:val="Compact"/>
        <w:numPr>
          <w:ilvl w:val="0"/>
          <w:numId w:val="2402"/>
        </w:numPr>
      </w:pPr>
      <w:r>
        <w:rPr>
          <w:b/>
          <w:bCs/>
        </w:rPr>
        <w:t xml:space="preserve">Diagnostic</w:t>
      </w:r>
      <w:r>
        <w:t xml:space="preserve"> </w:t>
      </w:r>
      <w:r>
        <w:t xml:space="preserve">: vérifier dans l’ordre : la plage temporelle sélectionnée couvre-t-elle une période où des données existent réellement ? la requête du panel est-elle syntaxiquement correcte pour la source concernée ? la source de données elle-même répond-elle correctement en dehors de Grafana ?</w:t>
      </w:r>
    </w:p>
    <w:p>
      <w:pPr>
        <w:pStyle w:val="Compact"/>
        <w:numPr>
          <w:ilvl w:val="0"/>
          <w:numId w:val="2402"/>
        </w:numPr>
      </w:pPr>
      <w:r>
        <w:rPr>
          <w:b/>
          <w:bCs/>
        </w:rPr>
        <w:t xml:space="preserve">Comment vérifier</w:t>
      </w:r>
      <w:r>
        <w:t xml:space="preserve"> </w:t>
      </w:r>
      <w:r>
        <w:t xml:space="preserve">: tester la requête directement dans l’outil source (interface Zabbix ou requête PromQL brute dans Prometheus) pour confirmer si le problème vient de la requête elle-même ou de la configuration Grafana.</w:t>
      </w:r>
    </w:p>
    <w:p>
      <w:pPr>
        <w:pStyle w:val="Compact"/>
        <w:numPr>
          <w:ilvl w:val="0"/>
          <w:numId w:val="2402"/>
        </w:numPr>
      </w:pPr>
      <w:r>
        <w:rPr>
          <w:b/>
          <w:bCs/>
        </w:rPr>
        <w:t xml:space="preserve">Résolution</w:t>
      </w:r>
      <w:r>
        <w:t xml:space="preserve"> </w:t>
      </w:r>
      <w:r>
        <w:t xml:space="preserve">: la cause la plus fréquente reste une plage temporelle mal choisie, suivie d’une erreur de syntaxe dans la requête du panel.</w:t>
      </w:r>
    </w:p>
    <w:bookmarkEnd w:id="1495"/>
    <w:bookmarkStart w:id="1496" w:name="en-entreprise-60"/>
    <w:p>
      <w:pPr>
        <w:pStyle w:val="Heading2"/>
      </w:pPr>
      <w:r>
        <w:t xml:space="preserve">En entreprise</w:t>
      </w:r>
    </w:p>
    <w:p>
      <w:pPr>
        <w:pStyle w:val="Compact"/>
        <w:numPr>
          <w:ilvl w:val="0"/>
          <w:numId w:val="2403"/>
        </w:numPr>
      </w:pPr>
      <w:r>
        <w:rPr>
          <w:b/>
          <w:bCs/>
        </w:rPr>
        <w:t xml:space="preserve">Bonne pratique répandue</w:t>
      </w:r>
      <w:r>
        <w:t xml:space="preserve"> </w:t>
      </w:r>
      <w:r>
        <w:t xml:space="preserve">: organiser les tableaux de bord par dossiers selon leur public (direction, équipe infrastructure, équipe sécurité), avec des permissions d’accès adaptées à chaque dossier.</w:t>
      </w:r>
    </w:p>
    <w:p>
      <w:pPr>
        <w:pStyle w:val="Compact"/>
        <w:numPr>
          <w:ilvl w:val="0"/>
          <w:numId w:val="2403"/>
        </w:numPr>
      </w:pPr>
      <w:r>
        <w:rPr>
          <w:b/>
          <w:bCs/>
        </w:rPr>
        <w:t xml:space="preserve">Bonne pratique répandue</w:t>
      </w:r>
      <w:r>
        <w:t xml:space="preserve"> </w:t>
      </w:r>
      <w:r>
        <w:t xml:space="preserve">: limiter le nombre de tableaux de bord</w:t>
      </w:r>
      <w:r>
        <w:t xml:space="preserve"> </w:t>
      </w:r>
      <w:r>
        <w:t xml:space="preserve">“officiels”</w:t>
      </w:r>
      <w:r>
        <w:t xml:space="preserve"> </w:t>
      </w:r>
      <w:r>
        <w:t xml:space="preserve">largement partagés, en encourageant les tableaux de bord personnels ou d’équipe pour l’exploration ponctuelle, évitant une prolifération de tableaux de bord obsolètes et jamais maintenus.</w:t>
      </w:r>
    </w:p>
    <w:p>
      <w:pPr>
        <w:pStyle w:val="Compact"/>
        <w:numPr>
          <w:ilvl w:val="0"/>
          <w:numId w:val="2403"/>
        </w:numPr>
      </w:pPr>
      <w:r>
        <w:rPr>
          <w:b/>
          <w:bCs/>
        </w:rPr>
        <w:t xml:space="preserve">Erreur classique observée</w:t>
      </w:r>
      <w:r>
        <w:t xml:space="preserve"> </w:t>
      </w:r>
      <w:r>
        <w:t xml:space="preserve">: un tableau de bord construit une fois pour une présentation ponctuelle, jamais mis à jour ensuite, présenté des mois plus tard comme s’il reflétait l’état actuel — une pratique risquée si les panels reposent sur des requêtes devenues obsolètes après un changement d’infrastructure.</w:t>
      </w:r>
    </w:p>
    <w:bookmarkEnd w:id="1496"/>
    <w:bookmarkStart w:id="1497" w:name="entretien-technique-60"/>
    <w:p>
      <w:pPr>
        <w:pStyle w:val="Heading2"/>
      </w:pPr>
      <w:r>
        <w:t xml:space="preserve">Entretien technique</w:t>
      </w:r>
    </w:p>
    <w:p>
      <w:pPr>
        <w:pStyle w:val="FirstParagraph"/>
      </w:pPr>
      <w:r>
        <w:t xml:space="preserve">💼 Questions fréquemment posées en entretien</w:t>
      </w:r>
    </w:p>
    <w:p>
      <w:pPr>
        <w:pStyle w:val="BodyText"/>
      </w:pPr>
      <w:r>
        <w:rPr>
          <w:b/>
          <w:bCs/>
        </w:rPr>
        <w:t xml:space="preserve">Q1.</w:t>
      </w:r>
      <w:r>
        <w:rPr>
          <w:b/>
          <w:bCs/>
        </w:rPr>
        <w:t xml:space="preserve"> </w:t>
      </w:r>
      <w:r>
        <w:rPr>
          <w:b/>
          <w:bCs/>
        </w:rPr>
        <w:t xml:space="preserve">“Quel est le rôle de Grafana par rapport à des outils comme Zabbix ou Prometheus ?”</w:t>
      </w:r>
      <w:r>
        <w:t xml:space="preserve"> </w:t>
      </w:r>
      <w:r>
        <w:t xml:space="preserve">Réponse attendue : Grafana ne collecte pas lui-même de métriques — il se connecte à des sources de données existantes pour en afficher le contenu de façon unifiée, permettant de combiner plusieurs outils de collecte dans une même interface visuelle.</w:t>
      </w:r>
    </w:p>
    <w:p>
      <w:pPr>
        <w:pStyle w:val="BodyText"/>
      </w:pPr>
      <w:r>
        <w:rPr>
          <w:b/>
          <w:bCs/>
        </w:rPr>
        <w:t xml:space="preserve">Q2.</w:t>
      </w:r>
      <w:r>
        <w:rPr>
          <w:b/>
          <w:bCs/>
        </w:rPr>
        <w:t xml:space="preserve"> </w:t>
      </w:r>
      <w:r>
        <w:rPr>
          <w:b/>
          <w:bCs/>
        </w:rPr>
        <w:t xml:space="preserve">“Pourquoi utiliser des variables dans un tableau de bord Grafana plutôt que de dupliquer le tableau de bord pour chaque serveur ou environnement ?”</w:t>
      </w:r>
      <w:r>
        <w:t xml:space="preserve"> </w:t>
      </w:r>
      <w:r>
        <w:t xml:space="preserve">Réponse attendue : une variable permet de construire un tableau de bord générique, sélectionnable dynamiquement par l’utilisateur, évitant la duplication et la dérive de configuration qui en découlerait — exactement le même principe de réutilisation déjà rencontré pour les rôles Ansible et les modules Terraform.</w:t>
      </w:r>
    </w:p>
    <w:p>
      <w:pPr>
        <w:pStyle w:val="BodyText"/>
      </w:pPr>
      <w:r>
        <w:rPr>
          <w:b/>
          <w:bCs/>
        </w:rPr>
        <w:t xml:space="preserve">Q3.</w:t>
      </w:r>
      <w:r>
        <w:rPr>
          <w:b/>
          <w:bCs/>
        </w:rPr>
        <w:t xml:space="preserve"> </w:t>
      </w:r>
      <w:r>
        <w:rPr>
          <w:b/>
          <w:bCs/>
        </w:rPr>
        <w:t xml:space="preserve">“Pourquoi adapter le contenu d’un tableau de bord au public visé, plutôt que d’utiliser un seul et même tableau de bord pour tous ?”</w:t>
      </w:r>
      <w:r>
        <w:t xml:space="preserve"> </w:t>
      </w:r>
      <w:r>
        <w:t xml:space="preserve">Réponse attendue : un public technique et un public de direction n’ont pas les mêmes besoins d’information — un tableau de bord surchargé de détails techniques perd son utilité pour un public non familier, tandis qu’un tableau de bord trop simplifié ne suffit pas aux besoins d’analyse fine de l’équipe technique.</w:t>
      </w:r>
    </w:p>
    <w:bookmarkEnd w:id="1497"/>
    <w:bookmarkStart w:id="1498" w:name="Xfe6eead1263ff8d576f2b1f3c6d1906453648cf"/>
    <w:p>
      <w:pPr>
        <w:pStyle w:val="Heading2"/>
      </w:pPr>
      <w:r>
        <w:t xml:space="preserve">Optimisation, sécurité et maintenabilité — les réflexes dès ce chapitre</w:t>
      </w:r>
    </w:p>
    <w:p>
      <w:pPr>
        <w:pStyle w:val="FirstParagraph"/>
      </w:pPr>
      <w:r>
        <w:t xml:space="preserve">🔒 Sécurité</w:t>
      </w:r>
      <w:r>
        <w:t xml:space="preserve"> </w:t>
      </w:r>
      <w:r>
        <w:t xml:space="preserve">Applique le principe de moindre privilège aux tableaux de bord Grafana, en particulier pour ceux affichant des données sensibles — tout le monde n’a pas besoin d’un accès en modification, ni même en lecture, à chaque tableau de bord existant.</w:t>
      </w:r>
    </w:p>
    <w:p>
      <w:pPr>
        <w:pStyle w:val="BodyText"/>
      </w:pPr>
      <w:r>
        <w:t xml:space="preserve">✅ Maintenabilité</w:t>
      </w:r>
      <w:r>
        <w:t xml:space="preserve"> </w:t>
      </w:r>
      <w:r>
        <w:t xml:space="preserve">Privilégie systématiquement les variables de tableau de bord à la duplication manuelle — un changement de structure (nouveau panel, nouvelle métrique) appliqué à un tableau de bord générique se propage automatiquement à tous les contextes qui l’utilisent.</w:t>
      </w:r>
    </w:p>
    <w:p>
      <w:pPr>
        <w:pStyle w:val="BodyText"/>
      </w:pPr>
      <w:r>
        <w:t xml:space="preserve">🚀 Performance</w:t>
      </w:r>
      <w:r>
        <w:t xml:space="preserve"> </w:t>
      </w:r>
      <w:r>
        <w:t xml:space="preserve">Un tableau de bord avec un grand nombre de panels et un intervalle de rafraîchissement automatique très court peut générer une charge de requêtes significative sur les sources de données sous-jacentes — adapte l’intervalle de rafraîchissement à la criticité réelle du tableau de bord concerné.</w:t>
      </w:r>
    </w:p>
    <w:bookmarkEnd w:id="1498"/>
    <w:bookmarkStart w:id="1499" w:name="résumé-du-chapitre-60"/>
    <w:p>
      <w:pPr>
        <w:pStyle w:val="Heading2"/>
      </w:pPr>
      <w:r>
        <w:t xml:space="preserve">Résumé du chapitre</w:t>
      </w:r>
    </w:p>
    <w:p>
      <w:pPr>
        <w:pStyle w:val="Compact"/>
        <w:numPr>
          <w:ilvl w:val="0"/>
          <w:numId w:val="2404"/>
        </w:numPr>
      </w:pPr>
      <w:r>
        <w:t xml:space="preserve">Grafana ne collecte pas lui-même de métriques — il visualise les données de sources existantes comme Zabbix et Prometheus dans une interface unifiée.</w:t>
      </w:r>
    </w:p>
    <w:p>
      <w:pPr>
        <w:pStyle w:val="Compact"/>
        <w:numPr>
          <w:ilvl w:val="0"/>
          <w:numId w:val="2404"/>
        </w:numPr>
      </w:pPr>
      <w:r>
        <w:t xml:space="preserve">Un tableau de bord est composé de panels, chacun affichant le résultat d’une requête vers une source de données donnée.</w:t>
      </w:r>
    </w:p>
    <w:p>
      <w:pPr>
        <w:pStyle w:val="Compact"/>
        <w:numPr>
          <w:ilvl w:val="0"/>
          <w:numId w:val="2404"/>
        </w:numPr>
      </w:pPr>
      <w:r>
        <w:t xml:space="preserve">Les variables de tableau de bord permettent un dashboard générique réutilisable, plutôt qu’une duplication pour chaque contexte.</w:t>
      </w:r>
    </w:p>
    <w:p>
      <w:pPr>
        <w:pStyle w:val="Compact"/>
        <w:numPr>
          <w:ilvl w:val="0"/>
          <w:numId w:val="2404"/>
        </w:numPr>
      </w:pPr>
      <w:r>
        <w:t xml:space="preserve">L’alerting Grafana exige, comme Zabbix et Prometheus avant lui, un maintien de la condition dans le temps pour éviter la fatigue d’alerte.</w:t>
      </w:r>
    </w:p>
    <w:p>
      <w:pPr>
        <w:pStyle w:val="Compact"/>
        <w:numPr>
          <w:ilvl w:val="0"/>
          <w:numId w:val="2404"/>
        </w:numPr>
      </w:pPr>
      <w:r>
        <w:t xml:space="preserve">Le contenu d’un tableau de bord doit être adapté à son public — un public de direction a besoin de moins de détails qu’une équipe technique.</w:t>
      </w:r>
    </w:p>
    <w:p>
      <w:pPr>
        <w:pStyle w:val="Compact"/>
        <w:numPr>
          <w:ilvl w:val="0"/>
          <w:numId w:val="2404"/>
        </w:numPr>
      </w:pPr>
      <w:r>
        <w:t xml:space="preserve">L’accès aux tableaux de bord doit être contrôlé selon le principe de moindre privilège, particulièrement pour les données sensibles.</w:t>
      </w:r>
    </w:p>
    <w:bookmarkEnd w:id="1499"/>
    <w:bookmarkStart w:id="1500" w:name="quiz-60"/>
    <w:p>
      <w:pPr>
        <w:pStyle w:val="Heading2"/>
      </w:pPr>
      <w:r>
        <w:t xml:space="preserve">Quiz</w:t>
      </w:r>
    </w:p>
    <w:p>
      <w:pPr>
        <w:pStyle w:val="FirstParagraph"/>
      </w:pPr>
      <w:r>
        <w:t xml:space="preserve">📝 QCM (une seule bonne réponse par question)</w:t>
      </w:r>
    </w:p>
    <w:p>
      <w:pPr>
        <w:pStyle w:val="Compact"/>
        <w:numPr>
          <w:ilvl w:val="0"/>
          <w:numId w:val="2405"/>
        </w:numPr>
      </w:pPr>
      <w:r>
        <w:t xml:space="preserve">Grafana se distingue de Zabbix et Prometheus principalement parce qu’il :</w:t>
      </w:r>
    </w:p>
    <w:p>
      <w:pPr>
        <w:pStyle w:val="Compact"/>
        <w:numPr>
          <w:ilvl w:val="1"/>
          <w:numId w:val="2406"/>
        </w:numPr>
      </w:pPr>
    </w:p>
    <w:p>
      <w:pPr>
        <w:pStyle w:val="Compact"/>
        <w:numPr>
          <w:ilvl w:val="2"/>
          <w:numId w:val="2407"/>
        </w:numPr>
      </w:pPr>
      <w:r>
        <w:t xml:space="preserve">Collecte lui-même les métriques du système</w:t>
      </w:r>
    </w:p>
    <w:p>
      <w:pPr>
        <w:pStyle w:val="Compact"/>
        <w:numPr>
          <w:ilvl w:val="1"/>
          <w:numId w:val="2406"/>
        </w:numPr>
      </w:pPr>
    </w:p>
    <w:p>
      <w:pPr>
        <w:pStyle w:val="Compact"/>
        <w:numPr>
          <w:ilvl w:val="2"/>
          <w:numId w:val="2408"/>
        </w:numPr>
      </w:pPr>
      <w:r>
        <w:t xml:space="preserve">Visualise les données de sources existantes sans les collecter lui-même</w:t>
      </w:r>
    </w:p>
    <w:p>
      <w:pPr>
        <w:pStyle w:val="Compact"/>
        <w:numPr>
          <w:ilvl w:val="1"/>
          <w:numId w:val="2406"/>
        </w:numPr>
      </w:pPr>
    </w:p>
    <w:p>
      <w:pPr>
        <w:pStyle w:val="Compact"/>
        <w:numPr>
          <w:ilvl w:val="2"/>
          <w:numId w:val="2409"/>
        </w:numPr>
      </w:pPr>
      <w:r>
        <w:t xml:space="preserve">Remplace complètement le besoin de Zabbix et Prometheus</w:t>
      </w:r>
    </w:p>
    <w:p>
      <w:pPr>
        <w:pStyle w:val="Compact"/>
        <w:numPr>
          <w:ilvl w:val="1"/>
          <w:numId w:val="2406"/>
        </w:numPr>
      </w:pPr>
    </w:p>
    <w:p>
      <w:pPr>
        <w:pStyle w:val="Compact"/>
        <w:numPr>
          <w:ilvl w:val="2"/>
          <w:numId w:val="2410"/>
        </w:numPr>
      </w:pPr>
      <w:r>
        <w:t xml:space="preserve">Ne peut se connecter qu’à une seule source de données à la fois</w:t>
      </w:r>
    </w:p>
    <w:p>
      <w:pPr>
        <w:pStyle w:val="Compact"/>
        <w:numPr>
          <w:ilvl w:val="0"/>
          <w:numId w:val="2405"/>
        </w:numPr>
      </w:pPr>
      <w:r>
        <w:t xml:space="preserve">Une variable de tableau de bord Grafana sert principalement à :</w:t>
      </w:r>
    </w:p>
    <w:p>
      <w:pPr>
        <w:pStyle w:val="Compact"/>
        <w:numPr>
          <w:ilvl w:val="1"/>
          <w:numId w:val="2411"/>
        </w:numPr>
      </w:pPr>
    </w:p>
    <w:p>
      <w:pPr>
        <w:pStyle w:val="Compact"/>
        <w:numPr>
          <w:ilvl w:val="2"/>
          <w:numId w:val="2412"/>
        </w:numPr>
      </w:pPr>
      <w:r>
        <w:t xml:space="preserve">Chiffrer les données affichées</w:t>
      </w:r>
    </w:p>
    <w:p>
      <w:pPr>
        <w:pStyle w:val="Compact"/>
        <w:numPr>
          <w:ilvl w:val="1"/>
          <w:numId w:val="2411"/>
        </w:numPr>
      </w:pPr>
    </w:p>
    <w:p>
      <w:pPr>
        <w:pStyle w:val="Compact"/>
        <w:numPr>
          <w:ilvl w:val="2"/>
          <w:numId w:val="2413"/>
        </w:numPr>
      </w:pPr>
      <w:r>
        <w:t xml:space="preserve">Construire un tableau de bord générique réutilisable pour plusieurs contextes</w:t>
      </w:r>
    </w:p>
    <w:p>
      <w:pPr>
        <w:pStyle w:val="Compact"/>
        <w:numPr>
          <w:ilvl w:val="1"/>
          <w:numId w:val="2411"/>
        </w:numPr>
      </w:pPr>
    </w:p>
    <w:p>
      <w:pPr>
        <w:pStyle w:val="Compact"/>
        <w:numPr>
          <w:ilvl w:val="2"/>
          <w:numId w:val="2414"/>
        </w:numPr>
      </w:pPr>
      <w:r>
        <w:t xml:space="preserve">Remplacer le besoin de panels</w:t>
      </w:r>
    </w:p>
    <w:p>
      <w:pPr>
        <w:pStyle w:val="Compact"/>
        <w:numPr>
          <w:ilvl w:val="1"/>
          <w:numId w:val="2411"/>
        </w:numPr>
      </w:pPr>
    </w:p>
    <w:p>
      <w:pPr>
        <w:pStyle w:val="Compact"/>
        <w:numPr>
          <w:ilvl w:val="2"/>
          <w:numId w:val="2415"/>
        </w:numPr>
      </w:pPr>
      <w:r>
        <w:t xml:space="preserve">Accélérer la collecte des métriques</w:t>
      </w:r>
    </w:p>
    <w:p>
      <w:pPr>
        <w:pStyle w:val="Compact"/>
        <w:numPr>
          <w:ilvl w:val="0"/>
          <w:numId w:val="2405"/>
        </w:numPr>
      </w:pPr>
      <w:r>
        <w:t xml:space="preserve">Un tableau de bord destiné à la direction devrait :</w:t>
      </w:r>
    </w:p>
    <w:p>
      <w:pPr>
        <w:pStyle w:val="Compact"/>
        <w:numPr>
          <w:ilvl w:val="1"/>
          <w:numId w:val="2416"/>
        </w:numPr>
      </w:pPr>
    </w:p>
    <w:p>
      <w:pPr>
        <w:pStyle w:val="Compact"/>
        <w:numPr>
          <w:ilvl w:val="2"/>
          <w:numId w:val="2417"/>
        </w:numPr>
      </w:pPr>
      <w:r>
        <w:t xml:space="preserve">Contenir autant de détails techniques que possible</w:t>
      </w:r>
    </w:p>
    <w:p>
      <w:pPr>
        <w:pStyle w:val="Compact"/>
        <w:numPr>
          <w:ilvl w:val="1"/>
          <w:numId w:val="2416"/>
        </w:numPr>
      </w:pPr>
    </w:p>
    <w:p>
      <w:pPr>
        <w:pStyle w:val="Compact"/>
        <w:numPr>
          <w:ilvl w:val="2"/>
          <w:numId w:val="2418"/>
        </w:numPr>
      </w:pPr>
      <w:r>
        <w:t xml:space="preserve">Rester simple, avec quelques indicateurs de haut niveau clairement légendés</w:t>
      </w:r>
    </w:p>
    <w:p>
      <w:pPr>
        <w:pStyle w:val="Compact"/>
        <w:numPr>
          <w:ilvl w:val="1"/>
          <w:numId w:val="2416"/>
        </w:numPr>
      </w:pPr>
    </w:p>
    <w:p>
      <w:pPr>
        <w:pStyle w:val="Compact"/>
        <w:numPr>
          <w:ilvl w:val="2"/>
          <w:numId w:val="2419"/>
        </w:numPr>
      </w:pPr>
      <w:r>
        <w:t xml:space="preserve">Être identique au tableau de bord de l’équipe technique</w:t>
      </w:r>
    </w:p>
    <w:p>
      <w:pPr>
        <w:pStyle w:val="Compact"/>
        <w:numPr>
          <w:ilvl w:val="1"/>
          <w:numId w:val="2416"/>
        </w:numPr>
      </w:pPr>
    </w:p>
    <w:p>
      <w:pPr>
        <w:pStyle w:val="Compact"/>
        <w:numPr>
          <w:ilvl w:val="2"/>
          <w:numId w:val="2420"/>
        </w:numPr>
      </w:pPr>
      <w:r>
        <w:t xml:space="preserve">Ne jamais être partagé en dehors de l’équipe infrastructure</w:t>
      </w:r>
    </w:p>
    <w:p>
      <w:pPr>
        <w:pStyle w:val="FirstParagraph"/>
      </w:pPr>
      <w:r>
        <w:rPr>
          <w:b/>
          <w:bCs/>
        </w:rPr>
        <w:t xml:space="preserve">Corrigé</w:t>
      </w:r>
      <w:r>
        <w:t xml:space="preserve"> </w:t>
      </w:r>
      <w:r>
        <w:t xml:space="preserve">: 1-b, 2-b, 3-b.</w:t>
      </w:r>
    </w:p>
    <w:p>
      <w:pPr>
        <w:pStyle w:val="BodyText"/>
      </w:pPr>
      <w:r>
        <w:t xml:space="preserve">📝 Vrai ou Faux</w:t>
      </w:r>
    </w:p>
    <w:p>
      <w:pPr>
        <w:pStyle w:val="Compact"/>
        <w:numPr>
          <w:ilvl w:val="0"/>
          <w:numId w:val="2421"/>
        </w:numPr>
      </w:pPr>
      <w:r>
        <w:t xml:space="preserve">Grafana peut afficher, sur un même tableau de bord, des données issues à la fois de Zabbix et de Prometheus. —</w:t>
      </w:r>
      <w:r>
        <w:t xml:space="preserve"> </w:t>
      </w:r>
      <w:r>
        <w:rPr>
          <w:b/>
          <w:bCs/>
        </w:rPr>
        <w:t xml:space="preserve">Vrai</w:t>
      </w:r>
      <w:r>
        <w:t xml:space="preserve">.</w:t>
      </w:r>
    </w:p>
    <w:p>
      <w:pPr>
        <w:pStyle w:val="Compact"/>
        <w:numPr>
          <w:ilvl w:val="0"/>
          <w:numId w:val="2421"/>
        </w:numPr>
      </w:pPr>
      <w:r>
        <w:t xml:space="preserve">Une alerte Grafana devrait se déclencher sur une seule mesure instantanée pour une réaction plus rapide. —</w:t>
      </w:r>
      <w:r>
        <w:t xml:space="preserve"> </w:t>
      </w:r>
      <w:r>
        <w:rPr>
          <w:b/>
          <w:bCs/>
        </w:rPr>
        <w:t xml:space="preserve">Faux</w:t>
      </w:r>
      <w:r>
        <w:t xml:space="preserve"> </w:t>
      </w:r>
      <w:r>
        <w:t xml:space="preserve">(fatigue d’alerte, section 61.5).</w:t>
      </w:r>
    </w:p>
    <w:p>
      <w:pPr>
        <w:pStyle w:val="Compact"/>
        <w:numPr>
          <w:ilvl w:val="0"/>
          <w:numId w:val="2421"/>
        </w:numPr>
      </w:pPr>
      <w:r>
        <w:t xml:space="preserve">Tous les utilisateurs devraient disposer d’un accès en modification à tous les tableaux de bord, par souci de transparence. —</w:t>
      </w:r>
      <w:r>
        <w:t xml:space="preserve"> </w:t>
      </w:r>
      <w:r>
        <w:rPr>
          <w:b/>
          <w:bCs/>
        </w:rPr>
        <w:t xml:space="preserve">Faux</w:t>
      </w:r>
      <w:r>
        <w:t xml:space="preserve"> </w:t>
      </w:r>
      <w:r>
        <w:t xml:space="preserve">(section 61.7).</w:t>
      </w:r>
    </w:p>
    <w:p>
      <w:pPr>
        <w:pStyle w:val="Compact"/>
        <w:numPr>
          <w:ilvl w:val="0"/>
          <w:numId w:val="2421"/>
        </w:numPr>
      </w:pPr>
      <w:r>
        <w:t xml:space="preserve">Un tableau de bord surchargé de panels reste tout aussi efficace pour un public non technique qu’un tableau de bord simplifié. —</w:t>
      </w:r>
      <w:r>
        <w:t xml:space="preserve"> </w:t>
      </w:r>
      <w:r>
        <w:rPr>
          <w:b/>
          <w:bCs/>
        </w:rPr>
        <w:t xml:space="preserve">Faux</w:t>
      </w:r>
      <w:r>
        <w:t xml:space="preserve"> </w:t>
      </w:r>
      <w:r>
        <w:t xml:space="preserve">(section 61.6).</w:t>
      </w:r>
    </w:p>
    <w:p>
      <w:pPr>
        <w:pStyle w:val="FirstParagraph"/>
      </w:pPr>
      <w:r>
        <w:t xml:space="preserve">📝 Questions ouvertes</w:t>
      </w:r>
    </w:p>
    <w:p>
      <w:pPr>
        <w:pStyle w:val="Compact"/>
        <w:numPr>
          <w:ilvl w:val="0"/>
          <w:numId w:val="2422"/>
        </w:numPr>
      </w:pPr>
      <w:r>
        <w:t xml:space="preserve">Explique en quoi le problème rencontré par l’administrateur dans le scénario d’ouverture (basculer entre deux interfaces) est directement résolu par les sections 61.1 et 61.2.</w:t>
      </w:r>
    </w:p>
    <w:p>
      <w:pPr>
        <w:pStyle w:val="Compact"/>
        <w:numPr>
          <w:ilvl w:val="0"/>
          <w:numId w:val="2422"/>
        </w:numPr>
      </w:pPr>
      <w:r>
        <w:t xml:space="preserve">Un collègue propose de créer un tableau de bord distinct pour chacun des dix serveurs du parc, plutôt qu’un seul tableau de bord générique avec une variable de sélection. Explique pourquoi cette approche pose un problème de maintenabilité à long terme.</w:t>
      </w:r>
    </w:p>
    <w:p>
      <w:pPr>
        <w:pStyle w:val="FirstParagraph"/>
      </w:pPr>
      <w:r>
        <w:rPr>
          <w:b/>
          <w:bCs/>
        </w:rPr>
        <w:t xml:space="preserve">Corrigé 1</w:t>
      </w:r>
      <w:r>
        <w:t xml:space="preserve"> </w:t>
      </w:r>
      <w:r>
        <w:t xml:space="preserve">: le problème du scénario d’ouverture provenait du fait que Zabbix et Prometheus, bien que tous deux fonctionnels, restaient deux interfaces séparées, obligeant l’administrateur à consulter l’une puis l’autre pour obtenir une vision complète. Grafana, en se connectant simultanément aux deux sources de données (section 61.2) et en permettant d’afficher leurs résultats côte à côte sur un même tableau de bord (section 61.1), élimine ce besoin de bascule — une seule interface suffit désormais pour présenter une vision combinée et cohérente de l’infrastructure, répondant directement à la demande initiale du DSI.</w:t>
      </w:r>
    </w:p>
    <w:p>
      <w:pPr>
        <w:pStyle w:val="BodyText"/>
      </w:pPr>
      <w:r>
        <w:rPr>
          <w:b/>
          <w:bCs/>
        </w:rPr>
        <w:t xml:space="preserve">Corrigé 2</w:t>
      </w:r>
      <w:r>
        <w:t xml:space="preserve"> </w:t>
      </w:r>
      <w:r>
        <w:t xml:space="preserve">: dix tableaux de bord quasiment identiques, ne différant que par le serveur concerné, reproduisent exactement le même problème de duplication déjà dénoncé pour la configuration Terraform au chapitre 55 — toute modification de structure (ajout d’un panel, changement d’une requête) devrait alors être répétée manuellement sur les dix tableaux de bord, avec un risque élevé d’oubli et de dérive progressive entre eux. Un seul tableau de bord générique avec une variable de sélection de serveur (section 61.4) élimine ce risque : toute modification de structure s’applique automatiquement à l’ensemble des serveurs disponibles dans la variable, sans effort de duplication ni risque d’incohérence entre les différentes vues.</w:t>
      </w:r>
    </w:p>
    <w:bookmarkEnd w:id="1500"/>
    <w:bookmarkStart w:id="1501" w:name="exercices-60"/>
    <w:p>
      <w:pPr>
        <w:pStyle w:val="Heading2"/>
      </w:pPr>
      <w:r>
        <w:t xml:space="preserve">Exercices</w:t>
      </w:r>
    </w:p>
    <w:p>
      <w:pPr>
        <w:pStyle w:val="FirstParagraph"/>
      </w:pPr>
      <w:r>
        <w:t xml:space="preserve">📝 Exercice 61.1</w:t>
      </w:r>
    </w:p>
    <w:p>
      <w:pPr>
        <w:pStyle w:val="BodyText"/>
      </w:pPr>
      <w:r>
        <w:t xml:space="preserve">Propose une organisation de dossiers et de permissions Grafana pour l’entreprise du fil rouge, distinguant au minimum trois publics différents (direction, équipe infrastructure, équipe sécurité), en t’appuyant sur le principe de moindre privilège de la section 61.7.</w:t>
      </w:r>
    </w:p>
    <w:p>
      <w:pPr>
        <w:pStyle w:val="BodyText"/>
      </w:pPr>
      <w:r>
        <w:rPr>
          <w:b/>
          <w:bCs/>
        </w:rPr>
        <w:t xml:space="preserve">Corrigé :</w:t>
      </w:r>
      <w:r>
        <w:t xml:space="preserve"> </w:t>
      </w:r>
      <w:r>
        <w:t xml:space="preserve">Un dossier</w:t>
      </w:r>
      <w:r>
        <w:t xml:space="preserve"> </w:t>
      </w:r>
      <w:r>
        <w:t xml:space="preserve">“Direction”</w:t>
      </w:r>
      <w:r>
        <w:t xml:space="preserve"> </w:t>
      </w:r>
      <w:r>
        <w:t xml:space="preserve">contiendrait un nombre restreint de tableaux de bord simplifiés (disponibilité globale, incidents en cours), accessible en lecture seule à la direction et en modification uniquement à l’équipe infrastructure qui les maintient. Un dossier</w:t>
      </w:r>
      <w:r>
        <w:t xml:space="preserve"> </w:t>
      </w:r>
      <w:r>
        <w:t xml:space="preserve">“Infrastructure”</w:t>
      </w:r>
      <w:r>
        <w:t xml:space="preserve"> </w:t>
      </w:r>
      <w:r>
        <w:t xml:space="preserve">contiendrait des tableaux de bord détaillés issus de Zabbix et Prometheus, accessible en lecture et modification à l’équipe infrastructure uniquement. Un dossier</w:t>
      </w:r>
      <w:r>
        <w:t xml:space="preserve"> </w:t>
      </w:r>
      <w:r>
        <w:t xml:space="preserve">“Sécurité”</w:t>
      </w:r>
      <w:r>
        <w:t xml:space="preserve">, contenant des tableaux de bord potentiellement sensibles (tentatives d’authentification échouées, alertes de sécurité), resterait accessible uniquement à l’équipe sécurité et à la RSSI, en cohérence avec le principe de moindre privilège déjà appliqué à Active Directory depuis les chapitres 22-25 — chaque public accède exactement à ce dont il a besoin, ni plus ni moins.</w:t>
      </w:r>
    </w:p>
    <w:p>
      <w:pPr>
        <w:pStyle w:val="BodyText"/>
      </w:pPr>
      <w:r>
        <w:t xml:space="preserve">📝 Exercice 61.2</w:t>
      </w:r>
    </w:p>
    <w:p>
      <w:pPr>
        <w:pStyle w:val="BodyText"/>
      </w:pPr>
      <w:r>
        <w:t xml:space="preserve">Rédige, en 3 à 5 phrases, pourquoi un tableau de bord Grafana ne remplace pas le besoin de configurer des alertes directement dans Zabbix ou Prometheus, même s’il peut afficher visuellement les mêmes données.</w:t>
      </w:r>
    </w:p>
    <w:p>
      <w:pPr>
        <w:pStyle w:val="BodyText"/>
      </w:pPr>
      <w:r>
        <w:rPr>
          <w:b/>
          <w:bCs/>
        </w:rPr>
        <w:t xml:space="preserve">Corrigé (exemple de réponse) :</w:t>
      </w:r>
      <w:r>
        <w:t xml:space="preserve"> </w:t>
      </w:r>
      <w:r>
        <w:t xml:space="preserve">Un tableau de bord Grafana affiche visuellement un état, mais ne notifie personne activement tant qu’une personne ne le consulte pas elle-même — il complète les alertes de Zabbix et Prometheus sans les remplacer. Une alerte configurée directement dans l’outil de collecte (ou dans Grafana lui-même via son propre système d’alerting, section 61.5) reste nécessaire pour garantir qu’un problème soit signalé activement à un destinataire, même si personne ne consulte le tableau de bord au moment précis où le problème survient. Un tableau de bord sans alerte associée reproduit ainsi le même risque déjà dénoncé au chapitre 58 : une supervision techniquement fonctionnelle, mais dont personne n’est activement informé au bon moment.</w:t>
      </w:r>
    </w:p>
    <w:bookmarkEnd w:id="1501"/>
    <w:bookmarkStart w:id="1502" w:name="checklist-de-fin-de-chapitre-60"/>
    <w:p>
      <w:pPr>
        <w:pStyle w:val="Heading2"/>
      </w:pPr>
      <w:r>
        <w:t xml:space="preserve">Checklist de fin de chapitre</w:t>
      </w:r>
    </w:p>
    <w:p>
      <w:pPr>
        <w:pStyle w:val="FirstParagraph"/>
      </w:pPr>
      <w:r>
        <w:t xml:space="preserve">☐ Je comprends le rôle de Grafana comme couche de visualisation indépendante des sources de données.</w:t>
      </w:r>
    </w:p>
    <w:p>
      <w:pPr>
        <w:pStyle w:val="BodyText"/>
      </w:pPr>
      <w:r>
        <w:t xml:space="preserve">☐ Je sais connecter Grafana à Zabbix et Prometheus simultanément.</w:t>
      </w:r>
    </w:p>
    <w:p>
      <w:pPr>
        <w:pStyle w:val="BodyText"/>
      </w:pPr>
      <w:r>
        <w:t xml:space="preserve">☐ Je sais construire un tableau de bord avec plusieurs panels issus de sources différentes.</w:t>
      </w:r>
    </w:p>
    <w:p>
      <w:pPr>
        <w:pStyle w:val="BodyText"/>
      </w:pPr>
      <w:r>
        <w:t xml:space="preserve">☐ Je sais utiliser une variable de tableau de bord pour éviter la duplication.</w:t>
      </w:r>
    </w:p>
    <w:p>
      <w:pPr>
        <w:pStyle w:val="BodyText"/>
      </w:pPr>
      <w:r>
        <w:t xml:space="preserve">☐ Je comprends pourquoi le contenu d’un tableau de bord doit être adapté à son public.</w:t>
      </w:r>
    </w:p>
    <w:p>
      <w:pPr>
        <w:pStyle w:val="BodyText"/>
      </w:pPr>
      <w:r>
        <w:t xml:space="preserve">☐ Je sais appliquer le principe de moindre privilège aux accès des tableaux de bord.</w:t>
      </w:r>
    </w:p>
    <w:bookmarkEnd w:id="1502"/>
    <w:bookmarkStart w:id="1503" w:name="faq-60"/>
    <w:p>
      <w:pPr>
        <w:pStyle w:val="Heading2"/>
      </w:pPr>
      <w:r>
        <w:t xml:space="preserve">FAQ</w:t>
      </w:r>
    </w:p>
    <w:p>
      <w:pPr>
        <w:pStyle w:val="FirstParagraph"/>
      </w:pPr>
      <w:r>
        <w:t xml:space="preserve">Grafana peut-il se connecter à d’autres sources de données que Zabbix et Prometheus ?</w:t>
      </w:r>
    </w:p>
    <w:p>
      <w:pPr>
        <w:pStyle w:val="BodyText"/>
      </w:pPr>
      <w:r>
        <w:t xml:space="preserve">Oui, Grafana prend en charge un grand nombre de sources de données (bases de données relationnelles, ELK présenté au chapitre suivant, services cloud), ce qui en fait souvent un point de convergence unique pour l’ensemble de la supervision d’une organisation, quel que soit le nombre d’outils de collecte utilisés.</w:t>
      </w:r>
    </w:p>
    <w:p>
      <w:pPr>
        <w:pStyle w:val="BodyText"/>
      </w:pPr>
      <w:r>
        <w:t xml:space="preserve">Faut-il recréer manuellement chaque tableau de bord, ou existe-t-il des modèles prêts à l’emploi ?</w:t>
      </w:r>
    </w:p>
    <w:p>
      <w:pPr>
        <w:pStyle w:val="BodyText"/>
      </w:pPr>
      <w:r>
        <w:t xml:space="preserve">De nombreux tableaux de bord communautaires prêts à l’emploi existent pour des sources courantes (métriques Kubernetes, métriques systèmes Linux), réduisant significativement le travail de conception initial par rapport à une création entièrement manuelle.</w:t>
      </w:r>
    </w:p>
    <w:p>
      <w:pPr>
        <w:pStyle w:val="BodyText"/>
      </w:pPr>
      <w:r>
        <w:t xml:space="preserve">Grafana peut-il fonctionner sans Zabbix ni Prometheus, avec une seule source de données ?</w:t>
      </w:r>
    </w:p>
    <w:p>
      <w:pPr>
        <w:pStyle w:val="BodyText"/>
      </w:pPr>
      <w:r>
        <w:t xml:space="preserve">Oui, Grafana fonctionne tout aussi bien avec une seule source de données — l’intérêt de combiner plusieurs sources, illustré dans ce chapitre, devient particulièrement net à mesure que l’infrastructure combine plusieurs outils de collecte différents.</w:t>
      </w:r>
    </w:p>
    <w:p>
      <w:pPr>
        <w:pStyle w:val="BodyText"/>
      </w:pPr>
      <w:r>
        <w:t xml:space="preserve">Les tableaux de bord Grafana peuvent-ils être exportés et versionnés dans Git ?</w:t>
      </w:r>
    </w:p>
    <w:p>
      <w:pPr>
        <w:pStyle w:val="BodyText"/>
      </w:pPr>
      <w:r>
        <w:t xml:space="preserve">Oui, un tableau de bord peut être exporté au format JSON et versionné dans un dépôt Git, rejoignant le même principe de configuration versionnée déjà établi pour l’infrastructure elle-même depuis le chapitre 51 — une pratique de plus en plus répandue pour garantir la traçabilité des tableaux de bord critiques.</w:t>
      </w:r>
    </w:p>
    <w:bookmarkEnd w:id="1503"/>
    <w:bookmarkStart w:id="1506" w:name="références-et-pour-aller-plus-loin-60"/>
    <w:p>
      <w:pPr>
        <w:pStyle w:val="Heading2"/>
      </w:pPr>
      <w:r>
        <w:t xml:space="preserve">Références et pour aller plus loin</w:t>
      </w:r>
    </w:p>
    <w:p>
      <w:pPr>
        <w:pStyle w:val="Compact"/>
        <w:numPr>
          <w:ilvl w:val="0"/>
          <w:numId w:val="2423"/>
        </w:numPr>
      </w:pPr>
      <w:r>
        <w:t xml:space="preserve">Documentation officielle Grafana :</w:t>
      </w:r>
      <w:r>
        <w:t xml:space="preserve"> </w:t>
      </w:r>
      <w:hyperlink r:id="rId1504">
        <w:r>
          <w:rPr>
            <w:rStyle w:val="Hyperlink"/>
          </w:rPr>
          <w:t xml:space="preserve">https://grafana.com/docs/grafana/latest/</w:t>
        </w:r>
      </w:hyperlink>
    </w:p>
    <w:p>
      <w:pPr>
        <w:pStyle w:val="Compact"/>
        <w:numPr>
          <w:ilvl w:val="0"/>
          <w:numId w:val="2423"/>
        </w:numPr>
      </w:pPr>
      <w:r>
        <w:t xml:space="preserve">Grafana — Bibliothèque de tableaux de bord communautaires :</w:t>
      </w:r>
      <w:r>
        <w:t xml:space="preserve"> </w:t>
      </w:r>
      <w:hyperlink r:id="rId1505">
        <w:r>
          <w:rPr>
            <w:rStyle w:val="Hyperlink"/>
          </w:rPr>
          <w:t xml:space="preserve">https://grafana.com/grafana/dashboards/</w:t>
        </w:r>
      </w:hyperlink>
    </w:p>
    <w:p>
      <w:pPr>
        <w:pStyle w:val="FirstParagraph"/>
      </w:pPr>
      <w:r>
        <w:rPr>
          <w:i/>
          <w:iCs/>
        </w:rPr>
        <w:t xml:space="preserve">Chapitre suivant : la pile ELK (Elasticsearch, Logstash, Kibana) — approfondir le pilier des logs déjà évoqué au chapitre 58, pour centraliser et analyser à grande échelle les journaux d’événements de l’ensemble de l’infrastructure.</w:t>
      </w:r>
    </w:p>
    <w:p>
      <w:pPr>
        <w:pStyle w:val="BodyText"/>
      </w:pPr>
      <w:r>
        <w:t xml:space="preserve">CHAPITRE 62</w:t>
      </w:r>
    </w:p>
    <w:bookmarkEnd w:id="1506"/>
    <w:bookmarkEnd w:id="1507"/>
    <w:bookmarkStart w:id="1532" w:name="X2604f58e9fb3272a8f61ef8c234937a298e0d73"/>
    <w:p>
      <w:pPr>
        <w:pStyle w:val="Heading1"/>
      </w:pPr>
      <w:r>
        <w:t xml:space="preserve">La pile ELK (Elasticsearch, Logstash, Kibana)</w:t>
      </w:r>
    </w:p>
    <w:p>
      <w:pPr>
        <w:pStyle w:val="FirstParagraph"/>
      </w:pPr>
      <w:r>
        <w:t xml:space="preserve">🎯 Objectif du chapitre</w:t>
      </w:r>
      <w:r>
        <w:t xml:space="preserve"> </w:t>
      </w:r>
      <w:r>
        <w:t xml:space="preserve">Approfondir le pilier des logs déjà évoqué au chapitre 58, en centralisant et en rendant recherchables les journaux d’événements de l’ensemble de l’infrastructure via la pile ELK (Elasticsearch, Logstash, Kibana). À la fin de ce chapitre, tu comprendras le rôle de chacun des trois composants, tu sauras centraliser les logs d’un serveur via un agent léger, et tu sauras rechercher un événement précis à travers l’ensemble du parc en une seule recherche plutôt que serveur par serveur.</w:t>
      </w:r>
    </w:p>
    <w:p>
      <w:pPr>
        <w:pStyle w:val="BodyText"/>
      </w:pPr>
      <w:r>
        <w:t xml:space="preserve">🎬 Mise en situation</w:t>
      </w:r>
      <w:r>
        <w:t xml:space="preserve"> </w:t>
      </w:r>
      <w:r>
        <w:t xml:space="preserve">Un incident de sécurité mineur est suspecté : plusieurs tentatives de connexion échouées sur un compte administrateur. Pour comprendre l’ampleur du problème, l’équipe doit déterminer si ces tentatives concernent uniquement le serveur d’authentification ou si elles apparaissent également ailleurs dans le parc. La méthode actuelle consiste à se connecter en SSH ou en RDP à chacun des dix serveurs, un par un, et à consulter manuellement leurs journaux locaux — une opération lente, fastidieuse, et qui retarde dangereusement la compréhension d’un incident potentiellement en cours.</w:t>
      </w:r>
      <w:r>
        <w:t xml:space="preserve"> </w:t>
      </w:r>
      <w:r>
        <w:t xml:space="preserve">“On ne peut pas se permettre de perdre une heure à chercher un log pendant un incident de sécurité,”</w:t>
      </w:r>
      <w:r>
        <w:t xml:space="preserve"> </w:t>
      </w:r>
      <w:r>
        <w:t xml:space="preserve">observe la RSSI. La pile ELK résout précisément ce problème.</w:t>
      </w:r>
    </w:p>
    <w:bookmarkStart w:id="1508" w:name="Xbfcf6d6c66f008f716b74933d2caaab13a94c90"/>
    <w:p>
      <w:pPr>
        <w:pStyle w:val="Heading2"/>
      </w:pPr>
      <w:r>
        <w:t xml:space="preserve">62.1 Le problème : chercher un événement dans dix journaux séparés</w:t>
      </w:r>
    </w:p>
    <w:p>
      <w:pPr>
        <w:pStyle w:val="FirstParagraph"/>
      </w:pPr>
      <w:r>
        <w:t xml:space="preserve">📌 À retenir — le même pilier</w:t>
      </w:r>
      <w:r>
        <w:t xml:space="preserve"> </w:t>
      </w:r>
      <w:r>
        <w:t xml:space="preserve">“logs”</w:t>
      </w:r>
      <w:r>
        <w:t xml:space="preserve"> </w:t>
      </w:r>
      <w:r>
        <w:t xml:space="preserve">déjà introduit au chapitre 58, mais à l’échelle du parc entier</w:t>
      </w:r>
      <w:r>
        <w:t xml:space="preserve"> </w:t>
      </w:r>
      <w:r>
        <w:t xml:space="preserve">Le chapitre 58 introduisait les logs comme l’un des trois piliers de l’observabilité, répondant à la question</w:t>
      </w:r>
      <w:r>
        <w:t xml:space="preserve"> </w:t>
      </w:r>
      <w:r>
        <w:t xml:space="preserve">“que s’est-il passé, et quand”</w:t>
      </w:r>
      <w:r>
        <w:t xml:space="preserve">. Sans centralisation, cette question devient très coûteuse à répondre dès que plusieurs serveurs sont potentiellement concernés — chaque serveur conserve ses propres journaux localement, invisibles depuis les autres. Centraliser ces journaux dans un même système consultable transforme une recherche qui prendrait une heure en une opération de quelques secondes.</w:t>
      </w:r>
    </w:p>
    <w:bookmarkEnd w:id="1508"/>
    <w:bookmarkStart w:id="1512" w:name="trois-composants-complémentaires"/>
    <w:p>
      <w:pPr>
        <w:pStyle w:val="Heading2"/>
      </w:pPr>
      <w:r>
        <w:t xml:space="preserve">62.2 Trois composants complémentaires</w:t>
      </w:r>
    </w:p>
    <w:p>
      <w:pPr>
        <w:pStyle w:val="FirstParagraph"/>
      </w:pPr>
      <w:r>
        <w:t xml:space="preserve">💡 Analogie — le même schéma en couches déjà rencontré avec Prometheus et Grafana</w:t>
      </w:r>
      <w:r>
        <w:t xml:space="preserve"> </w:t>
      </w:r>
      <w:r>
        <w:t xml:space="preserve">La pile ELK combine trois composants distincts, chacun avec un rôle précis :</w:t>
      </w:r>
      <w:r>
        <w:t xml:space="preserve"> </w:t>
      </w:r>
      <w:r>
        <w:rPr>
          <w:b/>
          <w:bCs/>
        </w:rPr>
        <w:t xml:space="preserve">Logstash</w:t>
      </w:r>
      <w:r>
        <w:t xml:space="preserve"> </w:t>
      </w:r>
      <w:r>
        <w:t xml:space="preserve">(ou une alternative plus légère comme Filebeat) collecte et transforme les logs à la source ;</w:t>
      </w:r>
      <w:r>
        <w:t xml:space="preserve"> </w:t>
      </w:r>
      <w:r>
        <w:rPr>
          <w:b/>
          <w:bCs/>
        </w:rPr>
        <w:t xml:space="preserve">Elasticsearch</w:t>
      </w:r>
      <w:r>
        <w:t xml:space="preserve"> </w:t>
      </w:r>
      <w:r>
        <w:t xml:space="preserve">les stocke et les indexe pour une recherche rapide ;</w:t>
      </w:r>
      <w:r>
        <w:t xml:space="preserve"> </w:t>
      </w:r>
      <w:r>
        <w:rPr>
          <w:b/>
          <w:bCs/>
        </w:rPr>
        <w:t xml:space="preserve">Kibana</w:t>
      </w:r>
      <w:r>
        <w:t xml:space="preserve"> </w:t>
      </w:r>
      <w:r>
        <w:t xml:space="preserve">offre l’interface de recherche et de visualisation. Cette séparation des responsabilités rejoint le même schéma en couches déjà rencontré entre les exporters, Prometheus et Grafana (chapitres 60-61) : collecter, stocker/indexer, visualiser — trois étapes distinctes confiées à des composants spécialisés plutôt qu’à un outil unique et monolithique.</w:t>
      </w:r>
    </w:p>
    <w:p>
      <w:pPr>
        <w:pStyle w:val="CaptionedFigure"/>
      </w:pPr>
      <w:r>
        <w:drawing>
          <wp:inline>
            <wp:extent cx="5334000" cy="2088614"/>
            <wp:effectExtent b="0" l="0" r="0" t="0"/>
            <wp:docPr descr="Diagramme" title="" id="1510" name="Picture"/>
            <a:graphic>
              <a:graphicData uri="http://schemas.openxmlformats.org/drawingml/2006/picture">
                <pic:pic>
                  <pic:nvPicPr>
                    <pic:cNvPr descr="C:/Users/ingja/Desktop/jarvis-starter-kit/livrables/formations/manuel-administration-systeme/assets/diagrams/d-62-pile-elk-diagramme-1.png" id="1511" name="Picture"/>
                    <pic:cNvPicPr>
                      <a:picLocks noChangeArrowheads="1" noChangeAspect="1"/>
                    </pic:cNvPicPr>
                  </pic:nvPicPr>
                  <pic:blipFill>
                    <a:blip r:embed="rId1509"/>
                    <a:stretch>
                      <a:fillRect/>
                    </a:stretch>
                  </pic:blipFill>
                  <pic:spPr bwMode="auto">
                    <a:xfrm>
                      <a:off x="0" y="0"/>
                      <a:ext cx="5334000" cy="2088614"/>
                    </a:xfrm>
                    <a:prstGeom prst="rect">
                      <a:avLst/>
                    </a:prstGeom>
                    <a:noFill/>
                    <a:ln w="9525">
                      <a:noFill/>
                      <a:headEnd/>
                      <a:tailEnd/>
                    </a:ln>
                  </pic:spPr>
                </pic:pic>
              </a:graphicData>
            </a:graphic>
          </wp:inline>
        </w:drawing>
      </w:r>
    </w:p>
    <w:p>
      <w:pPr>
        <w:pStyle w:val="ImageCaption"/>
      </w:pPr>
      <w:r>
        <w:t xml:space="preserve">Diagramme</w:t>
      </w:r>
    </w:p>
    <w:bookmarkEnd w:id="1512"/>
    <w:bookmarkStart w:id="1513" w:name="X1ac1ba5e12a0fae0995f36e9b1e4de46c7ddda8"/>
    <w:p>
      <w:pPr>
        <w:pStyle w:val="Heading2"/>
      </w:pPr>
      <w:r>
        <w:t xml:space="preserve">62.3 Elasticsearch : un moteur de recherche et d’indexation</w:t>
      </w:r>
    </w:p>
    <w:p>
      <w:pPr>
        <w:pStyle w:val="FirstParagraph"/>
      </w:pPr>
      <w:r>
        <w:t xml:space="preserve">📌 À retenir</w:t>
      </w:r>
      <w:r>
        <w:t xml:space="preserve"> </w:t>
      </w:r>
      <w:r>
        <w:rPr>
          <w:b/>
          <w:bCs/>
        </w:rPr>
        <w:t xml:space="preserve">Elasticsearch</w:t>
      </w:r>
      <w:r>
        <w:t xml:space="preserve"> </w:t>
      </w:r>
      <w:r>
        <w:t xml:space="preserve">stocke les logs sous une forme indexée, optimisée pour la recherche rapide sur de très grands volumes de texte — une recherche portant sur des millions de lignes de logs répartis sur plusieurs jours peut ainsi retourner un résultat en quelques centaines de millisecondes, une performance impossible à obtenir en parcourant manuellement des fichiers texte bruts.</w:t>
      </w:r>
    </w:p>
    <w:bookmarkEnd w:id="1513"/>
    <w:bookmarkStart w:id="1514" w:name="X6c57b17f621141d53485395ec7e8f6772fb3d8b"/>
    <w:p>
      <w:pPr>
        <w:pStyle w:val="Heading2"/>
      </w:pPr>
      <w:r>
        <w:t xml:space="preserve">62.4 Logstash : collecter, transformer et enrichir avant stockage</w:t>
      </w:r>
    </w:p>
    <w:p>
      <w:pPr>
        <w:pStyle w:val="FirstParagraph"/>
      </w:pPr>
      <w:r>
        <w:t xml:space="preserve">📌 À retenir — un pipeline, au sens différent de celui du chapitre 56</w:t>
      </w:r>
      <w:r>
        <w:t xml:space="preserve"> </w:t>
      </w:r>
      <w:r>
        <w:rPr>
          <w:b/>
          <w:bCs/>
        </w:rPr>
        <w:t xml:space="preserve">Logstash</w:t>
      </w:r>
      <w:r>
        <w:t xml:space="preserve"> </w:t>
      </w:r>
      <w:r>
        <w:t xml:space="preserve">applique un pipeline de traitement aux logs bruts avant leur indexation — extraire des champs structurés d’une ligne de texte brute (adresse IP, nom d’utilisateur, code de retour), normaliser un format de date, ou enrichir un événement avec des informations complémentaires (localisation géographique d’une adresse IP, par exemple). Le terme</w:t>
      </w:r>
      <w:r>
        <w:t xml:space="preserve"> </w:t>
      </w:r>
      <w:r>
        <w:t xml:space="preserve">“pipeline”</w:t>
      </w:r>
      <w:r>
        <w:t xml:space="preserve"> </w:t>
      </w:r>
      <w:r>
        <w:t xml:space="preserve">ici désigne un enchaînement de transformations de données, à ne pas confondre avec le pipeline d’intégration continue Jenkins du chapitre 56 — même mot, deux contextes distincts dans ce manuel.</w:t>
      </w:r>
    </w:p>
    <w:p>
      <w:pPr>
        <w:pStyle w:val="SourceCode"/>
      </w:pPr>
      <w:r>
        <w:rPr>
          <w:rStyle w:val="CommentTok"/>
        </w:rPr>
        <w:t xml:space="preserve"># Exemple de configuration Logstash simplifiee</w:t>
      </w:r>
      <w:r>
        <w:br/>
      </w:r>
      <w:r>
        <w:rPr>
          <w:rStyle w:val="NormalTok"/>
        </w:rPr>
        <w:t xml:space="preserve">filter </w:t>
      </w:r>
      <w:r>
        <w:rPr>
          <w:rStyle w:val="OperatorTok"/>
        </w:rPr>
        <w:t xml:space="preserve">{</w:t>
      </w:r>
      <w:r>
        <w:br/>
      </w:r>
      <w:r>
        <w:rPr>
          <w:rStyle w:val="NormalTok"/>
        </w:rPr>
        <w:t xml:space="preserve">  grok </w:t>
      </w:r>
      <w:r>
        <w:rPr>
          <w:rStyle w:val="OperatorTok"/>
        </w:rPr>
        <w:t xml:space="preserve">{</w:t>
      </w:r>
      <w:r>
        <w:br/>
      </w:r>
      <w:r>
        <w:rPr>
          <w:rStyle w:val="NormalTok"/>
        </w:rPr>
        <w:t xml:space="preserve">    match </w:t>
      </w:r>
      <w:r>
        <w:rPr>
          <w:rStyle w:val="OperatorTok"/>
        </w:rPr>
        <w:t xml:space="preserve">=&gt;</w:t>
      </w:r>
      <w:r>
        <w:rPr>
          <w:rStyle w:val="NormalTok"/>
        </w:rPr>
        <w:t xml:space="preserve"> </w:t>
      </w:r>
      <w:r>
        <w:rPr>
          <w:rStyle w:val="OperatorTok"/>
        </w:rPr>
        <w:t xml:space="preserve">{</w:t>
      </w:r>
      <w:r>
        <w:rPr>
          <w:rStyle w:val="NormalTok"/>
        </w:rPr>
        <w:t xml:space="preserve"> </w:t>
      </w:r>
      <w:r>
        <w:rPr>
          <w:rStyle w:val="StringTok"/>
        </w:rPr>
        <w:t xml:space="preserve">"message"</w:t>
      </w:r>
      <w:r>
        <w:rPr>
          <w:rStyle w:val="NormalTok"/>
        </w:rPr>
        <w:t xml:space="preserve"> </w:t>
      </w:r>
      <w:r>
        <w:rPr>
          <w:rStyle w:val="OperatorTok"/>
        </w:rPr>
        <w:t xml:space="preserve">=&gt;</w:t>
      </w:r>
      <w:r>
        <w:rPr>
          <w:rStyle w:val="NormalTok"/>
        </w:rPr>
        <w:t xml:space="preserve"> </w:t>
      </w:r>
      <w:r>
        <w:rPr>
          <w:rStyle w:val="StringTok"/>
        </w:rPr>
        <w:t xml:space="preserve">"%{IP:client_ip} - %{WORD:utilisateur} - %{GREEDYDATA:action}"</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514"/>
    <w:bookmarkStart w:id="1515" w:name="X0cf9b0a5105307bdd040e0f291e758c593178b7"/>
    <w:p>
      <w:pPr>
        <w:pStyle w:val="Heading2"/>
      </w:pPr>
      <w:r>
        <w:t xml:space="preserve">62.5 Filebeat : un agent léger, comparable aux exporters et agents déjà rencontrés</w:t>
      </w:r>
    </w:p>
    <w:p>
      <w:pPr>
        <w:pStyle w:val="FirstParagraph"/>
      </w:pPr>
      <w:r>
        <w:t xml:space="preserve">💡 Rappel direct des chapitres 59 et 60 — encore le même schéma d’agent léger</w:t>
      </w:r>
      <w:r>
        <w:t xml:space="preserve"> </w:t>
      </w:r>
      <w:r>
        <w:rPr>
          <w:b/>
          <w:bCs/>
        </w:rPr>
        <w:t xml:space="preserve">Filebeat</w:t>
      </w:r>
      <w:r>
        <w:t xml:space="preserve"> </w:t>
      </w:r>
      <w:r>
        <w:t xml:space="preserve">est un agent léger installé sur chaque serveur, chargé uniquement de transmettre les logs locaux vers Logstash ou directement vers Elasticsearch, sans effectuer lui-même de transformation lourde — exactement le même rôle qu’un agent Zabbix (section 59.3) ou un exporter Prometheus (section 60.3) : un composant local minimal, dont la seule responsabilité est de transmettre fidèlement des données brutes vers un système central plus lourd et plus riche en fonctionnalités.</w:t>
      </w:r>
    </w:p>
    <w:p>
      <w:pPr>
        <w:pStyle w:val="SourceCode"/>
      </w:pPr>
      <w:r>
        <w:rPr>
          <w:rStyle w:val="CommentTok"/>
        </w:rPr>
        <w:t xml:space="preserve"># filebeat.yml</w:t>
      </w:r>
      <w:r>
        <w:br/>
      </w:r>
      <w:r>
        <w:rPr>
          <w:rStyle w:val="FunctionTok"/>
        </w:rPr>
        <w:t xml:space="preserve">filebeat.inputs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type</w:t>
      </w:r>
      <w:r>
        <w:rPr>
          <w:rStyle w:val="KeywordTok"/>
        </w:rPr>
        <w:t xml:space="preserve">:</w:t>
      </w:r>
      <w:r>
        <w:rPr>
          <w:rStyle w:val="AttributeTok"/>
        </w:rPr>
        <w:t xml:space="preserve"> log</w:t>
      </w:r>
      <w:r>
        <w:br/>
      </w:r>
      <w:r>
        <w:rPr>
          <w:rStyle w:val="AttributeTok"/>
        </w:rPr>
        <w:t xml:space="preserve">    </w:t>
      </w:r>
      <w:r>
        <w:rPr>
          <w:rStyle w:val="FunctionTok"/>
        </w:rPr>
        <w:t xml:space="preserve">paths</w:t>
      </w:r>
      <w:r>
        <w:rPr>
          <w:rStyle w:val="KeywordTok"/>
        </w:rPr>
        <w:t xml:space="preserve">:</w:t>
      </w:r>
      <w:r>
        <w:br/>
      </w:r>
      <w:r>
        <w:rPr>
          <w:rStyle w:val="AttributeTok"/>
        </w:rPr>
        <w:t xml:space="preserve">      </w:t>
      </w:r>
      <w:r>
        <w:rPr>
          <w:rStyle w:val="KeywordTok"/>
        </w:rPr>
        <w:t xml:space="preserve">-</w:t>
      </w:r>
      <w:r>
        <w:rPr>
          <w:rStyle w:val="AttributeTok"/>
        </w:rPr>
        <w:t xml:space="preserve"> /var/log/secure</w:t>
      </w:r>
      <w:r>
        <w:br/>
      </w:r>
      <w:r>
        <w:rPr>
          <w:rStyle w:val="AttributeTok"/>
        </w:rPr>
        <w:t xml:space="preserve">      </w:t>
      </w:r>
      <w:r>
        <w:rPr>
          <w:rStyle w:val="KeywordTok"/>
        </w:rPr>
        <w:t xml:space="preserve">-</w:t>
      </w:r>
      <w:r>
        <w:rPr>
          <w:rStyle w:val="AttributeTok"/>
        </w:rPr>
        <w:t xml:space="preserve"> /var/log/gestion-documentaire/*.log</w:t>
      </w:r>
      <w:r>
        <w:br/>
      </w:r>
      <w:r>
        <w:rPr>
          <w:rStyle w:val="FunctionTok"/>
        </w:rPr>
        <w:t xml:space="preserve">output.logstash</w:t>
      </w:r>
      <w:r>
        <w:rPr>
          <w:rStyle w:val="KeywordTok"/>
        </w:rPr>
        <w:t xml:space="preserve">:</w:t>
      </w:r>
      <w:r>
        <w:br/>
      </w:r>
      <w:r>
        <w:rPr>
          <w:rStyle w:val="AttributeTok"/>
        </w:rPr>
        <w:t xml:space="preserve">  </w:t>
      </w:r>
      <w:r>
        <w:rPr>
          <w:rStyle w:val="FunctionTok"/>
        </w:rPr>
        <w:t xml:space="preserve">hosts</w:t>
      </w:r>
      <w:r>
        <w:rPr>
          <w:rStyle w:val="KeywordTok"/>
        </w:rPr>
        <w:t xml:space="preserve">:</w:t>
      </w:r>
      <w:r>
        <w:rPr>
          <w:rStyle w:val="AttributeTok"/>
        </w:rPr>
        <w:t xml:space="preserve"> </w:t>
      </w:r>
      <w:r>
        <w:rPr>
          <w:rStyle w:val="KeywordTok"/>
        </w:rPr>
        <w:t xml:space="preserve">[</w:t>
      </w:r>
      <w:r>
        <w:rPr>
          <w:rStyle w:val="StringTok"/>
        </w:rPr>
        <w:t xml:space="preserve">"10.10.1.6:5044"</w:t>
      </w:r>
      <w:r>
        <w:rPr>
          <w:rStyle w:val="KeywordTok"/>
        </w:rPr>
        <w:t xml:space="preserve">]</w:t>
      </w:r>
    </w:p>
    <w:bookmarkEnd w:id="1515"/>
    <w:bookmarkStart w:id="1516" w:name="X91cbd1942b4bce204eb5040f06080aaf549dd30"/>
    <w:p>
      <w:pPr>
        <w:pStyle w:val="Heading2"/>
      </w:pPr>
      <w:r>
        <w:t xml:space="preserve">62.6 Kibana : rechercher et visualiser les logs centralisés</w:t>
      </w:r>
    </w:p>
    <w:p>
      <w:pPr>
        <w:pStyle w:val="FirstParagraph"/>
      </w:pPr>
      <w:r>
        <w:t xml:space="preserve">📌 À retenir</w:t>
      </w:r>
      <w:r>
        <w:t xml:space="preserve"> </w:t>
      </w:r>
      <w:r>
        <w:rPr>
          <w:b/>
          <w:bCs/>
        </w:rPr>
        <w:t xml:space="preserve">Kibana</w:t>
      </w:r>
      <w:r>
        <w:t xml:space="preserve"> </w:t>
      </w:r>
      <w:r>
        <w:t xml:space="preserve">offre l’interface permettant de rechercher, filtrer et visualiser les logs indexés dans Elasticsearch — une recherche comme</w:t>
      </w:r>
      <w:r>
        <w:t xml:space="preserve"> </w:t>
      </w:r>
      <w:r>
        <w:t xml:space="preserve">“toutes les tentatives de connexion échouées sur le compte</w:t>
      </w:r>
      <w:r>
        <w:t xml:space="preserve"> </w:t>
      </w:r>
      <w:r>
        <w:rPr>
          <w:rStyle w:val="VerbatimChar"/>
        </w:rPr>
        <w:t xml:space="preserve">admin</w:t>
      </w:r>
      <w:r>
        <w:t xml:space="preserve"> </w:t>
      </w:r>
      <w:r>
        <w:t xml:space="preserve">au cours des dernières 24 heures, tous serveurs confondus”</w:t>
      </w:r>
      <w:r>
        <w:t xml:space="preserve"> </w:t>
      </w:r>
      <w:r>
        <w:t xml:space="preserve">devient une simple requête, plutôt qu’une inspection manuelle serveur par serveur.</w:t>
      </w:r>
    </w:p>
    <w:bookmarkEnd w:id="1516"/>
    <w:bookmarkStart w:id="1517" w:name="Xdf195fffae5468396659b48b6cb421315549e60"/>
    <w:p>
      <w:pPr>
        <w:pStyle w:val="Heading2"/>
      </w:pPr>
      <w:r>
        <w:t xml:space="preserve">62.7 Résoudre concrètement le scénario d’ouverture</w:t>
      </w:r>
    </w:p>
    <w:p>
      <w:pPr>
        <w:pStyle w:val="FirstParagraph"/>
      </w:pPr>
      <w:r>
        <w:t xml:space="preserve">✅ Une recherche unique plutôt que dix connexions successives</w:t>
      </w:r>
      <w:r>
        <w:t xml:space="preserve"> </w:t>
      </w:r>
      <w:r>
        <w:t xml:space="preserve">Avec les logs de l’ensemble du parc centralisés dans Elasticsearch, la recherche des tentatives de connexion échouées suspectées dans le scénario d’ouverture devient une seule requête Kibana, filtrée sur l’événement recherché et sur l’ensemble des hôtes du parc simultanément — révélant en quelques secondes si le problème est isolé à un seul serveur ou déjà répandu, une information critique pour évaluer la gravité réelle de l’incident.</w:t>
      </w:r>
    </w:p>
    <w:bookmarkEnd w:id="1517"/>
    <w:bookmarkStart w:id="1518" w:name="Xaa52ccea04bbdd730fa739049bafde8103456b4"/>
    <w:p>
      <w:pPr>
        <w:pStyle w:val="Heading2"/>
      </w:pPr>
      <w:r>
        <w:t xml:space="preserve">Atelier — Centraliser et rechercher un événement de sécurité</w:t>
      </w:r>
    </w:p>
    <w:p>
      <w:pPr>
        <w:pStyle w:val="FirstParagraph"/>
      </w:pPr>
      <w:r>
        <w:t xml:space="preserve">🛠️ Atelier 62 — Reproduire l’investigation du scénario d’ouverture</w:t>
      </w:r>
    </w:p>
    <w:p>
      <w:pPr>
        <w:pStyle w:val="BodyText"/>
      </w:pPr>
      <w:r>
        <w:rPr>
          <w:b/>
          <w:bCs/>
        </w:rPr>
        <w:t xml:space="preserve">Objectif</w:t>
      </w:r>
      <w:r>
        <w:t xml:space="preserve"> </w:t>
      </w:r>
      <w:r>
        <w:t xml:space="preserve">: centraliser les logs d’authentification du serveur documentaire et du serveur d’authentification, puis rechercher les tentatives de connexion échouées.</w:t>
      </w:r>
    </w:p>
    <w:p>
      <w:pPr>
        <w:pStyle w:val="BodyText"/>
      </w:pPr>
      <w:r>
        <w:rPr>
          <w:b/>
          <w:bCs/>
        </w:rPr>
        <w:t xml:space="preserve">Préparation</w:t>
      </w:r>
      <w:r>
        <w:t xml:space="preserve"> </w:t>
      </w:r>
      <w:r>
        <w:t xml:space="preserve">: une pile ELK fonctionnelle, avec Filebeat installé sur les deux serveurs concernés.</w:t>
      </w:r>
    </w:p>
    <w:p>
      <w:pPr>
        <w:pStyle w:val="BodyText"/>
      </w:pPr>
      <w:r>
        <w:rPr>
          <w:b/>
          <w:bCs/>
        </w:rPr>
        <w:t xml:space="preserve">Étapes détaillées</w:t>
      </w:r>
      <w:r>
        <w:t xml:space="preserve"> </w:t>
      </w:r>
      <w:r>
        <w:t xml:space="preserve">:</w:t>
      </w:r>
    </w:p>
    <w:p>
      <w:pPr>
        <w:pStyle w:val="Compact"/>
        <w:numPr>
          <w:ilvl w:val="0"/>
          <w:numId w:val="2424"/>
        </w:numPr>
      </w:pPr>
      <w:r>
        <w:t xml:space="preserve">Configure Filebeat sur les deux serveurs pour transmettre leurs journaux d’authentification (section 62.5).</w:t>
      </w:r>
    </w:p>
    <w:p>
      <w:pPr>
        <w:pStyle w:val="Compact"/>
        <w:numPr>
          <w:ilvl w:val="0"/>
          <w:numId w:val="2424"/>
        </w:numPr>
      </w:pPr>
      <w:r>
        <w:t xml:space="preserve">Vérifie dans Kibana que les logs des deux serveurs apparaissent bien dans le même index.</w:t>
      </w:r>
    </w:p>
    <w:p>
      <w:pPr>
        <w:pStyle w:val="Compact"/>
        <w:numPr>
          <w:ilvl w:val="0"/>
          <w:numId w:val="2424"/>
        </w:numPr>
      </w:pPr>
      <w:r>
        <w:t xml:space="preserve">Construis une recherche Kibana filtrant les événements de connexion échouée sur le compte</w:t>
      </w:r>
      <w:r>
        <w:t xml:space="preserve"> </w:t>
      </w:r>
      <w:r>
        <w:rPr>
          <w:rStyle w:val="VerbatimChar"/>
        </w:rPr>
        <w:t xml:space="preserve">admin</w:t>
      </w:r>
      <w:r>
        <w:t xml:space="preserve">, tous serveurs confondus.</w:t>
      </w:r>
    </w:p>
    <w:p>
      <w:pPr>
        <w:pStyle w:val="Compact"/>
        <w:numPr>
          <w:ilvl w:val="0"/>
          <w:numId w:val="2424"/>
        </w:numPr>
      </w:pPr>
      <w:r>
        <w:t xml:space="preserve">Explique comment cette recherche unique remplace la procédure manuelle décrite dans le scénario d’ouverture.</w:t>
      </w:r>
    </w:p>
    <w:p>
      <w:pPr>
        <w:pStyle w:val="Compact"/>
        <w:numPr>
          <w:ilvl w:val="0"/>
          <w:numId w:val="2424"/>
        </w:numPr>
      </w:pPr>
      <w:r>
        <w:t xml:space="preserve">Compare ta démarche à la section</w:t>
      </w:r>
      <w:r>
        <w:t xml:space="preserve"> </w:t>
      </w:r>
      <w:r>
        <w:t xml:space="preserve">“Résultat attendu”</w:t>
      </w:r>
      <w:r>
        <w:t xml:space="preserve">.</w:t>
      </w:r>
    </w:p>
    <w:p>
      <w:pPr>
        <w:pStyle w:val="FirstParagraph"/>
      </w:pPr>
      <w:r>
        <w:rPr>
          <w:b/>
          <w:bCs/>
        </w:rPr>
        <w:t xml:space="preserve">Résultat attendu</w:t>
      </w:r>
      <w:r>
        <w:t xml:space="preserve"> </w:t>
      </w:r>
      <w:r>
        <w:t xml:space="preserve">: une fois les deux serveurs configurés avec Filebeat, leurs logs apparaissent centralisés dans le même index Elasticsearch, consultable depuis une seule interface Kibana. La recherche filtrée sur les tentatives échouées du compte</w:t>
      </w:r>
      <w:r>
        <w:t xml:space="preserve"> </w:t>
      </w:r>
      <w:r>
        <w:rPr>
          <w:rStyle w:val="VerbatimChar"/>
        </w:rPr>
        <w:t xml:space="preserve">admin</w:t>
      </w:r>
      <w:r>
        <w:t xml:space="preserve"> </w:t>
      </w:r>
      <w:r>
        <w:t xml:space="preserve">retourne en une seule requête l’ensemble des occurrences sur les deux serveurs, avec leur horodatage précis — une réponse obtenue en quelques secondes, contre potentiellement une heure avec la méthode manuelle décrite dans le scénario d’ouverture.</w:t>
      </w:r>
    </w:p>
    <w:p>
      <w:pPr>
        <w:pStyle w:val="BodyText"/>
      </w:pPr>
      <w:r>
        <w:rPr>
          <w:b/>
          <w:bCs/>
        </w:rPr>
        <w:t xml:space="preserve">Dépannage</w:t>
      </w:r>
      <w:r>
        <w:t xml:space="preserve"> </w:t>
      </w:r>
      <w:r>
        <w:t xml:space="preserve">: si les logs d’un serveur n’apparaissent pas dans Kibana malgré une configuration Filebeat apparemment correcte, vérifie que le service Filebeat est bien démarré sur ce serveur et que la connexion réseau vers Logstash (port 5044 par défaut) n’est pas bloquée par un pare-feu.</w:t>
      </w:r>
    </w:p>
    <w:bookmarkEnd w:id="1518"/>
    <w:bookmarkStart w:id="1519" w:name="erreurs-fréquentes-61"/>
    <w:p>
      <w:pPr>
        <w:pStyle w:val="Heading2"/>
      </w:pPr>
      <w:r>
        <w:t xml:space="preserve">Erreurs fréquentes</w:t>
      </w:r>
    </w:p>
    <w:p>
      <w:pPr>
        <w:pStyle w:val="FirstParagraph"/>
      </w:pPr>
      <w:r>
        <w:t xml:space="preserve">⚠️ Erreur n°1 — aucune politique de rétention des index Elasticsearch</w:t>
      </w:r>
      <w:r>
        <w:t xml:space="preserve"> </w:t>
      </w:r>
      <w:r>
        <w:t xml:space="preserve">Sans politique de rétention, les index Elasticsearch grossissent indéfiniment, consommant un espace disque croissant — le même risque de disque plein silencieux déjà rencontré au chapitre 58 et pour la rétention Prometheus au chapitre 60, appliqué ici au stockage des logs centralisés.</w:t>
      </w:r>
    </w:p>
    <w:p>
      <w:pPr>
        <w:pStyle w:val="BodyText"/>
      </w:pPr>
      <w:r>
        <w:t xml:space="preserve">⚠️ Erreur n°2 — des logs non structurés, difficiles à filtrer précisément</w:t>
      </w:r>
      <w:r>
        <w:t xml:space="preserve"> </w:t>
      </w:r>
      <w:r>
        <w:t xml:space="preserve">Un log envoyé sans transformation Logstash (section 62.4) reste une simple chaîne de texte brute, rendant les recherches précises (comme filtrer uniquement sur une adresse IP donnée) beaucoup plus difficiles qu’avec des champs structurés extraits à l’avance.</w:t>
      </w:r>
    </w:p>
    <w:p>
      <w:pPr>
        <w:pStyle w:val="BodyText"/>
      </w:pPr>
      <w:r>
        <w:t xml:space="preserve">⚠️ Erreur n°3 — des données sensibles journalisées en clair et centralisées sans protection</w:t>
      </w:r>
      <w:r>
        <w:t xml:space="preserve"> </w:t>
      </w:r>
      <w:r>
        <w:t xml:space="preserve">Centraliser des logs contenant, par erreur, des mots de passe ou d’autres données sensibles en clair concentre ce risque en un seul endroit particulièrement attractif pour un attaquant — la centralisation des logs ne dispense pas de la vigilance déjà recommandée ailleurs dans ce manuel sur le contenu journalisé lui-même.</w:t>
      </w:r>
    </w:p>
    <w:bookmarkEnd w:id="1519"/>
    <w:bookmarkStart w:id="1520" w:name="Xc8d0dd6b377dfe0a84a8481f529b59c346ee310"/>
    <w:p>
      <w:pPr>
        <w:pStyle w:val="Heading2"/>
      </w:pPr>
      <w:r>
        <w:t xml:space="preserve">Diagnostiquer des logs manquants pour un hôte donné</w:t>
      </w:r>
    </w:p>
    <w:p>
      <w:pPr>
        <w:pStyle w:val="FirstParagraph"/>
      </w:pPr>
      <w:r>
        <w:t xml:space="preserve">🩺 Symptôme : les logs d’un serveur spécifique n’apparaissent plus dans Kibana</w:t>
      </w:r>
    </w:p>
    <w:p>
      <w:pPr>
        <w:pStyle w:val="Compact"/>
        <w:numPr>
          <w:ilvl w:val="0"/>
          <w:numId w:val="2425"/>
        </w:numPr>
      </w:pPr>
      <w:r>
        <w:rPr>
          <w:b/>
          <w:bCs/>
        </w:rPr>
        <w:t xml:space="preserve">Diagnostic</w:t>
      </w:r>
      <w:r>
        <w:t xml:space="preserve"> </w:t>
      </w:r>
      <w:r>
        <w:t xml:space="preserve">: ce symptôme appartient à la même famille de diagnostic déjà rencontrée pour une cible Zabbix</w:t>
      </w:r>
      <w:r>
        <w:t xml:space="preserve"> </w:t>
      </w:r>
      <w:r>
        <w:t xml:space="preserve">“non disponible”</w:t>
      </w:r>
      <w:r>
        <w:t xml:space="preserve"> </w:t>
      </w:r>
      <w:r>
        <w:t xml:space="preserve">(section 59, diagnostic) ou une cible Prometheus</w:t>
      </w:r>
      <w:r>
        <w:t xml:space="preserve"> </w:t>
      </w:r>
      <w:r>
        <w:t xml:space="preserve">“down”</w:t>
      </w:r>
      <w:r>
        <w:t xml:space="preserve"> </w:t>
      </w:r>
      <w:r>
        <w:t xml:space="preserve">(section 60, diagnostic) — un agent local (ici Filebeat) qui ne transmet plus ses données.</w:t>
      </w:r>
    </w:p>
    <w:p>
      <w:pPr>
        <w:pStyle w:val="Compact"/>
        <w:numPr>
          <w:ilvl w:val="0"/>
          <w:numId w:val="2425"/>
        </w:numPr>
      </w:pPr>
      <w:r>
        <w:rPr>
          <w:b/>
          <w:bCs/>
        </w:rPr>
        <w:t xml:space="preserve">Comment vérifier</w:t>
      </w:r>
      <w:r>
        <w:t xml:space="preserve"> </w:t>
      </w:r>
      <w:r>
        <w:t xml:space="preserve">: vérifier que le service Filebeat est actif sur l’hôte concerné, et que la connexion réseau vers Logstash ou Elasticsearch reste fonctionnelle.</w:t>
      </w:r>
    </w:p>
    <w:p>
      <w:pPr>
        <w:pStyle w:val="Compact"/>
        <w:numPr>
          <w:ilvl w:val="0"/>
          <w:numId w:val="2425"/>
        </w:numPr>
      </w:pPr>
      <w:r>
        <w:rPr>
          <w:b/>
          <w:bCs/>
        </w:rPr>
        <w:t xml:space="preserve">Résolution</w:t>
      </w:r>
      <w:r>
        <w:t xml:space="preserve"> </w:t>
      </w:r>
      <w:r>
        <w:t xml:space="preserve">: redémarrer le service Filebeat si celui-ci s’est arrêté, ou corriger le blocage réseau identifié — la cause la plus fréquente reste un service arrêté après une mise à jour ou un redémarrage du serveur sans relance automatique configurée.</w:t>
      </w:r>
    </w:p>
    <w:bookmarkEnd w:id="1520"/>
    <w:bookmarkStart w:id="1521" w:name="en-entreprise-61"/>
    <w:p>
      <w:pPr>
        <w:pStyle w:val="Heading2"/>
      </w:pPr>
      <w:r>
        <w:t xml:space="preserve">En entreprise</w:t>
      </w:r>
    </w:p>
    <w:p>
      <w:pPr>
        <w:pStyle w:val="Compact"/>
        <w:numPr>
          <w:ilvl w:val="0"/>
          <w:numId w:val="2426"/>
        </w:numPr>
      </w:pPr>
      <w:r>
        <w:rPr>
          <w:b/>
          <w:bCs/>
        </w:rPr>
        <w:t xml:space="preserve">Bonne pratique répandue</w:t>
      </w:r>
      <w:r>
        <w:t xml:space="preserve"> </w:t>
      </w:r>
      <w:r>
        <w:t xml:space="preserve">: définir une politique de rétention explicite pour chaque index Elasticsearch, en fonction des besoins réels de conservation (souvent différenciés entre logs applicatifs courants et logs de sécurité, ces derniers nécessitant généralement une conservation plus longue pour des raisons de conformité).</w:t>
      </w:r>
    </w:p>
    <w:p>
      <w:pPr>
        <w:pStyle w:val="Compact"/>
        <w:numPr>
          <w:ilvl w:val="0"/>
          <w:numId w:val="2426"/>
        </w:numPr>
      </w:pPr>
      <w:r>
        <w:rPr>
          <w:b/>
          <w:bCs/>
        </w:rPr>
        <w:t xml:space="preserve">Bonne pratique répandue</w:t>
      </w:r>
      <w:r>
        <w:t xml:space="preserve"> </w:t>
      </w:r>
      <w:r>
        <w:t xml:space="preserve">: centraliser en priorité les logs de sécurité (authentification, pare-feu, accès administratifs) avant les logs applicatifs moins critiques, pour maximiser le bénéfice de la centralisation sur les cas d’usage les plus sensibles.</w:t>
      </w:r>
    </w:p>
    <w:p>
      <w:pPr>
        <w:pStyle w:val="Compact"/>
        <w:numPr>
          <w:ilvl w:val="0"/>
          <w:numId w:val="2426"/>
        </w:numPr>
      </w:pPr>
      <w:r>
        <w:rPr>
          <w:b/>
          <w:bCs/>
        </w:rPr>
        <w:t xml:space="preserve">Erreur classique observée</w:t>
      </w:r>
      <w:r>
        <w:t xml:space="preserve"> </w:t>
      </w:r>
      <w:r>
        <w:t xml:space="preserve">: une pile ELK déployée avec enthousiasme, puis dont personne ne configure d’alerte sur les recherches critiques (comme les tentatives de connexion échouées répétées) — la centralisation existe, mais reste purement passive, nécessitant qu’un humain pense à effectuer la recherche, plutôt que d’être notifié automatiquement.</w:t>
      </w:r>
    </w:p>
    <w:bookmarkEnd w:id="1521"/>
    <w:bookmarkStart w:id="1522" w:name="entretien-technique-61"/>
    <w:p>
      <w:pPr>
        <w:pStyle w:val="Heading2"/>
      </w:pPr>
      <w:r>
        <w:t xml:space="preserve">Entretien technique</w:t>
      </w:r>
    </w:p>
    <w:p>
      <w:pPr>
        <w:pStyle w:val="FirstParagraph"/>
      </w:pPr>
      <w:r>
        <w:t xml:space="preserve">💼 Questions fréquemment posées en entretien</w:t>
      </w:r>
    </w:p>
    <w:p>
      <w:pPr>
        <w:pStyle w:val="BodyText"/>
      </w:pPr>
      <w:r>
        <w:rPr>
          <w:b/>
          <w:bCs/>
        </w:rPr>
        <w:t xml:space="preserve">Q1.</w:t>
      </w:r>
      <w:r>
        <w:rPr>
          <w:b/>
          <w:bCs/>
        </w:rPr>
        <w:t xml:space="preserve"> </w:t>
      </w:r>
      <w:r>
        <w:rPr>
          <w:b/>
          <w:bCs/>
        </w:rPr>
        <w:t xml:space="preserve">“Quel est le rôle de chacun des trois composants de la pile ELK ?”</w:t>
      </w:r>
      <w:r>
        <w:t xml:space="preserve"> </w:t>
      </w:r>
      <w:r>
        <w:t xml:space="preserve">Réponse attendue : Elasticsearch stocke et indexe les logs pour une recherche rapide ; Logstash (ou Filebeat) collecte et transforme les logs à la source ; Kibana offre l’interface de recherche et de visualisation.</w:t>
      </w:r>
    </w:p>
    <w:p>
      <w:pPr>
        <w:pStyle w:val="BodyText"/>
      </w:pPr>
      <w:r>
        <w:rPr>
          <w:b/>
          <w:bCs/>
        </w:rPr>
        <w:t xml:space="preserve">Q2.</w:t>
      </w:r>
      <w:r>
        <w:rPr>
          <w:b/>
          <w:bCs/>
        </w:rPr>
        <w:t xml:space="preserve"> </w:t>
      </w:r>
      <w:r>
        <w:rPr>
          <w:b/>
          <w:bCs/>
        </w:rPr>
        <w:t xml:space="preserve">“Pourquoi centraliser les logs plutôt que de les laisser sur chaque serveur individuellement ?”</w:t>
      </w:r>
      <w:r>
        <w:t xml:space="preserve"> </w:t>
      </w:r>
      <w:r>
        <w:t xml:space="preserve">Réponse attendue : une recherche portant sur l’ensemble du parc devient une seule requête plutôt qu’une inspection manuelle serveur par serveur, un gain de temps critique notamment lors d’un incident de sécurité où la rapidité de compréhension de l’ampleur du problème est essentielle.</w:t>
      </w:r>
    </w:p>
    <w:p>
      <w:pPr>
        <w:pStyle w:val="BodyText"/>
      </w:pPr>
      <w:r>
        <w:rPr>
          <w:b/>
          <w:bCs/>
        </w:rPr>
        <w:t xml:space="preserve">Q3.</w:t>
      </w:r>
      <w:r>
        <w:rPr>
          <w:b/>
          <w:bCs/>
        </w:rPr>
        <w:t xml:space="preserve"> </w:t>
      </w:r>
      <w:r>
        <w:rPr>
          <w:b/>
          <w:bCs/>
        </w:rPr>
        <w:t xml:space="preserve">“Quelle est la différence entre Filebeat et Logstash ?”</w:t>
      </w:r>
      <w:r>
        <w:t xml:space="preserve"> </w:t>
      </w:r>
      <w:r>
        <w:t xml:space="preserve">Réponse attendue : Filebeat est un agent léger dont le seul rôle est de transmettre les logs bruts, comparable à un agent Zabbix ou un exporter Prometheus ; Logstash effectue des transformations plus lourdes (extraction de champs, enrichissement) avant l’indexation.</w:t>
      </w:r>
    </w:p>
    <w:bookmarkEnd w:id="1522"/>
    <w:bookmarkStart w:id="1523" w:name="Xb0830aaff421464e3c20645c9db3b673b73df04"/>
    <w:p>
      <w:pPr>
        <w:pStyle w:val="Heading2"/>
      </w:pPr>
      <w:r>
        <w:t xml:space="preserve">Optimisation, sécurité et maintenabilité — les réflexes dès ce chapitre</w:t>
      </w:r>
    </w:p>
    <w:p>
      <w:pPr>
        <w:pStyle w:val="FirstParagraph"/>
      </w:pPr>
      <w:r>
        <w:t xml:space="preserve">🔒 Sécurité</w:t>
      </w:r>
      <w:r>
        <w:t xml:space="preserve"> </w:t>
      </w:r>
      <w:r>
        <w:t xml:space="preserve">Ne journalise jamais de mot de passe ou de donnée sensible en clair — la centralisation des logs concentre ce risque en un seul endroit particulièrement attractif pour un attaquant, plutôt que de le disperser à travers plusieurs serveurs isolés.</w:t>
      </w:r>
    </w:p>
    <w:p>
      <w:pPr>
        <w:pStyle w:val="BodyText"/>
      </w:pPr>
      <w:r>
        <w:t xml:space="preserve">✅ Maintenabilité</w:t>
      </w:r>
      <w:r>
        <w:t xml:space="preserve"> </w:t>
      </w:r>
      <w:r>
        <w:t xml:space="preserve">Définis une politique de rétention explicite dès la mise en place de la pile ELK, plutôt que de laisser les index grossir indéfiniment jusqu’à provoquer un problème d’espace disque.</w:t>
      </w:r>
    </w:p>
    <w:p>
      <w:pPr>
        <w:pStyle w:val="BodyText"/>
      </w:pPr>
      <w:r>
        <w:t xml:space="preserve">🚀 Performance</w:t>
      </w:r>
      <w:r>
        <w:t xml:space="preserve"> </w:t>
      </w:r>
      <w:r>
        <w:t xml:space="preserve">Une extraction de champs structurés via Logstash (section 62.4), bien que plus coûteuse à configurer initialement, rend les recherches ultérieures dans Kibana significativement plus rapides et précises qu’une recherche en texte libre sur des logs non structurés.</w:t>
      </w:r>
    </w:p>
    <w:bookmarkEnd w:id="1523"/>
    <w:bookmarkStart w:id="1524" w:name="résumé-du-chapitre-61"/>
    <w:p>
      <w:pPr>
        <w:pStyle w:val="Heading2"/>
      </w:pPr>
      <w:r>
        <w:t xml:space="preserve">Résumé du chapitre</w:t>
      </w:r>
    </w:p>
    <w:p>
      <w:pPr>
        <w:pStyle w:val="Compact"/>
        <w:numPr>
          <w:ilvl w:val="0"/>
          <w:numId w:val="2427"/>
        </w:numPr>
      </w:pPr>
      <w:r>
        <w:t xml:space="preserve">Sans centralisation, rechercher un événement à travers plusieurs serveurs nécessite une inspection manuelle lente et fastidieuse, particulièrement problématique lors d’un incident de sécurité.</w:t>
      </w:r>
    </w:p>
    <w:p>
      <w:pPr>
        <w:pStyle w:val="Compact"/>
        <w:numPr>
          <w:ilvl w:val="0"/>
          <w:numId w:val="2427"/>
        </w:numPr>
      </w:pPr>
      <w:r>
        <w:t xml:space="preserve">La pile ELK combine trois composants complémentaires : Elasticsearch (stockage indexé), Logstash (collecte et transformation), Kibana (recherche et visualisation).</w:t>
      </w:r>
    </w:p>
    <w:p>
      <w:pPr>
        <w:pStyle w:val="Compact"/>
        <w:numPr>
          <w:ilvl w:val="0"/>
          <w:numId w:val="2427"/>
        </w:numPr>
      </w:pPr>
      <w:r>
        <w:t xml:space="preserve">Filebeat, un agent léger comparable à un agent Zabbix ou un exporter Prometheus, transmet les logs bruts depuis chaque serveur.</w:t>
      </w:r>
    </w:p>
    <w:p>
      <w:pPr>
        <w:pStyle w:val="Compact"/>
        <w:numPr>
          <w:ilvl w:val="0"/>
          <w:numId w:val="2427"/>
        </w:numPr>
      </w:pPr>
      <w:r>
        <w:t xml:space="preserve">Une recherche centralisée transforme une investigation qui prendrait une heure en une opération de quelques secondes.</w:t>
      </w:r>
    </w:p>
    <w:p>
      <w:pPr>
        <w:pStyle w:val="Compact"/>
        <w:numPr>
          <w:ilvl w:val="0"/>
          <w:numId w:val="2427"/>
        </w:numPr>
      </w:pPr>
      <w:r>
        <w:t xml:space="preserve">Une politique de rétention explicite reste indispensable pour éviter que les index ne grossissent indéfiniment.</w:t>
      </w:r>
    </w:p>
    <w:p>
      <w:pPr>
        <w:pStyle w:val="Compact"/>
        <w:numPr>
          <w:ilvl w:val="0"/>
          <w:numId w:val="2427"/>
        </w:numPr>
      </w:pPr>
      <w:r>
        <w:t xml:space="preserve">La centralisation des logs ne dispense pas de la vigilance sur leur contenu — aucune donnée sensible ne devrait jamais y être journalisée en clair.</w:t>
      </w:r>
    </w:p>
    <w:bookmarkEnd w:id="1524"/>
    <w:bookmarkStart w:id="1525" w:name="quiz-61"/>
    <w:p>
      <w:pPr>
        <w:pStyle w:val="Heading2"/>
      </w:pPr>
      <w:r>
        <w:t xml:space="preserve">Quiz</w:t>
      </w:r>
    </w:p>
    <w:p>
      <w:pPr>
        <w:pStyle w:val="FirstParagraph"/>
      </w:pPr>
      <w:r>
        <w:t xml:space="preserve">📝 QCM (une seule bonne réponse par question)</w:t>
      </w:r>
    </w:p>
    <w:p>
      <w:pPr>
        <w:pStyle w:val="Compact"/>
        <w:numPr>
          <w:ilvl w:val="0"/>
          <w:numId w:val="2428"/>
        </w:numPr>
      </w:pPr>
      <w:r>
        <w:t xml:space="preserve">Dans la pile ELK, le composant responsable du stockage indexé des logs est :</w:t>
      </w:r>
    </w:p>
    <w:p>
      <w:pPr>
        <w:pStyle w:val="Compact"/>
        <w:numPr>
          <w:ilvl w:val="1"/>
          <w:numId w:val="2429"/>
        </w:numPr>
      </w:pPr>
    </w:p>
    <w:p>
      <w:pPr>
        <w:pStyle w:val="Compact"/>
        <w:numPr>
          <w:ilvl w:val="2"/>
          <w:numId w:val="2430"/>
        </w:numPr>
      </w:pPr>
      <w:r>
        <w:t xml:space="preserve">Kibana</w:t>
      </w:r>
    </w:p>
    <w:p>
      <w:pPr>
        <w:pStyle w:val="Compact"/>
        <w:numPr>
          <w:ilvl w:val="1"/>
          <w:numId w:val="2429"/>
        </w:numPr>
      </w:pPr>
    </w:p>
    <w:p>
      <w:pPr>
        <w:pStyle w:val="Compact"/>
        <w:numPr>
          <w:ilvl w:val="2"/>
          <w:numId w:val="2431"/>
        </w:numPr>
      </w:pPr>
      <w:r>
        <w:t xml:space="preserve">Elasticsearch</w:t>
      </w:r>
    </w:p>
    <w:p>
      <w:pPr>
        <w:pStyle w:val="Compact"/>
        <w:numPr>
          <w:ilvl w:val="1"/>
          <w:numId w:val="2429"/>
        </w:numPr>
      </w:pPr>
    </w:p>
    <w:p>
      <w:pPr>
        <w:pStyle w:val="Compact"/>
        <w:numPr>
          <w:ilvl w:val="2"/>
          <w:numId w:val="2432"/>
        </w:numPr>
      </w:pPr>
      <w:r>
        <w:t xml:space="preserve">Filebeat</w:t>
      </w:r>
    </w:p>
    <w:p>
      <w:pPr>
        <w:pStyle w:val="Compact"/>
        <w:numPr>
          <w:ilvl w:val="1"/>
          <w:numId w:val="2429"/>
        </w:numPr>
      </w:pPr>
    </w:p>
    <w:p>
      <w:pPr>
        <w:pStyle w:val="Compact"/>
        <w:numPr>
          <w:ilvl w:val="2"/>
          <w:numId w:val="2433"/>
        </w:numPr>
      </w:pPr>
      <w:r>
        <w:t xml:space="preserve">Grafana</w:t>
      </w:r>
    </w:p>
    <w:p>
      <w:pPr>
        <w:pStyle w:val="Compact"/>
        <w:numPr>
          <w:ilvl w:val="0"/>
          <w:numId w:val="2428"/>
        </w:numPr>
      </w:pPr>
      <w:r>
        <w:t xml:space="preserve">Filebeat est comparable, par son rôle, à :</w:t>
      </w:r>
    </w:p>
    <w:p>
      <w:pPr>
        <w:pStyle w:val="Compact"/>
        <w:numPr>
          <w:ilvl w:val="1"/>
          <w:numId w:val="2434"/>
        </w:numPr>
      </w:pPr>
    </w:p>
    <w:p>
      <w:pPr>
        <w:pStyle w:val="Compact"/>
        <w:numPr>
          <w:ilvl w:val="2"/>
          <w:numId w:val="2435"/>
        </w:numPr>
      </w:pPr>
      <w:r>
        <w:t xml:space="preserve">Un tableau de bord Grafana</w:t>
      </w:r>
    </w:p>
    <w:p>
      <w:pPr>
        <w:pStyle w:val="Compact"/>
        <w:numPr>
          <w:ilvl w:val="1"/>
          <w:numId w:val="2434"/>
        </w:numPr>
      </w:pPr>
    </w:p>
    <w:p>
      <w:pPr>
        <w:pStyle w:val="Compact"/>
        <w:numPr>
          <w:ilvl w:val="2"/>
          <w:numId w:val="2436"/>
        </w:numPr>
      </w:pPr>
      <w:r>
        <w:t xml:space="preserve">Un agent léger comme un agent Zabbix ou un exporter Prometheus</w:t>
      </w:r>
    </w:p>
    <w:p>
      <w:pPr>
        <w:pStyle w:val="Compact"/>
        <w:numPr>
          <w:ilvl w:val="1"/>
          <w:numId w:val="2434"/>
        </w:numPr>
      </w:pPr>
    </w:p>
    <w:p>
      <w:pPr>
        <w:pStyle w:val="Compact"/>
        <w:numPr>
          <w:ilvl w:val="2"/>
          <w:numId w:val="2437"/>
        </w:numPr>
      </w:pPr>
      <w:r>
        <w:t xml:space="preserve">Un pipeline Jenkins</w:t>
      </w:r>
    </w:p>
    <w:p>
      <w:pPr>
        <w:pStyle w:val="Compact"/>
        <w:numPr>
          <w:ilvl w:val="1"/>
          <w:numId w:val="2434"/>
        </w:numPr>
      </w:pPr>
    </w:p>
    <w:p>
      <w:pPr>
        <w:pStyle w:val="Compact"/>
        <w:numPr>
          <w:ilvl w:val="2"/>
          <w:numId w:val="2438"/>
        </w:numPr>
      </w:pPr>
      <w:r>
        <w:t xml:space="preserve">Une base de données relationnelle</w:t>
      </w:r>
    </w:p>
    <w:p>
      <w:pPr>
        <w:pStyle w:val="Compact"/>
        <w:numPr>
          <w:ilvl w:val="0"/>
          <w:numId w:val="2428"/>
        </w:numPr>
      </w:pPr>
      <w:r>
        <w:t xml:space="preserve">Le principal bénéfice de la centralisation des logs illustré par le scénario d’ouverture est :</w:t>
      </w:r>
    </w:p>
    <w:p>
      <w:pPr>
        <w:pStyle w:val="Compact"/>
        <w:numPr>
          <w:ilvl w:val="1"/>
          <w:numId w:val="2439"/>
        </w:numPr>
      </w:pPr>
    </w:p>
    <w:p>
      <w:pPr>
        <w:pStyle w:val="Compact"/>
        <w:numPr>
          <w:ilvl w:val="2"/>
          <w:numId w:val="2440"/>
        </w:numPr>
      </w:pPr>
      <w:r>
        <w:t xml:space="preserve">La réduction du coût de stockage</w:t>
      </w:r>
    </w:p>
    <w:p>
      <w:pPr>
        <w:pStyle w:val="Compact"/>
        <w:numPr>
          <w:ilvl w:val="1"/>
          <w:numId w:val="2439"/>
        </w:numPr>
      </w:pPr>
    </w:p>
    <w:p>
      <w:pPr>
        <w:pStyle w:val="Compact"/>
        <w:numPr>
          <w:ilvl w:val="2"/>
          <w:numId w:val="2441"/>
        </w:numPr>
      </w:pPr>
      <w:r>
        <w:t xml:space="preserve">La possibilité de rechercher un événement sur l’ensemble du parc en une seule requête</w:t>
      </w:r>
    </w:p>
    <w:p>
      <w:pPr>
        <w:pStyle w:val="Compact"/>
        <w:numPr>
          <w:ilvl w:val="1"/>
          <w:numId w:val="2439"/>
        </w:numPr>
      </w:pPr>
    </w:p>
    <w:p>
      <w:pPr>
        <w:pStyle w:val="Compact"/>
        <w:numPr>
          <w:ilvl w:val="2"/>
          <w:numId w:val="2442"/>
        </w:numPr>
      </w:pPr>
      <w:r>
        <w:t xml:space="preserve">Le remplacement complet du besoin de Zabbix</w:t>
      </w:r>
    </w:p>
    <w:p>
      <w:pPr>
        <w:pStyle w:val="Compact"/>
        <w:numPr>
          <w:ilvl w:val="1"/>
          <w:numId w:val="2439"/>
        </w:numPr>
      </w:pPr>
    </w:p>
    <w:p>
      <w:pPr>
        <w:pStyle w:val="Compact"/>
        <w:numPr>
          <w:ilvl w:val="2"/>
          <w:numId w:val="2443"/>
        </w:numPr>
      </w:pPr>
      <w:r>
        <w:t xml:space="preserve">Le chiffrement automatique des données sensibles</w:t>
      </w:r>
    </w:p>
    <w:p>
      <w:pPr>
        <w:pStyle w:val="FirstParagraph"/>
      </w:pPr>
      <w:r>
        <w:rPr>
          <w:b/>
          <w:bCs/>
        </w:rPr>
        <w:t xml:space="preserve">Corrigé</w:t>
      </w:r>
      <w:r>
        <w:t xml:space="preserve"> </w:t>
      </w:r>
      <w:r>
        <w:t xml:space="preserve">: 1-b, 2-b, 3-b.</w:t>
      </w:r>
    </w:p>
    <w:p>
      <w:pPr>
        <w:pStyle w:val="BodyText"/>
      </w:pPr>
      <w:r>
        <w:t xml:space="preserve">📝 Vrai ou Faux</w:t>
      </w:r>
    </w:p>
    <w:p>
      <w:pPr>
        <w:pStyle w:val="Compact"/>
        <w:numPr>
          <w:ilvl w:val="0"/>
          <w:numId w:val="2444"/>
        </w:numPr>
      </w:pPr>
      <w:r>
        <w:t xml:space="preserve">Sans centralisation, une recherche d’événement à travers plusieurs serveurs nécessite généralement une inspection manuelle serveur par serveur. —</w:t>
      </w:r>
      <w:r>
        <w:t xml:space="preserve"> </w:t>
      </w:r>
      <w:r>
        <w:rPr>
          <w:b/>
          <w:bCs/>
        </w:rPr>
        <w:t xml:space="preserve">Vrai</w:t>
      </w:r>
      <w:r>
        <w:t xml:space="preserve">.</w:t>
      </w:r>
    </w:p>
    <w:p>
      <w:pPr>
        <w:pStyle w:val="Compact"/>
        <w:numPr>
          <w:ilvl w:val="0"/>
          <w:numId w:val="2444"/>
        </w:numPr>
      </w:pPr>
      <w:r>
        <w:t xml:space="preserve">Logstash et le pipeline Jenkins du chapitre 56 désignent exactement le même concept technique. —</w:t>
      </w:r>
      <w:r>
        <w:t xml:space="preserve"> </w:t>
      </w:r>
      <w:r>
        <w:rPr>
          <w:b/>
          <w:bCs/>
        </w:rPr>
        <w:t xml:space="preserve">Faux</w:t>
      </w:r>
      <w:r>
        <w:t xml:space="preserve"> </w:t>
      </w:r>
      <w:r>
        <w:t xml:space="preserve">(même mot, deux contextes distincts, section 62.4).</w:t>
      </w:r>
    </w:p>
    <w:p>
      <w:pPr>
        <w:pStyle w:val="Compact"/>
        <w:numPr>
          <w:ilvl w:val="0"/>
          <w:numId w:val="2444"/>
        </w:numPr>
      </w:pPr>
      <w:r>
        <w:t xml:space="preserve">Une politique de rétention n’est pas nécessaire pour Elasticsearch, contrairement à Prometheus. —</w:t>
      </w:r>
      <w:r>
        <w:t xml:space="preserve"> </w:t>
      </w:r>
      <w:r>
        <w:rPr>
          <w:b/>
          <w:bCs/>
        </w:rPr>
        <w:t xml:space="preserve">Faux</w:t>
      </w:r>
      <w:r>
        <w:t xml:space="preserve"> </w:t>
      </w:r>
      <w:r>
        <w:t xml:space="preserve">(le même risque s’applique, section</w:t>
      </w:r>
      <w:r>
        <w:t xml:space="preserve"> </w:t>
      </w:r>
      <w:r>
        <w:t xml:space="preserve">“Erreur n°1”</w:t>
      </w:r>
      <w:r>
        <w:t xml:space="preserve">).</w:t>
      </w:r>
    </w:p>
    <w:p>
      <w:pPr>
        <w:pStyle w:val="Compact"/>
        <w:numPr>
          <w:ilvl w:val="0"/>
          <w:numId w:val="2444"/>
        </w:numPr>
      </w:pPr>
      <w:r>
        <w:t xml:space="preserve">Il est acceptable de journaliser un mot de passe en clair tant que les logs restent centralisés et sécurisés. —</w:t>
      </w:r>
      <w:r>
        <w:t xml:space="preserve"> </w:t>
      </w:r>
      <w:r>
        <w:rPr>
          <w:b/>
          <w:bCs/>
        </w:rPr>
        <w:t xml:space="preserve">Faux</w:t>
      </w:r>
      <w:r>
        <w:t xml:space="preserve"> </w:t>
      </w:r>
      <w:r>
        <w:t xml:space="preserve">(section</w:t>
      </w:r>
      <w:r>
        <w:t xml:space="preserve"> </w:t>
      </w:r>
      <w:r>
        <w:t xml:space="preserve">“Erreur n°3”</w:t>
      </w:r>
      <w:r>
        <w:t xml:space="preserve">).</w:t>
      </w:r>
    </w:p>
    <w:p>
      <w:pPr>
        <w:pStyle w:val="FirstParagraph"/>
      </w:pPr>
      <w:r>
        <w:t xml:space="preserve">📝 Questions ouvertes</w:t>
      </w:r>
    </w:p>
    <w:p>
      <w:pPr>
        <w:pStyle w:val="Compact"/>
        <w:numPr>
          <w:ilvl w:val="0"/>
          <w:numId w:val="2445"/>
        </w:numPr>
      </w:pPr>
      <w:r>
        <w:t xml:space="preserve">Explique pourquoi la centralisation des logs était particulièrement critique dans le contexte précis du scénario d’ouverture (un incident de sécurité potentiellement en cours), au-delà du simple confort d’usage quotidien.</w:t>
      </w:r>
    </w:p>
    <w:p>
      <w:pPr>
        <w:pStyle w:val="Compact"/>
        <w:numPr>
          <w:ilvl w:val="0"/>
          <w:numId w:val="2445"/>
        </w:numPr>
      </w:pPr>
      <w:r>
        <w:t xml:space="preserve">Compare le rôle de Filebeat à celui d’un agent Zabbix (section 59.3) et d’un exporter Prometheus (section 60.3) — pourquoi ce schéma d’agent léger revient-il systématiquement dans les outils de supervision et de centralisation présentés dans cette partie du manuel ?</w:t>
      </w:r>
    </w:p>
    <w:p>
      <w:pPr>
        <w:pStyle w:val="FirstParagraph"/>
      </w:pPr>
      <w:r>
        <w:rPr>
          <w:b/>
          <w:bCs/>
        </w:rPr>
        <w:t xml:space="preserve">Corrigé 1</w:t>
      </w:r>
      <w:r>
        <w:t xml:space="preserve"> </w:t>
      </w:r>
      <w:r>
        <w:t xml:space="preserve">: lors d’un incident de sécurité potentiellement en cours, chaque minute passée à rassembler l’information retarde d’autant la compréhension de l’ampleur réelle du problème et la décision d’une réponse appropriée. Une méthode manuelle, nécessitant de se connecter successivement à chaque serveur, introduit un délai directement proportionnel au nombre de serveurs du parc — un délai qui grandit avec la taille de l’infrastructure, au moment précis où la rapidité compte le plus. La centralisation élimine ce délai en rendant la recherche instantanée sur l’ensemble du parc simultanément, une différence qui peut avoir un impact réel sur la capacité de l’équipe à contenir un incident avant qu’il ne s’aggrave.</w:t>
      </w:r>
    </w:p>
    <w:p>
      <w:pPr>
        <w:pStyle w:val="BodyText"/>
      </w:pPr>
      <w:r>
        <w:rPr>
          <w:b/>
          <w:bCs/>
        </w:rPr>
        <w:t xml:space="preserve">Corrigé 2</w:t>
      </w:r>
      <w:r>
        <w:t xml:space="preserve"> </w:t>
      </w:r>
      <w:r>
        <w:t xml:space="preserve">: les trois — Filebeat, l’agent Zabbix et l’exporter Prometheus — partagent la même philosophie architecturale : un composant local minimal, à faible impact sur le système surveillé, dont la seule responsabilité est de transmettre fidèlement des données brutes vers un système central plus riche en fonctionnalités (traitement, indexation, alerting). Ce schéma revient systématiquement parce qu’il répond au même besoin structurel : éviter de charger chaque serveur individuel d’une logique complexe de traitement ou de stockage, en la concentrant plutôt dans un composant central unique, plus facile à maintenir, à mettre à jour et à faire évoluer qu’une multitude d’agents dispersés.</w:t>
      </w:r>
    </w:p>
    <w:bookmarkEnd w:id="1525"/>
    <w:bookmarkStart w:id="1526" w:name="exercices-61"/>
    <w:p>
      <w:pPr>
        <w:pStyle w:val="Heading2"/>
      </w:pPr>
      <w:r>
        <w:t xml:space="preserve">Exercices</w:t>
      </w:r>
    </w:p>
    <w:p>
      <w:pPr>
        <w:pStyle w:val="FirstParagraph"/>
      </w:pPr>
      <w:r>
        <w:t xml:space="preserve">📝 Exercice 62.1</w:t>
      </w:r>
    </w:p>
    <w:p>
      <w:pPr>
        <w:pStyle w:val="BodyText"/>
      </w:pPr>
      <w:r>
        <w:t xml:space="preserve">Propose une politique de rétention différenciée pour deux catégories de logs centralisés dans Elasticsearch : les logs applicatifs courants du portail client, et les logs d’authentification et d’accès administratif.</w:t>
      </w:r>
    </w:p>
    <w:p>
      <w:pPr>
        <w:pStyle w:val="BodyText"/>
      </w:pPr>
      <w:r>
        <w:rPr>
          <w:b/>
          <w:bCs/>
        </w:rPr>
        <w:t xml:space="preserve">Corrigé :</w:t>
      </w:r>
      <w:r>
        <w:t xml:space="preserve"> </w:t>
      </w:r>
      <w:r>
        <w:t xml:space="preserve">Les logs applicatifs courants du portail (accès normaux, requêtes standards) pourraient être conservés pendant une durée relativement courte, par exemple 30 jours, suffisante pour le diagnostic technique courant sans nécessiter un stockage prolongé pour des données à faible valeur d’investigation à long terme. Les logs d’authentification et d’accès administratif, en revanche, mériteraient une rétention nettement plus longue, par exemple 12 mois ou plus selon les exigences de conformité applicables, car ils constituent une source d’information critique en cas d’investigation de sécurité rétrospective — un incident découvert plusieurs mois après les faits nécessiterait de pouvoir encore consulter ces journaux. Cette différenciation reflète le même principe déjà appliqué à la criticité des sauvegardes (chapitre 27) : le niveau de protection et de conservation doit être proportionnel à la valeur et à la sensibilité réelle de la donnée concernée.</w:t>
      </w:r>
    </w:p>
    <w:p>
      <w:pPr>
        <w:pStyle w:val="BodyText"/>
      </w:pPr>
      <w:r>
        <w:t xml:space="preserve">📝 Exercice 62.2</w:t>
      </w:r>
    </w:p>
    <w:p>
      <w:pPr>
        <w:pStyle w:val="BodyText"/>
      </w:pPr>
      <w:r>
        <w:t xml:space="preserve">Rédige, en 3 à 5 phrases, une règle d’équipe garantissant qu’aucune donnée sensible n’est journalisée en clair avant sa centralisation dans Elasticsearch, en t’appuyant sur le risque décrit à la section</w:t>
      </w:r>
      <w:r>
        <w:t xml:space="preserve"> </w:t>
      </w:r>
      <w:r>
        <w:t xml:space="preserve">“Erreur n°3”</w:t>
      </w:r>
      <w:r>
        <w:t xml:space="preserve">.</w:t>
      </w:r>
    </w:p>
    <w:p>
      <w:pPr>
        <w:pStyle w:val="BodyText"/>
      </w:pPr>
      <w:r>
        <w:rPr>
          <w:b/>
          <w:bCs/>
        </w:rPr>
        <w:t xml:space="preserve">Corrigé (exemple de réponse) :</w:t>
      </w:r>
      <w:r>
        <w:t xml:space="preserve"> </w:t>
      </w:r>
      <w:r>
        <w:t xml:space="preserve">Toute application déployée dans l’infrastructure devra faire l’objet d’une revue explicite de ses journaux avant sa mise en production, vérifiant qu’aucun mot de passe, jeton d’authentification ou autre donnée sensible n’apparaît en clair dans les lignes de logs générées. Cette revue s’ajoutera aux vérifications déjà réalisées lors de l’analyse de sécurité du pipeline DevSecOps (chapitre 57), plutôt que de constituer une étape totalement séparée. Toute donnée sensible détectée dans un journal existant sera considérée comme un incident de sécurité à corriger en priorité, et non comme un simple défaut esthétique à traiter ultérieurement, compte tenu du risque de concentration que représente la centralisation de ces logs dans un système unique.</w:t>
      </w:r>
    </w:p>
    <w:bookmarkEnd w:id="1526"/>
    <w:bookmarkStart w:id="1527" w:name="checklist-de-fin-de-chapitre-61"/>
    <w:p>
      <w:pPr>
        <w:pStyle w:val="Heading2"/>
      </w:pPr>
      <w:r>
        <w:t xml:space="preserve">Checklist de fin de chapitre</w:t>
      </w:r>
    </w:p>
    <w:p>
      <w:pPr>
        <w:pStyle w:val="FirstParagraph"/>
      </w:pPr>
      <w:r>
        <w:t xml:space="preserve">☐ Je comprends pourquoi la centralisation des logs est particulièrement critique lors d’un incident de sécurité.</w:t>
      </w:r>
    </w:p>
    <w:p>
      <w:pPr>
        <w:pStyle w:val="BodyText"/>
      </w:pPr>
      <w:r>
        <w:t xml:space="preserve">☐ Je sais distinguer le rôle d’Elasticsearch, de Logstash et de Kibana.</w:t>
      </w:r>
    </w:p>
    <w:p>
      <w:pPr>
        <w:pStyle w:val="BodyText"/>
      </w:pPr>
      <w:r>
        <w:t xml:space="preserve">☐ Je comprends pourquoi Filebeat suit le même schéma d’agent léger qu’un agent Zabbix ou un exporter Prometheus.</w:t>
      </w:r>
    </w:p>
    <w:p>
      <w:pPr>
        <w:pStyle w:val="BodyText"/>
      </w:pPr>
      <w:r>
        <w:t xml:space="preserve">☐ Je sais rechercher un événement précis à travers plusieurs hôtes dans Kibana.</w:t>
      </w:r>
    </w:p>
    <w:p>
      <w:pPr>
        <w:pStyle w:val="BodyText"/>
      </w:pPr>
      <w:r>
        <w:t xml:space="preserve">☐ Je sais pourquoi une politique de rétention explicite reste indispensable pour Elasticsearch.</w:t>
      </w:r>
    </w:p>
    <w:p>
      <w:pPr>
        <w:pStyle w:val="BodyText"/>
      </w:pPr>
      <w:r>
        <w:t xml:space="preserve">☐ Je comprends pourquoi aucune donnée sensible ne devrait jamais être journalisée en clair.</w:t>
      </w:r>
    </w:p>
    <w:bookmarkEnd w:id="1527"/>
    <w:bookmarkStart w:id="1528" w:name="faq-61"/>
    <w:p>
      <w:pPr>
        <w:pStyle w:val="Heading2"/>
      </w:pPr>
      <w:r>
        <w:t xml:space="preserve">FAQ</w:t>
      </w:r>
    </w:p>
    <w:p>
      <w:pPr>
        <w:pStyle w:val="FirstParagraph"/>
      </w:pPr>
      <w:r>
        <w:t xml:space="preserve">Faut-il toujours utiliser Logstash, ou Filebeat seul suffit-il ?</w:t>
      </w:r>
    </w:p>
    <w:p>
      <w:pPr>
        <w:pStyle w:val="BodyText"/>
      </w:pPr>
      <w:r>
        <w:t xml:space="preserve">Filebeat seul, envoyant directement vers Elasticsearch, suffit pour des besoins simples sans transformation complexe des logs ; Logstash devient pertinent dès que des transformations plus riches (extraction de champs, enrichissement) sont nécessaires avant l’indexation.</w:t>
      </w:r>
    </w:p>
    <w:p>
      <w:pPr>
        <w:pStyle w:val="BodyText"/>
      </w:pPr>
      <w:r>
        <w:t xml:space="preserve">La pile ELK remplace-t-elle le besoin de Prometheus et Zabbix ?</w:t>
      </w:r>
    </w:p>
    <w:p>
      <w:pPr>
        <w:pStyle w:val="BodyText"/>
      </w:pPr>
      <w:r>
        <w:t xml:space="preserve">Non, chacun couvre un pilier différent de l’observabilité déjà introduit au chapitre 58 — Zabbix et Prometheus se concentrent sur les métriques, la pile ELK se concentre sur les logs ; les trois se complètent au sein d’une stratégie d’observabilité complète, chacun connectable à Grafana pour une visualisation combinée.</w:t>
      </w:r>
    </w:p>
    <w:p>
      <w:pPr>
        <w:pStyle w:val="BodyText"/>
      </w:pPr>
      <w:r>
        <w:t xml:space="preserve">Combien de temps faut-il pour centraliser les logs de l’ensemble d’un parc de dix serveurs ?</w:t>
      </w:r>
    </w:p>
    <w:p>
      <w:pPr>
        <w:pStyle w:val="BodyText"/>
      </w:pPr>
      <w:r>
        <w:t xml:space="preserve">L’installation de Filebeat sur chaque serveur reste rapide individuellement, mais la définition d’une structure de logs cohérente et d’une politique de rétention réfléchie prend davantage de temps — une centralisation progressive, en commençant par les serveurs les plus critiques, reste plus réaliste qu’une bascule totale immédiate.</w:t>
      </w:r>
    </w:p>
    <w:p>
      <w:pPr>
        <w:pStyle w:val="BodyText"/>
      </w:pPr>
      <w:r>
        <w:t xml:space="preserve">Existe-t-il des alternatives à la pile ELK ?</w:t>
      </w:r>
    </w:p>
    <w:p>
      <w:pPr>
        <w:pStyle w:val="BodyText"/>
      </w:pPr>
      <w:r>
        <w:t xml:space="preserve">Oui, plusieurs alternatives existent, dont Graylog, présenté au chapitre suivant, qui répond à un besoin similaire de centralisation des logs avec une approche et une complexité opérationnelle différentes.</w:t>
      </w:r>
    </w:p>
    <w:bookmarkEnd w:id="1528"/>
    <w:bookmarkStart w:id="1531" w:name="références-et-pour-aller-plus-loin-61"/>
    <w:p>
      <w:pPr>
        <w:pStyle w:val="Heading2"/>
      </w:pPr>
      <w:r>
        <w:t xml:space="preserve">Références et pour aller plus loin</w:t>
      </w:r>
    </w:p>
    <w:p>
      <w:pPr>
        <w:pStyle w:val="Compact"/>
        <w:numPr>
          <w:ilvl w:val="0"/>
          <w:numId w:val="2446"/>
        </w:numPr>
      </w:pPr>
      <w:r>
        <w:t xml:space="preserve">Documentation officielle Elastic (Elasticsearch, Logstash, Kibana, Filebeat) :</w:t>
      </w:r>
      <w:r>
        <w:t xml:space="preserve"> </w:t>
      </w:r>
      <w:hyperlink r:id="rId1529">
        <w:r>
          <w:rPr>
            <w:rStyle w:val="Hyperlink"/>
          </w:rPr>
          <w:t xml:space="preserve">https://www.elastic.co/guide/index.html</w:t>
        </w:r>
      </w:hyperlink>
    </w:p>
    <w:p>
      <w:pPr>
        <w:pStyle w:val="Compact"/>
        <w:numPr>
          <w:ilvl w:val="0"/>
          <w:numId w:val="2446"/>
        </w:numPr>
      </w:pPr>
      <w:r>
        <w:t xml:space="preserve">Elastic — Guide de gestion du cycle de vie des index (ILM) :</w:t>
      </w:r>
      <w:r>
        <w:t xml:space="preserve"> </w:t>
      </w:r>
      <w:hyperlink r:id="rId1530">
        <w:r>
          <w:rPr>
            <w:rStyle w:val="Hyperlink"/>
          </w:rPr>
          <w:t xml:space="preserve">https://www.elastic.co/guide/en/elasticsearch/reference/current/index-lifecycle-management.html</w:t>
        </w:r>
      </w:hyperlink>
    </w:p>
    <w:p>
      <w:pPr>
        <w:pStyle w:val="FirstParagraph"/>
      </w:pPr>
      <w:r>
        <w:rPr>
          <w:i/>
          <w:iCs/>
        </w:rPr>
        <w:t xml:space="preserve">Chapitre suivant : Graylog et Syslog centralisé — une approche alternative et souvent plus simple à opérer pour la centralisation des logs, particulièrement répandue pour la collecte des journaux d’équipements réseau.</w:t>
      </w:r>
    </w:p>
    <w:p>
      <w:pPr>
        <w:pStyle w:val="BodyText"/>
      </w:pPr>
      <w:r>
        <w:t xml:space="preserve">CHAPITRE 63</w:t>
      </w:r>
    </w:p>
    <w:bookmarkEnd w:id="1531"/>
    <w:bookmarkEnd w:id="1532"/>
    <w:bookmarkStart w:id="1556" w:name="graylog-et-syslog-centralisé"/>
    <w:p>
      <w:pPr>
        <w:pStyle w:val="Heading1"/>
      </w:pPr>
      <w:r>
        <w:t xml:space="preserve">Graylog et Syslog centralisé</w:t>
      </w:r>
    </w:p>
    <w:p>
      <w:pPr>
        <w:pStyle w:val="FirstParagraph"/>
      </w:pPr>
      <w:r>
        <w:t xml:space="preserve">🎯 Objectif du chapitre</w:t>
      </w:r>
      <w:r>
        <w:t xml:space="preserve"> </w:t>
      </w:r>
      <w:r>
        <w:t xml:space="preserve">Étendre la centralisation des logs du chapitre 62 aux équipements qui ne peuvent pas exécuter un agent comme Filebeat — pare-feu, commutateurs, routeurs — via le protocole standard Syslog, et découvrir Graylog comme alternative plus légère à opérer que la pile ELK. À la fin de ce chapitre, tu sauras configurer un équipement réseau pour envoyer ses journaux vers un collecteur central, et tu sauras choisir entre ELK et Graylog selon le contexte réel de ton infrastructure.</w:t>
      </w:r>
    </w:p>
    <w:p>
      <w:pPr>
        <w:pStyle w:val="BodyText"/>
      </w:pPr>
      <w:r>
        <w:t xml:space="preserve">🎬 Mise en situation</w:t>
      </w:r>
      <w:r>
        <w:t xml:space="preserve"> </w:t>
      </w:r>
      <w:r>
        <w:t xml:space="preserve">Après le succès de la centralisation des logs serveurs avec la pile ELK (chapitre 62), l’équipe souhaite étendre cette visibilité aux équipements réseau — le pare-feu périmétrique et les commutateurs principaux. Problème : ces équipements ne permettent pas d’installer Filebeat, l’agent utilisé jusqu’ici. Ils ne parlent qu’un protocole standard, ancien mais universellement supporté : Syslog. Par ailleurs, l’équipe, encore restreinte, trouve la pile ELK complète (trois composants distincts à maintenir) plus lourde à opérer qu’elle ne le souhaiterait pour ce besoin ciblé. Graylog, capable de recevoir nativement du Syslog avec une opération plus simple, répond aux deux contraintes.</w:t>
      </w:r>
    </w:p>
    <w:bookmarkStart w:id="1533" w:name="X94cd2ad1cfe28684dc30ebc9e030fce2116eac5"/>
    <w:p>
      <w:pPr>
        <w:pStyle w:val="Heading2"/>
      </w:pPr>
      <w:r>
        <w:t xml:space="preserve">63.1 Le problème : des équipements qui ne parlent pas le langage des agents modernes</w:t>
      </w:r>
    </w:p>
    <w:p>
      <w:pPr>
        <w:pStyle w:val="FirstParagraph"/>
      </w:pPr>
      <w:r>
        <w:t xml:space="preserve">📌 À retenir</w:t>
      </w:r>
      <w:r>
        <w:t xml:space="preserve"> </w:t>
      </w:r>
      <w:r>
        <w:t xml:space="preserve">Filebeat (section 62.5) suppose un système d’exploitation général capable d’exécuter un agent installé — un pare-feu ou un commutateur d’entreprise, souvent un système embarqué fermé, n’offre généralement pas cette possibilité. Ces équipements s’appuient à la place sur</w:t>
      </w:r>
      <w:r>
        <w:t xml:space="preserve"> </w:t>
      </w:r>
      <w:r>
        <w:rPr>
          <w:b/>
          <w:bCs/>
        </w:rPr>
        <w:t xml:space="preserve">Syslog</w:t>
      </w:r>
      <w:r>
        <w:t xml:space="preserve">, un protocole de journalisation standardisé et supporté depuis des décennies par la quasi-totalité des équipements réseau, ce qui en fait le langage commun incontournable pour centraliser leurs journaux.</w:t>
      </w:r>
    </w:p>
    <w:bookmarkEnd w:id="1533"/>
    <w:bookmarkStart w:id="1534" w:name="X034f3a16fc8eefe262026034a3d85497f845bb5"/>
    <w:p>
      <w:pPr>
        <w:pStyle w:val="Heading2"/>
      </w:pPr>
      <w:r>
        <w:t xml:space="preserve">63.2 Syslog : le protocole standard de journalisation réseau</w:t>
      </w:r>
    </w:p>
    <w:p>
      <w:pPr>
        <w:pStyle w:val="FirstParagraph"/>
      </w:pPr>
      <w:r>
        <w:t xml:space="preserve">📌 À retenir</w:t>
      </w:r>
      <w:r>
        <w:t xml:space="preserve"> </w:t>
      </w:r>
      <w:r>
        <w:t xml:space="preserve">Syslog définit un format standard pour transmettre un message de journalisation d’un équipement source vers un serveur collecteur, généralement via le réseau (UDP ou TCP, port 514 par défaut). Chaque message Syslog inclut une</w:t>
      </w:r>
      <w:r>
        <w:t xml:space="preserve"> </w:t>
      </w:r>
      <w:r>
        <w:rPr>
          <w:b/>
          <w:bCs/>
        </w:rPr>
        <w:t xml:space="preserve">facility</w:t>
      </w:r>
      <w:r>
        <w:t xml:space="preserve"> </w:t>
      </w:r>
      <w:r>
        <w:t xml:space="preserve">(la catégorie source du message, comme</w:t>
      </w:r>
      <w:r>
        <w:t xml:space="preserve"> </w:t>
      </w:r>
      <w:r>
        <w:t xml:space="preserve">“authentification”</w:t>
      </w:r>
      <w:r>
        <w:t xml:space="preserve"> </w:t>
      </w:r>
      <w:r>
        <w:t xml:space="preserve">ou</w:t>
      </w:r>
      <w:r>
        <w:t xml:space="preserve"> </w:t>
      </w:r>
      <w:r>
        <w:t xml:space="preserve">“système”</w:t>
      </w:r>
      <w:r>
        <w:t xml:space="preserve">) et une</w:t>
      </w:r>
      <w:r>
        <w:t xml:space="preserve"> </w:t>
      </w:r>
      <w:r>
        <w:rPr>
          <w:b/>
          <w:bCs/>
        </w:rPr>
        <w:t xml:space="preserve">severity</w:t>
      </w:r>
      <w:r>
        <w:t xml:space="preserve"> </w:t>
      </w:r>
      <w:r>
        <w:t xml:space="preserve">(le niveau de gravité, de</w:t>
      </w:r>
      <w:r>
        <w:t xml:space="preserve"> </w:t>
      </w:r>
      <w:r>
        <w:t xml:space="preserve">“debug”</w:t>
      </w:r>
      <w:r>
        <w:t xml:space="preserve"> </w:t>
      </w:r>
      <w:r>
        <w:t xml:space="preserve">à</w:t>
      </w:r>
      <w:r>
        <w:t xml:space="preserve"> </w:t>
      </w:r>
      <w:r>
        <w:t xml:space="preserve">“urgence”</w:t>
      </w:r>
      <w:r>
        <w:t xml:space="preserve">), permettant un filtrage standardisé indépendant du fabricant de l’équipement source.</w:t>
      </w:r>
    </w:p>
    <w:p>
      <w:pPr>
        <w:pStyle w:val="SourceCode"/>
      </w:pPr>
      <w:r>
        <w:rPr>
          <w:rStyle w:val="VerbatimChar"/>
        </w:rPr>
        <w:t xml:space="preserve">&lt;134&gt;Jan 15 14:32:01 pare-feu-pap sshd[1234]: Failed password for admin from 41.20.15.3</w:t>
      </w:r>
    </w:p>
    <w:p>
      <w:pPr>
        <w:pStyle w:val="FirstParagraph"/>
      </w:pPr>
      <w:r>
        <w:t xml:space="preserve">💡 Une classification, pas un seuil d’alerte</w:t>
      </w:r>
      <w:r>
        <w:t xml:space="preserve"> </w:t>
      </w:r>
      <w:r>
        <w:t xml:space="preserve">La severity Syslog classe un message selon sa gravité intrinsèque au moment de son émission — elle ne doit pas être confondue avec les seuils d’alerte à maintien temporel déjà rencontrés à plusieurs reprises dans ce manuel (sections 58.7, 59.5, 60.6, 61.5). Un message Syslog de sévérité</w:t>
      </w:r>
      <w:r>
        <w:t xml:space="preserve"> </w:t>
      </w:r>
      <w:r>
        <w:t xml:space="preserve">“critique”</w:t>
      </w:r>
      <w:r>
        <w:t xml:space="preserve"> </w:t>
      </w:r>
      <w:r>
        <w:t xml:space="preserve">reste un événement ponctuel classé par l’équipement source ; une alerte de supervision, elle, se déclenche généralement sur une condition maintenue dans le temps à partir d’un ensemble de mesures.</w:t>
      </w:r>
    </w:p>
    <w:bookmarkEnd w:id="1534"/>
    <w:bookmarkStart w:id="1538" w:name="X0b2bf2eb44bbab8880c066ef0fc900044a85a2a"/>
    <w:p>
      <w:pPr>
        <w:pStyle w:val="Heading2"/>
      </w:pPr>
      <w:r>
        <w:t xml:space="preserve">63.3 Graylog : une alternative plus légère à opérer qu’ELK</w:t>
      </w:r>
    </w:p>
    <w:p>
      <w:pPr>
        <w:pStyle w:val="FirstParagraph"/>
      </w:pPr>
      <w:r>
        <w:t xml:space="preserve">✅ Même finalité, complexité opérationnelle différente</w:t>
      </w:r>
      <w:r>
        <w:t xml:space="preserve"> </w:t>
      </w:r>
      <w:r>
        <w:t xml:space="preserve">Graylog répond au même besoin fondamental que la pile ELK du chapitre précédent — centraliser, rechercher et analyser des logs — mais avec une architecture généralement perçue comme plus simple à opérer au quotidien pour une équipe restreinte, tout en conservant un support natif et particulièrement mature du protocole Syslog. Ce choix rejoint le même raisonnement pragmatique déjà appliqué à plusieurs reprises dans ce manuel (Ubuntu au chapitre 14, Zabbix au chapitre 59) : le bon outil est celui qui correspond au contexte réel de l’équipe, pas nécessairement celui qui offre objectivement le plus de fonctionnalités.</w:t>
      </w:r>
    </w:p>
    <w:p>
      <w:pPr>
        <w:pStyle w:val="CaptionedFigure"/>
      </w:pPr>
      <w:r>
        <w:drawing>
          <wp:inline>
            <wp:extent cx="5334000" cy="1815487"/>
            <wp:effectExtent b="0" l="0" r="0" t="0"/>
            <wp:docPr descr="Diagramme" title="" id="1536" name="Picture"/>
            <a:graphic>
              <a:graphicData uri="http://schemas.openxmlformats.org/drawingml/2006/picture">
                <pic:pic>
                  <pic:nvPicPr>
                    <pic:cNvPr descr="C:/Users/ingja/Desktop/jarvis-starter-kit/livrables/formations/manuel-administration-systeme/assets/diagrams/d-63-graylog-syslog-diagramme-1.png" id="1537" name="Picture"/>
                    <pic:cNvPicPr>
                      <a:picLocks noChangeArrowheads="1" noChangeAspect="1"/>
                    </pic:cNvPicPr>
                  </pic:nvPicPr>
                  <pic:blipFill>
                    <a:blip r:embed="rId1535"/>
                    <a:stretch>
                      <a:fillRect/>
                    </a:stretch>
                  </pic:blipFill>
                  <pic:spPr bwMode="auto">
                    <a:xfrm>
                      <a:off x="0" y="0"/>
                      <a:ext cx="5334000" cy="1815487"/>
                    </a:xfrm>
                    <a:prstGeom prst="rect">
                      <a:avLst/>
                    </a:prstGeom>
                    <a:noFill/>
                    <a:ln w="9525">
                      <a:noFill/>
                      <a:headEnd/>
                      <a:tailEnd/>
                    </a:ln>
                  </pic:spPr>
                </pic:pic>
              </a:graphicData>
            </a:graphic>
          </wp:inline>
        </w:drawing>
      </w:r>
    </w:p>
    <w:p>
      <w:pPr>
        <w:pStyle w:val="ImageCaption"/>
      </w:pPr>
      <w:r>
        <w:t xml:space="preserve">Diagramme</w:t>
      </w:r>
    </w:p>
    <w:bookmarkEnd w:id="1538"/>
    <w:bookmarkStart w:id="1539" w:name="Xd37731a03d57e3e7d464c76feab6b2401c0eef1"/>
    <w:p>
      <w:pPr>
        <w:pStyle w:val="Heading2"/>
      </w:pPr>
      <w:r>
        <w:t xml:space="preserve">63.4 Configurer une source Syslog dans Graylog</w:t>
      </w:r>
    </w:p>
    <w:p>
      <w:pPr>
        <w:pStyle w:val="SourceCode"/>
      </w:pPr>
      <w:r>
        <w:rPr>
          <w:rStyle w:val="VerbatimChar"/>
        </w:rPr>
        <w:t xml:space="preserve">Graylog &gt; System &gt; Inputs &gt; Launch new input</w:t>
      </w:r>
      <w:r>
        <w:br/>
      </w:r>
      <w:r>
        <w:rPr>
          <w:rStyle w:val="VerbatimChar"/>
        </w:rPr>
        <w:t xml:space="preserve">  Type : Syslog UDP</w:t>
      </w:r>
      <w:r>
        <w:br/>
      </w:r>
      <w:r>
        <w:rPr>
          <w:rStyle w:val="VerbatimChar"/>
        </w:rPr>
        <w:t xml:space="preserve">  Port : 514</w:t>
      </w:r>
      <w:r>
        <w:br/>
      </w:r>
      <w:r>
        <w:rPr>
          <w:rStyle w:val="VerbatimChar"/>
        </w:rPr>
        <w:t xml:space="preserve">  Bind address : 0.0.0.0</w:t>
      </w:r>
    </w:p>
    <w:p>
      <w:pPr>
        <w:pStyle w:val="SourceCode"/>
      </w:pPr>
      <w:r>
        <w:rPr>
          <w:rStyle w:val="VerbatimChar"/>
        </w:rPr>
        <w:t xml:space="preserve"># Sur le pare-feu (exemple generique)</w:t>
      </w:r>
      <w:r>
        <w:br/>
      </w:r>
      <w:r>
        <w:rPr>
          <w:rStyle w:val="VerbatimChar"/>
        </w:rPr>
        <w:t xml:space="preserve">logging host 10.10.1.8</w:t>
      </w:r>
      <w:r>
        <w:br/>
      </w:r>
      <w:r>
        <w:rPr>
          <w:rStyle w:val="VerbatimChar"/>
        </w:rPr>
        <w:t xml:space="preserve">logging trap informational</w:t>
      </w:r>
    </w:p>
    <w:p>
      <w:pPr>
        <w:pStyle w:val="FirstParagraph"/>
      </w:pPr>
      <w:r>
        <w:t xml:space="preserve">🔒 Sécurité</w:t>
      </w:r>
      <w:r>
        <w:t xml:space="preserve"> </w:t>
      </w:r>
      <w:r>
        <w:t xml:space="preserve">Syslog transmis en UDP classique circule en clair sur le réseau, sans chiffrement ni authentification native — restreins ce trafic au VLAN d’administration déjà établi au chapitre 11, et privilégie une variante sécurisée (Syslog sur TLS) lorsque l’équipement source la supporte, particulièrement pour tout trafic traversant un segment réseau moins fiable.</w:t>
      </w:r>
    </w:p>
    <w:bookmarkEnd w:id="1539"/>
    <w:bookmarkStart w:id="1540" w:name="recherches-et-alertes-dans-graylog"/>
    <w:p>
      <w:pPr>
        <w:pStyle w:val="Heading2"/>
      </w:pPr>
      <w:r>
        <w:t xml:space="preserve">63.5 Recherches et alertes dans Graylog</w:t>
      </w:r>
    </w:p>
    <w:p>
      <w:pPr>
        <w:pStyle w:val="FirstParagraph"/>
      </w:pPr>
      <w:r>
        <w:t xml:space="preserve">⚠️ Le même principe, une nouvelle fois</w:t>
      </w:r>
      <w:r>
        <w:t xml:space="preserve"> </w:t>
      </w:r>
      <w:r>
        <w:t xml:space="preserve">Graylog permet de rechercher et de filtrer les messages Syslog reçus (par équipement source, par severity, par mot-clé) et de configurer des alertes sur des motifs récurrents — avec, comme pour tous les systèmes d’alerte déjà rencontrés dans cette partie du manuel, la même exigence de maintien dans le temps pour éviter la fatigue d’alerte plutôt qu’un déclenchement sur un seul message isolé.</w:t>
      </w:r>
    </w:p>
    <w:bookmarkEnd w:id="1540"/>
    <w:bookmarkStart w:id="1541" w:name="X52dd4c8a7647a7692aaea9692800d79ece364af"/>
    <w:p>
      <w:pPr>
        <w:pStyle w:val="Heading2"/>
      </w:pPr>
      <w:r>
        <w:t xml:space="preserve">63.6 Choisir entre ELK et Graylog : un choix de contexte, pas de supériorité absolue</w:t>
      </w:r>
    </w:p>
    <w:p>
      <w:pPr>
        <w:pStyle w:val="FirstParagraph"/>
      </w:pPr>
      <w:r>
        <w:t xml:space="preserve">📌 À retenir — un tableau de décision honnête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Critère</w:t>
            </w:r>
          </w:p>
        </w:tc>
        <w:tc>
          <w:tcPr/>
          <w:p>
            <w:pPr>
              <w:pStyle w:val="Compact"/>
            </w:pPr>
            <w:r>
              <w:t xml:space="preserve">Pile ELK (chapitre 62)</w:t>
            </w:r>
          </w:p>
        </w:tc>
        <w:tc>
          <w:tcPr/>
          <w:p>
            <w:pPr>
              <w:pStyle w:val="Compact"/>
            </w:pPr>
            <w:r>
              <w:t xml:space="preserve">Graylog</w:t>
            </w:r>
          </w:p>
        </w:tc>
      </w:tr>
      <w:tr>
        <w:tc>
          <w:tcPr/>
          <w:p>
            <w:pPr>
              <w:pStyle w:val="Compact"/>
            </w:pPr>
            <w:r>
              <w:t xml:space="preserve">Complexité opérationnelle</w:t>
            </w:r>
          </w:p>
        </w:tc>
        <w:tc>
          <w:tcPr/>
          <w:p>
            <w:pPr>
              <w:pStyle w:val="Compact"/>
            </w:pPr>
            <w:r>
              <w:t xml:space="preserve">Plus élevée (trois composants distincts)</w:t>
            </w:r>
          </w:p>
        </w:tc>
        <w:tc>
          <w:tcPr/>
          <w:p>
            <w:pPr>
              <w:pStyle w:val="Compact"/>
            </w:pPr>
            <w:r>
              <w:t xml:space="preserve">Généralement plus simple à opérer</w:t>
            </w:r>
          </w:p>
        </w:tc>
      </w:tr>
      <w:tr>
        <w:tc>
          <w:tcPr/>
          <w:p>
            <w:pPr>
              <w:pStyle w:val="Compact"/>
            </w:pPr>
            <w:r>
              <w:t xml:space="preserve">Support natif Syslog</w:t>
            </w:r>
          </w:p>
        </w:tc>
        <w:tc>
          <w:tcPr/>
          <w:p>
            <w:pPr>
              <w:pStyle w:val="Compact"/>
            </w:pPr>
            <w:r>
              <w:t xml:space="preserve">Correct, via configuration</w:t>
            </w:r>
          </w:p>
        </w:tc>
        <w:tc>
          <w:tcPr/>
          <w:p>
            <w:pPr>
              <w:pStyle w:val="Compact"/>
            </w:pPr>
            <w:r>
              <w:t xml:space="preserve">Particulièrement mature et natif</w:t>
            </w:r>
          </w:p>
        </w:tc>
      </w:tr>
      <w:tr>
        <w:tc>
          <w:tcPr/>
          <w:p>
            <w:pPr>
              <w:pStyle w:val="Compact"/>
            </w:pPr>
            <w:r>
              <w:t xml:space="preserve">Richesse de visualisation</w:t>
            </w:r>
          </w:p>
        </w:tc>
        <w:tc>
          <w:tcPr/>
          <w:p>
            <w:pPr>
              <w:pStyle w:val="Compact"/>
            </w:pPr>
            <w:r>
              <w:t xml:space="preserve">Très riche (Kibana)</w:t>
            </w:r>
          </w:p>
        </w:tc>
        <w:tc>
          <w:tcPr/>
          <w:p>
            <w:pPr>
              <w:pStyle w:val="Compact"/>
            </w:pPr>
            <w:r>
              <w:t xml:space="preserve">Correcte, moins étendue que Kibana</w:t>
            </w:r>
          </w:p>
        </w:tc>
      </w:tr>
      <w:tr>
        <w:tc>
          <w:tcPr/>
          <w:p>
            <w:pPr>
              <w:pStyle w:val="Compact"/>
            </w:pPr>
            <w:r>
              <w:t xml:space="preserve">Écosystème et extensions</w:t>
            </w:r>
          </w:p>
        </w:tc>
        <w:tc>
          <w:tcPr/>
          <w:p>
            <w:pPr>
              <w:pStyle w:val="Compact"/>
            </w:pPr>
            <w:r>
              <w:t xml:space="preserve">Très large</w:t>
            </w:r>
          </w:p>
        </w:tc>
        <w:tc>
          <w:tcPr/>
          <w:p>
            <w:pPr>
              <w:pStyle w:val="Compact"/>
            </w:pPr>
            <w:r>
              <w:t xml:space="preserve">Plus restreint mais suffisant pour l’usage courant</w:t>
            </w:r>
          </w:p>
        </w:tc>
      </w:tr>
    </w:tbl>
    <w:p>
      <w:pPr>
        <w:pStyle w:val="BodyText"/>
      </w:pPr>
      <w:r>
        <w:t xml:space="preserve">Aucun des deux outils n’est objectivement supérieur à l’autre dans l’absolu — le choix dépend du contexte réel : la richesse fonctionnelle d’ELK convient à une équipe disposant du temps nécessaire pour l’opérer pleinement ; la simplicité de Graylog convient à une équipe restreinte cherchant un résultat rapide et fiable, en particulier pour un besoin centré sur les équipements réseau via Syslog.</w:t>
      </w:r>
    </w:p>
    <w:bookmarkEnd w:id="1541"/>
    <w:bookmarkStart w:id="1542" w:name="Xb9c58fd0d607a6f253df065eda42d63bf1b17a0"/>
    <w:p>
      <w:pPr>
        <w:pStyle w:val="Heading2"/>
      </w:pPr>
      <w:r>
        <w:t xml:space="preserve">Atelier — Centraliser les logs du pare-feu périmétrique</w:t>
      </w:r>
    </w:p>
    <w:p>
      <w:pPr>
        <w:pStyle w:val="FirstParagraph"/>
      </w:pPr>
      <w:r>
        <w:t xml:space="preserve">🛠️ Atelier 63 — Répondre au besoin du scénario d’ouverture</w:t>
      </w:r>
    </w:p>
    <w:p>
      <w:pPr>
        <w:pStyle w:val="BodyText"/>
      </w:pPr>
      <w:r>
        <w:rPr>
          <w:b/>
          <w:bCs/>
        </w:rPr>
        <w:t xml:space="preserve">Objectif</w:t>
      </w:r>
      <w:r>
        <w:t xml:space="preserve"> </w:t>
      </w:r>
      <w:r>
        <w:t xml:space="preserve">: configurer Graylog pour recevoir et rendre consultables les journaux du pare-feu périmétrique de l’entreprise.</w:t>
      </w:r>
    </w:p>
    <w:p>
      <w:pPr>
        <w:pStyle w:val="BodyText"/>
      </w:pPr>
      <w:r>
        <w:rPr>
          <w:b/>
          <w:bCs/>
        </w:rPr>
        <w:t xml:space="preserve">Préparation</w:t>
      </w:r>
      <w:r>
        <w:t xml:space="preserve"> </w:t>
      </w:r>
      <w:r>
        <w:t xml:space="preserve">: une instance Graylog fonctionnelle, un accès de configuration au pare-feu périmétrique.</w:t>
      </w:r>
    </w:p>
    <w:p>
      <w:pPr>
        <w:pStyle w:val="BodyText"/>
      </w:pPr>
      <w:r>
        <w:rPr>
          <w:b/>
          <w:bCs/>
        </w:rPr>
        <w:t xml:space="preserve">Étapes détaillées</w:t>
      </w:r>
      <w:r>
        <w:t xml:space="preserve"> </w:t>
      </w:r>
      <w:r>
        <w:t xml:space="preserve">:</w:t>
      </w:r>
    </w:p>
    <w:p>
      <w:pPr>
        <w:pStyle w:val="Compact"/>
        <w:numPr>
          <w:ilvl w:val="0"/>
          <w:numId w:val="2447"/>
        </w:numPr>
      </w:pPr>
      <w:r>
        <w:t xml:space="preserve">Configure une source Syslog UDP dans Graylog (section 63.4).</w:t>
      </w:r>
    </w:p>
    <w:p>
      <w:pPr>
        <w:pStyle w:val="Compact"/>
        <w:numPr>
          <w:ilvl w:val="0"/>
          <w:numId w:val="2447"/>
        </w:numPr>
      </w:pPr>
      <w:r>
        <w:t xml:space="preserve">Configure le pare-feu pour envoyer ses journaux vers l’adresse du serveur Graylog.</w:t>
      </w:r>
    </w:p>
    <w:p>
      <w:pPr>
        <w:pStyle w:val="Compact"/>
        <w:numPr>
          <w:ilvl w:val="0"/>
          <w:numId w:val="2447"/>
        </w:numPr>
      </w:pPr>
      <w:r>
        <w:t xml:space="preserve">Vérifie que les messages apparaissent bien dans l’interface de recherche Graylog, avec leur facility et leur severity correctement identifiées.</w:t>
      </w:r>
    </w:p>
    <w:p>
      <w:pPr>
        <w:pStyle w:val="Compact"/>
        <w:numPr>
          <w:ilvl w:val="0"/>
          <w:numId w:val="2447"/>
        </w:numPr>
      </w:pPr>
      <w:r>
        <w:t xml:space="preserve">Construis une recherche filtrant uniquement les messages de severity</w:t>
      </w:r>
      <w:r>
        <w:t xml:space="preserve"> </w:t>
      </w:r>
      <w:r>
        <w:t xml:space="preserve">“critique”</w:t>
      </w:r>
      <w:r>
        <w:t xml:space="preserve"> </w:t>
      </w:r>
      <w:r>
        <w:t xml:space="preserve">ou supérieure.</w:t>
      </w:r>
    </w:p>
    <w:p>
      <w:pPr>
        <w:pStyle w:val="Compact"/>
        <w:numPr>
          <w:ilvl w:val="0"/>
          <w:numId w:val="2447"/>
        </w:numPr>
      </w:pPr>
      <w:r>
        <w:t xml:space="preserve">Explique pourquoi ce même besoin aurait été plus complexe à satisfaire directement avec Filebeat, tel qu’utilisé au chapitre 62.</w:t>
      </w:r>
    </w:p>
    <w:p>
      <w:pPr>
        <w:pStyle w:val="Compact"/>
        <w:numPr>
          <w:ilvl w:val="0"/>
          <w:numId w:val="2447"/>
        </w:numPr>
      </w:pPr>
      <w:r>
        <w:t xml:space="preserve">Compare ta démarche à la section</w:t>
      </w:r>
      <w:r>
        <w:t xml:space="preserve"> </w:t>
      </w:r>
      <w:r>
        <w:t xml:space="preserve">“Résultat attendu”</w:t>
      </w:r>
      <w:r>
        <w:t xml:space="preserve">.</w:t>
      </w:r>
    </w:p>
    <w:p>
      <w:pPr>
        <w:pStyle w:val="FirstParagraph"/>
      </w:pPr>
      <w:r>
        <w:rPr>
          <w:b/>
          <w:bCs/>
        </w:rPr>
        <w:t xml:space="preserve">Résultat attendu</w:t>
      </w:r>
      <w:r>
        <w:t xml:space="preserve"> </w:t>
      </w:r>
      <w:r>
        <w:t xml:space="preserve">: le pare-feu, incapable d’exécuter Filebeat, transmet nativement ses journaux via Syslog vers Graylog, qui les indexe et les rend immédiatement consultables. La recherche filtrée sur la severity permet d’isoler rapidement les événements les plus graves parmi le volume total de messages reçus. Ce besoin aurait nécessité un adaptateur ou une passerelle supplémentaire pour être satisfait via Filebeat, alors que Graylog le prend en charge nativement — illustrant concrètement pourquoi le choix de l’outil doit tenir compte du type de source à centraliser, pas seulement du besoin fonctionnel général de centralisation des logs.</w:t>
      </w:r>
    </w:p>
    <w:p>
      <w:pPr>
        <w:pStyle w:val="BodyText"/>
      </w:pPr>
      <w:r>
        <w:rPr>
          <w:b/>
          <w:bCs/>
        </w:rPr>
        <w:t xml:space="preserve">Dépannage</w:t>
      </w:r>
      <w:r>
        <w:t xml:space="preserve"> </w:t>
      </w:r>
      <w:r>
        <w:t xml:space="preserve">: si aucun message n’apparaît dans Graylog malgré une configuration apparemment correcte sur le pare-feu, vérifie en priorité que le port UDP 514 n’est pas bloqué entre le pare-feu et le serveur Graylog, et que l’input Syslog est bien démarré (statut</w:t>
      </w:r>
      <w:r>
        <w:t xml:space="preserve"> </w:t>
      </w:r>
      <w:r>
        <w:t xml:space="preserve">“Running”</w:t>
      </w:r>
      <w:r>
        <w:t xml:space="preserve">) dans l’interface Graylog.</w:t>
      </w:r>
    </w:p>
    <w:bookmarkEnd w:id="1542"/>
    <w:bookmarkStart w:id="1543" w:name="erreurs-fréquentes-62"/>
    <w:p>
      <w:pPr>
        <w:pStyle w:val="Heading2"/>
      </w:pPr>
      <w:r>
        <w:t xml:space="preserve">Erreurs fréquentes</w:t>
      </w:r>
    </w:p>
    <w:p>
      <w:pPr>
        <w:pStyle w:val="FirstParagraph"/>
      </w:pPr>
      <w:r>
        <w:t xml:space="preserve">⚠️ Erreur n°1 — du trafic Syslog non chiffré transitant sur un segment réseau non fiable</w:t>
      </w:r>
      <w:r>
        <w:t xml:space="preserve"> </w:t>
      </w:r>
      <w:r>
        <w:t xml:space="preserve">Rappel de la section 63.4 : Syslog en UDP classique circule en clair, un risque à limiter au VLAN d’administration approprié.</w:t>
      </w:r>
    </w:p>
    <w:p>
      <w:pPr>
        <w:pStyle w:val="BodyText"/>
      </w:pPr>
      <w:r>
        <w:t xml:space="preserve">⚠️ Erreur n°2 — aucune politique de rétention définie pour les index Graylog</w:t>
      </w:r>
      <w:r>
        <w:t xml:space="preserve"> </w:t>
      </w:r>
      <w:r>
        <w:t xml:space="preserve">Le même risque de croissance indéfinie déjà dénoncé pour Elasticsearch au chapitre 62 s’applique tout autant au stockage sous-jacent de Graylog.</w:t>
      </w:r>
    </w:p>
    <w:p>
      <w:pPr>
        <w:pStyle w:val="BodyText"/>
      </w:pPr>
      <w:r>
        <w:t xml:space="preserve">⚠️ Erreur n°3 — choisir un outil de centralisation unique sans considérer le type de sources à couvrir</w:t>
      </w:r>
      <w:r>
        <w:t xml:space="preserve"> </w:t>
      </w:r>
      <w:r>
        <w:t xml:space="preserve">Rappel de la section 63.6 : un choix fait uniquement par préférence personnelle, sans considérer la nature réelle des sources (serveurs capables d’agents modernes contre équipements réseau limités à Syslog), risque de compliquer inutilement une partie de l’infrastructure.</w:t>
      </w:r>
    </w:p>
    <w:bookmarkEnd w:id="1543"/>
    <w:bookmarkStart w:id="1544" w:name="Xaa8cc82af06bee490cccb48afd3926d7a3bec01"/>
    <w:p>
      <w:pPr>
        <w:pStyle w:val="Heading2"/>
      </w:pPr>
      <w:r>
        <w:t xml:space="preserve">Diagnostiquer des logs Syslog qui n’arrivent jamais</w:t>
      </w:r>
    </w:p>
    <w:p>
      <w:pPr>
        <w:pStyle w:val="FirstParagraph"/>
      </w:pPr>
      <w:r>
        <w:t xml:space="preserve">🩺 Symptôme : un équipement configuré pour envoyer ses logs Syslog n’apparaît jamais dans Graylog</w:t>
      </w:r>
    </w:p>
    <w:p>
      <w:pPr>
        <w:pStyle w:val="Compact"/>
        <w:numPr>
          <w:ilvl w:val="0"/>
          <w:numId w:val="2448"/>
        </w:numPr>
      </w:pPr>
      <w:r>
        <w:rPr>
          <w:b/>
          <w:bCs/>
        </w:rPr>
        <w:t xml:space="preserve">Diagnostic</w:t>
      </w:r>
      <w:r>
        <w:t xml:space="preserve"> </w:t>
      </w:r>
      <w:r>
        <w:t xml:space="preserve">: vérifier dans l’ordre : l’input Syslog est-il bien démarré dans Graylog ? le port configuré sur l’équipement source correspond-il au port d’écoute de Graylog ? un pare-feu intermédiaire bloque-t-il le trafic UDP ou TCP concerné ?</w:t>
      </w:r>
    </w:p>
    <w:p>
      <w:pPr>
        <w:pStyle w:val="Compact"/>
        <w:numPr>
          <w:ilvl w:val="0"/>
          <w:numId w:val="2448"/>
        </w:numPr>
      </w:pPr>
      <w:r>
        <w:rPr>
          <w:b/>
          <w:bCs/>
        </w:rPr>
        <w:t xml:space="preserve">Comment vérifier</w:t>
      </w:r>
      <w:r>
        <w:t xml:space="preserve"> </w:t>
      </w:r>
      <w:r>
        <w:t xml:space="preserve">: capturer le trafic réseau directement sur le serveur Graylog (une compétence approfondie au chapitre suivant) pour confirmer si les paquets Syslog atteignent réellement le serveur.</w:t>
      </w:r>
    </w:p>
    <w:p>
      <w:pPr>
        <w:pStyle w:val="Compact"/>
        <w:numPr>
          <w:ilvl w:val="0"/>
          <w:numId w:val="2448"/>
        </w:numPr>
      </w:pPr>
      <w:r>
        <w:rPr>
          <w:b/>
          <w:bCs/>
        </w:rPr>
        <w:t xml:space="preserve">Résolution</w:t>
      </w:r>
      <w:r>
        <w:t xml:space="preserve"> </w:t>
      </w:r>
      <w:r>
        <w:t xml:space="preserve">: la cause la plus fréquente reste un pare-feu intermédiaire bloquant le port 514, suivie d’une erreur de configuration de l’adresse de destination sur l’équipement source.</w:t>
      </w:r>
    </w:p>
    <w:bookmarkEnd w:id="1544"/>
    <w:bookmarkStart w:id="1545" w:name="en-entreprise-62"/>
    <w:p>
      <w:pPr>
        <w:pStyle w:val="Heading2"/>
      </w:pPr>
      <w:r>
        <w:t xml:space="preserve">En entreprise</w:t>
      </w:r>
    </w:p>
    <w:p>
      <w:pPr>
        <w:pStyle w:val="Compact"/>
        <w:numPr>
          <w:ilvl w:val="0"/>
          <w:numId w:val="2449"/>
        </w:numPr>
      </w:pPr>
      <w:r>
        <w:rPr>
          <w:b/>
          <w:bCs/>
        </w:rPr>
        <w:t xml:space="preserve">Bonne pratique répandue</w:t>
      </w:r>
      <w:r>
        <w:t xml:space="preserve"> </w:t>
      </w:r>
      <w:r>
        <w:t xml:space="preserve">: centraliser en priorité les journaux des équipements périmétriques (pare-feu, VPN) via Syslog, ces derniers constituant souvent la première source d’alerte en cas de tentative d’intrusion.</w:t>
      </w:r>
    </w:p>
    <w:p>
      <w:pPr>
        <w:pStyle w:val="Compact"/>
        <w:numPr>
          <w:ilvl w:val="0"/>
          <w:numId w:val="2449"/>
        </w:numPr>
      </w:pPr>
      <w:r>
        <w:rPr>
          <w:b/>
          <w:bCs/>
        </w:rPr>
        <w:t xml:space="preserve">Bonne pratique répandue</w:t>
      </w:r>
      <w:r>
        <w:t xml:space="preserve"> </w:t>
      </w:r>
      <w:r>
        <w:t xml:space="preserve">: documenter clairement quel outil de centralisation couvre quelles sources, plutôt que de laisser cette décision implicite et sujette à confusion pour un nouvel arrivant dans l’équipe.</w:t>
      </w:r>
    </w:p>
    <w:p>
      <w:pPr>
        <w:pStyle w:val="Compact"/>
        <w:numPr>
          <w:ilvl w:val="0"/>
          <w:numId w:val="2449"/>
        </w:numPr>
      </w:pPr>
      <w:r>
        <w:rPr>
          <w:b/>
          <w:bCs/>
        </w:rPr>
        <w:t xml:space="preserve">Erreur classique observée</w:t>
      </w:r>
      <w:r>
        <w:t xml:space="preserve"> </w:t>
      </w:r>
      <w:r>
        <w:t xml:space="preserve">: une organisation qui multiplie les outils de centralisation de logs sans jamais consolider une vue d’ensemble, se retrouvant avec des îlots d’information dispersés — l’objectif de centralisation initial se perd si chaque nouvel outil n’est pas positionné consciemment par rapport aux autres déjà en place.</w:t>
      </w:r>
    </w:p>
    <w:bookmarkEnd w:id="1545"/>
    <w:bookmarkStart w:id="1546" w:name="entretien-technique-62"/>
    <w:p>
      <w:pPr>
        <w:pStyle w:val="Heading2"/>
      </w:pPr>
      <w:r>
        <w:t xml:space="preserve">Entretien technique</w:t>
      </w:r>
    </w:p>
    <w:p>
      <w:pPr>
        <w:pStyle w:val="FirstParagraph"/>
      </w:pPr>
      <w:r>
        <w:t xml:space="preserve">💼 Questions fréquemment posées en entretien</w:t>
      </w:r>
    </w:p>
    <w:p>
      <w:pPr>
        <w:pStyle w:val="BodyText"/>
      </w:pPr>
      <w:r>
        <w:rPr>
          <w:b/>
          <w:bCs/>
        </w:rPr>
        <w:t xml:space="preserve">Q1.</w:t>
      </w:r>
      <w:r>
        <w:rPr>
          <w:b/>
          <w:bCs/>
        </w:rPr>
        <w:t xml:space="preserve"> </w:t>
      </w:r>
      <w:r>
        <w:rPr>
          <w:b/>
          <w:bCs/>
        </w:rPr>
        <w:t xml:space="preserve">“Pourquoi le protocole Syslog reste-t-il incontournable pour la centralisation des logs d’équipements réseau ?”</w:t>
      </w:r>
      <w:r>
        <w:t xml:space="preserve"> </w:t>
      </w:r>
      <w:r>
        <w:t xml:space="preserve">Réponse attendue : la plupart des équipements réseau (pare-feu, commutateurs, routeurs) sont des systèmes embarqués fermés qui ne permettent pas d’installer un agent moderne comme Filebeat, mais supportent presque universellement Syslog, un protocole standardisé depuis des décennies.</w:t>
      </w:r>
    </w:p>
    <w:p>
      <w:pPr>
        <w:pStyle w:val="BodyText"/>
      </w:pPr>
      <w:r>
        <w:rPr>
          <w:b/>
          <w:bCs/>
        </w:rPr>
        <w:t xml:space="preserve">Q2.</w:t>
      </w:r>
      <w:r>
        <w:rPr>
          <w:b/>
          <w:bCs/>
        </w:rPr>
        <w:t xml:space="preserve"> </w:t>
      </w:r>
      <w:r>
        <w:rPr>
          <w:b/>
          <w:bCs/>
        </w:rPr>
        <w:t xml:space="preserve">“Quelle est la différence entre la severity d’un message Syslog et un seuil d’alerte de supervision ?”</w:t>
      </w:r>
      <w:r>
        <w:t xml:space="preserve"> </w:t>
      </w:r>
      <w:r>
        <w:t xml:space="preserve">Réponse attendue : la severity Syslog classe un événement ponctuel selon sa gravité intrinsèque au moment de son émission par l’équipement source, tandis qu’un seuil d’alerte de supervision se déclenche généralement sur une condition maintenue dans le temps, calculée à partir de plusieurs mesures successives.</w:t>
      </w:r>
    </w:p>
    <w:p>
      <w:pPr>
        <w:pStyle w:val="BodyText"/>
      </w:pPr>
      <w:r>
        <w:rPr>
          <w:b/>
          <w:bCs/>
        </w:rPr>
        <w:t xml:space="preserve">Q3.</w:t>
      </w:r>
      <w:r>
        <w:rPr>
          <w:b/>
          <w:bCs/>
        </w:rPr>
        <w:t xml:space="preserve"> </w:t>
      </w:r>
      <w:r>
        <w:rPr>
          <w:b/>
          <w:bCs/>
        </w:rPr>
        <w:t xml:space="preserve">“Comment choisir entre la pile ELK et Graylog pour un besoin de centralisation de logs ?”</w:t>
      </w:r>
      <w:r>
        <w:t xml:space="preserve"> </w:t>
      </w:r>
      <w:r>
        <w:t xml:space="preserve">Réponse attendue : le choix dépend du contexte réel — la richesse fonctionnelle d’ELK convient à une équipe disposant du temps nécessaire pour opérer trois composants distincts ; la simplicité opérationnelle de Graylog et son support natif de Syslog conviennent mieux à une équipe restreinte ou à un besoin centré sur des équipements réseau.</w:t>
      </w:r>
    </w:p>
    <w:bookmarkEnd w:id="1546"/>
    <w:bookmarkStart w:id="1547" w:name="X6158cf242bd491b6ea6ce124f5df4c1c7dd9714"/>
    <w:p>
      <w:pPr>
        <w:pStyle w:val="Heading2"/>
      </w:pPr>
      <w:r>
        <w:t xml:space="preserve">Optimisation, sécurité et maintenabilité — les réflexes dès ce chapitre</w:t>
      </w:r>
    </w:p>
    <w:p>
      <w:pPr>
        <w:pStyle w:val="FirstParagraph"/>
      </w:pPr>
      <w:r>
        <w:t xml:space="preserve">🔒 Sécurité</w:t>
      </w:r>
      <w:r>
        <w:t xml:space="preserve"> </w:t>
      </w:r>
      <w:r>
        <w:t xml:space="preserve">Restreins le trafic Syslog au VLAN d’administration et privilégie une variante chiffrée lorsque l’équipement source la supporte — un flux de journalisation en clair reste une cible d’interception potentielle sur un réseau partagé.</w:t>
      </w:r>
    </w:p>
    <w:p>
      <w:pPr>
        <w:pStyle w:val="BodyText"/>
      </w:pPr>
      <w:r>
        <w:t xml:space="preserve">✅ Maintenabilité</w:t>
      </w:r>
      <w:r>
        <w:t xml:space="preserve"> </w:t>
      </w:r>
      <w:r>
        <w:t xml:space="preserve">Documente explicitement quel outil de centralisation (ELK ou Graylog) couvre quelles sources, et pourquoi — une décision technique non documentée devient rapidement une source de confusion pour toute personne rejoignant l’équipe.</w:t>
      </w:r>
    </w:p>
    <w:p>
      <w:pPr>
        <w:pStyle w:val="BodyText"/>
      </w:pPr>
      <w:r>
        <w:t xml:space="preserve">🚀 Performance</w:t>
      </w:r>
      <w:r>
        <w:t xml:space="preserve"> </w:t>
      </w:r>
      <w:r>
        <w:t xml:space="preserve">Un volume élevé de messages Syslog en provenance d’équipements réseau très actifs peut rapidement saturer un serveur Graylog sous-dimensionné — adapte les ressources allouées au volume réel de messages attendu, particulièrement pour un pare-feu périmétrique recevant un trafic important.</w:t>
      </w:r>
    </w:p>
    <w:bookmarkEnd w:id="1547"/>
    <w:bookmarkStart w:id="1548" w:name="résumé-du-chapitre-62"/>
    <w:p>
      <w:pPr>
        <w:pStyle w:val="Heading2"/>
      </w:pPr>
      <w:r>
        <w:t xml:space="preserve">Résumé du chapitre</w:t>
      </w:r>
    </w:p>
    <w:p>
      <w:pPr>
        <w:pStyle w:val="Compact"/>
        <w:numPr>
          <w:ilvl w:val="0"/>
          <w:numId w:val="2450"/>
        </w:numPr>
      </w:pPr>
      <w:r>
        <w:t xml:space="preserve">Les équipements réseau ne peuvent généralement pas exécuter un agent moderne comme Filebeat, et s’appuient sur le protocole standard Syslog pour transmettre leurs journaux.</w:t>
      </w:r>
    </w:p>
    <w:p>
      <w:pPr>
        <w:pStyle w:val="Compact"/>
        <w:numPr>
          <w:ilvl w:val="0"/>
          <w:numId w:val="2450"/>
        </w:numPr>
      </w:pPr>
      <w:r>
        <w:t xml:space="preserve">Syslog classe chaque message par facility (catégorie source) et severity (gravité), un système de classification distinct des seuils d’alerte de supervision déjà rencontrés dans ce manuel.</w:t>
      </w:r>
    </w:p>
    <w:p>
      <w:pPr>
        <w:pStyle w:val="Compact"/>
        <w:numPr>
          <w:ilvl w:val="0"/>
          <w:numId w:val="2450"/>
        </w:numPr>
      </w:pPr>
      <w:r>
        <w:t xml:space="preserve">Graylog répond au même besoin de centralisation que la pile ELK, avec une complexité opérationnelle généralement moindre et un support Syslog particulièrement mature.</w:t>
      </w:r>
    </w:p>
    <w:p>
      <w:pPr>
        <w:pStyle w:val="Compact"/>
        <w:numPr>
          <w:ilvl w:val="0"/>
          <w:numId w:val="2450"/>
        </w:numPr>
      </w:pPr>
      <w:r>
        <w:t xml:space="preserve">Le choix entre ELK et Graylog dépend du contexte réel de l’équipe et du type de sources à centraliser, pas d’une supériorité absolue de l’un sur l’autre.</w:t>
      </w:r>
    </w:p>
    <w:p>
      <w:pPr>
        <w:pStyle w:val="Compact"/>
        <w:numPr>
          <w:ilvl w:val="0"/>
          <w:numId w:val="2450"/>
        </w:numPr>
      </w:pPr>
      <w:r>
        <w:t xml:space="preserve">Le trafic Syslog non chiffré doit être restreint à un segment réseau protégé, cohérent avec la segmentation VLAN déjà établie.</w:t>
      </w:r>
    </w:p>
    <w:p>
      <w:pPr>
        <w:pStyle w:val="Compact"/>
        <w:numPr>
          <w:ilvl w:val="0"/>
          <w:numId w:val="2450"/>
        </w:numPr>
      </w:pPr>
      <w:r>
        <w:t xml:space="preserve">Une politique de rétention explicite reste indispensable pour Graylog, comme pour tout système de centralisation de logs déjà rencontré dans ce manuel.</w:t>
      </w:r>
    </w:p>
    <w:bookmarkEnd w:id="1548"/>
    <w:bookmarkStart w:id="1549" w:name="quiz-62"/>
    <w:p>
      <w:pPr>
        <w:pStyle w:val="Heading2"/>
      </w:pPr>
      <w:r>
        <w:t xml:space="preserve">Quiz</w:t>
      </w:r>
    </w:p>
    <w:p>
      <w:pPr>
        <w:pStyle w:val="FirstParagraph"/>
      </w:pPr>
      <w:r>
        <w:t xml:space="preserve">📝 QCM (une seule bonne réponse par question)</w:t>
      </w:r>
    </w:p>
    <w:p>
      <w:pPr>
        <w:pStyle w:val="Compact"/>
        <w:numPr>
          <w:ilvl w:val="0"/>
          <w:numId w:val="2451"/>
        </w:numPr>
      </w:pPr>
      <w:r>
        <w:t xml:space="preserve">Le protocole Syslog est particulièrement pertinent pour centraliser les logs de :</w:t>
      </w:r>
    </w:p>
    <w:p>
      <w:pPr>
        <w:pStyle w:val="Compact"/>
        <w:numPr>
          <w:ilvl w:val="1"/>
          <w:numId w:val="2452"/>
        </w:numPr>
      </w:pPr>
    </w:p>
    <w:p>
      <w:pPr>
        <w:pStyle w:val="Compact"/>
        <w:numPr>
          <w:ilvl w:val="2"/>
          <w:numId w:val="2453"/>
        </w:numPr>
      </w:pPr>
      <w:r>
        <w:t xml:space="preserve">Uniquement les serveurs Windows Server</w:t>
      </w:r>
    </w:p>
    <w:p>
      <w:pPr>
        <w:pStyle w:val="Compact"/>
        <w:numPr>
          <w:ilvl w:val="1"/>
          <w:numId w:val="2452"/>
        </w:numPr>
      </w:pPr>
    </w:p>
    <w:p>
      <w:pPr>
        <w:pStyle w:val="Compact"/>
        <w:numPr>
          <w:ilvl w:val="2"/>
          <w:numId w:val="2454"/>
        </w:numPr>
      </w:pPr>
      <w:r>
        <w:t xml:space="preserve">Des équipements réseau comme les pare-feu et les commutateurs</w:t>
      </w:r>
    </w:p>
    <w:p>
      <w:pPr>
        <w:pStyle w:val="Compact"/>
        <w:numPr>
          <w:ilvl w:val="1"/>
          <w:numId w:val="2452"/>
        </w:numPr>
      </w:pPr>
    </w:p>
    <w:p>
      <w:pPr>
        <w:pStyle w:val="Compact"/>
        <w:numPr>
          <w:ilvl w:val="2"/>
          <w:numId w:val="2455"/>
        </w:numPr>
      </w:pPr>
      <w:r>
        <w:t xml:space="preserve">Uniquement les applications conteneurisées</w:t>
      </w:r>
    </w:p>
    <w:p>
      <w:pPr>
        <w:pStyle w:val="Compact"/>
        <w:numPr>
          <w:ilvl w:val="1"/>
          <w:numId w:val="2452"/>
        </w:numPr>
      </w:pPr>
    </w:p>
    <w:p>
      <w:pPr>
        <w:pStyle w:val="Compact"/>
        <w:numPr>
          <w:ilvl w:val="2"/>
          <w:numId w:val="2456"/>
        </w:numPr>
      </w:pPr>
      <w:r>
        <w:t xml:space="preserve">Uniquement les postes de travail utilisateurs</w:t>
      </w:r>
    </w:p>
    <w:p>
      <w:pPr>
        <w:pStyle w:val="Compact"/>
        <w:numPr>
          <w:ilvl w:val="0"/>
          <w:numId w:val="2451"/>
        </w:numPr>
      </w:pPr>
      <w:r>
        <w:t xml:space="preserve">La severity d’un message Syslog représente :</w:t>
      </w:r>
    </w:p>
    <w:p>
      <w:pPr>
        <w:pStyle w:val="Compact"/>
        <w:numPr>
          <w:ilvl w:val="1"/>
          <w:numId w:val="2457"/>
        </w:numPr>
      </w:pPr>
    </w:p>
    <w:p>
      <w:pPr>
        <w:pStyle w:val="Compact"/>
        <w:numPr>
          <w:ilvl w:val="2"/>
          <w:numId w:val="2458"/>
        </w:numPr>
      </w:pPr>
      <w:r>
        <w:t xml:space="preserve">Un seuil d’alerte maintenu dans le temps</w:t>
      </w:r>
    </w:p>
    <w:p>
      <w:pPr>
        <w:pStyle w:val="Compact"/>
        <w:numPr>
          <w:ilvl w:val="1"/>
          <w:numId w:val="2457"/>
        </w:numPr>
      </w:pPr>
    </w:p>
    <w:p>
      <w:pPr>
        <w:pStyle w:val="Compact"/>
        <w:numPr>
          <w:ilvl w:val="2"/>
          <w:numId w:val="2459"/>
        </w:numPr>
      </w:pPr>
      <w:r>
        <w:t xml:space="preserve">La classification de gravité intrinsèque du message au moment de son émission</w:t>
      </w:r>
    </w:p>
    <w:p>
      <w:pPr>
        <w:pStyle w:val="Compact"/>
        <w:numPr>
          <w:ilvl w:val="1"/>
          <w:numId w:val="2457"/>
        </w:numPr>
      </w:pPr>
    </w:p>
    <w:p>
      <w:pPr>
        <w:pStyle w:val="Compact"/>
        <w:numPr>
          <w:ilvl w:val="2"/>
          <w:numId w:val="2460"/>
        </w:numPr>
      </w:pPr>
      <w:r>
        <w:t xml:space="preserve">Le nombre de fois qu’un message a été répété</w:t>
      </w:r>
    </w:p>
    <w:p>
      <w:pPr>
        <w:pStyle w:val="Compact"/>
        <w:numPr>
          <w:ilvl w:val="1"/>
          <w:numId w:val="2457"/>
        </w:numPr>
      </w:pPr>
    </w:p>
    <w:p>
      <w:pPr>
        <w:pStyle w:val="Compact"/>
        <w:numPr>
          <w:ilvl w:val="2"/>
          <w:numId w:val="2461"/>
        </w:numPr>
      </w:pPr>
      <w:r>
        <w:t xml:space="preserve">La durée de rétention du message</w:t>
      </w:r>
    </w:p>
    <w:p>
      <w:pPr>
        <w:pStyle w:val="Compact"/>
        <w:numPr>
          <w:ilvl w:val="0"/>
          <w:numId w:val="2451"/>
        </w:numPr>
      </w:pPr>
      <w:r>
        <w:t xml:space="preserve">Le principal avantage de Graylog mis en avant dans ce chapitre est :</w:t>
      </w:r>
    </w:p>
    <w:p>
      <w:pPr>
        <w:pStyle w:val="Compact"/>
        <w:numPr>
          <w:ilvl w:val="1"/>
          <w:numId w:val="2462"/>
        </w:numPr>
      </w:pPr>
    </w:p>
    <w:p>
      <w:pPr>
        <w:pStyle w:val="Compact"/>
        <w:numPr>
          <w:ilvl w:val="2"/>
          <w:numId w:val="2463"/>
        </w:numPr>
      </w:pPr>
      <w:r>
        <w:t xml:space="preserve">Une richesse fonctionnelle supérieure à celle de Kibana</w:t>
      </w:r>
    </w:p>
    <w:p>
      <w:pPr>
        <w:pStyle w:val="Compact"/>
        <w:numPr>
          <w:ilvl w:val="1"/>
          <w:numId w:val="2462"/>
        </w:numPr>
      </w:pPr>
    </w:p>
    <w:p>
      <w:pPr>
        <w:pStyle w:val="Compact"/>
        <w:numPr>
          <w:ilvl w:val="2"/>
          <w:numId w:val="2464"/>
        </w:numPr>
      </w:pPr>
      <w:r>
        <w:t xml:space="preserve">Une complexité opérationnelle généralement moindre et un support natif mature de Syslog</w:t>
      </w:r>
    </w:p>
    <w:p>
      <w:pPr>
        <w:pStyle w:val="Compact"/>
        <w:numPr>
          <w:ilvl w:val="1"/>
          <w:numId w:val="2462"/>
        </w:numPr>
      </w:pPr>
    </w:p>
    <w:p>
      <w:pPr>
        <w:pStyle w:val="Compact"/>
        <w:numPr>
          <w:ilvl w:val="2"/>
          <w:numId w:val="2465"/>
        </w:numPr>
      </w:pPr>
      <w:r>
        <w:t xml:space="preserve">Le remplacement complet du besoin de la pile ELK dans tous les contextes</w:t>
      </w:r>
    </w:p>
    <w:p>
      <w:pPr>
        <w:pStyle w:val="Compact"/>
        <w:numPr>
          <w:ilvl w:val="1"/>
          <w:numId w:val="2462"/>
        </w:numPr>
      </w:pPr>
    </w:p>
    <w:p>
      <w:pPr>
        <w:pStyle w:val="Compact"/>
        <w:numPr>
          <w:ilvl w:val="2"/>
          <w:numId w:val="2466"/>
        </w:numPr>
      </w:pPr>
      <w:r>
        <w:t xml:space="preserve">L’absence totale de besoin de politique de rétention</w:t>
      </w:r>
    </w:p>
    <w:p>
      <w:pPr>
        <w:pStyle w:val="FirstParagraph"/>
      </w:pPr>
      <w:r>
        <w:rPr>
          <w:b/>
          <w:bCs/>
        </w:rPr>
        <w:t xml:space="preserve">Corrigé</w:t>
      </w:r>
      <w:r>
        <w:t xml:space="preserve"> </w:t>
      </w:r>
      <w:r>
        <w:t xml:space="preserve">: 1-b, 2-b, 3-b.</w:t>
      </w:r>
    </w:p>
    <w:p>
      <w:pPr>
        <w:pStyle w:val="BodyText"/>
      </w:pPr>
      <w:r>
        <w:t xml:space="preserve">📝 Vrai ou Faux</w:t>
      </w:r>
    </w:p>
    <w:p>
      <w:pPr>
        <w:pStyle w:val="Compact"/>
        <w:numPr>
          <w:ilvl w:val="0"/>
          <w:numId w:val="2467"/>
        </w:numPr>
      </w:pPr>
      <w:r>
        <w:t xml:space="preserve">Un pare-feu d’entreprise peut généralement exécuter directement un agent Filebeat comme un serveur Linux classique. —</w:t>
      </w:r>
      <w:r>
        <w:t xml:space="preserve"> </w:t>
      </w:r>
      <w:r>
        <w:rPr>
          <w:b/>
          <w:bCs/>
        </w:rPr>
        <w:t xml:space="preserve">Faux</w:t>
      </w:r>
      <w:r>
        <w:t xml:space="preserve"> </w:t>
      </w:r>
      <w:r>
        <w:t xml:space="preserve">(section 63.1).</w:t>
      </w:r>
    </w:p>
    <w:p>
      <w:pPr>
        <w:pStyle w:val="Compact"/>
        <w:numPr>
          <w:ilvl w:val="0"/>
          <w:numId w:val="2467"/>
        </w:numPr>
      </w:pPr>
      <w:r>
        <w:t xml:space="preserve">Le trafic Syslog en UDP classique circule en clair sur le réseau, sans chiffrement natif. —</w:t>
      </w:r>
      <w:r>
        <w:t xml:space="preserve"> </w:t>
      </w:r>
      <w:r>
        <w:rPr>
          <w:b/>
          <w:bCs/>
        </w:rPr>
        <w:t xml:space="preserve">Vrai</w:t>
      </w:r>
      <w:r>
        <w:t xml:space="preserve">.</w:t>
      </w:r>
    </w:p>
    <w:p>
      <w:pPr>
        <w:pStyle w:val="Compact"/>
        <w:numPr>
          <w:ilvl w:val="0"/>
          <w:numId w:val="2467"/>
        </w:numPr>
      </w:pPr>
      <w:r>
        <w:t xml:space="preserve">Graylog est objectivement supérieur à la pile ELK dans tous les contextes. —</w:t>
      </w:r>
      <w:r>
        <w:t xml:space="preserve"> </w:t>
      </w:r>
      <w:r>
        <w:rPr>
          <w:b/>
          <w:bCs/>
        </w:rPr>
        <w:t xml:space="preserve">Faux</w:t>
      </w:r>
      <w:r>
        <w:t xml:space="preserve"> </w:t>
      </w:r>
      <w:r>
        <w:t xml:space="preserve">(section 63.6, un choix de contexte).</w:t>
      </w:r>
    </w:p>
    <w:p>
      <w:pPr>
        <w:pStyle w:val="Compact"/>
        <w:numPr>
          <w:ilvl w:val="0"/>
          <w:numId w:val="2467"/>
        </w:numPr>
      </w:pPr>
      <w:r>
        <w:t xml:space="preserve">La severity Syslog et un seuil d’alerte de supervision maintenu dans le temps désignent le même concept. —</w:t>
      </w:r>
      <w:r>
        <w:t xml:space="preserve"> </w:t>
      </w:r>
      <w:r>
        <w:rPr>
          <w:b/>
          <w:bCs/>
        </w:rPr>
        <w:t xml:space="preserve">Faux</w:t>
      </w:r>
      <w:r>
        <w:t xml:space="preserve"> </w:t>
      </w:r>
      <w:r>
        <w:t xml:space="preserve">(section 63.2).</w:t>
      </w:r>
    </w:p>
    <w:p>
      <w:pPr>
        <w:pStyle w:val="FirstParagraph"/>
      </w:pPr>
      <w:r>
        <w:t xml:space="preserve">📝 Questions ouvertes</w:t>
      </w:r>
    </w:p>
    <w:p>
      <w:pPr>
        <w:pStyle w:val="Compact"/>
        <w:numPr>
          <w:ilvl w:val="0"/>
          <w:numId w:val="2468"/>
        </w:numPr>
      </w:pPr>
      <w:r>
        <w:t xml:space="preserve">Explique pourquoi l’équipe du scénario d’ouverture n’a pas simplement étendu son usage de la pile ELK et de Filebeat déjà en place au chapitre 62 pour couvrir également les équipements réseau.</w:t>
      </w:r>
    </w:p>
    <w:p>
      <w:pPr>
        <w:pStyle w:val="Compact"/>
        <w:numPr>
          <w:ilvl w:val="0"/>
          <w:numId w:val="2468"/>
        </w:numPr>
      </w:pPr>
      <w:r>
        <w:t xml:space="preserve">Un collègue propose d’abandonner complètement la pile ELK au profit de Graylog pour l’ensemble de l’infrastructure, serveurs compris,</w:t>
      </w:r>
      <w:r>
        <w:t xml:space="preserve"> </w:t>
      </w:r>
      <w:r>
        <w:t xml:space="preserve">“pour simplifier et n’avoir qu’un seul outil”</w:t>
      </w:r>
      <w:r>
        <w:t xml:space="preserve">. Discute les avantages et les limites de cette proposition.</w:t>
      </w:r>
    </w:p>
    <w:p>
      <w:pPr>
        <w:pStyle w:val="FirstParagraph"/>
      </w:pPr>
      <w:r>
        <w:rPr>
          <w:b/>
          <w:bCs/>
        </w:rPr>
        <w:t xml:space="preserve">Corrigé 1</w:t>
      </w:r>
      <w:r>
        <w:t xml:space="preserve"> </w:t>
      </w:r>
      <w:r>
        <w:t xml:space="preserve">: Filebeat suppose un système d’exploitation général capable d’exécuter un agent logiciel installé — un pare-feu ou un commutateur d’entreprise est généralement un système embarqué fermé, sans cette capacité. Ces équipements s’appuient à la place sur Syslog, un protocole de transmission réseau standard qu’ils supportent nativement, sans nécessiter d’installation logicielle. Bien que la pile ELK puisse également recevoir du Syslog via une configuration adaptée, l’équipe a choisi Graylog pour ce besoin spécifique en raison de son support Syslog particulièrement mature et de sa complexité opérationnelle moindre pour une équipe encore restreinte — un choix de contexte plutôt qu’une limitation technique absolue de la pile ELK.</w:t>
      </w:r>
    </w:p>
    <w:p>
      <w:pPr>
        <w:pStyle w:val="BodyText"/>
      </w:pPr>
      <w:r>
        <w:rPr>
          <w:b/>
          <w:bCs/>
        </w:rPr>
        <w:t xml:space="preserve">Corrigé 2</w:t>
      </w:r>
      <w:r>
        <w:t xml:space="preserve"> </w:t>
      </w:r>
      <w:r>
        <w:t xml:space="preserve">: un seul outil de centralisation présente l’avantage réel de réduire la charge de maintenance et d’apprentissage pour l’équipe, en évitant de devoir opérer deux systèmes distincts. Cependant, cette simplification a un coût : Kibana offre une richesse de visualisation et un écosystème d’extensions plus étendus que Graylog (section 63.6), un avantage réel pour des analyses de logs plus poussées sur les serveurs applicatifs. La décision ne devrait donc pas se limiter au seul critère de simplicité, mais prendre en compte les besoins réels d’analyse pour chaque catégorie de source — reproduisant le même arbitrage déjà rencontré au chapitre 60 entre Zabbix et Prometheus : deux outils bien positionnés selon leur contexte respectif restent souvent préférables à un outil unique imposé partout par simple souci d’uniformité.</w:t>
      </w:r>
    </w:p>
    <w:bookmarkEnd w:id="1549"/>
    <w:bookmarkStart w:id="1550" w:name="exercices-62"/>
    <w:p>
      <w:pPr>
        <w:pStyle w:val="Heading2"/>
      </w:pPr>
      <w:r>
        <w:t xml:space="preserve">Exercices</w:t>
      </w:r>
    </w:p>
    <w:p>
      <w:pPr>
        <w:pStyle w:val="FirstParagraph"/>
      </w:pPr>
      <w:r>
        <w:t xml:space="preserve">📝 Exercice 63.1</w:t>
      </w:r>
    </w:p>
    <w:p>
      <w:pPr>
        <w:pStyle w:val="BodyText"/>
      </w:pPr>
      <w:r>
        <w:t xml:space="preserve">Un nouveau commutateur réseau est installé sur le site de Cap-Haïtien. Décris les étapes nécessaires pour centraliser ses journaux dans Graylog, dans le même esprit que l’atelier de ce chapitre.</w:t>
      </w:r>
    </w:p>
    <w:p>
      <w:pPr>
        <w:pStyle w:val="BodyText"/>
      </w:pPr>
      <w:r>
        <w:rPr>
          <w:b/>
          <w:bCs/>
        </w:rPr>
        <w:t xml:space="preserve">Corrigé :</w:t>
      </w:r>
      <w:r>
        <w:t xml:space="preserve"> </w:t>
      </w:r>
      <w:r>
        <w:t xml:space="preserve">1) Vérifier que l’input Syslog est actif dans Graylog (section 63.4), en le créant si ce n’est pas déjà fait pour ce type de source. 2) Configurer le commutateur pour envoyer ses journaux Syslog vers l’adresse IP du serveur Graylog, sur le port 514 par défaut. 3) Vérifier la connectivité réseau entre le commutateur et le serveur Graylog, en s’assurant qu’aucun pare-feu intermédiaire ne bloque ce trafic, particulièrement pertinent entre deux sites distincts (Port-au-Prince et Cap-Haïtien) reliés par un lien VPN site à site. 4) Confirmer que les messages apparaissent dans l’interface de recherche Graylog avec la facility et la severity correctement identifiées. Cette démarche reproduit celle déjà appliquée au pare-feu périmétrique dans l’atelier de ce chapitre, appliquée ici à un nouvel équipement et un site distant.</w:t>
      </w:r>
    </w:p>
    <w:p>
      <w:pPr>
        <w:pStyle w:val="BodyText"/>
      </w:pPr>
      <w:r>
        <w:t xml:space="preserve">📝 Exercice 63.2</w:t>
      </w:r>
    </w:p>
    <w:p>
      <w:pPr>
        <w:pStyle w:val="BodyText"/>
      </w:pPr>
      <w:r>
        <w:t xml:space="preserve">Rédige, en 3 à 5 phrases, une politique d’équipe définissant quand utiliser la pile ELK et quand utiliser Graylog pour un nouveau besoin de centralisation de logs, en t’appuyant sur le tableau de décision de la section 63.6.</w:t>
      </w:r>
    </w:p>
    <w:p>
      <w:pPr>
        <w:pStyle w:val="BodyText"/>
      </w:pPr>
      <w:r>
        <w:rPr>
          <w:b/>
          <w:bCs/>
        </w:rPr>
        <w:t xml:space="preserve">Corrigé (exemple de réponse) :</w:t>
      </w:r>
      <w:r>
        <w:t xml:space="preserve"> </w:t>
      </w:r>
      <w:r>
        <w:t xml:space="preserve">Pour toute nouvelle source de logs provenant d’un serveur capable d’exécuter un agent moderne comme Filebeat, avec un besoin d’analyse ou de visualisation poussé, la pile ELK déjà en place restera l’outil de référence. Pour toute source limitée au protocole Syslog, notamment les équipements réseau (pare-feu, commutateurs, routeurs), Graylog sera privilégié en raison de son support natif plus mature de ce protocole et de sa complexité opérationnelle moindre. Toute exception à cette répartition devra être documentée avec sa justification, évitant qu’une décision ponctuelle ne devienne une source de confusion pour l’équipe ultérieurement, dans le même esprit que la documentation déjà recommandée à la section</w:t>
      </w:r>
      <w:r>
        <w:t xml:space="preserve"> </w:t>
      </w:r>
      <w:r>
        <w:t xml:space="preserve">“Maintenabilité”</w:t>
      </w:r>
      <w:r>
        <w:t xml:space="preserve"> </w:t>
      </w:r>
      <w:r>
        <w:t xml:space="preserve">de ce chapitre.</w:t>
      </w:r>
    </w:p>
    <w:bookmarkEnd w:id="1550"/>
    <w:bookmarkStart w:id="1551" w:name="checklist-de-fin-de-chapitre-62"/>
    <w:p>
      <w:pPr>
        <w:pStyle w:val="Heading2"/>
      </w:pPr>
      <w:r>
        <w:t xml:space="preserve">Checklist de fin de chapitre</w:t>
      </w:r>
    </w:p>
    <w:p>
      <w:pPr>
        <w:pStyle w:val="FirstParagraph"/>
      </w:pPr>
      <w:r>
        <w:t xml:space="preserve">☐ Je comprends pourquoi les équipements réseau s’appuient sur Syslog plutôt que sur un agent comme Filebeat.</w:t>
      </w:r>
    </w:p>
    <w:p>
      <w:pPr>
        <w:pStyle w:val="BodyText"/>
      </w:pPr>
      <w:r>
        <w:t xml:space="preserve">☐ Je sais distinguer la facility et la severity d’un message Syslog.</w:t>
      </w:r>
    </w:p>
    <w:p>
      <w:pPr>
        <w:pStyle w:val="BodyText"/>
      </w:pPr>
      <w:r>
        <w:t xml:space="preserve">☐ Je sais configurer une source Syslog dans Graylog et un équipement pour y envoyer ses journaux.</w:t>
      </w:r>
    </w:p>
    <w:p>
      <w:pPr>
        <w:pStyle w:val="BodyText"/>
      </w:pPr>
      <w:r>
        <w:t xml:space="preserve">☐ Je comprends la différence entre la severity Syslog et un seuil d’alerte de supervision maintenu dans le temps.</w:t>
      </w:r>
    </w:p>
    <w:p>
      <w:pPr>
        <w:pStyle w:val="BodyText"/>
      </w:pPr>
      <w:r>
        <w:t xml:space="preserve">☐ Je sais argumenter un choix entre la pile ELK et Graylog selon le contexte réel d’un besoin donné.</w:t>
      </w:r>
    </w:p>
    <w:p>
      <w:pPr>
        <w:pStyle w:val="BodyText"/>
      </w:pPr>
      <w:r>
        <w:t xml:space="preserve">☐ Je sais diagnostiquer une absence de réception de logs Syslog.</w:t>
      </w:r>
    </w:p>
    <w:bookmarkEnd w:id="1551"/>
    <w:bookmarkStart w:id="1552" w:name="faq-62"/>
    <w:p>
      <w:pPr>
        <w:pStyle w:val="Heading2"/>
      </w:pPr>
      <w:r>
        <w:t xml:space="preserve">FAQ</w:t>
      </w:r>
    </w:p>
    <w:p>
      <w:pPr>
        <w:pStyle w:val="FirstParagraph"/>
      </w:pPr>
      <w:r>
        <w:t xml:space="preserve">Graylog peut-il également recevoir des logs depuis des serveurs, comme le fait la pile ELK ?</w:t>
      </w:r>
    </w:p>
    <w:p>
      <w:pPr>
        <w:pStyle w:val="BodyText"/>
      </w:pPr>
      <w:r>
        <w:t xml:space="preserve">Oui, Graylog peut recevoir des logs depuis de nombreuses sources au-delà de Syslog, y compris depuis des agents dédiés — le choix entre ELK et Graylog pour les serveurs reste donc une question de contexte et de préférence d’équipe plutôt qu’une limitation technique stricte de l’un ou l’autre outil.</w:t>
      </w:r>
    </w:p>
    <w:p>
      <w:pPr>
        <w:pStyle w:val="BodyText"/>
      </w:pPr>
      <w:r>
        <w:t xml:space="preserve">Faut-il faire confiance par défaut aux messages Syslog reçus, sans vérification supplémentaire ?</w:t>
      </w:r>
    </w:p>
    <w:p>
      <w:pPr>
        <w:pStyle w:val="BodyText"/>
      </w:pPr>
      <w:r>
        <w:t xml:space="preserve">Non, un message Syslog peut en théorie être falsifié par une source malveillante ayant accès au réseau — restreindre l’accès réseau au port Syslog aux seules adresses légitimes des équipements source (section</w:t>
      </w:r>
      <w:r>
        <w:t xml:space="preserve"> </w:t>
      </w:r>
      <w:r>
        <w:t xml:space="preserve">“Sécurité”</w:t>
      </w:r>
      <w:r>
        <w:t xml:space="preserve">) reste une précaution nécessaire, au même titre que pour tout service exposé sur le réseau.</w:t>
      </w:r>
    </w:p>
    <w:p>
      <w:pPr>
        <w:pStyle w:val="BodyText"/>
      </w:pPr>
      <w:r>
        <w:t xml:space="preserve">Existe-t-il une version sécurisée et chiffrée de Syslog ?</w:t>
      </w:r>
    </w:p>
    <w:p>
      <w:pPr>
        <w:pStyle w:val="BodyText"/>
      </w:pPr>
      <w:r>
        <w:t xml:space="preserve">Oui, Syslog sur TLS (souvent sur le port 6514) ajoute le chiffrement et une authentification du flux, recommandé lorsque l’équipement source le supporte, en particulier pour tout trafic traversant un segment réseau moins fiable qu’un VLAN d’administration dédié.</w:t>
      </w:r>
    </w:p>
    <w:p>
      <w:pPr>
        <w:pStyle w:val="BodyText"/>
      </w:pPr>
      <w:r>
        <w:t xml:space="preserve">Combien de temps conserve-t-on généralement les logs Syslog d’un pare-feu périmétrique ?</w:t>
      </w:r>
    </w:p>
    <w:p>
      <w:pPr>
        <w:pStyle w:val="BodyText"/>
      </w:pPr>
      <w:r>
        <w:t xml:space="preserve">Une durée de conservation plus longue que pour des logs applicatifs courants est généralement recommandée, ces journaux constituant souvent une preuve clé lors d’une investigation de sécurité rétrospective — la durée exacte dépend des exigences de conformité applicables à l’organisation, un sujet approfondi à la Partie 12 de ce manuel.</w:t>
      </w:r>
    </w:p>
    <w:bookmarkEnd w:id="1552"/>
    <w:bookmarkStart w:id="1555" w:name="références-et-pour-aller-plus-loin-62"/>
    <w:p>
      <w:pPr>
        <w:pStyle w:val="Heading2"/>
      </w:pPr>
      <w:r>
        <w:t xml:space="preserve">Références et pour aller plus loin</w:t>
      </w:r>
    </w:p>
    <w:p>
      <w:pPr>
        <w:pStyle w:val="Compact"/>
        <w:numPr>
          <w:ilvl w:val="0"/>
          <w:numId w:val="2469"/>
        </w:numPr>
      </w:pPr>
      <w:r>
        <w:t xml:space="preserve">Documentation officielle Graylog :</w:t>
      </w:r>
      <w:r>
        <w:t xml:space="preserve"> </w:t>
      </w:r>
      <w:hyperlink r:id="rId1553">
        <w:r>
          <w:rPr>
            <w:rStyle w:val="Hyperlink"/>
          </w:rPr>
          <w:t xml:space="preserve">https://go2docs.graylog.org/</w:t>
        </w:r>
      </w:hyperlink>
    </w:p>
    <w:p>
      <w:pPr>
        <w:pStyle w:val="Compact"/>
        <w:numPr>
          <w:ilvl w:val="0"/>
          <w:numId w:val="2469"/>
        </w:numPr>
      </w:pPr>
      <w:r>
        <w:t xml:space="preserve">RFC 5424 — The Syslog Protocol :</w:t>
      </w:r>
      <w:r>
        <w:t xml:space="preserve"> </w:t>
      </w:r>
      <w:hyperlink r:id="rId1554">
        <w:r>
          <w:rPr>
            <w:rStyle w:val="Hyperlink"/>
          </w:rPr>
          <w:t xml:space="preserve">https://www.rfc-editor.org/rfc/rfc5424</w:t>
        </w:r>
      </w:hyperlink>
    </w:p>
    <w:p>
      <w:pPr>
        <w:pStyle w:val="FirstParagraph"/>
      </w:pPr>
      <w:r>
        <w:rPr>
          <w:i/>
          <w:iCs/>
        </w:rPr>
        <w:t xml:space="preserve">Chapitre suivant : Wireshark et analyse de trafic réseau — descendre un niveau plus bas que les logs applicatifs, pour observer et diagnostiquer directement ce qui circule sur le réseau, paquet par paquet.</w:t>
      </w:r>
    </w:p>
    <w:p>
      <w:pPr>
        <w:pStyle w:val="BodyText"/>
      </w:pPr>
      <w:r>
        <w:t xml:space="preserve">CHAPITRE 64</w:t>
      </w:r>
    </w:p>
    <w:bookmarkEnd w:id="1555"/>
    <w:bookmarkEnd w:id="1556"/>
    <w:bookmarkStart w:id="1578" w:name="wireshark-et-analyse-de-trafic-réseau"/>
    <w:p>
      <w:pPr>
        <w:pStyle w:val="Heading1"/>
      </w:pPr>
      <w:r>
        <w:t xml:space="preserve">Wireshark et analyse de trafic réseau</w:t>
      </w:r>
    </w:p>
    <w:p>
      <w:pPr>
        <w:pStyle w:val="FirstParagraph"/>
      </w:pPr>
      <w:r>
        <w:t xml:space="preserve">🎯 Objectif du chapitre</w:t>
      </w:r>
      <w:r>
        <w:t xml:space="preserve"> </w:t>
      </w:r>
      <w:r>
        <w:t xml:space="preserve">Descendre un niveau plus bas que les logs applicatifs et les métriques déjà couverts dans cette partie, pour observer directement ce qui circule réellement sur le réseau, paquet par paquet, lorsque les outils de plus haut niveau ne suffisent plus à expliquer un problème. À la fin de ce chapitre, tu sauras capturer du trafic réseau avec Wireshark, distinguer un filtre de capture d’un filtre d’affichage, suivre un flux réseau complet, et diagnostiquer si un problème est réseau ou applicatif.</w:t>
      </w:r>
    </w:p>
    <w:p>
      <w:pPr>
        <w:pStyle w:val="BodyText"/>
      </w:pPr>
      <w:r>
        <w:t xml:space="preserve">🎬 Mise en situation</w:t>
      </w:r>
      <w:r>
        <w:t xml:space="preserve"> </w:t>
      </w:r>
      <w:r>
        <w:t xml:space="preserve">Rappel du chapitre précédent : lorsque des messages Syslog attendus n’apparaissaient jamais dans Graylog, la méthode de diagnostic proposée consistait à</w:t>
      </w:r>
      <w:r>
        <w:t xml:space="preserve"> </w:t>
      </w:r>
      <w:r>
        <w:t xml:space="preserve">“capturer le trafic réseau directement sur le serveur Graylog pour confirmer si les paquets Syslog atteignent réellement le serveur”</w:t>
      </w:r>
      <w:r>
        <w:t xml:space="preserve">. Ce chapitre met enfin cette méthode en pratique. Plus largement, chaque fois qu’un problème résiste aux outils de supervision et de centralisation déjà couverts — une connexion qui échoue sans message d’erreur clair, une latence dont l’origine reste incertaine — l’analyse directe du trafic réseau reste le dernier niveau de vérité disponible.</w:t>
      </w:r>
    </w:p>
    <w:bookmarkStart w:id="1557" w:name="X357a01f7ee9334e875f08de566aa7f8203744da"/>
    <w:p>
      <w:pPr>
        <w:pStyle w:val="Heading2"/>
      </w:pPr>
      <w:r>
        <w:t xml:space="preserve">64.1 Quand les logs et les métriques ne suffisent plus</w:t>
      </w:r>
    </w:p>
    <w:p>
      <w:pPr>
        <w:pStyle w:val="FirstParagraph"/>
      </w:pPr>
      <w:r>
        <w:t xml:space="preserve">📌 À retenir — le niveau de détail ultime</w:t>
      </w:r>
      <w:r>
        <w:t xml:space="preserve"> </w:t>
      </w:r>
      <w:r>
        <w:t xml:space="preserve">Les métriques (chapitre 58) répondent à</w:t>
      </w:r>
      <w:r>
        <w:t xml:space="preserve"> </w:t>
      </w:r>
      <w:r>
        <w:t xml:space="preserve">“combien”</w:t>
      </w:r>
      <w:r>
        <w:t xml:space="preserve"> </w:t>
      </w:r>
      <w:r>
        <w:t xml:space="preserve">; les logs (chapitres 62-63) répondent à</w:t>
      </w:r>
      <w:r>
        <w:t xml:space="preserve"> </w:t>
      </w:r>
      <w:r>
        <w:t xml:space="preserve">“que s’est-il passé, selon l’application ou l’équipement lui-même”</w:t>
      </w:r>
      <w:r>
        <w:t xml:space="preserve">. Aucun des deux ne répond directement à la question</w:t>
      </w:r>
      <w:r>
        <w:t xml:space="preserve"> </w:t>
      </w:r>
      <w:r>
        <w:t xml:space="preserve">“qu’est-ce qui a réellement transité sur le câble ou l’onde radio”</w:t>
      </w:r>
      <w:r>
        <w:t xml:space="preserve"> </w:t>
      </w:r>
      <w:r>
        <w:t xml:space="preserve">— une question qui devient essentielle lorsque le problème se situe précisément entre ce qu’une application croit avoir envoyé et ce que l’autre partie affirme avoir reçu.</w:t>
      </w:r>
    </w:p>
    <w:bookmarkEnd w:id="1557"/>
    <w:bookmarkStart w:id="1558" w:name="Xb59e1f38793b3153cd62ca0ff2c491cd70fb84a"/>
    <w:p>
      <w:pPr>
        <w:pStyle w:val="Heading2"/>
      </w:pPr>
      <w:r>
        <w:t xml:space="preserve">64.2 Wireshark : capturer et analyser le trafic réseau</w:t>
      </w:r>
    </w:p>
    <w:p>
      <w:pPr>
        <w:pStyle w:val="FirstParagraph"/>
      </w:pPr>
      <w:r>
        <w:t xml:space="preserve">💡 Analogie — la mise sur écoute légale d’un flux plutôt que le journal de bord de ses participants</w:t>
      </w:r>
      <w:r>
        <w:t xml:space="preserve"> </w:t>
      </w:r>
      <w:r>
        <w:t xml:space="preserve">Un log applicatif est comparable au journal de bord tenu par l’un des participants à une conversation — il décrit ce que ce participant croit avoir dit ou reçu. Wireshark, lui, capture directement le flux réel transitant sur le réseau, sans dépendre de ce qu’une application choisit ou non de journaliser — une preuve indépendante de toute interprétation applicative, particulièrement utile quand les logs eux-mêmes ne suffisent pas à trancher.</w:t>
      </w:r>
    </w:p>
    <w:bookmarkEnd w:id="1558"/>
    <w:bookmarkStart w:id="1559" w:name="Xebbdde548cf8dc6d958a7f5e0d01a06dd7d8b53"/>
    <w:p>
      <w:pPr>
        <w:pStyle w:val="Heading2"/>
      </w:pPr>
      <w:r>
        <w:t xml:space="preserve">64.3 Filtres de capture et filtres d’affichage : ne pas les confondre</w:t>
      </w:r>
    </w:p>
    <w:p>
      <w:pPr>
        <w:pStyle w:val="FirstParagraph"/>
      </w:pPr>
      <w:r>
        <w:t xml:space="preserve">⚠️ Le piège le plus fréquent chez un débutant</w:t>
      </w:r>
      <w:r>
        <w:t xml:space="preserve"> </w:t>
      </w:r>
      <w:r>
        <w:t xml:space="preserve">Un</w:t>
      </w:r>
      <w:r>
        <w:t xml:space="preserve"> </w:t>
      </w:r>
      <w:r>
        <w:rPr>
          <w:b/>
          <w:bCs/>
        </w:rPr>
        <w:t xml:space="preserve">filtre de capture</w:t>
      </w:r>
      <w:r>
        <w:t xml:space="preserve"> </w:t>
      </w:r>
      <w:r>
        <w:t xml:space="preserve">est appliqué avant l’enregistrement — les paquets qui ne correspondent pas ne sont jamais capturés ni conservés. Un</w:t>
      </w:r>
      <w:r>
        <w:t xml:space="preserve"> </w:t>
      </w:r>
      <w:r>
        <w:rPr>
          <w:b/>
          <w:bCs/>
        </w:rPr>
        <w:t xml:space="preserve">filtre d’affichage</w:t>
      </w:r>
      <w:r>
        <w:t xml:space="preserve"> </w:t>
      </w:r>
      <w:r>
        <w:t xml:space="preserve">est appliqué après coup sur une capture déjà complète — il masque simplement certains paquets à l’écran, sans les supprimer. Un filtre de capture trop restrictif peut faire disparaître définitivement le paquet recherché avant même qu’il ne soit enregistré, rendant tout diagnostic ultérieur impossible.</w:t>
      </w:r>
    </w:p>
    <w:p>
      <w:pPr>
        <w:pStyle w:val="SourceCode"/>
      </w:pPr>
      <w:r>
        <w:rPr>
          <w:rStyle w:val="VerbatimChar"/>
        </w:rPr>
        <w:t xml:space="preserve"># Filtre de capture (appliqué au démarrage, syntaxe BPF)</w:t>
      </w:r>
      <w:r>
        <w:br/>
      </w:r>
      <w:r>
        <w:rPr>
          <w:rStyle w:val="VerbatimChar"/>
        </w:rPr>
        <w:t xml:space="preserve">udp port 514</w:t>
      </w:r>
      <w:r>
        <w:br/>
      </w:r>
      <w:r>
        <w:br/>
      </w:r>
      <w:r>
        <w:rPr>
          <w:rStyle w:val="VerbatimChar"/>
        </w:rPr>
        <w:t xml:space="preserve"># Filtre d'affichage (appliqué après capture, syntaxe Wireshark)</w:t>
      </w:r>
      <w:r>
        <w:br/>
      </w:r>
      <w:r>
        <w:rPr>
          <w:rStyle w:val="VerbatimChar"/>
        </w:rPr>
        <w:t xml:space="preserve">udp.port == 514 &amp;&amp; ip.addr == 10.10.1.8</w:t>
      </w:r>
    </w:p>
    <w:bookmarkEnd w:id="1559"/>
    <w:bookmarkStart w:id="1560" w:name="lire-une-trame-capturée"/>
    <w:p>
      <w:pPr>
        <w:pStyle w:val="Heading2"/>
      </w:pPr>
      <w:r>
        <w:t xml:space="preserve">64.4 Lire une trame capturée</w:t>
      </w:r>
    </w:p>
    <w:p>
      <w:pPr>
        <w:pStyle w:val="FirstParagraph"/>
      </w:pPr>
      <w:r>
        <w:t xml:space="preserve">📌 À retenir</w:t>
      </w:r>
      <w:r>
        <w:t xml:space="preserve"> </w:t>
      </w:r>
      <w:r>
        <w:t xml:space="preserve">Chaque paquet capturé s’affiche en couches successives — trame Ethernet, en-tête IP, en-tête TCP ou UDP, puis les données applicatives elles-mêmes. Cette structure en couches reflète directement l’encapsulation réseau standard : chaque couche protocolaire ajoute son propre en-tête autour des données de la couche supérieure, une structure que la Partie 11 de ce manuel approfondira pour les équipements réseau eux-mêmes.</w:t>
      </w:r>
    </w:p>
    <w:bookmarkEnd w:id="1560"/>
    <w:bookmarkStart w:id="1561" w:name="Xf5a156d93314cb9f290712a94db672f5f4f31ac"/>
    <w:p>
      <w:pPr>
        <w:pStyle w:val="Heading2"/>
      </w:pPr>
      <w:r>
        <w:t xml:space="preserve">64.5 Résoudre concrètement le problème du chapitre 63</w:t>
      </w:r>
    </w:p>
    <w:p>
      <w:pPr>
        <w:pStyle w:val="FirstParagraph"/>
      </w:pPr>
      <w:r>
        <w:t xml:space="preserve">✅ Suivre un flux pour confirmer ou infirmer une hypothèse</w:t>
      </w:r>
      <w:r>
        <w:t xml:space="preserve"> </w:t>
      </w:r>
      <w:r>
        <w:t xml:space="preserve">Pour le problème du scénario d’ouverture, une capture lancée directement sur le serveur Graylog, filtrée sur le port UDP 514, répond immédiatement à la question posée : si aucun paquet n’apparaît malgré l’attente, le problème se situe bien avant Graylog — un pare-feu intermédiaire, une mauvaise adresse de destination configurée sur le pare-feu source, ou une route réseau incorrecte. Si les paquets apparaissent bien dans la capture mais que Graylog ne les traite toujours pas, le problème se situe alors réellement dans la configuration de Graylog lui-même — une distinction que les outils de plus haut niveau ne pouvaient pas trancher seuls.</w:t>
      </w:r>
    </w:p>
    <w:bookmarkEnd w:id="1561"/>
    <w:bookmarkStart w:id="1562" w:name="X9dc5097f0328bf2409a21408388462ebf1f2df6"/>
    <w:p>
      <w:pPr>
        <w:pStyle w:val="Heading2"/>
      </w:pPr>
      <w:r>
        <w:t xml:space="preserve">64.6 Diagnostiquer une latence réseau ou une latence applicative</w:t>
      </w:r>
    </w:p>
    <w:p>
      <w:pPr>
        <w:pStyle w:val="FirstParagraph"/>
      </w:pPr>
      <w:r>
        <w:t xml:space="preserve">💡 Rappel indirect du chapitre 58 — compléter une métrique par une preuve directe</w:t>
      </w:r>
      <w:r>
        <w:t xml:space="preserve"> </w:t>
      </w:r>
      <w:r>
        <w:t xml:space="preserve">Une métrique de latence élevée sur le portail client (section 58.3, chapitre 60) indique qu’un problème existe, mais pas nécessairement où. Une capture Wireshark, en mesurant précisément le délai entre l’envoi d’une requête et la réception de sa réponse au niveau réseau, permet de distinguer une latence due au réseau lui-même (délai de transmission, perte de paquets nécessitant une retransmission) d’une latence due à l’application qui met simplement du temps à répondre après avoir bien reçu la requête.</w:t>
      </w:r>
    </w:p>
    <w:bookmarkEnd w:id="1562"/>
    <w:bookmarkStart w:id="1563" w:name="Xbb5321cc9fedadba53b7ce4efdd69f2cd9043b1"/>
    <w:p>
      <w:pPr>
        <w:pStyle w:val="Heading2"/>
      </w:pPr>
      <w:r>
        <w:t xml:space="preserve">64.7 Ce que Wireshark révèle aussi sur le trafic en clair</w:t>
      </w:r>
    </w:p>
    <w:p>
      <w:pPr>
        <w:pStyle w:val="FirstParagraph"/>
      </w:pPr>
      <w:r>
        <w:t xml:space="preserve">🔒 Sécurité — rappel direct de la section 63.4</w:t>
      </w:r>
      <w:r>
        <w:t xml:space="preserve"> </w:t>
      </w:r>
      <w:r>
        <w:t xml:space="preserve">Une capture Wireshark sur un flux Syslog en clair (chapitre 63) révèle directement en texte lisible le contenu complet des messages transmis, y compris toute donnée sensible qui y figurerait par erreur — une démonstration concrète, plutôt que théorique, du risque déjà évoqué pour tout protocole non chiffré. Cette même capacité de lecture directe est précisément ce qu’un attaquant positionné sur le réseau pourrait exploiter, justifiant les recommandations de chiffrement déjà formulées.</w:t>
      </w:r>
    </w:p>
    <w:bookmarkEnd w:id="1563"/>
    <w:bookmarkStart w:id="1564" w:name="X1c755810328a7cea3682a7faa1acd04e7b41e77"/>
    <w:p>
      <w:pPr>
        <w:pStyle w:val="Heading2"/>
      </w:pPr>
      <w:r>
        <w:t xml:space="preserve">Atelier — Diagnostiquer l’absence de paquets Syslog</w:t>
      </w:r>
    </w:p>
    <w:p>
      <w:pPr>
        <w:pStyle w:val="FirstParagraph"/>
      </w:pPr>
      <w:r>
        <w:t xml:space="preserve">🛠️ Atelier 64 — Compléter le diagnostic laissé en suspens au chapitre 63</w:t>
      </w:r>
    </w:p>
    <w:p>
      <w:pPr>
        <w:pStyle w:val="BodyText"/>
      </w:pPr>
      <w:r>
        <w:rPr>
          <w:b/>
          <w:bCs/>
        </w:rPr>
        <w:t xml:space="preserve">Objectif</w:t>
      </w:r>
      <w:r>
        <w:t xml:space="preserve"> </w:t>
      </w:r>
      <w:r>
        <w:t xml:space="preserve">: utiliser Wireshark pour déterminer précisément où se situe le problème lorsque des messages Syslog attendus n’apparaissent pas dans Graylog.</w:t>
      </w:r>
    </w:p>
    <w:p>
      <w:pPr>
        <w:pStyle w:val="BodyText"/>
      </w:pPr>
      <w:r>
        <w:rPr>
          <w:b/>
          <w:bCs/>
        </w:rPr>
        <w:t xml:space="preserve">Préparation</w:t>
      </w:r>
      <w:r>
        <w:t xml:space="preserve"> </w:t>
      </w:r>
      <w:r>
        <w:t xml:space="preserve">: un accès au serveur Graylog avec les droits nécessaires pour lancer une capture réseau.</w:t>
      </w:r>
    </w:p>
    <w:p>
      <w:pPr>
        <w:pStyle w:val="BodyText"/>
      </w:pPr>
      <w:r>
        <w:rPr>
          <w:b/>
          <w:bCs/>
        </w:rPr>
        <w:t xml:space="preserve">Étapes détaillées</w:t>
      </w:r>
      <w:r>
        <w:t xml:space="preserve"> </w:t>
      </w:r>
      <w:r>
        <w:t xml:space="preserve">:</w:t>
      </w:r>
    </w:p>
    <w:p>
      <w:pPr>
        <w:pStyle w:val="Compact"/>
        <w:numPr>
          <w:ilvl w:val="0"/>
          <w:numId w:val="2470"/>
        </w:numPr>
      </w:pPr>
      <w:r>
        <w:t xml:space="preserve">Lance une capture sur l’interface réseau du serveur Graylog, avec un filtre de capture restreint au port UDP 514 (section 64.3).</w:t>
      </w:r>
    </w:p>
    <w:p>
      <w:pPr>
        <w:pStyle w:val="Compact"/>
        <w:numPr>
          <w:ilvl w:val="0"/>
          <w:numId w:val="2470"/>
        </w:numPr>
      </w:pPr>
      <w:r>
        <w:t xml:space="preserve">Provoque un événement sur le pare-feu source censé générer un message Syslog.</w:t>
      </w:r>
    </w:p>
    <w:p>
      <w:pPr>
        <w:pStyle w:val="Compact"/>
        <w:numPr>
          <w:ilvl w:val="0"/>
          <w:numId w:val="2470"/>
        </w:numPr>
      </w:pPr>
      <w:r>
        <w:t xml:space="preserve">Observe si le paquet correspondant apparaît dans la capture.</w:t>
      </w:r>
    </w:p>
    <w:p>
      <w:pPr>
        <w:pStyle w:val="Compact"/>
        <w:numPr>
          <w:ilvl w:val="0"/>
          <w:numId w:val="2470"/>
        </w:numPr>
      </w:pPr>
      <w:r>
        <w:t xml:space="preserve">Selon le résultat, détermine si le problème se situe avant Graylog (réseau, pare-feu intermédiaire) ou dans Graylog lui-même (section 64.5).</w:t>
      </w:r>
    </w:p>
    <w:p>
      <w:pPr>
        <w:pStyle w:val="Compact"/>
        <w:numPr>
          <w:ilvl w:val="0"/>
          <w:numId w:val="2470"/>
        </w:numPr>
      </w:pPr>
      <w:r>
        <w:t xml:space="preserve">Compare ta démarche à la section</w:t>
      </w:r>
      <w:r>
        <w:t xml:space="preserve"> </w:t>
      </w:r>
      <w:r>
        <w:t xml:space="preserve">“Résultat attendu”</w:t>
      </w:r>
      <w:r>
        <w:t xml:space="preserve">.</w:t>
      </w:r>
    </w:p>
    <w:p>
      <w:pPr>
        <w:pStyle w:val="FirstParagraph"/>
      </w:pPr>
      <w:r>
        <w:rPr>
          <w:b/>
          <w:bCs/>
        </w:rPr>
        <w:t xml:space="preserve">Résultat attendu</w:t>
      </w:r>
      <w:r>
        <w:t xml:space="preserve"> </w:t>
      </w:r>
      <w:r>
        <w:t xml:space="preserve">: si aucun paquet UDP 514 n’apparaît dans la capture malgré l’événement provoqué sur le pare-feu source, la cause se situe nécessairement entre le pare-feu et le serveur Graylog — un pare-feu intermédiaire bloquant le trafic, ou une erreur de configuration de l’adresse de destination sur l’équipement source. Si le paquet apparaît bien dans la capture, le problème réside dans le traitement de ce paquet par Graylog lui-même (input mal configuré, service arrêté) — une distinction cruciale que l’observation des logs ou de l’interface Graylog seule, sans capture réseau, ne permettait pas de trancher avec certitude.</w:t>
      </w:r>
    </w:p>
    <w:p>
      <w:pPr>
        <w:pStyle w:val="BodyText"/>
      </w:pPr>
      <w:r>
        <w:rPr>
          <w:b/>
          <w:bCs/>
        </w:rPr>
        <w:t xml:space="preserve">Dépannage</w:t>
      </w:r>
      <w:r>
        <w:t xml:space="preserve"> </w:t>
      </w:r>
      <w:r>
        <w:t xml:space="preserve">: si aucun trafic n’apparaît dans la capture, quel que soit le filtre appliqué, y compris un trafic qui devrait être manifestement présent, vérifie que la capture est bien lancée sur la bonne interface réseau — une erreur fréquente sur un serveur disposant de plusieurs interfaces réseau distinctes.</w:t>
      </w:r>
    </w:p>
    <w:bookmarkEnd w:id="1564"/>
    <w:bookmarkStart w:id="1565" w:name="erreurs-fréquentes-63"/>
    <w:p>
      <w:pPr>
        <w:pStyle w:val="Heading2"/>
      </w:pPr>
      <w:r>
        <w:t xml:space="preserve">Erreurs fréquentes</w:t>
      </w:r>
    </w:p>
    <w:p>
      <w:pPr>
        <w:pStyle w:val="FirstParagraph"/>
      </w:pPr>
      <w:r>
        <w:t xml:space="preserve">⚠️ Erreur n°1 — confondre filtre de capture et filtre d’affichage</w:t>
      </w:r>
      <w:r>
        <w:t xml:space="preserve"> </w:t>
      </w:r>
      <w:r>
        <w:t xml:space="preserve">Rappel de la section 64.3 : un filtre de capture trop restrictif peut faire disparaître définitivement le paquet recherché.</w:t>
      </w:r>
    </w:p>
    <w:p>
      <w:pPr>
        <w:pStyle w:val="BodyText"/>
      </w:pPr>
      <w:r>
        <w:t xml:space="preserve">⚠️ Erreur n°2 — capturer sur la mauvaise interface réseau</w:t>
      </w:r>
      <w:r>
        <w:t xml:space="preserve"> </w:t>
      </w:r>
      <w:r>
        <w:t xml:space="preserve">Rappel de l’atelier : sur un serveur disposant de plusieurs interfaces, une capture lancée sur la mauvaise interface ne montrera jamais le trafic recherché, même s’il existe bel et bien ailleurs.</w:t>
      </w:r>
    </w:p>
    <w:p>
      <w:pPr>
        <w:pStyle w:val="BodyText"/>
      </w:pPr>
      <w:r>
        <w:t xml:space="preserve">⚠️ Erreur n°3 — laisser tourner une capture indéfiniment sans limite de taille</w:t>
      </w:r>
      <w:r>
        <w:t xml:space="preserve"> </w:t>
      </w:r>
      <w:r>
        <w:t xml:space="preserve">Une capture non bornée dans le temps ou en taille peut produire un fichier extrêmement volumineux, reproduisant le même risque de saturation disque déjà rencontré à plusieurs reprises dans cette partie du manuel — toujours définir une durée ou une taille maximale avant de lancer une capture prolongée.</w:t>
      </w:r>
    </w:p>
    <w:bookmarkEnd w:id="1565"/>
    <w:bookmarkStart w:id="1566" w:name="Xe05ad749f057e22bb2f164af5c27fcc350bcc69"/>
    <w:p>
      <w:pPr>
        <w:pStyle w:val="Heading2"/>
      </w:pPr>
      <w:r>
        <w:t xml:space="preserve">Diagnostiquer une capture qui n’affiche aucun paquet</w:t>
      </w:r>
    </w:p>
    <w:p>
      <w:pPr>
        <w:pStyle w:val="FirstParagraph"/>
      </w:pPr>
      <w:r>
        <w:t xml:space="preserve">🩺 Symptôme : une capture Wireshark ne montre aucun paquet, malgré un trafic manifestement actif sur le réseau</w:t>
      </w:r>
    </w:p>
    <w:p>
      <w:pPr>
        <w:pStyle w:val="Compact"/>
        <w:numPr>
          <w:ilvl w:val="0"/>
          <w:numId w:val="2471"/>
        </w:numPr>
      </w:pPr>
      <w:r>
        <w:rPr>
          <w:b/>
          <w:bCs/>
        </w:rPr>
        <w:t xml:space="preserve">Diagnostic</w:t>
      </w:r>
      <w:r>
        <w:t xml:space="preserve"> </w:t>
      </w:r>
      <w:r>
        <w:t xml:space="preserve">: vérifier que l’interface réseau sélectionnée pour la capture est bien celle qui transporte réellement le trafic recherché, et que le mode promiscuous (nécessaire pour capturer du trafic qui ne serait pas explicitement adressé à cette interface) est activé si pertinent pour le contexte de capture.</w:t>
      </w:r>
    </w:p>
    <w:p>
      <w:pPr>
        <w:pStyle w:val="Compact"/>
        <w:numPr>
          <w:ilvl w:val="0"/>
          <w:numId w:val="2471"/>
        </w:numPr>
      </w:pPr>
      <w:r>
        <w:rPr>
          <w:b/>
          <w:bCs/>
        </w:rPr>
        <w:t xml:space="preserve">Comment vérifier</w:t>
      </w:r>
      <w:r>
        <w:t xml:space="preserve"> </w:t>
      </w:r>
      <w:r>
        <w:t xml:space="preserve">: lancer une capture sans aucun filtre, sur toutes les interfaces disponibles, pour confirmer sur laquelle le trafic recherché apparaît réellement.</w:t>
      </w:r>
    </w:p>
    <w:p>
      <w:pPr>
        <w:pStyle w:val="Compact"/>
        <w:numPr>
          <w:ilvl w:val="0"/>
          <w:numId w:val="2471"/>
        </w:numPr>
      </w:pPr>
      <w:r>
        <w:rPr>
          <w:b/>
          <w:bCs/>
        </w:rPr>
        <w:t xml:space="preserve">Résolution</w:t>
      </w:r>
      <w:r>
        <w:t xml:space="preserve"> </w:t>
      </w:r>
      <w:r>
        <w:t xml:space="preserve">: relancer la capture sur l’interface correcte identifiée — une erreur d’interface reste la cause la plus fréquente d’une capture apparemment vide.</w:t>
      </w:r>
    </w:p>
    <w:bookmarkEnd w:id="1566"/>
    <w:bookmarkStart w:id="1567" w:name="en-entreprise-63"/>
    <w:p>
      <w:pPr>
        <w:pStyle w:val="Heading2"/>
      </w:pPr>
      <w:r>
        <w:t xml:space="preserve">En entreprise</w:t>
      </w:r>
    </w:p>
    <w:p>
      <w:pPr>
        <w:pStyle w:val="Compact"/>
        <w:numPr>
          <w:ilvl w:val="0"/>
          <w:numId w:val="2472"/>
        </w:numPr>
      </w:pPr>
      <w:r>
        <w:rPr>
          <w:b/>
          <w:bCs/>
        </w:rPr>
        <w:t xml:space="preserve">Bonne pratique répandue</w:t>
      </w:r>
      <w:r>
        <w:t xml:space="preserve"> </w:t>
      </w:r>
      <w:r>
        <w:t xml:space="preserve">: réserver l’analyse de paquets aux situations où les outils de plus haut niveau (métriques, logs) ne suffisent pas à trancher, plutôt que d’en faire un réflexe systématique — une capture reste plus coûteuse en temps d’analyse qu’une simple consultation de tableau de bord.</w:t>
      </w:r>
    </w:p>
    <w:p>
      <w:pPr>
        <w:pStyle w:val="Compact"/>
        <w:numPr>
          <w:ilvl w:val="0"/>
          <w:numId w:val="2472"/>
        </w:numPr>
      </w:pPr>
      <w:r>
        <w:rPr>
          <w:b/>
          <w:bCs/>
        </w:rPr>
        <w:t xml:space="preserve">Bonne pratique répandue</w:t>
      </w:r>
      <w:r>
        <w:t xml:space="preserve"> </w:t>
      </w:r>
      <w:r>
        <w:t xml:space="preserve">: toujours limiter une capture en durée ou en taille avant de la lancer sur un système de production, pour éviter tout impact de performance ou de stockage non maîtrisé.</w:t>
      </w:r>
    </w:p>
    <w:p>
      <w:pPr>
        <w:pStyle w:val="Compact"/>
        <w:numPr>
          <w:ilvl w:val="0"/>
          <w:numId w:val="2472"/>
        </w:numPr>
      </w:pPr>
      <w:r>
        <w:rPr>
          <w:b/>
          <w:bCs/>
        </w:rPr>
        <w:t xml:space="preserve">Erreur classique observée</w:t>
      </w:r>
      <w:r>
        <w:t xml:space="preserve"> </w:t>
      </w:r>
      <w:r>
        <w:t xml:space="preserve">: une capture réseau lancée en urgence pendant un incident, sans filtre ni limite, produisant un fichier de plusieurs gigaoctets impossible à analyser efficacement dans le temps disponible — une préparation minimale (filtre pertinent, limite de taille) reste toujours préférable, même en situation d’urgence.</w:t>
      </w:r>
    </w:p>
    <w:bookmarkEnd w:id="1567"/>
    <w:bookmarkStart w:id="1568" w:name="entretien-technique-63"/>
    <w:p>
      <w:pPr>
        <w:pStyle w:val="Heading2"/>
      </w:pPr>
      <w:r>
        <w:t xml:space="preserve">Entretien technique</w:t>
      </w:r>
    </w:p>
    <w:p>
      <w:pPr>
        <w:pStyle w:val="FirstParagraph"/>
      </w:pPr>
      <w:r>
        <w:t xml:space="preserve">💼 Questions fréquemment posées en entretien</w:t>
      </w:r>
    </w:p>
    <w:p>
      <w:pPr>
        <w:pStyle w:val="BodyText"/>
      </w:pPr>
      <w:r>
        <w:rPr>
          <w:b/>
          <w:bCs/>
        </w:rPr>
        <w:t xml:space="preserve">Q1.</w:t>
      </w:r>
      <w:r>
        <w:rPr>
          <w:b/>
          <w:bCs/>
        </w:rPr>
        <w:t xml:space="preserve"> </w:t>
      </w:r>
      <w:r>
        <w:rPr>
          <w:b/>
          <w:bCs/>
        </w:rPr>
        <w:t xml:space="preserve">“Quelle est la différence entre un filtre de capture et un filtre d’affichage dans Wireshark ?”</w:t>
      </w:r>
      <w:r>
        <w:t xml:space="preserve"> </w:t>
      </w:r>
      <w:r>
        <w:t xml:space="preserve">Réponse attendue : un filtre de capture est appliqué avant l’enregistrement et détermine quels paquets sont réellement conservés ; un filtre d’affichage est appliqué après coup sur une capture déjà complète, et masque simplement certains paquets sans les supprimer.</w:t>
      </w:r>
    </w:p>
    <w:p>
      <w:pPr>
        <w:pStyle w:val="BodyText"/>
      </w:pPr>
      <w:r>
        <w:rPr>
          <w:b/>
          <w:bCs/>
        </w:rPr>
        <w:t xml:space="preserve">Q2.</w:t>
      </w:r>
      <w:r>
        <w:rPr>
          <w:b/>
          <w:bCs/>
        </w:rPr>
        <w:t xml:space="preserve"> </w:t>
      </w:r>
      <w:r>
        <w:rPr>
          <w:b/>
          <w:bCs/>
        </w:rPr>
        <w:t xml:space="preserve">“Dans quelles situations l’analyse de paquets devient-elle nécessaire, alors que les logs et les métriques ne suffisent pas ?”</w:t>
      </w:r>
      <w:r>
        <w:t xml:space="preserve"> </w:t>
      </w:r>
      <w:r>
        <w:t xml:space="preserve">Réponse attendue : lorsque le problème se situe précisément entre ce qu’une application croit avoir envoyé ou reçu et ce qui a réellement transité sur le réseau — par exemple pour confirmer si un paquet attendu atteint réellement sa destination, ou pour distinguer une latence réseau d’une latence applicative.</w:t>
      </w:r>
    </w:p>
    <w:p>
      <w:pPr>
        <w:pStyle w:val="BodyText"/>
      </w:pPr>
      <w:r>
        <w:rPr>
          <w:b/>
          <w:bCs/>
        </w:rPr>
        <w:t xml:space="preserve">Q3.</w:t>
      </w:r>
      <w:r>
        <w:rPr>
          <w:b/>
          <w:bCs/>
        </w:rPr>
        <w:t xml:space="preserve"> </w:t>
      </w:r>
      <w:r>
        <w:rPr>
          <w:b/>
          <w:bCs/>
        </w:rPr>
        <w:t xml:space="preserve">“Comment une capture réseau peut-elle aider à diagnostiquer si une latence observée est due au réseau ou à l’application ?”</w:t>
      </w:r>
      <w:r>
        <w:t xml:space="preserve"> </w:t>
      </w:r>
      <w:r>
        <w:t xml:space="preserve">Réponse attendue : en mesurant précisément le délai entre l’envoi d’une requête et la réception de sa réponse au niveau réseau, une capture permet de distinguer un délai dû à la transmission réseau elle-même d’un délai dû au temps de traitement de l’application après réception effective de la requête.</w:t>
      </w:r>
    </w:p>
    <w:bookmarkEnd w:id="1568"/>
    <w:bookmarkStart w:id="1569" w:name="Xbe6ad067ae1c7c54374d6f06d0961f8637a9a85"/>
    <w:p>
      <w:pPr>
        <w:pStyle w:val="Heading2"/>
      </w:pPr>
      <w:r>
        <w:t xml:space="preserve">Optimisation, sécurité et maintenabilité — les réflexes dès ce chapitre</w:t>
      </w:r>
    </w:p>
    <w:p>
      <w:pPr>
        <w:pStyle w:val="FirstParagraph"/>
      </w:pPr>
      <w:r>
        <w:t xml:space="preserve">🔒 Sécurité</w:t>
      </w:r>
      <w:r>
        <w:t xml:space="preserve"> </w:t>
      </w:r>
      <w:r>
        <w:t xml:space="preserve">Une capture réseau peut elle-même contenir des données sensibles (identifiants, contenu de messages en clair) — protège et supprime les fichiers de capture après usage, avec la même rigueur que pour tout autre document sensible de l’infrastructure.</w:t>
      </w:r>
    </w:p>
    <w:p>
      <w:pPr>
        <w:pStyle w:val="BodyText"/>
      </w:pPr>
      <w:r>
        <w:t xml:space="preserve">✅ Maintenabilité</w:t>
      </w:r>
      <w:r>
        <w:t xml:space="preserve"> </w:t>
      </w:r>
      <w:r>
        <w:t xml:space="preserve">Documente le filtre exact utilisé pour chaque capture réalisée dans le cadre d’un diagnostic, permettant de reproduire ou d’affiner l’analyse ultérieurement sans devoir redécouvrir la syntaxe appropriée depuis le début.</w:t>
      </w:r>
    </w:p>
    <w:p>
      <w:pPr>
        <w:pStyle w:val="BodyText"/>
      </w:pPr>
      <w:r>
        <w:t xml:space="preserve">🚀 Performance</w:t>
      </w:r>
      <w:r>
        <w:t xml:space="preserve"> </w:t>
      </w:r>
      <w:r>
        <w:t xml:space="preserve">Toujours limiter une capture en durée ou en taille de fichier avant de la lancer sur un système de production, particulièrement sur un serveur à fort trafic — une capture non bornée peut consommer un espace disque et une charge CPU significatifs.</w:t>
      </w:r>
    </w:p>
    <w:bookmarkEnd w:id="1569"/>
    <w:bookmarkStart w:id="1570" w:name="résumé-du-chapitre-63"/>
    <w:p>
      <w:pPr>
        <w:pStyle w:val="Heading2"/>
      </w:pPr>
      <w:r>
        <w:t xml:space="preserve">Résumé du chapitre</w:t>
      </w:r>
    </w:p>
    <w:p>
      <w:pPr>
        <w:pStyle w:val="Compact"/>
        <w:numPr>
          <w:ilvl w:val="0"/>
          <w:numId w:val="2473"/>
        </w:numPr>
      </w:pPr>
      <w:r>
        <w:t xml:space="preserve">L’analyse de paquets constitue le niveau de détail ultime, au-delà des métriques et des logs, pour observer directement ce qui transite réellement sur le réseau.</w:t>
      </w:r>
    </w:p>
    <w:p>
      <w:pPr>
        <w:pStyle w:val="Compact"/>
        <w:numPr>
          <w:ilvl w:val="0"/>
          <w:numId w:val="2473"/>
        </w:numPr>
      </w:pPr>
      <w:r>
        <w:t xml:space="preserve">Wireshark capture le trafic réel, indépendamment de ce qu’une application choisit ou non de journaliser elle-même.</w:t>
      </w:r>
    </w:p>
    <w:p>
      <w:pPr>
        <w:pStyle w:val="Compact"/>
        <w:numPr>
          <w:ilvl w:val="0"/>
          <w:numId w:val="2473"/>
        </w:numPr>
      </w:pPr>
      <w:r>
        <w:t xml:space="preserve">Un filtre de capture détermine ce qui est enregistré ; un filtre d’affichage détermine ce qui est visible après coup sur une capture déjà complète — les deux ne doivent jamais être confondus.</w:t>
      </w:r>
    </w:p>
    <w:p>
      <w:pPr>
        <w:pStyle w:val="Compact"/>
        <w:numPr>
          <w:ilvl w:val="0"/>
          <w:numId w:val="2473"/>
        </w:numPr>
      </w:pPr>
      <w:r>
        <w:t xml:space="preserve">Une capture ciblée permet de distinguer avec certitude si un problème se situe avant, ou après, un point précis de l’infrastructure — comme démontré pour le diagnostic Syslog du chapitre 63.</w:t>
      </w:r>
    </w:p>
    <w:p>
      <w:pPr>
        <w:pStyle w:val="Compact"/>
        <w:numPr>
          <w:ilvl w:val="0"/>
          <w:numId w:val="2473"/>
        </w:numPr>
      </w:pPr>
      <w:r>
        <w:t xml:space="preserve">Une capture réseau permet également de distinguer une latence due au réseau d’une latence due au traitement applicatif.</w:t>
      </w:r>
    </w:p>
    <w:p>
      <w:pPr>
        <w:pStyle w:val="Compact"/>
        <w:numPr>
          <w:ilvl w:val="0"/>
          <w:numId w:val="2473"/>
        </w:numPr>
      </w:pPr>
      <w:r>
        <w:t xml:space="preserve">Une capture doit toujours être bornée en durée ou en taille, et ses fichiers protégés au même titre que tout autre document sensible.</w:t>
      </w:r>
    </w:p>
    <w:bookmarkEnd w:id="1570"/>
    <w:bookmarkStart w:id="1571" w:name="quiz-63"/>
    <w:p>
      <w:pPr>
        <w:pStyle w:val="Heading2"/>
      </w:pPr>
      <w:r>
        <w:t xml:space="preserve">Quiz</w:t>
      </w:r>
    </w:p>
    <w:p>
      <w:pPr>
        <w:pStyle w:val="FirstParagraph"/>
      </w:pPr>
      <w:r>
        <w:t xml:space="preserve">📝 QCM (une seule bonne réponse par question)</w:t>
      </w:r>
    </w:p>
    <w:p>
      <w:pPr>
        <w:pStyle w:val="Compact"/>
        <w:numPr>
          <w:ilvl w:val="0"/>
          <w:numId w:val="2474"/>
        </w:numPr>
      </w:pPr>
      <w:r>
        <w:t xml:space="preserve">Un filtre de capture, contrairement à un filtre d’affichage :</w:t>
      </w:r>
    </w:p>
    <w:p>
      <w:pPr>
        <w:pStyle w:val="Compact"/>
        <w:numPr>
          <w:ilvl w:val="1"/>
          <w:numId w:val="2475"/>
        </w:numPr>
      </w:pPr>
    </w:p>
    <w:p>
      <w:pPr>
        <w:pStyle w:val="Compact"/>
        <w:numPr>
          <w:ilvl w:val="2"/>
          <w:numId w:val="2476"/>
        </w:numPr>
      </w:pPr>
      <w:r>
        <w:t xml:space="preserve">Est appliqué après la capture, pour trier les résultats</w:t>
      </w:r>
    </w:p>
    <w:p>
      <w:pPr>
        <w:pStyle w:val="Compact"/>
        <w:numPr>
          <w:ilvl w:val="1"/>
          <w:numId w:val="2475"/>
        </w:numPr>
      </w:pPr>
    </w:p>
    <w:p>
      <w:pPr>
        <w:pStyle w:val="Compact"/>
        <w:numPr>
          <w:ilvl w:val="2"/>
          <w:numId w:val="2477"/>
        </w:numPr>
      </w:pPr>
      <w:r>
        <w:t xml:space="preserve">Détermine quels paquets sont réellement enregistrés au moment de la capture</w:t>
      </w:r>
    </w:p>
    <w:p>
      <w:pPr>
        <w:pStyle w:val="Compact"/>
        <w:numPr>
          <w:ilvl w:val="1"/>
          <w:numId w:val="2475"/>
        </w:numPr>
      </w:pPr>
    </w:p>
    <w:p>
      <w:pPr>
        <w:pStyle w:val="Compact"/>
        <w:numPr>
          <w:ilvl w:val="2"/>
          <w:numId w:val="2478"/>
        </w:numPr>
      </w:pPr>
      <w:r>
        <w:t xml:space="preserve">Ne peut jamais faire disparaître un paquet recherché</w:t>
      </w:r>
    </w:p>
    <w:p>
      <w:pPr>
        <w:pStyle w:val="Compact"/>
        <w:numPr>
          <w:ilvl w:val="1"/>
          <w:numId w:val="2475"/>
        </w:numPr>
      </w:pPr>
    </w:p>
    <w:p>
      <w:pPr>
        <w:pStyle w:val="Compact"/>
        <w:numPr>
          <w:ilvl w:val="2"/>
          <w:numId w:val="2479"/>
        </w:numPr>
      </w:pPr>
      <w:r>
        <w:t xml:space="preserve">Chiffre automatiquement les paquets capturés</w:t>
      </w:r>
    </w:p>
    <w:p>
      <w:pPr>
        <w:pStyle w:val="Compact"/>
        <w:numPr>
          <w:ilvl w:val="0"/>
          <w:numId w:val="2474"/>
        </w:numPr>
      </w:pPr>
      <w:r>
        <w:t xml:space="preserve">Wireshark est particulièrement utile lorsque :</w:t>
      </w:r>
    </w:p>
    <w:p>
      <w:pPr>
        <w:pStyle w:val="Compact"/>
        <w:numPr>
          <w:ilvl w:val="1"/>
          <w:numId w:val="2480"/>
        </w:numPr>
      </w:pPr>
    </w:p>
    <w:p>
      <w:pPr>
        <w:pStyle w:val="Compact"/>
        <w:numPr>
          <w:ilvl w:val="2"/>
          <w:numId w:val="2481"/>
        </w:numPr>
      </w:pPr>
      <w:r>
        <w:t xml:space="preserve">Les métriques et les logs suffisent déjà à comprendre le problème</w:t>
      </w:r>
    </w:p>
    <w:p>
      <w:pPr>
        <w:pStyle w:val="Compact"/>
        <w:numPr>
          <w:ilvl w:val="1"/>
          <w:numId w:val="2480"/>
        </w:numPr>
      </w:pPr>
    </w:p>
    <w:p>
      <w:pPr>
        <w:pStyle w:val="Compact"/>
        <w:numPr>
          <w:ilvl w:val="2"/>
          <w:numId w:val="2482"/>
        </w:numPr>
      </w:pPr>
      <w:r>
        <w:t xml:space="preserve">Un doute existe entre ce qu’une application croit avoir envoyé et ce qui a réellement transité sur le réseau</w:t>
      </w:r>
    </w:p>
    <w:p>
      <w:pPr>
        <w:pStyle w:val="Compact"/>
        <w:numPr>
          <w:ilvl w:val="1"/>
          <w:numId w:val="2480"/>
        </w:numPr>
      </w:pPr>
    </w:p>
    <w:p>
      <w:pPr>
        <w:pStyle w:val="Compact"/>
        <w:numPr>
          <w:ilvl w:val="2"/>
          <w:numId w:val="2483"/>
        </w:numPr>
      </w:pPr>
      <w:r>
        <w:t xml:space="preserve">Aucun trafic réseau n’existe sur le système concerné</w:t>
      </w:r>
    </w:p>
    <w:p>
      <w:pPr>
        <w:pStyle w:val="Compact"/>
        <w:numPr>
          <w:ilvl w:val="1"/>
          <w:numId w:val="2480"/>
        </w:numPr>
      </w:pPr>
    </w:p>
    <w:p>
      <w:pPr>
        <w:pStyle w:val="Compact"/>
        <w:numPr>
          <w:ilvl w:val="2"/>
          <w:numId w:val="2484"/>
        </w:numPr>
      </w:pPr>
      <w:r>
        <w:t xml:space="preserve">Le problème concerne uniquement l’espace disque disponible</w:t>
      </w:r>
    </w:p>
    <w:p>
      <w:pPr>
        <w:pStyle w:val="Compact"/>
        <w:numPr>
          <w:ilvl w:val="0"/>
          <w:numId w:val="2474"/>
        </w:numPr>
      </w:pPr>
      <w:r>
        <w:t xml:space="preserve">Une capture réseau non bornée en durée ou en taille sur un système de production risque principalement de :</w:t>
      </w:r>
    </w:p>
    <w:p>
      <w:pPr>
        <w:pStyle w:val="Compact"/>
        <w:numPr>
          <w:ilvl w:val="1"/>
          <w:numId w:val="2485"/>
        </w:numPr>
      </w:pPr>
    </w:p>
    <w:p>
      <w:pPr>
        <w:pStyle w:val="Compact"/>
        <w:numPr>
          <w:ilvl w:val="2"/>
          <w:numId w:val="2486"/>
        </w:numPr>
      </w:pPr>
      <w:r>
        <w:t xml:space="preserve">Améliorer automatiquement les performances réseau</w:t>
      </w:r>
    </w:p>
    <w:p>
      <w:pPr>
        <w:pStyle w:val="Compact"/>
        <w:numPr>
          <w:ilvl w:val="1"/>
          <w:numId w:val="2485"/>
        </w:numPr>
      </w:pPr>
    </w:p>
    <w:p>
      <w:pPr>
        <w:pStyle w:val="Compact"/>
        <w:numPr>
          <w:ilvl w:val="2"/>
          <w:numId w:val="2487"/>
        </w:numPr>
      </w:pPr>
      <w:r>
        <w:t xml:space="preserve">Produire un fichier volumineux et consommer des ressources non maîtrisées</w:t>
      </w:r>
    </w:p>
    <w:p>
      <w:pPr>
        <w:pStyle w:val="Compact"/>
        <w:numPr>
          <w:ilvl w:val="1"/>
          <w:numId w:val="2485"/>
        </w:numPr>
      </w:pPr>
    </w:p>
    <w:p>
      <w:pPr>
        <w:pStyle w:val="Compact"/>
        <w:numPr>
          <w:ilvl w:val="2"/>
          <w:numId w:val="2488"/>
        </w:numPr>
      </w:pPr>
      <w:r>
        <w:t xml:space="preserve">Chiffrer automatiquement le trafic capturé</w:t>
      </w:r>
    </w:p>
    <w:p>
      <w:pPr>
        <w:pStyle w:val="Compact"/>
        <w:numPr>
          <w:ilvl w:val="1"/>
          <w:numId w:val="2485"/>
        </w:numPr>
      </w:pPr>
    </w:p>
    <w:p>
      <w:pPr>
        <w:pStyle w:val="Compact"/>
        <w:numPr>
          <w:ilvl w:val="2"/>
          <w:numId w:val="2489"/>
        </w:numPr>
      </w:pPr>
      <w:r>
        <w:t xml:space="preserve">Remplacer le besoin de tout autre outil de supervision</w:t>
      </w:r>
    </w:p>
    <w:p>
      <w:pPr>
        <w:pStyle w:val="FirstParagraph"/>
      </w:pPr>
      <w:r>
        <w:rPr>
          <w:b/>
          <w:bCs/>
        </w:rPr>
        <w:t xml:space="preserve">Corrigé</w:t>
      </w:r>
      <w:r>
        <w:t xml:space="preserve"> </w:t>
      </w:r>
      <w:r>
        <w:t xml:space="preserve">: 1-b, 2-b, 3-b.</w:t>
      </w:r>
    </w:p>
    <w:p>
      <w:pPr>
        <w:pStyle w:val="BodyText"/>
      </w:pPr>
      <w:r>
        <w:t xml:space="preserve">📝 Vrai ou Faux</w:t>
      </w:r>
    </w:p>
    <w:p>
      <w:pPr>
        <w:pStyle w:val="Compact"/>
        <w:numPr>
          <w:ilvl w:val="0"/>
          <w:numId w:val="2490"/>
        </w:numPr>
      </w:pPr>
      <w:r>
        <w:t xml:space="preserve">Un filtre d’affichage supprime définitivement les paquets qui ne correspondent pas au filtre. —</w:t>
      </w:r>
      <w:r>
        <w:t xml:space="preserve"> </w:t>
      </w:r>
      <w:r>
        <w:rPr>
          <w:b/>
          <w:bCs/>
        </w:rPr>
        <w:t xml:space="preserve">Faux</w:t>
      </w:r>
      <w:r>
        <w:t xml:space="preserve"> </w:t>
      </w:r>
      <w:r>
        <w:t xml:space="preserve">(il les masque seulement, section 64.3).</w:t>
      </w:r>
    </w:p>
    <w:p>
      <w:pPr>
        <w:pStyle w:val="Compact"/>
        <w:numPr>
          <w:ilvl w:val="0"/>
          <w:numId w:val="2490"/>
        </w:numPr>
      </w:pPr>
      <w:r>
        <w:t xml:space="preserve">Une capture réseau peut aider à déterminer si un paquet Syslog attendu atteint réellement sa destination. —</w:t>
      </w:r>
      <w:r>
        <w:t xml:space="preserve"> </w:t>
      </w:r>
      <w:r>
        <w:rPr>
          <w:b/>
          <w:bCs/>
        </w:rPr>
        <w:t xml:space="preserve">Vrai</w:t>
      </w:r>
      <w:r>
        <w:t xml:space="preserve">.</w:t>
      </w:r>
    </w:p>
    <w:p>
      <w:pPr>
        <w:pStyle w:val="Compact"/>
        <w:numPr>
          <w:ilvl w:val="0"/>
          <w:numId w:val="2490"/>
        </w:numPr>
      </w:pPr>
      <w:r>
        <w:t xml:space="preserve">Une capture réseau sur un flux en clair peut révéler le contenu exact des messages transmis, y compris des données sensibles. —</w:t>
      </w:r>
      <w:r>
        <w:t xml:space="preserve"> </w:t>
      </w:r>
      <w:r>
        <w:rPr>
          <w:b/>
          <w:bCs/>
        </w:rPr>
        <w:t xml:space="preserve">Vrai</w:t>
      </w:r>
      <w:r>
        <w:t xml:space="preserve">.</w:t>
      </w:r>
    </w:p>
    <w:p>
      <w:pPr>
        <w:pStyle w:val="Compact"/>
        <w:numPr>
          <w:ilvl w:val="0"/>
          <w:numId w:val="2490"/>
        </w:numPr>
      </w:pPr>
      <w:r>
        <w:t xml:space="preserve">Il est recommandé de toujours lancer une capture réseau sans aucune limite de durée, pour ne rater aucun événement. —</w:t>
      </w:r>
      <w:r>
        <w:t xml:space="preserve"> </w:t>
      </w:r>
      <w:r>
        <w:rPr>
          <w:b/>
          <w:bCs/>
        </w:rPr>
        <w:t xml:space="preserve">Faux</w:t>
      </w:r>
      <w:r>
        <w:t xml:space="preserve"> </w:t>
      </w:r>
      <w:r>
        <w:t xml:space="preserve">(risque de saturation, section</w:t>
      </w:r>
      <w:r>
        <w:t xml:space="preserve"> </w:t>
      </w:r>
      <w:r>
        <w:t xml:space="preserve">“Erreur n°3”</w:t>
      </w:r>
      <w:r>
        <w:t xml:space="preserve">).</w:t>
      </w:r>
    </w:p>
    <w:p>
      <w:pPr>
        <w:pStyle w:val="FirstParagraph"/>
      </w:pPr>
      <w:r>
        <w:t xml:space="preserve">📝 Questions ouvertes</w:t>
      </w:r>
    </w:p>
    <w:p>
      <w:pPr>
        <w:pStyle w:val="Compact"/>
        <w:numPr>
          <w:ilvl w:val="0"/>
          <w:numId w:val="2491"/>
        </w:numPr>
      </w:pPr>
      <w:r>
        <w:t xml:space="preserve">Explique comment une capture réseau permet de trancher, dans le scénario du chapitre 63, entre un problème situé avant Graylog et un problème situé dans Graylog lui-même.</w:t>
      </w:r>
    </w:p>
    <w:p>
      <w:pPr>
        <w:pStyle w:val="Compact"/>
        <w:numPr>
          <w:ilvl w:val="0"/>
          <w:numId w:val="2491"/>
        </w:numPr>
      </w:pPr>
      <w:r>
        <w:t xml:space="preserve">Un collègue affirme qu’il n’est jamais nécessaire d’utiliser Wireshark tant qu’un système de supervision comme Zabbix ou Prometheus est en place. Discute cette affirmation.</w:t>
      </w:r>
    </w:p>
    <w:p>
      <w:pPr>
        <w:pStyle w:val="FirstParagraph"/>
      </w:pPr>
      <w:r>
        <w:rPr>
          <w:b/>
          <w:bCs/>
        </w:rPr>
        <w:t xml:space="preserve">Corrigé 1</w:t>
      </w:r>
      <w:r>
        <w:t xml:space="preserve"> </w:t>
      </w:r>
      <w:r>
        <w:t xml:space="preserve">: une capture lancée directement sur le serveur Graylog, filtrée sur le port UDP 514, observe le trafic exactement au point où il atteint (ou n’atteint pas) le serveur. Si le paquet Syslog attendu n’apparaît jamais dans cette capture malgré l’événement déclencheur provoqué sur l’équipement source, cela prouve que le problème se situe nécessairement en amont — quelque part entre la source et le serveur Graylog, sur le réseau lui-même. Si, au contraire, le paquet apparaît bien dans la capture, cela prouve que le réseau a correctement transporté le message jusqu’au serveur, et que le problème réside donc dans le traitement de ce paquet par Graylog lui-même, une fois reçu. Cette capacité à observer précisément le point de transition entre</w:t>
      </w:r>
      <w:r>
        <w:t xml:space="preserve"> </w:t>
      </w:r>
      <w:r>
        <w:t xml:space="preserve">“avant”</w:t>
      </w:r>
      <w:r>
        <w:t xml:space="preserve"> </w:t>
      </w:r>
      <w:r>
        <w:t xml:space="preserve">et</w:t>
      </w:r>
      <w:r>
        <w:t xml:space="preserve"> </w:t>
      </w:r>
      <w:r>
        <w:t xml:space="preserve">“après”</w:t>
      </w:r>
      <w:r>
        <w:t xml:space="preserve"> </w:t>
      </w:r>
      <w:r>
        <w:t xml:space="preserve">un système donné est ce qui rend la capture réseau irremplaçable pour ce type de diagnostic.</w:t>
      </w:r>
    </w:p>
    <w:p>
      <w:pPr>
        <w:pStyle w:val="BodyText"/>
      </w:pPr>
      <w:r>
        <w:rPr>
          <w:b/>
          <w:bCs/>
        </w:rPr>
        <w:t xml:space="preserve">Corrigé 2</w:t>
      </w:r>
      <w:r>
        <w:t xml:space="preserve"> </w:t>
      </w:r>
      <w:r>
        <w:t xml:space="preserve">: cette affirmation est excessive. Zabbix et Prometheus (chapitres 59-60) mesurent des métriques agrégées et détectent des anomalies de haut niveau, mais ne montrent jamais le contenu exact d’un échange réseau précis ni ne permettent de vérifier si un paquet donné a réellement atteint sa destination. Pour la grande majorité des situations courantes, ces outils de supervision suffisent effectivement et une capture réseau serait disproportionnée. Mais pour les situations où le doute porte précisément sur ce qui transite réellement sur le réseau — comme le diagnostic Syslog du chapitre 63 — aucun outil de supervision de plus haut niveau ne peut remplacer une observation directe du trafic, faisant de Wireshark un complément nécessaire plutôt qu’un outil concurrent des systèmes de supervision déjà en place.</w:t>
      </w:r>
    </w:p>
    <w:bookmarkEnd w:id="1571"/>
    <w:bookmarkStart w:id="1572" w:name="exercices-63"/>
    <w:p>
      <w:pPr>
        <w:pStyle w:val="Heading2"/>
      </w:pPr>
      <w:r>
        <w:t xml:space="preserve">Exercices</w:t>
      </w:r>
    </w:p>
    <w:p>
      <w:pPr>
        <w:pStyle w:val="FirstParagraph"/>
      </w:pPr>
      <w:r>
        <w:t xml:space="preserve">📝 Exercice 64.1</w:t>
      </w:r>
    </w:p>
    <w:p>
      <w:pPr>
        <w:pStyle w:val="BodyText"/>
      </w:pPr>
      <w:r>
        <w:t xml:space="preserve">Écris un filtre de capture et un filtre d’affichage distincts pour observer uniquement le trafic HTTPS (port 443) entre un poste client à l’adresse 10.10.2.15 et le portail client, et explique la différence de comportement entre les deux si un paquet correspondant existe déjà avant le lancement de la capture.</w:t>
      </w:r>
    </w:p>
    <w:p>
      <w:pPr>
        <w:pStyle w:val="BodyText"/>
      </w:pPr>
      <w:r>
        <w:rPr>
          <w:b/>
          <w:bCs/>
        </w:rPr>
        <w:t xml:space="preserve">Corrigé :</w:t>
      </w:r>
      <w:r>
        <w:t xml:space="preserve"> </w:t>
      </w:r>
      <w:r>
        <w:t xml:space="preserve">Filtre de capture :</w:t>
      </w:r>
      <w:r>
        <w:t xml:space="preserve"> </w:t>
      </w:r>
      <w:r>
        <w:rPr>
          <w:rStyle w:val="VerbatimChar"/>
        </w:rPr>
        <w:t xml:space="preserve">tcp port 443 and host 10.10.2.15</w:t>
      </w:r>
      <w:r>
        <w:t xml:space="preserve">. Filtre d’affichage équivalent :</w:t>
      </w:r>
      <w:r>
        <w:t xml:space="preserve"> </w:t>
      </w:r>
      <w:r>
        <w:rPr>
          <w:rStyle w:val="VerbatimChar"/>
        </w:rPr>
        <w:t xml:space="preserve">tcp.port == 443 &amp;&amp; ip.addr == 10.10.2.15</w:t>
      </w:r>
      <w:r>
        <w:t xml:space="preserve">. La différence de comportement se manifeste sur une capture déjà en cours ou déjà enregistrée : un filtre de capture doit être défini avant le lancement de la capture et ne peut pas être appliqué rétroactivement à des paquets déjà passés sans les avoir capturés — tout paquet correspondant qui aurait circulé avant le lancement de cette capture spécifique reste définitivement perdu. Un filtre d’affichage, en revanche, peut être appliqué ou modifié à tout moment sur une capture déjà réalisée sans aucune perte de données, puisqu’il ne fait que masquer ou révéler des paquets déjà enregistrés dans leur intégralité.</w:t>
      </w:r>
    </w:p>
    <w:p>
      <w:pPr>
        <w:pStyle w:val="BodyText"/>
      </w:pPr>
      <w:r>
        <w:t xml:space="preserve">📝 Exercice 64.2</w:t>
      </w:r>
    </w:p>
    <w:p>
      <w:pPr>
        <w:pStyle w:val="BodyText"/>
      </w:pPr>
      <w:r>
        <w:t xml:space="preserve">Rédige, en 3 à 5 phrases, une règle d’équipe encadrant l’usage de Wireshark sur les systèmes de production, en t’appuyant sur les risques de sécurité et de performance décrits dans ce chapitre.</w:t>
      </w:r>
    </w:p>
    <w:p>
      <w:pPr>
        <w:pStyle w:val="BodyText"/>
      </w:pPr>
      <w:r>
        <w:rPr>
          <w:b/>
          <w:bCs/>
        </w:rPr>
        <w:t xml:space="preserve">Corrigé (exemple de réponse) :</w:t>
      </w:r>
      <w:r>
        <w:t xml:space="preserve"> </w:t>
      </w:r>
      <w:r>
        <w:t xml:space="preserve">Toute capture réseau lancée sur un système de production devra être bornée explicitement en durée ou en taille de fichier avant son lancement, évitant tout risque de saturation de ressources non maîtrisé. Tout fichier de capture généré sera considéré comme potentiellement sensible, susceptible de contenir des données confidentielles transmises en clair, et devra être supprimé dès la fin de l’analyse plutôt que conservé indéfiniment sur le poste de l’administrateur. L’usage de Wireshark restera réservé aux situations où les outils de supervision de plus haut niveau (Zabbix, Prometheus, ELK, Graylog) n’ont pas permis de trancher le diagnostic, plutôt que d’en faire un réflexe systématique disproportionné pour des problèmes courants.</w:t>
      </w:r>
    </w:p>
    <w:bookmarkEnd w:id="1572"/>
    <w:bookmarkStart w:id="1573" w:name="checklist-de-fin-de-chapitre-63"/>
    <w:p>
      <w:pPr>
        <w:pStyle w:val="Heading2"/>
      </w:pPr>
      <w:r>
        <w:t xml:space="preserve">Checklist de fin de chapitre</w:t>
      </w:r>
    </w:p>
    <w:p>
      <w:pPr>
        <w:pStyle w:val="FirstParagraph"/>
      </w:pPr>
      <w:r>
        <w:t xml:space="preserve">☐ Je comprends dans quelles situations l’analyse de paquets devient nécessaire, au-delà des métriques et des logs.</w:t>
      </w:r>
    </w:p>
    <w:p>
      <w:pPr>
        <w:pStyle w:val="BodyText"/>
      </w:pPr>
      <w:r>
        <w:t xml:space="preserve">☐ Je sais distinguer un filtre de capture d’un filtre d’affichage.</w:t>
      </w:r>
    </w:p>
    <w:p>
      <w:pPr>
        <w:pStyle w:val="BodyText"/>
      </w:pPr>
      <w:r>
        <w:t xml:space="preserve">☐ Je sais lire la structure en couches d’une trame capturée.</w:t>
      </w:r>
    </w:p>
    <w:p>
      <w:pPr>
        <w:pStyle w:val="BodyText"/>
      </w:pPr>
      <w:r>
        <w:t xml:space="preserve">☐ Je sais utiliser une capture réseau pour trancher entre un problème réseau et un problème applicatif.</w:t>
      </w:r>
    </w:p>
    <w:p>
      <w:pPr>
        <w:pStyle w:val="BodyText"/>
      </w:pPr>
      <w:r>
        <w:t xml:space="preserve">☐ Je comprends le risque de sécurité d’une capture sur un flux en clair.</w:t>
      </w:r>
    </w:p>
    <w:p>
      <w:pPr>
        <w:pStyle w:val="BodyText"/>
      </w:pPr>
      <w:r>
        <w:t xml:space="preserve">☐ Je sais limiter une capture en durée ou en taille pour éviter tout impact de performance non maîtrisé.</w:t>
      </w:r>
    </w:p>
    <w:bookmarkEnd w:id="1573"/>
    <w:bookmarkStart w:id="1574" w:name="faq-63"/>
    <w:p>
      <w:pPr>
        <w:pStyle w:val="Heading2"/>
      </w:pPr>
      <w:r>
        <w:t xml:space="preserve">FAQ</w:t>
      </w:r>
    </w:p>
    <w:p>
      <w:pPr>
        <w:pStyle w:val="FirstParagraph"/>
      </w:pPr>
      <w:r>
        <w:t xml:space="preserve">Faut-il des droits d’administrateur pour lancer une capture réseau ?</w:t>
      </w:r>
    </w:p>
    <w:p>
      <w:pPr>
        <w:pStyle w:val="BodyText"/>
      </w:pPr>
      <w:r>
        <w:t xml:space="preserve">Oui, généralement, car la capture nécessite un accès direct à l’interface réseau en mode d’écoute — un droit qui doit rester restreint aux personnes autorisées, cohérent avec le principe de moindre privilège déjà appliqué ailleurs dans ce manuel.</w:t>
      </w:r>
    </w:p>
    <w:p>
      <w:pPr>
        <w:pStyle w:val="BodyText"/>
      </w:pPr>
      <w:r>
        <w:t xml:space="preserve">Wireshark peut-il déchiffrer du trafic HTTPS chiffré ?</w:t>
      </w:r>
    </w:p>
    <w:p>
      <w:pPr>
        <w:pStyle w:val="BodyText"/>
      </w:pPr>
      <w:r>
        <w:t xml:space="preserve">Pas directement sans disposer de la clé privée correspondante ou d’une configuration spécifique côté client permettant l’export des clés de session — dans le cas général, un flux correctement chiffré reste illisible dans une capture, ce qui constitue précisément l’objectif du chiffrement.</w:t>
      </w:r>
    </w:p>
    <w:p>
      <w:pPr>
        <w:pStyle w:val="BodyText"/>
      </w:pPr>
      <w:r>
        <w:t xml:space="preserve">Existe-t-il une alternative à Wireshark en ligne de commande pour les serveurs sans interface graphique ?</w:t>
      </w:r>
    </w:p>
    <w:p>
      <w:pPr>
        <w:pStyle w:val="BodyText"/>
      </w:pPr>
      <w:r>
        <w:t xml:space="preserve">Oui,</w:t>
      </w:r>
      <w:r>
        <w:t xml:space="preserve"> </w:t>
      </w:r>
      <w:r>
        <w:rPr>
          <w:rStyle w:val="VerbatimChar"/>
        </w:rPr>
        <w:t xml:space="preserve">tcpdump</w:t>
      </w:r>
      <w:r>
        <w:t xml:space="preserve"> </w:t>
      </w:r>
      <w:r>
        <w:t xml:space="preserve">remplit un rôle équivalent en ligne de commande, souvent utilisé pour capturer le trafic directement sur un serveur distant avant d’analyser le fichier de capture résultant avec l’interface graphique de Wireshark sur un poste local.</w:t>
      </w:r>
    </w:p>
    <w:p>
      <w:pPr>
        <w:pStyle w:val="BodyText"/>
      </w:pPr>
      <w:r>
        <w:t xml:space="preserve">Une capture réseau ralentit-elle significativement le système sur lequel elle est lancée ?</w:t>
      </w:r>
    </w:p>
    <w:p>
      <w:pPr>
        <w:pStyle w:val="BodyText"/>
      </w:pPr>
      <w:r>
        <w:t xml:space="preserve">L’impact reste généralement modéré pour une capture ciblée et de courte durée, mais peut devenir significatif sur un système à très fort trafic ou pour une capture prolongée et non filtrée — d’où l’importance de toujours cibler et borner une capture avant de la lancer sur un système de production.</w:t>
      </w:r>
    </w:p>
    <w:bookmarkEnd w:id="1574"/>
    <w:bookmarkStart w:id="1577" w:name="références-et-pour-aller-plus-loin-63"/>
    <w:p>
      <w:pPr>
        <w:pStyle w:val="Heading2"/>
      </w:pPr>
      <w:r>
        <w:t xml:space="preserve">Références et pour aller plus loin</w:t>
      </w:r>
    </w:p>
    <w:p>
      <w:pPr>
        <w:pStyle w:val="Compact"/>
        <w:numPr>
          <w:ilvl w:val="0"/>
          <w:numId w:val="2492"/>
        </w:numPr>
      </w:pPr>
      <w:r>
        <w:t xml:space="preserve">Documentation officielle Wireshark :</w:t>
      </w:r>
      <w:r>
        <w:t xml:space="preserve"> </w:t>
      </w:r>
      <w:hyperlink r:id="rId1575">
        <w:r>
          <w:rPr>
            <w:rStyle w:val="Hyperlink"/>
          </w:rPr>
          <w:t xml:space="preserve">https://www.wireshark.org/docs/</w:t>
        </w:r>
      </w:hyperlink>
    </w:p>
    <w:p>
      <w:pPr>
        <w:pStyle w:val="Compact"/>
        <w:numPr>
          <w:ilvl w:val="0"/>
          <w:numId w:val="2492"/>
        </w:numPr>
      </w:pPr>
      <w:r>
        <w:t xml:space="preserve">Wireshark — Guide de la syntaxe des filtres d’affichage :</w:t>
      </w:r>
      <w:r>
        <w:t xml:space="preserve"> </w:t>
      </w:r>
      <w:hyperlink r:id="rId1576">
        <w:r>
          <w:rPr>
            <w:rStyle w:val="Hyperlink"/>
          </w:rPr>
          <w:t xml:space="preserve">https://www.wireshark.org/docs/dfref/</w:t>
        </w:r>
      </w:hyperlink>
    </w:p>
    <w:p>
      <w:pPr>
        <w:pStyle w:val="FirstParagraph"/>
      </w:pPr>
      <w:r>
        <w:rPr>
          <w:i/>
          <w:iCs/>
        </w:rPr>
        <w:t xml:space="preserve">Cette partie du manuel se termine ici. La Partie 11 s’ouvre sur le réseau d’entreprise avancé — Cisco en environnement d’entreprise, Fortinet, Mikrotik, proxy et VPN — pour approfondir les équipements dont ce chapitre a montré comment observer et diagnostiquer le trafic.</w:t>
      </w:r>
    </w:p>
    <w:p>
      <w:pPr>
        <w:pStyle w:val="BodyText"/>
      </w:pPr>
      <w:r>
        <w:t xml:space="preserve">CHAPITRE 65</w:t>
      </w:r>
    </w:p>
    <w:bookmarkEnd w:id="1577"/>
    <w:bookmarkEnd w:id="1578"/>
    <w:bookmarkStart w:id="1604" w:name="Xc885a3edb92131f954b9b106d696d458c5bbbaf"/>
    <w:p>
      <w:pPr>
        <w:pStyle w:val="Heading1"/>
      </w:pPr>
      <w:r>
        <w:t xml:space="preserve">Cisco en environnement d’entreprise (niveau CCIE)</w:t>
      </w:r>
    </w:p>
    <w:p>
      <w:pPr>
        <w:pStyle w:val="FirstParagraph"/>
      </w:pPr>
      <w:r>
        <w:t xml:space="preserve">🎯 Objectif du chapitre</w:t>
      </w:r>
      <w:r>
        <w:t xml:space="preserve"> </w:t>
      </w:r>
      <w:r>
        <w:t xml:space="preserve">Ouvrir la Partie 11 de ce manuel en approfondissant les équipements réseau dont le chapitre 64 a montré comment observer et diagnostiquer le trafic — en particulier la résilience d’une infrastructure réseau d’entreprise, au-delà de la segmentation VLAN de base déjà couverte au chapitre 11. À la fin de ce chapitre, tu comprendras le rôle du Spanning Tree Protocol, de l’agrégation de liens (EtherChannel), de la redondance de passerelle (HSRP/VRRP), et du routage dynamique OSPF — les fondations d’un réseau d’entreprise conçu pour survivre à la panne d’un seul équipement.</w:t>
      </w:r>
    </w:p>
    <w:p>
      <w:pPr>
        <w:pStyle w:val="BodyText"/>
      </w:pPr>
      <w:r>
        <w:t xml:space="preserve">🎬 Mise en situation</w:t>
      </w:r>
      <w:r>
        <w:t xml:space="preserve"> </w:t>
      </w:r>
      <w:r>
        <w:t xml:space="preserve">Le réseau du siège de Port-au-Prince repose actuellement sur un commutateur central unique et un routeur unique — la même architecture VLAN de base établie au chapitre 11, jamais remise en question depuis. Lors de la préparation du plan de continuité d’activité (PCA, chapitre 32), un exercice de simulation révèle que la panne de ce seul commutateur central couperait l’intégralité du réseau interne, y compris l’accès au serveur de gestion documentaire et à l’annuaire Active Directory — un point de défaillance unique que rien dans l’architecture actuelle ne protège.</w:t>
      </w:r>
      <w:r>
        <w:t xml:space="preserve"> </w:t>
      </w:r>
      <w:r>
        <w:t xml:space="preserve">“On a bâti toute une stratégie de sauvegarde et de reprise pour les serveurs,”</w:t>
      </w:r>
      <w:r>
        <w:t xml:space="preserve"> </w:t>
      </w:r>
      <w:r>
        <w:t xml:space="preserve">observe le DSI,</w:t>
      </w:r>
      <w:r>
        <w:t xml:space="preserve"> </w:t>
      </w:r>
      <w:r>
        <w:t xml:space="preserve">“mais le réseau lui-même reste un maillon fragile.”</w:t>
      </w:r>
      <w:r>
        <w:t xml:space="preserve"> </w:t>
      </w:r>
      <w:r>
        <w:t xml:space="preserve">Ce chapitre corrige cette fragilité.</w:t>
      </w:r>
    </w:p>
    <w:bookmarkStart w:id="1579" w:name="X605a1416412a0e906368beab00f2301459ebbe3"/>
    <w:p>
      <w:pPr>
        <w:pStyle w:val="Heading2"/>
      </w:pPr>
      <w:r>
        <w:t xml:space="preserve">65.1 Le problème : un seul équipement, un seul point de défaillance</w:t>
      </w:r>
    </w:p>
    <w:p>
      <w:pPr>
        <w:pStyle w:val="FirstParagraph"/>
      </w:pPr>
      <w:r>
        <w:t xml:space="preserve">📌 À retenir — rappel indirect du chapitre 32</w:t>
      </w:r>
      <w:r>
        <w:t xml:space="preserve"> </w:t>
      </w:r>
      <w:r>
        <w:t xml:space="preserve">Exactement le même principe de continuité déjà appliqué aux serveurs (haute disponibilité, Partie 5) s’applique à l’infrastructure réseau elle-même : un réseau reposant sur un unique commutateur ou un unique routeur reste vulnérable à la panne de cet équipement, quelle que soit par ailleurs la robustesse des serveurs qu’il connecte. La redondance réseau consiste à ajouter des équipements et des liens physiques supplémentaires, sans jamais créer de nouveaux problèmes en retour — notamment les boucles réseau, abordées à la section suivante.</w:t>
      </w:r>
    </w:p>
    <w:bookmarkEnd w:id="1579"/>
    <w:bookmarkStart w:id="1583" w:name="X04f0a26adfbcc09f42295e8a983db66f4bf8a6f"/>
    <w:p>
      <w:pPr>
        <w:pStyle w:val="Heading2"/>
      </w:pPr>
      <w:r>
        <w:t xml:space="preserve">65.2 Spanning Tree Protocol : éviter les boucles en ajoutant de la redondance</w:t>
      </w:r>
    </w:p>
    <w:p>
      <w:pPr>
        <w:pStyle w:val="FirstParagraph"/>
      </w:pPr>
      <w:r>
        <w:t xml:space="preserve">💡 Analogie — fermer les vannes en trop sur un réseau de tuyauterie en boucle</w:t>
      </w:r>
      <w:r>
        <w:t xml:space="preserve"> </w:t>
      </w:r>
      <w:r>
        <w:t xml:space="preserve">Ajouter un second commutateur relié au premier par deux câbles distincts, pour la redondance, crée involontairement une boucle physique — un paquet Ethernet diffusé (broadcast) circulerait alors indéfiniment entre les deux liens, se multipliant à chaque passage jusqu’à saturer complètement le réseau (une</w:t>
      </w:r>
      <w:r>
        <w:t xml:space="preserve"> </w:t>
      </w:r>
      <w:r>
        <w:t xml:space="preserve">“tempête de broadcast”</w:t>
      </w:r>
      <w:r>
        <w:t xml:space="preserve">). Le</w:t>
      </w:r>
      <w:r>
        <w:t xml:space="preserve"> </w:t>
      </w:r>
      <w:r>
        <w:rPr>
          <w:b/>
          <w:bCs/>
        </w:rPr>
        <w:t xml:space="preserve">Spanning Tree Protocol (STP)</w:t>
      </w:r>
      <w:r>
        <w:t xml:space="preserve"> </w:t>
      </w:r>
      <w:r>
        <w:t xml:space="preserve">détecte automatiquement cette boucle et désactive logiquement l’un des deux liens redondants, tout en le gardant prêt à reprendre le trafic instantanément si le lien actif tombe en panne — conservant ainsi le bénéfice de la redondance sans le risque de la boucle.</w:t>
      </w:r>
    </w:p>
    <w:p>
      <w:pPr>
        <w:pStyle w:val="CaptionedFigure"/>
      </w:pPr>
      <w:r>
        <w:drawing>
          <wp:inline>
            <wp:extent cx="5334000" cy="1413831"/>
            <wp:effectExtent b="0" l="0" r="0" t="0"/>
            <wp:docPr descr="Diagramme" title="" id="1581" name="Picture"/>
            <a:graphic>
              <a:graphicData uri="http://schemas.openxmlformats.org/drawingml/2006/picture">
                <pic:pic>
                  <pic:nvPicPr>
                    <pic:cNvPr descr="C:/Users/ingja/Desktop/jarvis-starter-kit/livrables/formations/manuel-administration-systeme/assets/diagrams/d-65-cisco-entreprise-diagramme-1.png" id="1582" name="Picture"/>
                    <pic:cNvPicPr>
                      <a:picLocks noChangeArrowheads="1" noChangeAspect="1"/>
                    </pic:cNvPicPr>
                  </pic:nvPicPr>
                  <pic:blipFill>
                    <a:blip r:embed="rId1580"/>
                    <a:stretch>
                      <a:fillRect/>
                    </a:stretch>
                  </pic:blipFill>
                  <pic:spPr bwMode="auto">
                    <a:xfrm>
                      <a:off x="0" y="0"/>
                      <a:ext cx="5334000" cy="1413831"/>
                    </a:xfrm>
                    <a:prstGeom prst="rect">
                      <a:avLst/>
                    </a:prstGeom>
                    <a:noFill/>
                    <a:ln w="9525">
                      <a:noFill/>
                      <a:headEnd/>
                      <a:tailEnd/>
                    </a:ln>
                  </pic:spPr>
                </pic:pic>
              </a:graphicData>
            </a:graphic>
          </wp:inline>
        </w:drawing>
      </w:r>
    </w:p>
    <w:p>
      <w:pPr>
        <w:pStyle w:val="ImageCaption"/>
      </w:pPr>
      <w:r>
        <w:t xml:space="preserve">Diagramme</w:t>
      </w:r>
    </w:p>
    <w:bookmarkEnd w:id="1583"/>
    <w:bookmarkStart w:id="1584" w:name="Xa0e12f942e1f165aa6916c1448e2212dffb7758"/>
    <w:p>
      <w:pPr>
        <w:pStyle w:val="Heading2"/>
      </w:pPr>
      <w:r>
        <w:t xml:space="preserve">65.3 EtherChannel : agréger plusieurs liens physiques en un lien logique</w:t>
      </w:r>
    </w:p>
    <w:p>
      <w:pPr>
        <w:pStyle w:val="FirstParagraph"/>
      </w:pPr>
      <w:r>
        <w:t xml:space="preserve">📌 À retenir</w:t>
      </w:r>
      <w:r>
        <w:t xml:space="preserve"> </w:t>
      </w:r>
      <w:r>
        <w:rPr>
          <w:b/>
          <w:bCs/>
        </w:rPr>
        <w:t xml:space="preserve">EtherChannel</w:t>
      </w:r>
      <w:r>
        <w:t xml:space="preserve"> </w:t>
      </w:r>
      <w:r>
        <w:t xml:space="preserve">regroupe plusieurs liens physiques entre deux équipements en un seul lien logique, combinant leur bande passante tout en offrant une tolérance de panne automatique : si l’un des câbles physiques est sectionné, le trafic continue de circuler sur les autres sans interruption ni reconfiguration manuelle. Contrairement à deux liens redondants classiques nécessitant le Spanning Tree Protocol pour éviter une boucle (section 65.2), les liens d’un EtherChannel sont traités comme un seul lien logique, ne créant donc aucune boucle à gérer.</w:t>
      </w:r>
    </w:p>
    <w:p>
      <w:pPr>
        <w:pStyle w:val="SourceCode"/>
      </w:pPr>
      <w:r>
        <w:rPr>
          <w:rStyle w:val="VerbatimChar"/>
        </w:rPr>
        <w:t xml:space="preserve">interface range GigabitEthernet0/1-2</w:t>
      </w:r>
      <w:r>
        <w:br/>
      </w:r>
      <w:r>
        <w:rPr>
          <w:rStyle w:val="VerbatimChar"/>
        </w:rPr>
        <w:t xml:space="preserve"> channel-group 1 mode active</w:t>
      </w:r>
    </w:p>
    <w:bookmarkEnd w:id="1584"/>
    <w:bookmarkStart w:id="1585" w:name="X048dfeb2d53322f7e031750f2b6b4cd05af1d50"/>
    <w:p>
      <w:pPr>
        <w:pStyle w:val="Heading2"/>
      </w:pPr>
      <w:r>
        <w:t xml:space="preserve">65.4 HSRP et VRRP : la redondance de la passerelle par défaut</w:t>
      </w:r>
    </w:p>
    <w:p>
      <w:pPr>
        <w:pStyle w:val="FirstParagraph"/>
      </w:pPr>
      <w:r>
        <w:t xml:space="preserve">📌 À retenir — la réponse directe au problème du scénario d’ouverture</w:t>
      </w:r>
      <w:r>
        <w:t xml:space="preserve"> </w:t>
      </w:r>
      <w:r>
        <w:rPr>
          <w:b/>
          <w:bCs/>
        </w:rPr>
        <w:t xml:space="preserve">HSRP</w:t>
      </w:r>
      <w:r>
        <w:t xml:space="preserve"> </w:t>
      </w:r>
      <w:r>
        <w:t xml:space="preserve">(Hot Standby Router Protocol, propriétaire Cisco) et</w:t>
      </w:r>
      <w:r>
        <w:t xml:space="preserve"> </w:t>
      </w:r>
      <w:r>
        <w:rPr>
          <w:b/>
          <w:bCs/>
        </w:rPr>
        <w:t xml:space="preserve">VRRP</w:t>
      </w:r>
      <w:r>
        <w:t xml:space="preserve"> </w:t>
      </w:r>
      <w:r>
        <w:t xml:space="preserve">(Virtual Router Redundancy Protocol, standard ouvert) permettent à deux routeurs physiques de partager une seule adresse IP virtuelle, utilisée par l’ensemble des postes du réseau comme passerelle par défaut. Si le routeur actif tombe en panne, le routeur de secours prend automatiquement le relais sur cette même adresse virtuelle, en quelques secondes et sans qu’aucune configuration ne doive être modifiée sur les postes clients — résolvant directement le point de défaillance unique identifié dans le scénario d’ouverture pour la fonction de routage.</w:t>
      </w:r>
    </w:p>
    <w:p>
      <w:pPr>
        <w:pStyle w:val="SourceCode"/>
      </w:pPr>
      <w:r>
        <w:rPr>
          <w:rStyle w:val="VerbatimChar"/>
        </w:rPr>
        <w:t xml:space="preserve">interface Vlan10</w:t>
      </w:r>
      <w:r>
        <w:br/>
      </w:r>
      <w:r>
        <w:rPr>
          <w:rStyle w:val="VerbatimChar"/>
        </w:rPr>
        <w:t xml:space="preserve"> ip address 10.10.10.2 255.255.255.0</w:t>
      </w:r>
      <w:r>
        <w:br/>
      </w:r>
      <w:r>
        <w:rPr>
          <w:rStyle w:val="VerbatimChar"/>
        </w:rPr>
        <w:t xml:space="preserve"> standby 1 ip 10.10.10.1</w:t>
      </w:r>
      <w:r>
        <w:br/>
      </w:r>
      <w:r>
        <w:rPr>
          <w:rStyle w:val="VerbatimChar"/>
        </w:rPr>
        <w:t xml:space="preserve"> standby 1 priority 110</w:t>
      </w:r>
      <w:r>
        <w:br/>
      </w:r>
      <w:r>
        <w:rPr>
          <w:rStyle w:val="VerbatimChar"/>
        </w:rPr>
        <w:t xml:space="preserve"> standby 1 preempt</w:t>
      </w:r>
    </w:p>
    <w:p>
      <w:pPr>
        <w:pStyle w:val="FirstParagraph"/>
      </w:pPr>
      <w:r>
        <w:t xml:space="preserve">⚠️ Le piège du</w:t>
      </w:r>
      <w:r>
        <w:t xml:space="preserve"> </w:t>
      </w:r>
      <w:r>
        <w:t xml:space="preserve">“split brain”</w:t>
      </w:r>
      <w:r>
        <w:t xml:space="preserve"> </w:t>
      </w:r>
      <w:r>
        <w:t xml:space="preserve">Une mauvaise configuration HSRP, où les deux routeurs se croient simultanément actifs (souvent après une coupure temporaire du lien qui les relie), peut provoquer des comportements réseau incohérents — un risque à surveiller particulièrement lors de la mise en service initiale et après tout changement de topologie.</w:t>
      </w:r>
    </w:p>
    <w:bookmarkEnd w:id="1585"/>
    <w:bookmarkStart w:id="1586" w:name="Xb855b075521a483139ae401623d35a2368fe99d"/>
    <w:p>
      <w:pPr>
        <w:pStyle w:val="Heading2"/>
      </w:pPr>
      <w:r>
        <w:t xml:space="preserve">65.5 Routage dynamique OSPF : au-delà des routes statiques</w:t>
      </w:r>
    </w:p>
    <w:p>
      <w:pPr>
        <w:pStyle w:val="FirstParagraph"/>
      </w:pPr>
      <w:r>
        <w:t xml:space="preserve">💡 Rappel indirect du chapitre 11 — même principe de découverte automatique déjà rencontré</w:t>
      </w:r>
      <w:r>
        <w:t xml:space="preserve"> </w:t>
      </w:r>
      <w:r>
        <w:t xml:space="preserve">Une route statique, configurée manuellement, doit être mise à jour à la main à chaque changement de topologie réseau — un risque de dérive et d’erreur similaire à celui déjà dénoncé pour toute configuration manuelle répétée dans ce manuel.</w:t>
      </w:r>
      <w:r>
        <w:t xml:space="preserve"> </w:t>
      </w:r>
      <w:r>
        <w:rPr>
          <w:b/>
          <w:bCs/>
        </w:rPr>
        <w:t xml:space="preserve">OSPF</w:t>
      </w:r>
      <w:r>
        <w:t xml:space="preserve"> </w:t>
      </w:r>
      <w:r>
        <w:t xml:space="preserve">(Open Shortest Path First) est un protocole de routage dynamique où les routeurs échangent automatiquement l’état de leurs liens et recalculent eux-mêmes le meilleur chemin vers chaque destination, y compris en cas de panne d’un lien — particulièrement pertinent pour relier les deux sites de Port-au-Prince et de Cap-Haïtien via plusieurs liens redondants, où une bascule automatique et rapide est préférable à une intervention manuelle en cas de coupure.</w:t>
      </w:r>
    </w:p>
    <w:bookmarkEnd w:id="1586"/>
    <w:bookmarkStart w:id="1587" w:name="Xcb5e5681ab9446b20249246eb686a22d84e3190"/>
    <w:p>
      <w:pPr>
        <w:pStyle w:val="Heading2"/>
      </w:pPr>
      <w:r>
        <w:t xml:space="preserve">65.6 Segmentation avancée : le routage inter-VLAN redondant</w:t>
      </w:r>
    </w:p>
    <w:p>
      <w:pPr>
        <w:pStyle w:val="FirstParagraph"/>
      </w:pPr>
      <w:r>
        <w:t xml:space="preserve">📌 À retenir</w:t>
      </w:r>
      <w:r>
        <w:t xml:space="preserve"> </w:t>
      </w:r>
      <w:r>
        <w:t xml:space="preserve">Les VLAN déjà établis au chapitre 11 (segmentation par service ou par sensibilité) bénéficient directement de la redondance HSRP/VRRP : chaque VLAN dispose de sa propre passerelle virtuelle redondante, garantissant que la panne d’un routeur physique n’isole aucun segment du réseau, quel que soit le VLAN concerné.</w:t>
      </w:r>
    </w:p>
    <w:bookmarkEnd w:id="1587"/>
    <w:bookmarkStart w:id="1588" w:name="X6016783e41cf3bb0e82fdde8fcd8c646d571a5f"/>
    <w:p>
      <w:pPr>
        <w:pStyle w:val="Heading2"/>
      </w:pPr>
      <w:r>
        <w:t xml:space="preserve">65.7 Documentation rigoureuse : le niveau attendu d’une infrastructure d’entreprise</w:t>
      </w:r>
    </w:p>
    <w:p>
      <w:pPr>
        <w:pStyle w:val="FirstParagraph"/>
      </w:pPr>
      <w:r>
        <w:t xml:space="preserve">✅ Rappel indirect du chapitre 2</w:t>
      </w:r>
      <w:r>
        <w:t xml:space="preserve"> </w:t>
      </w:r>
      <w:r>
        <w:t xml:space="preserve">Une infrastructure réseau redondante, avec STP, EtherChannel, HSRP et OSPF combinés, devient significativement plus complexe à comprendre pour quiconque n’a pas participé à sa conception initiale. Une documentation à jour de la topologie physique et logique — schémas, priorités HSRP configurées, zones OSPF — reste indispensable, exactement le même principe de documentation déjà établi au chapitre 2 comme fondation du métier d’administrateur système.</w:t>
      </w:r>
    </w:p>
    <w:bookmarkEnd w:id="1588"/>
    <w:bookmarkStart w:id="1589" w:name="X140fa38d0bec628efcf21851c5bda9d19ca8781"/>
    <w:p>
      <w:pPr>
        <w:pStyle w:val="Heading2"/>
      </w:pPr>
      <w:r>
        <w:t xml:space="preserve">Atelier — Concevoir une topologie redondante pour le siège</w:t>
      </w:r>
    </w:p>
    <w:p>
      <w:pPr>
        <w:pStyle w:val="FirstParagraph"/>
      </w:pPr>
      <w:r>
        <w:t xml:space="preserve">🛠️ Atelier 65 — Éliminer le point de défaillance unique du scénario d’ouverture</w:t>
      </w:r>
    </w:p>
    <w:p>
      <w:pPr>
        <w:pStyle w:val="BodyText"/>
      </w:pPr>
      <w:r>
        <w:rPr>
          <w:b/>
          <w:bCs/>
        </w:rPr>
        <w:t xml:space="preserve">Objectif</w:t>
      </w:r>
      <w:r>
        <w:t xml:space="preserve"> </w:t>
      </w:r>
      <w:r>
        <w:t xml:space="preserve">: concevoir une architecture réseau redondante pour le siège de Port-au-Prince, éliminant le point de défaillance unique identifié dans le scénario d’ouverture.</w:t>
      </w:r>
    </w:p>
    <w:p>
      <w:pPr>
        <w:pStyle w:val="BodyText"/>
      </w:pPr>
      <w:r>
        <w:rPr>
          <w:b/>
          <w:bCs/>
        </w:rPr>
        <w:t xml:space="preserve">Préparation</w:t>
      </w:r>
      <w:r>
        <w:t xml:space="preserve"> </w:t>
      </w:r>
      <w:r>
        <w:t xml:space="preserve">: la topologie actuelle (un commutateur central, un routeur unique) comme point de départ.</w:t>
      </w:r>
    </w:p>
    <w:p>
      <w:pPr>
        <w:pStyle w:val="BodyText"/>
      </w:pPr>
      <w:r>
        <w:rPr>
          <w:b/>
          <w:bCs/>
        </w:rPr>
        <w:t xml:space="preserve">Étapes détaillées</w:t>
      </w:r>
      <w:r>
        <w:t xml:space="preserve"> </w:t>
      </w:r>
      <w:r>
        <w:t xml:space="preserve">:</w:t>
      </w:r>
    </w:p>
    <w:p>
      <w:pPr>
        <w:pStyle w:val="Compact"/>
        <w:numPr>
          <w:ilvl w:val="0"/>
          <w:numId w:val="2493"/>
        </w:numPr>
      </w:pPr>
      <w:r>
        <w:t xml:space="preserve">Propose l’ajout d’un second commutateur central, relié au premier par deux liens physiques distincts en EtherChannel (section 65.3).</w:t>
      </w:r>
    </w:p>
    <w:p>
      <w:pPr>
        <w:pStyle w:val="Compact"/>
        <w:numPr>
          <w:ilvl w:val="0"/>
          <w:numId w:val="2493"/>
        </w:numPr>
      </w:pPr>
      <w:r>
        <w:t xml:space="preserve">Propose l’ajout d’un second routeur, configuré en HSRP avec le routeur existant (section 65.4).</w:t>
      </w:r>
    </w:p>
    <w:p>
      <w:pPr>
        <w:pStyle w:val="Compact"/>
        <w:numPr>
          <w:ilvl w:val="0"/>
          <w:numId w:val="2493"/>
        </w:numPr>
      </w:pPr>
      <w:r>
        <w:t xml:space="preserve">Explique pourquoi le Spanning Tree Protocol reste nécessaire même après la mise en place de l’EtherChannel, entre les deux commutateurs eux-mêmes reliés par ailleurs.</w:t>
      </w:r>
    </w:p>
    <w:p>
      <w:pPr>
        <w:pStyle w:val="Compact"/>
        <w:numPr>
          <w:ilvl w:val="0"/>
          <w:numId w:val="2493"/>
        </w:numPr>
      </w:pPr>
      <w:r>
        <w:t xml:space="preserve">Explique comment cette nouvelle architecture répond directement à la préoccupation soulevée lors de l’exercice de simulation du PCA.</w:t>
      </w:r>
    </w:p>
    <w:p>
      <w:pPr>
        <w:pStyle w:val="Compact"/>
        <w:numPr>
          <w:ilvl w:val="0"/>
          <w:numId w:val="2493"/>
        </w:numPr>
      </w:pPr>
      <w:r>
        <w:t xml:space="preserve">Compare ta démarche à la section</w:t>
      </w:r>
      <w:r>
        <w:t xml:space="preserve"> </w:t>
      </w:r>
      <w:r>
        <w:t xml:space="preserve">“Résultat attendu”</w:t>
      </w:r>
      <w:r>
        <w:t xml:space="preserve">.</w:t>
      </w:r>
    </w:p>
    <w:p>
      <w:pPr>
        <w:pStyle w:val="FirstParagraph"/>
      </w:pPr>
      <w:r>
        <w:rPr>
          <w:b/>
          <w:bCs/>
        </w:rPr>
        <w:t xml:space="preserve">Résultat attendu</w:t>
      </w:r>
      <w:r>
        <w:t xml:space="preserve"> </w:t>
      </w:r>
      <w:r>
        <w:t xml:space="preserve">: avec un second commutateur et un second routeur configurés respectivement en EtherChannel et en HSRP, la panne d’un seul équipement (commutateur ou routeur) n’interrompt plus l’accès au réseau interne — le trafic bascule automatiquement vers l’équipement restant en quelques secondes. Le Spanning Tree Protocol reste nécessaire entre les deux commutateurs eux-mêmes s’ils sont reliés par des liens distincts de l’EtherChannel dédié à un autre usage, ou dans toute topologie où plusieurs chemins physiques distincts existent entre équipements. Cette architecture répond directement à la préoccupation du PCA en éliminant, pour la première fois, le point de défaillance unique identifié lors de l’exercice de simulation — le réseau lui-même bénéficie désormais du même niveau de continuité déjà appliqué aux serveurs critiques.</w:t>
      </w:r>
    </w:p>
    <w:p>
      <w:pPr>
        <w:pStyle w:val="BodyText"/>
      </w:pPr>
      <w:r>
        <w:rPr>
          <w:b/>
          <w:bCs/>
        </w:rPr>
        <w:t xml:space="preserve">Dépannage</w:t>
      </w:r>
      <w:r>
        <w:t xml:space="preserve"> </w:t>
      </w:r>
      <w:r>
        <w:t xml:space="preserve">: si les deux routeurs HSRP semblent tous deux actifs simultanément après un changement de configuration, vérifie en priorité la connectivité du lien qui les relie directement — une coupure temporaire de ce lien est la cause la plus fréquente d’un scénario de</w:t>
      </w:r>
      <w:r>
        <w:t xml:space="preserve"> </w:t>
      </w:r>
      <w:r>
        <w:t xml:space="preserve">“split brain”</w:t>
      </w:r>
      <w:r>
        <w:t xml:space="preserve"> </w:t>
      </w:r>
      <w:r>
        <w:t xml:space="preserve">(section 65.4).</w:t>
      </w:r>
    </w:p>
    <w:bookmarkEnd w:id="1589"/>
    <w:bookmarkStart w:id="1590" w:name="erreurs-fréquentes-64"/>
    <w:p>
      <w:pPr>
        <w:pStyle w:val="Heading2"/>
      </w:pPr>
      <w:r>
        <w:t xml:space="preserve">Erreurs fréquentes</w:t>
      </w:r>
    </w:p>
    <w:p>
      <w:pPr>
        <w:pStyle w:val="FirstParagraph"/>
      </w:pPr>
      <w:r>
        <w:t xml:space="preserve">⚠️ Erreur n°1 — des liens redondants ajoutés sans activer le Spanning Tree Protocol</w:t>
      </w:r>
      <w:r>
        <w:t xml:space="preserve"> </w:t>
      </w:r>
      <w:r>
        <w:t xml:space="preserve">Rappel de la section 65.2 : provoque une tempête de broadcast pouvant rendre le réseau entier inutilisable en quelques secondes.</w:t>
      </w:r>
    </w:p>
    <w:p>
      <w:pPr>
        <w:pStyle w:val="BodyText"/>
      </w:pPr>
      <w:r>
        <w:t xml:space="preserve">⚠️ Erreur n°2 — une configuration HSRP incohérente entre les deux routeurs</w:t>
      </w:r>
      <w:r>
        <w:t xml:space="preserve"> </w:t>
      </w:r>
      <w:r>
        <w:t xml:space="preserve">Rappel de la section 65.4 : un risque de</w:t>
      </w:r>
      <w:r>
        <w:t xml:space="preserve"> </w:t>
      </w:r>
      <w:r>
        <w:t xml:space="preserve">“split brain”</w:t>
      </w:r>
      <w:r>
        <w:t xml:space="preserve"> </w:t>
      </w:r>
      <w:r>
        <w:t xml:space="preserve">si les deux routeurs se croient simultanément actifs.</w:t>
      </w:r>
    </w:p>
    <w:p>
      <w:pPr>
        <w:pStyle w:val="BodyText"/>
      </w:pPr>
      <w:r>
        <w:t xml:space="preserve">⚠️ Erreur n°3 — une redondance mise en place sans documentation correspondante</w:t>
      </w:r>
      <w:r>
        <w:t xml:space="preserve"> </w:t>
      </w:r>
      <w:r>
        <w:t xml:space="preserve">Rappel de la section 65.7 : une topologie redondante non documentée devient rapidement incompréhensible pour toute personne n’ayant pas participé à sa conception initiale.</w:t>
      </w:r>
    </w:p>
    <w:bookmarkEnd w:id="1590"/>
    <w:bookmarkStart w:id="1591" w:name="diagnostiquer-une-tempête-de-broadcast"/>
    <w:p>
      <w:pPr>
        <w:pStyle w:val="Heading2"/>
      </w:pPr>
      <w:r>
        <w:t xml:space="preserve">Diagnostiquer une tempête de broadcast</w:t>
      </w:r>
    </w:p>
    <w:p>
      <w:pPr>
        <w:pStyle w:val="FirstParagraph"/>
      </w:pPr>
      <w:r>
        <w:t xml:space="preserve">🩺 Symptôme : le réseau devient soudainement inutilisable, avec une charge CPU anormalement élevée sur les commutateurs</w:t>
      </w:r>
    </w:p>
    <w:p>
      <w:pPr>
        <w:pStyle w:val="Compact"/>
        <w:numPr>
          <w:ilvl w:val="0"/>
          <w:numId w:val="2494"/>
        </w:numPr>
      </w:pPr>
      <w:r>
        <w:rPr>
          <w:b/>
          <w:bCs/>
        </w:rPr>
        <w:t xml:space="preserve">Diagnostic</w:t>
      </w:r>
      <w:r>
        <w:t xml:space="preserve"> </w:t>
      </w:r>
      <w:r>
        <w:t xml:space="preserve">: ce symptôme est caractéristique d’une boucle réseau non gérée par le Spanning Tree Protocol, souvent provoquée par l’ajout récent d’un lien redondant ou d’un câble branché par erreur entre deux ports du même segment.</w:t>
      </w:r>
    </w:p>
    <w:p>
      <w:pPr>
        <w:pStyle w:val="Compact"/>
        <w:numPr>
          <w:ilvl w:val="0"/>
          <w:numId w:val="2494"/>
        </w:numPr>
      </w:pPr>
      <w:r>
        <w:rPr>
          <w:b/>
          <w:bCs/>
        </w:rPr>
        <w:t xml:space="preserve">Comment vérifier</w:t>
      </w:r>
      <w:r>
        <w:t xml:space="preserve"> </w:t>
      </w:r>
      <w:r>
        <w:t xml:space="preserve">: consulter l’état du Spanning Tree Protocol sur les commutateurs concernés, et rechercher tout changement de câblage récent dans l’infrastructure.</w:t>
      </w:r>
    </w:p>
    <w:p>
      <w:pPr>
        <w:pStyle w:val="Compact"/>
        <w:numPr>
          <w:ilvl w:val="0"/>
          <w:numId w:val="2494"/>
        </w:numPr>
      </w:pPr>
      <w:r>
        <w:rPr>
          <w:b/>
          <w:bCs/>
        </w:rPr>
        <w:t xml:space="preserve">Résolution</w:t>
      </w:r>
      <w:r>
        <w:t xml:space="preserve"> </w:t>
      </w:r>
      <w:r>
        <w:t xml:space="preserve">: débrancher le câble à l’origine de la boucle non gérée en priorité pour rétablir immédiatement le service, puis reconfigurer correctement le Spanning Tree Protocol avant de rebrancher toute redondance physique.</w:t>
      </w:r>
    </w:p>
    <w:bookmarkEnd w:id="1591"/>
    <w:bookmarkStart w:id="1592" w:name="en-entreprise-64"/>
    <w:p>
      <w:pPr>
        <w:pStyle w:val="Heading2"/>
      </w:pPr>
      <w:r>
        <w:t xml:space="preserve">En entreprise</w:t>
      </w:r>
    </w:p>
    <w:p>
      <w:pPr>
        <w:pStyle w:val="Compact"/>
        <w:numPr>
          <w:ilvl w:val="0"/>
          <w:numId w:val="2495"/>
        </w:numPr>
      </w:pPr>
      <w:r>
        <w:rPr>
          <w:b/>
          <w:bCs/>
        </w:rPr>
        <w:t xml:space="preserve">Bonne pratique répandue</w:t>
      </w:r>
      <w:r>
        <w:t xml:space="preserve"> </w:t>
      </w:r>
      <w:r>
        <w:t xml:space="preserve">: ne jamais ajouter de câblage redondant sur un réseau de production sans vérifier au préalable que le Spanning Tree Protocol est correctement activé et fonctionnel sur l’ensemble des commutateurs concernés.</w:t>
      </w:r>
    </w:p>
    <w:p>
      <w:pPr>
        <w:pStyle w:val="Compact"/>
        <w:numPr>
          <w:ilvl w:val="0"/>
          <w:numId w:val="2495"/>
        </w:numPr>
      </w:pPr>
      <w:r>
        <w:rPr>
          <w:b/>
          <w:bCs/>
        </w:rPr>
        <w:t xml:space="preserve">Bonne pratique répandue</w:t>
      </w:r>
      <w:r>
        <w:t xml:space="preserve"> </w:t>
      </w:r>
      <w:r>
        <w:t xml:space="preserve">: documenter systématiquement les priorités HSRP/VRRP configurées, pour qu’une personne intervenant en urgence puisse rapidement comprendre quel équipement devrait normalement être actif.</w:t>
      </w:r>
    </w:p>
    <w:p>
      <w:pPr>
        <w:pStyle w:val="Compact"/>
        <w:numPr>
          <w:ilvl w:val="0"/>
          <w:numId w:val="2495"/>
        </w:numPr>
      </w:pPr>
      <w:r>
        <w:rPr>
          <w:b/>
          <w:bCs/>
        </w:rPr>
        <w:t xml:space="preserve">Erreur classique observée</w:t>
      </w:r>
      <w:r>
        <w:t xml:space="preserve"> </w:t>
      </w:r>
      <w:r>
        <w:t xml:space="preserve">: une redondance réseau mise en place avec succès lors de son installation initiale, mais jamais testée par la suite — la première panne réelle révèle alors que le mécanisme de bascule automatique ne fonctionnait plus, souvent à cause d’un changement de configuration ultérieur non coordonné entre les deux équipements redondants.</w:t>
      </w:r>
    </w:p>
    <w:bookmarkEnd w:id="1592"/>
    <w:bookmarkStart w:id="1593" w:name="entretien-technique-64"/>
    <w:p>
      <w:pPr>
        <w:pStyle w:val="Heading2"/>
      </w:pPr>
      <w:r>
        <w:t xml:space="preserve">Entretien technique</w:t>
      </w:r>
    </w:p>
    <w:p>
      <w:pPr>
        <w:pStyle w:val="FirstParagraph"/>
      </w:pPr>
      <w:r>
        <w:t xml:space="preserve">💼 Questions fréquemment posées en entretien</w:t>
      </w:r>
    </w:p>
    <w:p>
      <w:pPr>
        <w:pStyle w:val="BodyText"/>
      </w:pPr>
      <w:r>
        <w:rPr>
          <w:b/>
          <w:bCs/>
        </w:rPr>
        <w:t xml:space="preserve">Q1.</w:t>
      </w:r>
      <w:r>
        <w:rPr>
          <w:b/>
          <w:bCs/>
        </w:rPr>
        <w:t xml:space="preserve"> </w:t>
      </w:r>
      <w:r>
        <w:rPr>
          <w:b/>
          <w:bCs/>
        </w:rPr>
        <w:t xml:space="preserve">“Pourquoi le Spanning Tree Protocol est-il nécessaire dès qu’un réseau comporte des liens redondants entre commutateurs ?”</w:t>
      </w:r>
      <w:r>
        <w:t xml:space="preserve"> </w:t>
      </w:r>
      <w:r>
        <w:t xml:space="preserve">Réponse attendue : sans lui, une boucle physique créée par la redondance provoquerait une tempête de broadcast, un paquet diffusé circulant indéfiniment et se multipliant jusqu’à saturer le réseau ; STP détecte cette boucle et désactive logiquement le lien en trop, tout en le gardant prêt en cas de panne du lien actif.</w:t>
      </w:r>
    </w:p>
    <w:p>
      <w:pPr>
        <w:pStyle w:val="BodyText"/>
      </w:pPr>
      <w:r>
        <w:rPr>
          <w:b/>
          <w:bCs/>
        </w:rPr>
        <w:t xml:space="preserve">Q2.</w:t>
      </w:r>
      <w:r>
        <w:rPr>
          <w:b/>
          <w:bCs/>
        </w:rPr>
        <w:t xml:space="preserve"> </w:t>
      </w:r>
      <w:r>
        <w:rPr>
          <w:b/>
          <w:bCs/>
        </w:rPr>
        <w:t xml:space="preserve">“Quelle est la différence entre EtherChannel et une redondance HSRP/VRRP ?”</w:t>
      </w:r>
      <w:r>
        <w:t xml:space="preserve"> </w:t>
      </w:r>
      <w:r>
        <w:t xml:space="preserve">Réponse attendue : EtherChannel agrège plusieurs liens physiques entre deux mêmes équipements en un seul lien logique, pour la bande passante et la tolérance de panne d’un câble ; HSRP/VRRP assure la redondance entre deux équipements distincts (deux routeurs) partageant une même adresse IP virtuelle de passerelle.</w:t>
      </w:r>
    </w:p>
    <w:p>
      <w:pPr>
        <w:pStyle w:val="BodyText"/>
      </w:pPr>
      <w:r>
        <w:rPr>
          <w:b/>
          <w:bCs/>
        </w:rPr>
        <w:t xml:space="preserve">Q3.</w:t>
      </w:r>
      <w:r>
        <w:rPr>
          <w:b/>
          <w:bCs/>
        </w:rPr>
        <w:t xml:space="preserve"> </w:t>
      </w:r>
      <w:r>
        <w:rPr>
          <w:b/>
          <w:bCs/>
        </w:rPr>
        <w:t xml:space="preserve">“Comment OSPF réagit-il à la panne d’un lien réseau, comparé à une route statique ?”</w:t>
      </w:r>
      <w:r>
        <w:t xml:space="preserve"> </w:t>
      </w:r>
      <w:r>
        <w:t xml:space="preserve">Réponse attendue : OSPF détecte automatiquement la panne via l’échange continu d’informations entre routeurs voisins et recalcule lui-même un chemin alternatif si disponible, sans intervention manuelle — contrairement à une route statique qui resterait invalide jusqu’à une correction manuelle explicite.</w:t>
      </w:r>
    </w:p>
    <w:bookmarkEnd w:id="1593"/>
    <w:bookmarkStart w:id="1594" w:name="Xdaabc14561280f447add17f8a6ea4f4d7971c91"/>
    <w:p>
      <w:pPr>
        <w:pStyle w:val="Heading2"/>
      </w:pPr>
      <w:r>
        <w:t xml:space="preserve">Optimisation, sécurité et maintenabilité — les réflexes dès ce chapitre</w:t>
      </w:r>
    </w:p>
    <w:p>
      <w:pPr>
        <w:pStyle w:val="FirstParagraph"/>
      </w:pPr>
      <w:r>
        <w:t xml:space="preserve">🔒 Sécurité</w:t>
      </w:r>
      <w:r>
        <w:t xml:space="preserve"> </w:t>
      </w:r>
      <w:r>
        <w:t xml:space="preserve">Restreins l’accès administratif aux équipements réseau eux-mêmes (commutateurs, routeurs) selon le même principe de moindre privilège déjà appliqué à Active Directory — une mauvaise configuration accidentelle ou malveillante d’un équipement réseau central peut affecter l’ensemble de l’infrastructure qui en dépend.</w:t>
      </w:r>
    </w:p>
    <w:p>
      <w:pPr>
        <w:pStyle w:val="BodyText"/>
      </w:pPr>
      <w:r>
        <w:t xml:space="preserve">✅ Maintenabilité</w:t>
      </w:r>
      <w:r>
        <w:t xml:space="preserve"> </w:t>
      </w:r>
      <w:r>
        <w:t xml:space="preserve">Teste périodiquement les mécanismes de bascule automatique (débrancher volontairement un lien ou arrêter un routeur en environnement contrôlé) plutôt que de supposer qu’ils fonctionneront le jour où une panne réelle surviendra — le même principe déjà appliqué aux tests de restauration de sauvegarde au chapitre 27.</w:t>
      </w:r>
    </w:p>
    <w:p>
      <w:pPr>
        <w:pStyle w:val="BodyText"/>
      </w:pPr>
      <w:r>
        <w:t xml:space="preserve">🚀 Performance</w:t>
      </w:r>
      <w:r>
        <w:t xml:space="preserve"> </w:t>
      </w:r>
      <w:r>
        <w:t xml:space="preserve">L’agrégation de liens via EtherChannel augmente la bande passante disponible entre deux équipements, un bénéfice distinct de la simple tolérance de panne — pertinent pour les liens supportant un trafic important, comme celui entre les commutateurs centraux et les serveurs les plus sollicités.</w:t>
      </w:r>
    </w:p>
    <w:bookmarkEnd w:id="1594"/>
    <w:bookmarkStart w:id="1595" w:name="résumé-du-chapitre-64"/>
    <w:p>
      <w:pPr>
        <w:pStyle w:val="Heading2"/>
      </w:pPr>
      <w:r>
        <w:t xml:space="preserve">Résumé du chapitre</w:t>
      </w:r>
    </w:p>
    <w:p>
      <w:pPr>
        <w:pStyle w:val="Compact"/>
        <w:numPr>
          <w:ilvl w:val="0"/>
          <w:numId w:val="2496"/>
        </w:numPr>
      </w:pPr>
      <w:r>
        <w:t xml:space="preserve">Un réseau reposant sur un seul commutateur ou un seul routeur reste vulnérable à un point de défaillance unique, au même titre que les serveurs sans haute disponibilité.</w:t>
      </w:r>
    </w:p>
    <w:p>
      <w:pPr>
        <w:pStyle w:val="Compact"/>
        <w:numPr>
          <w:ilvl w:val="0"/>
          <w:numId w:val="2496"/>
        </w:numPr>
      </w:pPr>
      <w:r>
        <w:t xml:space="preserve">Le Spanning Tree Protocol permet d’ajouter des liens redondants entre commutateurs sans provoquer de boucle réseau ni de tempête de broadcast.</w:t>
      </w:r>
    </w:p>
    <w:p>
      <w:pPr>
        <w:pStyle w:val="Compact"/>
        <w:numPr>
          <w:ilvl w:val="0"/>
          <w:numId w:val="2496"/>
        </w:numPr>
      </w:pPr>
      <w:r>
        <w:t xml:space="preserve">EtherChannel agrège plusieurs liens physiques entre deux équipements en un seul lien logique, combinant bande passante et tolérance de panne.</w:t>
      </w:r>
    </w:p>
    <w:p>
      <w:pPr>
        <w:pStyle w:val="Compact"/>
        <w:numPr>
          <w:ilvl w:val="0"/>
          <w:numId w:val="2496"/>
        </w:numPr>
      </w:pPr>
      <w:r>
        <w:t xml:space="preserve">HSRP et VRRP permettent à deux routeurs de partager une adresse IP virtuelle de passerelle, avec bascule automatique en cas de panne.</w:t>
      </w:r>
    </w:p>
    <w:p>
      <w:pPr>
        <w:pStyle w:val="Compact"/>
        <w:numPr>
          <w:ilvl w:val="0"/>
          <w:numId w:val="2496"/>
        </w:numPr>
      </w:pPr>
      <w:r>
        <w:t xml:space="preserve">OSPF recalcule automatiquement les routes en cas de changement de topologie, contrairement à une route statique nécessitant une correction manuelle.</w:t>
      </w:r>
    </w:p>
    <w:p>
      <w:pPr>
        <w:pStyle w:val="Compact"/>
        <w:numPr>
          <w:ilvl w:val="0"/>
          <w:numId w:val="2496"/>
        </w:numPr>
      </w:pPr>
      <w:r>
        <w:t xml:space="preserve">Une topologie redondante doit toujours être documentée et testée périodiquement pour garantir son efficacité réelle le jour d’une panne.</w:t>
      </w:r>
    </w:p>
    <w:bookmarkEnd w:id="1595"/>
    <w:bookmarkStart w:id="1596" w:name="quiz-64"/>
    <w:p>
      <w:pPr>
        <w:pStyle w:val="Heading2"/>
      </w:pPr>
      <w:r>
        <w:t xml:space="preserve">Quiz</w:t>
      </w:r>
    </w:p>
    <w:p>
      <w:pPr>
        <w:pStyle w:val="FirstParagraph"/>
      </w:pPr>
      <w:r>
        <w:t xml:space="preserve">📝 QCM (une seule bonne réponse par question)</w:t>
      </w:r>
    </w:p>
    <w:p>
      <w:pPr>
        <w:pStyle w:val="Compact"/>
        <w:numPr>
          <w:ilvl w:val="0"/>
          <w:numId w:val="2497"/>
        </w:numPr>
      </w:pPr>
      <w:r>
        <w:t xml:space="preserve">Le Spanning Tree Protocol sert principalement à :</w:t>
      </w:r>
    </w:p>
    <w:p>
      <w:pPr>
        <w:pStyle w:val="Compact"/>
        <w:numPr>
          <w:ilvl w:val="1"/>
          <w:numId w:val="2498"/>
        </w:numPr>
      </w:pPr>
    </w:p>
    <w:p>
      <w:pPr>
        <w:pStyle w:val="Compact"/>
        <w:numPr>
          <w:ilvl w:val="2"/>
          <w:numId w:val="2499"/>
        </w:numPr>
      </w:pPr>
      <w:r>
        <w:t xml:space="preserve">Augmenter la bande passante entre deux commutateurs</w:t>
      </w:r>
    </w:p>
    <w:p>
      <w:pPr>
        <w:pStyle w:val="Compact"/>
        <w:numPr>
          <w:ilvl w:val="1"/>
          <w:numId w:val="2498"/>
        </w:numPr>
      </w:pPr>
    </w:p>
    <w:p>
      <w:pPr>
        <w:pStyle w:val="Compact"/>
        <w:numPr>
          <w:ilvl w:val="2"/>
          <w:numId w:val="2500"/>
        </w:numPr>
      </w:pPr>
      <w:r>
        <w:t xml:space="preserve">Éviter les boucles réseau lorsque des liens redondants existent entre commutateurs</w:t>
      </w:r>
    </w:p>
    <w:p>
      <w:pPr>
        <w:pStyle w:val="Compact"/>
        <w:numPr>
          <w:ilvl w:val="1"/>
          <w:numId w:val="2498"/>
        </w:numPr>
      </w:pPr>
    </w:p>
    <w:p>
      <w:pPr>
        <w:pStyle w:val="Compact"/>
        <w:numPr>
          <w:ilvl w:val="2"/>
          <w:numId w:val="2501"/>
        </w:numPr>
      </w:pPr>
      <w:r>
        <w:t xml:space="preserve">Remplacer le besoin d’un routeur</w:t>
      </w:r>
    </w:p>
    <w:p>
      <w:pPr>
        <w:pStyle w:val="Compact"/>
        <w:numPr>
          <w:ilvl w:val="1"/>
          <w:numId w:val="2498"/>
        </w:numPr>
      </w:pPr>
    </w:p>
    <w:p>
      <w:pPr>
        <w:pStyle w:val="Compact"/>
        <w:numPr>
          <w:ilvl w:val="2"/>
          <w:numId w:val="2502"/>
        </w:numPr>
      </w:pPr>
      <w:r>
        <w:t xml:space="preserve">Chiffrer le trafic réseau</w:t>
      </w:r>
    </w:p>
    <w:p>
      <w:pPr>
        <w:pStyle w:val="Compact"/>
        <w:numPr>
          <w:ilvl w:val="0"/>
          <w:numId w:val="2497"/>
        </w:numPr>
      </w:pPr>
      <w:r>
        <w:t xml:space="preserve">HSRP et VRRP permettent principalement de :</w:t>
      </w:r>
    </w:p>
    <w:p>
      <w:pPr>
        <w:pStyle w:val="Compact"/>
        <w:numPr>
          <w:ilvl w:val="1"/>
          <w:numId w:val="2503"/>
        </w:numPr>
      </w:pPr>
    </w:p>
    <w:p>
      <w:pPr>
        <w:pStyle w:val="Compact"/>
        <w:numPr>
          <w:ilvl w:val="2"/>
          <w:numId w:val="2504"/>
        </w:numPr>
      </w:pPr>
      <w:r>
        <w:t xml:space="preserve">Agréger plusieurs liens physiques en un seul lien logique</w:t>
      </w:r>
    </w:p>
    <w:p>
      <w:pPr>
        <w:pStyle w:val="Compact"/>
        <w:numPr>
          <w:ilvl w:val="1"/>
          <w:numId w:val="2503"/>
        </w:numPr>
      </w:pPr>
    </w:p>
    <w:p>
      <w:pPr>
        <w:pStyle w:val="Compact"/>
        <w:numPr>
          <w:ilvl w:val="2"/>
          <w:numId w:val="2505"/>
        </w:numPr>
      </w:pPr>
      <w:r>
        <w:t xml:space="preserve">Partager une adresse IP virtuelle de passerelle entre deux routeurs, avec bascule automatique</w:t>
      </w:r>
    </w:p>
    <w:p>
      <w:pPr>
        <w:pStyle w:val="Compact"/>
        <w:numPr>
          <w:ilvl w:val="1"/>
          <w:numId w:val="2503"/>
        </w:numPr>
      </w:pPr>
    </w:p>
    <w:p>
      <w:pPr>
        <w:pStyle w:val="Compact"/>
        <w:numPr>
          <w:ilvl w:val="2"/>
          <w:numId w:val="2506"/>
        </w:numPr>
      </w:pPr>
      <w:r>
        <w:t xml:space="preserve">Détecter automatiquement les boucles réseau</w:t>
      </w:r>
    </w:p>
    <w:p>
      <w:pPr>
        <w:pStyle w:val="Compact"/>
        <w:numPr>
          <w:ilvl w:val="1"/>
          <w:numId w:val="2503"/>
        </w:numPr>
      </w:pPr>
    </w:p>
    <w:p>
      <w:pPr>
        <w:pStyle w:val="Compact"/>
        <w:numPr>
          <w:ilvl w:val="2"/>
          <w:numId w:val="2507"/>
        </w:numPr>
      </w:pPr>
      <w:r>
        <w:t xml:space="preserve">Remplacer le besoin de VLAN</w:t>
      </w:r>
    </w:p>
    <w:p>
      <w:pPr>
        <w:pStyle w:val="Compact"/>
        <w:numPr>
          <w:ilvl w:val="0"/>
          <w:numId w:val="2497"/>
        </w:numPr>
      </w:pPr>
      <w:r>
        <w:t xml:space="preserve">OSPF, comparé à une route statique, présente l’avantage de :</w:t>
      </w:r>
    </w:p>
    <w:p>
      <w:pPr>
        <w:pStyle w:val="Compact"/>
        <w:numPr>
          <w:ilvl w:val="1"/>
          <w:numId w:val="2508"/>
        </w:numPr>
      </w:pPr>
    </w:p>
    <w:p>
      <w:pPr>
        <w:pStyle w:val="Compact"/>
        <w:numPr>
          <w:ilvl w:val="2"/>
          <w:numId w:val="2509"/>
        </w:numPr>
      </w:pPr>
      <w:r>
        <w:t xml:space="preserve">Ne jamais nécessiter de configuration initiale</w:t>
      </w:r>
    </w:p>
    <w:p>
      <w:pPr>
        <w:pStyle w:val="Compact"/>
        <w:numPr>
          <w:ilvl w:val="1"/>
          <w:numId w:val="2508"/>
        </w:numPr>
      </w:pPr>
    </w:p>
    <w:p>
      <w:pPr>
        <w:pStyle w:val="Compact"/>
        <w:numPr>
          <w:ilvl w:val="2"/>
          <w:numId w:val="2510"/>
        </w:numPr>
      </w:pPr>
      <w:r>
        <w:t xml:space="preserve">Recalculer automatiquement les routes en cas de changement de topologie</w:t>
      </w:r>
    </w:p>
    <w:p>
      <w:pPr>
        <w:pStyle w:val="Compact"/>
        <w:numPr>
          <w:ilvl w:val="1"/>
          <w:numId w:val="2508"/>
        </w:numPr>
      </w:pPr>
    </w:p>
    <w:p>
      <w:pPr>
        <w:pStyle w:val="Compact"/>
        <w:numPr>
          <w:ilvl w:val="2"/>
          <w:numId w:val="2511"/>
        </w:numPr>
      </w:pPr>
      <w:r>
        <w:t xml:space="preserve">Fonctionner uniquement sur des équipements Cisco</w:t>
      </w:r>
    </w:p>
    <w:p>
      <w:pPr>
        <w:pStyle w:val="Compact"/>
        <w:numPr>
          <w:ilvl w:val="1"/>
          <w:numId w:val="2508"/>
        </w:numPr>
      </w:pPr>
    </w:p>
    <w:p>
      <w:pPr>
        <w:pStyle w:val="Compact"/>
        <w:numPr>
          <w:ilvl w:val="2"/>
          <w:numId w:val="2512"/>
        </w:numPr>
      </w:pPr>
      <w:r>
        <w:t xml:space="preserve">Remplacer le besoin de HSRP</w:t>
      </w:r>
    </w:p>
    <w:p>
      <w:pPr>
        <w:pStyle w:val="FirstParagraph"/>
      </w:pPr>
      <w:r>
        <w:rPr>
          <w:b/>
          <w:bCs/>
        </w:rPr>
        <w:t xml:space="preserve">Corrigé</w:t>
      </w:r>
      <w:r>
        <w:t xml:space="preserve"> </w:t>
      </w:r>
      <w:r>
        <w:t xml:space="preserve">: 1-b, 2-b, 3-b.</w:t>
      </w:r>
    </w:p>
    <w:p>
      <w:pPr>
        <w:pStyle w:val="BodyText"/>
      </w:pPr>
      <w:r>
        <w:t xml:space="preserve">📝 Vrai ou Faux</w:t>
      </w:r>
    </w:p>
    <w:p>
      <w:pPr>
        <w:pStyle w:val="Compact"/>
        <w:numPr>
          <w:ilvl w:val="0"/>
          <w:numId w:val="2513"/>
        </w:numPr>
      </w:pPr>
      <w:r>
        <w:t xml:space="preserve">Ajouter un lien redondant entre deux commutateurs sans Spanning Tree Protocol peut provoquer une tempête de broadcast. —</w:t>
      </w:r>
      <w:r>
        <w:t xml:space="preserve"> </w:t>
      </w:r>
      <w:r>
        <w:rPr>
          <w:b/>
          <w:bCs/>
        </w:rPr>
        <w:t xml:space="preserve">Vrai</w:t>
      </w:r>
      <w:r>
        <w:t xml:space="preserve">.</w:t>
      </w:r>
    </w:p>
    <w:p>
      <w:pPr>
        <w:pStyle w:val="Compact"/>
        <w:numPr>
          <w:ilvl w:val="0"/>
          <w:numId w:val="2513"/>
        </w:numPr>
      </w:pPr>
      <w:r>
        <w:t xml:space="preserve">EtherChannel et HSRP répondent exactement au même besoin de redondance, l’un remplaçant l’autre. —</w:t>
      </w:r>
      <w:r>
        <w:t xml:space="preserve"> </w:t>
      </w:r>
      <w:r>
        <w:rPr>
          <w:b/>
          <w:bCs/>
        </w:rPr>
        <w:t xml:space="preserve">Faux</w:t>
      </w:r>
      <w:r>
        <w:t xml:space="preserve"> </w:t>
      </w:r>
      <w:r>
        <w:t xml:space="preserve">(deux besoins distincts, sections 65.3 et 65.4).</w:t>
      </w:r>
    </w:p>
    <w:p>
      <w:pPr>
        <w:pStyle w:val="Compact"/>
        <w:numPr>
          <w:ilvl w:val="0"/>
          <w:numId w:val="2513"/>
        </w:numPr>
      </w:pPr>
      <w:r>
        <w:t xml:space="preserve">Un scénario de</w:t>
      </w:r>
      <w:r>
        <w:t xml:space="preserve"> </w:t>
      </w:r>
      <w:r>
        <w:t xml:space="preserve">“split brain”</w:t>
      </w:r>
      <w:r>
        <w:t xml:space="preserve"> </w:t>
      </w:r>
      <w:r>
        <w:t xml:space="preserve">HSRP se produit lorsque les deux routeurs se croient simultanément actifs. —</w:t>
      </w:r>
      <w:r>
        <w:t xml:space="preserve"> </w:t>
      </w:r>
      <w:r>
        <w:rPr>
          <w:b/>
          <w:bCs/>
        </w:rPr>
        <w:t xml:space="preserve">Vrai</w:t>
      </w:r>
      <w:r>
        <w:t xml:space="preserve">.</w:t>
      </w:r>
    </w:p>
    <w:p>
      <w:pPr>
        <w:pStyle w:val="Compact"/>
        <w:numPr>
          <w:ilvl w:val="0"/>
          <w:numId w:val="2513"/>
        </w:numPr>
      </w:pPr>
      <w:r>
        <w:t xml:space="preserve">Une topologie réseau redondante n’a pas besoin d’être testée une fois mise en place, tant que la configuration initiale est correcte. —</w:t>
      </w:r>
      <w:r>
        <w:t xml:space="preserve"> </w:t>
      </w:r>
      <w:r>
        <w:rPr>
          <w:b/>
          <w:bCs/>
        </w:rPr>
        <w:t xml:space="preserve">Faux</w:t>
      </w:r>
      <w:r>
        <w:t xml:space="preserve"> </w:t>
      </w:r>
      <w:r>
        <w:t xml:space="preserve">(section</w:t>
      </w:r>
      <w:r>
        <w:t xml:space="preserve"> </w:t>
      </w:r>
      <w:r>
        <w:t xml:space="preserve">“Maintenabilité”</w:t>
      </w:r>
      <w:r>
        <w:t xml:space="preserve">).</w:t>
      </w:r>
    </w:p>
    <w:p>
      <w:pPr>
        <w:pStyle w:val="FirstParagraph"/>
      </w:pPr>
      <w:r>
        <w:t xml:space="preserve">📝 Questions ouvertes</w:t>
      </w:r>
    </w:p>
    <w:p>
      <w:pPr>
        <w:pStyle w:val="Compact"/>
        <w:numPr>
          <w:ilvl w:val="0"/>
          <w:numId w:val="2514"/>
        </w:numPr>
      </w:pPr>
      <w:r>
        <w:t xml:space="preserve">Explique pourquoi l’exercice de simulation du PCA (chapitre 32) a révélé un problème que les sauvegardes et la haute disponibilité des serveurs, déjà en place, ne suffisaient pas à résoudre.</w:t>
      </w:r>
    </w:p>
    <w:p>
      <w:pPr>
        <w:pStyle w:val="Compact"/>
        <w:numPr>
          <w:ilvl w:val="0"/>
          <w:numId w:val="2514"/>
        </w:numPr>
      </w:pPr>
      <w:r>
        <w:t xml:space="preserve">Un collègue propose de simplement dupliquer le commutateur central sans activer le Spanning Tree Protocol,</w:t>
      </w:r>
      <w:r>
        <w:t xml:space="preserve"> </w:t>
      </w:r>
      <w:r>
        <w:t xml:space="preserve">“pour gagner du temps”</w:t>
      </w:r>
      <w:r>
        <w:t xml:space="preserve">. Explique le risque concret de cette proposition.</w:t>
      </w:r>
    </w:p>
    <w:p>
      <w:pPr>
        <w:pStyle w:val="FirstParagraph"/>
      </w:pPr>
      <w:r>
        <w:rPr>
          <w:b/>
          <w:bCs/>
        </w:rPr>
        <w:t xml:space="preserve">Corrigé 1</w:t>
      </w:r>
      <w:r>
        <w:t xml:space="preserve"> </w:t>
      </w:r>
      <w:r>
        <w:t xml:space="preserve">: les sauvegardes et la haute disponibilité des serveurs, déjà couvertes dans la Partie 5 de ce manuel, protègent contre la perte ou la panne des serveurs eux-mêmes — mais elles supposent implicitement que le réseau permettant d’accéder à ces serveurs reste lui-même disponible. Si le commutateur central unique du siège tombe en panne, l’accès réseau à ces serveurs parfaitement sauvegardés et hautement disponibles devient tout aussi impossible que s’ils avaient eux-mêmes échoué — le point de défaillance s’est simplement déplacé d’un composant déjà protégé (les serveurs) vers un composant qui ne l’était pas encore (le réseau lui-même). L’exercice de simulation du PCA a révélé cet angle mort précisément parce qu’il testait l’ensemble de la chaîne de continuité, pas uniquement les composants déjà connus pour être protégés.</w:t>
      </w:r>
    </w:p>
    <w:p>
      <w:pPr>
        <w:pStyle w:val="BodyText"/>
      </w:pPr>
      <w:r>
        <w:rPr>
          <w:b/>
          <w:bCs/>
        </w:rPr>
        <w:t xml:space="preserve">Corrigé 2</w:t>
      </w:r>
      <w:r>
        <w:t xml:space="preserve"> </w:t>
      </w:r>
      <w:r>
        <w:t xml:space="preserve">: dupliquer physiquement le commutateur central en le reliant au premier par un ou plusieurs câbles crée une boucle physique dans le réseau. Sans Spanning Tree Protocol pour détecter et neutraliser logiquement cette boucle, un paquet diffusé (broadcast) circulerait indéfiniment entre les deux commutateurs, se multipliant à chaque passage jusqu’à saturer complètement la bande passante disponible et rendre le réseau entier inutilisable — un résultat exactement opposé à l’objectif de résilience recherché. Ce risque illustre pourquoi la redondance réseau ne peut jamais être ajoutée à la légère, sans les mécanismes de protection appropriés déjà connus et documentés pour ce type de changement.</w:t>
      </w:r>
    </w:p>
    <w:bookmarkEnd w:id="1596"/>
    <w:bookmarkStart w:id="1597" w:name="exercices-64"/>
    <w:p>
      <w:pPr>
        <w:pStyle w:val="Heading2"/>
      </w:pPr>
      <w:r>
        <w:t xml:space="preserve">Exercices</w:t>
      </w:r>
    </w:p>
    <w:p>
      <w:pPr>
        <w:pStyle w:val="FirstParagraph"/>
      </w:pPr>
      <w:r>
        <w:t xml:space="preserve">📝 Exercice 65.1</w:t>
      </w:r>
    </w:p>
    <w:p>
      <w:pPr>
        <w:pStyle w:val="BodyText"/>
      </w:pPr>
      <w:r>
        <w:t xml:space="preserve">Explique pourquoi une liaison OSPF entre les sites de Port-au-Prince et de Cap-Haïtien est préférable à une simple route statique, dans le contexte spécifique de deux sites reliés par plusieurs liens WAN redondants.</w:t>
      </w:r>
    </w:p>
    <w:p>
      <w:pPr>
        <w:pStyle w:val="BodyText"/>
      </w:pPr>
      <w:r>
        <w:rPr>
          <w:b/>
          <w:bCs/>
        </w:rPr>
        <w:t xml:space="preserve">Corrigé :</w:t>
      </w:r>
      <w:r>
        <w:t xml:space="preserve"> </w:t>
      </w:r>
      <w:r>
        <w:t xml:space="preserve">Avec une route statique, la panne d’un des liens WAN entre les deux sites nécessiterait une intervention manuelle pour rediriger le trafic vers le lien restant — un délai d’intervention pendant lequel la communication entre les deux sites resterait interrompue, un risque particulièrement problématique compte tenu de la vulnérabilité déjà identifiée aux intempéries pour le site concerné (rappel du chapitre 32). Avec OSPF, les routeurs des deux sites échangent en permanence l’état de leurs liens et détectent automatiquement toute panne, recalculant immédiatement le meilleur chemin disponible parmi les liens WAN redondants restants, sans aucune intervention manuelle ni délai d’attente pour une action humaine. Ce comportement automatique rejoint directement l’objectif de continuité d’activité déjà recherché pour ce lien inter-site.</w:t>
      </w:r>
    </w:p>
    <w:p>
      <w:pPr>
        <w:pStyle w:val="BodyText"/>
      </w:pPr>
      <w:r>
        <w:t xml:space="preserve">📝 Exercice 65.2</w:t>
      </w:r>
    </w:p>
    <w:p>
      <w:pPr>
        <w:pStyle w:val="BodyText"/>
      </w:pPr>
      <w:r>
        <w:t xml:space="preserve">Rédige, en 3 à 5 phrases, une règle d’équipe garantissant que tout changement de câblage réseau introduisant une redondance physique fait l’objet d’une vérification préalable du Spanning Tree Protocol, en t’appuyant sur le risque décrit à la section 65.2.</w:t>
      </w:r>
    </w:p>
    <w:p>
      <w:pPr>
        <w:pStyle w:val="BodyText"/>
      </w:pPr>
      <w:r>
        <w:rPr>
          <w:b/>
          <w:bCs/>
        </w:rPr>
        <w:t xml:space="preserve">Corrigé (exemple de réponse) :</w:t>
      </w:r>
      <w:r>
        <w:t xml:space="preserve"> </w:t>
      </w:r>
      <w:r>
        <w:t xml:space="preserve">Tout ajout de câblage créant un chemin physique redondant entre deux commutateurs devra faire l’objet d’une vérification explicite de l’état du Spanning Tree Protocol sur l’ensemble des commutateurs concernés avant sa mise en service définitive, plutôt qu’un simple branchement suivi d’une vérification a posteriori. Ce changement suivra le même processus de revue déjà établi pour tout changement d’infrastructure au chapitre 2, avec une étape spécifique dédiée à la vérification de l’absence de boucle non gérée. Toute anomalie de convergence du Spanning Tree Protocol détectée lors de cette vérification bloquera la mise en service du nouveau câblage jusqu’à sa résolution complète, évitant ainsi le risque de tempête de broadcast déjà documenté dans ce chapitre.</w:t>
      </w:r>
    </w:p>
    <w:bookmarkEnd w:id="1597"/>
    <w:bookmarkStart w:id="1598" w:name="checklist-de-fin-de-chapitre-64"/>
    <w:p>
      <w:pPr>
        <w:pStyle w:val="Heading2"/>
      </w:pPr>
      <w:r>
        <w:t xml:space="preserve">Checklist de fin de chapitre</w:t>
      </w:r>
    </w:p>
    <w:p>
      <w:pPr>
        <w:pStyle w:val="FirstParagraph"/>
      </w:pPr>
      <w:r>
        <w:t xml:space="preserve">☐ Je comprends pourquoi un réseau reposant sur un seul équipement reste un point de défaillance unique.</w:t>
      </w:r>
    </w:p>
    <w:p>
      <w:pPr>
        <w:pStyle w:val="BodyText"/>
      </w:pPr>
      <w:r>
        <w:t xml:space="preserve">☐ Je sais expliquer le rôle du Spanning Tree Protocol face à une boucle réseau.</w:t>
      </w:r>
    </w:p>
    <w:p>
      <w:pPr>
        <w:pStyle w:val="BodyText"/>
      </w:pPr>
      <w:r>
        <w:t xml:space="preserve">☐ Je sais distinguer EtherChannel (agrégation de liens) de HSRP/VRRP (redondance de passerelle).</w:t>
      </w:r>
    </w:p>
    <w:p>
      <w:pPr>
        <w:pStyle w:val="BodyText"/>
      </w:pPr>
      <w:r>
        <w:t xml:space="preserve">☐ Je comprends l’avantage d’OSPF par rapport à une route statique en cas de panne de lien.</w:t>
      </w:r>
    </w:p>
    <w:p>
      <w:pPr>
        <w:pStyle w:val="BodyText"/>
      </w:pPr>
      <w:r>
        <w:t xml:space="preserve">☐ Je sais diagnostiquer une tempête de broadcast.</w:t>
      </w:r>
    </w:p>
    <w:p>
      <w:pPr>
        <w:pStyle w:val="BodyText"/>
      </w:pPr>
      <w:r>
        <w:t xml:space="preserve">☐ Je comprends pourquoi une topologie redondante doit être documentée et testée périodiquement.</w:t>
      </w:r>
    </w:p>
    <w:bookmarkEnd w:id="1598"/>
    <w:bookmarkStart w:id="1599" w:name="faq-64"/>
    <w:p>
      <w:pPr>
        <w:pStyle w:val="Heading2"/>
      </w:pPr>
      <w:r>
        <w:t xml:space="preserve">FAQ</w:t>
      </w:r>
    </w:p>
    <w:p>
      <w:pPr>
        <w:pStyle w:val="FirstParagraph"/>
      </w:pPr>
      <w:r>
        <w:t xml:space="preserve">Faut-il toujours viser une redondance complète (STP, EtherChannel, HSRP, OSPF) pour tout réseau d’entreprise ?</w:t>
      </w:r>
    </w:p>
    <w:p>
      <w:pPr>
        <w:pStyle w:val="BodyText"/>
      </w:pPr>
      <w:r>
        <w:t xml:space="preserve">Non, le niveau de redondance devrait être proportionnel à la criticité réelle du réseau concerné — un petit site secondaire avec peu d’utilisateurs peut justifier une architecture plus simple, tandis qu’un siège hébergeant des services critiques justifie pleinement l’investissement en redondance complète décrit dans ce chapitre.</w:t>
      </w:r>
    </w:p>
    <w:p>
      <w:pPr>
        <w:pStyle w:val="BodyText"/>
      </w:pPr>
      <w:r>
        <w:t xml:space="preserve">HSRP et VRRP sont-ils interchangeables ?</w:t>
      </w:r>
    </w:p>
    <w:p>
      <w:pPr>
        <w:pStyle w:val="BodyText"/>
      </w:pPr>
      <w:r>
        <w:t xml:space="preserve">Fonctionnellement proches, mais HSRP est une technologie propriétaire Cisco tandis que VRRP est un standard ouvert interopérable entre plusieurs fabricants — le choix dépend du parc d’équipements réseau réellement déployé dans l’organisation.</w:t>
      </w:r>
    </w:p>
    <w:p>
      <w:pPr>
        <w:pStyle w:val="BodyText"/>
      </w:pPr>
      <w:r>
        <w:t xml:space="preserve">OSPF est-il adapté à une petite infrastructure, ou uniquement à de grands réseaux complexes ?</w:t>
      </w:r>
    </w:p>
    <w:p>
      <w:pPr>
        <w:pStyle w:val="BodyText"/>
      </w:pPr>
      <w:r>
        <w:t xml:space="preserve">OSPF reste pertinent même pour une infrastructure de taille modeste dès qu’une redondance de liens existe et qu’une bascule automatique est souhaitée — sa complexité de configuration initiale reste raisonnable pour le bénéfice de continuité qu’il apporte.</w:t>
      </w:r>
    </w:p>
    <w:p>
      <w:pPr>
        <w:pStyle w:val="BodyText"/>
      </w:pPr>
      <w:r>
        <w:t xml:space="preserve">La redondance réseau élimine-t-elle complètement le besoin d’un plan de continuité d’activité plus large ?</w:t>
      </w:r>
    </w:p>
    <w:p>
      <w:pPr>
        <w:pStyle w:val="BodyText"/>
      </w:pPr>
      <w:r>
        <w:t xml:space="preserve">Non, elle traite spécifiquement la résilience de l’infrastructure réseau elle-même — le plan de continuité d’activité du chapitre 32 reste nécessaire pour couvrir l’ensemble des scénarios de panne, y compris ceux dépassant le cadre strictement réseau, comme une indisponibilité complète d’un site.</w:t>
      </w:r>
    </w:p>
    <w:bookmarkEnd w:id="1599"/>
    <w:bookmarkStart w:id="1603" w:name="références-et-pour-aller-plus-loin-64"/>
    <w:p>
      <w:pPr>
        <w:pStyle w:val="Heading2"/>
      </w:pPr>
      <w:r>
        <w:t xml:space="preserve">Références et pour aller plus loin</w:t>
      </w:r>
    </w:p>
    <w:p>
      <w:pPr>
        <w:pStyle w:val="Compact"/>
        <w:numPr>
          <w:ilvl w:val="0"/>
          <w:numId w:val="2515"/>
        </w:numPr>
      </w:pPr>
      <w:r>
        <w:t xml:space="preserve">Cisco — Documentation officielle sur le Spanning Tree Protocol :</w:t>
      </w:r>
      <w:r>
        <w:t xml:space="preserve"> </w:t>
      </w:r>
      <w:hyperlink r:id="rId1600">
        <w:r>
          <w:rPr>
            <w:rStyle w:val="Hyperlink"/>
          </w:rPr>
          <w:t xml:space="preserve">https://www.cisco.com/c/en/us/tech/lan-switching/spanning-tree-protocol/index.html</w:t>
        </w:r>
      </w:hyperlink>
    </w:p>
    <w:p>
      <w:pPr>
        <w:pStyle w:val="Compact"/>
        <w:numPr>
          <w:ilvl w:val="0"/>
          <w:numId w:val="2515"/>
        </w:numPr>
      </w:pPr>
      <w:r>
        <w:t xml:space="preserve">Cisco — Documentation officielle sur HSRP :</w:t>
      </w:r>
      <w:r>
        <w:t xml:space="preserve"> </w:t>
      </w:r>
      <w:hyperlink r:id="rId1601">
        <w:r>
          <w:rPr>
            <w:rStyle w:val="Hyperlink"/>
          </w:rPr>
          <w:t xml:space="preserve">https://www.cisco.com/c/en/us/tech/ip/hot-standby-router-protocol-hsrp/index.html</w:t>
        </w:r>
      </w:hyperlink>
    </w:p>
    <w:p>
      <w:pPr>
        <w:pStyle w:val="Compact"/>
        <w:numPr>
          <w:ilvl w:val="0"/>
          <w:numId w:val="2515"/>
        </w:numPr>
      </w:pPr>
      <w:r>
        <w:t xml:space="preserve">RFC 2328 — OSPF Version 2 :</w:t>
      </w:r>
      <w:r>
        <w:t xml:space="preserve"> </w:t>
      </w:r>
      <w:hyperlink r:id="rId1602">
        <w:r>
          <w:rPr>
            <w:rStyle w:val="Hyperlink"/>
          </w:rPr>
          <w:t xml:space="preserve">https://www.rfc-editor.org/rfc/rfc2328</w:t>
        </w:r>
      </w:hyperlink>
    </w:p>
    <w:p>
      <w:pPr>
        <w:pStyle w:val="FirstParagraph"/>
      </w:pPr>
      <w:r>
        <w:rPr>
          <w:i/>
          <w:iCs/>
        </w:rPr>
        <w:t xml:space="preserve">Chapitre suivant : Fortinet et les pare-feu nouvelle génération — au-delà du routage et de la commutation déjà couverts dans ce chapitre, sécuriser activement le trafic qui circule sur cette infrastructure désormais redondante.</w:t>
      </w:r>
    </w:p>
    <w:p>
      <w:pPr>
        <w:pStyle w:val="BodyText"/>
      </w:pPr>
      <w:r>
        <w:t xml:space="preserve">CHAPITRE 66</w:t>
      </w:r>
    </w:p>
    <w:bookmarkEnd w:id="1603"/>
    <w:bookmarkEnd w:id="1604"/>
    <w:bookmarkStart w:id="1629" w:name="fortinet-pare-feu-nouvelle-génération"/>
    <w:p>
      <w:pPr>
        <w:pStyle w:val="Heading1"/>
      </w:pPr>
      <w:r>
        <w:t xml:space="preserve">Fortinet : pare-feu nouvelle génération</w:t>
      </w:r>
    </w:p>
    <w:p>
      <w:pPr>
        <w:pStyle w:val="FirstParagraph"/>
      </w:pPr>
      <w:r>
        <w:t xml:space="preserve">🎯 Objectif du chapitre</w:t>
      </w:r>
      <w:r>
        <w:t xml:space="preserve"> </w:t>
      </w:r>
      <w:r>
        <w:t xml:space="preserve">Sécuriser activement le trafic qui circule sur l’infrastructure réseau désormais redondante du chapitre précédent, au-delà du simple routage et de la commutation. À la fin de ce chapitre, tu comprendras ce qui distingue un pare-feu nouvelle génération (NGFW) d’un pare-feu traditionnel à filtrage de ports, tu sauras construire des règles de sécurité par zones, et tu comprendras l’inspection applicative, le filtrage web et la prévention d’intrusion intégrée.</w:t>
      </w:r>
    </w:p>
    <w:p>
      <w:pPr>
        <w:pStyle w:val="BodyText"/>
      </w:pPr>
      <w:r>
        <w:t xml:space="preserve">🎬 Mise en situation</w:t>
      </w:r>
      <w:r>
        <w:t xml:space="preserve"> </w:t>
      </w:r>
      <w:r>
        <w:t xml:space="preserve">Le pare-feu périmétrique actuel de l’entreprise se limite à autoriser ou bloquer du trafic selon le port et l’adresse IP — un modèle hérité qui ne distingue pas un flux HTTPS légitime vers le portail client d’un flux HTTPS malveillant exfiltrant discrètement des données vers un serveur externe, les deux utilisant le même port 443. Après l’incident de rançongiciel exploitant un accès RDP exposé (chapitre 4), la RSSI exige une visibilité plus fine sur le contenu réel du trafic, pas seulement sur son port et son adresse de destination. L’entreprise investit dans un pare-feu Fortinet nouvelle génération pour répondre à ce besoin.</w:t>
      </w:r>
    </w:p>
    <w:bookmarkStart w:id="1605" w:name="X420b25472e0ce120410b3a44ad3ceed5efc0ade"/>
    <w:p>
      <w:pPr>
        <w:pStyle w:val="Heading2"/>
      </w:pPr>
      <w:r>
        <w:t xml:space="preserve">66.1 Ce qui distingue un pare-feu nouvelle génération</w:t>
      </w:r>
    </w:p>
    <w:p>
      <w:pPr>
        <w:pStyle w:val="FirstParagraph"/>
      </w:pPr>
      <w:r>
        <w:t xml:space="preserve">📌 À retenir — la réponse directe au problème du scénario d’ouverture</w:t>
      </w:r>
      <w:r>
        <w:t xml:space="preserve"> </w:t>
      </w:r>
      <w:r>
        <w:t xml:space="preserve">Un pare-feu traditionnel filtre selon le port et l’adresse IP, sans jamais examiner le contenu réel du trafic autorisé — deux flux HTTPS légitime et malveillant, tous deux sur le port 443, lui paraissent identiques. Un</w:t>
      </w:r>
      <w:r>
        <w:t xml:space="preserve"> </w:t>
      </w:r>
      <w:r>
        <w:rPr>
          <w:b/>
          <w:bCs/>
        </w:rPr>
        <w:t xml:space="preserve">pare-feu nouvelle génération (NGFW)</w:t>
      </w:r>
      <w:r>
        <w:t xml:space="preserve"> </w:t>
      </w:r>
      <w:r>
        <w:t xml:space="preserve">inspecte le trafic au niveau applicatif, identifie l’application réelle derrière un flux (indépendamment du port utilisé), et peut appliquer des politiques de sécurité bien plus fines — autoriser le protocole HTTPS vers le portail client spécifiquement, tout en bloquant un usage détourné de ce même port pour un autre usage non autorisé.</w:t>
      </w:r>
    </w:p>
    <w:bookmarkEnd w:id="1605"/>
    <w:bookmarkStart w:id="1609" w:name="architecture-en-zones-de-sécurité"/>
    <w:p>
      <w:pPr>
        <w:pStyle w:val="Heading2"/>
      </w:pPr>
      <w:r>
        <w:t xml:space="preserve">66.2 Architecture en zones de sécurité</w:t>
      </w:r>
    </w:p>
    <w:p>
      <w:pPr>
        <w:pStyle w:val="FirstParagraph"/>
      </w:pPr>
      <w:r>
        <w:t xml:space="preserve">💡 Rappel direct de la segmentation VLAN déjà établie au chapitre 11</w:t>
      </w:r>
      <w:r>
        <w:t xml:space="preserve"> </w:t>
      </w:r>
      <w:r>
        <w:t xml:space="preserve">Un pare-feu Fortinet organise ses interfaces en</w:t>
      </w:r>
      <w:r>
        <w:t xml:space="preserve"> </w:t>
      </w:r>
      <w:r>
        <w:rPr>
          <w:b/>
          <w:bCs/>
        </w:rPr>
        <w:t xml:space="preserve">zones de sécurité</w:t>
      </w:r>
      <w:r>
        <w:t xml:space="preserve"> </w:t>
      </w:r>
      <w:r>
        <w:t xml:space="preserve">(WAN, LAN, DMZ) — un principe qui prolonge directement la logique de segmentation par VLAN déjà appliquée à l’infrastructure interne : chaque zone bénéficie d’un niveau de confiance distinct, et tout trafic entre deux zones différentes doit être explicitement autorisé par une règle, plutôt qu’implicitement permis par défaut.</w:t>
      </w:r>
    </w:p>
    <w:p>
      <w:pPr>
        <w:pStyle w:val="CaptionedFigure"/>
      </w:pPr>
      <w:r>
        <w:drawing>
          <wp:inline>
            <wp:extent cx="5334000" cy="1751222"/>
            <wp:effectExtent b="0" l="0" r="0" t="0"/>
            <wp:docPr descr="Diagramme" title="" id="1607" name="Picture"/>
            <a:graphic>
              <a:graphicData uri="http://schemas.openxmlformats.org/drawingml/2006/picture">
                <pic:pic>
                  <pic:nvPicPr>
                    <pic:cNvPr descr="C:/Users/ingja/Desktop/jarvis-starter-kit/livrables/formations/manuel-administration-systeme/assets/diagrams/d-66-fortinet-pare-feu-nouvelle-generation-diagramme-1.png" id="1608" name="Picture"/>
                    <pic:cNvPicPr>
                      <a:picLocks noChangeArrowheads="1" noChangeAspect="1"/>
                    </pic:cNvPicPr>
                  </pic:nvPicPr>
                  <pic:blipFill>
                    <a:blip r:embed="rId1606"/>
                    <a:stretch>
                      <a:fillRect/>
                    </a:stretch>
                  </pic:blipFill>
                  <pic:spPr bwMode="auto">
                    <a:xfrm>
                      <a:off x="0" y="0"/>
                      <a:ext cx="5334000" cy="1751222"/>
                    </a:xfrm>
                    <a:prstGeom prst="rect">
                      <a:avLst/>
                    </a:prstGeom>
                    <a:noFill/>
                    <a:ln w="9525">
                      <a:noFill/>
                      <a:headEnd/>
                      <a:tailEnd/>
                    </a:ln>
                  </pic:spPr>
                </pic:pic>
              </a:graphicData>
            </a:graphic>
          </wp:inline>
        </w:drawing>
      </w:r>
    </w:p>
    <w:p>
      <w:pPr>
        <w:pStyle w:val="ImageCaption"/>
      </w:pPr>
      <w:r>
        <w:t xml:space="preserve">Diagramme</w:t>
      </w:r>
    </w:p>
    <w:bookmarkEnd w:id="1609"/>
    <w:bookmarkStart w:id="1610" w:name="X87b39140b2fabfbfa3c3239b3cc071924242377"/>
    <w:p>
      <w:pPr>
        <w:pStyle w:val="Heading2"/>
      </w:pPr>
      <w:r>
        <w:t xml:space="preserve">66.3 Politiques de sécurité : le principe du refus par défaut</w:t>
      </w:r>
    </w:p>
    <w:p>
      <w:pPr>
        <w:pStyle w:val="FirstParagraph"/>
      </w:pPr>
      <w:r>
        <w:t xml:space="preserve">✅ Rappel indirect du principe de moindre privilège déjà établi aux chapitres 22-25</w:t>
      </w:r>
      <w:r>
        <w:t xml:space="preserve"> </w:t>
      </w:r>
      <w:r>
        <w:t xml:space="preserve">Une politique de sécurité Fortinet applique le même principe déjà établi pour les droits Active Directory : tout trafic est refusé par défaut entre deux zones, et seules les règles explicitement définies l’autorisent, précisant la source, la destination, le service et, pour un NGFW, l’application réellement identifiée dans le flux.</w:t>
      </w:r>
    </w:p>
    <w:p>
      <w:pPr>
        <w:pStyle w:val="SourceCode"/>
      </w:pPr>
      <w:r>
        <w:rPr>
          <w:rStyle w:val="VerbatimChar"/>
        </w:rPr>
        <w:t xml:space="preserve">config firewall policy</w:t>
      </w:r>
      <w:r>
        <w:br/>
      </w:r>
      <w:r>
        <w:rPr>
          <w:rStyle w:val="VerbatimChar"/>
        </w:rPr>
        <w:t xml:space="preserve">    edit 10</w:t>
      </w:r>
      <w:r>
        <w:br/>
      </w:r>
      <w:r>
        <w:rPr>
          <w:rStyle w:val="VerbatimChar"/>
        </w:rPr>
        <w:t xml:space="preserve">        set srcintf "lan"</w:t>
      </w:r>
      <w:r>
        <w:br/>
      </w:r>
      <w:r>
        <w:rPr>
          <w:rStyle w:val="VerbatimChar"/>
        </w:rPr>
        <w:t xml:space="preserve">        set dstintf "dmz"</w:t>
      </w:r>
      <w:r>
        <w:br/>
      </w:r>
      <w:r>
        <w:rPr>
          <w:rStyle w:val="VerbatimChar"/>
        </w:rPr>
        <w:t xml:space="preserve">        set srcaddr "reseau-interne"</w:t>
      </w:r>
      <w:r>
        <w:br/>
      </w:r>
      <w:r>
        <w:rPr>
          <w:rStyle w:val="VerbatimChar"/>
        </w:rPr>
        <w:t xml:space="preserve">        set dstaddr "portail-client"</w:t>
      </w:r>
      <w:r>
        <w:br/>
      </w:r>
      <w:r>
        <w:rPr>
          <w:rStyle w:val="VerbatimChar"/>
        </w:rPr>
        <w:t xml:space="preserve">        set service "HTTPS"</w:t>
      </w:r>
      <w:r>
        <w:br/>
      </w:r>
      <w:r>
        <w:rPr>
          <w:rStyle w:val="VerbatimChar"/>
        </w:rPr>
        <w:t xml:space="preserve">        set application "Portail-Client-App"</w:t>
      </w:r>
      <w:r>
        <w:br/>
      </w:r>
      <w:r>
        <w:rPr>
          <w:rStyle w:val="VerbatimChar"/>
        </w:rPr>
        <w:t xml:space="preserve">        set action accept</w:t>
      </w:r>
      <w:r>
        <w:br/>
      </w:r>
      <w:r>
        <w:rPr>
          <w:rStyle w:val="VerbatimChar"/>
        </w:rPr>
        <w:t xml:space="preserve">    next</w:t>
      </w:r>
      <w:r>
        <w:br/>
      </w:r>
      <w:r>
        <w:rPr>
          <w:rStyle w:val="VerbatimChar"/>
        </w:rPr>
        <w:t xml:space="preserve">end</w:t>
      </w:r>
    </w:p>
    <w:bookmarkEnd w:id="1610"/>
    <w:bookmarkStart w:id="1611" w:name="inspection-applicative-profonde-dpi"/>
    <w:p>
      <w:pPr>
        <w:pStyle w:val="Heading2"/>
      </w:pPr>
      <w:r>
        <w:t xml:space="preserve">66.4 Inspection applicative profonde (DPI)</w:t>
      </w:r>
    </w:p>
    <w:p>
      <w:pPr>
        <w:pStyle w:val="FirstParagraph"/>
      </w:pPr>
      <w:r>
        <w:t xml:space="preserve">📌 À retenir</w:t>
      </w:r>
      <w:r>
        <w:t xml:space="preserve"> </w:t>
      </w:r>
      <w:r>
        <w:t xml:space="preserve">L’</w:t>
      </w:r>
      <w:r>
        <w:rPr>
          <w:b/>
          <w:bCs/>
        </w:rPr>
        <w:t xml:space="preserve">inspection applicative profonde</w:t>
      </w:r>
      <w:r>
        <w:t xml:space="preserve"> </w:t>
      </w:r>
      <w:r>
        <w:t xml:space="preserve">(Deep Packet Inspection) examine le contenu réel des paquets autorisés par une règle, au-delà de leur simple en-tête — permettant de détecter une signature d’attaque connue, un fichier malveillant transitant dans un flux par ailleurs légitime, ou un comportement anormal, même lorsque le trafic emprunte un port et un protocole habituellement considérés comme sûrs.</w:t>
      </w:r>
    </w:p>
    <w:bookmarkEnd w:id="1611"/>
    <w:bookmarkStart w:id="1612" w:name="filtrage-web-et-catégorisation"/>
    <w:p>
      <w:pPr>
        <w:pStyle w:val="Heading2"/>
      </w:pPr>
      <w:r>
        <w:t xml:space="preserve">66.5 Filtrage web et catégorisation</w:t>
      </w:r>
    </w:p>
    <w:p>
      <w:pPr>
        <w:pStyle w:val="FirstParagraph"/>
      </w:pPr>
      <w:r>
        <w:t xml:space="preserve">📌 À retenir</w:t>
      </w:r>
      <w:r>
        <w:t xml:space="preserve"> </w:t>
      </w:r>
      <w:r>
        <w:t xml:space="preserve">Un pare-feu nouvelle génération catégorise généralement les sites web accédés depuis le réseau interne (réseaux sociaux, hébergement de fichiers, sites malveillants connus), permettant de bloquer des catégories entières plutôt que des adresses individuelles — une protection notamment utile contre les sites de phishing nouvellement créés, qui échapperaient à une simple liste noire d’adresses déjà connues.</w:t>
      </w:r>
    </w:p>
    <w:bookmarkEnd w:id="1612"/>
    <w:bookmarkStart w:id="1613" w:name="prévention-dintrusion-intégrée-ips"/>
    <w:p>
      <w:pPr>
        <w:pStyle w:val="Heading2"/>
      </w:pPr>
      <w:r>
        <w:t xml:space="preserve">66.6 Prévention d’intrusion intégrée (IPS)</w:t>
      </w:r>
    </w:p>
    <w:p>
      <w:pPr>
        <w:pStyle w:val="FirstParagraph"/>
      </w:pPr>
      <w:r>
        <w:t xml:space="preserve">🔒 Sécurité — un aperçu avant la Partie 12</w:t>
      </w:r>
      <w:r>
        <w:t xml:space="preserve"> </w:t>
      </w:r>
      <w:r>
        <w:t xml:space="preserve">Un module de</w:t>
      </w:r>
      <w:r>
        <w:t xml:space="preserve"> </w:t>
      </w:r>
      <w:r>
        <w:rPr>
          <w:b/>
          <w:bCs/>
        </w:rPr>
        <w:t xml:space="preserve">prévention d’intrusion (IPS)</w:t>
      </w:r>
      <w:r>
        <w:t xml:space="preserve"> </w:t>
      </w:r>
      <w:r>
        <w:t xml:space="preserve">intégré au pare-feu compare le trafic à une base de signatures d’attaques connues et peut bloquer automatiquement une tentative d’exploitation détectée, en complément du filtrage par règles. Ce mécanisme sera approfondi, aux côtés d’autres outils de détection, à la Partie 12 de ce manuel consacrée à la cybersécurité et à la gouvernance.</w:t>
      </w:r>
    </w:p>
    <w:bookmarkEnd w:id="1613"/>
    <w:bookmarkStart w:id="1614" w:name="Xed97031b14922789c15891fd0c348e983d978ba"/>
    <w:p>
      <w:pPr>
        <w:pStyle w:val="Heading2"/>
      </w:pPr>
      <w:r>
        <w:t xml:space="preserve">66.7 Journalisation et intégration à la supervision déjà en place</w:t>
      </w:r>
    </w:p>
    <w:p>
      <w:pPr>
        <w:pStyle w:val="FirstParagraph"/>
      </w:pPr>
      <w:r>
        <w:t xml:space="preserve">💡 Rappel direct des chapitres 62-63</w:t>
      </w:r>
      <w:r>
        <w:t xml:space="preserve"> </w:t>
      </w:r>
      <w:r>
        <w:t xml:space="preserve">Un pare-feu Fortinet génère ses propres journaux d’événements, transmissibles via Syslog (chapitre 63) vers Graylog, ou directement vers la pile ELK (chapitre 62) — ces journaux constituent souvent la source la plus riche d’information pour détecter une tentative d’intrusion, rejoignant directement le besoin déjà exprimé au chapitre 63 de centraliser en priorité les journaux des équipements périmétriques.</w:t>
      </w:r>
    </w:p>
    <w:bookmarkEnd w:id="1614"/>
    <w:bookmarkStart w:id="1615" w:name="Xe392857ef43780e3610cdfeef9a13fc3314d142"/>
    <w:p>
      <w:pPr>
        <w:pStyle w:val="Heading2"/>
      </w:pPr>
      <w:r>
        <w:t xml:space="preserve">Atelier — Sécuriser l’accès au portail client</w:t>
      </w:r>
    </w:p>
    <w:p>
      <w:pPr>
        <w:pStyle w:val="FirstParagraph"/>
      </w:pPr>
      <w:r>
        <w:t xml:space="preserve">🛠️ Atelier 66 — Répondre au besoin du scénario d’ouverture</w:t>
      </w:r>
    </w:p>
    <w:p>
      <w:pPr>
        <w:pStyle w:val="BodyText"/>
      </w:pPr>
      <w:r>
        <w:rPr>
          <w:b/>
          <w:bCs/>
        </w:rPr>
        <w:t xml:space="preserve">Objectif</w:t>
      </w:r>
      <w:r>
        <w:t xml:space="preserve"> </w:t>
      </w:r>
      <w:r>
        <w:t xml:space="preserve">: construire une politique de sécurité Fortinet distinguant un accès légitime au portail client d’un usage détourné du même port.</w:t>
      </w:r>
    </w:p>
    <w:p>
      <w:pPr>
        <w:pStyle w:val="BodyText"/>
      </w:pPr>
      <w:r>
        <w:rPr>
          <w:b/>
          <w:bCs/>
        </w:rPr>
        <w:t xml:space="preserve">Préparation</w:t>
      </w:r>
      <w:r>
        <w:t xml:space="preserve"> </w:t>
      </w:r>
      <w:r>
        <w:t xml:space="preserve">: un pare-feu Fortinet configuré avec les zones WAN, LAN et DMZ déjà établies (section 66.2).</w:t>
      </w:r>
    </w:p>
    <w:p>
      <w:pPr>
        <w:pStyle w:val="BodyText"/>
      </w:pPr>
      <w:r>
        <w:rPr>
          <w:b/>
          <w:bCs/>
        </w:rPr>
        <w:t xml:space="preserve">Étapes détaillées</w:t>
      </w:r>
      <w:r>
        <w:t xml:space="preserve"> </w:t>
      </w:r>
      <w:r>
        <w:t xml:space="preserve">:</w:t>
      </w:r>
    </w:p>
    <w:p>
      <w:pPr>
        <w:pStyle w:val="Compact"/>
        <w:numPr>
          <w:ilvl w:val="0"/>
          <w:numId w:val="2516"/>
        </w:numPr>
      </w:pPr>
      <w:r>
        <w:t xml:space="preserve">Crée une politique de sécurité autorisant explicitement le trafic HTTPS identifié comme appartenant à l’application du portail client, entre la zone LAN et la zone DMZ (section 66.3).</w:t>
      </w:r>
    </w:p>
    <w:p>
      <w:pPr>
        <w:pStyle w:val="Compact"/>
        <w:numPr>
          <w:ilvl w:val="0"/>
          <w:numId w:val="2516"/>
        </w:numPr>
      </w:pPr>
      <w:r>
        <w:t xml:space="preserve">Active l’inspection applicative profonde sur cette politique (section 66.4).</w:t>
      </w:r>
    </w:p>
    <w:p>
      <w:pPr>
        <w:pStyle w:val="Compact"/>
        <w:numPr>
          <w:ilvl w:val="0"/>
          <w:numId w:val="2516"/>
        </w:numPr>
      </w:pPr>
      <w:r>
        <w:t xml:space="preserve">Explique pourquoi cette configuration bloquerait un flux tentant d’exfiltrer des données via le port 443 sans passer par l’application légitime du portail.</w:t>
      </w:r>
    </w:p>
    <w:p>
      <w:pPr>
        <w:pStyle w:val="Compact"/>
        <w:numPr>
          <w:ilvl w:val="0"/>
          <w:numId w:val="2516"/>
        </w:numPr>
      </w:pPr>
      <w:r>
        <w:t xml:space="preserve">Configure la transmission des journaux de cette politique vers Graylog (section 66.7).</w:t>
      </w:r>
    </w:p>
    <w:p>
      <w:pPr>
        <w:pStyle w:val="Compact"/>
        <w:numPr>
          <w:ilvl w:val="0"/>
          <w:numId w:val="2516"/>
        </w:numPr>
      </w:pPr>
      <w:r>
        <w:t xml:space="preserve">Compare ta démarche à la section</w:t>
      </w:r>
      <w:r>
        <w:t xml:space="preserve"> </w:t>
      </w:r>
      <w:r>
        <w:t xml:space="preserve">“Résultat attendu”</w:t>
      </w:r>
      <w:r>
        <w:t xml:space="preserve">.</w:t>
      </w:r>
    </w:p>
    <w:p>
      <w:pPr>
        <w:pStyle w:val="FirstParagraph"/>
      </w:pPr>
      <w:r>
        <w:rPr>
          <w:b/>
          <w:bCs/>
        </w:rPr>
        <w:t xml:space="preserve">Résultat attendu</w:t>
      </w:r>
      <w:r>
        <w:t xml:space="preserve"> </w:t>
      </w:r>
      <w:r>
        <w:t xml:space="preserve">: la politique de sécurité, combinée à l’inspection applicative profonde, n’autorise que le trafic reconnu comme appartenant spécifiquement à l’application du portail client — un flux HTTPS générique sur le même port, mais ne correspondant pas à la signature applicative attendue, serait bloqué malgré l’utilisation d’un port et d’un protocole en apparence légitimes, résolvant directement la limite du pare-feu traditionnel décrite dans le scénario d’ouverture. La transmission des journaux vers Graylog permet à l’équipe de détecter et d’investiguer toute tentative bloquée, plutôt que de la laisser invisible.</w:t>
      </w:r>
    </w:p>
    <w:p>
      <w:pPr>
        <w:pStyle w:val="BodyText"/>
      </w:pPr>
      <w:r>
        <w:rPr>
          <w:b/>
          <w:bCs/>
        </w:rPr>
        <w:t xml:space="preserve">Dépannage</w:t>
      </w:r>
      <w:r>
        <w:t xml:space="preserve"> </w:t>
      </w:r>
      <w:r>
        <w:t xml:space="preserve">: si une application légitime se retrouve bloquée après l’activation de l’inspection applicative profonde, vérifie que la signature applicative configurée dans la politique correspond précisément à celle identifiée par le pare-feu pour ce trafic — un léger changement de comportement de l’application (mise à jour, nouveau certificat) peut parfois modifier la signature détectée.</w:t>
      </w:r>
    </w:p>
    <w:bookmarkEnd w:id="1615"/>
    <w:bookmarkStart w:id="1616" w:name="erreurs-fréquentes-65"/>
    <w:p>
      <w:pPr>
        <w:pStyle w:val="Heading2"/>
      </w:pPr>
      <w:r>
        <w:t xml:space="preserve">Erreurs fréquentes</w:t>
      </w:r>
    </w:p>
    <w:p>
      <w:pPr>
        <w:pStyle w:val="FirstParagraph"/>
      </w:pPr>
      <w:r>
        <w:t xml:space="preserve">⚠️ Erreur n°1 — des règles de pare-feu trop permissives, autorisant</w:t>
      </w:r>
      <w:r>
        <w:t xml:space="preserve"> </w:t>
      </w:r>
      <w:r>
        <w:t xml:space="preserve">“tout vers tout”</w:t>
      </w:r>
      <w:r>
        <w:t xml:space="preserve"> </w:t>
      </w:r>
      <w:r>
        <w:t xml:space="preserve">pour simplifier</w:t>
      </w:r>
      <w:r>
        <w:t xml:space="preserve"> </w:t>
      </w:r>
      <w:r>
        <w:t xml:space="preserve">Rappel de la section 66.3 : reproduit exactement le même risque déjà dénoncé pour un accès administrateur non restreint dans Active Directory, ici appliqué au trafic réseau.</w:t>
      </w:r>
    </w:p>
    <w:p>
      <w:pPr>
        <w:pStyle w:val="BodyText"/>
      </w:pPr>
      <w:r>
        <w:t xml:space="preserve">⚠️ Erreur n°2 — un pare-feu nouvelle génération utilisé uniquement comme un pare-feu traditionnel</w:t>
      </w:r>
      <w:r>
        <w:t xml:space="preserve"> </w:t>
      </w:r>
      <w:r>
        <w:t xml:space="preserve">Déployer un NGFW sans jamais activer l’inspection applicative profonde ni le filtrage web revient à payer pour des fonctionnalités avancées sans jamais en bénéficier réellement.</w:t>
      </w:r>
    </w:p>
    <w:p>
      <w:pPr>
        <w:pStyle w:val="BodyText"/>
      </w:pPr>
      <w:r>
        <w:t xml:space="preserve">⚠️ Erreur n°3 — des journaux de pare-feu jamais centralisés ni consultés</w:t>
      </w:r>
      <w:r>
        <w:t xml:space="preserve"> </w:t>
      </w:r>
      <w:r>
        <w:t xml:space="preserve">Rappel indirect du chapitre 58 : un pare-feu qui journalise fidèlement chaque événement, mais dont personne ne consulte jamais les journaux, reproduit le même risque qu’une supervision techniquement fonctionnelle mais ignorée.</w:t>
      </w:r>
    </w:p>
    <w:bookmarkEnd w:id="1616"/>
    <w:bookmarkStart w:id="1617" w:name="X2af8af2eb7f0266bf74d3ce0f288b761003c6cd"/>
    <w:p>
      <w:pPr>
        <w:pStyle w:val="Heading2"/>
      </w:pPr>
      <w:r>
        <w:t xml:space="preserve">Diagnostiquer un trafic légitime bloqué à tort</w:t>
      </w:r>
    </w:p>
    <w:p>
      <w:pPr>
        <w:pStyle w:val="FirstParagraph"/>
      </w:pPr>
      <w:r>
        <w:t xml:space="preserve">🩺 Symptôme : une application légitime cesse de fonctionner après la mise en place d’une politique de sécurité NGFW</w:t>
      </w:r>
    </w:p>
    <w:p>
      <w:pPr>
        <w:pStyle w:val="Compact"/>
        <w:numPr>
          <w:ilvl w:val="0"/>
          <w:numId w:val="2517"/>
        </w:numPr>
      </w:pPr>
      <w:r>
        <w:rPr>
          <w:b/>
          <w:bCs/>
        </w:rPr>
        <w:t xml:space="preserve">Diagnostic</w:t>
      </w:r>
      <w:r>
        <w:t xml:space="preserve"> </w:t>
      </w:r>
      <w:r>
        <w:t xml:space="preserve">: vérifier si l’application concernée est correctement identifiée par la signature applicative utilisée dans la politique, ou si l’inspection applicative profonde bloque le trafic faute de reconnaître précisément l’application.</w:t>
      </w:r>
    </w:p>
    <w:p>
      <w:pPr>
        <w:pStyle w:val="Compact"/>
        <w:numPr>
          <w:ilvl w:val="0"/>
          <w:numId w:val="2517"/>
        </w:numPr>
      </w:pPr>
      <w:r>
        <w:rPr>
          <w:b/>
          <w:bCs/>
        </w:rPr>
        <w:t xml:space="preserve">Comment vérifier</w:t>
      </w:r>
      <w:r>
        <w:t xml:space="preserve"> </w:t>
      </w:r>
      <w:r>
        <w:t xml:space="preserve">: consulter les journaux du pare-feu pour l’événement de blocage correspondant, qui indique généralement la raison précise du refus (signature non reconnue, catégorie web bloquée, signature IPS déclenchée).</w:t>
      </w:r>
    </w:p>
    <w:p>
      <w:pPr>
        <w:pStyle w:val="Compact"/>
        <w:numPr>
          <w:ilvl w:val="0"/>
          <w:numId w:val="2517"/>
        </w:numPr>
      </w:pPr>
      <w:r>
        <w:rPr>
          <w:b/>
          <w:bCs/>
        </w:rPr>
        <w:t xml:space="preserve">Résolution</w:t>
      </w:r>
      <w:r>
        <w:t xml:space="preserve"> </w:t>
      </w:r>
      <w:r>
        <w:t xml:space="preserve">: ajuster la politique pour reconnaître correctement l’application légitime, plutôt que d’assouplir excessivement la règle au point de perdre le bénéfice de l’inspection applicative.</w:t>
      </w:r>
    </w:p>
    <w:bookmarkEnd w:id="1617"/>
    <w:bookmarkStart w:id="1618" w:name="en-entreprise-65"/>
    <w:p>
      <w:pPr>
        <w:pStyle w:val="Heading2"/>
      </w:pPr>
      <w:r>
        <w:t xml:space="preserve">En entreprise</w:t>
      </w:r>
    </w:p>
    <w:p>
      <w:pPr>
        <w:pStyle w:val="Compact"/>
        <w:numPr>
          <w:ilvl w:val="0"/>
          <w:numId w:val="2518"/>
        </w:numPr>
      </w:pPr>
      <w:r>
        <w:rPr>
          <w:b/>
          <w:bCs/>
        </w:rPr>
        <w:t xml:space="preserve">Bonne pratique répandue</w:t>
      </w:r>
      <w:r>
        <w:t xml:space="preserve"> </w:t>
      </w:r>
      <w:r>
        <w:t xml:space="preserve">: réviser périodiquement les politiques de sécurité existantes pour retirer les règles devenues obsolètes, un pare-feu accumulant souvent des règles historiques jamais nettoyées au fil des années.</w:t>
      </w:r>
    </w:p>
    <w:p>
      <w:pPr>
        <w:pStyle w:val="Compact"/>
        <w:numPr>
          <w:ilvl w:val="0"/>
          <w:numId w:val="2518"/>
        </w:numPr>
      </w:pPr>
      <w:r>
        <w:rPr>
          <w:b/>
          <w:bCs/>
        </w:rPr>
        <w:t xml:space="preserve">Bonne pratique répandue</w:t>
      </w:r>
      <w:r>
        <w:t xml:space="preserve"> </w:t>
      </w:r>
      <w:r>
        <w:t xml:space="preserve">: activer systématiquement l’inspection applicative profonde et le filtrage web dès le déploiement d’un NGFW, plutôt que de le configurer initialement comme un simple pare-feu traditionnel par prudence excessive.</w:t>
      </w:r>
    </w:p>
    <w:p>
      <w:pPr>
        <w:pStyle w:val="Compact"/>
        <w:numPr>
          <w:ilvl w:val="0"/>
          <w:numId w:val="2518"/>
        </w:numPr>
      </w:pPr>
      <w:r>
        <w:rPr>
          <w:b/>
          <w:bCs/>
        </w:rPr>
        <w:t xml:space="preserve">Erreur classique observée</w:t>
      </w:r>
      <w:r>
        <w:t xml:space="preserve"> </w:t>
      </w:r>
      <w:r>
        <w:t xml:space="preserve">: un pare-feu nouvelle génération acquis à grand coût, mais configuré de façon quasi identique à l’ancien équipement remplacé, sans jamais exploiter ses capacités d’inspection avancées — un investissement dont le bénéfice réel reste largement sous-exploité.</w:t>
      </w:r>
    </w:p>
    <w:bookmarkEnd w:id="1618"/>
    <w:bookmarkStart w:id="1619" w:name="entretien-technique-65"/>
    <w:p>
      <w:pPr>
        <w:pStyle w:val="Heading2"/>
      </w:pPr>
      <w:r>
        <w:t xml:space="preserve">Entretien technique</w:t>
      </w:r>
    </w:p>
    <w:p>
      <w:pPr>
        <w:pStyle w:val="FirstParagraph"/>
      </w:pPr>
      <w:r>
        <w:t xml:space="preserve">💼 Questions fréquemment posées en entretien</w:t>
      </w:r>
    </w:p>
    <w:p>
      <w:pPr>
        <w:pStyle w:val="BodyText"/>
      </w:pPr>
      <w:r>
        <w:rPr>
          <w:b/>
          <w:bCs/>
        </w:rPr>
        <w:t xml:space="preserve">Q1.</w:t>
      </w:r>
      <w:r>
        <w:rPr>
          <w:b/>
          <w:bCs/>
        </w:rPr>
        <w:t xml:space="preserve"> </w:t>
      </w:r>
      <w:r>
        <w:rPr>
          <w:b/>
          <w:bCs/>
        </w:rPr>
        <w:t xml:space="preserve">“Qu’est-ce qui distingue fondamentalement un pare-feu nouvelle génération d’un pare-feu traditionnel ?”</w:t>
      </w:r>
      <w:r>
        <w:t xml:space="preserve"> </w:t>
      </w:r>
      <w:r>
        <w:t xml:space="preserve">Réponse attendue : un pare-feu traditionnel filtre selon le port et l’adresse IP sans examiner le contenu réel du trafic ; un NGFW inspecte le trafic au niveau applicatif, identifie l’application réelle indépendamment du port utilisé, et applique des politiques de sécurité plus fines basées sur cette identification.</w:t>
      </w:r>
    </w:p>
    <w:p>
      <w:pPr>
        <w:pStyle w:val="BodyText"/>
      </w:pPr>
      <w:r>
        <w:rPr>
          <w:b/>
          <w:bCs/>
        </w:rPr>
        <w:t xml:space="preserve">Q2.</w:t>
      </w:r>
      <w:r>
        <w:rPr>
          <w:b/>
          <w:bCs/>
        </w:rPr>
        <w:t xml:space="preserve"> </w:t>
      </w:r>
      <w:r>
        <w:rPr>
          <w:b/>
          <w:bCs/>
        </w:rPr>
        <w:t xml:space="preserve">“Pourquoi organiser un pare-feu en zones de sécurité (WAN, LAN, DMZ) plutôt qu’en une seule zone unique ?”</w:t>
      </w:r>
      <w:r>
        <w:t xml:space="preserve"> </w:t>
      </w:r>
      <w:r>
        <w:t xml:space="preserve">Réponse attendue : chaque zone représente un niveau de confiance distinct, et le trafic entre deux zones différentes doit être explicitement autorisé par une règle — un principe qui prolonge la logique de segmentation VLAN, réduisant la surface d’exposition en cas de compromission d’une zone.</w:t>
      </w:r>
    </w:p>
    <w:p>
      <w:pPr>
        <w:pStyle w:val="BodyText"/>
      </w:pPr>
      <w:r>
        <w:rPr>
          <w:b/>
          <w:bCs/>
        </w:rPr>
        <w:t xml:space="preserve">Q3.</w:t>
      </w:r>
      <w:r>
        <w:rPr>
          <w:b/>
          <w:bCs/>
        </w:rPr>
        <w:t xml:space="preserve"> </w:t>
      </w:r>
      <w:r>
        <w:rPr>
          <w:b/>
          <w:bCs/>
        </w:rPr>
        <w:t xml:space="preserve">“Pourquoi centraliser les journaux d’un pare-feu périmétrique reste-t-il particulièrement important pour la sécurité ?”</w:t>
      </w:r>
      <w:r>
        <w:t xml:space="preserve"> </w:t>
      </w:r>
      <w:r>
        <w:t xml:space="preserve">Réponse attendue : le pare-feu périmétrique constitue souvent le premier point de détection d’une tentative d’intrusion externe, ses journaux représentant une source d’information critique pour toute investigation de sécurité, d’où l’importance de leur centralisation prioritaire déjà évoquée au chapitre 63.</w:t>
      </w:r>
    </w:p>
    <w:bookmarkEnd w:id="1619"/>
    <w:bookmarkStart w:id="1620" w:name="X72a80f36d8f276e5ceeeaad7b5fb1e7c65ea898"/>
    <w:p>
      <w:pPr>
        <w:pStyle w:val="Heading2"/>
      </w:pPr>
      <w:r>
        <w:t xml:space="preserve">Optimisation, sécurité et maintenabilité — les réflexes dès ce chapitre</w:t>
      </w:r>
    </w:p>
    <w:p>
      <w:pPr>
        <w:pStyle w:val="FirstParagraph"/>
      </w:pPr>
      <w:r>
        <w:t xml:space="preserve">🔒 Sécurité</w:t>
      </w:r>
      <w:r>
        <w:t xml:space="preserve"> </w:t>
      </w:r>
      <w:r>
        <w:t xml:space="preserve">Applique le principe de refus par défaut à toute politique de sécurité Fortinet — seul le trafic explicitement nécessaire devrait être autorisé, jamais l’inverse.</w:t>
      </w:r>
    </w:p>
    <w:p>
      <w:pPr>
        <w:pStyle w:val="BodyText"/>
      </w:pPr>
      <w:r>
        <w:t xml:space="preserve">✅ Maintenabilité</w:t>
      </w:r>
      <w:r>
        <w:t xml:space="preserve"> </w:t>
      </w:r>
      <w:r>
        <w:t xml:space="preserve">Documente la justification de chaque règle de pare-feu au moment de sa création, facilitant la révision périodique et le retrait des règles devenues obsolètes sans risquer de couper un flux encore nécessaire mais mal documenté.</w:t>
      </w:r>
    </w:p>
    <w:p>
      <w:pPr>
        <w:pStyle w:val="BodyText"/>
      </w:pPr>
      <w:r>
        <w:t xml:space="preserve">🚀 Performance</w:t>
      </w:r>
      <w:r>
        <w:t xml:space="preserve"> </w:t>
      </w:r>
      <w:r>
        <w:t xml:space="preserve">L’inspection applicative profonde consomme davantage de ressources de traitement qu’un simple filtrage par port — dimensionne le pare-feu en conséquence du volume de trafic réel attendu, particulièrement pour les liens à fort débit comme celui vers le portail client.</w:t>
      </w:r>
    </w:p>
    <w:bookmarkEnd w:id="1620"/>
    <w:bookmarkStart w:id="1621" w:name="résumé-du-chapitre-65"/>
    <w:p>
      <w:pPr>
        <w:pStyle w:val="Heading2"/>
      </w:pPr>
      <w:r>
        <w:t xml:space="preserve">Résumé du chapitre</w:t>
      </w:r>
    </w:p>
    <w:p>
      <w:pPr>
        <w:pStyle w:val="Compact"/>
        <w:numPr>
          <w:ilvl w:val="0"/>
          <w:numId w:val="2519"/>
        </w:numPr>
      </w:pPr>
      <w:r>
        <w:t xml:space="preserve">Un pare-feu nouvelle génération inspecte le trafic au niveau applicatif, contrairement à un pare-feu traditionnel limité au port et à l’adresse IP.</w:t>
      </w:r>
    </w:p>
    <w:p>
      <w:pPr>
        <w:pStyle w:val="Compact"/>
        <w:numPr>
          <w:ilvl w:val="0"/>
          <w:numId w:val="2519"/>
        </w:numPr>
      </w:pPr>
      <w:r>
        <w:t xml:space="preserve">L’organisation en zones de sécurité (WAN, LAN, DMZ) prolonge la logique de segmentation VLAN déjà établie au chapitre 11.</w:t>
      </w:r>
    </w:p>
    <w:p>
      <w:pPr>
        <w:pStyle w:val="Compact"/>
        <w:numPr>
          <w:ilvl w:val="0"/>
          <w:numId w:val="2519"/>
        </w:numPr>
      </w:pPr>
      <w:r>
        <w:t xml:space="preserve">Le principe de refus par défaut s’applique aux politiques de sécurité réseau, comme il s’applique déjà aux droits d’accès Active Directory.</w:t>
      </w:r>
    </w:p>
    <w:p>
      <w:pPr>
        <w:pStyle w:val="Compact"/>
        <w:numPr>
          <w:ilvl w:val="0"/>
          <w:numId w:val="2519"/>
        </w:numPr>
      </w:pPr>
      <w:r>
        <w:t xml:space="preserve">L’inspection applicative profonde, le filtrage web et la prévention d’intrusion constituent les capacités distinctives d’un NGFW, souvent sous-exploitées si le pare-feu est configuré comme un équipement traditionnel.</w:t>
      </w:r>
    </w:p>
    <w:p>
      <w:pPr>
        <w:pStyle w:val="Compact"/>
        <w:numPr>
          <w:ilvl w:val="0"/>
          <w:numId w:val="2519"/>
        </w:numPr>
      </w:pPr>
      <w:r>
        <w:t xml:space="preserve">Les journaux du pare-feu périmétrique constituent une source d’information critique, à centraliser en priorité vers Graylog ou ELK.</w:t>
      </w:r>
    </w:p>
    <w:bookmarkEnd w:id="1621"/>
    <w:bookmarkStart w:id="1622" w:name="quiz-65"/>
    <w:p>
      <w:pPr>
        <w:pStyle w:val="Heading2"/>
      </w:pPr>
      <w:r>
        <w:t xml:space="preserve">Quiz</w:t>
      </w:r>
    </w:p>
    <w:p>
      <w:pPr>
        <w:pStyle w:val="FirstParagraph"/>
      </w:pPr>
      <w:r>
        <w:t xml:space="preserve">📝 QCM (une seule bonne réponse par question)</w:t>
      </w:r>
    </w:p>
    <w:p>
      <w:pPr>
        <w:pStyle w:val="Compact"/>
        <w:numPr>
          <w:ilvl w:val="0"/>
          <w:numId w:val="2520"/>
        </w:numPr>
      </w:pPr>
      <w:r>
        <w:t xml:space="preserve">Un pare-feu nouvelle génération se distingue d’un pare-feu traditionnel principalement par :</w:t>
      </w:r>
    </w:p>
    <w:p>
      <w:pPr>
        <w:pStyle w:val="Compact"/>
        <w:numPr>
          <w:ilvl w:val="1"/>
          <w:numId w:val="2521"/>
        </w:numPr>
      </w:pPr>
    </w:p>
    <w:p>
      <w:pPr>
        <w:pStyle w:val="Compact"/>
        <w:numPr>
          <w:ilvl w:val="2"/>
          <w:numId w:val="2522"/>
        </w:numPr>
      </w:pPr>
      <w:r>
        <w:t xml:space="preserve">Un coût toujours inférieur</w:t>
      </w:r>
    </w:p>
    <w:p>
      <w:pPr>
        <w:pStyle w:val="Compact"/>
        <w:numPr>
          <w:ilvl w:val="1"/>
          <w:numId w:val="2521"/>
        </w:numPr>
      </w:pPr>
    </w:p>
    <w:p>
      <w:pPr>
        <w:pStyle w:val="Compact"/>
        <w:numPr>
          <w:ilvl w:val="2"/>
          <w:numId w:val="2523"/>
        </w:numPr>
      </w:pPr>
      <w:r>
        <w:t xml:space="preserve">Sa capacité à inspecter le trafic au niveau applicatif, au-delà du port et de l’adresse IP</w:t>
      </w:r>
    </w:p>
    <w:p>
      <w:pPr>
        <w:pStyle w:val="Compact"/>
        <w:numPr>
          <w:ilvl w:val="1"/>
          <w:numId w:val="2521"/>
        </w:numPr>
      </w:pPr>
    </w:p>
    <w:p>
      <w:pPr>
        <w:pStyle w:val="Compact"/>
        <w:numPr>
          <w:ilvl w:val="2"/>
          <w:numId w:val="2524"/>
        </w:numPr>
      </w:pPr>
      <w:r>
        <w:t xml:space="preserve">L’absence totale de besoin de règles de sécurité</w:t>
      </w:r>
    </w:p>
    <w:p>
      <w:pPr>
        <w:pStyle w:val="Compact"/>
        <w:numPr>
          <w:ilvl w:val="1"/>
          <w:numId w:val="2521"/>
        </w:numPr>
      </w:pPr>
    </w:p>
    <w:p>
      <w:pPr>
        <w:pStyle w:val="Compact"/>
        <w:numPr>
          <w:ilvl w:val="2"/>
          <w:numId w:val="2525"/>
        </w:numPr>
      </w:pPr>
      <w:r>
        <w:t xml:space="preserve">Son incapacité à filtrer le trafic web</w:t>
      </w:r>
    </w:p>
    <w:p>
      <w:pPr>
        <w:pStyle w:val="Compact"/>
        <w:numPr>
          <w:ilvl w:val="0"/>
          <w:numId w:val="2520"/>
        </w:numPr>
      </w:pPr>
      <w:r>
        <w:t xml:space="preserve">Le principe de refus par défaut appliqué à une politique de sécurité Fortinet signifie que :</w:t>
      </w:r>
    </w:p>
    <w:p>
      <w:pPr>
        <w:pStyle w:val="Compact"/>
        <w:numPr>
          <w:ilvl w:val="1"/>
          <w:numId w:val="2526"/>
        </w:numPr>
      </w:pPr>
    </w:p>
    <w:p>
      <w:pPr>
        <w:pStyle w:val="Compact"/>
        <w:numPr>
          <w:ilvl w:val="2"/>
          <w:numId w:val="2527"/>
        </w:numPr>
      </w:pPr>
      <w:r>
        <w:t xml:space="preserve">Tout trafic est autorisé sauf mention contraire explicite</w:t>
      </w:r>
    </w:p>
    <w:p>
      <w:pPr>
        <w:pStyle w:val="Compact"/>
        <w:numPr>
          <w:ilvl w:val="1"/>
          <w:numId w:val="2526"/>
        </w:numPr>
      </w:pPr>
    </w:p>
    <w:p>
      <w:pPr>
        <w:pStyle w:val="Compact"/>
        <w:numPr>
          <w:ilvl w:val="2"/>
          <w:numId w:val="2528"/>
        </w:numPr>
      </w:pPr>
      <w:r>
        <w:t xml:space="preserve">Tout trafic est refusé sauf autorisation explicite par une règle</w:t>
      </w:r>
    </w:p>
    <w:p>
      <w:pPr>
        <w:pStyle w:val="Compact"/>
        <w:numPr>
          <w:ilvl w:val="1"/>
          <w:numId w:val="2526"/>
        </w:numPr>
      </w:pPr>
    </w:p>
    <w:p>
      <w:pPr>
        <w:pStyle w:val="Compact"/>
        <w:numPr>
          <w:ilvl w:val="2"/>
          <w:numId w:val="2529"/>
        </w:numPr>
      </w:pPr>
      <w:r>
        <w:t xml:space="preserve">Seul le trafic chiffré est autorisé</w:t>
      </w:r>
    </w:p>
    <w:p>
      <w:pPr>
        <w:pStyle w:val="Compact"/>
        <w:numPr>
          <w:ilvl w:val="1"/>
          <w:numId w:val="2526"/>
        </w:numPr>
      </w:pPr>
    </w:p>
    <w:p>
      <w:pPr>
        <w:pStyle w:val="Compact"/>
        <w:numPr>
          <w:ilvl w:val="2"/>
          <w:numId w:val="2530"/>
        </w:numPr>
      </w:pPr>
      <w:r>
        <w:t xml:space="preserve">Aucune règle n’est nécessaire pour le trafic interne</w:t>
      </w:r>
    </w:p>
    <w:p>
      <w:pPr>
        <w:pStyle w:val="Compact"/>
        <w:numPr>
          <w:ilvl w:val="0"/>
          <w:numId w:val="2520"/>
        </w:numPr>
      </w:pPr>
      <w:r>
        <w:t xml:space="preserve">Centraliser les journaux du pare-feu périmétrique est particulièrement important car :</w:t>
      </w:r>
    </w:p>
    <w:p>
      <w:pPr>
        <w:pStyle w:val="Compact"/>
        <w:numPr>
          <w:ilvl w:val="1"/>
          <w:numId w:val="2531"/>
        </w:numPr>
      </w:pPr>
    </w:p>
    <w:p>
      <w:pPr>
        <w:pStyle w:val="Compact"/>
        <w:numPr>
          <w:ilvl w:val="2"/>
          <w:numId w:val="2532"/>
        </w:numPr>
      </w:pPr>
      <w:r>
        <w:t xml:space="preserve">Ils ne contiennent jamais d’information utile</w:t>
      </w:r>
    </w:p>
    <w:p>
      <w:pPr>
        <w:pStyle w:val="Compact"/>
        <w:numPr>
          <w:ilvl w:val="1"/>
          <w:numId w:val="2531"/>
        </w:numPr>
      </w:pPr>
    </w:p>
    <w:p>
      <w:pPr>
        <w:pStyle w:val="Compact"/>
        <w:numPr>
          <w:ilvl w:val="2"/>
          <w:numId w:val="2533"/>
        </w:numPr>
      </w:pPr>
      <w:r>
        <w:t xml:space="preserve">Ils constituent souvent le premier point de détection d’une tentative d’intrusion externe</w:t>
      </w:r>
    </w:p>
    <w:p>
      <w:pPr>
        <w:pStyle w:val="Compact"/>
        <w:numPr>
          <w:ilvl w:val="1"/>
          <w:numId w:val="2531"/>
        </w:numPr>
      </w:pPr>
    </w:p>
    <w:p>
      <w:pPr>
        <w:pStyle w:val="Compact"/>
        <w:numPr>
          <w:ilvl w:val="2"/>
          <w:numId w:val="2534"/>
        </w:numPr>
      </w:pPr>
      <w:r>
        <w:t xml:space="preserve">Ils remplacent le besoin de toute autre source de log</w:t>
      </w:r>
    </w:p>
    <w:p>
      <w:pPr>
        <w:pStyle w:val="Compact"/>
        <w:numPr>
          <w:ilvl w:val="1"/>
          <w:numId w:val="2531"/>
        </w:numPr>
      </w:pPr>
    </w:p>
    <w:p>
      <w:pPr>
        <w:pStyle w:val="Compact"/>
        <w:numPr>
          <w:ilvl w:val="2"/>
          <w:numId w:val="2535"/>
        </w:numPr>
      </w:pPr>
      <w:r>
        <w:t xml:space="preserve">Ils ne peuvent être transmis que via Filebeat</w:t>
      </w:r>
    </w:p>
    <w:p>
      <w:pPr>
        <w:pStyle w:val="FirstParagraph"/>
      </w:pPr>
      <w:r>
        <w:rPr>
          <w:b/>
          <w:bCs/>
        </w:rPr>
        <w:t xml:space="preserve">Corrigé</w:t>
      </w:r>
      <w:r>
        <w:t xml:space="preserve"> </w:t>
      </w:r>
      <w:r>
        <w:t xml:space="preserve">: 1-b, 2-b, 3-b.</w:t>
      </w:r>
    </w:p>
    <w:p>
      <w:pPr>
        <w:pStyle w:val="BodyText"/>
      </w:pPr>
      <w:r>
        <w:t xml:space="preserve">📝 Vrai ou Faux</w:t>
      </w:r>
    </w:p>
    <w:p>
      <w:pPr>
        <w:pStyle w:val="Compact"/>
        <w:numPr>
          <w:ilvl w:val="0"/>
          <w:numId w:val="2536"/>
        </w:numPr>
      </w:pPr>
      <w:r>
        <w:t xml:space="preserve">Un pare-feu traditionnel peut distinguer un flux HTTPS légitime d’un flux HTTPS malveillant utilisant le même port. —</w:t>
      </w:r>
      <w:r>
        <w:t xml:space="preserve"> </w:t>
      </w:r>
      <w:r>
        <w:rPr>
          <w:b/>
          <w:bCs/>
        </w:rPr>
        <w:t xml:space="preserve">Faux</w:t>
      </w:r>
      <w:r>
        <w:t xml:space="preserve"> </w:t>
      </w:r>
      <w:r>
        <w:t xml:space="preserve">(scénario d’ouverture, section 66.1).</w:t>
      </w:r>
    </w:p>
    <w:p>
      <w:pPr>
        <w:pStyle w:val="Compact"/>
        <w:numPr>
          <w:ilvl w:val="0"/>
          <w:numId w:val="2536"/>
        </w:numPr>
      </w:pPr>
      <w:r>
        <w:t xml:space="preserve">L’organisation en zones de sécurité prolonge directement la logique de segmentation VLAN déjà établie au chapitre 11. —</w:t>
      </w:r>
      <w:r>
        <w:t xml:space="preserve"> </w:t>
      </w:r>
      <w:r>
        <w:rPr>
          <w:b/>
          <w:bCs/>
        </w:rPr>
        <w:t xml:space="preserve">Vrai</w:t>
      </w:r>
      <w:r>
        <w:t xml:space="preserve">.</w:t>
      </w:r>
    </w:p>
    <w:p>
      <w:pPr>
        <w:pStyle w:val="Compact"/>
        <w:numPr>
          <w:ilvl w:val="0"/>
          <w:numId w:val="2536"/>
        </w:numPr>
      </w:pPr>
      <w:r>
        <w:t xml:space="preserve">Un NGFW configuré exactement comme un pare-feu traditionnel exploite pleinement ses capacités avancées. —</w:t>
      </w:r>
      <w:r>
        <w:t xml:space="preserve"> </w:t>
      </w:r>
      <w:r>
        <w:rPr>
          <w:b/>
          <w:bCs/>
        </w:rPr>
        <w:t xml:space="preserve">Faux</w:t>
      </w:r>
      <w:r>
        <w:t xml:space="preserve"> </w:t>
      </w:r>
      <w:r>
        <w:t xml:space="preserve">(section</w:t>
      </w:r>
      <w:r>
        <w:t xml:space="preserve"> </w:t>
      </w:r>
      <w:r>
        <w:t xml:space="preserve">“Erreur n°2”</w:t>
      </w:r>
      <w:r>
        <w:t xml:space="preserve">).</w:t>
      </w:r>
    </w:p>
    <w:p>
      <w:pPr>
        <w:pStyle w:val="Compact"/>
        <w:numPr>
          <w:ilvl w:val="0"/>
          <w:numId w:val="2536"/>
        </w:numPr>
      </w:pPr>
      <w:r>
        <w:t xml:space="preserve">L’inspection applicative profonde consomme davantage de ressources qu’un simple filtrage par port. —</w:t>
      </w:r>
      <w:r>
        <w:t xml:space="preserve"> </w:t>
      </w:r>
      <w:r>
        <w:rPr>
          <w:b/>
          <w:bCs/>
        </w:rPr>
        <w:t xml:space="preserve">Vrai</w:t>
      </w:r>
      <w:r>
        <w:t xml:space="preserve">.</w:t>
      </w:r>
    </w:p>
    <w:p>
      <w:pPr>
        <w:pStyle w:val="FirstParagraph"/>
      </w:pPr>
      <w:r>
        <w:t xml:space="preserve">📝 Questions ouvertes</w:t>
      </w:r>
    </w:p>
    <w:p>
      <w:pPr>
        <w:pStyle w:val="Compact"/>
        <w:numPr>
          <w:ilvl w:val="0"/>
          <w:numId w:val="2537"/>
        </w:numPr>
      </w:pPr>
      <w:r>
        <w:t xml:space="preserve">Explique pourquoi le pare-feu traditionnel initial de l’entreprise ne pouvait pas répondre à l’exigence formulée par la RSSI dans le scénario d’ouverture.</w:t>
      </w:r>
    </w:p>
    <w:p>
      <w:pPr>
        <w:pStyle w:val="Compact"/>
        <w:numPr>
          <w:ilvl w:val="0"/>
          <w:numId w:val="2537"/>
        </w:numPr>
      </w:pPr>
      <w:r>
        <w:t xml:space="preserve">Un collègue propose de désactiver temporairement l’inspection applicative profonde</w:t>
      </w:r>
      <w:r>
        <w:t xml:space="preserve"> </w:t>
      </w:r>
      <w:r>
        <w:t xml:space="preserve">“pour améliorer les performances”</w:t>
      </w:r>
      <w:r>
        <w:t xml:space="preserve">, sans limiter cette désactivation à une politique spécifique. Discute les conséquences de cette proposition.</w:t>
      </w:r>
    </w:p>
    <w:p>
      <w:pPr>
        <w:pStyle w:val="FirstParagraph"/>
      </w:pPr>
      <w:r>
        <w:rPr>
          <w:b/>
          <w:bCs/>
        </w:rPr>
        <w:t xml:space="preserve">Corrigé 1</w:t>
      </w:r>
      <w:r>
        <w:t xml:space="preserve"> </w:t>
      </w:r>
      <w:r>
        <w:t xml:space="preserve">: un pare-feu traditionnel filtre uniquement selon le port et l’adresse IP, sans jamais examiner le contenu réel du trafic autorisé. Un flux HTTPS légitime vers le portail client et un flux HTTPS malveillant exfiltrant des données vers un serveur externe utilisent tous deux le même port 443 — du point de vue d’un pare-feu traditionnel, ces deux flux paraissent identiques et seraient tous deux autorisés par la même règle générique. La RSSI exigeait une distinction plus fine, basée sur l’application réellement identifiée dans le flux plutôt que sur son seul port — une capacité que seul un pare-feu nouvelle génération, via l’inspection applicative profonde (section 66.4), peut offrir.</w:t>
      </w:r>
    </w:p>
    <w:p>
      <w:pPr>
        <w:pStyle w:val="BodyText"/>
      </w:pPr>
      <w:r>
        <w:rPr>
          <w:b/>
          <w:bCs/>
        </w:rPr>
        <w:t xml:space="preserve">Corrigé 2</w:t>
      </w:r>
      <w:r>
        <w:t xml:space="preserve"> </w:t>
      </w:r>
      <w:r>
        <w:t xml:space="preserve">: désactiver l’inspection applicative profonde de façon globale, plutôt que sur une politique ciblée, annule le principal bénéfice ayant justifié l’investissement dans un NGFW — le pare-feu redeviendrait fonctionnellement équivalent à l’ancien équipement traditionnel qu’il a remplacé, incapable de distinguer un usage légitime d’un usage détourné d’un même port, exactement le problème identifié dans le scénario d’ouverture. Si un problème de performance réel existe, une approche plus mesurée consisterait à dimensionner correctement le pare-feu pour le volume de trafic attendu (section</w:t>
      </w:r>
      <w:r>
        <w:t xml:space="preserve"> </w:t>
      </w:r>
      <w:r>
        <w:t xml:space="preserve">“Performance”</w:t>
      </w:r>
      <w:r>
        <w:t xml:space="preserve">), ou à cibler la désactivation uniquement sur les flux internes les moins sensibles, plutôt que d’affaiblir uniformément la sécurité de l’ensemble du périmètre pour un gain de performance généralisé et disproportionné.</w:t>
      </w:r>
    </w:p>
    <w:bookmarkEnd w:id="1622"/>
    <w:bookmarkStart w:id="1623" w:name="exercices-65"/>
    <w:p>
      <w:pPr>
        <w:pStyle w:val="Heading2"/>
      </w:pPr>
      <w:r>
        <w:t xml:space="preserve">Exercices</w:t>
      </w:r>
    </w:p>
    <w:p>
      <w:pPr>
        <w:pStyle w:val="FirstParagraph"/>
      </w:pPr>
      <w:r>
        <w:t xml:space="preserve">📝 Exercice 66.1</w:t>
      </w:r>
    </w:p>
    <w:p>
      <w:pPr>
        <w:pStyle w:val="BodyText"/>
      </w:pPr>
      <w:r>
        <w:t xml:space="preserve">Propose une politique de sécurité Fortinet pour le serveur de gestion documentaire (Rocky Linux, chapitre 19), autorisant uniquement les flux strictement nécessaires depuis le réseau interne, en t’appuyant sur le principe de refus par défaut de la section 66.3.</w:t>
      </w:r>
    </w:p>
    <w:p>
      <w:pPr>
        <w:pStyle w:val="BodyText"/>
      </w:pPr>
      <w:r>
        <w:rPr>
          <w:b/>
          <w:bCs/>
        </w:rPr>
        <w:t xml:space="preserve">Corrigé :</w:t>
      </w:r>
      <w:r>
        <w:t xml:space="preserve"> </w:t>
      </w:r>
      <w:r>
        <w:t xml:space="preserve">La politique autoriserait spécifiquement le trafic HTTPS depuis la zone LAN vers l’adresse du serveur documentaire dans la zone DMZ ou LAN selon son positionnement réel, avec l’application identifiée comme celle du logiciel de gestion documentaire. Le trafic SSH d’administration serait autorisé uniquement depuis un sous-réseau restreint dédié aux postes des administrateurs, jamais depuis l’ensemble du réseau interne. Tout autre trafic vers ce serveur, non explicitement couvert par ces deux règles, serait refusé par défaut — reproduisant pour ce serveur spécifique le même principe de moindre privilège déjà appliqué à l’ensemble de l’infrastructure de sécurité de ce manuel, plutôt qu’une règle générique autorisant l’ensemble du trafic interne vers ce serveur par simplicité.</w:t>
      </w:r>
    </w:p>
    <w:p>
      <w:pPr>
        <w:pStyle w:val="BodyText"/>
      </w:pPr>
      <w:r>
        <w:t xml:space="preserve">📝 Exercice 66.2</w:t>
      </w:r>
    </w:p>
    <w:p>
      <w:pPr>
        <w:pStyle w:val="BodyText"/>
      </w:pPr>
      <w:r>
        <w:t xml:space="preserve">Rédige, en 3 à 5 phrases, une règle d’équipe garantissant une révision périodique des politiques de sécurité du pare-feu Fortinet, en t’appuyant sur le risque décrit à la section</w:t>
      </w:r>
      <w:r>
        <w:t xml:space="preserve"> </w:t>
      </w:r>
      <w:r>
        <w:t xml:space="preserve">“En entreprise”</w:t>
      </w:r>
      <w:r>
        <w:t xml:space="preserve">.</w:t>
      </w:r>
    </w:p>
    <w:p>
      <w:pPr>
        <w:pStyle w:val="BodyText"/>
      </w:pPr>
      <w:r>
        <w:rPr>
          <w:b/>
          <w:bCs/>
        </w:rPr>
        <w:t xml:space="preserve">Corrigé (exemple de réponse) :</w:t>
      </w:r>
      <w:r>
        <w:t xml:space="preserve"> </w:t>
      </w:r>
      <w:r>
        <w:t xml:space="preserve">L’ensemble des politiques de sécurité du pare-feu périmétrique fera l’objet d’une révision trimestrielle, examinant chaque règle existante pour vérifier qu’elle correspond toujours à un besoin réel et documenté. Toute règle dont la justification n’est plus claire ou dont le trafic associé n’a montré aucune activité récente sera signalée pour investigation avant sa suppression ou sa conservation justifiée. Cette révision périodique sera intégrée au même processus de gouvernance déjà établi pour la revue des accès Active Directory, évitant que le pare-feu n’accumule silencieusement des règles obsolètes représentant une surface d’exposition inutile au fil des années.</w:t>
      </w:r>
    </w:p>
    <w:bookmarkEnd w:id="1623"/>
    <w:bookmarkStart w:id="1624" w:name="checklist-de-fin-de-chapitre-65"/>
    <w:p>
      <w:pPr>
        <w:pStyle w:val="Heading2"/>
      </w:pPr>
      <w:r>
        <w:t xml:space="preserve">Checklist de fin de chapitre</w:t>
      </w:r>
    </w:p>
    <w:p>
      <w:pPr>
        <w:pStyle w:val="FirstParagraph"/>
      </w:pPr>
      <w:r>
        <w:t xml:space="preserve">☐ Je comprends ce qui distingue un pare-feu nouvelle génération d’un pare-feu traditionnel.</w:t>
      </w:r>
    </w:p>
    <w:p>
      <w:pPr>
        <w:pStyle w:val="BodyText"/>
      </w:pPr>
      <w:r>
        <w:t xml:space="preserve">☐ Je sais organiser une architecture de pare-feu en zones de sécurité.</w:t>
      </w:r>
    </w:p>
    <w:p>
      <w:pPr>
        <w:pStyle w:val="BodyText"/>
      </w:pPr>
      <w:r>
        <w:t xml:space="preserve">☐ Je sais construire une politique de sécurité appliquant le principe de refus par défaut.</w:t>
      </w:r>
    </w:p>
    <w:p>
      <w:pPr>
        <w:pStyle w:val="BodyText"/>
      </w:pPr>
      <w:r>
        <w:t xml:space="preserve">☐ Je comprends le rôle de l’inspection applicative profonde et du filtrage web.</w:t>
      </w:r>
    </w:p>
    <w:p>
      <w:pPr>
        <w:pStyle w:val="BodyText"/>
      </w:pPr>
      <w:r>
        <w:t xml:space="preserve">☐ Je sais pourquoi centraliser les journaux du pare-feu périmétrique reste une priorité de sécurité.</w:t>
      </w:r>
    </w:p>
    <w:p>
      <w:pPr>
        <w:pStyle w:val="BodyText"/>
      </w:pPr>
      <w:r>
        <w:t xml:space="preserve">☐ Je sais diagnostiquer un trafic légitime bloqué à tort par une politique NGFW.</w:t>
      </w:r>
    </w:p>
    <w:bookmarkEnd w:id="1624"/>
    <w:bookmarkStart w:id="1625" w:name="faq-65"/>
    <w:p>
      <w:pPr>
        <w:pStyle w:val="Heading2"/>
      </w:pPr>
      <w:r>
        <w:t xml:space="preserve">FAQ</w:t>
      </w:r>
    </w:p>
    <w:p>
      <w:pPr>
        <w:pStyle w:val="FirstParagraph"/>
      </w:pPr>
      <w:r>
        <w:t xml:space="preserve">Un NGFW remplace-t-il complètement le besoin d’un IPS ou d’un antivirus dédié ?</w:t>
      </w:r>
    </w:p>
    <w:p>
      <w:pPr>
        <w:pStyle w:val="BodyText"/>
      </w:pPr>
      <w:r>
        <w:t xml:space="preserve">Pas nécessairement complètement — de nombreux NGFW intègrent un module IPS et parfois un antivirus réseau, mais une défense en profondeur combinant plusieurs couches de protection complémentaires reste généralement recommandée plutôt qu’une dépendance exclusive à un seul équipement, un principe approfondi à la Partie 12.</w:t>
      </w:r>
    </w:p>
    <w:p>
      <w:pPr>
        <w:pStyle w:val="BodyText"/>
      </w:pPr>
      <w:r>
        <w:t xml:space="preserve">Fortinet est-il le seul fabricant de pare-feu nouvelle génération disponible ?</w:t>
      </w:r>
    </w:p>
    <w:p>
      <w:pPr>
        <w:pStyle w:val="BodyText"/>
      </w:pPr>
      <w:r>
        <w:t xml:space="preserve">Non, plusieurs fabricants proposent des NGFW comparables (Palo Alto, Check Point, entre autres) — les concepts présentés dans ce chapitre (zones de sécurité, inspection applicative, refus par défaut) restent largement transférables d’un fabricant à l’autre, seule la syntaxe de configuration diffère.</w:t>
      </w:r>
    </w:p>
    <w:p>
      <w:pPr>
        <w:pStyle w:val="BodyText"/>
      </w:pPr>
      <w:r>
        <w:t xml:space="preserve">Un NGFW ralentit-il significativement le trafic par rapport à un pare-feu traditionnel ?</w:t>
      </w:r>
    </w:p>
    <w:p>
      <w:pPr>
        <w:pStyle w:val="BodyText"/>
      </w:pPr>
      <w:r>
        <w:t xml:space="preserve">L’inspection applicative profonde introduit une charge de traitement supplémentaire, mais un équipement correctement dimensionné pour le volume de trafic réel de l’organisation absorbe généralement cette charge sans impact perceptible pour les utilisateurs.</w:t>
      </w:r>
    </w:p>
    <w:p>
      <w:pPr>
        <w:pStyle w:val="BodyText"/>
      </w:pPr>
      <w:r>
        <w:t xml:space="preserve">Faut-il activer l’inspection applicative profonde sur l’ensemble du trafic, y compris interne ?</w:t>
      </w:r>
    </w:p>
    <w:p>
      <w:pPr>
        <w:pStyle w:val="BodyText"/>
      </w:pPr>
      <w:r>
        <w:t xml:space="preserve">Une approche progressive, en priorisant d’abord le trafic entrant et sortant vers Internet (le plus exposé), puis en étendant progressivement au trafic inter-VLAN interne selon les ressources disponibles, reste souvent plus réaliste qu’une activation complète immédiate sur l’ensemble du trafic.</w:t>
      </w:r>
    </w:p>
    <w:bookmarkEnd w:id="1625"/>
    <w:bookmarkStart w:id="1628" w:name="références-et-pour-aller-plus-loin-65"/>
    <w:p>
      <w:pPr>
        <w:pStyle w:val="Heading2"/>
      </w:pPr>
      <w:r>
        <w:t xml:space="preserve">Références et pour aller plus loin</w:t>
      </w:r>
    </w:p>
    <w:p>
      <w:pPr>
        <w:pStyle w:val="Compact"/>
        <w:numPr>
          <w:ilvl w:val="0"/>
          <w:numId w:val="2538"/>
        </w:numPr>
      </w:pPr>
      <w:r>
        <w:t xml:space="preserve">Documentation officielle Fortinet FortiGate :</w:t>
      </w:r>
      <w:r>
        <w:t xml:space="preserve"> </w:t>
      </w:r>
      <w:hyperlink r:id="rId1626">
        <w:r>
          <w:rPr>
            <w:rStyle w:val="Hyperlink"/>
          </w:rPr>
          <w:t xml:space="preserve">https://docs.fortinet.com/product/fortigate</w:t>
        </w:r>
      </w:hyperlink>
    </w:p>
    <w:p>
      <w:pPr>
        <w:pStyle w:val="Compact"/>
        <w:numPr>
          <w:ilvl w:val="0"/>
          <w:numId w:val="2538"/>
        </w:numPr>
      </w:pPr>
      <w:r>
        <w:t xml:space="preserve">NIST — Guidelines on Firewalls and Firewall Policy (SP 800-41) :</w:t>
      </w:r>
      <w:r>
        <w:t xml:space="preserve"> </w:t>
      </w:r>
      <w:hyperlink r:id="rId1627">
        <w:r>
          <w:rPr>
            <w:rStyle w:val="Hyperlink"/>
          </w:rPr>
          <w:t xml:space="preserve">https://csrc.nist.gov/publications/detail/sp/800-41/rev-1/final</w:t>
        </w:r>
      </w:hyperlink>
    </w:p>
    <w:p>
      <w:pPr>
        <w:pStyle w:val="FirstParagraph"/>
      </w:pPr>
      <w:r>
        <w:rPr>
          <w:i/>
          <w:iCs/>
        </w:rPr>
        <w:t xml:space="preserve">Chapitre suivant : Mikrotik et le routage avancé — une alternative accessible pour approfondir les concepts de routage déjà rencontrés avec Cisco, particulièrement répandue pour les sites secondaires et les budgets plus restreints.</w:t>
      </w:r>
    </w:p>
    <w:p>
      <w:pPr>
        <w:pStyle w:val="BodyText"/>
      </w:pPr>
      <w:r>
        <w:t xml:space="preserve">CHAPITRE 67</w:t>
      </w:r>
    </w:p>
    <w:bookmarkEnd w:id="1628"/>
    <w:bookmarkEnd w:id="1629"/>
    <w:bookmarkStart w:id="1651" w:name="mikrotik-routage-avancé"/>
    <w:p>
      <w:pPr>
        <w:pStyle w:val="Heading1"/>
      </w:pPr>
      <w:r>
        <w:t xml:space="preserve">Mikrotik : routage avancé</w:t>
      </w:r>
    </w:p>
    <w:p>
      <w:pPr>
        <w:pStyle w:val="FirstParagraph"/>
      </w:pPr>
      <w:r>
        <w:t xml:space="preserve">🎯 Objectif du chapitre</w:t>
      </w:r>
      <w:r>
        <w:t xml:space="preserve"> </w:t>
      </w:r>
      <w:r>
        <w:t xml:space="preserve">Découvrir Mikrotik et RouterOS comme alternative accessible pour approfondir les concepts de routage déjà rencontrés avec Cisco (chapitre 65), particulièrement répandue pour les sites secondaires et les budgets plus restreints. À la fin de ce chapitre, tu sauras configurer le routage et le NAT sur RouterOS, gérer la bande passante via les queues, construire des règles de pare-feu par chaînes, et sécuriser correctement l’accès administratif à distance — un point de vigilance particulièrement important sur cet équipement.</w:t>
      </w:r>
    </w:p>
    <w:p>
      <w:pPr>
        <w:pStyle w:val="BodyText"/>
      </w:pPr>
      <w:r>
        <w:t xml:space="preserve">🎬 Mise en situation</w:t>
      </w:r>
      <w:r>
        <w:t xml:space="preserve"> </w:t>
      </w:r>
      <w:r>
        <w:t xml:space="preserve">L’entreprise ouvre un petit bureau satellite à Cap-Haïtien, distinct du site principal déjà équipé en Cisco et Fortinet (chapitres 65-66), avec seulement une quinzaine d’employés et un budget d’équipement nettement plus restreint. Investir dans du matériel Cisco et Fortinet de niveau entreprise pour ce petit site représenterait une dépense disproportionnée par rapport au besoin réel.</w:t>
      </w:r>
      <w:r>
        <w:t xml:space="preserve"> </w:t>
      </w:r>
      <w:r>
        <w:t xml:space="preserve">“On n’a pas besoin du même niveau d’équipement pour quinze personnes que pour notre siège,”</w:t>
      </w:r>
      <w:r>
        <w:t xml:space="preserve"> </w:t>
      </w:r>
      <w:r>
        <w:t xml:space="preserve">résume le DSI. Mikrotik, avec du matériel RouterOS à la fois puissant et nettement plus accessible financièrement, répond directement à ce besoin.</w:t>
      </w:r>
    </w:p>
    <w:bookmarkStart w:id="1630" w:name="X6cf8d2b327303e66f88b475e7474d568e7a57dd"/>
    <w:p>
      <w:pPr>
        <w:pStyle w:val="Heading2"/>
      </w:pPr>
      <w:r>
        <w:t xml:space="preserve">67.1 Un choix pragmatique, le même raisonnement déjà rencontré à plusieurs reprises</w:t>
      </w:r>
    </w:p>
    <w:p>
      <w:pPr>
        <w:pStyle w:val="FirstParagraph"/>
      </w:pPr>
      <w:r>
        <w:t xml:space="preserve">✅ Rappel direct des chapitres 14, 59 et 63</w:t>
      </w:r>
      <w:r>
        <w:t xml:space="preserve"> </w:t>
      </w:r>
      <w:r>
        <w:t xml:space="preserve">Mikrotik n’est pas choisi ici parce qu’il serait objectivement supérieur à Cisco ou Fortinet, mais parce qu’il correspond au contexte réel de ce site précis : un petit nombre d’utilisateurs, un budget restreint, un besoin fonctionnel réel mais sans la complexité justifiant un investissement de niveau entreprise. Ce raisonnement rejoint exactement celui déjà appliqué au choix d’Ubuntu Server (chapitre 14), de Zabbix (chapitre 59) et de Graylog (chapitre 63) : le bon outil dépend du contexte précis, pas d’une hiérarchie absolue de qualité entre les solutions disponibles.</w:t>
      </w:r>
    </w:p>
    <w:bookmarkEnd w:id="1630"/>
    <w:bookmarkStart w:id="1631" w:name="X38c0152873664b3375fba5a9095a1e222189810"/>
    <w:p>
      <w:pPr>
        <w:pStyle w:val="Heading2"/>
      </w:pPr>
      <w:r>
        <w:t xml:space="preserve">67.2 RouterOS : un système d’exploitation réseau complet</w:t>
      </w:r>
    </w:p>
    <w:p>
      <w:pPr>
        <w:pStyle w:val="FirstParagraph"/>
      </w:pPr>
      <w:r>
        <w:t xml:space="preserve">📌 À retenir</w:t>
      </w:r>
      <w:r>
        <w:t xml:space="preserve"> </w:t>
      </w:r>
      <w:r>
        <w:rPr>
          <w:b/>
          <w:bCs/>
        </w:rPr>
        <w:t xml:space="preserve">RouterOS</w:t>
      </w:r>
      <w:r>
        <w:t xml:space="preserve"> </w:t>
      </w:r>
      <w:r>
        <w:t xml:space="preserve">est le système d’exploitation propriétaire des équipements Mikrotik, offrant routage, pare-feu, VPN, gestion de bande passante et bien d’autres fonctionnalités réseau dans un seul système, généralement accessible via une interface graphique dédiée (</w:t>
      </w:r>
      <w:r>
        <w:rPr>
          <w:b/>
          <w:bCs/>
        </w:rPr>
        <w:t xml:space="preserve">Winbox</w:t>
      </w:r>
      <w:r>
        <w:t xml:space="preserve">) ou en ligne de commande — une richesse fonctionnelle comparable à des équipements bien plus coûteux, avec une courbe d’apprentissage propre à sa syntaxe.</w:t>
      </w:r>
    </w:p>
    <w:bookmarkEnd w:id="1631"/>
    <w:bookmarkStart w:id="1632" w:name="X00fecc6485c1a63ccce2637b43012ab35574867"/>
    <w:p>
      <w:pPr>
        <w:pStyle w:val="Heading2"/>
      </w:pPr>
      <w:r>
        <w:t xml:space="preserve">67.3 Routage et NAT : les fondations, approfondies</w:t>
      </w:r>
    </w:p>
    <w:p>
      <w:pPr>
        <w:pStyle w:val="SourceCode"/>
      </w:pPr>
      <w:r>
        <w:rPr>
          <w:rStyle w:val="VerbatimChar"/>
        </w:rPr>
        <w:t xml:space="preserve">/ip address add address=192.168.50.1/24 interface=ether2</w:t>
      </w:r>
      <w:r>
        <w:br/>
      </w:r>
      <w:r>
        <w:rPr>
          <w:rStyle w:val="VerbatimChar"/>
        </w:rPr>
        <w:t xml:space="preserve">/ip route add dst-address=0.0.0.0/0 gateway=41.20.10.1</w:t>
      </w:r>
      <w:r>
        <w:br/>
      </w:r>
      <w:r>
        <w:rPr>
          <w:rStyle w:val="VerbatimChar"/>
        </w:rPr>
        <w:t xml:space="preserve">/ip firewall nat add chain=srcnat out-interface=ether1 action=masquerade</w:t>
      </w:r>
    </w:p>
    <w:p>
      <w:pPr>
        <w:pStyle w:val="FirstParagraph"/>
      </w:pPr>
      <w:r>
        <w:t xml:space="preserve">📌 À retenir</w:t>
      </w:r>
      <w:r>
        <w:t xml:space="preserve"> </w:t>
      </w:r>
      <w:r>
        <w:t xml:space="preserve">Cette configuration reprend les mêmes concepts fondamentaux déjà rencontrés au chapitre 11 — adressage, route par défaut, traduction d’adresse (NAT) pour permettre au réseau interne du bureau satellite d’accéder à Internet via une seule adresse publique — appliqués ici à la syntaxe propre de RouterOS.</w:t>
      </w:r>
    </w:p>
    <w:bookmarkEnd w:id="1632"/>
    <w:bookmarkStart w:id="1633" w:name="Xf108401d6e0cddbf695a690d1f2f80c3f3a789f"/>
    <w:p>
      <w:pPr>
        <w:pStyle w:val="Heading2"/>
      </w:pPr>
      <w:r>
        <w:t xml:space="preserve">67.4 Gestion de la bande passante avec les Queues</w:t>
      </w:r>
    </w:p>
    <w:p>
      <w:pPr>
        <w:pStyle w:val="FirstParagraph"/>
      </w:pPr>
      <w:r>
        <w:t xml:space="preserve">💡 Une fonctionnalité particulièrement mature sur RouterOS</w:t>
      </w:r>
      <w:r>
        <w:t xml:space="preserve"> </w:t>
      </w:r>
      <w:r>
        <w:t xml:space="preserve">Les</w:t>
      </w:r>
      <w:r>
        <w:t xml:space="preserve"> </w:t>
      </w:r>
      <w:r>
        <w:rPr>
          <w:b/>
          <w:bCs/>
        </w:rPr>
        <w:t xml:space="preserve">queues</w:t>
      </w:r>
      <w:r>
        <w:t xml:space="preserve"> </w:t>
      </w:r>
      <w:r>
        <w:t xml:space="preserve">de RouterOS permettent de limiter ou de prioriser la bande passante allouée à une adresse, un sous-réseau ou un type de trafic — évitant qu’un seul poste ou un seul usage (comme un téléchargement volumineux) ne monopolise l’intégralité du lien Internet limité de ce petit site, au détriment des autres utilisateurs.</w:t>
      </w:r>
    </w:p>
    <w:p>
      <w:pPr>
        <w:pStyle w:val="SourceCode"/>
      </w:pPr>
      <w:r>
        <w:rPr>
          <w:rStyle w:val="VerbatimChar"/>
        </w:rPr>
        <w:t xml:space="preserve">/queue simple add name="limite-generale" target=192.168.50.0/24 max-limit=10M/10M</w:t>
      </w:r>
    </w:p>
    <w:bookmarkEnd w:id="1633"/>
    <w:bookmarkStart w:id="1634" w:name="X98cae62e68f889dbe539a15a42c59b0e04d1228"/>
    <w:p>
      <w:pPr>
        <w:pStyle w:val="Heading2"/>
      </w:pPr>
      <w:r>
        <w:t xml:space="preserve">67.5 Le pare-feu Mikrotik : chaînes et refus par défaut</w:t>
      </w:r>
    </w:p>
    <w:p>
      <w:pPr>
        <w:pStyle w:val="FirstParagraph"/>
      </w:pPr>
      <w:r>
        <w:t xml:space="preserve">✅ Le même principe de refus par défaut qu’au chapitre 66, une syntaxe différente</w:t>
      </w:r>
      <w:r>
        <w:t xml:space="preserve"> </w:t>
      </w:r>
      <w:r>
        <w:t xml:space="preserve">Le pare-feu RouterOS organise ses règles en</w:t>
      </w:r>
      <w:r>
        <w:t xml:space="preserve"> </w:t>
      </w:r>
      <w:r>
        <w:rPr>
          <w:b/>
          <w:bCs/>
        </w:rPr>
        <w:t xml:space="preserve">chaînes</w:t>
      </w:r>
      <w:r>
        <w:t xml:space="preserve"> </w:t>
      </w:r>
      <w:r>
        <w:t xml:space="preserve">(</w:t>
      </w:r>
      <w:r>
        <w:rPr>
          <w:rStyle w:val="VerbatimChar"/>
        </w:rPr>
        <w:t xml:space="preserve">input</w:t>
      </w:r>
      <w:r>
        <w:t xml:space="preserve"> </w:t>
      </w:r>
      <w:r>
        <w:t xml:space="preserve">pour le trafic destiné au routeur lui-même,</w:t>
      </w:r>
      <w:r>
        <w:t xml:space="preserve"> </w:t>
      </w:r>
      <w:r>
        <w:rPr>
          <w:rStyle w:val="VerbatimChar"/>
        </w:rPr>
        <w:t xml:space="preserve">forward</w:t>
      </w:r>
      <w:r>
        <w:t xml:space="preserve"> </w:t>
      </w:r>
      <w:r>
        <w:t xml:space="preserve">pour le trafic traversant le routeur,</w:t>
      </w:r>
      <w:r>
        <w:t xml:space="preserve"> </w:t>
      </w:r>
      <w:r>
        <w:rPr>
          <w:rStyle w:val="VerbatimChar"/>
        </w:rPr>
        <w:t xml:space="preserve">output</w:t>
      </w:r>
      <w:r>
        <w:t xml:space="preserve"> </w:t>
      </w:r>
      <w:r>
        <w:t xml:space="preserve">pour le trafic émis par le routeur) — une organisation différente des zones de sécurité Fortinet (section 66.2), mais reposant sur exactement le même principe de refus par défaut déjà établi : chaque chaîne devrait se terminer par une règle explicite de rejet du trafic non couvert par les règles précédentes.</w:t>
      </w:r>
    </w:p>
    <w:p>
      <w:pPr>
        <w:pStyle w:val="SourceCode"/>
      </w:pPr>
      <w:r>
        <w:rPr>
          <w:rStyle w:val="VerbatimChar"/>
        </w:rPr>
        <w:t xml:space="preserve">/ip firewall filter add chain=input action=accept protocol=tcp dst-port=8291 src-address=192.168.50.0/24</w:t>
      </w:r>
      <w:r>
        <w:br/>
      </w:r>
      <w:r>
        <w:rPr>
          <w:rStyle w:val="VerbatimChar"/>
        </w:rPr>
        <w:t xml:space="preserve">/ip firewall filter add chain=input action=drop</w:t>
      </w:r>
    </w:p>
    <w:bookmarkEnd w:id="1634"/>
    <w:bookmarkStart w:id="1635" w:name="X6179dd4c1733b3c08ebc52a004ce059232c20aa"/>
    <w:p>
      <w:pPr>
        <w:pStyle w:val="Heading2"/>
      </w:pPr>
      <w:r>
        <w:t xml:space="preserve">67.6 VPN site à site : un aperçu avant le chapitre 69</w:t>
      </w:r>
    </w:p>
    <w:p>
      <w:pPr>
        <w:pStyle w:val="FirstParagraph"/>
      </w:pPr>
      <w:r>
        <w:t xml:space="preserve">📌 À retenir</w:t>
      </w:r>
      <w:r>
        <w:t xml:space="preserve"> </w:t>
      </w:r>
      <w:r>
        <w:t xml:space="preserve">Mikrotik supporte nativement plusieurs types de VPN, permettant de relier ce bureau satellite au siège de façon sécurisée à travers Internet — un sujet approfondi au chapitre 69 de ce manuel, consacré spécifiquement au VPN d’entreprise, quel que soit le fabricant d’équipement utilisé à chaque extrémité.</w:t>
      </w:r>
    </w:p>
    <w:bookmarkEnd w:id="1635"/>
    <w:bookmarkStart w:id="1636" w:name="X7b70578056402ac4c00ee389da57b8ebdae164b"/>
    <w:p>
      <w:pPr>
        <w:pStyle w:val="Heading2"/>
      </w:pPr>
      <w:r>
        <w:t xml:space="preserve">67.7 Sécuriser l’accès administratif : un point de vigilance spécifique à Mikrotik</w:t>
      </w:r>
    </w:p>
    <w:p>
      <w:pPr>
        <w:pStyle w:val="FirstParagraph"/>
      </w:pPr>
      <w:r>
        <w:t xml:space="preserve">🔒 Sécurité — un risque réel et documenté sur les équipements Mikrotik</w:t>
      </w:r>
      <w:r>
        <w:t xml:space="preserve"> </w:t>
      </w:r>
      <w:r>
        <w:t xml:space="preserve">L’interface d’administration de RouterOS (Winbox, port 8291, ou l’API) a fait l’objet, dans le monde réel, de nombreuses campagnes de compromission lorsqu’elle est exposée directement sur Internet sans restriction. La règle du firewall de la section 67.5 restreint explicitement l’accès à ce port au seul sous-réseau interne légitime — une pratique impérative, jamais optionnelle, pour tout équipement Mikrotik dont une interface fait face à Internet.</w:t>
      </w:r>
    </w:p>
    <w:bookmarkEnd w:id="1636"/>
    <w:bookmarkStart w:id="1637" w:name="Xb07a6afa12208842c4f38d1d84d8dbf511d81f6"/>
    <w:p>
      <w:pPr>
        <w:pStyle w:val="Heading2"/>
      </w:pPr>
      <w:r>
        <w:t xml:space="preserve">Atelier — Déployer le routeur du bureau satellite</w:t>
      </w:r>
    </w:p>
    <w:p>
      <w:pPr>
        <w:pStyle w:val="FirstParagraph"/>
      </w:pPr>
      <w:r>
        <w:t xml:space="preserve">🛠️ Atelier 67 — Répondre au besoin du scénario d’ouverture</w:t>
      </w:r>
    </w:p>
    <w:p>
      <w:pPr>
        <w:pStyle w:val="BodyText"/>
      </w:pPr>
      <w:r>
        <w:rPr>
          <w:b/>
          <w:bCs/>
        </w:rPr>
        <w:t xml:space="preserve">Objectif</w:t>
      </w:r>
      <w:r>
        <w:t xml:space="preserve"> </w:t>
      </w:r>
      <w:r>
        <w:t xml:space="preserve">: configurer un routeur Mikrotik pour le bureau satellite de Cap-Haïtien, avec routage, limitation de bande passante et pare-feu de base.</w:t>
      </w:r>
    </w:p>
    <w:p>
      <w:pPr>
        <w:pStyle w:val="BodyText"/>
      </w:pPr>
      <w:r>
        <w:rPr>
          <w:b/>
          <w:bCs/>
        </w:rPr>
        <w:t xml:space="preserve">Préparation</w:t>
      </w:r>
      <w:r>
        <w:t xml:space="preserve"> </w:t>
      </w:r>
      <w:r>
        <w:t xml:space="preserve">: un équipement Mikrotik avec RouterOS installé, un accès Winbox initial depuis le réseau local uniquement.</w:t>
      </w:r>
    </w:p>
    <w:p>
      <w:pPr>
        <w:pStyle w:val="BodyText"/>
      </w:pPr>
      <w:r>
        <w:rPr>
          <w:b/>
          <w:bCs/>
        </w:rPr>
        <w:t xml:space="preserve">Étapes détaillées</w:t>
      </w:r>
      <w:r>
        <w:t xml:space="preserve"> </w:t>
      </w:r>
      <w:r>
        <w:t xml:space="preserve">:</w:t>
      </w:r>
    </w:p>
    <w:p>
      <w:pPr>
        <w:pStyle w:val="Compact"/>
        <w:numPr>
          <w:ilvl w:val="0"/>
          <w:numId w:val="2539"/>
        </w:numPr>
      </w:pPr>
      <w:r>
        <w:t xml:space="preserve">Configure l’adressage, la route par défaut et le NAT (section 67.3) pour permettre l’accès Internet du réseau interne.</w:t>
      </w:r>
    </w:p>
    <w:p>
      <w:pPr>
        <w:pStyle w:val="Compact"/>
        <w:numPr>
          <w:ilvl w:val="0"/>
          <w:numId w:val="2539"/>
        </w:numPr>
      </w:pPr>
      <w:r>
        <w:t xml:space="preserve">Configure une queue limitant la bande passante globale disponible pour le réseau interne (section 67.4).</w:t>
      </w:r>
    </w:p>
    <w:p>
      <w:pPr>
        <w:pStyle w:val="Compact"/>
        <w:numPr>
          <w:ilvl w:val="0"/>
          <w:numId w:val="2539"/>
        </w:numPr>
      </w:pPr>
      <w:r>
        <w:t xml:space="preserve">Configure les règles de pare-feu restreignant l’accès à l’interface d’administration au seul sous-réseau interne (section 67.7).</w:t>
      </w:r>
    </w:p>
    <w:p>
      <w:pPr>
        <w:pStyle w:val="Compact"/>
        <w:numPr>
          <w:ilvl w:val="0"/>
          <w:numId w:val="2539"/>
        </w:numPr>
      </w:pPr>
      <w:r>
        <w:t xml:space="preserve">Ajoute une règle de rejet final à la chaîne</w:t>
      </w:r>
      <w:r>
        <w:t xml:space="preserve"> </w:t>
      </w:r>
      <w:r>
        <w:rPr>
          <w:rStyle w:val="VerbatimChar"/>
        </w:rPr>
        <w:t xml:space="preserve">input</w:t>
      </w:r>
      <w:r>
        <w:t xml:space="preserve">, conformément au principe de refus par défaut (section 67.5).</w:t>
      </w:r>
    </w:p>
    <w:p>
      <w:pPr>
        <w:pStyle w:val="Compact"/>
        <w:numPr>
          <w:ilvl w:val="0"/>
          <w:numId w:val="2539"/>
        </w:numPr>
      </w:pPr>
      <w:r>
        <w:t xml:space="preserve">Explique pourquoi l’ordre des règles de pare-feu est important dans cette configuration.</w:t>
      </w:r>
    </w:p>
    <w:p>
      <w:pPr>
        <w:pStyle w:val="Compact"/>
        <w:numPr>
          <w:ilvl w:val="0"/>
          <w:numId w:val="2539"/>
        </w:numPr>
      </w:pPr>
      <w:r>
        <w:t xml:space="preserve">Compare ta démarche à la section</w:t>
      </w:r>
      <w:r>
        <w:t xml:space="preserve"> </w:t>
      </w:r>
      <w:r>
        <w:t xml:space="preserve">“Résultat attendu”</w:t>
      </w:r>
      <w:r>
        <w:t xml:space="preserve">.</w:t>
      </w:r>
    </w:p>
    <w:p>
      <w:pPr>
        <w:pStyle w:val="FirstParagraph"/>
      </w:pPr>
      <w:r>
        <w:rPr>
          <w:b/>
          <w:bCs/>
        </w:rPr>
        <w:t xml:space="preserve">Résultat attendu</w:t>
      </w:r>
      <w:r>
        <w:t xml:space="preserve"> </w:t>
      </w:r>
      <w:r>
        <w:t xml:space="preserve">: le bureau satellite dispose d’un accès Internet fonctionnel via NAT, avec une bande passante partagée équitablement grâce à la queue configurée, empêchant qu’un seul poste ne sature le lien limité de ce site. L’accès administratif au routeur reste restreint au seul réseau interne, conformément au risque de sécurité spécifique évoqué à la section 67.7. L’ordre des règles de pare-feu est déterminant car RouterOS évalue les règles séquentiellement et applique la première correspondance trouvée — une règle de rejet placée avant une règle d’autorisation légitime bloquerait ce trafic malgré l’existence d’une règle d’autorisation plus loin dans la liste, jamais atteinte.</w:t>
      </w:r>
    </w:p>
    <w:p>
      <w:pPr>
        <w:pStyle w:val="BodyText"/>
      </w:pPr>
      <w:r>
        <w:rPr>
          <w:b/>
          <w:bCs/>
        </w:rPr>
        <w:t xml:space="preserve">Dépannage</w:t>
      </w:r>
      <w:r>
        <w:t xml:space="preserve"> </w:t>
      </w:r>
      <w:r>
        <w:t xml:space="preserve">: si l’accès administratif au routeur devient impossible après application des règles de pare-feu, vérifie que la règle d’autorisation pour le sous-réseau interne a bien été créée et placée avant la règle de rejet final — une erreur d’ordre fréquente lors d’une première configuration.</w:t>
      </w:r>
    </w:p>
    <w:bookmarkEnd w:id="1637"/>
    <w:bookmarkStart w:id="1638" w:name="erreurs-fréquentes-66"/>
    <w:p>
      <w:pPr>
        <w:pStyle w:val="Heading2"/>
      </w:pPr>
      <w:r>
        <w:t xml:space="preserve">Erreurs fréquentes</w:t>
      </w:r>
    </w:p>
    <w:p>
      <w:pPr>
        <w:pStyle w:val="FirstParagraph"/>
      </w:pPr>
      <w:r>
        <w:t xml:space="preserve">⚠️ Erreur n°1 — l’interface d’administration exposée directement sur Internet sans restriction</w:t>
      </w:r>
      <w:r>
        <w:t xml:space="preserve"> </w:t>
      </w:r>
      <w:r>
        <w:t xml:space="preserve">Rappel de la section 67.7 : un risque de sécurité réel et documenté, spécifique aux équipements Mikrotik, jamais à négliger.</w:t>
      </w:r>
    </w:p>
    <w:p>
      <w:pPr>
        <w:pStyle w:val="BodyText"/>
      </w:pPr>
      <w:r>
        <w:t xml:space="preserve">⚠️ Erreur n°2 — des règles de pare-feu mal ordonnées</w:t>
      </w:r>
      <w:r>
        <w:t xml:space="preserve"> </w:t>
      </w:r>
      <w:r>
        <w:t xml:space="preserve">Rappel de l’atelier : RouterOS applique la première règle correspondante rencontrée dans l’ordre de la liste — un ordre incorrect peut bloquer un trafic légitime ou, pire, autoriser un trafic qui aurait dû être refusé.</w:t>
      </w:r>
    </w:p>
    <w:p>
      <w:pPr>
        <w:pStyle w:val="BodyText"/>
      </w:pPr>
      <w:r>
        <w:t xml:space="preserve">⚠️ Erreur n°3 — aucune limitation de bande passante sur un lien Internet limité</w:t>
      </w:r>
      <w:r>
        <w:t xml:space="preserve"> </w:t>
      </w:r>
      <w:r>
        <w:t xml:space="preserve">Rappel de la section 67.4 : sans queue configurée, un seul usage intensif peut dégrader la connectivité de l’ensemble des utilisateurs du site, un impact particulièrement sensible sur un lien à bande passante limitée.</w:t>
      </w:r>
    </w:p>
    <w:bookmarkEnd w:id="1638"/>
    <w:bookmarkStart w:id="1639" w:name="X59a7f8c2c287faa64fbad01598a917ed7d8a4b8"/>
    <w:p>
      <w:pPr>
        <w:pStyle w:val="Heading2"/>
      </w:pPr>
      <w:r>
        <w:t xml:space="preserve">Diagnostiquer un lien Internet saturé par un seul poste</w:t>
      </w:r>
    </w:p>
    <w:p>
      <w:pPr>
        <w:pStyle w:val="FirstParagraph"/>
      </w:pPr>
      <w:r>
        <w:t xml:space="preserve">🩺 Symptôme : l’ensemble des utilisateurs du bureau satellite signale une lenteur générale de connexion Internet</w:t>
      </w:r>
    </w:p>
    <w:p>
      <w:pPr>
        <w:pStyle w:val="Compact"/>
        <w:numPr>
          <w:ilvl w:val="0"/>
          <w:numId w:val="2540"/>
        </w:numPr>
      </w:pPr>
      <w:r>
        <w:rPr>
          <w:b/>
          <w:bCs/>
        </w:rPr>
        <w:t xml:space="preserve">Diagnostic</w:t>
      </w:r>
      <w:r>
        <w:t xml:space="preserve"> </w:t>
      </w:r>
      <w:r>
        <w:t xml:space="preserve">: vérifier si une queue de limitation de bande passante est effectivement active et correctement dimensionnée, et identifier si un poste ou un usage spécifique consomme une part disproportionnée de la bande passante disponible.</w:t>
      </w:r>
    </w:p>
    <w:p>
      <w:pPr>
        <w:pStyle w:val="Compact"/>
        <w:numPr>
          <w:ilvl w:val="0"/>
          <w:numId w:val="2540"/>
        </w:numPr>
      </w:pPr>
      <w:r>
        <w:rPr>
          <w:b/>
          <w:bCs/>
        </w:rPr>
        <w:t xml:space="preserve">Comment vérifier</w:t>
      </w:r>
      <w:r>
        <w:t xml:space="preserve"> </w:t>
      </w:r>
      <w:r>
        <w:t xml:space="preserve">: consulter les statistiques de trafic par adresse dans RouterOS, ou utiliser une capture réseau (chapitre 64) pour identifier la source du trafic dominant.</w:t>
      </w:r>
    </w:p>
    <w:p>
      <w:pPr>
        <w:pStyle w:val="Compact"/>
        <w:numPr>
          <w:ilvl w:val="0"/>
          <w:numId w:val="2540"/>
        </w:numPr>
      </w:pPr>
      <w:r>
        <w:rPr>
          <w:b/>
          <w:bCs/>
        </w:rPr>
        <w:t xml:space="preserve">Résolution</w:t>
      </w:r>
      <w:r>
        <w:t xml:space="preserve"> </w:t>
      </w:r>
      <w:r>
        <w:t xml:space="preserve">: ajuster ou créer les queues manquantes pour répartir équitablement la bande passante disponible, ou identifier et corriger un usage anormal (mise à jour non planifiée, transfert de fichier volumineux) à l’origine de la saturation.</w:t>
      </w:r>
    </w:p>
    <w:bookmarkEnd w:id="1639"/>
    <w:bookmarkStart w:id="1640" w:name="en-entreprise-66"/>
    <w:p>
      <w:pPr>
        <w:pStyle w:val="Heading2"/>
      </w:pPr>
      <w:r>
        <w:t xml:space="preserve">En entreprise</w:t>
      </w:r>
    </w:p>
    <w:p>
      <w:pPr>
        <w:pStyle w:val="Compact"/>
        <w:numPr>
          <w:ilvl w:val="0"/>
          <w:numId w:val="2541"/>
        </w:numPr>
      </w:pPr>
      <w:r>
        <w:rPr>
          <w:b/>
          <w:bCs/>
        </w:rPr>
        <w:t xml:space="preserve">Bonne pratique répandue</w:t>
      </w:r>
      <w:r>
        <w:t xml:space="preserve"> </w:t>
      </w:r>
      <w:r>
        <w:t xml:space="preserve">: documenter clairement quel type de site (siège, bureau satellite) justifie quel niveau d’équipement, évitant une décision ad hoc à chaque nouveau site sans cohérence d’ensemble.</w:t>
      </w:r>
    </w:p>
    <w:p>
      <w:pPr>
        <w:pStyle w:val="Compact"/>
        <w:numPr>
          <w:ilvl w:val="0"/>
          <w:numId w:val="2541"/>
        </w:numPr>
      </w:pPr>
      <w:r>
        <w:rPr>
          <w:b/>
          <w:bCs/>
        </w:rPr>
        <w:t xml:space="preserve">Bonne pratique répandue</w:t>
      </w:r>
      <w:r>
        <w:t xml:space="preserve"> </w:t>
      </w:r>
      <w:r>
        <w:t xml:space="preserve">: restreindre systématiquement l’accès administratif de tout équipement réseau, quel que soit le fabricant, au seul réseau interne ou à un VPN dédié, jamais directement exposé sur Internet.</w:t>
      </w:r>
    </w:p>
    <w:p>
      <w:pPr>
        <w:pStyle w:val="Compact"/>
        <w:numPr>
          <w:ilvl w:val="0"/>
          <w:numId w:val="2541"/>
        </w:numPr>
      </w:pPr>
      <w:r>
        <w:rPr>
          <w:b/>
          <w:bCs/>
        </w:rPr>
        <w:t xml:space="preserve">Erreur classique observée</w:t>
      </w:r>
      <w:r>
        <w:t xml:space="preserve"> </w:t>
      </w:r>
      <w:r>
        <w:t xml:space="preserve">: un équipement Mikrotik déployé rapidement pour un besoin ponctuel, avec l’interface d’administration laissée accessible depuis Internet</w:t>
      </w:r>
      <w:r>
        <w:t xml:space="preserve"> </w:t>
      </w:r>
      <w:r>
        <w:t xml:space="preserve">“temporairement”</w:t>
      </w:r>
      <w:r>
        <w:t xml:space="preserve"> </w:t>
      </w:r>
      <w:r>
        <w:t xml:space="preserve">pour faciliter une configuration à distance — une exposition qui, dans les faits, reste souvent bien plus longtemps que prévu et constitue une cible réelle pour des campagnes de compromission automatisées.</w:t>
      </w:r>
    </w:p>
    <w:bookmarkEnd w:id="1640"/>
    <w:bookmarkStart w:id="1641" w:name="entretien-technique-66"/>
    <w:p>
      <w:pPr>
        <w:pStyle w:val="Heading2"/>
      </w:pPr>
      <w:r>
        <w:t xml:space="preserve">Entretien technique</w:t>
      </w:r>
    </w:p>
    <w:p>
      <w:pPr>
        <w:pStyle w:val="FirstParagraph"/>
      </w:pPr>
      <w:r>
        <w:t xml:space="preserve">💼 Questions fréquemment posées en entretien</w:t>
      </w:r>
    </w:p>
    <w:p>
      <w:pPr>
        <w:pStyle w:val="BodyText"/>
      </w:pPr>
      <w:r>
        <w:rPr>
          <w:b/>
          <w:bCs/>
        </w:rPr>
        <w:t xml:space="preserve">Q1.</w:t>
      </w:r>
      <w:r>
        <w:rPr>
          <w:b/>
          <w:bCs/>
        </w:rPr>
        <w:t xml:space="preserve"> </w:t>
      </w:r>
      <w:r>
        <w:rPr>
          <w:b/>
          <w:bCs/>
        </w:rPr>
        <w:t xml:space="preserve">“Dans quel contexte Mikrotik constitue-t-il un choix pertinent par rapport à des équipements Cisco ou Fortinet ?”</w:t>
      </w:r>
      <w:r>
        <w:t xml:space="preserve"> </w:t>
      </w:r>
      <w:r>
        <w:t xml:space="preserve">Réponse attendue : pour des sites de taille plus modeste avec un budget restreint, où le besoin fonctionnel réel ne justifie pas l’investissement associé à des équipements de niveau entreprise — un choix de contexte plutôt qu’un jugement de qualité absolue.</w:t>
      </w:r>
    </w:p>
    <w:p>
      <w:pPr>
        <w:pStyle w:val="BodyText"/>
      </w:pPr>
      <w:r>
        <w:rPr>
          <w:b/>
          <w:bCs/>
        </w:rPr>
        <w:t xml:space="preserve">Q2.</w:t>
      </w:r>
      <w:r>
        <w:rPr>
          <w:b/>
          <w:bCs/>
        </w:rPr>
        <w:t xml:space="preserve"> </w:t>
      </w:r>
      <w:r>
        <w:rPr>
          <w:b/>
          <w:bCs/>
        </w:rPr>
        <w:t xml:space="preserve">“Comment fonctionnent les chaînes du pare-feu RouterOS ?”</w:t>
      </w:r>
      <w:r>
        <w:t xml:space="preserve"> </w:t>
      </w:r>
      <w:r>
        <w:t xml:space="preserve">Réponse attendue :</w:t>
      </w:r>
      <w:r>
        <w:t xml:space="preserve"> </w:t>
      </w:r>
      <w:r>
        <w:rPr>
          <w:rStyle w:val="VerbatimChar"/>
        </w:rPr>
        <w:t xml:space="preserve">input</w:t>
      </w:r>
      <w:r>
        <w:t xml:space="preserve"> </w:t>
      </w:r>
      <w:r>
        <w:t xml:space="preserve">couvre le trafic destiné au routeur lui-même,</w:t>
      </w:r>
      <w:r>
        <w:t xml:space="preserve"> </w:t>
      </w:r>
      <w:r>
        <w:rPr>
          <w:rStyle w:val="VerbatimChar"/>
        </w:rPr>
        <w:t xml:space="preserve">forward</w:t>
      </w:r>
      <w:r>
        <w:t xml:space="preserve"> </w:t>
      </w:r>
      <w:r>
        <w:t xml:space="preserve">le trafic traversant le routeur,</w:t>
      </w:r>
      <w:r>
        <w:t xml:space="preserve"> </w:t>
      </w:r>
      <w:r>
        <w:rPr>
          <w:rStyle w:val="VerbatimChar"/>
        </w:rPr>
        <w:t xml:space="preserve">output</w:t>
      </w:r>
      <w:r>
        <w:t xml:space="preserve"> </w:t>
      </w:r>
      <w:r>
        <w:t xml:space="preserve">le trafic émis par le routeur ; les règles sont évaluées séquentiellement, la première correspondance déterminant le traitement appliqué.</w:t>
      </w:r>
    </w:p>
    <w:p>
      <w:pPr>
        <w:pStyle w:val="BodyText"/>
      </w:pPr>
      <w:r>
        <w:rPr>
          <w:b/>
          <w:bCs/>
        </w:rPr>
        <w:t xml:space="preserve">Q3.</w:t>
      </w:r>
      <w:r>
        <w:rPr>
          <w:b/>
          <w:bCs/>
        </w:rPr>
        <w:t xml:space="preserve"> </w:t>
      </w:r>
      <w:r>
        <w:rPr>
          <w:b/>
          <w:bCs/>
        </w:rPr>
        <w:t xml:space="preserve">“Pourquoi l’interface d’administration Winbox constitue-t-elle un point de vigilance particulier sur les équipements Mikrotik ?”</w:t>
      </w:r>
      <w:r>
        <w:t xml:space="preserve"> </w:t>
      </w:r>
      <w:r>
        <w:t xml:space="preserve">Réponse attendue : elle a fait l’objet, dans le monde réel, de nombreuses campagnes de compromission lorsqu’elle est exposée directement sur Internet sans restriction — son accès doit impérativement être restreint au réseau interne ou à un VPN dédié.</w:t>
      </w:r>
    </w:p>
    <w:bookmarkEnd w:id="1641"/>
    <w:bookmarkStart w:id="1642" w:name="X5b8904ab9322475f1b6e5f46806f26ec1dd0c3f"/>
    <w:p>
      <w:pPr>
        <w:pStyle w:val="Heading2"/>
      </w:pPr>
      <w:r>
        <w:t xml:space="preserve">Optimisation, sécurité et maintenabilité — les réflexes dès ce chapitre</w:t>
      </w:r>
    </w:p>
    <w:p>
      <w:pPr>
        <w:pStyle w:val="FirstParagraph"/>
      </w:pPr>
      <w:r>
        <w:t xml:space="preserve">🔒 Sécurité</w:t>
      </w:r>
      <w:r>
        <w:t xml:space="preserve"> </w:t>
      </w:r>
      <w:r>
        <w:t xml:space="preserve">Ne jamais exposer l’interface d’administration Winbox ou l’API RouterOS directement sur Internet — restreins systématiquement cet accès au réseau interne ou à un VPN dédié, une règle sans exception sur cet équipement en particulier.</w:t>
      </w:r>
    </w:p>
    <w:p>
      <w:pPr>
        <w:pStyle w:val="BodyText"/>
      </w:pPr>
      <w:r>
        <w:t xml:space="preserve">✅ Maintenabilité</w:t>
      </w:r>
      <w:r>
        <w:t xml:space="preserve"> </w:t>
      </w:r>
      <w:r>
        <w:t xml:space="preserve">Documente clairement, pour chaque site de l’organisation, le niveau d’équipement retenu et sa justification — une cohérence explicite évite des décisions incohérentes d’un site à l’autre au fil du temps.</w:t>
      </w:r>
    </w:p>
    <w:p>
      <w:pPr>
        <w:pStyle w:val="BodyText"/>
      </w:pPr>
      <w:r>
        <w:t xml:space="preserve">🚀 Performance</w:t>
      </w:r>
      <w:r>
        <w:t xml:space="preserve"> </w:t>
      </w:r>
      <w:r>
        <w:t xml:space="preserve">Dimensionne les queues de bande passante en fonction du lien Internet réel disponible sur le site, en laissant une marge suffisante pour éviter qu’une limitation trop stricte ne dégrade inutilement l’expérience des utilisateurs même en l’absence de saturation réelle.</w:t>
      </w:r>
    </w:p>
    <w:bookmarkEnd w:id="1642"/>
    <w:bookmarkStart w:id="1643" w:name="résumé-du-chapitre-66"/>
    <w:p>
      <w:pPr>
        <w:pStyle w:val="Heading2"/>
      </w:pPr>
      <w:r>
        <w:t xml:space="preserve">Résumé du chapitre</w:t>
      </w:r>
    </w:p>
    <w:p>
      <w:pPr>
        <w:pStyle w:val="Compact"/>
        <w:numPr>
          <w:ilvl w:val="0"/>
          <w:numId w:val="2542"/>
        </w:numPr>
      </w:pPr>
      <w:r>
        <w:t xml:space="preserve">Mikrotik constitue un choix pragmatique pour des sites de taille modeste avec un budget restreint, suivant le même raisonnement de contexte déjà appliqué à plusieurs reprises dans ce manuel.</w:t>
      </w:r>
    </w:p>
    <w:p>
      <w:pPr>
        <w:pStyle w:val="Compact"/>
        <w:numPr>
          <w:ilvl w:val="0"/>
          <w:numId w:val="2542"/>
        </w:numPr>
      </w:pPr>
      <w:r>
        <w:t xml:space="preserve">RouterOS offre routage, pare-feu, VPN et gestion de bande passante dans un système unique, accessible via Winbox.</w:t>
      </w:r>
    </w:p>
    <w:p>
      <w:pPr>
        <w:pStyle w:val="Compact"/>
        <w:numPr>
          <w:ilvl w:val="0"/>
          <w:numId w:val="2542"/>
        </w:numPr>
      </w:pPr>
      <w:r>
        <w:t xml:space="preserve">Les queues RouterOS permettent de limiter ou de prioriser la bande passante, évitant qu’un seul usage ne monopolise un lien Internet limité.</w:t>
      </w:r>
    </w:p>
    <w:p>
      <w:pPr>
        <w:pStyle w:val="Compact"/>
        <w:numPr>
          <w:ilvl w:val="0"/>
          <w:numId w:val="2542"/>
        </w:numPr>
      </w:pPr>
      <w:r>
        <w:t xml:space="preserve">Le pare-feu RouterOS s’organise en chaînes (input, forward, output), évaluées séquentiellement selon le même principe de refus par défaut déjà établi au chapitre 66.</w:t>
      </w:r>
    </w:p>
    <w:p>
      <w:pPr>
        <w:pStyle w:val="Compact"/>
        <w:numPr>
          <w:ilvl w:val="0"/>
          <w:numId w:val="2542"/>
        </w:numPr>
      </w:pPr>
      <w:r>
        <w:t xml:space="preserve">L’interface d’administration Winbox constitue un point de vigilance de sécurité spécifique, jamais à exposer directement sur Internet.</w:t>
      </w:r>
    </w:p>
    <w:p>
      <w:pPr>
        <w:pStyle w:val="Compact"/>
        <w:numPr>
          <w:ilvl w:val="0"/>
          <w:numId w:val="2542"/>
        </w:numPr>
      </w:pPr>
      <w:r>
        <w:t xml:space="preserve">Mikrotik supporte nativement plusieurs types de VPN, approfondis au chapitre 69 de ce manuel.</w:t>
      </w:r>
    </w:p>
    <w:bookmarkEnd w:id="1643"/>
    <w:bookmarkStart w:id="1644" w:name="quiz-66"/>
    <w:p>
      <w:pPr>
        <w:pStyle w:val="Heading2"/>
      </w:pPr>
      <w:r>
        <w:t xml:space="preserve">Quiz</w:t>
      </w:r>
    </w:p>
    <w:p>
      <w:pPr>
        <w:pStyle w:val="FirstParagraph"/>
      </w:pPr>
      <w:r>
        <w:t xml:space="preserve">📝 QCM (une seule bonne réponse par question)</w:t>
      </w:r>
    </w:p>
    <w:p>
      <w:pPr>
        <w:pStyle w:val="Compact"/>
        <w:numPr>
          <w:ilvl w:val="0"/>
          <w:numId w:val="2543"/>
        </w:numPr>
      </w:pPr>
      <w:r>
        <w:t xml:space="preserve">Mikrotik est choisi dans le scénario d’ouverture principalement pour :</w:t>
      </w:r>
    </w:p>
    <w:p>
      <w:pPr>
        <w:pStyle w:val="Compact"/>
        <w:numPr>
          <w:ilvl w:val="1"/>
          <w:numId w:val="2544"/>
        </w:numPr>
      </w:pPr>
    </w:p>
    <w:p>
      <w:pPr>
        <w:pStyle w:val="Compact"/>
        <w:numPr>
          <w:ilvl w:val="2"/>
          <w:numId w:val="2545"/>
        </w:numPr>
      </w:pPr>
      <w:r>
        <w:t xml:space="preserve">Sa supériorité technique absolue sur Cisco et Fortinet</w:t>
      </w:r>
    </w:p>
    <w:p>
      <w:pPr>
        <w:pStyle w:val="Compact"/>
        <w:numPr>
          <w:ilvl w:val="1"/>
          <w:numId w:val="2544"/>
        </w:numPr>
      </w:pPr>
    </w:p>
    <w:p>
      <w:pPr>
        <w:pStyle w:val="Compact"/>
        <w:numPr>
          <w:ilvl w:val="2"/>
          <w:numId w:val="2546"/>
        </w:numPr>
      </w:pPr>
      <w:r>
        <w:t xml:space="preserve">Son accessibilité financière adaptée à un site de taille modeste</w:t>
      </w:r>
    </w:p>
    <w:p>
      <w:pPr>
        <w:pStyle w:val="Compact"/>
        <w:numPr>
          <w:ilvl w:val="1"/>
          <w:numId w:val="2544"/>
        </w:numPr>
      </w:pPr>
    </w:p>
    <w:p>
      <w:pPr>
        <w:pStyle w:val="Compact"/>
        <w:numPr>
          <w:ilvl w:val="2"/>
          <w:numId w:val="2547"/>
        </w:numPr>
      </w:pPr>
      <w:r>
        <w:t xml:space="preserve">Son incapacité à gérer le pare-feu</w:t>
      </w:r>
    </w:p>
    <w:p>
      <w:pPr>
        <w:pStyle w:val="Compact"/>
        <w:numPr>
          <w:ilvl w:val="1"/>
          <w:numId w:val="2544"/>
        </w:numPr>
      </w:pPr>
    </w:p>
    <w:p>
      <w:pPr>
        <w:pStyle w:val="Compact"/>
        <w:numPr>
          <w:ilvl w:val="2"/>
          <w:numId w:val="2548"/>
        </w:numPr>
      </w:pPr>
      <w:r>
        <w:t xml:space="preserve">L’absence totale de besoin de configuration</w:t>
      </w:r>
    </w:p>
    <w:p>
      <w:pPr>
        <w:pStyle w:val="Compact"/>
        <w:numPr>
          <w:ilvl w:val="0"/>
          <w:numId w:val="2543"/>
        </w:numPr>
      </w:pPr>
      <w:r>
        <w:t xml:space="preserve">Les queues RouterOS servent principalement à :</w:t>
      </w:r>
    </w:p>
    <w:p>
      <w:pPr>
        <w:pStyle w:val="Compact"/>
        <w:numPr>
          <w:ilvl w:val="1"/>
          <w:numId w:val="2549"/>
        </w:numPr>
      </w:pPr>
    </w:p>
    <w:p>
      <w:pPr>
        <w:pStyle w:val="Compact"/>
        <w:numPr>
          <w:ilvl w:val="2"/>
          <w:numId w:val="2550"/>
        </w:numPr>
      </w:pPr>
      <w:r>
        <w:t xml:space="preserve">Chiffrer le trafic réseau</w:t>
      </w:r>
    </w:p>
    <w:p>
      <w:pPr>
        <w:pStyle w:val="Compact"/>
        <w:numPr>
          <w:ilvl w:val="1"/>
          <w:numId w:val="2549"/>
        </w:numPr>
      </w:pPr>
    </w:p>
    <w:p>
      <w:pPr>
        <w:pStyle w:val="Compact"/>
        <w:numPr>
          <w:ilvl w:val="2"/>
          <w:numId w:val="2551"/>
        </w:numPr>
      </w:pPr>
      <w:r>
        <w:t xml:space="preserve">Limiter ou prioriser la bande passante allouée à une adresse ou un sous-réseau</w:t>
      </w:r>
    </w:p>
    <w:p>
      <w:pPr>
        <w:pStyle w:val="Compact"/>
        <w:numPr>
          <w:ilvl w:val="1"/>
          <w:numId w:val="2549"/>
        </w:numPr>
      </w:pPr>
    </w:p>
    <w:p>
      <w:pPr>
        <w:pStyle w:val="Compact"/>
        <w:numPr>
          <w:ilvl w:val="2"/>
          <w:numId w:val="2552"/>
        </w:numPr>
      </w:pPr>
      <w:r>
        <w:t xml:space="preserve">Remplacer le besoin du pare-feu</w:t>
      </w:r>
    </w:p>
    <w:p>
      <w:pPr>
        <w:pStyle w:val="Compact"/>
        <w:numPr>
          <w:ilvl w:val="1"/>
          <w:numId w:val="2549"/>
        </w:numPr>
      </w:pPr>
    </w:p>
    <w:p>
      <w:pPr>
        <w:pStyle w:val="Compact"/>
        <w:numPr>
          <w:ilvl w:val="2"/>
          <w:numId w:val="2553"/>
        </w:numPr>
      </w:pPr>
      <w:r>
        <w:t xml:space="preserve">Configurer le VPN site à site</w:t>
      </w:r>
    </w:p>
    <w:p>
      <w:pPr>
        <w:pStyle w:val="Compact"/>
        <w:numPr>
          <w:ilvl w:val="0"/>
          <w:numId w:val="2543"/>
        </w:numPr>
      </w:pPr>
      <w:r>
        <w:t xml:space="preserve">L’interface Winbox ne devrait jamais être :</w:t>
      </w:r>
    </w:p>
    <w:p>
      <w:pPr>
        <w:pStyle w:val="Compact"/>
        <w:numPr>
          <w:ilvl w:val="1"/>
          <w:numId w:val="2554"/>
        </w:numPr>
      </w:pPr>
    </w:p>
    <w:p>
      <w:pPr>
        <w:pStyle w:val="Compact"/>
        <w:numPr>
          <w:ilvl w:val="2"/>
          <w:numId w:val="2555"/>
        </w:numPr>
      </w:pPr>
      <w:r>
        <w:t xml:space="preserve">Utilisée pour la configuration initiale</w:t>
      </w:r>
    </w:p>
    <w:p>
      <w:pPr>
        <w:pStyle w:val="Compact"/>
        <w:numPr>
          <w:ilvl w:val="1"/>
          <w:numId w:val="2554"/>
        </w:numPr>
      </w:pPr>
    </w:p>
    <w:p>
      <w:pPr>
        <w:pStyle w:val="Compact"/>
        <w:numPr>
          <w:ilvl w:val="2"/>
          <w:numId w:val="2556"/>
        </w:numPr>
      </w:pPr>
      <w:r>
        <w:t xml:space="preserve">Exposée directement sur Internet sans restriction</w:t>
      </w:r>
    </w:p>
    <w:p>
      <w:pPr>
        <w:pStyle w:val="Compact"/>
        <w:numPr>
          <w:ilvl w:val="1"/>
          <w:numId w:val="2554"/>
        </w:numPr>
      </w:pPr>
    </w:p>
    <w:p>
      <w:pPr>
        <w:pStyle w:val="Compact"/>
        <w:numPr>
          <w:ilvl w:val="2"/>
          <w:numId w:val="2557"/>
        </w:numPr>
      </w:pPr>
      <w:r>
        <w:t xml:space="preserve">Accessible depuis le réseau interne</w:t>
      </w:r>
    </w:p>
    <w:p>
      <w:pPr>
        <w:pStyle w:val="Compact"/>
        <w:numPr>
          <w:ilvl w:val="1"/>
          <w:numId w:val="2554"/>
        </w:numPr>
      </w:pPr>
    </w:p>
    <w:p>
      <w:pPr>
        <w:pStyle w:val="Compact"/>
        <w:numPr>
          <w:ilvl w:val="2"/>
          <w:numId w:val="2558"/>
        </w:numPr>
      </w:pPr>
      <w:r>
        <w:t xml:space="preserve">Documentée dans la configuration du site</w:t>
      </w:r>
    </w:p>
    <w:p>
      <w:pPr>
        <w:pStyle w:val="FirstParagraph"/>
      </w:pPr>
      <w:r>
        <w:rPr>
          <w:b/>
          <w:bCs/>
        </w:rPr>
        <w:t xml:space="preserve">Corrigé</w:t>
      </w:r>
      <w:r>
        <w:t xml:space="preserve"> </w:t>
      </w:r>
      <w:r>
        <w:t xml:space="preserve">: 1-b, 2-b, 3-b.</w:t>
      </w:r>
    </w:p>
    <w:p>
      <w:pPr>
        <w:pStyle w:val="BodyText"/>
      </w:pPr>
      <w:r>
        <w:t xml:space="preserve">📝 Vrai ou Faux</w:t>
      </w:r>
    </w:p>
    <w:p>
      <w:pPr>
        <w:pStyle w:val="Compact"/>
        <w:numPr>
          <w:ilvl w:val="0"/>
          <w:numId w:val="2559"/>
        </w:numPr>
      </w:pPr>
      <w:r>
        <w:t xml:space="preserve">Mikrotik est objectivement supérieur à Cisco et Fortinet dans tous les contextes. —</w:t>
      </w:r>
      <w:r>
        <w:t xml:space="preserve"> </w:t>
      </w:r>
      <w:r>
        <w:rPr>
          <w:b/>
          <w:bCs/>
        </w:rPr>
        <w:t xml:space="preserve">Faux</w:t>
      </w:r>
      <w:r>
        <w:t xml:space="preserve"> </w:t>
      </w:r>
      <w:r>
        <w:t xml:space="preserve">(section 67.1, un choix de contexte).</w:t>
      </w:r>
    </w:p>
    <w:p>
      <w:pPr>
        <w:pStyle w:val="Compact"/>
        <w:numPr>
          <w:ilvl w:val="0"/>
          <w:numId w:val="2559"/>
        </w:numPr>
      </w:pPr>
      <w:r>
        <w:t xml:space="preserve">Le pare-feu RouterOS évalue les règles séquentiellement, la première correspondance déterminant le traitement appliqué. —</w:t>
      </w:r>
      <w:r>
        <w:t xml:space="preserve"> </w:t>
      </w:r>
      <w:r>
        <w:rPr>
          <w:b/>
          <w:bCs/>
        </w:rPr>
        <w:t xml:space="preserve">Vrai</w:t>
      </w:r>
      <w:r>
        <w:t xml:space="preserve">.</w:t>
      </w:r>
    </w:p>
    <w:p>
      <w:pPr>
        <w:pStyle w:val="Compact"/>
        <w:numPr>
          <w:ilvl w:val="0"/>
          <w:numId w:val="2559"/>
        </w:numPr>
      </w:pPr>
      <w:r>
        <w:t xml:space="preserve">L’interface d’administration Winbox peut être exposée sans risque directement sur Internet si le mot de passe est suffisamment complexe. —</w:t>
      </w:r>
      <w:r>
        <w:t xml:space="preserve"> </w:t>
      </w:r>
      <w:r>
        <w:rPr>
          <w:b/>
          <w:bCs/>
        </w:rPr>
        <w:t xml:space="preserve">Faux</w:t>
      </w:r>
      <w:r>
        <w:t xml:space="preserve"> </w:t>
      </w:r>
      <w:r>
        <w:t xml:space="preserve">(section 67.7).</w:t>
      </w:r>
    </w:p>
    <w:p>
      <w:pPr>
        <w:pStyle w:val="Compact"/>
        <w:numPr>
          <w:ilvl w:val="0"/>
          <w:numId w:val="2559"/>
        </w:numPr>
      </w:pPr>
      <w:r>
        <w:t xml:space="preserve">Une queue mal dimensionnée peut dégrader inutilement l’expérience des utilisateurs même sans saturation réelle du lien. —</w:t>
      </w:r>
      <w:r>
        <w:t xml:space="preserve"> </w:t>
      </w:r>
      <w:r>
        <w:rPr>
          <w:b/>
          <w:bCs/>
        </w:rPr>
        <w:t xml:space="preserve">Vrai</w:t>
      </w:r>
      <w:r>
        <w:t xml:space="preserve">.</w:t>
      </w:r>
    </w:p>
    <w:p>
      <w:pPr>
        <w:pStyle w:val="FirstParagraph"/>
      </w:pPr>
      <w:r>
        <w:t xml:space="preserve">📝 Questions ouvertes</w:t>
      </w:r>
    </w:p>
    <w:p>
      <w:pPr>
        <w:pStyle w:val="Compact"/>
        <w:numPr>
          <w:ilvl w:val="0"/>
          <w:numId w:val="2560"/>
        </w:numPr>
      </w:pPr>
      <w:r>
        <w:t xml:space="preserve">Explique en quoi le choix de Mikrotik pour le bureau satellite de Cap-Haïtien rejoint le même raisonnement déjà appliqué au choix d’Ubuntu Server au chapitre 14.</w:t>
      </w:r>
    </w:p>
    <w:p>
      <w:pPr>
        <w:pStyle w:val="Compact"/>
        <w:numPr>
          <w:ilvl w:val="0"/>
          <w:numId w:val="2560"/>
        </w:numPr>
      </w:pPr>
      <w:r>
        <w:t xml:space="preserve">Un collègue configure une règle de pare-feu autorisant l’accès Winbox depuis</w:t>
      </w:r>
      <w:r>
        <w:t xml:space="preserve"> </w:t>
      </w:r>
      <w:r>
        <w:t xml:space="preserve">“n’importe quelle adresse”</w:t>
      </w:r>
      <w:r>
        <w:t xml:space="preserve">, en expliquant que cela facilitera le dépannage à distance en cas de besoin urgent. Explique le risque de cette configuration.</w:t>
      </w:r>
    </w:p>
    <w:p>
      <w:pPr>
        <w:pStyle w:val="FirstParagraph"/>
      </w:pPr>
      <w:r>
        <w:rPr>
          <w:b/>
          <w:bCs/>
        </w:rPr>
        <w:t xml:space="preserve">Corrigé 1</w:t>
      </w:r>
      <w:r>
        <w:t xml:space="preserve"> </w:t>
      </w:r>
      <w:r>
        <w:t xml:space="preserve">: au chapitre 14, Ubuntu Server avait été choisi non pas parce qu’il serait objectivement le meilleur système d’exploitation serveur disponible dans l’absolu, mais parce qu’il correspondait au contexte réel de l’équipe à ce moment précis. Le choix de Mikrotik pour le bureau satellite suit exactement le même raisonnement : plutôt que d’imposer le même niveau d’équipement Cisco et Fortinet déjà déployé au siège, un choix dicté par le contexte spécifique de ce petit site (budget restreint, besoin fonctionnel modeste) permet une allocation de ressources proportionnée au besoin réel, sans compromettre la sécurité ni la fonctionnalité nécessaire pour ce contexte précis.</w:t>
      </w:r>
    </w:p>
    <w:p>
      <w:pPr>
        <w:pStyle w:val="BodyText"/>
      </w:pPr>
      <w:r>
        <w:rPr>
          <w:b/>
          <w:bCs/>
        </w:rPr>
        <w:t xml:space="preserve">Corrigé 2</w:t>
      </w:r>
      <w:r>
        <w:t xml:space="preserve"> </w:t>
      </w:r>
      <w:r>
        <w:t xml:space="preserve">: autoriser l’accès Winbox depuis</w:t>
      </w:r>
      <w:r>
        <w:t xml:space="preserve"> </w:t>
      </w:r>
      <w:r>
        <w:t xml:space="preserve">“n’importe quelle adresse”</w:t>
      </w:r>
      <w:r>
        <w:t xml:space="preserve"> </w:t>
      </w:r>
      <w:r>
        <w:t xml:space="preserve">expose directement l’interface d’administration du routeur à Internet dans son ensemble — exactement le risque documenté à la section 67.7, exploité dans le monde réel par des campagnes de compromission automatisées ciblant spécifiquement les équipements Mikrotik mal sécurisés. Le bénéfice recherché (faciliter un dépannage urgent) peut être obtenu de façon bien plus sûre via un VPN dédié (chapitre 69) permettant un accès distant authentifié et chiffré, sans exposer l’interface d’administration elle-même à l’ensemble d’Internet — un compromis qui élimine le risque de compromission tout en conservant la capacité d’intervention à distance recherchée.</w:t>
      </w:r>
    </w:p>
    <w:bookmarkEnd w:id="1644"/>
    <w:bookmarkStart w:id="1645" w:name="exercices-66"/>
    <w:p>
      <w:pPr>
        <w:pStyle w:val="Heading2"/>
      </w:pPr>
      <w:r>
        <w:t xml:space="preserve">Exercices</w:t>
      </w:r>
    </w:p>
    <w:p>
      <w:pPr>
        <w:pStyle w:val="FirstParagraph"/>
      </w:pPr>
      <w:r>
        <w:t xml:space="preserve">📝 Exercice 67.1</w:t>
      </w:r>
    </w:p>
    <w:p>
      <w:pPr>
        <w:pStyle w:val="BodyText"/>
      </w:pPr>
      <w:r>
        <w:t xml:space="preserve">Écris, dans l’ordre correct, un ensemble de règles de pare-feu RouterOS pour la chaîne</w:t>
      </w:r>
      <w:r>
        <w:t xml:space="preserve"> </w:t>
      </w:r>
      <w:r>
        <w:rPr>
          <w:rStyle w:val="VerbatimChar"/>
        </w:rPr>
        <w:t xml:space="preserve">input</w:t>
      </w:r>
      <w:r>
        <w:t xml:space="preserve">, autorisant l’accès Winbox uniquement depuis le sous-réseau interne 192.168.50.0/24, et refusant tout autre trafic vers le routeur lui-même.</w:t>
      </w:r>
    </w:p>
    <w:p>
      <w:pPr>
        <w:pStyle w:val="BodyText"/>
      </w:pPr>
      <w:r>
        <w:rPr>
          <w:b/>
          <w:bCs/>
        </w:rPr>
        <w:t xml:space="preserve">Corrigé :</w:t>
      </w:r>
    </w:p>
    <w:p>
      <w:pPr>
        <w:pStyle w:val="SourceCode"/>
      </w:pPr>
      <w:r>
        <w:rPr>
          <w:rStyle w:val="VerbatimChar"/>
        </w:rPr>
        <w:t xml:space="preserve">/ip firewall filter add chain=input action=accept protocol=tcp dst-port=8291 src-address=192.168.50.0/24</w:t>
      </w:r>
      <w:r>
        <w:br/>
      </w:r>
      <w:r>
        <w:rPr>
          <w:rStyle w:val="VerbatimChar"/>
        </w:rPr>
        <w:t xml:space="preserve">/ip firewall filter add chain=input action=drop</w:t>
      </w:r>
    </w:p>
    <w:p>
      <w:pPr>
        <w:pStyle w:val="FirstParagraph"/>
      </w:pPr>
      <w:r>
        <w:t xml:space="preserve">L’ordre est essentiel : la règle d’autorisation pour le sous-réseau interne légitime doit impérativement être placée avant la règle de rejet final, puisque RouterOS applique la première correspondance rencontrée dans l’ordre de la liste (section 67.5). Si la règle de rejet était placée en premier, elle bloquerait systématiquement tout trafic, y compris l’accès légitime depuis le sous-réseau interne, rendant la règle d’autorisation suivante inatteignable et donc inutile.</w:t>
      </w:r>
    </w:p>
    <w:p>
      <w:pPr>
        <w:pStyle w:val="BodyText"/>
      </w:pPr>
      <w:r>
        <w:t xml:space="preserve">📝 Exercice 67.2</w:t>
      </w:r>
    </w:p>
    <w:p>
      <w:pPr>
        <w:pStyle w:val="BodyText"/>
      </w:pPr>
      <w:r>
        <w:t xml:space="preserve">Rédige, en 3 à 5 phrases, une règle d’équipe garantissant qu’aucun équipement Mikrotik n’est jamais déployé avec son interface d’administration exposée sur Internet, même temporairement, en t’appuyant sur le risque décrit dans ce chapitre.</w:t>
      </w:r>
    </w:p>
    <w:p>
      <w:pPr>
        <w:pStyle w:val="BodyText"/>
      </w:pPr>
      <w:r>
        <w:rPr>
          <w:b/>
          <w:bCs/>
        </w:rPr>
        <w:t xml:space="preserve">Corrigé (exemple de réponse) :</w:t>
      </w:r>
      <w:r>
        <w:t xml:space="preserve"> </w:t>
      </w:r>
      <w:r>
        <w:t xml:space="preserve">Tout déploiement d’un équipement Mikrotik devra inclure, dès sa mise en service initiale, une règle de pare-feu restreignant explicitement l’accès à l’interface Winbox et à l’API au seul réseau interne ou à un VPN dédié — cette étape sera considérée comme aussi indispensable que la configuration du routage lui-même, jamais comme une amélioration optionnelle à réaliser ultérieurement. Aucune exception</w:t>
      </w:r>
      <w:r>
        <w:t xml:space="preserve"> </w:t>
      </w:r>
      <w:r>
        <w:t xml:space="preserve">“temporaire”</w:t>
      </w:r>
      <w:r>
        <w:t xml:space="preserve"> </w:t>
      </w:r>
      <w:r>
        <w:t xml:space="preserve">ne sera tolérée pour faciliter un dépannage ponctuel, un accès distant sécurisé via VPN restant toujours disponible pour ce besoin. Cette règle sera vérifiée systématiquement lors de toute revue de configuration réseau, au même titre que les autres contrôles de sécurité déjà établis dans ce manuel pour les équipements périmétriques.</w:t>
      </w:r>
    </w:p>
    <w:bookmarkEnd w:id="1645"/>
    <w:bookmarkStart w:id="1646" w:name="checklist-de-fin-de-chapitre-66"/>
    <w:p>
      <w:pPr>
        <w:pStyle w:val="Heading2"/>
      </w:pPr>
      <w:r>
        <w:t xml:space="preserve">Checklist de fin de chapitre</w:t>
      </w:r>
    </w:p>
    <w:p>
      <w:pPr>
        <w:pStyle w:val="FirstParagraph"/>
      </w:pPr>
      <w:r>
        <w:t xml:space="preserve">☐ Je comprends pourquoi Mikrotik constitue un choix pragmatique pour un site de taille modeste.</w:t>
      </w:r>
    </w:p>
    <w:p>
      <w:pPr>
        <w:pStyle w:val="BodyText"/>
      </w:pPr>
      <w:r>
        <w:t xml:space="preserve">☐ Je sais configurer le routage et le NAT de base sur RouterOS.</w:t>
      </w:r>
    </w:p>
    <w:p>
      <w:pPr>
        <w:pStyle w:val="BodyText"/>
      </w:pPr>
      <w:r>
        <w:t xml:space="preserve">☐ Je sais configurer une queue pour limiter la bande passante d’un sous-réseau.</w:t>
      </w:r>
    </w:p>
    <w:p>
      <w:pPr>
        <w:pStyle w:val="BodyText"/>
      </w:pPr>
      <w:r>
        <w:t xml:space="preserve">☐ Je sais construire des règles de pare-feu RouterOS respectant le principe de refus par défaut.</w:t>
      </w:r>
    </w:p>
    <w:p>
      <w:pPr>
        <w:pStyle w:val="BodyText"/>
      </w:pPr>
      <w:r>
        <w:t xml:space="preserve">☐ Je comprends pourquoi l’interface Winbox ne doit jamais être exposée directement sur Internet.</w:t>
      </w:r>
    </w:p>
    <w:p>
      <w:pPr>
        <w:pStyle w:val="BodyText"/>
      </w:pPr>
      <w:r>
        <w:t xml:space="preserve">☐ Je sais diagnostiquer un lien Internet saturé par un usage anormal.</w:t>
      </w:r>
    </w:p>
    <w:bookmarkEnd w:id="1646"/>
    <w:bookmarkStart w:id="1647" w:name="faq-66"/>
    <w:p>
      <w:pPr>
        <w:pStyle w:val="Heading2"/>
      </w:pPr>
      <w:r>
        <w:t xml:space="preserve">FAQ</w:t>
      </w:r>
    </w:p>
    <w:p>
      <w:pPr>
        <w:pStyle w:val="FirstParagraph"/>
      </w:pPr>
      <w:r>
        <w:t xml:space="preserve">Mikrotik peut-il remplacer complètement Cisco et Fortinet pour l’ensemble de l’infrastructure de l’entreprise ?</w:t>
      </w:r>
    </w:p>
    <w:p>
      <w:pPr>
        <w:pStyle w:val="BodyText"/>
      </w:pPr>
      <w:r>
        <w:t xml:space="preserve">Techniquement possible pour certains besoins, mais généralement peu pertinent pour un siège aux besoins de résilience et de sécurité avancés déjà couverts aux chapitres 65-66 — le bon choix, comme rappelé dans ce chapitre, dépend du contexte spécifique de chaque site plutôt que d’un remplacement systématique.</w:t>
      </w:r>
    </w:p>
    <w:p>
      <w:pPr>
        <w:pStyle w:val="BodyText"/>
      </w:pPr>
      <w:r>
        <w:t xml:space="preserve">RouterOS nécessite-t-il un apprentissage complètement séparé de Cisco ou Fortinet ?</w:t>
      </w:r>
    </w:p>
    <w:p>
      <w:pPr>
        <w:pStyle w:val="BodyText"/>
      </w:pPr>
      <w:r>
        <w:t xml:space="preserve">Sa syntaxe est propre à RouterOS, mais les concepts fondamentaux (routage, NAT, pare-feu par refus par défaut) restent les mêmes que ceux déjà maîtrisés aux chapitres 65 et 66 — l’apprentissage porte principalement sur une nouvelle syntaxe, pas sur de nouveaux concepts réseau.</w:t>
      </w:r>
    </w:p>
    <w:p>
      <w:pPr>
        <w:pStyle w:val="BodyText"/>
      </w:pPr>
      <w:r>
        <w:t xml:space="preserve">Faut-il éviter Mikrotik pour des raisons de sécurité, compte tenu du risque évoqué pour Winbox ?</w:t>
      </w:r>
    </w:p>
    <w:p>
      <w:pPr>
        <w:pStyle w:val="BodyText"/>
      </w:pPr>
      <w:r>
        <w:t xml:space="preserve">Non, le risque évoqué provient d’une mauvaise configuration (interface exposée sans restriction), pas d’une faiblesse intrinsèque de la plateforme — un équipement Mikrotik correctement configuré, avec l’accès administratif restreint comme recommandé dans ce chapitre, reste une solution fiable et largement déployée dans le monde entier.</w:t>
      </w:r>
    </w:p>
    <w:p>
      <w:pPr>
        <w:pStyle w:val="BodyText"/>
      </w:pPr>
      <w:r>
        <w:t xml:space="preserve">Les queues RouterOS peuvent-elles prioriser certains types de trafic plutôt que de simplement limiter la bande passante globale ?</w:t>
      </w:r>
    </w:p>
    <w:p>
      <w:pPr>
        <w:pStyle w:val="BodyText"/>
      </w:pPr>
      <w:r>
        <w:t xml:space="preserve">Oui, RouterOS permet une gestion de bande passante plus fine, priorisant par exemple un trafic de visioconférence sensible à la latence par rapport à un téléchargement en arrière-plan moins urgent — une configuration plus avancée que la limitation simple présentée dans ce chapitre.</w:t>
      </w:r>
    </w:p>
    <w:bookmarkEnd w:id="1647"/>
    <w:bookmarkStart w:id="1650" w:name="références-et-pour-aller-plus-loin-66"/>
    <w:p>
      <w:pPr>
        <w:pStyle w:val="Heading2"/>
      </w:pPr>
      <w:r>
        <w:t xml:space="preserve">Références et pour aller plus loin</w:t>
      </w:r>
    </w:p>
    <w:p>
      <w:pPr>
        <w:pStyle w:val="Compact"/>
        <w:numPr>
          <w:ilvl w:val="0"/>
          <w:numId w:val="2561"/>
        </w:numPr>
      </w:pPr>
      <w:r>
        <w:t xml:space="preserve">Documentation officielle Mikrotik RouterOS :</w:t>
      </w:r>
      <w:r>
        <w:t xml:space="preserve"> </w:t>
      </w:r>
      <w:hyperlink r:id="rId1648">
        <w:r>
          <w:rPr>
            <w:rStyle w:val="Hyperlink"/>
          </w:rPr>
          <w:t xml:space="preserve">https://help.mikrotik.com/docs/</w:t>
        </w:r>
      </w:hyperlink>
    </w:p>
    <w:p>
      <w:pPr>
        <w:pStyle w:val="Compact"/>
        <w:numPr>
          <w:ilvl w:val="0"/>
          <w:numId w:val="2561"/>
        </w:numPr>
      </w:pPr>
      <w:r>
        <w:t xml:space="preserve">Mikrotik — Guide de sécurisation de RouterOS :</w:t>
      </w:r>
      <w:r>
        <w:t xml:space="preserve"> </w:t>
      </w:r>
      <w:hyperlink r:id="rId1649">
        <w:r>
          <w:rPr>
            <w:rStyle w:val="Hyperlink"/>
          </w:rPr>
          <w:t xml:space="preserve">https://help.mikrotik.com/docs/display/ROS/Securing+your+router</w:t>
        </w:r>
      </w:hyperlink>
    </w:p>
    <w:p>
      <w:pPr>
        <w:pStyle w:val="FirstParagraph"/>
      </w:pPr>
      <w:r>
        <w:rPr>
          <w:i/>
          <w:iCs/>
        </w:rPr>
        <w:t xml:space="preserve">Chapitre suivant : proxy et reverse proxy (Nginx, Apache, IIS) — un composant essentiel pour exposer de façon contrôlée et sécurisée les services internes de l’entreprise, comme le portail client, vers l’extérieur.</w:t>
      </w:r>
    </w:p>
    <w:p>
      <w:pPr>
        <w:pStyle w:val="BodyText"/>
      </w:pPr>
      <w:r>
        <w:t xml:space="preserve">CHAPITRE 68</w:t>
      </w:r>
    </w:p>
    <w:bookmarkEnd w:id="1650"/>
    <w:bookmarkEnd w:id="1651"/>
    <w:bookmarkStart w:id="1677" w:name="proxy-et-reverse-proxy-nginx-apache-iis"/>
    <w:p>
      <w:pPr>
        <w:pStyle w:val="Heading1"/>
      </w:pPr>
      <w:r>
        <w:t xml:space="preserve">Proxy et reverse proxy (Nginx, Apache, IIS)</w:t>
      </w:r>
    </w:p>
    <w:p>
      <w:pPr>
        <w:pStyle w:val="FirstParagraph"/>
      </w:pPr>
      <w:r>
        <w:t xml:space="preserve">🎯 Objectif du chapitre</w:t>
      </w:r>
      <w:r>
        <w:t xml:space="preserve"> </w:t>
      </w:r>
      <w:r>
        <w:t xml:space="preserve">Exposer de façon contrôlée et sécurisée les services internes de l’entreprise, comme le portail client, vers l’extérieur — sans jamais exposer directement les serveurs qui les hébergent. À la fin de ce chapitre, tu comprendras la différence entre un proxy direct et un reverse proxy, tu sauras configurer Nginx comme reverse proxy avec terminaison TLS, répartir la charge entre plusieurs instances backend, et diagnostiquer les erreurs courantes de ce type d’architecture.</w:t>
      </w:r>
    </w:p>
    <w:p>
      <w:pPr>
        <w:pStyle w:val="BodyText"/>
      </w:pPr>
      <w:r>
        <w:t xml:space="preserve">🎬 Mise en situation</w:t>
      </w:r>
      <w:r>
        <w:t xml:space="preserve"> </w:t>
      </w:r>
      <w:r>
        <w:t xml:space="preserve">Rappel du chapitre 4 : l’incident de rançongiciel initial de l’entreprise avait été causé par un accès RDP exposé directement sur Internet, sans aucune couche intermédiaire de protection. Des années plus tard, alors que le portail client doit désormais être accessible depuis Internet, un nouveau développeur propose la solution la plus simple : exposer directement l’adresse IP du serveur applicatif. La RSSI s’y oppose immédiatement, reconnaissant le même schéma de risque que l’incident fondateur — exposer directement un service interne, sans intermédiaire, laisse le serveur backend directement accessible à quiconque scanne Internet. Un reverse proxy s’impose comme intermédiaire obligatoire.</w:t>
      </w:r>
    </w:p>
    <w:bookmarkStart w:id="1655" w:name="X58d0cfe2ec6319d3535b8e02e684b420e795de0"/>
    <w:p>
      <w:pPr>
        <w:pStyle w:val="Heading2"/>
      </w:pPr>
      <w:r>
        <w:t xml:space="preserve">68.1 Proxy direct et reverse proxy : deux directions opposées</w:t>
      </w:r>
    </w:p>
    <w:p>
      <w:pPr>
        <w:pStyle w:val="FirstParagraph"/>
      </w:pPr>
      <w:r>
        <w:t xml:space="preserve">💡 Analogie — un guichet unique dans les deux sens</w:t>
      </w:r>
      <w:r>
        <w:t xml:space="preserve"> </w:t>
      </w:r>
      <w:r>
        <w:t xml:space="preserve">Un</w:t>
      </w:r>
      <w:r>
        <w:t xml:space="preserve"> </w:t>
      </w:r>
      <w:r>
        <w:rPr>
          <w:b/>
          <w:bCs/>
        </w:rPr>
        <w:t xml:space="preserve">proxy direct</w:t>
      </w:r>
      <w:r>
        <w:t xml:space="preserve"> </w:t>
      </w:r>
      <w:r>
        <w:t xml:space="preserve">(forward proxy) agit pour le compte des clients internes accédant à des ressources externes — il masque l’identité de chaque poste individuel vis-à-vis d’Internet. Un</w:t>
      </w:r>
      <w:r>
        <w:t xml:space="preserve"> </w:t>
      </w:r>
      <w:r>
        <w:rPr>
          <w:b/>
          <w:bCs/>
        </w:rPr>
        <w:t xml:space="preserve">reverse proxy</w:t>
      </w:r>
      <w:r>
        <w:t xml:space="preserve"> </w:t>
      </w:r>
      <w:r>
        <w:t xml:space="preserve">agit à l’inverse pour le compte des serveurs internes recevant des requêtes externes — il masque l’existence et l’adresse réelle de ces serveurs vis-à-vis des utilisateurs externes. Ce chapitre se concentre sur le second, directement pertinent pour exposer le portail client en toute sécurité.</w:t>
      </w:r>
    </w:p>
    <w:p>
      <w:pPr>
        <w:pStyle w:val="CaptionedFigure"/>
      </w:pPr>
      <w:r>
        <w:drawing>
          <wp:inline>
            <wp:extent cx="5334000" cy="1799421"/>
            <wp:effectExtent b="0" l="0" r="0" t="0"/>
            <wp:docPr descr="Diagramme" title="" id="1653" name="Picture"/>
            <a:graphic>
              <a:graphicData uri="http://schemas.openxmlformats.org/drawingml/2006/picture">
                <pic:pic>
                  <pic:nvPicPr>
                    <pic:cNvPr descr="C:/Users/ingja/Desktop/jarvis-starter-kit/livrables/formations/manuel-administration-systeme/assets/diagrams/d-68-proxy-reverse-proxy-diagramme-1.png" id="1654" name="Picture"/>
                    <pic:cNvPicPr>
                      <a:picLocks noChangeArrowheads="1" noChangeAspect="1"/>
                    </pic:cNvPicPr>
                  </pic:nvPicPr>
                  <pic:blipFill>
                    <a:blip r:embed="rId1652"/>
                    <a:stretch>
                      <a:fillRect/>
                    </a:stretch>
                  </pic:blipFill>
                  <pic:spPr bwMode="auto">
                    <a:xfrm>
                      <a:off x="0" y="0"/>
                      <a:ext cx="5334000" cy="1799421"/>
                    </a:xfrm>
                    <a:prstGeom prst="rect">
                      <a:avLst/>
                    </a:prstGeom>
                    <a:noFill/>
                    <a:ln w="9525">
                      <a:noFill/>
                      <a:headEnd/>
                      <a:tailEnd/>
                    </a:ln>
                  </pic:spPr>
                </pic:pic>
              </a:graphicData>
            </a:graphic>
          </wp:inline>
        </w:drawing>
      </w:r>
    </w:p>
    <w:p>
      <w:pPr>
        <w:pStyle w:val="ImageCaption"/>
      </w:pPr>
      <w:r>
        <w:t xml:space="preserve">Diagramme</w:t>
      </w:r>
    </w:p>
    <w:bookmarkEnd w:id="1655"/>
    <w:bookmarkStart w:id="1656" w:name="Xa76084c5ac9359783a62a8cd2d8d821e869406f"/>
    <w:p>
      <w:pPr>
        <w:pStyle w:val="Heading2"/>
      </w:pPr>
      <w:r>
        <w:t xml:space="preserve">68.2 Ce que le reverse proxy résout dans le scénario d’ouverture</w:t>
      </w:r>
    </w:p>
    <w:p>
      <w:pPr>
        <w:pStyle w:val="FirstParagraph"/>
      </w:pPr>
      <w:r>
        <w:t xml:space="preserve">✅ La réponse directe à la proposition du développeur</w:t>
      </w:r>
      <w:r>
        <w:t xml:space="preserve"> </w:t>
      </w:r>
      <w:r>
        <w:t xml:space="preserve">Avec un reverse proxy, seule son adresse est exposée sur Internet — l’adresse réelle et l’existence même des serveurs backend restent invisibles depuis l’extérieur, inaccessibles directement même si un attaquant scanne l’ensemble des ports d’Internet. Cette architecture rejoint exactement la leçon de l’incident du chapitre 4 : ne jamais exposer directement un service interne sans une couche intermédiaire contrôlée entre Internet et l’infrastructure réelle.</w:t>
      </w:r>
    </w:p>
    <w:bookmarkEnd w:id="1656"/>
    <w:bookmarkStart w:id="1657" w:name="X5f4ae019ddc5a27b4da2ce4e46ec4f75e0aa924"/>
    <w:p>
      <w:pPr>
        <w:pStyle w:val="Heading2"/>
      </w:pPr>
      <w:r>
        <w:t xml:space="preserve">68.3 Configuration de base d’un reverse proxy Nginx</w:t>
      </w:r>
    </w:p>
    <w:p>
      <w:pPr>
        <w:pStyle w:val="SourceCode"/>
      </w:pPr>
      <w:r>
        <w:rPr>
          <w:rStyle w:val="VerbatimChar"/>
        </w:rPr>
        <w:t xml:space="preserve">server {</w:t>
      </w:r>
      <w:r>
        <w:br/>
      </w:r>
      <w:r>
        <w:rPr>
          <w:rStyle w:val="VerbatimChar"/>
        </w:rPr>
        <w:t xml:space="preserve">    listen 443 ssl;</w:t>
      </w:r>
      <w:r>
        <w:br/>
      </w:r>
      <w:r>
        <w:rPr>
          <w:rStyle w:val="VerbatimChar"/>
        </w:rPr>
        <w:t xml:space="preserve">    server_name portail.assuranceht.ht;</w:t>
      </w:r>
      <w:r>
        <w:br/>
      </w:r>
      <w:r>
        <w:br/>
      </w:r>
      <w:r>
        <w:rPr>
          <w:rStyle w:val="VerbatimChar"/>
        </w:rPr>
        <w:t xml:space="preserve">    location / {</w:t>
      </w:r>
      <w:r>
        <w:br/>
      </w:r>
      <w:r>
        <w:rPr>
          <w:rStyle w:val="VerbatimChar"/>
        </w:rPr>
        <w:t xml:space="preserve">        proxy_pass http://10.10.1.30:8080;</w:t>
      </w:r>
      <w:r>
        <w:br/>
      </w:r>
      <w:r>
        <w:rPr>
          <w:rStyle w:val="VerbatimChar"/>
        </w:rPr>
        <w:t xml:space="preserve">        proxy_set_header Host $host;</w:t>
      </w:r>
      <w:r>
        <w:br/>
      </w:r>
      <w:r>
        <w:rPr>
          <w:rStyle w:val="VerbatimChar"/>
        </w:rPr>
        <w:t xml:space="preserve">        proxy_set_header X-Real-IP $remote_addr;</w:t>
      </w:r>
      <w:r>
        <w:br/>
      </w:r>
      <w:r>
        <w:rPr>
          <w:rStyle w:val="VerbatimChar"/>
        </w:rPr>
        <w:t xml:space="preserve">    }</w:t>
      </w:r>
      <w:r>
        <w:br/>
      </w:r>
      <w:r>
        <w:rPr>
          <w:rStyle w:val="VerbatimChar"/>
        </w:rPr>
        <w:t xml:space="preserve">}</w:t>
      </w:r>
    </w:p>
    <w:p>
      <w:pPr>
        <w:pStyle w:val="FirstParagraph"/>
      </w:pPr>
      <w:r>
        <w:t xml:space="preserve">📌 À retenir</w:t>
      </w:r>
      <w:r>
        <w:t xml:space="preserve"> </w:t>
      </w:r>
      <w:r>
        <w:t xml:space="preserve">Le reverse proxy reçoit la requête externe sur le domaine public, puis la retransmet vers l’adresse interne réelle du serveur applicatif (</w:t>
      </w:r>
      <w:r>
        <w:rPr>
          <w:rStyle w:val="VerbatimChar"/>
        </w:rPr>
        <w:t xml:space="preserve">proxy_pass</w:t>
      </w:r>
      <w:r>
        <w:t xml:space="preserve">), en conservant les informations utiles pour le serveur backend (adresse d’origine réelle du visiteur, nom d’hôte demandé).</w:t>
      </w:r>
    </w:p>
    <w:bookmarkEnd w:id="1657"/>
    <w:bookmarkStart w:id="1658" w:name="Xcb11f0e2812207452cac2c49a32c270b803b604"/>
    <w:p>
      <w:pPr>
        <w:pStyle w:val="Heading2"/>
      </w:pPr>
      <w:r>
        <w:t xml:space="preserve">68.4 Terminaison TLS : rappel direct du chapitre 24</w:t>
      </w:r>
    </w:p>
    <w:p>
      <w:pPr>
        <w:pStyle w:val="FirstParagraph"/>
      </w:pPr>
      <w:r>
        <w:t xml:space="preserve">🔒 Sécurité — le reverse proxy comme point unique de gestion des certificats</w:t>
      </w:r>
      <w:r>
        <w:t xml:space="preserve"> </w:t>
      </w:r>
      <w:r>
        <w:t xml:space="preserve">Le reverse proxy gère généralement seul le chiffrement TLS (chapitre 24) avec les utilisateurs externes, puis communique en clair ou avec un chiffrement plus léger vers les serveurs backend internes, déjà protégés par la segmentation réseau. Cette centralisation simplifie considérablement le renouvellement des certificats — plutôt que de gérer un certificat sur chaque serveur backend individuel, un seul point de gestion centralisé au niveau du reverse proxy suffit, réduisant le risque d’un certificat expiré oublié comme celui déjà rencontré au chapitre 24.</w:t>
      </w:r>
    </w:p>
    <w:bookmarkEnd w:id="1658"/>
    <w:bookmarkStart w:id="1659" w:name="Xa06607e6411226039b26df52c7efae663fd3c1f"/>
    <w:p>
      <w:pPr>
        <w:pStyle w:val="Heading2"/>
      </w:pPr>
      <w:r>
        <w:t xml:space="preserve">68.5 Répartition de charge entre plusieurs instances</w:t>
      </w:r>
    </w:p>
    <w:p>
      <w:pPr>
        <w:pStyle w:val="FirstParagraph"/>
      </w:pPr>
      <w:r>
        <w:t xml:space="preserve">💡 Rappel indirect du chapitre 44 — un niveau différent de répartition</w:t>
      </w:r>
      <w:r>
        <w:t xml:space="preserve"> </w:t>
      </w:r>
      <w:r>
        <w:t xml:space="preserve">Un reverse proxy peut répartir les requêtes entrantes entre plusieurs instances backend identiques, un principe complémentaire à la mise à l’échelle automatique par HPA déjà rencontrée au chapitre 44 dans un contexte Kubernetes — le reverse proxy assure ici la distribution du trafic vers ces instances, quel que soit leur nombre exact à un instant donné.</w:t>
      </w:r>
    </w:p>
    <w:p>
      <w:pPr>
        <w:pStyle w:val="SourceCode"/>
      </w:pPr>
      <w:r>
        <w:rPr>
          <w:rStyle w:val="VerbatimChar"/>
        </w:rPr>
        <w:t xml:space="preserve">upstream portail_backend {</w:t>
      </w:r>
      <w:r>
        <w:br/>
      </w:r>
      <w:r>
        <w:rPr>
          <w:rStyle w:val="VerbatimChar"/>
        </w:rPr>
        <w:t xml:space="preserve">    server 10.10.1.30:8080;</w:t>
      </w:r>
      <w:r>
        <w:br/>
      </w:r>
      <w:r>
        <w:rPr>
          <w:rStyle w:val="VerbatimChar"/>
        </w:rPr>
        <w:t xml:space="preserve">    server 10.10.1.31:8080;</w:t>
      </w:r>
      <w:r>
        <w:br/>
      </w:r>
      <w:r>
        <w:rPr>
          <w:rStyle w:val="VerbatimChar"/>
        </w:rPr>
        <w:t xml:space="preserve">}</w:t>
      </w:r>
      <w:r>
        <w:br/>
      </w:r>
      <w:r>
        <w:br/>
      </w:r>
      <w:r>
        <w:rPr>
          <w:rStyle w:val="VerbatimChar"/>
        </w:rPr>
        <w:t xml:space="preserve">server {</w:t>
      </w:r>
      <w:r>
        <w:br/>
      </w:r>
      <w:r>
        <w:rPr>
          <w:rStyle w:val="VerbatimChar"/>
        </w:rPr>
        <w:t xml:space="preserve">    location / {</w:t>
      </w:r>
      <w:r>
        <w:br/>
      </w:r>
      <w:r>
        <w:rPr>
          <w:rStyle w:val="VerbatimChar"/>
        </w:rPr>
        <w:t xml:space="preserve">        proxy_pass http://portail_backend;</w:t>
      </w:r>
      <w:r>
        <w:br/>
      </w:r>
      <w:r>
        <w:rPr>
          <w:rStyle w:val="VerbatimChar"/>
        </w:rPr>
        <w:t xml:space="preserve">    }</w:t>
      </w:r>
      <w:r>
        <w:br/>
      </w:r>
      <w:r>
        <w:rPr>
          <w:rStyle w:val="VerbatimChar"/>
        </w:rPr>
        <w:t xml:space="preserve">}</w:t>
      </w:r>
    </w:p>
    <w:bookmarkEnd w:id="1659"/>
    <w:bookmarkStart w:id="1660" w:name="Xec2f515c5ae498e4efa9a4841e550dcfb8cc15c"/>
    <w:p>
      <w:pPr>
        <w:pStyle w:val="Heading2"/>
      </w:pPr>
      <w:r>
        <w:t xml:space="preserve">68.6 Reverse proxy et authentification centralisée</w:t>
      </w:r>
    </w:p>
    <w:p>
      <w:pPr>
        <w:pStyle w:val="FirstParagraph"/>
      </w:pPr>
      <w:r>
        <w:t xml:space="preserve">💡 Rappel indirect des chapitres 22 et 25</w:t>
      </w:r>
      <w:r>
        <w:t xml:space="preserve"> </w:t>
      </w:r>
      <w:r>
        <w:t xml:space="preserve">Un reverse proxy peut également centraliser une étape d’authentification avant même que la requête n’atteigne l’application interne — une pratique fréquente pour les applications internes de l’entreprise, s’appuyant sur l’annuaire LDAP (chapitre 22) déjà en place, plutôt que de dupliquer une logique d’authentification propre à chaque application interne.</w:t>
      </w:r>
    </w:p>
    <w:bookmarkEnd w:id="1660"/>
    <w:bookmarkStart w:id="1661" w:name="Xc19bd0e01b245b2c0eedc556a56ead078f31e77"/>
    <w:p>
      <w:pPr>
        <w:pStyle w:val="Heading2"/>
      </w:pPr>
      <w:r>
        <w:t xml:space="preserve">68.7 Limitation de débit : une protection supplémentaire</w:t>
      </w:r>
    </w:p>
    <w:p>
      <w:pPr>
        <w:pStyle w:val="FirstParagraph"/>
      </w:pPr>
      <w:r>
        <w:t xml:space="preserve">✅ Une protection simple contre une surcharge</w:t>
      </w:r>
      <w:r>
        <w:t xml:space="preserve"> </w:t>
      </w:r>
      <w:r>
        <w:t xml:space="preserve">Un reverse proxy peut limiter le nombre de requêtes acceptées par adresse source dans un intervalle donné, une protection simple mais efficace contre une tentative de surcharge ou un usage anormal, complémentaire aux mécanismes de sécurité plus avancés du pare-feu nouvelle génération déjà couvert au chapitre 66.</w:t>
      </w:r>
    </w:p>
    <w:p>
      <w:pPr>
        <w:pStyle w:val="SourceCode"/>
      </w:pPr>
      <w:r>
        <w:rPr>
          <w:rStyle w:val="VerbatimChar"/>
        </w:rPr>
        <w:t xml:space="preserve">limit_req_zone $binary_remote_addr zone=portail_limit:10m rate=10r/s;</w:t>
      </w:r>
      <w:r>
        <w:br/>
      </w:r>
      <w:r>
        <w:br/>
      </w:r>
      <w:r>
        <w:rPr>
          <w:rStyle w:val="VerbatimChar"/>
        </w:rPr>
        <w:t xml:space="preserve">server {</w:t>
      </w:r>
      <w:r>
        <w:br/>
      </w:r>
      <w:r>
        <w:rPr>
          <w:rStyle w:val="VerbatimChar"/>
        </w:rPr>
        <w:t xml:space="preserve">    location / {</w:t>
      </w:r>
      <w:r>
        <w:br/>
      </w:r>
      <w:r>
        <w:rPr>
          <w:rStyle w:val="VerbatimChar"/>
        </w:rPr>
        <w:t xml:space="preserve">        limit_req zone=portail_limit burst=20;</w:t>
      </w:r>
      <w:r>
        <w:br/>
      </w:r>
      <w:r>
        <w:rPr>
          <w:rStyle w:val="VerbatimChar"/>
        </w:rPr>
        <w:t xml:space="preserve">        proxy_pass http://portail_backend;</w:t>
      </w:r>
      <w:r>
        <w:br/>
      </w:r>
      <w:r>
        <w:rPr>
          <w:rStyle w:val="VerbatimChar"/>
        </w:rPr>
        <w:t xml:space="preserve">    }</w:t>
      </w:r>
      <w:r>
        <w:br/>
      </w:r>
      <w:r>
        <w:rPr>
          <w:rStyle w:val="VerbatimChar"/>
        </w:rPr>
        <w:t xml:space="preserve">}</w:t>
      </w:r>
    </w:p>
    <w:bookmarkEnd w:id="1661"/>
    <w:bookmarkStart w:id="1662" w:name="X5887f14283567151709e5d2fa1a44a0f37ce62e"/>
    <w:p>
      <w:pPr>
        <w:pStyle w:val="Heading2"/>
      </w:pPr>
      <w:r>
        <w:t xml:space="preserve">Atelier — Exposer le portail client en toute sécurité</w:t>
      </w:r>
    </w:p>
    <w:p>
      <w:pPr>
        <w:pStyle w:val="FirstParagraph"/>
      </w:pPr>
      <w:r>
        <w:t xml:space="preserve">🛠️ Atelier 68 — Répondre au scénario d’ouverture</w:t>
      </w:r>
    </w:p>
    <w:p>
      <w:pPr>
        <w:pStyle w:val="BodyText"/>
      </w:pPr>
      <w:r>
        <w:rPr>
          <w:b/>
          <w:bCs/>
        </w:rPr>
        <w:t xml:space="preserve">Objectif</w:t>
      </w:r>
      <w:r>
        <w:t xml:space="preserve"> </w:t>
      </w:r>
      <w:r>
        <w:t xml:space="preserve">: configurer un reverse proxy Nginx exposant le portail client de façon sécurisée, sans jamais révéler l’adresse réelle des serveurs backend.</w:t>
      </w:r>
    </w:p>
    <w:p>
      <w:pPr>
        <w:pStyle w:val="BodyText"/>
      </w:pPr>
      <w:r>
        <w:rPr>
          <w:b/>
          <w:bCs/>
        </w:rPr>
        <w:t xml:space="preserve">Préparation</w:t>
      </w:r>
      <w:r>
        <w:t xml:space="preserve"> </w:t>
      </w:r>
      <w:r>
        <w:t xml:space="preserve">: un serveur Nginx accessible depuis Internet, deux instances backend du portail sur le réseau interne.</w:t>
      </w:r>
    </w:p>
    <w:p>
      <w:pPr>
        <w:pStyle w:val="BodyText"/>
      </w:pPr>
      <w:r>
        <w:rPr>
          <w:b/>
          <w:bCs/>
        </w:rPr>
        <w:t xml:space="preserve">Étapes détaillées</w:t>
      </w:r>
      <w:r>
        <w:t xml:space="preserve"> </w:t>
      </w:r>
      <w:r>
        <w:t xml:space="preserve">:</w:t>
      </w:r>
    </w:p>
    <w:p>
      <w:pPr>
        <w:pStyle w:val="Compact"/>
        <w:numPr>
          <w:ilvl w:val="0"/>
          <w:numId w:val="2562"/>
        </w:numPr>
      </w:pPr>
      <w:r>
        <w:t xml:space="preserve">Configure le reverse proxy avec terminaison TLS pour le domaine public du portail (section 68.4).</w:t>
      </w:r>
    </w:p>
    <w:p>
      <w:pPr>
        <w:pStyle w:val="Compact"/>
        <w:numPr>
          <w:ilvl w:val="0"/>
          <w:numId w:val="2562"/>
        </w:numPr>
      </w:pPr>
      <w:r>
        <w:t xml:space="preserve">Configure la répartition de charge entre les deux instances backend (section 68.5).</w:t>
      </w:r>
    </w:p>
    <w:p>
      <w:pPr>
        <w:pStyle w:val="Compact"/>
        <w:numPr>
          <w:ilvl w:val="0"/>
          <w:numId w:val="2562"/>
        </w:numPr>
      </w:pPr>
      <w:r>
        <w:t xml:space="preserve">Ajoute une limitation de débit protégeant contre une surcharge anormale (section 68.7).</w:t>
      </w:r>
    </w:p>
    <w:p>
      <w:pPr>
        <w:pStyle w:val="Compact"/>
        <w:numPr>
          <w:ilvl w:val="0"/>
          <w:numId w:val="2562"/>
        </w:numPr>
      </w:pPr>
      <w:r>
        <w:t xml:space="preserve">Explique pourquoi cette configuration répond directement à l’objection de la RSSI dans le scénario d’ouverture.</w:t>
      </w:r>
    </w:p>
    <w:p>
      <w:pPr>
        <w:pStyle w:val="Compact"/>
        <w:numPr>
          <w:ilvl w:val="0"/>
          <w:numId w:val="2562"/>
        </w:numPr>
      </w:pPr>
      <w:r>
        <w:t xml:space="preserve">Compare ta démarche à la section</w:t>
      </w:r>
      <w:r>
        <w:t xml:space="preserve"> </w:t>
      </w:r>
      <w:r>
        <w:t xml:space="preserve">“Résultat attendu”</w:t>
      </w:r>
      <w:r>
        <w:t xml:space="preserve">.</w:t>
      </w:r>
    </w:p>
    <w:p>
      <w:pPr>
        <w:pStyle w:val="FirstParagraph"/>
      </w:pPr>
      <w:r>
        <w:rPr>
          <w:b/>
          <w:bCs/>
        </w:rPr>
        <w:t xml:space="preserve">Résultat attendu</w:t>
      </w:r>
      <w:r>
        <w:t xml:space="preserve"> </w:t>
      </w:r>
      <w:r>
        <w:t xml:space="preserve">: les utilisateurs externes n’interagissent jamais qu’avec l’adresse publique du reverse proxy — les adresses internes réelles des deux instances backend restent invisibles et inaccessibles directement depuis Internet, contrairement à la proposition initiale du développeur. La répartition de charge distribue les requêtes entre les deux instances sans que l’utilisateur n’ait besoin de connaître leur existence individuelle. La limitation de débit protège contre une tentative de surcharge, complétant la protection déjà apportée par le pare-feu nouvelle génération en amont. Cette architecture élimine directement le risque d’exposition d’un service interne sans intermédiaire, exactement le schéma de risque à l’origine de l’incident du chapitre 4.</w:t>
      </w:r>
    </w:p>
    <w:p>
      <w:pPr>
        <w:pStyle w:val="BodyText"/>
      </w:pPr>
      <w:r>
        <w:rPr>
          <w:b/>
          <w:bCs/>
        </w:rPr>
        <w:t xml:space="preserve">Dépannage</w:t>
      </w:r>
      <w:r>
        <w:t xml:space="preserve"> </w:t>
      </w:r>
      <w:r>
        <w:t xml:space="preserve">: si les utilisateurs reçoivent une erreur</w:t>
      </w:r>
      <w:r>
        <w:t xml:space="preserve"> </w:t>
      </w:r>
      <w:r>
        <w:t xml:space="preserve">“502 Bad Gateway”</w:t>
      </w:r>
      <w:r>
        <w:t xml:space="preserve"> </w:t>
      </w:r>
      <w:r>
        <w:t xml:space="preserve">après la mise en place du reverse proxy, vérifie en priorité que les serveurs backend sont bien accessibles depuis le reverse proxy sur l’adresse et le port configurés dans</w:t>
      </w:r>
      <w:r>
        <w:t xml:space="preserve"> </w:t>
      </w:r>
      <w:r>
        <w:rPr>
          <w:rStyle w:val="VerbatimChar"/>
        </w:rPr>
        <w:t xml:space="preserve">proxy_pass</w:t>
      </w:r>
      <w:r>
        <w:t xml:space="preserve"> </w:t>
      </w:r>
      <w:r>
        <w:t xml:space="preserve">— la cause la plus fréquente de cette erreur.</w:t>
      </w:r>
    </w:p>
    <w:bookmarkEnd w:id="1662"/>
    <w:bookmarkStart w:id="1663" w:name="erreurs-fréquentes-67"/>
    <w:p>
      <w:pPr>
        <w:pStyle w:val="Heading2"/>
      </w:pPr>
      <w:r>
        <w:t xml:space="preserve">Erreurs fréquentes</w:t>
      </w:r>
    </w:p>
    <w:p>
      <w:pPr>
        <w:pStyle w:val="FirstParagraph"/>
      </w:pPr>
      <w:r>
        <w:t xml:space="preserve">⚠️ Erreur n°1 — exposer directement l’adresse d’un serveur backend, sans reverse proxy</w:t>
      </w:r>
      <w:r>
        <w:t xml:space="preserve"> </w:t>
      </w:r>
      <w:r>
        <w:t xml:space="preserve">Rappel du scénario d’ouverture : reproduit exactement le schéma de risque à l’origine de l’incident du chapitre 4.</w:t>
      </w:r>
    </w:p>
    <w:p>
      <w:pPr>
        <w:pStyle w:val="BodyText"/>
      </w:pPr>
      <w:r>
        <w:t xml:space="preserve">⚠️ Erreur n°2 — une terminaison TLS mal configurée, avec des protocoles ou algorithmes obsolètes</w:t>
      </w:r>
      <w:r>
        <w:t xml:space="preserve"> </w:t>
      </w:r>
      <w:r>
        <w:t xml:space="preserve">Rappel indirect du chapitre 24 : un reverse proxy configuré avec des paramètres TLS faibles offre une fausse impression de sécurité malgré la présence apparente du chiffrement.</w:t>
      </w:r>
    </w:p>
    <w:p>
      <w:pPr>
        <w:pStyle w:val="BodyText"/>
      </w:pPr>
      <w:r>
        <w:t xml:space="preserve">⚠️ Erreur n°3 — aucune limitation de débit, laissant le service vulnérable à une simple surcharge</w:t>
      </w:r>
      <w:r>
        <w:t xml:space="preserve"> </w:t>
      </w:r>
      <w:r>
        <w:t xml:space="preserve">Rappel de la section 68.7 : sans cette protection, une simple accumulation de requêtes, malveillante ou non, peut rendre le service indisponible pour l’ensemble des utilisateurs légitimes.</w:t>
      </w:r>
    </w:p>
    <w:bookmarkEnd w:id="1663"/>
    <w:bookmarkStart w:id="1664" w:name="diagnostiquer-une-erreur-502-bad-gateway"/>
    <w:p>
      <w:pPr>
        <w:pStyle w:val="Heading2"/>
      </w:pPr>
      <w:r>
        <w:t xml:space="preserve">Diagnostiquer une erreur 502 Bad Gateway</w:t>
      </w:r>
    </w:p>
    <w:p>
      <w:pPr>
        <w:pStyle w:val="FirstParagraph"/>
      </w:pPr>
      <w:r>
        <w:t xml:space="preserve">🩺 Symptôme : les utilisateurs reçoivent une erreur</w:t>
      </w:r>
      <w:r>
        <w:t xml:space="preserve"> </w:t>
      </w:r>
      <w:r>
        <w:t xml:space="preserve">“502 Bad Gateway”</w:t>
      </w:r>
      <w:r>
        <w:t xml:space="preserve"> </w:t>
      </w:r>
      <w:r>
        <w:t xml:space="preserve">en tentant d’accéder au portail</w:t>
      </w:r>
    </w:p>
    <w:p>
      <w:pPr>
        <w:pStyle w:val="Compact"/>
        <w:numPr>
          <w:ilvl w:val="0"/>
          <w:numId w:val="2563"/>
        </w:numPr>
      </w:pPr>
      <w:r>
        <w:rPr>
          <w:b/>
          <w:bCs/>
        </w:rPr>
        <w:t xml:space="preserve">Diagnostic</w:t>
      </w:r>
      <w:r>
        <w:t xml:space="preserve"> </w:t>
      </w:r>
      <w:r>
        <w:t xml:space="preserve">: cette erreur indique que le reverse proxy a reçu la requête, mais n’a pas pu obtenir de réponse valide du serveur backend configuré — vérifier si le serveur backend est démarré, accessible réseau depuis le reverse proxy, et répond bien sur le port attendu.</w:t>
      </w:r>
    </w:p>
    <w:p>
      <w:pPr>
        <w:pStyle w:val="Compact"/>
        <w:numPr>
          <w:ilvl w:val="0"/>
          <w:numId w:val="2563"/>
        </w:numPr>
      </w:pPr>
      <w:r>
        <w:rPr>
          <w:b/>
          <w:bCs/>
        </w:rPr>
        <w:t xml:space="preserve">Comment vérifier</w:t>
      </w:r>
      <w:r>
        <w:t xml:space="preserve"> </w:t>
      </w:r>
      <w:r>
        <w:t xml:space="preserve">: tenter une connexion directe depuis le reverse proxy vers l’adresse et le port du serveur backend configuré dans</w:t>
      </w:r>
      <w:r>
        <w:t xml:space="preserve"> </w:t>
      </w:r>
      <w:r>
        <w:rPr>
          <w:rStyle w:val="VerbatimChar"/>
        </w:rPr>
        <w:t xml:space="preserve">proxy_pass</w:t>
      </w:r>
      <w:r>
        <w:t xml:space="preserve">.</w:t>
      </w:r>
    </w:p>
    <w:p>
      <w:pPr>
        <w:pStyle w:val="Compact"/>
        <w:numPr>
          <w:ilvl w:val="0"/>
          <w:numId w:val="2563"/>
        </w:numPr>
      </w:pPr>
      <w:r>
        <w:rPr>
          <w:b/>
          <w:bCs/>
        </w:rPr>
        <w:t xml:space="preserve">Résolution</w:t>
      </w:r>
      <w:r>
        <w:t xml:space="preserve"> </w:t>
      </w:r>
      <w:r>
        <w:t xml:space="preserve">: redémarrer le service backend s’il est arrêté, ou corriger la configuration réseau ou de pare-feu bloquant la communication entre le reverse proxy et le backend.</w:t>
      </w:r>
    </w:p>
    <w:bookmarkEnd w:id="1664"/>
    <w:bookmarkStart w:id="1665" w:name="en-entreprise-67"/>
    <w:p>
      <w:pPr>
        <w:pStyle w:val="Heading2"/>
      </w:pPr>
      <w:r>
        <w:t xml:space="preserve">En entreprise</w:t>
      </w:r>
    </w:p>
    <w:p>
      <w:pPr>
        <w:pStyle w:val="Compact"/>
        <w:numPr>
          <w:ilvl w:val="0"/>
          <w:numId w:val="2564"/>
        </w:numPr>
      </w:pPr>
      <w:r>
        <w:rPr>
          <w:b/>
          <w:bCs/>
        </w:rPr>
        <w:t xml:space="preserve">Bonne pratique répandue</w:t>
      </w:r>
      <w:r>
        <w:t xml:space="preserve"> </w:t>
      </w:r>
      <w:r>
        <w:t xml:space="preserve">: n’exposer jamais directement un service interne sur Internet — un reverse proxy (ou un équivalent, comme l’Ingress Kubernetes déjà rencontré au chapitre 43) devrait systématiquement s’interposer.</w:t>
      </w:r>
    </w:p>
    <w:p>
      <w:pPr>
        <w:pStyle w:val="Compact"/>
        <w:numPr>
          <w:ilvl w:val="0"/>
          <w:numId w:val="2564"/>
        </w:numPr>
      </w:pPr>
      <w:r>
        <w:rPr>
          <w:b/>
          <w:bCs/>
        </w:rPr>
        <w:t xml:space="preserve">Bonne pratique répandue</w:t>
      </w:r>
      <w:r>
        <w:t xml:space="preserve"> </w:t>
      </w:r>
      <w:r>
        <w:t xml:space="preserve">: centraliser la gestion des certificats TLS au niveau du reverse proxy, simplifiant leur renouvellement et réduisant le risque d’un certificat oublié sur un serveur backend individuel.</w:t>
      </w:r>
    </w:p>
    <w:p>
      <w:pPr>
        <w:pStyle w:val="Compact"/>
        <w:numPr>
          <w:ilvl w:val="0"/>
          <w:numId w:val="2564"/>
        </w:numPr>
      </w:pPr>
      <w:r>
        <w:rPr>
          <w:b/>
          <w:bCs/>
        </w:rPr>
        <w:t xml:space="preserve">Erreur classique observée</w:t>
      </w:r>
      <w:r>
        <w:t xml:space="preserve"> </w:t>
      </w:r>
      <w:r>
        <w:t xml:space="preserve">: un reverse proxy correctement configuré au départ, mais dont la configuration de limitation de débit ou de sécurité TLS n’est jamais revue à mesure que le trafic ou les recommandations de sécurité évoluent — une configuration figée dans le temps, sans révision périodique.</w:t>
      </w:r>
    </w:p>
    <w:bookmarkEnd w:id="1665"/>
    <w:bookmarkStart w:id="1666" w:name="entretien-technique-67"/>
    <w:p>
      <w:pPr>
        <w:pStyle w:val="Heading2"/>
      </w:pPr>
      <w:r>
        <w:t xml:space="preserve">Entretien technique</w:t>
      </w:r>
    </w:p>
    <w:p>
      <w:pPr>
        <w:pStyle w:val="FirstParagraph"/>
      </w:pPr>
      <w:r>
        <w:t xml:space="preserve">💼 Questions fréquemment posées en entretien</w:t>
      </w:r>
    </w:p>
    <w:p>
      <w:pPr>
        <w:pStyle w:val="BodyText"/>
      </w:pPr>
      <w:r>
        <w:rPr>
          <w:b/>
          <w:bCs/>
        </w:rPr>
        <w:t xml:space="preserve">Q1.</w:t>
      </w:r>
      <w:r>
        <w:rPr>
          <w:b/>
          <w:bCs/>
        </w:rPr>
        <w:t xml:space="preserve"> </w:t>
      </w:r>
      <w:r>
        <w:rPr>
          <w:b/>
          <w:bCs/>
        </w:rPr>
        <w:t xml:space="preserve">“Quelle est la différence entre un proxy direct (forward proxy) et un reverse proxy ?”</w:t>
      </w:r>
      <w:r>
        <w:t xml:space="preserve"> </w:t>
      </w:r>
      <w:r>
        <w:t xml:space="preserve">Réponse attendue : un proxy direct agit pour le compte des clients internes accédant à des ressources externes, masquant leur identité vis-à-vis d’Internet ; un reverse proxy agit pour le compte des serveurs internes recevant des requêtes externes, masquant leur existence et leur adresse réelle vis-à-vis des utilisateurs externes.</w:t>
      </w:r>
    </w:p>
    <w:p>
      <w:pPr>
        <w:pStyle w:val="BodyText"/>
      </w:pPr>
      <w:r>
        <w:rPr>
          <w:b/>
          <w:bCs/>
        </w:rPr>
        <w:t xml:space="preserve">Q2.</w:t>
      </w:r>
      <w:r>
        <w:rPr>
          <w:b/>
          <w:bCs/>
        </w:rPr>
        <w:t xml:space="preserve"> </w:t>
      </w:r>
      <w:r>
        <w:rPr>
          <w:b/>
          <w:bCs/>
        </w:rPr>
        <w:t xml:space="preserve">“Pourquoi ne jamais exposer directement un serveur applicatif sur Internet, plutôt que de passer par un reverse proxy ?”</w:t>
      </w:r>
      <w:r>
        <w:t xml:space="preserve"> </w:t>
      </w:r>
      <w:r>
        <w:t xml:space="preserve">Réponse attendue : exposer directement un serveur applicatif révèle son adresse réelle et le rend directement accessible à toute tentative de scan ou d’exploitation ; un reverse proxy s’interpose comme couche de protection, masquant l’infrastructure réelle et centralisant les contrôles de sécurité (TLS, limitation de débit).</w:t>
      </w:r>
    </w:p>
    <w:p>
      <w:pPr>
        <w:pStyle w:val="BodyText"/>
      </w:pPr>
      <w:r>
        <w:rPr>
          <w:b/>
          <w:bCs/>
        </w:rPr>
        <w:t xml:space="preserve">Q3.</w:t>
      </w:r>
      <w:r>
        <w:rPr>
          <w:b/>
          <w:bCs/>
        </w:rPr>
        <w:t xml:space="preserve"> </w:t>
      </w:r>
      <w:r>
        <w:rPr>
          <w:b/>
          <w:bCs/>
        </w:rPr>
        <w:t xml:space="preserve">“Comment un reverse proxy simplifie-t-il la gestion des certificats TLS par rapport à leur déploiement sur chaque serveur backend ?”</w:t>
      </w:r>
      <w:r>
        <w:t xml:space="preserve"> </w:t>
      </w:r>
      <w:r>
        <w:t xml:space="preserve">Réponse attendue : en centralisant la terminaison TLS au niveau du reverse proxy, un seul point de gestion et de renouvellement de certificat suffit, plutôt que de gérer un certificat distinct sur chaque serveur backend individuel, réduisant le risque d’un certificat expiré oublié.</w:t>
      </w:r>
    </w:p>
    <w:bookmarkEnd w:id="1666"/>
    <w:bookmarkStart w:id="1667" w:name="X9e75047e7d0cc57f2207b2e1d0cf624c112daf4"/>
    <w:p>
      <w:pPr>
        <w:pStyle w:val="Heading2"/>
      </w:pPr>
      <w:r>
        <w:t xml:space="preserve">Optimisation, sécurité et maintenabilité — les réflexes dès ce chapitre</w:t>
      </w:r>
    </w:p>
    <w:p>
      <w:pPr>
        <w:pStyle w:val="FirstParagraph"/>
      </w:pPr>
      <w:r>
        <w:t xml:space="preserve">🔒 Sécurité</w:t>
      </w:r>
      <w:r>
        <w:t xml:space="preserve"> </w:t>
      </w:r>
      <w:r>
        <w:t xml:space="preserve">N’expose jamais directement un serveur backend sur Internet — un reverse proxy devrait systématiquement constituer le seul point de contact visible depuis l’extérieur, conformément à la leçon tirée de l’incident du chapitre 4.</w:t>
      </w:r>
    </w:p>
    <w:p>
      <w:pPr>
        <w:pStyle w:val="BodyText"/>
      </w:pPr>
      <w:r>
        <w:t xml:space="preserve">✅ Maintenabilité</w:t>
      </w:r>
      <w:r>
        <w:t xml:space="preserve"> </w:t>
      </w:r>
      <w:r>
        <w:t xml:space="preserve">Verse la configuration du reverse proxy dans le même dépôt Git que le reste de l’infrastructure versionnée (chapitre 51), permettant une traçabilité complète de toute modification apportée à ce composant critique.</w:t>
      </w:r>
    </w:p>
    <w:p>
      <w:pPr>
        <w:pStyle w:val="BodyText"/>
      </w:pPr>
      <w:r>
        <w:t xml:space="preserve">🚀 Performance</w:t>
      </w:r>
      <w:r>
        <w:t xml:space="preserve"> </w:t>
      </w:r>
      <w:r>
        <w:t xml:space="preserve">La répartition de charge entre plusieurs instances backend améliore la résilience et les performances perçues par les utilisateurs, particulièrement bénéfique lors de pics de trafic sur le portail client.</w:t>
      </w:r>
    </w:p>
    <w:bookmarkEnd w:id="1667"/>
    <w:bookmarkStart w:id="1668" w:name="résumé-du-chapitre-67"/>
    <w:p>
      <w:pPr>
        <w:pStyle w:val="Heading2"/>
      </w:pPr>
      <w:r>
        <w:t xml:space="preserve">Résumé du chapitre</w:t>
      </w:r>
    </w:p>
    <w:p>
      <w:pPr>
        <w:pStyle w:val="Compact"/>
        <w:numPr>
          <w:ilvl w:val="0"/>
          <w:numId w:val="2565"/>
        </w:numPr>
      </w:pPr>
      <w:r>
        <w:t xml:space="preserve">Un proxy direct protège l’identité des clients internes ; un reverse proxy protège l’existence et l’adresse des serveurs internes.</w:t>
      </w:r>
    </w:p>
    <w:p>
      <w:pPr>
        <w:pStyle w:val="Compact"/>
        <w:numPr>
          <w:ilvl w:val="0"/>
          <w:numId w:val="2565"/>
        </w:numPr>
      </w:pPr>
      <w:r>
        <w:t xml:space="preserve">Exposer directement un serveur backend sur Internet reproduit exactement le schéma de risque à l’origine de l’incident du chapitre 4.</w:t>
      </w:r>
    </w:p>
    <w:p>
      <w:pPr>
        <w:pStyle w:val="Compact"/>
        <w:numPr>
          <w:ilvl w:val="0"/>
          <w:numId w:val="2565"/>
        </w:numPr>
      </w:pPr>
      <w:r>
        <w:t xml:space="preserve">Le reverse proxy centralise la terminaison TLS, simplifiant significativement la gestion des certificats.</w:t>
      </w:r>
    </w:p>
    <w:p>
      <w:pPr>
        <w:pStyle w:val="Compact"/>
        <w:numPr>
          <w:ilvl w:val="0"/>
          <w:numId w:val="2565"/>
        </w:numPr>
      </w:pPr>
      <w:r>
        <w:t xml:space="preserve">Un reverse proxy peut répartir la charge entre plusieurs instances backend et limiter le débit des requêtes acceptées.</w:t>
      </w:r>
    </w:p>
    <w:p>
      <w:pPr>
        <w:pStyle w:val="Compact"/>
        <w:numPr>
          <w:ilvl w:val="0"/>
          <w:numId w:val="2565"/>
        </w:numPr>
      </w:pPr>
      <w:r>
        <w:t xml:space="preserve">Une erreur 502 Bad Gateway indique généralement un problème de communication entre le reverse proxy et le serveur backend, pas un problème côté utilisateur.</w:t>
      </w:r>
    </w:p>
    <w:p>
      <w:pPr>
        <w:pStyle w:val="Compact"/>
        <w:numPr>
          <w:ilvl w:val="0"/>
          <w:numId w:val="2565"/>
        </w:numPr>
      </w:pPr>
      <w:r>
        <w:t xml:space="preserve">La configuration du reverse proxy devrait être versionnée et revue périodiquement, comme tout composant critique de l’infrastructure.</w:t>
      </w:r>
    </w:p>
    <w:bookmarkEnd w:id="1668"/>
    <w:bookmarkStart w:id="1669" w:name="quiz-67"/>
    <w:p>
      <w:pPr>
        <w:pStyle w:val="Heading2"/>
      </w:pPr>
      <w:r>
        <w:t xml:space="preserve">Quiz</w:t>
      </w:r>
    </w:p>
    <w:p>
      <w:pPr>
        <w:pStyle w:val="FirstParagraph"/>
      </w:pPr>
      <w:r>
        <w:t xml:space="preserve">📝 QCM (une seule bonne réponse par question)</w:t>
      </w:r>
    </w:p>
    <w:p>
      <w:pPr>
        <w:pStyle w:val="Compact"/>
        <w:numPr>
          <w:ilvl w:val="0"/>
          <w:numId w:val="2566"/>
        </w:numPr>
      </w:pPr>
      <w:r>
        <w:t xml:space="preserve">Un reverse proxy agit principalement pour le compte :</w:t>
      </w:r>
    </w:p>
    <w:p>
      <w:pPr>
        <w:pStyle w:val="Compact"/>
        <w:numPr>
          <w:ilvl w:val="1"/>
          <w:numId w:val="2567"/>
        </w:numPr>
      </w:pPr>
    </w:p>
    <w:p>
      <w:pPr>
        <w:pStyle w:val="Compact"/>
        <w:numPr>
          <w:ilvl w:val="2"/>
          <w:numId w:val="2568"/>
        </w:numPr>
      </w:pPr>
      <w:r>
        <w:t xml:space="preserve">Des clients internes accédant à des ressources externes</w:t>
      </w:r>
    </w:p>
    <w:p>
      <w:pPr>
        <w:pStyle w:val="Compact"/>
        <w:numPr>
          <w:ilvl w:val="1"/>
          <w:numId w:val="2567"/>
        </w:numPr>
      </w:pPr>
    </w:p>
    <w:p>
      <w:pPr>
        <w:pStyle w:val="Compact"/>
        <w:numPr>
          <w:ilvl w:val="2"/>
          <w:numId w:val="2569"/>
        </w:numPr>
      </w:pPr>
      <w:r>
        <w:t xml:space="preserve">Des serveurs internes recevant des requêtes externes</w:t>
      </w:r>
    </w:p>
    <w:p>
      <w:pPr>
        <w:pStyle w:val="Compact"/>
        <w:numPr>
          <w:ilvl w:val="1"/>
          <w:numId w:val="2567"/>
        </w:numPr>
      </w:pPr>
    </w:p>
    <w:p>
      <w:pPr>
        <w:pStyle w:val="Compact"/>
        <w:numPr>
          <w:ilvl w:val="2"/>
          <w:numId w:val="2570"/>
        </w:numPr>
      </w:pPr>
      <w:r>
        <w:t xml:space="preserve">Uniquement des équipements réseau comme les commutateurs</w:t>
      </w:r>
    </w:p>
    <w:p>
      <w:pPr>
        <w:pStyle w:val="Compact"/>
        <w:numPr>
          <w:ilvl w:val="1"/>
          <w:numId w:val="2567"/>
        </w:numPr>
      </w:pPr>
    </w:p>
    <w:p>
      <w:pPr>
        <w:pStyle w:val="Compact"/>
        <w:numPr>
          <w:ilvl w:val="2"/>
          <w:numId w:val="2571"/>
        </w:numPr>
      </w:pPr>
      <w:r>
        <w:t xml:space="preserve">Du pare-feu périmétrique</w:t>
      </w:r>
    </w:p>
    <w:p>
      <w:pPr>
        <w:pStyle w:val="Compact"/>
        <w:numPr>
          <w:ilvl w:val="0"/>
          <w:numId w:val="2566"/>
        </w:numPr>
      </w:pPr>
      <w:r>
        <w:t xml:space="preserve">Exposer directement un serveur backend sur Internet, sans reverse proxy, reproduit principalement le risque déjà rencontré :</w:t>
      </w:r>
    </w:p>
    <w:p>
      <w:pPr>
        <w:pStyle w:val="Compact"/>
        <w:numPr>
          <w:ilvl w:val="1"/>
          <w:numId w:val="2572"/>
        </w:numPr>
      </w:pPr>
    </w:p>
    <w:p>
      <w:pPr>
        <w:pStyle w:val="Compact"/>
        <w:numPr>
          <w:ilvl w:val="2"/>
          <w:numId w:val="2573"/>
        </w:numPr>
      </w:pPr>
      <w:r>
        <w:t xml:space="preserve">Au chapitre 24, avec un certificat TLS expiré</w:t>
      </w:r>
    </w:p>
    <w:p>
      <w:pPr>
        <w:pStyle w:val="Compact"/>
        <w:numPr>
          <w:ilvl w:val="1"/>
          <w:numId w:val="2572"/>
        </w:numPr>
      </w:pPr>
    </w:p>
    <w:p>
      <w:pPr>
        <w:pStyle w:val="Compact"/>
        <w:numPr>
          <w:ilvl w:val="2"/>
          <w:numId w:val="2574"/>
        </w:numPr>
      </w:pPr>
      <w:r>
        <w:t xml:space="preserve">Au chapitre 4, avec un accès RDP exposé directement</w:t>
      </w:r>
    </w:p>
    <w:p>
      <w:pPr>
        <w:pStyle w:val="Compact"/>
        <w:numPr>
          <w:ilvl w:val="1"/>
          <w:numId w:val="2572"/>
        </w:numPr>
      </w:pPr>
    </w:p>
    <w:p>
      <w:pPr>
        <w:pStyle w:val="Compact"/>
        <w:numPr>
          <w:ilvl w:val="2"/>
          <w:numId w:val="2575"/>
        </w:numPr>
      </w:pPr>
      <w:r>
        <w:t xml:space="preserve">Au chapitre 58, avec un disque plein non détecté</w:t>
      </w:r>
    </w:p>
    <w:p>
      <w:pPr>
        <w:pStyle w:val="Compact"/>
        <w:numPr>
          <w:ilvl w:val="1"/>
          <w:numId w:val="2572"/>
        </w:numPr>
      </w:pPr>
    </w:p>
    <w:p>
      <w:pPr>
        <w:pStyle w:val="Compact"/>
        <w:numPr>
          <w:ilvl w:val="2"/>
          <w:numId w:val="2576"/>
        </w:numPr>
      </w:pPr>
      <w:r>
        <w:t xml:space="preserve">Au chapitre 60, avec une cible Prometheus</w:t>
      </w:r>
      <w:r>
        <w:t xml:space="preserve"> </w:t>
      </w:r>
      <w:r>
        <w:t xml:space="preserve">“down”</w:t>
      </w:r>
    </w:p>
    <w:p>
      <w:pPr>
        <w:pStyle w:val="Compact"/>
        <w:numPr>
          <w:ilvl w:val="0"/>
          <w:numId w:val="2566"/>
        </w:numPr>
      </w:pPr>
      <w:r>
        <w:t xml:space="preserve">Une erreur</w:t>
      </w:r>
      <w:r>
        <w:t xml:space="preserve"> </w:t>
      </w:r>
      <w:r>
        <w:t xml:space="preserve">“502 Bad Gateway”</w:t>
      </w:r>
      <w:r>
        <w:t xml:space="preserve"> </w:t>
      </w:r>
      <w:r>
        <w:t xml:space="preserve">indique généralement :</w:t>
      </w:r>
    </w:p>
    <w:p>
      <w:pPr>
        <w:pStyle w:val="Compact"/>
        <w:numPr>
          <w:ilvl w:val="1"/>
          <w:numId w:val="2577"/>
        </w:numPr>
      </w:pPr>
    </w:p>
    <w:p>
      <w:pPr>
        <w:pStyle w:val="Compact"/>
        <w:numPr>
          <w:ilvl w:val="2"/>
          <w:numId w:val="2578"/>
        </w:numPr>
      </w:pPr>
      <w:r>
        <w:t xml:space="preserve">Un problème de résolution DNS côté client</w:t>
      </w:r>
    </w:p>
    <w:p>
      <w:pPr>
        <w:pStyle w:val="Compact"/>
        <w:numPr>
          <w:ilvl w:val="1"/>
          <w:numId w:val="2577"/>
        </w:numPr>
      </w:pPr>
    </w:p>
    <w:p>
      <w:pPr>
        <w:pStyle w:val="Compact"/>
        <w:numPr>
          <w:ilvl w:val="2"/>
          <w:numId w:val="2579"/>
        </w:numPr>
      </w:pPr>
      <w:r>
        <w:t xml:space="preserve">Un problème de communication entre le reverse proxy et le serveur backend</w:t>
      </w:r>
    </w:p>
    <w:p>
      <w:pPr>
        <w:pStyle w:val="Compact"/>
        <w:numPr>
          <w:ilvl w:val="1"/>
          <w:numId w:val="2577"/>
        </w:numPr>
      </w:pPr>
    </w:p>
    <w:p>
      <w:pPr>
        <w:pStyle w:val="Compact"/>
        <w:numPr>
          <w:ilvl w:val="2"/>
          <w:numId w:val="2580"/>
        </w:numPr>
      </w:pPr>
      <w:r>
        <w:t xml:space="preserve">Un certificat TLS expiré</w:t>
      </w:r>
    </w:p>
    <w:p>
      <w:pPr>
        <w:pStyle w:val="Compact"/>
        <w:numPr>
          <w:ilvl w:val="1"/>
          <w:numId w:val="2577"/>
        </w:numPr>
      </w:pPr>
    </w:p>
    <w:p>
      <w:pPr>
        <w:pStyle w:val="Compact"/>
        <w:numPr>
          <w:ilvl w:val="2"/>
          <w:numId w:val="2581"/>
        </w:numPr>
      </w:pPr>
      <w:r>
        <w:t xml:space="preserve">Une limitation de débit atteinte</w:t>
      </w:r>
    </w:p>
    <w:p>
      <w:pPr>
        <w:pStyle w:val="FirstParagraph"/>
      </w:pPr>
      <w:r>
        <w:rPr>
          <w:b/>
          <w:bCs/>
        </w:rPr>
        <w:t xml:space="preserve">Corrigé</w:t>
      </w:r>
      <w:r>
        <w:t xml:space="preserve"> </w:t>
      </w:r>
      <w:r>
        <w:t xml:space="preserve">: 1-b, 2-b, 3-b.</w:t>
      </w:r>
    </w:p>
    <w:p>
      <w:pPr>
        <w:pStyle w:val="BodyText"/>
      </w:pPr>
      <w:r>
        <w:t xml:space="preserve">📝 Vrai ou Faux</w:t>
      </w:r>
    </w:p>
    <w:p>
      <w:pPr>
        <w:pStyle w:val="Compact"/>
        <w:numPr>
          <w:ilvl w:val="0"/>
          <w:numId w:val="2582"/>
        </w:numPr>
      </w:pPr>
      <w:r>
        <w:t xml:space="preserve">Un reverse proxy masque l’adresse réelle des serveurs backend vis-à-vis des utilisateurs externes. —</w:t>
      </w:r>
      <w:r>
        <w:t xml:space="preserve"> </w:t>
      </w:r>
      <w:r>
        <w:rPr>
          <w:b/>
          <w:bCs/>
        </w:rPr>
        <w:t xml:space="preserve">Vrai</w:t>
      </w:r>
      <w:r>
        <w:t xml:space="preserve">.</w:t>
      </w:r>
    </w:p>
    <w:p>
      <w:pPr>
        <w:pStyle w:val="Compact"/>
        <w:numPr>
          <w:ilvl w:val="0"/>
          <w:numId w:val="2582"/>
        </w:numPr>
      </w:pPr>
      <w:r>
        <w:t xml:space="preserve">La terminaison TLS centralisée au niveau du reverse proxy complique la gestion des certificats par rapport à un déploiement sur chaque serveur backend. —</w:t>
      </w:r>
      <w:r>
        <w:t xml:space="preserve"> </w:t>
      </w:r>
      <w:r>
        <w:rPr>
          <w:b/>
          <w:bCs/>
        </w:rPr>
        <w:t xml:space="preserve">Faux</w:t>
      </w:r>
      <w:r>
        <w:t xml:space="preserve"> </w:t>
      </w:r>
      <w:r>
        <w:t xml:space="preserve">(elle la simplifie, section 68.4).</w:t>
      </w:r>
    </w:p>
    <w:p>
      <w:pPr>
        <w:pStyle w:val="Compact"/>
        <w:numPr>
          <w:ilvl w:val="0"/>
          <w:numId w:val="2582"/>
        </w:numPr>
      </w:pPr>
      <w:r>
        <w:t xml:space="preserve">Une limitation de débit au niveau du reverse proxy protège contre une simple surcharge de requêtes. —</w:t>
      </w:r>
      <w:r>
        <w:t xml:space="preserve"> </w:t>
      </w:r>
      <w:r>
        <w:rPr>
          <w:b/>
          <w:bCs/>
        </w:rPr>
        <w:t xml:space="preserve">Vrai</w:t>
      </w:r>
      <w:r>
        <w:t xml:space="preserve">.</w:t>
      </w:r>
    </w:p>
    <w:p>
      <w:pPr>
        <w:pStyle w:val="Compact"/>
        <w:numPr>
          <w:ilvl w:val="0"/>
          <w:numId w:val="2582"/>
        </w:numPr>
      </w:pPr>
      <w:r>
        <w:t xml:space="preserve">La répartition de charge entre plusieurs instances backend nécessite que l’utilisateur connaisse leur existence individuelle. —</w:t>
      </w:r>
      <w:r>
        <w:t xml:space="preserve"> </w:t>
      </w:r>
      <w:r>
        <w:rPr>
          <w:b/>
          <w:bCs/>
        </w:rPr>
        <w:t xml:space="preserve">Faux</w:t>
      </w:r>
      <w:r>
        <w:t xml:space="preserve"> </w:t>
      </w:r>
      <w:r>
        <w:t xml:space="preserve">(section 68.5).</w:t>
      </w:r>
    </w:p>
    <w:p>
      <w:pPr>
        <w:pStyle w:val="FirstParagraph"/>
      </w:pPr>
      <w:r>
        <w:t xml:space="preserve">📝 Questions ouvertes</w:t>
      </w:r>
    </w:p>
    <w:p>
      <w:pPr>
        <w:pStyle w:val="Compact"/>
        <w:numPr>
          <w:ilvl w:val="0"/>
          <w:numId w:val="2583"/>
        </w:numPr>
      </w:pPr>
      <w:r>
        <w:t xml:space="preserve">Explique pourquoi la RSSI a immédiatement reconnu, dans le scénario d’ouverture, le même schéma de risque que l’incident du chapitre 4, malgré des technologies très différentes (RDP contre HTTP applicatif).</w:t>
      </w:r>
    </w:p>
    <w:p>
      <w:pPr>
        <w:pStyle w:val="Compact"/>
        <w:numPr>
          <w:ilvl w:val="0"/>
          <w:numId w:val="2583"/>
        </w:numPr>
      </w:pPr>
      <w:r>
        <w:t xml:space="preserve">Un collègue propose de configurer une limitation de débit extrêmement stricte,</w:t>
      </w:r>
      <w:r>
        <w:t xml:space="preserve"> </w:t>
      </w:r>
      <w:r>
        <w:t xml:space="preserve">“pour maximiser la protection contre toute surcharge”</w:t>
      </w:r>
      <w:r>
        <w:t xml:space="preserve">. Discute le risque potentiel de cette proposition.</w:t>
      </w:r>
    </w:p>
    <w:p>
      <w:pPr>
        <w:pStyle w:val="FirstParagraph"/>
      </w:pPr>
      <w:r>
        <w:rPr>
          <w:b/>
          <w:bCs/>
        </w:rPr>
        <w:t xml:space="preserve">Corrigé 1</w:t>
      </w:r>
      <w:r>
        <w:t xml:space="preserve"> </w:t>
      </w:r>
      <w:r>
        <w:t xml:space="preserve">: le point commun entre les deux situations n’est pas la technologie spécifique utilisée (RDP contre HTTP applicatif), mais le principe architectural sous-jacent : exposer directement un service interne sur Internet, sans aucune couche intermédiaire de contrôle. Dans les deux cas, un attaquant scannant Internet peut découvrir directement l’adresse et le service exposé, et tenter de l’exploiter sans obstacle intermédiaire. La RSSI a reconnu ce schéma de risque au niveau architectural, indépendamment du protocole spécifique concerné — une capacité à généraliser une leçon de sécurité au-delà du cas particulier qui l’a initialement révélée, plutôt que de la considérer comme limitée au seul contexte RDP d’origine.</w:t>
      </w:r>
    </w:p>
    <w:p>
      <w:pPr>
        <w:pStyle w:val="BodyText"/>
      </w:pPr>
      <w:r>
        <w:rPr>
          <w:b/>
          <w:bCs/>
        </w:rPr>
        <w:t xml:space="preserve">Corrigé 2</w:t>
      </w:r>
      <w:r>
        <w:t xml:space="preserve"> </w:t>
      </w:r>
      <w:r>
        <w:t xml:space="preserve">: une limitation de débit excessivement stricte risque de bloquer des utilisateurs légitimes dont l’usage normal dépasserait le seuil configuré, en particulier lors de pics d’activité légitimes (période de forte affluence, campagne commerciale). Ce risque rejoint le même principe de dosage déjà rencontré à plusieurs reprises dans ce manuel pour les seuils d’alerte (chapitres 58 à 61) : une protection mal calibrée peut nuire autant, voire davantage, que l’absence totale de protection, en pénalisant l’usage normal du service plutôt que de cibler spécifiquement un usage anormal. Un seuil raisonnable, déterminé à partir de l’usage normal réellement observé, reste préférable à une limitation arbitrairement stricte.</w:t>
      </w:r>
    </w:p>
    <w:bookmarkEnd w:id="1669"/>
    <w:bookmarkStart w:id="1670" w:name="exercices-67"/>
    <w:p>
      <w:pPr>
        <w:pStyle w:val="Heading2"/>
      </w:pPr>
      <w:r>
        <w:t xml:space="preserve">Exercices</w:t>
      </w:r>
    </w:p>
    <w:p>
      <w:pPr>
        <w:pStyle w:val="FirstParagraph"/>
      </w:pPr>
      <w:r>
        <w:t xml:space="preserve">📝 Exercice 68.1</w:t>
      </w:r>
    </w:p>
    <w:p>
      <w:pPr>
        <w:pStyle w:val="BodyText"/>
      </w:pPr>
      <w:r>
        <w:t xml:space="preserve">Un serveur backend du portail client doit être remplacé par un nouveau serveur avec une adresse IP différente. Explique pourquoi ce changement peut se faire de façon transparente pour les utilisateurs externes, grâce à l’architecture reverse proxy déjà en place.</w:t>
      </w:r>
    </w:p>
    <w:p>
      <w:pPr>
        <w:pStyle w:val="BodyText"/>
      </w:pPr>
      <w:r>
        <w:rPr>
          <w:b/>
          <w:bCs/>
        </w:rPr>
        <w:t xml:space="preserve">Corrigé :</w:t>
      </w:r>
      <w:r>
        <w:t xml:space="preserve"> </w:t>
      </w:r>
      <w:r>
        <w:t xml:space="preserve">Les utilisateurs externes n’interagissent jamais directement avec l’adresse du serveur backend — ils accèdent uniquement à l’adresse publique du reverse proxy, qui retransmet ensuite la requête vers le serveur backend configuré. Remplacer un serveur backend par un autre, avec une adresse IP différente, ne nécessite donc qu’une modification de la configuration</w:t>
      </w:r>
      <w:r>
        <w:t xml:space="preserve"> </w:t>
      </w:r>
      <w:r>
        <w:rPr>
          <w:rStyle w:val="VerbatimChar"/>
        </w:rPr>
        <w:t xml:space="preserve">proxy_pass</w:t>
      </w:r>
      <w:r>
        <w:t xml:space="preserve"> </w:t>
      </w:r>
      <w:r>
        <w:t xml:space="preserve">(ou de la liste</w:t>
      </w:r>
      <w:r>
        <w:t xml:space="preserve"> </w:t>
      </w:r>
      <w:r>
        <w:rPr>
          <w:rStyle w:val="VerbatimChar"/>
        </w:rPr>
        <w:t xml:space="preserve">upstream</w:t>
      </w:r>
      <w:r>
        <w:t xml:space="preserve"> </w:t>
      </w:r>
      <w:r>
        <w:t xml:space="preserve">en cas de répartition de charge, section 68.5) au niveau du reverse proxy lui-même — aucune modification n’est nécessaire côté utilisateur, qui continue d’accéder au même domaine public sans interruption perceptible. Cette transparence constitue l’un des bénéfices structurels majeurs de l’architecture reverse proxy, au-delà de son rôle de protection déjà mis en avant dans ce chapitre.</w:t>
      </w:r>
    </w:p>
    <w:p>
      <w:pPr>
        <w:pStyle w:val="BodyText"/>
      </w:pPr>
      <w:r>
        <w:t xml:space="preserve">📝 Exercice 68.2</w:t>
      </w:r>
    </w:p>
    <w:p>
      <w:pPr>
        <w:pStyle w:val="BodyText"/>
      </w:pPr>
      <w:r>
        <w:t xml:space="preserve">Rédige, en 3 à 5 phrases, une règle d’équipe garantissant qu’aucun nouveau service applicatif n’est jamais exposé directement sur Internet sans passer par un reverse proxy, en t’appuyant sur la leçon du scénario d’ouverture de ce chapitre.</w:t>
      </w:r>
    </w:p>
    <w:p>
      <w:pPr>
        <w:pStyle w:val="BodyText"/>
      </w:pPr>
      <w:r>
        <w:rPr>
          <w:b/>
          <w:bCs/>
        </w:rPr>
        <w:t xml:space="preserve">Corrigé (exemple de réponse) :</w:t>
      </w:r>
      <w:r>
        <w:t xml:space="preserve"> </w:t>
      </w:r>
      <w:r>
        <w:t xml:space="preserve">Tout nouveau service applicatif destiné à être accessible depuis Internet devra systématiquement être positionné derrière un reverse proxy, jamais exposé directement via son adresse propre, quelle que soit l’urgence ou la simplicité apparente de la demande initiale. Cette règle s’appliquera sans exception, y compris pour des déploiements temporaires ou de test, la tentation de</w:t>
      </w:r>
      <w:r>
        <w:t xml:space="preserve"> </w:t>
      </w:r>
      <w:r>
        <w:t xml:space="preserve">“simplifier temporairement”</w:t>
      </w:r>
      <w:r>
        <w:t xml:space="preserve"> </w:t>
      </w:r>
      <w:r>
        <w:t xml:space="preserve">ayant déjà été identifiée comme un facteur de risque récurrent dans ce manuel. Toute demande de mise en production d’un nouveau service accessible depuis Internet fera l’objet d’une vérification explicite de cette exigence avant validation finale, reproduisant le même principe de contrôle déjà appliqué à d’autres changements critiques d’infrastructure décrits dans ce manuel.</w:t>
      </w:r>
    </w:p>
    <w:bookmarkEnd w:id="1670"/>
    <w:bookmarkStart w:id="1671" w:name="checklist-de-fin-de-chapitre-67"/>
    <w:p>
      <w:pPr>
        <w:pStyle w:val="Heading2"/>
      </w:pPr>
      <w:r>
        <w:t xml:space="preserve">Checklist de fin de chapitre</w:t>
      </w:r>
    </w:p>
    <w:p>
      <w:pPr>
        <w:pStyle w:val="FirstParagraph"/>
      </w:pPr>
      <w:r>
        <w:t xml:space="preserve">☐ Je comprends la différence entre un proxy direct et un reverse proxy.</w:t>
      </w:r>
    </w:p>
    <w:p>
      <w:pPr>
        <w:pStyle w:val="BodyText"/>
      </w:pPr>
      <w:r>
        <w:t xml:space="preserve">☐ Je sais pourquoi exposer directement un serveur backend reproduit le risque de l’incident du chapitre 4.</w:t>
      </w:r>
    </w:p>
    <w:p>
      <w:pPr>
        <w:pStyle w:val="BodyText"/>
      </w:pPr>
      <w:r>
        <w:t xml:space="preserve">☐ Je sais configurer un reverse proxy Nginx avec terminaison TLS.</w:t>
      </w:r>
    </w:p>
    <w:p>
      <w:pPr>
        <w:pStyle w:val="BodyText"/>
      </w:pPr>
      <w:r>
        <w:t xml:space="preserve">☐ Je sais configurer une répartition de charge entre plusieurs instances backend.</w:t>
      </w:r>
    </w:p>
    <w:p>
      <w:pPr>
        <w:pStyle w:val="BodyText"/>
      </w:pPr>
      <w:r>
        <w:t xml:space="preserve">☐ Je sais configurer une limitation de débit raisonnable pour protéger contre une surcharge.</w:t>
      </w:r>
    </w:p>
    <w:p>
      <w:pPr>
        <w:pStyle w:val="BodyText"/>
      </w:pPr>
      <w:r>
        <w:t xml:space="preserve">☐ Je sais diagnostiquer une erreur 502 Bad Gateway.</w:t>
      </w:r>
    </w:p>
    <w:bookmarkEnd w:id="1671"/>
    <w:bookmarkStart w:id="1672" w:name="faq-67"/>
    <w:p>
      <w:pPr>
        <w:pStyle w:val="Heading2"/>
      </w:pPr>
      <w:r>
        <w:t xml:space="preserve">FAQ</w:t>
      </w:r>
    </w:p>
    <w:p>
      <w:pPr>
        <w:pStyle w:val="FirstParagraph"/>
      </w:pPr>
      <w:r>
        <w:t xml:space="preserve">Apache et IIS peuvent-ils également remplir le rôle de reverse proxy, comme Nginx ?</w:t>
      </w:r>
    </w:p>
    <w:p>
      <w:pPr>
        <w:pStyle w:val="BodyText"/>
      </w:pPr>
      <w:r>
        <w:t xml:space="preserve">Oui, les trois peuvent être configurés comme reverse proxy, avec des syntaxes de configuration propres à chacun — Nginx reste particulièrement répandu pour ce rôle spécifique en raison de ses performances reconnues sur ce type de charge, mais les concepts présentés dans ce chapitre restent transférables aux deux autres solutions.</w:t>
      </w:r>
    </w:p>
    <w:p>
      <w:pPr>
        <w:pStyle w:val="BodyText"/>
      </w:pPr>
      <w:r>
        <w:t xml:space="preserve">Un reverse proxy remplace-t-il le besoin d’un pare-feu nouvelle génération déjà couvert au chapitre 66 ?</w:t>
      </w:r>
    </w:p>
    <w:p>
      <w:pPr>
        <w:pStyle w:val="BodyText"/>
      </w:pPr>
      <w:r>
        <w:t xml:space="preserve">Non, les deux se complètent — le pare-feu opère à un niveau réseau plus large, filtrant et inspectant l’ensemble du trafic périmétrique, tandis que le reverse proxy opère spécifiquement au niveau applicatif pour les services web exposés, chacun apportant une couche de protection distincte.</w:t>
      </w:r>
    </w:p>
    <w:p>
      <w:pPr>
        <w:pStyle w:val="BodyText"/>
      </w:pPr>
      <w:r>
        <w:t xml:space="preserve">L’Ingress Kubernetes déjà rencontré au chapitre 43 est-il un type de reverse proxy ?</w:t>
      </w:r>
    </w:p>
    <w:p>
      <w:pPr>
        <w:pStyle w:val="BodyText"/>
      </w:pPr>
      <w:r>
        <w:t xml:space="preserve">Oui, un Ingress Kubernetes remplit exactement le même rôle fonctionnel qu’un reverse proxy classique, adapté spécifiquement à l’environnement Kubernetes — les concepts de ce chapitre (masquage des backends, terminaison TLS, répartition de charge) s’y retrouvent directement, sous une forme native à l’écosystème conteneurisé.</w:t>
      </w:r>
    </w:p>
    <w:p>
      <w:pPr>
        <w:pStyle w:val="BodyText"/>
      </w:pPr>
      <w:r>
        <w:t xml:space="preserve">Faut-il toujours limiter le débit de chaque service exposé, même à faible trafic ?</w:t>
      </w:r>
    </w:p>
    <w:p>
      <w:pPr>
        <w:pStyle w:val="BodyText"/>
      </w:pPr>
      <w:r>
        <w:t xml:space="preserve">La limitation de débit reste une bonne pratique générale, mais son seuil devrait être calibré selon le trafic réel attendu pour chaque service — un service à très faible trafic mérite néanmoins une limitation raisonnable, ne serait-ce que pour se protéger d’une tentative d’abus, même peu probable.</w:t>
      </w:r>
    </w:p>
    <w:bookmarkEnd w:id="1672"/>
    <w:bookmarkStart w:id="1676" w:name="références-et-pour-aller-plus-loin-67"/>
    <w:p>
      <w:pPr>
        <w:pStyle w:val="Heading2"/>
      </w:pPr>
      <w:r>
        <w:t xml:space="preserve">Références et pour aller plus loin</w:t>
      </w:r>
    </w:p>
    <w:p>
      <w:pPr>
        <w:pStyle w:val="Compact"/>
        <w:numPr>
          <w:ilvl w:val="0"/>
          <w:numId w:val="2584"/>
        </w:numPr>
      </w:pPr>
      <w:r>
        <w:t xml:space="preserve">Documentation officielle Nginx :</w:t>
      </w:r>
      <w:r>
        <w:t xml:space="preserve"> </w:t>
      </w:r>
      <w:hyperlink r:id="rId1673">
        <w:r>
          <w:rPr>
            <w:rStyle w:val="Hyperlink"/>
          </w:rPr>
          <w:t xml:space="preserve">https://nginx.org/en/docs/</w:t>
        </w:r>
      </w:hyperlink>
    </w:p>
    <w:p>
      <w:pPr>
        <w:pStyle w:val="Compact"/>
        <w:numPr>
          <w:ilvl w:val="0"/>
          <w:numId w:val="2584"/>
        </w:numPr>
      </w:pPr>
      <w:r>
        <w:t xml:space="preserve">Documentation officielle Apache HTTP Server, module mod_proxy :</w:t>
      </w:r>
      <w:r>
        <w:t xml:space="preserve"> </w:t>
      </w:r>
      <w:hyperlink r:id="rId1674">
        <w:r>
          <w:rPr>
            <w:rStyle w:val="Hyperlink"/>
          </w:rPr>
          <w:t xml:space="preserve">https://httpd.apache.org/docs/current/mod/mod_proxy.html</w:t>
        </w:r>
      </w:hyperlink>
    </w:p>
    <w:p>
      <w:pPr>
        <w:pStyle w:val="Compact"/>
        <w:numPr>
          <w:ilvl w:val="0"/>
          <w:numId w:val="2584"/>
        </w:numPr>
      </w:pPr>
      <w:r>
        <w:t xml:space="preserve">Microsoft — Documentation IIS Application Request Routing :</w:t>
      </w:r>
      <w:r>
        <w:t xml:space="preserve"> </w:t>
      </w:r>
      <w:hyperlink r:id="rId1675">
        <w:r>
          <w:rPr>
            <w:rStyle w:val="Hyperlink"/>
          </w:rPr>
          <w:t xml:space="preserve">https://learn.microsoft.com/en-us/iis/extensions/planning-for-arr/</w:t>
        </w:r>
      </w:hyperlink>
    </w:p>
    <w:p>
      <w:pPr>
        <w:pStyle w:val="FirstParagraph"/>
      </w:pPr>
      <w:r>
        <w:rPr>
          <w:i/>
          <w:iCs/>
        </w:rPr>
        <w:t xml:space="preserve">Chapitre suivant : le VPN d’entreprise (site à site et accès distant) — étendre le réseau de confiance de l’entreprise à travers Internet, entre les sites de Port-au-Prince et Cap-Haïtien, et pour les collaborateurs en déplacement.</w:t>
      </w:r>
    </w:p>
    <w:p>
      <w:pPr>
        <w:pStyle w:val="BodyText"/>
      </w:pPr>
      <w:r>
        <w:t xml:space="preserve">CHAPITRE 69</w:t>
      </w:r>
    </w:p>
    <w:bookmarkEnd w:id="1676"/>
    <w:bookmarkEnd w:id="1677"/>
    <w:bookmarkStart w:id="1703" w:name="X632bd4a05f5bb935ead59dc12f0d3eb80c2c5e6"/>
    <w:p>
      <w:pPr>
        <w:pStyle w:val="Heading1"/>
      </w:pPr>
      <w:r>
        <w:t xml:space="preserve">VPN d’entreprise (site à site, accès distant)</w:t>
      </w:r>
    </w:p>
    <w:p>
      <w:pPr>
        <w:pStyle w:val="FirstParagraph"/>
      </w:pPr>
      <w:r>
        <w:t xml:space="preserve">🎯 Objectif du chapitre</w:t>
      </w:r>
      <w:r>
        <w:t xml:space="preserve"> </w:t>
      </w:r>
      <w:r>
        <w:t xml:space="preserve">Étendre le réseau de confiance de l’entreprise à travers Internet — entre les sites de Port-au-Prince et Cap-Haïtien, et pour les collaborateurs en déplacement, sans jamais exposer directement un service d’administration comme évoqué au chapitre 67. À la fin de ce chapitre, tu sauras distinguer un VPN site à site d’un VPN d’accès distant, comprendre les protocoles courants, et pourquoi le VPN seul ne suffit plus dans une approche Zero Trust déjà introduite au chapitre 26.</w:t>
      </w:r>
    </w:p>
    <w:p>
      <w:pPr>
        <w:pStyle w:val="BodyText"/>
      </w:pPr>
      <w:r>
        <w:t xml:space="preserve">🎬 Mise en situation</w:t>
      </w:r>
      <w:r>
        <w:t xml:space="preserve"> </w:t>
      </w:r>
      <w:r>
        <w:t xml:space="preserve">Deux besoins distincts se présentent simultanément à l’entreprise. D’abord, la liaison entre les sites de Port-au-Prince et Cap-Haïtien, déjà rendue redondante par OSPF au chapitre 65, transite par des liens Internet publics non chiffrés — un risque d’interception que personne n’avait encore adressé. Ensuite, plusieurs commerciaux itinérants ont besoin d’accéder ponctuellement au réseau interne depuis l’extérieur, un besoin jusqu’ici résolu de façon informelle et peu sécurisée.</w:t>
      </w:r>
      <w:r>
        <w:t xml:space="preserve"> </w:t>
      </w:r>
      <w:r>
        <w:t xml:space="preserve">“On a besoin de deux choses différentes,”</w:t>
      </w:r>
      <w:r>
        <w:t xml:space="preserve"> </w:t>
      </w:r>
      <w:r>
        <w:t xml:space="preserve">résume le DSI,</w:t>
      </w:r>
      <w:r>
        <w:t xml:space="preserve"> </w:t>
      </w:r>
      <w:r>
        <w:t xml:space="preserve">“relier nos deux sites en toute confidentialité, et permettre un accès distant individuel encadré.”</w:t>
      </w:r>
      <w:r>
        <w:t xml:space="preserve"> </w:t>
      </w:r>
      <w:r>
        <w:t xml:space="preserve">Le VPN répond aux deux besoins, avec deux architectures distinctes.</w:t>
      </w:r>
    </w:p>
    <w:bookmarkStart w:id="1681" w:name="Xbd4c57ec59546764f49c927cc12a13386d1bbbf"/>
    <w:p>
      <w:pPr>
        <w:pStyle w:val="Heading2"/>
      </w:pPr>
      <w:r>
        <w:t xml:space="preserve">69.1 Deux besoins distincts, deux architectures de VPN</w:t>
      </w:r>
    </w:p>
    <w:p>
      <w:pPr>
        <w:pStyle w:val="FirstParagraph"/>
      </w:pPr>
      <w:r>
        <w:t xml:space="preserve">📌 À retenir</w:t>
      </w:r>
      <w:r>
        <w:t xml:space="preserve"> </w:t>
      </w:r>
      <w:r>
        <w:t xml:space="preserve">Un</w:t>
      </w:r>
      <w:r>
        <w:t xml:space="preserve"> </w:t>
      </w:r>
      <w:r>
        <w:rPr>
          <w:b/>
          <w:bCs/>
        </w:rPr>
        <w:t xml:space="preserve">VPN site à site</w:t>
      </w:r>
      <w:r>
        <w:t xml:space="preserve"> </w:t>
      </w:r>
      <w:r>
        <w:t xml:space="preserve">relie en permanence deux réseaux entiers à travers Internet, comme s’ils étaient connectés par un câble privé — pertinent pour relier durablement Port-au-Prince et Cap-Haïtien. Un</w:t>
      </w:r>
      <w:r>
        <w:t xml:space="preserve"> </w:t>
      </w:r>
      <w:r>
        <w:rPr>
          <w:b/>
          <w:bCs/>
        </w:rPr>
        <w:t xml:space="preserve">VPN d’accès distant</w:t>
      </w:r>
      <w:r>
        <w:t xml:space="preserve"> </w:t>
      </w:r>
      <w:r>
        <w:t xml:space="preserve">relie un poste individuel au réseau de l’entreprise, à la demande, le temps d’une session — pertinent pour un commercial en déplacement ou un administrateur devant intervenir à distance, exactement le besoin déjà évoqué comme alternative sécurisée à l’exposition directe de Winbox au chapitre 67.</w:t>
      </w:r>
    </w:p>
    <w:p>
      <w:pPr>
        <w:pStyle w:val="CaptionedFigure"/>
      </w:pPr>
      <w:r>
        <w:drawing>
          <wp:inline>
            <wp:extent cx="5334000" cy="915777"/>
            <wp:effectExtent b="0" l="0" r="0" t="0"/>
            <wp:docPr descr="Diagramme" title="" id="1679" name="Picture"/>
            <a:graphic>
              <a:graphicData uri="http://schemas.openxmlformats.org/drawingml/2006/picture">
                <pic:pic>
                  <pic:nvPicPr>
                    <pic:cNvPr descr="C:/Users/ingja/Desktop/jarvis-starter-kit/livrables/formations/manuel-administration-systeme/assets/diagrams/d-69-vpn-entreprise-diagramme-1.png" id="1680" name="Picture"/>
                    <pic:cNvPicPr>
                      <a:picLocks noChangeArrowheads="1" noChangeAspect="1"/>
                    </pic:cNvPicPr>
                  </pic:nvPicPr>
                  <pic:blipFill>
                    <a:blip r:embed="rId1678"/>
                    <a:stretch>
                      <a:fillRect/>
                    </a:stretch>
                  </pic:blipFill>
                  <pic:spPr bwMode="auto">
                    <a:xfrm>
                      <a:off x="0" y="0"/>
                      <a:ext cx="5334000" cy="915777"/>
                    </a:xfrm>
                    <a:prstGeom prst="rect">
                      <a:avLst/>
                    </a:prstGeom>
                    <a:noFill/>
                    <a:ln w="9525">
                      <a:noFill/>
                      <a:headEnd/>
                      <a:tailEnd/>
                    </a:ln>
                  </pic:spPr>
                </pic:pic>
              </a:graphicData>
            </a:graphic>
          </wp:inline>
        </w:drawing>
      </w:r>
    </w:p>
    <w:p>
      <w:pPr>
        <w:pStyle w:val="ImageCaption"/>
      </w:pPr>
      <w:r>
        <w:t xml:space="preserve">Diagramme</w:t>
      </w:r>
    </w:p>
    <w:bookmarkEnd w:id="1681"/>
    <w:bookmarkStart w:id="1682" w:name="X100686b6ba56ca6023ed07ce3e86c7cdd9f2010"/>
    <w:p>
      <w:pPr>
        <w:pStyle w:val="Heading2"/>
      </w:pPr>
      <w:r>
        <w:t xml:space="preserve">69.2 VPN site à site : chiffrer la liaison inter-sites</w:t>
      </w:r>
    </w:p>
    <w:p>
      <w:pPr>
        <w:pStyle w:val="FirstParagraph"/>
      </w:pPr>
      <w:r>
        <w:t xml:space="preserve">🔒 Sécurité — combler l’angle mort identifié dans le scénario d’ouverture</w:t>
      </w:r>
      <w:r>
        <w:t xml:space="preserve"> </w:t>
      </w:r>
      <w:r>
        <w:t xml:space="preserve">La liaison OSPF entre Port-au-Prince et Cap-Haïtien (chapitre 65) assurait la disponibilité et la bascule automatique en cas de panne d’un lien, mais ne garantissait aucune confidentialité si ce lien empruntait un réseau public non maîtrisé. Un tunnel</w:t>
      </w:r>
      <w:r>
        <w:t xml:space="preserve"> </w:t>
      </w:r>
      <w:r>
        <w:rPr>
          <w:b/>
          <w:bCs/>
        </w:rPr>
        <w:t xml:space="preserve">IPsec</w:t>
      </w:r>
      <w:r>
        <w:t xml:space="preserve"> </w:t>
      </w:r>
      <w:r>
        <w:t xml:space="preserve">établi entre les routeurs des deux sites chiffre l’ensemble du trafic inter-sites, garantissant qu’une interception sur le trajet public ne révèle aucune donnée exploitable — une protection complémentaire, et non redondante, à la résilience déjà assurée par OSPF.</w:t>
      </w:r>
    </w:p>
    <w:bookmarkEnd w:id="1682"/>
    <w:bookmarkStart w:id="1683" w:name="Xc0e8670de70ba4e771d835ea5d7ee93e97972a8"/>
    <w:p>
      <w:pPr>
        <w:pStyle w:val="Heading2"/>
      </w:pPr>
      <w:r>
        <w:t xml:space="preserve">69.3 VPN d’accès distant : la réponse au besoin des commerciaux itinérants</w:t>
      </w:r>
    </w:p>
    <w:p>
      <w:pPr>
        <w:pStyle w:val="FirstParagraph"/>
      </w:pPr>
      <w:r>
        <w:t xml:space="preserve">📌 À retenir</w:t>
      </w:r>
      <w:r>
        <w:t xml:space="preserve"> </w:t>
      </w:r>
      <w:r>
        <w:t xml:space="preserve">Un VPN d’accès distant permet à un poste individuel authentifié d’obtenir un accès chiffré et contrôlé au réseau interne, comme s’il s’y trouvait physiquement, sans jamais exposer directement un service d’administration ou applicatif sur Internet — exactement le principe déjà recommandé au chapitre 67 en alternative à l’exposition directe de l’interface Winbox.</w:t>
      </w:r>
    </w:p>
    <w:bookmarkEnd w:id="1683"/>
    <w:bookmarkStart w:id="1684" w:name="X68fb23c78801488aca5200291b0cba205f73dae"/>
    <w:p>
      <w:pPr>
        <w:pStyle w:val="Heading2"/>
      </w:pPr>
      <w:r>
        <w:t xml:space="preserve">69.4 Choisir un protocole : IPsec, IKEv2, OpenVPN, WireGuard</w:t>
      </w:r>
    </w:p>
    <w:p>
      <w:pPr>
        <w:pStyle w:val="FirstParagraph"/>
      </w:pPr>
      <w:r>
        <w:t xml:space="preserve">📌 À retenir — un tableau de décision honnête, dans le même esprit que la section 63.6</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Protocole</w:t>
            </w:r>
          </w:p>
        </w:tc>
        <w:tc>
          <w:tcPr/>
          <w:p>
            <w:pPr>
              <w:pStyle w:val="Compact"/>
            </w:pPr>
            <w:r>
              <w:t xml:space="preserve">Points forts</w:t>
            </w:r>
          </w:p>
        </w:tc>
        <w:tc>
          <w:tcPr/>
          <w:p>
            <w:pPr>
              <w:pStyle w:val="Compact"/>
            </w:pPr>
            <w:r>
              <w:t xml:space="preserve">Contexte d’usage typique</w:t>
            </w:r>
          </w:p>
        </w:tc>
      </w:tr>
      <w:tr>
        <w:tc>
          <w:tcPr/>
          <w:p>
            <w:pPr>
              <w:pStyle w:val="Compact"/>
            </w:pPr>
            <w:r>
              <w:t xml:space="preserve">IPsec / IKEv2</w:t>
            </w:r>
          </w:p>
        </w:tc>
        <w:tc>
          <w:tcPr/>
          <w:p>
            <w:pPr>
              <w:pStyle w:val="Compact"/>
            </w:pPr>
            <w:r>
              <w:t xml:space="preserve">Standard largement supporté, bonne performance</w:t>
            </w:r>
          </w:p>
        </w:tc>
        <w:tc>
          <w:tcPr/>
          <w:p>
            <w:pPr>
              <w:pStyle w:val="Compact"/>
            </w:pPr>
            <w:r>
              <w:t xml:space="preserve">VPN site à site entre équipements réseau</w:t>
            </w:r>
          </w:p>
        </w:tc>
      </w:tr>
      <w:tr>
        <w:tc>
          <w:tcPr/>
          <w:p>
            <w:pPr>
              <w:pStyle w:val="Compact"/>
            </w:pPr>
            <w:r>
              <w:t xml:space="preserve">OpenVPN</w:t>
            </w:r>
          </w:p>
        </w:tc>
        <w:tc>
          <w:tcPr/>
          <w:p>
            <w:pPr>
              <w:pStyle w:val="Compact"/>
            </w:pPr>
            <w:r>
              <w:t xml:space="preserve">Flexible, largement compatible, configuration mature</w:t>
            </w:r>
          </w:p>
        </w:tc>
        <w:tc>
          <w:tcPr/>
          <w:p>
            <w:pPr>
              <w:pStyle w:val="Compact"/>
            </w:pPr>
            <w:r>
              <w:t xml:space="preserve">VPN d’accès distant sur des postes variés</w:t>
            </w:r>
          </w:p>
        </w:tc>
      </w:tr>
      <w:tr>
        <w:tc>
          <w:tcPr/>
          <w:p>
            <w:pPr>
              <w:pStyle w:val="Compact"/>
            </w:pPr>
            <w:r>
              <w:t xml:space="preserve">WireGuard</w:t>
            </w:r>
          </w:p>
        </w:tc>
        <w:tc>
          <w:tcPr/>
          <w:p>
            <w:pPr>
              <w:pStyle w:val="Compact"/>
            </w:pPr>
            <w:r>
              <w:t xml:space="preserve">Simplicité de configuration, performance élevée</w:t>
            </w:r>
          </w:p>
        </w:tc>
        <w:tc>
          <w:tcPr/>
          <w:p>
            <w:pPr>
              <w:pStyle w:val="Compact"/>
            </w:pPr>
            <w:r>
              <w:t xml:space="preserve">VPN d’accès distant moderne, adoption croissante</w:t>
            </w:r>
          </w:p>
        </w:tc>
      </w:tr>
    </w:tbl>
    <w:p>
      <w:pPr>
        <w:pStyle w:val="BodyText"/>
      </w:pPr>
      <w:r>
        <w:t xml:space="preserve">Aucun protocole n’est universellement supérieur — le choix dépend à nouveau du contexte réel, comme pour de nombreuses décisions déjà rencontrées dans ce manuel.</w:t>
      </w:r>
    </w:p>
    <w:bookmarkEnd w:id="1684"/>
    <w:bookmarkStart w:id="1685" w:name="Xd9227ef645987f2d49bd95e4382c3c42cfc2335"/>
    <w:p>
      <w:pPr>
        <w:pStyle w:val="Heading2"/>
      </w:pPr>
      <w:r>
        <w:t xml:space="preserve">69.5 Authentification du VPN : le même principe que le chapitre 25</w:t>
      </w:r>
    </w:p>
    <w:p>
      <w:pPr>
        <w:pStyle w:val="FirstParagraph"/>
      </w:pPr>
      <w:r>
        <w:t xml:space="preserve">⚠️ Rappel direct du chapitre 25 — le même incident, une nouvelle porte d’entrée possible</w:t>
      </w:r>
      <w:r>
        <w:t xml:space="preserve"> </w:t>
      </w:r>
      <w:r>
        <w:t xml:space="preserve">Un mot de passe seul, même robuste, reste vulnérable au phishing déjà rencontré au chapitre 25. Un accès VPN d’accès distant représente une porte d’entrée directe vers le réseau interne — exiger une authentification multifacteur pour toute connexion VPN n’est donc pas optionnel, mais applique directement la même protection déjà mise en place pour Active Directory suite à l’incident de phishing du chapitre 25, cette fois à un point d’entrée tout aussi critique.</w:t>
      </w:r>
    </w:p>
    <w:bookmarkEnd w:id="1685"/>
    <w:bookmarkStart w:id="1686" w:name="tunnel-complet-ou-split-tunneling"/>
    <w:p>
      <w:pPr>
        <w:pStyle w:val="Heading2"/>
      </w:pPr>
      <w:r>
        <w:t xml:space="preserve">69.6 Tunnel complet ou split tunneling</w:t>
      </w:r>
    </w:p>
    <w:p>
      <w:pPr>
        <w:pStyle w:val="FirstParagraph"/>
      </w:pPr>
      <w:r>
        <w:t xml:space="preserve">💡 Un arbitrage entre sécurité et performance</w:t>
      </w:r>
      <w:r>
        <w:t xml:space="preserve"> </w:t>
      </w:r>
      <w:r>
        <w:t xml:space="preserve">Un</w:t>
      </w:r>
      <w:r>
        <w:t xml:space="preserve"> </w:t>
      </w:r>
      <w:r>
        <w:rPr>
          <w:b/>
          <w:bCs/>
        </w:rPr>
        <w:t xml:space="preserve">tunnel complet</w:t>
      </w:r>
      <w:r>
        <w:t xml:space="preserve"> </w:t>
      </w:r>
      <w:r>
        <w:t xml:space="preserve">achemine l’intégralité du trafic du poste distant à travers le VPN, y compris la navigation Internet générale, maximisant le contrôle mais ajoutant une latence et une charge sur l’infrastructure centrale. Le</w:t>
      </w:r>
      <w:r>
        <w:t xml:space="preserve"> </w:t>
      </w:r>
      <w:r>
        <w:rPr>
          <w:b/>
          <w:bCs/>
        </w:rPr>
        <w:t xml:space="preserve">split tunneling</w:t>
      </w:r>
      <w:r>
        <w:t xml:space="preserve"> </w:t>
      </w:r>
      <w:r>
        <w:t xml:space="preserve">n’achemine que le trafic destiné au réseau interne à travers le VPN, laissant le reste du trafic emprunter directement la connexion locale de l’utilisateur — un compromis de performance qui réduit toutefois la visibilité de sécurité sur l’ensemble du trafic de l’utilisateur distant. Le choix dépend de la sensibilité des données concernées et du niveau de contrôle souhaité par la RSSI.</w:t>
      </w:r>
    </w:p>
    <w:bookmarkEnd w:id="1686"/>
    <w:bookmarkStart w:id="1687" w:name="X8189c4c1a28056f38b36d422edc47f2e7f7e18e"/>
    <w:p>
      <w:pPr>
        <w:pStyle w:val="Heading2"/>
      </w:pPr>
      <w:r>
        <w:t xml:space="preserve">69.7 Le VPN seul ne suffit plus : rappel direct du chapitre 26</w:t>
      </w:r>
    </w:p>
    <w:p>
      <w:pPr>
        <w:pStyle w:val="FirstParagraph"/>
      </w:pPr>
      <w:r>
        <w:t xml:space="preserve">🔒 Sécurité — une nuance essentielle avec l’approche Zero Trust</w:t>
      </w:r>
      <w:r>
        <w:t xml:space="preserve"> </w:t>
      </w:r>
      <w:r>
        <w:t xml:space="preserve">Un VPN classique accorde généralement une confiance implicite large une fois la connexion établie — l’utilisateur connecté au VPN se retrouve traité comme s’il était physiquement sur le réseau interne, avec un accès potentiellement excessif. Le principe Zero Trust, déjà introduit au chapitre 26, recommande au contraire de ne jamais accorder de confiance implicite, même après authentification via VPN — chaque accès à une ressource spécifique devrait continuer d’être vérifié individuellement, plutôt que de considérer la connexion VPN elle-même comme une preuve suffisante de légitimité pour tout accès ultérieur.</w:t>
      </w:r>
    </w:p>
    <w:bookmarkEnd w:id="1687"/>
    <w:bookmarkStart w:id="1688" w:name="X423186775121cdca09fdafa445aff0ca4cd48c8"/>
    <w:p>
      <w:pPr>
        <w:pStyle w:val="Heading2"/>
      </w:pPr>
      <w:r>
        <w:t xml:space="preserve">Atelier — Répondre aux deux besoins du scénario d’ouverture</w:t>
      </w:r>
    </w:p>
    <w:p>
      <w:pPr>
        <w:pStyle w:val="FirstParagraph"/>
      </w:pPr>
      <w:r>
        <w:t xml:space="preserve">🛠️ Atelier 69 — Concevoir les deux architectures VPN nécessaires</w:t>
      </w:r>
    </w:p>
    <w:p>
      <w:pPr>
        <w:pStyle w:val="BodyText"/>
      </w:pPr>
      <w:r>
        <w:rPr>
          <w:b/>
          <w:bCs/>
        </w:rPr>
        <w:t xml:space="preserve">Objectif</w:t>
      </w:r>
      <w:r>
        <w:t xml:space="preserve"> </w:t>
      </w:r>
      <w:r>
        <w:t xml:space="preserve">: concevoir un VPN site à site entre Port-au-Prince et Cap-Haïtien, et un VPN d’accès distant pour les commerciaux itinérants.</w:t>
      </w:r>
    </w:p>
    <w:p>
      <w:pPr>
        <w:pStyle w:val="BodyText"/>
      </w:pPr>
      <w:r>
        <w:rPr>
          <w:b/>
          <w:bCs/>
        </w:rPr>
        <w:t xml:space="preserve">Préparation</w:t>
      </w:r>
      <w:r>
        <w:t xml:space="preserve"> </w:t>
      </w:r>
      <w:r>
        <w:t xml:space="preserve">: la liaison OSPF déjà établie entre les deux sites (chapitre 65) comme contexte de départ.</w:t>
      </w:r>
    </w:p>
    <w:p>
      <w:pPr>
        <w:pStyle w:val="BodyText"/>
      </w:pPr>
      <w:r>
        <w:rPr>
          <w:b/>
          <w:bCs/>
        </w:rPr>
        <w:t xml:space="preserve">Étapes détaillées</w:t>
      </w:r>
      <w:r>
        <w:t xml:space="preserve"> </w:t>
      </w:r>
      <w:r>
        <w:t xml:space="preserve">:</w:t>
      </w:r>
    </w:p>
    <w:p>
      <w:pPr>
        <w:pStyle w:val="Compact"/>
        <w:numPr>
          <w:ilvl w:val="0"/>
          <w:numId w:val="2585"/>
        </w:numPr>
      </w:pPr>
      <w:r>
        <w:t xml:space="preserve">Propose un protocole pour le VPN site à site, en justifiant ton choix à partir du tableau de la section 69.4.</w:t>
      </w:r>
    </w:p>
    <w:p>
      <w:pPr>
        <w:pStyle w:val="Compact"/>
        <w:numPr>
          <w:ilvl w:val="0"/>
          <w:numId w:val="2585"/>
        </w:numPr>
      </w:pPr>
      <w:r>
        <w:t xml:space="preserve">Propose un protocole pour le VPN d’accès distant des commerciaux, en justifiant ton choix.</w:t>
      </w:r>
    </w:p>
    <w:p>
      <w:pPr>
        <w:pStyle w:val="Compact"/>
        <w:numPr>
          <w:ilvl w:val="0"/>
          <w:numId w:val="2585"/>
        </w:numPr>
      </w:pPr>
      <w:r>
        <w:t xml:space="preserve">Précise l’exigence d’authentification pour le VPN d’accès distant (section 69.5).</w:t>
      </w:r>
    </w:p>
    <w:p>
      <w:pPr>
        <w:pStyle w:val="Compact"/>
        <w:numPr>
          <w:ilvl w:val="0"/>
          <w:numId w:val="2585"/>
        </w:numPr>
      </w:pPr>
      <w:r>
        <w:t xml:space="preserve">Choisis entre tunnel complet et split tunneling pour les commerciaux, en justifiant ton choix (section 69.6).</w:t>
      </w:r>
    </w:p>
    <w:p>
      <w:pPr>
        <w:pStyle w:val="Compact"/>
        <w:numPr>
          <w:ilvl w:val="0"/>
          <w:numId w:val="2585"/>
        </w:numPr>
      </w:pPr>
      <w:r>
        <w:t xml:space="preserve">Explique pourquoi l’accès obtenu via ce VPN ne devrait pas, à lui seul, garantir un accès illimité aux ressources internes.</w:t>
      </w:r>
    </w:p>
    <w:p>
      <w:pPr>
        <w:pStyle w:val="Compact"/>
        <w:numPr>
          <w:ilvl w:val="0"/>
          <w:numId w:val="2585"/>
        </w:numPr>
      </w:pPr>
      <w:r>
        <w:t xml:space="preserve">Compare ta démarche à la section</w:t>
      </w:r>
      <w:r>
        <w:t xml:space="preserve"> </w:t>
      </w:r>
      <w:r>
        <w:t xml:space="preserve">“Résultat attendu”</w:t>
      </w:r>
      <w:r>
        <w:t xml:space="preserve">.</w:t>
      </w:r>
    </w:p>
    <w:p>
      <w:pPr>
        <w:pStyle w:val="FirstParagraph"/>
      </w:pPr>
      <w:r>
        <w:rPr>
          <w:b/>
          <w:bCs/>
        </w:rPr>
        <w:t xml:space="preserve">Résultat attendu</w:t>
      </w:r>
      <w:r>
        <w:t xml:space="preserve"> </w:t>
      </w:r>
      <w:r>
        <w:t xml:space="preserve">: IPsec/IKEv2 convient bien au VPN site à site entre équipements réseau fixes, tandis qu’OpenVPN ou WireGuard conviennent mieux à un VPN d’accès distant sur des postes variés et nomades. L’authentification multifacteur reste obligatoire pour tout accès VPN distant, sans exception, conformément à la leçon du chapitre 25. Le split tunneling représente souvent un compromis raisonnable pour des commerciaux n’accédant qu’à des ressources internes spécifiques, réduisant la charge sur l’infrastructure centrale, à condition que les données réellement sensibles restent protégées par d’autres moyens. Enfin, conformément au principe Zero Trust (section 69.7), l’accès VPN devrait être combiné à une vérification continue des droits d’accès réels de l’utilisateur, plutôt que de considérer la seule connexion VPN comme une autorisation implicite et suffisante pour l’ensemble des ressources internes.</w:t>
      </w:r>
    </w:p>
    <w:p>
      <w:pPr>
        <w:pStyle w:val="BodyText"/>
      </w:pPr>
      <w:r>
        <w:rPr>
          <w:b/>
          <w:bCs/>
        </w:rPr>
        <w:t xml:space="preserve">Dépannage</w:t>
      </w:r>
      <w:r>
        <w:t xml:space="preserve"> </w:t>
      </w:r>
      <w:r>
        <w:t xml:space="preserve">: si un tunnel VPN se déconnecte fréquemment sans raison apparente, vérifie en priorité les paramètres de taille maximale de paquet (MTU) et les intervalles de</w:t>
      </w:r>
      <w:r>
        <w:t xml:space="preserve"> </w:t>
      </w:r>
      <w:r>
        <w:t xml:space="preserve">“keepalive”</w:t>
      </w:r>
      <w:r>
        <w:t xml:space="preserve"> </w:t>
      </w:r>
      <w:r>
        <w:t xml:space="preserve">configurés — une cause fréquente de déconnexions intermittentes sur les liaisons VPN.</w:t>
      </w:r>
    </w:p>
    <w:bookmarkEnd w:id="1688"/>
    <w:bookmarkStart w:id="1689" w:name="erreurs-fréquentes-68"/>
    <w:p>
      <w:pPr>
        <w:pStyle w:val="Heading2"/>
      </w:pPr>
      <w:r>
        <w:t xml:space="preserve">Erreurs fréquentes</w:t>
      </w:r>
    </w:p>
    <w:p>
      <w:pPr>
        <w:pStyle w:val="FirstParagraph"/>
      </w:pPr>
      <w:r>
        <w:t xml:space="preserve">⚠️ Erreur n°1 — un accès VPN distant sans authentification multifacteur</w:t>
      </w:r>
      <w:r>
        <w:t xml:space="preserve"> </w:t>
      </w:r>
      <w:r>
        <w:t xml:space="preserve">Rappel de la section 69.5 : reproduit exactement le même risque déjà dénoncé pour Active Directory suite à l’incident du chapitre 25, cette fois à un point d’entrée réseau tout aussi critique.</w:t>
      </w:r>
    </w:p>
    <w:p>
      <w:pPr>
        <w:pStyle w:val="BodyText"/>
      </w:pPr>
      <w:r>
        <w:t xml:space="preserve">⚠️ Erreur n°2 — considérer l’accès VPN comme une autorisation implicite et suffisante</w:t>
      </w:r>
      <w:r>
        <w:t xml:space="preserve"> </w:t>
      </w:r>
      <w:r>
        <w:t xml:space="preserve">Rappel de la section 69.7 : contredit directement le principe Zero Trust déjà établi au chapitre 26 — l’authentification VPN ne devrait jamais remplacer la vérification continue des droits d’accès à chaque ressource.</w:t>
      </w:r>
    </w:p>
    <w:p>
      <w:pPr>
        <w:pStyle w:val="BodyText"/>
      </w:pPr>
      <w:r>
        <w:t xml:space="preserve">⚠️ Erreur n°3 — un tunnel complet imposé sans justification, dégradant l’expérience utilisateur sans bénéfice de sécurité proportionné</w:t>
      </w:r>
      <w:r>
        <w:t xml:space="preserve"> </w:t>
      </w:r>
      <w:r>
        <w:t xml:space="preserve">Rappel de la section 69.6 : le choix entre tunnel complet et split tunneling devrait résulter d’une analyse de risque réelle, pas d’une configuration par défaut appliquée sans réflexion.</w:t>
      </w:r>
    </w:p>
    <w:bookmarkEnd w:id="1689"/>
    <w:bookmarkStart w:id="1690" w:name="diagnostiquer-un-tunnel-vpn-instable"/>
    <w:p>
      <w:pPr>
        <w:pStyle w:val="Heading2"/>
      </w:pPr>
      <w:r>
        <w:t xml:space="preserve">Diagnostiquer un tunnel VPN instable</w:t>
      </w:r>
    </w:p>
    <w:p>
      <w:pPr>
        <w:pStyle w:val="FirstParagraph"/>
      </w:pPr>
      <w:r>
        <w:t xml:space="preserve">🩺 Symptôme : un tunnel VPN se déconnecte fréquemment, nécessitant une reconnexion répétée</w:t>
      </w:r>
    </w:p>
    <w:p>
      <w:pPr>
        <w:pStyle w:val="Compact"/>
        <w:numPr>
          <w:ilvl w:val="0"/>
          <w:numId w:val="2586"/>
        </w:numPr>
      </w:pPr>
      <w:r>
        <w:rPr>
          <w:b/>
          <w:bCs/>
        </w:rPr>
        <w:t xml:space="preserve">Diagnostic</w:t>
      </w:r>
      <w:r>
        <w:t xml:space="preserve"> </w:t>
      </w:r>
      <w:r>
        <w:t xml:space="preserve">: vérifier les paramètres de MTU (une taille de paquet mal ajustée peut provoquer une fragmentation problématique sur certains réseaux intermédiaires) et les intervalles de</w:t>
      </w:r>
      <w:r>
        <w:t xml:space="preserve"> </w:t>
      </w:r>
      <w:r>
        <w:t xml:space="preserve">“keepalive”</w:t>
      </w:r>
      <w:r>
        <w:t xml:space="preserve"> </w:t>
      </w:r>
      <w:r>
        <w:t xml:space="preserve">configurés entre les deux extrémités du tunnel.</w:t>
      </w:r>
    </w:p>
    <w:p>
      <w:pPr>
        <w:pStyle w:val="Compact"/>
        <w:numPr>
          <w:ilvl w:val="0"/>
          <w:numId w:val="2586"/>
        </w:numPr>
      </w:pPr>
      <w:r>
        <w:rPr>
          <w:b/>
          <w:bCs/>
        </w:rPr>
        <w:t xml:space="preserve">Comment vérifier</w:t>
      </w:r>
      <w:r>
        <w:t xml:space="preserve"> </w:t>
      </w:r>
      <w:r>
        <w:t xml:space="preserve">: consulter les journaux du VPN sur les deux extrémités au moment précis d’une déconnexion, souvent explicites sur la cause immédiate.</w:t>
      </w:r>
    </w:p>
    <w:p>
      <w:pPr>
        <w:pStyle w:val="Compact"/>
        <w:numPr>
          <w:ilvl w:val="0"/>
          <w:numId w:val="2586"/>
        </w:numPr>
      </w:pPr>
      <w:r>
        <w:rPr>
          <w:b/>
          <w:bCs/>
        </w:rPr>
        <w:t xml:space="preserve">Résolution</w:t>
      </w:r>
      <w:r>
        <w:t xml:space="preserve"> </w:t>
      </w:r>
      <w:r>
        <w:t xml:space="preserve">: ajuster la taille de MTU à une valeur compatible avec l’ensemble du trajet réseau emprunté, ou resserrer les intervalles de keepalive pour détecter et corriger plus rapidement une coupure transitoire.</w:t>
      </w:r>
    </w:p>
    <w:bookmarkEnd w:id="1690"/>
    <w:bookmarkStart w:id="1691" w:name="en-entreprise-68"/>
    <w:p>
      <w:pPr>
        <w:pStyle w:val="Heading2"/>
      </w:pPr>
      <w:r>
        <w:t xml:space="preserve">En entreprise</w:t>
      </w:r>
    </w:p>
    <w:p>
      <w:pPr>
        <w:pStyle w:val="Compact"/>
        <w:numPr>
          <w:ilvl w:val="0"/>
          <w:numId w:val="2587"/>
        </w:numPr>
      </w:pPr>
      <w:r>
        <w:rPr>
          <w:b/>
          <w:bCs/>
        </w:rPr>
        <w:t xml:space="preserve">Bonne pratique répandue</w:t>
      </w:r>
      <w:r>
        <w:t xml:space="preserve"> </w:t>
      </w:r>
      <w:r>
        <w:t xml:space="preserve">: exiger systématiquement l’authentification multifacteur pour tout accès VPN distant, sans exception, quel que soit le niveau hiérarchique ou l’urgence de la demande.</w:t>
      </w:r>
    </w:p>
    <w:p>
      <w:pPr>
        <w:pStyle w:val="Compact"/>
        <w:numPr>
          <w:ilvl w:val="0"/>
          <w:numId w:val="2587"/>
        </w:numPr>
      </w:pPr>
      <w:r>
        <w:rPr>
          <w:b/>
          <w:bCs/>
        </w:rPr>
        <w:t xml:space="preserve">Bonne pratique répandue</w:t>
      </w:r>
      <w:r>
        <w:t xml:space="preserve"> </w:t>
      </w:r>
      <w:r>
        <w:t xml:space="preserve">: combiner l’accès VPN à une segmentation réseau interne appropriée (chapitre 70), plutôt que de considérer le VPN comme la seule et unique barrière de sécurité.</w:t>
      </w:r>
    </w:p>
    <w:p>
      <w:pPr>
        <w:pStyle w:val="Compact"/>
        <w:numPr>
          <w:ilvl w:val="0"/>
          <w:numId w:val="2587"/>
        </w:numPr>
      </w:pPr>
      <w:r>
        <w:rPr>
          <w:b/>
          <w:bCs/>
        </w:rPr>
        <w:t xml:space="preserve">Erreur classique observée</w:t>
      </w:r>
      <w:r>
        <w:t xml:space="preserve"> </w:t>
      </w:r>
      <w:r>
        <w:t xml:space="preserve">: un accès VPN accordé une fois pour un besoin ponctuel, puis jamais révoqué ni révisé — un compte d’ancien collaborateur ou un accès temporaire devenu permanent par oubli représente un risque résiduel que peu d’organisations auditent systématiquement.</w:t>
      </w:r>
    </w:p>
    <w:bookmarkEnd w:id="1691"/>
    <w:bookmarkStart w:id="1692" w:name="entretien-technique-68"/>
    <w:p>
      <w:pPr>
        <w:pStyle w:val="Heading2"/>
      </w:pPr>
      <w:r>
        <w:t xml:space="preserve">Entretien technique</w:t>
      </w:r>
    </w:p>
    <w:p>
      <w:pPr>
        <w:pStyle w:val="FirstParagraph"/>
      </w:pPr>
      <w:r>
        <w:t xml:space="preserve">💼 Questions fréquemment posées en entretien</w:t>
      </w:r>
    </w:p>
    <w:p>
      <w:pPr>
        <w:pStyle w:val="BodyText"/>
      </w:pPr>
      <w:r>
        <w:rPr>
          <w:b/>
          <w:bCs/>
        </w:rPr>
        <w:t xml:space="preserve">Q1.</w:t>
      </w:r>
      <w:r>
        <w:rPr>
          <w:b/>
          <w:bCs/>
        </w:rPr>
        <w:t xml:space="preserve"> </w:t>
      </w:r>
      <w:r>
        <w:rPr>
          <w:b/>
          <w:bCs/>
        </w:rPr>
        <w:t xml:space="preserve">“Quelle est la différence entre un VPN site à site et un VPN d’accès distant ?”</w:t>
      </w:r>
      <w:r>
        <w:t xml:space="preserve"> </w:t>
      </w:r>
      <w:r>
        <w:t xml:space="preserve">Réponse attendue : un VPN site à site relie en permanence deux réseaux entiers à travers Internet, typiquement entre deux sites d’une même organisation ; un VPN d’accès distant relie un poste individuel au réseau de l’entreprise, à la demande, pour la durée d’une session.</w:t>
      </w:r>
    </w:p>
    <w:p>
      <w:pPr>
        <w:pStyle w:val="BodyText"/>
      </w:pPr>
      <w:r>
        <w:rPr>
          <w:b/>
          <w:bCs/>
        </w:rPr>
        <w:t xml:space="preserve">Q2.</w:t>
      </w:r>
      <w:r>
        <w:rPr>
          <w:b/>
          <w:bCs/>
        </w:rPr>
        <w:t xml:space="preserve"> </w:t>
      </w:r>
      <w:r>
        <w:rPr>
          <w:b/>
          <w:bCs/>
        </w:rPr>
        <w:t xml:space="preserve">“Pourquoi l’authentification multifacteur est-elle particulièrement critique pour un VPN d’accès distant ?”</w:t>
      </w:r>
      <w:r>
        <w:t xml:space="preserve"> </w:t>
      </w:r>
      <w:r>
        <w:t xml:space="preserve">Réponse attendue : un accès VPN représente une porte d’entrée directe vers le réseau interne ; un mot de passe seul reste vulnérable au phishing, une authentification multifacteur ajoute une protection déjà éprouvée dans ce manuel pour ce type de risque.</w:t>
      </w:r>
    </w:p>
    <w:p>
      <w:pPr>
        <w:pStyle w:val="BodyText"/>
      </w:pPr>
      <w:r>
        <w:rPr>
          <w:b/>
          <w:bCs/>
        </w:rPr>
        <w:t xml:space="preserve">Q3.</w:t>
      </w:r>
      <w:r>
        <w:rPr>
          <w:b/>
          <w:bCs/>
        </w:rPr>
        <w:t xml:space="preserve"> </w:t>
      </w:r>
      <w:r>
        <w:rPr>
          <w:b/>
          <w:bCs/>
        </w:rPr>
        <w:t xml:space="preserve">“Pourquoi un VPN classique n’est-il pas suffisant dans une approche Zero Trust ?”</w:t>
      </w:r>
      <w:r>
        <w:t xml:space="preserve"> </w:t>
      </w:r>
      <w:r>
        <w:t xml:space="preserve">Réponse attendue : un VPN classique accorde généralement une confiance implicite large une fois la connexion établie, traitant l’utilisateur comme s’il était physiquement sur le réseau interne ; le principe Zero Trust recommande de continuer à vérifier chaque accès individuellement, sans jamais considérer la seule connexion VPN comme une preuve suffisante de légitimité.</w:t>
      </w:r>
    </w:p>
    <w:bookmarkEnd w:id="1692"/>
    <w:bookmarkStart w:id="1693" w:name="X170a493ab2fd46852e7f358dc1d086ee4f7ddc7"/>
    <w:p>
      <w:pPr>
        <w:pStyle w:val="Heading2"/>
      </w:pPr>
      <w:r>
        <w:t xml:space="preserve">Optimisation, sécurité et maintenabilité — les réflexes dès ce chapitre</w:t>
      </w:r>
    </w:p>
    <w:p>
      <w:pPr>
        <w:pStyle w:val="FirstParagraph"/>
      </w:pPr>
      <w:r>
        <w:t xml:space="preserve">🔒 Sécurité</w:t>
      </w:r>
      <w:r>
        <w:t xml:space="preserve"> </w:t>
      </w:r>
      <w:r>
        <w:t xml:space="preserve">N’accorde jamais d’accès VPN distant sans authentification multifacteur, et combine systématiquement cet accès à une segmentation interne appropriée plutôt que de le considérer comme une barrière de sécurité suffisante à elle seule.</w:t>
      </w:r>
    </w:p>
    <w:p>
      <w:pPr>
        <w:pStyle w:val="BodyText"/>
      </w:pPr>
      <w:r>
        <w:t xml:space="preserve">✅ Maintenabilité</w:t>
      </w:r>
      <w:r>
        <w:t xml:space="preserve"> </w:t>
      </w:r>
      <w:r>
        <w:t xml:space="preserve">Audite périodiquement la liste des accès VPN actifs et leur justification, révoquant systématiquement tout accès associé à un collaborateur ayant quitté l’organisation ou à un besoin temporaire devenu obsolète.</w:t>
      </w:r>
    </w:p>
    <w:p>
      <w:pPr>
        <w:pStyle w:val="BodyText"/>
      </w:pPr>
      <w:r>
        <w:t xml:space="preserve">🚀 Performance</w:t>
      </w:r>
      <w:r>
        <w:t xml:space="preserve"> </w:t>
      </w:r>
      <w:r>
        <w:t xml:space="preserve">Le choix entre tunnel complet et split tunneling a un impact direct sur la latence perçue par l’utilisateur distant — évalue ce choix en fonction du niveau de contrôle réellement nécessaire, plutôt que d’imposer systématiquement l’option la plus restrictive.</w:t>
      </w:r>
    </w:p>
    <w:bookmarkEnd w:id="1693"/>
    <w:bookmarkStart w:id="1694" w:name="résumé-du-chapitre-68"/>
    <w:p>
      <w:pPr>
        <w:pStyle w:val="Heading2"/>
      </w:pPr>
      <w:r>
        <w:t xml:space="preserve">Résumé du chapitre</w:t>
      </w:r>
    </w:p>
    <w:p>
      <w:pPr>
        <w:pStyle w:val="Compact"/>
        <w:numPr>
          <w:ilvl w:val="0"/>
          <w:numId w:val="2588"/>
        </w:numPr>
      </w:pPr>
      <w:r>
        <w:t xml:space="preserve">Un VPN site à site relie en permanence deux réseaux entiers, tandis qu’un VPN d’accès distant relie un poste individuel à la demande.</w:t>
      </w:r>
    </w:p>
    <w:p>
      <w:pPr>
        <w:pStyle w:val="Compact"/>
        <w:numPr>
          <w:ilvl w:val="0"/>
          <w:numId w:val="2588"/>
        </w:numPr>
      </w:pPr>
      <w:r>
        <w:t xml:space="preserve">Le VPN site à site entre Port-au-Prince et Cap-Haïtien chiffre la liaison déjà rendue résiliente par OSPF, une protection complémentaire et non redondante.</w:t>
      </w:r>
    </w:p>
    <w:p>
      <w:pPr>
        <w:pStyle w:val="Compact"/>
        <w:numPr>
          <w:ilvl w:val="0"/>
          <w:numId w:val="2588"/>
        </w:numPr>
      </w:pPr>
      <w:r>
        <w:t xml:space="preserve">Le choix du protocole VPN (IPsec/IKEv2, OpenVPN, WireGuard) dépend du contexte, sans supériorité absolue de l’un sur l’autre.</w:t>
      </w:r>
    </w:p>
    <w:p>
      <w:pPr>
        <w:pStyle w:val="Compact"/>
        <w:numPr>
          <w:ilvl w:val="0"/>
          <w:numId w:val="2588"/>
        </w:numPr>
      </w:pPr>
      <w:r>
        <w:t xml:space="preserve">L’authentification multifacteur reste obligatoire pour tout accès VPN distant, sans exception.</w:t>
      </w:r>
    </w:p>
    <w:p>
      <w:pPr>
        <w:pStyle w:val="Compact"/>
        <w:numPr>
          <w:ilvl w:val="0"/>
          <w:numId w:val="2588"/>
        </w:numPr>
      </w:pPr>
      <w:r>
        <w:t xml:space="preserve">Le tunnel complet et le split tunneling représentent un arbitrage entre contrôle de sécurité et performance.</w:t>
      </w:r>
    </w:p>
    <w:p>
      <w:pPr>
        <w:pStyle w:val="Compact"/>
        <w:numPr>
          <w:ilvl w:val="0"/>
          <w:numId w:val="2588"/>
        </w:numPr>
      </w:pPr>
      <w:r>
        <w:t xml:space="preserve">Un VPN classique accorde une confiance implicite qui contredit le principe Zero Trust — la vérification continue des accès reste nécessaire même après connexion VPN.</w:t>
      </w:r>
    </w:p>
    <w:bookmarkEnd w:id="1694"/>
    <w:bookmarkStart w:id="1695" w:name="quiz-68"/>
    <w:p>
      <w:pPr>
        <w:pStyle w:val="Heading2"/>
      </w:pPr>
      <w:r>
        <w:t xml:space="preserve">Quiz</w:t>
      </w:r>
    </w:p>
    <w:p>
      <w:pPr>
        <w:pStyle w:val="FirstParagraph"/>
      </w:pPr>
      <w:r>
        <w:t xml:space="preserve">📝 QCM (une seule bonne réponse par question)</w:t>
      </w:r>
    </w:p>
    <w:p>
      <w:pPr>
        <w:pStyle w:val="Compact"/>
        <w:numPr>
          <w:ilvl w:val="0"/>
          <w:numId w:val="2589"/>
        </w:numPr>
      </w:pPr>
      <w:r>
        <w:t xml:space="preserve">Un VPN site à site est principalement utilisé pour :</w:t>
      </w:r>
    </w:p>
    <w:p>
      <w:pPr>
        <w:pStyle w:val="Compact"/>
        <w:numPr>
          <w:ilvl w:val="1"/>
          <w:numId w:val="2590"/>
        </w:numPr>
      </w:pPr>
    </w:p>
    <w:p>
      <w:pPr>
        <w:pStyle w:val="Compact"/>
        <w:numPr>
          <w:ilvl w:val="2"/>
          <w:numId w:val="2591"/>
        </w:numPr>
      </w:pPr>
      <w:r>
        <w:t xml:space="preserve">Un accès ponctuel d’un poste individuel au réseau interne</w:t>
      </w:r>
    </w:p>
    <w:p>
      <w:pPr>
        <w:pStyle w:val="Compact"/>
        <w:numPr>
          <w:ilvl w:val="1"/>
          <w:numId w:val="2590"/>
        </w:numPr>
      </w:pPr>
    </w:p>
    <w:p>
      <w:pPr>
        <w:pStyle w:val="Compact"/>
        <w:numPr>
          <w:ilvl w:val="2"/>
          <w:numId w:val="2592"/>
        </w:numPr>
      </w:pPr>
      <w:r>
        <w:t xml:space="preserve">Relier en permanence deux réseaux entiers à travers Internet</w:t>
      </w:r>
    </w:p>
    <w:p>
      <w:pPr>
        <w:pStyle w:val="Compact"/>
        <w:numPr>
          <w:ilvl w:val="1"/>
          <w:numId w:val="2590"/>
        </w:numPr>
      </w:pPr>
    </w:p>
    <w:p>
      <w:pPr>
        <w:pStyle w:val="Compact"/>
        <w:numPr>
          <w:ilvl w:val="2"/>
          <w:numId w:val="2593"/>
        </w:numPr>
      </w:pPr>
      <w:r>
        <w:t xml:space="preserve">Remplacer le besoin d’un reverse proxy</w:t>
      </w:r>
    </w:p>
    <w:p>
      <w:pPr>
        <w:pStyle w:val="Compact"/>
        <w:numPr>
          <w:ilvl w:val="1"/>
          <w:numId w:val="2590"/>
        </w:numPr>
      </w:pPr>
    </w:p>
    <w:p>
      <w:pPr>
        <w:pStyle w:val="Compact"/>
        <w:numPr>
          <w:ilvl w:val="2"/>
          <w:numId w:val="2594"/>
        </w:numPr>
      </w:pPr>
      <w:r>
        <w:t xml:space="preserve">Chiffrer uniquement le trafic web</w:t>
      </w:r>
    </w:p>
    <w:p>
      <w:pPr>
        <w:pStyle w:val="Compact"/>
        <w:numPr>
          <w:ilvl w:val="0"/>
          <w:numId w:val="2589"/>
        </w:numPr>
      </w:pPr>
      <w:r>
        <w:t xml:space="preserve">L’authentification multifacteur pour un accès VPN distant est :</w:t>
      </w:r>
    </w:p>
    <w:p>
      <w:pPr>
        <w:pStyle w:val="Compact"/>
        <w:numPr>
          <w:ilvl w:val="1"/>
          <w:numId w:val="2595"/>
        </w:numPr>
      </w:pPr>
    </w:p>
    <w:p>
      <w:pPr>
        <w:pStyle w:val="Compact"/>
        <w:numPr>
          <w:ilvl w:val="2"/>
          <w:numId w:val="2596"/>
        </w:numPr>
      </w:pPr>
      <w:r>
        <w:t xml:space="preserve">Optionnelle si le mot de passe est suffisamment complexe</w:t>
      </w:r>
    </w:p>
    <w:p>
      <w:pPr>
        <w:pStyle w:val="Compact"/>
        <w:numPr>
          <w:ilvl w:val="1"/>
          <w:numId w:val="2595"/>
        </w:numPr>
      </w:pPr>
    </w:p>
    <w:p>
      <w:pPr>
        <w:pStyle w:val="Compact"/>
        <w:numPr>
          <w:ilvl w:val="2"/>
          <w:numId w:val="2597"/>
        </w:numPr>
      </w:pPr>
      <w:r>
        <w:t xml:space="preserve">Obligatoire, sans exception, conformément à la leçon du chapitre 25</w:t>
      </w:r>
    </w:p>
    <w:p>
      <w:pPr>
        <w:pStyle w:val="Compact"/>
        <w:numPr>
          <w:ilvl w:val="1"/>
          <w:numId w:val="2595"/>
        </w:numPr>
      </w:pPr>
    </w:p>
    <w:p>
      <w:pPr>
        <w:pStyle w:val="Compact"/>
        <w:numPr>
          <w:ilvl w:val="2"/>
          <w:numId w:val="2598"/>
        </w:numPr>
      </w:pPr>
      <w:r>
        <w:t xml:space="preserve">Uniquement nécessaire pour les administrateurs</w:t>
      </w:r>
    </w:p>
    <w:p>
      <w:pPr>
        <w:pStyle w:val="Compact"/>
        <w:numPr>
          <w:ilvl w:val="1"/>
          <w:numId w:val="2595"/>
        </w:numPr>
      </w:pPr>
    </w:p>
    <w:p>
      <w:pPr>
        <w:pStyle w:val="Compact"/>
        <w:numPr>
          <w:ilvl w:val="2"/>
          <w:numId w:val="2599"/>
        </w:numPr>
      </w:pPr>
      <w:r>
        <w:t xml:space="preserve">Remplacée automatiquement par le chiffrement du tunnel VPN</w:t>
      </w:r>
    </w:p>
    <w:p>
      <w:pPr>
        <w:pStyle w:val="Compact"/>
        <w:numPr>
          <w:ilvl w:val="0"/>
          <w:numId w:val="2589"/>
        </w:numPr>
      </w:pPr>
      <w:r>
        <w:t xml:space="preserve">Le split tunneling, comparé à un tunnel complet, présente l’avantage de :</w:t>
      </w:r>
    </w:p>
    <w:p>
      <w:pPr>
        <w:pStyle w:val="Compact"/>
        <w:numPr>
          <w:ilvl w:val="1"/>
          <w:numId w:val="2600"/>
        </w:numPr>
      </w:pPr>
    </w:p>
    <w:p>
      <w:pPr>
        <w:pStyle w:val="Compact"/>
        <w:numPr>
          <w:ilvl w:val="2"/>
          <w:numId w:val="2601"/>
        </w:numPr>
      </w:pPr>
      <w:r>
        <w:t xml:space="preserve">Chiffrer davantage de trafic</w:t>
      </w:r>
    </w:p>
    <w:p>
      <w:pPr>
        <w:pStyle w:val="Compact"/>
        <w:numPr>
          <w:ilvl w:val="1"/>
          <w:numId w:val="2600"/>
        </w:numPr>
      </w:pPr>
    </w:p>
    <w:p>
      <w:pPr>
        <w:pStyle w:val="Compact"/>
        <w:numPr>
          <w:ilvl w:val="2"/>
          <w:numId w:val="2602"/>
        </w:numPr>
      </w:pPr>
      <w:r>
        <w:t xml:space="preserve">Réduire la charge sur l’infrastructure centrale en n’acheminant que le trafic interne nécessaire</w:t>
      </w:r>
    </w:p>
    <w:p>
      <w:pPr>
        <w:pStyle w:val="Compact"/>
        <w:numPr>
          <w:ilvl w:val="1"/>
          <w:numId w:val="2600"/>
        </w:numPr>
      </w:pPr>
    </w:p>
    <w:p>
      <w:pPr>
        <w:pStyle w:val="Compact"/>
        <w:numPr>
          <w:ilvl w:val="2"/>
          <w:numId w:val="2603"/>
        </w:numPr>
      </w:pPr>
      <w:r>
        <w:t xml:space="preserve">Éliminer le besoin d’authentification multifacteur</w:t>
      </w:r>
    </w:p>
    <w:p>
      <w:pPr>
        <w:pStyle w:val="Compact"/>
        <w:numPr>
          <w:ilvl w:val="1"/>
          <w:numId w:val="2600"/>
        </w:numPr>
      </w:pPr>
    </w:p>
    <w:p>
      <w:pPr>
        <w:pStyle w:val="Compact"/>
        <w:numPr>
          <w:ilvl w:val="2"/>
          <w:numId w:val="2604"/>
        </w:numPr>
      </w:pPr>
      <w:r>
        <w:t xml:space="preserve">Remplacer le besoin de Zero Trust</w:t>
      </w:r>
    </w:p>
    <w:p>
      <w:pPr>
        <w:pStyle w:val="FirstParagraph"/>
      </w:pPr>
      <w:r>
        <w:rPr>
          <w:b/>
          <w:bCs/>
        </w:rPr>
        <w:t xml:space="preserve">Corrigé</w:t>
      </w:r>
      <w:r>
        <w:t xml:space="preserve"> </w:t>
      </w:r>
      <w:r>
        <w:t xml:space="preserve">: 1-b, 2-b, 3-b.</w:t>
      </w:r>
    </w:p>
    <w:p>
      <w:pPr>
        <w:pStyle w:val="BodyText"/>
      </w:pPr>
      <w:r>
        <w:t xml:space="preserve">📝 Vrai ou Faux</w:t>
      </w:r>
    </w:p>
    <w:p>
      <w:pPr>
        <w:pStyle w:val="Compact"/>
        <w:numPr>
          <w:ilvl w:val="0"/>
          <w:numId w:val="2605"/>
        </w:numPr>
      </w:pPr>
      <w:r>
        <w:t xml:space="preserve">Un VPN d’accès distant relie en permanence deux réseaux entiers, comme un VPN site à site. —</w:t>
      </w:r>
      <w:r>
        <w:t xml:space="preserve"> </w:t>
      </w:r>
      <w:r>
        <w:rPr>
          <w:b/>
          <w:bCs/>
        </w:rPr>
        <w:t xml:space="preserve">Faux</w:t>
      </w:r>
      <w:r>
        <w:t xml:space="preserve"> </w:t>
      </w:r>
      <w:r>
        <w:t xml:space="preserve">(section 69.1).</w:t>
      </w:r>
    </w:p>
    <w:p>
      <w:pPr>
        <w:pStyle w:val="Compact"/>
        <w:numPr>
          <w:ilvl w:val="0"/>
          <w:numId w:val="2605"/>
        </w:numPr>
      </w:pPr>
      <w:r>
        <w:t xml:space="preserve">Une fois connecté via VPN classique, un utilisateur bénéficie généralement d’une confiance implicite large, contredisant le principe Zero Trust. —</w:t>
      </w:r>
      <w:r>
        <w:t xml:space="preserve"> </w:t>
      </w:r>
      <w:r>
        <w:rPr>
          <w:b/>
          <w:bCs/>
        </w:rPr>
        <w:t xml:space="preserve">Vrai</w:t>
      </w:r>
      <w:r>
        <w:t xml:space="preserve">.</w:t>
      </w:r>
    </w:p>
    <w:p>
      <w:pPr>
        <w:pStyle w:val="Compact"/>
        <w:numPr>
          <w:ilvl w:val="0"/>
          <w:numId w:val="2605"/>
        </w:numPr>
      </w:pPr>
      <w:r>
        <w:t xml:space="preserve">Le choix entre IPsec, OpenVPN et WireGuard dépend du contexte d’usage, sans protocole universellement supérieur. —</w:t>
      </w:r>
      <w:r>
        <w:t xml:space="preserve"> </w:t>
      </w:r>
      <w:r>
        <w:rPr>
          <w:b/>
          <w:bCs/>
        </w:rPr>
        <w:t xml:space="preserve">Vrai</w:t>
      </w:r>
      <w:r>
        <w:t xml:space="preserve">.</w:t>
      </w:r>
    </w:p>
    <w:p>
      <w:pPr>
        <w:pStyle w:val="Compact"/>
        <w:numPr>
          <w:ilvl w:val="0"/>
          <w:numId w:val="2605"/>
        </w:numPr>
      </w:pPr>
      <w:r>
        <w:t xml:space="preserve">Un accès VPN accordé pour un besoin temporaire n’a pas besoin d’être révoqué une fois ce besoin terminé. —</w:t>
      </w:r>
      <w:r>
        <w:t xml:space="preserve"> </w:t>
      </w:r>
      <w:r>
        <w:rPr>
          <w:b/>
          <w:bCs/>
        </w:rPr>
        <w:t xml:space="preserve">Faux</w:t>
      </w:r>
      <w:r>
        <w:t xml:space="preserve"> </w:t>
      </w:r>
      <w:r>
        <w:t xml:space="preserve">(section</w:t>
      </w:r>
      <w:r>
        <w:t xml:space="preserve"> </w:t>
      </w:r>
      <w:r>
        <w:t xml:space="preserve">“En entreprise”</w:t>
      </w:r>
      <w:r>
        <w:t xml:space="preserve">).</w:t>
      </w:r>
    </w:p>
    <w:p>
      <w:pPr>
        <w:pStyle w:val="FirstParagraph"/>
      </w:pPr>
      <w:r>
        <w:t xml:space="preserve">📝 Questions ouvertes</w:t>
      </w:r>
    </w:p>
    <w:p>
      <w:pPr>
        <w:pStyle w:val="Compact"/>
        <w:numPr>
          <w:ilvl w:val="0"/>
          <w:numId w:val="2606"/>
        </w:numPr>
      </w:pPr>
      <w:r>
        <w:t xml:space="preserve">Explique pourquoi le VPN site à site entre Port-au-Prince et Cap-Haïtien apporte une protection complémentaire, et non redondante, à la résilience déjà assurée par OSPF au chapitre 65.</w:t>
      </w:r>
    </w:p>
    <w:p>
      <w:pPr>
        <w:pStyle w:val="Compact"/>
        <w:numPr>
          <w:ilvl w:val="0"/>
          <w:numId w:val="2606"/>
        </w:numPr>
      </w:pPr>
      <w:r>
        <w:t xml:space="preserve">Un collègue affirme que, puisque le VPN d’accès distant chiffre déjà la connexion et exige une authentification multifacteur, aucune vérification supplémentaire n’est nécessaire une fois l’utilisateur connecté. Discute cette affirmation à la lumière du principe Zero Trust.</w:t>
      </w:r>
    </w:p>
    <w:p>
      <w:pPr>
        <w:pStyle w:val="FirstParagraph"/>
      </w:pPr>
      <w:r>
        <w:rPr>
          <w:b/>
          <w:bCs/>
        </w:rPr>
        <w:t xml:space="preserve">Corrigé 1</w:t>
      </w:r>
      <w:r>
        <w:t xml:space="preserve"> </w:t>
      </w:r>
      <w:r>
        <w:t xml:space="preserve">: OSPF (chapitre 65) garantit la disponibilité et la continuité de la liaison entre les deux sites, en recalculant automatiquement un chemin alternatif en cas de panne d’un lien — un objectif de résilience et de continuité. Le VPN site à site, via IPsec, garantit la confidentialité du contenu qui transite sur cette liaison, quel que soit le chemin physique effectivement emprunté — un objectif de protection des données contre l’interception. Ces deux objectifs sont indépendants l’un de l’autre : une liaison parfaitement résiliente mais non chiffrée resterait vulnérable à l’interception ; une liaison chiffrée mais sans redondance resterait vulnérable à une simple panne de lien. Les deux mécanismes se complètent donc sans se substituer l’un à l’autre.</w:t>
      </w:r>
    </w:p>
    <w:p>
      <w:pPr>
        <w:pStyle w:val="BodyText"/>
      </w:pPr>
      <w:r>
        <w:rPr>
          <w:b/>
          <w:bCs/>
        </w:rPr>
        <w:t xml:space="preserve">Corrigé 2</w:t>
      </w:r>
      <w:r>
        <w:t xml:space="preserve"> </w:t>
      </w:r>
      <w:r>
        <w:t xml:space="preserve">: cette affirmation contredit directement le principe Zero Trust déjà établi au chapitre 26. Le chiffrement et l’authentification multifacteur du VPN garantissent que la connexion elle-même est légitime et sécurisée, mais ne disent rien sur ce que cet utilisateur devrait être autorisé à faire une fois connecté — un utilisateur légitimement authentifié via VPN ne devrait pas, pour autant, obtenir un accès illimité à l’ensemble des ressources internes. Le principe Zero Trust recommande de continuer à vérifier chaque accès à une ressource spécifique, indépendamment de la connexion VPN elle-même, garantissant qu’un compte compromis après authentification (par exemple si l’appareil du commercial est lui-même infecté) ne se traduise pas automatiquement par un accès total et incontrôlé à l’ensemble du réseau interne.</w:t>
      </w:r>
    </w:p>
    <w:bookmarkEnd w:id="1695"/>
    <w:bookmarkStart w:id="1696" w:name="exercices-68"/>
    <w:p>
      <w:pPr>
        <w:pStyle w:val="Heading2"/>
      </w:pPr>
      <w:r>
        <w:t xml:space="preserve">Exercices</w:t>
      </w:r>
    </w:p>
    <w:p>
      <w:pPr>
        <w:pStyle w:val="FirstParagraph"/>
      </w:pPr>
      <w:r>
        <w:t xml:space="preserve">📝 Exercice 69.1</w:t>
      </w:r>
    </w:p>
    <w:p>
      <w:pPr>
        <w:pStyle w:val="BodyText"/>
      </w:pPr>
      <w:r>
        <w:t xml:space="preserve">Pour chacun des deux besoins suivants, indique s’il s’agit d’un cas d’usage pour un VPN site à site ou un VPN d’accès distant, et justifie brièvement : (a) un nouveau site secondaire de l’entreprise doit accéder en permanence aux mêmes ressources internes que le siège ; (b) un administrateur doit occasionnellement intervenir à distance sur un équipement, en remplacement de l’exposition directe de Winbox déjà déconseillée au chapitre 67.</w:t>
      </w:r>
    </w:p>
    <w:p>
      <w:pPr>
        <w:pStyle w:val="BodyText"/>
      </w:pPr>
      <w:r>
        <w:rPr>
          <w:b/>
          <w:bCs/>
        </w:rPr>
        <w:t xml:space="preserve">Corrigé :</w:t>
      </w:r>
      <w:r>
        <w:t xml:space="preserve"> </w:t>
      </w:r>
      <w:r>
        <w:t xml:space="preserve">(a) un VPN site à site convient à ce besoin — la connexion doit être permanente et concerner l’ensemble du réseau du nouveau site, exactement le même besoin que celui déjà couvert entre Port-au-Prince et Cap-Haïtien (section 69.2). (b) un VPN d’accès distant convient à ce besoin — l’accès est ponctuel, initié à la demande par un poste individuel, pour la durée d’une intervention spécifique, exactement le cas d’usage déjà identifié comme alternative sécurisée à l’exposition directe de l’interface d’administration au chapitre 67 (section 69.3).</w:t>
      </w:r>
    </w:p>
    <w:p>
      <w:pPr>
        <w:pStyle w:val="BodyText"/>
      </w:pPr>
      <w:r>
        <w:t xml:space="preserve">📝 Exercice 69.2</w:t>
      </w:r>
    </w:p>
    <w:p>
      <w:pPr>
        <w:pStyle w:val="BodyText"/>
      </w:pPr>
      <w:r>
        <w:t xml:space="preserve">Rédige, en 3 à 5 phrases, une règle d’équipe garantissant qu’aucun accès VPN d’accès distant n’est jamais accordé sans authentification multifacteur, en t’appuyant sur le risque décrit à la section 69.5.</w:t>
      </w:r>
    </w:p>
    <w:p>
      <w:pPr>
        <w:pStyle w:val="BodyText"/>
      </w:pPr>
      <w:r>
        <w:rPr>
          <w:b/>
          <w:bCs/>
        </w:rPr>
        <w:t xml:space="preserve">Corrigé (exemple de réponse) :</w:t>
      </w:r>
      <w:r>
        <w:t xml:space="preserve"> </w:t>
      </w:r>
      <w:r>
        <w:t xml:space="preserve">Tout accès VPN d’accès distant devra être configuré avec une exigence d’authentification multifacteur activée dès sa création, sans possibilité de dérogation même pour un besoin jugé temporaire ou urgent. Cette exigence rejoint directement la mesure déjà mise en place pour Active Directory suite à l’incident de phishing du chapitre 25, un accès VPN représentant une porte d’entrée tout aussi critique vers le réseau interne. Toute demande de création d’un nouvel accès VPN sans authentification multifacteur activée sera automatiquement refusée par le processus de mise en service, plutôt que de dépendre de la vigilance individuelle de la personne configurant cet accès.</w:t>
      </w:r>
    </w:p>
    <w:bookmarkEnd w:id="1696"/>
    <w:bookmarkStart w:id="1697" w:name="checklist-de-fin-de-chapitre-68"/>
    <w:p>
      <w:pPr>
        <w:pStyle w:val="Heading2"/>
      </w:pPr>
      <w:r>
        <w:t xml:space="preserve">Checklist de fin de chapitre</w:t>
      </w:r>
    </w:p>
    <w:p>
      <w:pPr>
        <w:pStyle w:val="FirstParagraph"/>
      </w:pPr>
      <w:r>
        <w:t xml:space="preserve">☐ Je comprends la différence entre un VPN site à site et un VPN d’accès distant.</w:t>
      </w:r>
    </w:p>
    <w:p>
      <w:pPr>
        <w:pStyle w:val="BodyText"/>
      </w:pPr>
      <w:r>
        <w:t xml:space="preserve">☐ Je sais pourquoi un VPN site à site apporte une protection complémentaire à la résilience OSPF déjà établie.</w:t>
      </w:r>
    </w:p>
    <w:p>
      <w:pPr>
        <w:pStyle w:val="BodyText"/>
      </w:pPr>
      <w:r>
        <w:t xml:space="preserve">☐ Je sais choisir un protocole VPN adapté au contexte (IPsec/IKEv2, OpenVPN, WireGuard).</w:t>
      </w:r>
    </w:p>
    <w:p>
      <w:pPr>
        <w:pStyle w:val="BodyText"/>
      </w:pPr>
      <w:r>
        <w:t xml:space="preserve">☐ Je comprends pourquoi l’authentification multifacteur reste obligatoire pour tout accès VPN distant.</w:t>
      </w:r>
    </w:p>
    <w:p>
      <w:pPr>
        <w:pStyle w:val="BodyText"/>
      </w:pPr>
      <w:r>
        <w:t xml:space="preserve">☐ Je sais arbitrer entre tunnel complet et split tunneling selon le besoin réel.</w:t>
      </w:r>
    </w:p>
    <w:p>
      <w:pPr>
        <w:pStyle w:val="BodyText"/>
      </w:pPr>
      <w:r>
        <w:t xml:space="preserve">☐ Je comprends pourquoi un VPN classique ne suffit pas à lui seul dans une approche Zero Trust.</w:t>
      </w:r>
    </w:p>
    <w:bookmarkEnd w:id="1697"/>
    <w:bookmarkStart w:id="1698" w:name="faq-68"/>
    <w:p>
      <w:pPr>
        <w:pStyle w:val="Heading2"/>
      </w:pPr>
      <w:r>
        <w:t xml:space="preserve">FAQ</w:t>
      </w:r>
    </w:p>
    <w:p>
      <w:pPr>
        <w:pStyle w:val="FirstParagraph"/>
      </w:pPr>
      <w:r>
        <w:t xml:space="preserve">Un VPN reste-t-il pertinent dans une infrastructure entièrement adoptant l’approche Zero Trust ?</w:t>
      </w:r>
    </w:p>
    <w:p>
      <w:pPr>
        <w:pStyle w:val="BodyText"/>
      </w:pPr>
      <w:r>
        <w:t xml:space="preserve">Oui, souvent en complément d’autres mécanismes plutôt qu’en remplacement complet — certaines architectures Zero Trust modernes remplacent progressivement le VPN traditionnel par un accès applicatif granulaire (ZTNA, Zero Trust Network Access), mais le VPN reste largement répandu et pertinent, notamment pour les liaisons site à site.</w:t>
      </w:r>
    </w:p>
    <w:p>
      <w:pPr>
        <w:pStyle w:val="BodyText"/>
      </w:pPr>
      <w:r>
        <w:t xml:space="preserve">WireGuard est-il suffisamment mature pour un usage en entreprise, malgré sa relative jeunesse par rapport à IPsec ?</w:t>
      </w:r>
    </w:p>
    <w:p>
      <w:pPr>
        <w:pStyle w:val="BodyText"/>
      </w:pPr>
      <w:r>
        <w:t xml:space="preserve">Oui, WireGuard est aujourd’hui largement adopté en environnement professionnel, apprécié pour la simplicité de sa configuration et ses performances, bien que son adoption reste plus récente que celle d’IPsec pour les VPN site à site traditionnels.</w:t>
      </w:r>
    </w:p>
    <w:p>
      <w:pPr>
        <w:pStyle w:val="BodyText"/>
      </w:pPr>
      <w:r>
        <w:t xml:space="preserve">Faut-il un VPN distinct pour chaque catégorie d’utilisateur (commerciaux, administrateurs), ou un seul VPN suffit-il ?</w:t>
      </w:r>
    </w:p>
    <w:p>
      <w:pPr>
        <w:pStyle w:val="BodyText"/>
      </w:pPr>
      <w:r>
        <w:t xml:space="preserve">Un seul système VPN peut généralement servir plusieurs catégories d’utilisateurs, à condition que les droits d’accès une fois connecté restent correctement différenciés selon le profil de l’utilisateur — une distinction qui relève davantage de la segmentation interne (chapitre 70) que du VPN lui-même.</w:t>
      </w:r>
    </w:p>
    <w:p>
      <w:pPr>
        <w:pStyle w:val="BodyText"/>
      </w:pPr>
      <w:r>
        <w:t xml:space="preserve">Le VPN protège-t-il contre un appareil déjà compromis avant sa connexion ?</w:t>
      </w:r>
    </w:p>
    <w:p>
      <w:pPr>
        <w:pStyle w:val="BodyText"/>
      </w:pPr>
      <w:r>
        <w:t xml:space="preserve">Non, le VPN sécurise le canal de communication, pas l’intégrité de l’appareil qui l’utilise — un poste déjà infecté avant sa connexion VPN reste une menace une fois connecté au réseau interne, ce qui renforce l’importance du principe Zero Trust et de la vérification continue déjà évoqués à la section 69.7.</w:t>
      </w:r>
    </w:p>
    <w:bookmarkEnd w:id="1698"/>
    <w:bookmarkStart w:id="1702" w:name="références-et-pour-aller-plus-loin-68"/>
    <w:p>
      <w:pPr>
        <w:pStyle w:val="Heading2"/>
      </w:pPr>
      <w:r>
        <w:t xml:space="preserve">Références et pour aller plus loin</w:t>
      </w:r>
    </w:p>
    <w:p>
      <w:pPr>
        <w:pStyle w:val="Compact"/>
        <w:numPr>
          <w:ilvl w:val="0"/>
          <w:numId w:val="2607"/>
        </w:numPr>
      </w:pPr>
      <w:r>
        <w:t xml:space="preserve">NIST — Guide to IPsec VPNs (SP 800-77) :</w:t>
      </w:r>
      <w:r>
        <w:t xml:space="preserve"> </w:t>
      </w:r>
      <w:hyperlink r:id="rId1699">
        <w:r>
          <w:rPr>
            <w:rStyle w:val="Hyperlink"/>
          </w:rPr>
          <w:t xml:space="preserve">https://csrc.nist.gov/publications/detail/sp/800-77/rev-1/final</w:t>
        </w:r>
      </w:hyperlink>
    </w:p>
    <w:p>
      <w:pPr>
        <w:pStyle w:val="Compact"/>
        <w:numPr>
          <w:ilvl w:val="0"/>
          <w:numId w:val="2607"/>
        </w:numPr>
      </w:pPr>
      <w:r>
        <w:t xml:space="preserve">Documentation officielle WireGuard :</w:t>
      </w:r>
      <w:r>
        <w:t xml:space="preserve"> </w:t>
      </w:r>
      <w:hyperlink r:id="rId1700">
        <w:r>
          <w:rPr>
            <w:rStyle w:val="Hyperlink"/>
          </w:rPr>
          <w:t xml:space="preserve">https://www.wireguard.com/</w:t>
        </w:r>
      </w:hyperlink>
    </w:p>
    <w:p>
      <w:pPr>
        <w:pStyle w:val="Compact"/>
        <w:numPr>
          <w:ilvl w:val="0"/>
          <w:numId w:val="2607"/>
        </w:numPr>
      </w:pPr>
      <w:r>
        <w:t xml:space="preserve">Documentation officielle OpenVPN :</w:t>
      </w:r>
      <w:r>
        <w:t xml:space="preserve"> </w:t>
      </w:r>
      <w:hyperlink r:id="rId1701">
        <w:r>
          <w:rPr>
            <w:rStyle w:val="Hyperlink"/>
          </w:rPr>
          <w:t xml:space="preserve">https://openvpn.net/community-resources/</w:t>
        </w:r>
      </w:hyperlink>
    </w:p>
    <w:p>
      <w:pPr>
        <w:pStyle w:val="FirstParagraph"/>
      </w:pPr>
      <w:r>
        <w:rPr>
          <w:i/>
          <w:iCs/>
        </w:rPr>
        <w:t xml:space="preserve">Chapitre suivant : la segmentation VLAN, pour clore la Partie 11 — approfondir et formaliser la logique de segmentation déjà rencontrée à plusieurs reprises dans cette partie, appliquée à l’ensemble de l’infrastructure réseau interne de l’entreprise.</w:t>
      </w:r>
    </w:p>
    <w:p>
      <w:pPr>
        <w:pStyle w:val="BodyText"/>
      </w:pPr>
      <w:r>
        <w:t xml:space="preserve">CHAPITRE 70</w:t>
      </w:r>
    </w:p>
    <w:bookmarkEnd w:id="1702"/>
    <w:bookmarkEnd w:id="1703"/>
    <w:bookmarkStart w:id="1726" w:name="segmentation-vlan"/>
    <w:p>
      <w:pPr>
        <w:pStyle w:val="Heading1"/>
      </w:pPr>
      <w:r>
        <w:t xml:space="preserve">Segmentation VLAN</w:t>
      </w:r>
    </w:p>
    <w:p>
      <w:pPr>
        <w:pStyle w:val="FirstParagraph"/>
      </w:pPr>
      <w:r>
        <w:t xml:space="preserve">🎯 Objectif du chapitre</w:t>
      </w:r>
      <w:r>
        <w:t xml:space="preserve"> </w:t>
      </w:r>
      <w:r>
        <w:t xml:space="preserve">Clore la Partie 11 de ce manuel en formalisant la logique de segmentation déjà rencontrée à plusieurs reprises — les VLAN de base du chapitre 11, les zones de sécurité Fortinet du chapitre 66, le VLAN d’administration recommandé pour Zabbix, Syslog et Mikrotik. À la fin de ce chapitre, tu sauras concevoir une politique de segmentation cohérente pour l’ensemble d’un réseau d’entreprise, appliquer le refus par défaut au routage inter-VLAN, et comprendre la micro-segmentation comme prolongement naturel du principe Zero Trust déjà introduit au chapitre 26.</w:t>
      </w:r>
    </w:p>
    <w:p>
      <w:pPr>
        <w:pStyle w:val="BodyText"/>
      </w:pPr>
      <w:r>
        <w:t xml:space="preserve">🎬 Mise en situation</w:t>
      </w:r>
      <w:r>
        <w:t xml:space="preserve"> </w:t>
      </w:r>
      <w:r>
        <w:t xml:space="preserve">Un audit de sécurité externe, commandé par la RSSI, examine la segmentation réseau de l’entreprise. Le constat est sans appel : des VLAN ont été créés au fil des années, service par service, sans politique cohérente d’ensemble — certains VLAN mélangent des postes utilisateurs et des serveurs, le routage inter-VLAN autorise</w:t>
      </w:r>
      <w:r>
        <w:t xml:space="preserve"> </w:t>
      </w:r>
      <w:r>
        <w:t xml:space="preserve">“tout vers tout”</w:t>
      </w:r>
      <w:r>
        <w:t xml:space="preserve"> </w:t>
      </w:r>
      <w:r>
        <w:t xml:space="preserve">par simplicité historique, et aucun VLAN d’administration dédié n’isole la gestion des équipements réseau eux-mêmes.</w:t>
      </w:r>
      <w:r>
        <w:t xml:space="preserve"> </w:t>
      </w:r>
      <w:r>
        <w:t xml:space="preserve">“Vos VLAN existent,”</w:t>
      </w:r>
      <w:r>
        <w:t xml:space="preserve"> </w:t>
      </w:r>
      <w:r>
        <w:t xml:space="preserve">résume l’auditeur,</w:t>
      </w:r>
      <w:r>
        <w:t xml:space="preserve"> </w:t>
      </w:r>
      <w:r>
        <w:t xml:space="preserve">“mais ils ne segmentent presque rien dans les faits, puisque tout communique librement avec tout.”</w:t>
      </w:r>
      <w:r>
        <w:t xml:space="preserve"> </w:t>
      </w:r>
      <w:r>
        <w:t xml:space="preserve">Ce chapitre reprend la segmentation depuis les principes, pour l’ensemble du réseau.</w:t>
      </w:r>
    </w:p>
    <w:bookmarkStart w:id="1704" w:name="X4e15089485f0dbcd1320219ad98f36eecd2d6da"/>
    <w:p>
      <w:pPr>
        <w:pStyle w:val="Heading2"/>
      </w:pPr>
      <w:r>
        <w:t xml:space="preserve">70.1 Le problème : des VLAN sans politique cohérente</w:t>
      </w:r>
    </w:p>
    <w:p>
      <w:pPr>
        <w:pStyle w:val="FirstParagraph"/>
      </w:pPr>
      <w:r>
        <w:t xml:space="preserve">📌 À retenir — un VLAN n’est une protection que s’il est accompagné d’une politique de routage restrictive</w:t>
      </w:r>
      <w:r>
        <w:t xml:space="preserve"> </w:t>
      </w:r>
      <w:r>
        <w:t xml:space="preserve">Un VLAN, à lui seul, ne fait que séparer un domaine de diffusion (broadcast) — il n’apporte aucune protection réelle si le routage entre VLAN autorise ensuite librement tout le trafic, comme le révèle l’audit du scénario d’ouverture. La segmentation efficace repose sur la combinaison de deux éléments indissociables : des VLAN correctement définis, et des règles de routage inter-VLAN appliquant le même principe de refus par défaut déjà établi pour le pare-feu périmétrique (chapitre 66) et pour le pare-feu Mikrotik (chapitre 67).</w:t>
      </w:r>
    </w:p>
    <w:bookmarkEnd w:id="1704"/>
    <w:bookmarkStart w:id="1708" w:name="X91037e1bf142197e758f3d1556d8d0a075aa41d"/>
    <w:p>
      <w:pPr>
        <w:pStyle w:val="Heading2"/>
      </w:pPr>
      <w:r>
        <w:t xml:space="preserve">70.2 Principes de segmentation : par fonction, par sensibilité, par confiance</w:t>
      </w:r>
    </w:p>
    <w:p>
      <w:pPr>
        <w:pStyle w:val="FirstParagraph"/>
      </w:pPr>
      <w:r>
        <w:t xml:space="preserve">📌 À retenir</w:t>
      </w:r>
      <w:r>
        <w:t xml:space="preserve"> </w:t>
      </w:r>
      <w:r>
        <w:t xml:space="preserve">Une segmentation cohérente regroupe les équipements selon des critères explicites : par</w:t>
      </w:r>
      <w:r>
        <w:t xml:space="preserve"> </w:t>
      </w:r>
      <w:r>
        <w:rPr>
          <w:b/>
          <w:bCs/>
        </w:rPr>
        <w:t xml:space="preserve">fonction</w:t>
      </w:r>
      <w:r>
        <w:t xml:space="preserve"> </w:t>
      </w:r>
      <w:r>
        <w:t xml:space="preserve">(postes utilisateurs, serveurs, imprimantes), par</w:t>
      </w:r>
      <w:r>
        <w:t xml:space="preserve"> </w:t>
      </w:r>
      <w:r>
        <w:rPr>
          <w:b/>
          <w:bCs/>
        </w:rPr>
        <w:t xml:space="preserve">sensibilité</w:t>
      </w:r>
      <w:r>
        <w:t xml:space="preserve"> </w:t>
      </w:r>
      <w:r>
        <w:t xml:space="preserve">(données financières, données de santé si applicable, données publiques), ou par</w:t>
      </w:r>
      <w:r>
        <w:t xml:space="preserve"> </w:t>
      </w:r>
      <w:r>
        <w:rPr>
          <w:b/>
          <w:bCs/>
        </w:rPr>
        <w:t xml:space="preserve">niveau de confiance</w:t>
      </w:r>
      <w:r>
        <w:t xml:space="preserve"> </w:t>
      </w:r>
      <w:r>
        <w:t xml:space="preserve">(réseau interne de confiance, réseau invité non fiable, zone démilitarisée exposée). Ces trois critères, souvent combinés, formalisent ce qui était déjà appliqué de façon informelle dans les chapitres précédents — les zones WAN/LAN/DMZ du pare-feu Fortinet (section 66.2) constituent un exemple de segmentation par niveau de confiance appliqué à l’échelle du périmètre.</w:t>
      </w:r>
    </w:p>
    <w:p>
      <w:pPr>
        <w:pStyle w:val="CaptionedFigure"/>
      </w:pPr>
      <w:r>
        <w:drawing>
          <wp:inline>
            <wp:extent cx="5334000" cy="3502445"/>
            <wp:effectExtent b="0" l="0" r="0" t="0"/>
            <wp:docPr descr="Diagramme" title="" id="1706" name="Picture"/>
            <a:graphic>
              <a:graphicData uri="http://schemas.openxmlformats.org/drawingml/2006/picture">
                <pic:pic>
                  <pic:nvPicPr>
                    <pic:cNvPr descr="C:/Users/ingja/Desktop/jarvis-starter-kit/livrables/formations/manuel-administration-systeme/assets/diagrams/d-70-segmentation-vlan-diagramme-1.png" id="1707" name="Picture"/>
                    <pic:cNvPicPr>
                      <a:picLocks noChangeArrowheads="1" noChangeAspect="1"/>
                    </pic:cNvPicPr>
                  </pic:nvPicPr>
                  <pic:blipFill>
                    <a:blip r:embed="rId1705"/>
                    <a:stretch>
                      <a:fillRect/>
                    </a:stretch>
                  </pic:blipFill>
                  <pic:spPr bwMode="auto">
                    <a:xfrm>
                      <a:off x="0" y="0"/>
                      <a:ext cx="5334000" cy="3502445"/>
                    </a:xfrm>
                    <a:prstGeom prst="rect">
                      <a:avLst/>
                    </a:prstGeom>
                    <a:noFill/>
                    <a:ln w="9525">
                      <a:noFill/>
                      <a:headEnd/>
                      <a:tailEnd/>
                    </a:ln>
                  </pic:spPr>
                </pic:pic>
              </a:graphicData>
            </a:graphic>
          </wp:inline>
        </w:drawing>
      </w:r>
    </w:p>
    <w:p>
      <w:pPr>
        <w:pStyle w:val="ImageCaption"/>
      </w:pPr>
      <w:r>
        <w:t xml:space="preserve">Diagramme</w:t>
      </w:r>
    </w:p>
    <w:bookmarkEnd w:id="1708"/>
    <w:bookmarkStart w:id="1709" w:name="X026e25fa5809ce5200623a0fbaeef5ceb7eb6f9"/>
    <w:p>
      <w:pPr>
        <w:pStyle w:val="Heading2"/>
      </w:pPr>
      <w:r>
        <w:t xml:space="preserve">70.3 Le VLAN d’administration dédié : formaliser un principe déjà rencontré</w:t>
      </w:r>
    </w:p>
    <w:p>
      <w:pPr>
        <w:pStyle w:val="FirstParagraph"/>
      </w:pPr>
      <w:r>
        <w:t xml:space="preserve">🔒 Sécurité — rappel direct de plusieurs chapitres précédents</w:t>
      </w:r>
      <w:r>
        <w:t xml:space="preserve"> </w:t>
      </w:r>
      <w:r>
        <w:t xml:space="preserve">Un</w:t>
      </w:r>
      <w:r>
        <w:t xml:space="preserve"> </w:t>
      </w:r>
      <w:r>
        <w:rPr>
          <w:b/>
          <w:bCs/>
        </w:rPr>
        <w:t xml:space="preserve">VLAN d’administration dédié</w:t>
      </w:r>
      <w:r>
        <w:t xml:space="preserve">, isolant l’accès aux interfaces de gestion des équipements réseau (Winbox de Mikrotik, interface Fortinet, agents Zabbix), a déjà été recommandé de façon ponctuelle à plusieurs reprises dans cette partie du manuel — restriction du port de l’agent Zabbix (section 59.3), du trafic Syslog (section 63.4), et surtout de l’interface Winbox (section 67.7). Ce chapitre formalise ce principe : tout accès d’administration à un équipement réseau ou système devrait transiter exclusivement par ce VLAN dédié, jamais depuis le VLAN des postes utilisateurs standards.</w:t>
      </w:r>
    </w:p>
    <w:bookmarkEnd w:id="1709"/>
    <w:bookmarkStart w:id="1710" w:name="Xd66780fc0eec33e87ba0c102ff0d23d6d8d85a9"/>
    <w:p>
      <w:pPr>
        <w:pStyle w:val="Heading2"/>
      </w:pPr>
      <w:r>
        <w:t xml:space="preserve">70.4 ACL inter-VLAN : qui peut parler à qui, explicitement</w:t>
      </w:r>
    </w:p>
    <w:p>
      <w:pPr>
        <w:pStyle w:val="FirstParagraph"/>
      </w:pPr>
      <w:r>
        <w:t xml:space="preserve">✅ Le même principe de refus par défaut, appliqué à l’ensemble du réseau interne</w:t>
      </w:r>
      <w:r>
        <w:t xml:space="preserve"> </w:t>
      </w:r>
      <w:r>
        <w:t xml:space="preserve">Une</w:t>
      </w:r>
      <w:r>
        <w:t xml:space="preserve"> </w:t>
      </w:r>
      <w:r>
        <w:rPr>
          <w:b/>
          <w:bCs/>
        </w:rPr>
        <w:t xml:space="preserve">liste de contrôle d’accès (ACL)</w:t>
      </w:r>
      <w:r>
        <w:t xml:space="preserve"> </w:t>
      </w:r>
      <w:r>
        <w:t xml:space="preserve">inter-VLAN définit explicitement quels VLAN peuvent communiquer avec quels autres VLAN, sur quels ports et protocoles précis — exactement le même principe de refus par défaut déjà appliqué au pare-feu périmétrique et au pare-feu Mikrotik, mais désormais appliqué également au trafic interne, entre les propres VLAN de l’entreprise.</w:t>
      </w:r>
    </w:p>
    <w:p>
      <w:pPr>
        <w:pStyle w:val="SourceCode"/>
      </w:pPr>
      <w:r>
        <w:rPr>
          <w:rStyle w:val="VerbatimChar"/>
        </w:rPr>
        <w:t xml:space="preserve"># Exemple de logique ACL inter-VLAN (syntaxe generique)</w:t>
      </w:r>
      <w:r>
        <w:br/>
      </w:r>
      <w:r>
        <w:rPr>
          <w:rStyle w:val="VerbatimChar"/>
        </w:rPr>
        <w:t xml:space="preserve">permit VLAN10 -&gt; VLAN20 tcp port 443   ! Postes utilisateurs vers portail interne</w:t>
      </w:r>
      <w:r>
        <w:br/>
      </w:r>
      <w:r>
        <w:rPr>
          <w:rStyle w:val="VerbatimChar"/>
        </w:rPr>
        <w:t xml:space="preserve">deny   VLAN10 -&gt; VLAN30                ! Postes utilisateurs vers VLAN administration : refuse</w:t>
      </w:r>
      <w:r>
        <w:br/>
      </w:r>
      <w:r>
        <w:rPr>
          <w:rStyle w:val="VerbatimChar"/>
        </w:rPr>
        <w:t xml:space="preserve">deny   VLAN40 -&gt; any                   ! Reseau invite : aucun acces au reste du reseau</w:t>
      </w:r>
    </w:p>
    <w:bookmarkEnd w:id="1710"/>
    <w:bookmarkStart w:id="1711" w:name="X5a578c322e98530046a9b42d520a07f0b8d4362"/>
    <w:p>
      <w:pPr>
        <w:pStyle w:val="Heading2"/>
      </w:pPr>
      <w:r>
        <w:t xml:space="preserve">70.5 Micro-segmentation : le prolongement naturel du VLAN</w:t>
      </w:r>
    </w:p>
    <w:p>
      <w:pPr>
        <w:pStyle w:val="FirstParagraph"/>
      </w:pPr>
      <w:r>
        <w:t xml:space="preserve">💡 Rappel direct des chapitres 26 et 69 — l’évolution du même principe</w:t>
      </w:r>
      <w:r>
        <w:t xml:space="preserve"> </w:t>
      </w:r>
      <w:r>
        <w:t xml:space="preserve">La segmentation par VLAN reste un découpage relativement large — tous les serveurs d’un même VLAN communiquent généralement librement entre eux. La</w:t>
      </w:r>
      <w:r>
        <w:t xml:space="preserve"> </w:t>
      </w:r>
      <w:r>
        <w:rPr>
          <w:b/>
          <w:bCs/>
        </w:rPr>
        <w:t xml:space="preserve">micro-segmentation</w:t>
      </w:r>
      <w:r>
        <w:t xml:space="preserve"> </w:t>
      </w:r>
      <w:r>
        <w:t xml:space="preserve">va plus loin, en isolant le trafic jusqu’au niveau d’un flux individuel entre deux systèmes précis, indépendamment de leur VLAN d’appartenance — exactement le prolongement naturel du principe Zero Trust déjà établi au chapitre 26 et rappelé au chapitre 69 : ne jamais accorder de confiance implicite, même entre systèmes d’un même segment réseau apparemment homogène.</w:t>
      </w:r>
    </w:p>
    <w:bookmarkEnd w:id="1711"/>
    <w:bookmarkStart w:id="1712" w:name="documenter-et-auditer-la-segmentation"/>
    <w:p>
      <w:pPr>
        <w:pStyle w:val="Heading2"/>
      </w:pPr>
      <w:r>
        <w:t xml:space="preserve">70.6 Documenter et auditer la segmentation</w:t>
      </w:r>
    </w:p>
    <w:p>
      <w:pPr>
        <w:pStyle w:val="FirstParagraph"/>
      </w:pPr>
      <w:r>
        <w:t xml:space="preserve">✅ Rappel direct du chapitre 65</w:t>
      </w:r>
      <w:r>
        <w:t xml:space="preserve"> </w:t>
      </w:r>
      <w:r>
        <w:t xml:space="preserve">Une politique de segmentation, aussi bien conçue soit-elle initialement, se dégrade avec le temps sans documentation et audit périodique — exactement le même risque déjà souligné pour la topologie réseau redondante au chapitre 65. Un schéma à jour des VLAN, de leur fonction, et des règles de routage inter-VLAN autorisées reste indispensable pour éviter de reproduire, dans quelques années, exactement le constat de l’audit du scénario d’ouverture de ce chapitre.</w:t>
      </w:r>
    </w:p>
    <w:bookmarkEnd w:id="1712"/>
    <w:bookmarkStart w:id="1713" w:name="X6dc3074c093adfb58b307820fa1a3abfad0afe6"/>
    <w:p>
      <w:pPr>
        <w:pStyle w:val="Heading2"/>
      </w:pPr>
      <w:r>
        <w:t xml:space="preserve">Atelier — Réorganiser la segmentation suite à l’audit</w:t>
      </w:r>
    </w:p>
    <w:p>
      <w:pPr>
        <w:pStyle w:val="FirstParagraph"/>
      </w:pPr>
      <w:r>
        <w:t xml:space="preserve">🛠️ Atelier 70 — Répondre au constat de l’audit du scénario d’ouverture</w:t>
      </w:r>
    </w:p>
    <w:p>
      <w:pPr>
        <w:pStyle w:val="BodyText"/>
      </w:pPr>
      <w:r>
        <w:rPr>
          <w:b/>
          <w:bCs/>
        </w:rPr>
        <w:t xml:space="preserve">Objectif</w:t>
      </w:r>
      <w:r>
        <w:t xml:space="preserve"> </w:t>
      </w:r>
      <w:r>
        <w:t xml:space="preserve">: concevoir une politique de segmentation cohérente pour l’ensemble du réseau interne de l’entreprise, corrigeant les manquements identifiés par l’audit.</w:t>
      </w:r>
    </w:p>
    <w:p>
      <w:pPr>
        <w:pStyle w:val="BodyText"/>
      </w:pPr>
      <w:r>
        <w:rPr>
          <w:b/>
          <w:bCs/>
        </w:rPr>
        <w:t xml:space="preserve">Préparation</w:t>
      </w:r>
      <w:r>
        <w:t xml:space="preserve"> </w:t>
      </w:r>
      <w:r>
        <w:t xml:space="preserve">: l’inventaire des VLAN existants (postes utilisateurs, serveurs, équipements réseau) comme point de départ.</w:t>
      </w:r>
    </w:p>
    <w:p>
      <w:pPr>
        <w:pStyle w:val="BodyText"/>
      </w:pPr>
      <w:r>
        <w:rPr>
          <w:b/>
          <w:bCs/>
        </w:rPr>
        <w:t xml:space="preserve">Étapes détaillées</w:t>
      </w:r>
      <w:r>
        <w:t xml:space="preserve"> </w:t>
      </w:r>
      <w:r>
        <w:t xml:space="preserve">:</w:t>
      </w:r>
    </w:p>
    <w:p>
      <w:pPr>
        <w:pStyle w:val="Compact"/>
        <w:numPr>
          <w:ilvl w:val="0"/>
          <w:numId w:val="2608"/>
        </w:numPr>
      </w:pPr>
      <w:r>
        <w:t xml:space="preserve">Propose une segmentation par fonction et par niveau de confiance pour l’ensemble des équipements de l’entreprise (section 70.2).</w:t>
      </w:r>
    </w:p>
    <w:p>
      <w:pPr>
        <w:pStyle w:val="Compact"/>
        <w:numPr>
          <w:ilvl w:val="0"/>
          <w:numId w:val="2608"/>
        </w:numPr>
      </w:pPr>
      <w:r>
        <w:t xml:space="preserve">Ajoute un VLAN d’administration dédié, distinct des VLAN utilisateurs et serveurs (section 70.3).</w:t>
      </w:r>
    </w:p>
    <w:p>
      <w:pPr>
        <w:pStyle w:val="Compact"/>
        <w:numPr>
          <w:ilvl w:val="0"/>
          <w:numId w:val="2608"/>
        </w:numPr>
      </w:pPr>
      <w:r>
        <w:t xml:space="preserve">Définis une liste d’ACL inter-VLAN explicites, appliquant le refus par défaut (section 70.4).</w:t>
      </w:r>
    </w:p>
    <w:p>
      <w:pPr>
        <w:pStyle w:val="Compact"/>
        <w:numPr>
          <w:ilvl w:val="0"/>
          <w:numId w:val="2608"/>
        </w:numPr>
      </w:pPr>
      <w:r>
        <w:t xml:space="preserve">Explique pourquoi le réseau invité ne devrait bénéficier d’aucun accès, même limité, vers les autres VLAN de l’entreprise.</w:t>
      </w:r>
    </w:p>
    <w:p>
      <w:pPr>
        <w:pStyle w:val="Compact"/>
        <w:numPr>
          <w:ilvl w:val="0"/>
          <w:numId w:val="2608"/>
        </w:numPr>
      </w:pPr>
      <w:r>
        <w:t xml:space="preserve">Compare ta démarche à la section</w:t>
      </w:r>
      <w:r>
        <w:t xml:space="preserve"> </w:t>
      </w:r>
      <w:r>
        <w:t xml:space="preserve">“Résultat attendu”</w:t>
      </w:r>
      <w:r>
        <w:t xml:space="preserve">.</w:t>
      </w:r>
    </w:p>
    <w:p>
      <w:pPr>
        <w:pStyle w:val="FirstParagraph"/>
      </w:pPr>
      <w:r>
        <w:rPr>
          <w:b/>
          <w:bCs/>
        </w:rPr>
        <w:t xml:space="preserve">Résultat attendu</w:t>
      </w:r>
      <w:r>
        <w:t xml:space="preserve"> </w:t>
      </w:r>
      <w:r>
        <w:t xml:space="preserve">: la nouvelle segmentation distingue au minimum les postes utilisateurs, les serveurs, un VLAN d’administration dédié, et le réseau invité, chacun avec des règles de routage inter-VLAN explicites plutôt que le</w:t>
      </w:r>
      <w:r>
        <w:t xml:space="preserve"> </w:t>
      </w:r>
      <w:r>
        <w:t xml:space="preserve">“tout vers tout”</w:t>
      </w:r>
      <w:r>
        <w:t xml:space="preserve"> </w:t>
      </w:r>
      <w:r>
        <w:t xml:space="preserve">constaté par l’audit. Le VLAN d’administration formalise ce qui était déjà recommandé ponctuellement dans les chapitres précédents pour chaque équipement individuel. Le réseau invité ne devrait bénéficier d’aucun accès vers les autres VLAN, car il accueille par nature des appareils non maîtrisés par l’entreprise — tout accès, même limité, représenterait une porte d’entrée potentielle vers le reste de l’infrastructure depuis un appareil dont l’état de sécurité reste inconnu.</w:t>
      </w:r>
    </w:p>
    <w:p>
      <w:pPr>
        <w:pStyle w:val="BodyText"/>
      </w:pPr>
      <w:r>
        <w:rPr>
          <w:b/>
          <w:bCs/>
        </w:rPr>
        <w:t xml:space="preserve">Dépannage</w:t>
      </w:r>
      <w:r>
        <w:t xml:space="preserve"> </w:t>
      </w:r>
      <w:r>
        <w:t xml:space="preserve">: si un service légitime cesse de fonctionner après la mise en place des nouvelles ACL inter-VLAN, identifie précisément le flux nécessaire (source, destination, port) via une capture réseau (chapitre 64) plutôt que d’assouplir largement la règle par commodité — une règle trop générale annulerait le bénéfice de la segmentation nouvellement mise en place.</w:t>
      </w:r>
    </w:p>
    <w:bookmarkEnd w:id="1713"/>
    <w:bookmarkStart w:id="1714" w:name="erreurs-fréquentes-69"/>
    <w:p>
      <w:pPr>
        <w:pStyle w:val="Heading2"/>
      </w:pPr>
      <w:r>
        <w:t xml:space="preserve">Erreurs fréquentes</w:t>
      </w:r>
    </w:p>
    <w:p>
      <w:pPr>
        <w:pStyle w:val="FirstParagraph"/>
      </w:pPr>
      <w:r>
        <w:t xml:space="preserve">⚠️ Erreur n°1 — des VLAN existants sans politique de routage inter-VLAN restrictive</w:t>
      </w:r>
      <w:r>
        <w:t xml:space="preserve"> </w:t>
      </w:r>
      <w:r>
        <w:t xml:space="preserve">Rappel du scénario d’ouverture : un VLAN sans ACL restrictive associée ne segmente presque rien dans les faits.</w:t>
      </w:r>
    </w:p>
    <w:p>
      <w:pPr>
        <w:pStyle w:val="BodyText"/>
      </w:pPr>
      <w:r>
        <w:t xml:space="preserve">⚠️ Erreur n°2 — aucun VLAN d’administration dédié pour les équipements réseau</w:t>
      </w:r>
      <w:r>
        <w:t xml:space="preserve"> </w:t>
      </w:r>
      <w:r>
        <w:t xml:space="preserve">Rappel de la section 70.3 : reproduit le risque déjà identifié à plusieurs reprises pour Zabbix, Syslog et Winbox, cette fois de façon généralisée.</w:t>
      </w:r>
    </w:p>
    <w:p>
      <w:pPr>
        <w:pStyle w:val="BodyText"/>
      </w:pPr>
      <w:r>
        <w:t xml:space="preserve">⚠️ Erreur n°3 — un réseau invité disposant d’un accès, même limité, vers le reste du réseau interne</w:t>
      </w:r>
      <w:r>
        <w:t xml:space="preserve"> </w:t>
      </w:r>
      <w:r>
        <w:t xml:space="preserve">Rappel de l’atelier : un appareil invité non maîtrisé par l’entreprise ne devrait jamais bénéficier d’un accès de confiance vers l’infrastructure interne.</w:t>
      </w:r>
    </w:p>
    <w:bookmarkEnd w:id="1714"/>
    <w:bookmarkStart w:id="1715" w:name="X7bf6452d2df276629c00782fe78486438bd370e"/>
    <w:p>
      <w:pPr>
        <w:pStyle w:val="Heading2"/>
      </w:pPr>
      <w:r>
        <w:t xml:space="preserve">Diagnostiquer un mouvement latéral non contenu</w:t>
      </w:r>
    </w:p>
    <w:p>
      <w:pPr>
        <w:pStyle w:val="FirstParagraph"/>
      </w:pPr>
      <w:r>
        <w:t xml:space="preserve">🩺 Symptôme : un poste compromis dans un VLAN parvient à atteindre des systèmes dans d’autres VLAN sans restriction</w:t>
      </w:r>
    </w:p>
    <w:p>
      <w:pPr>
        <w:pStyle w:val="Compact"/>
        <w:numPr>
          <w:ilvl w:val="0"/>
          <w:numId w:val="2609"/>
        </w:numPr>
      </w:pPr>
      <w:r>
        <w:rPr>
          <w:b/>
          <w:bCs/>
        </w:rPr>
        <w:t xml:space="preserve">Diagnostic</w:t>
      </w:r>
      <w:r>
        <w:t xml:space="preserve"> </w:t>
      </w:r>
      <w:r>
        <w:t xml:space="preserve">: ce symptôme, révélateur d’un</w:t>
      </w:r>
      <w:r>
        <w:t xml:space="preserve"> </w:t>
      </w:r>
      <w:r>
        <w:t xml:space="preserve">“mouvement latéral”</w:t>
      </w:r>
      <w:r>
        <w:t xml:space="preserve"> </w:t>
      </w:r>
      <w:r>
        <w:t xml:space="preserve">en cybersécurité, indique généralement une segmentation VLAN existante mais non accompagnée d’ACL inter-VLAN restrictives — exactement le constat de l’audit du scénario d’ouverture de ce chapitre.</w:t>
      </w:r>
    </w:p>
    <w:p>
      <w:pPr>
        <w:pStyle w:val="Compact"/>
        <w:numPr>
          <w:ilvl w:val="0"/>
          <w:numId w:val="2609"/>
        </w:numPr>
      </w:pPr>
      <w:r>
        <w:rPr>
          <w:b/>
          <w:bCs/>
        </w:rPr>
        <w:t xml:space="preserve">Comment vérifier</w:t>
      </w:r>
      <w:r>
        <w:t xml:space="preserve"> </w:t>
      </w:r>
      <w:r>
        <w:t xml:space="preserve">: examiner les règles de routage inter-VLAN actuellement en place, et confirmer si elles appliquent réellement un refus par défaut ou si elles autorisent implicitement l’ensemble du trafic.</w:t>
      </w:r>
    </w:p>
    <w:p>
      <w:pPr>
        <w:pStyle w:val="Compact"/>
        <w:numPr>
          <w:ilvl w:val="0"/>
          <w:numId w:val="2609"/>
        </w:numPr>
      </w:pPr>
      <w:r>
        <w:rPr>
          <w:b/>
          <w:bCs/>
        </w:rPr>
        <w:t xml:space="preserve">Résolution</w:t>
      </w:r>
      <w:r>
        <w:t xml:space="preserve"> </w:t>
      </w:r>
      <w:r>
        <w:t xml:space="preserve">: appliquer une politique d’ACL inter-VLAN explicite (section 70.4), en autorisant uniquement les flux strictement nécessaires identifiés au préalable — un travail qui rejoint directement l’objectif de contenir la propagation d’un incident, déjà pertinent depuis l’incident de rançongiciel du chapitre 4.</w:t>
      </w:r>
    </w:p>
    <w:bookmarkEnd w:id="1715"/>
    <w:bookmarkStart w:id="1716" w:name="en-entreprise-69"/>
    <w:p>
      <w:pPr>
        <w:pStyle w:val="Heading2"/>
      </w:pPr>
      <w:r>
        <w:t xml:space="preserve">En entreprise</w:t>
      </w:r>
    </w:p>
    <w:p>
      <w:pPr>
        <w:pStyle w:val="Compact"/>
        <w:numPr>
          <w:ilvl w:val="0"/>
          <w:numId w:val="2610"/>
        </w:numPr>
      </w:pPr>
      <w:r>
        <w:rPr>
          <w:b/>
          <w:bCs/>
        </w:rPr>
        <w:t xml:space="preserve">Bonne pratique répandue</w:t>
      </w:r>
      <w:r>
        <w:t xml:space="preserve"> </w:t>
      </w:r>
      <w:r>
        <w:t xml:space="preserve">: documenter et réviser périodiquement la politique de segmentation, avec un schéma à jour des VLAN, de leur fonction et des ACL inter-VLAN autorisées.</w:t>
      </w:r>
    </w:p>
    <w:p>
      <w:pPr>
        <w:pStyle w:val="Compact"/>
        <w:numPr>
          <w:ilvl w:val="0"/>
          <w:numId w:val="2610"/>
        </w:numPr>
      </w:pPr>
      <w:r>
        <w:rPr>
          <w:b/>
          <w:bCs/>
        </w:rPr>
        <w:t xml:space="preserve">Bonne pratique répandue</w:t>
      </w:r>
      <w:r>
        <w:t xml:space="preserve"> </w:t>
      </w:r>
      <w:r>
        <w:t xml:space="preserve">: traiter le réseau invité comme fondamentalement non fiable, sans aucun accès aux ressources internes, quel que soit le contexte.</w:t>
      </w:r>
    </w:p>
    <w:p>
      <w:pPr>
        <w:pStyle w:val="Compact"/>
        <w:numPr>
          <w:ilvl w:val="0"/>
          <w:numId w:val="2610"/>
        </w:numPr>
      </w:pPr>
      <w:r>
        <w:rPr>
          <w:b/>
          <w:bCs/>
        </w:rPr>
        <w:t xml:space="preserve">Erreur classique observée</w:t>
      </w:r>
      <w:r>
        <w:t xml:space="preserve"> </w:t>
      </w:r>
      <w:r>
        <w:t xml:space="preserve">: une segmentation initialement bien conçue, mais progressivement affaiblie au fil du temps par des exceptions ponctuelles accordées</w:t>
      </w:r>
      <w:r>
        <w:t xml:space="preserve"> </w:t>
      </w:r>
      <w:r>
        <w:t xml:space="preserve">“temporairement”</w:t>
      </w:r>
      <w:r>
        <w:t xml:space="preserve"> </w:t>
      </w:r>
      <w:r>
        <w:t xml:space="preserve">pour résoudre un problème urgent, jamais retirées ensuite — reproduisant progressivement, année après année, exactement le constat révélé par l’audit du scénario d’ouverture.</w:t>
      </w:r>
    </w:p>
    <w:bookmarkEnd w:id="1716"/>
    <w:bookmarkStart w:id="1717" w:name="entretien-technique-69"/>
    <w:p>
      <w:pPr>
        <w:pStyle w:val="Heading2"/>
      </w:pPr>
      <w:r>
        <w:t xml:space="preserve">Entretien technique</w:t>
      </w:r>
    </w:p>
    <w:p>
      <w:pPr>
        <w:pStyle w:val="FirstParagraph"/>
      </w:pPr>
      <w:r>
        <w:t xml:space="preserve">💼 Questions fréquemment posées en entretien</w:t>
      </w:r>
    </w:p>
    <w:p>
      <w:pPr>
        <w:pStyle w:val="BodyText"/>
      </w:pPr>
      <w:r>
        <w:rPr>
          <w:b/>
          <w:bCs/>
        </w:rPr>
        <w:t xml:space="preserve">Q1.</w:t>
      </w:r>
      <w:r>
        <w:rPr>
          <w:b/>
          <w:bCs/>
        </w:rPr>
        <w:t xml:space="preserve"> </w:t>
      </w:r>
      <w:r>
        <w:rPr>
          <w:b/>
          <w:bCs/>
        </w:rPr>
        <w:t xml:space="preserve">“Pourquoi un VLAN, à lui seul, ne constitue-t-il pas une protection de sécurité suffisante ?”</w:t>
      </w:r>
      <w:r>
        <w:t xml:space="preserve"> </w:t>
      </w:r>
      <w:r>
        <w:t xml:space="preserve">Réponse attendue : un VLAN ne fait que séparer un domaine de diffusion — sans règles de routage inter-VLAN restrictives, le trafic peut circuler librement entre VLAN, annulant tout bénéfice réel de segmentation, exactement le constat de l’audit du scénario d’ouverture.</w:t>
      </w:r>
    </w:p>
    <w:p>
      <w:pPr>
        <w:pStyle w:val="BodyText"/>
      </w:pPr>
      <w:r>
        <w:rPr>
          <w:b/>
          <w:bCs/>
        </w:rPr>
        <w:t xml:space="preserve">Q2.</w:t>
      </w:r>
      <w:r>
        <w:rPr>
          <w:b/>
          <w:bCs/>
        </w:rPr>
        <w:t xml:space="preserve"> </w:t>
      </w:r>
      <w:r>
        <w:rPr>
          <w:b/>
          <w:bCs/>
        </w:rPr>
        <w:t xml:space="preserve">“Pourquoi recommande-t-on systématiquement un VLAN d’administration dédié pour les équipements réseau ?”</w:t>
      </w:r>
      <w:r>
        <w:t xml:space="preserve"> </w:t>
      </w:r>
      <w:r>
        <w:t xml:space="preserve">Réponse attendue : isoler l’accès aux interfaces de gestion des équipements réseau (agents de supervision, interfaces d’administration) réduit la surface d’exposition de ces accès critiques, un principe déjà appliqué ponctuellement dans plusieurs chapitres précédents et formalisé ici pour l’ensemble de l’infrastructure.</w:t>
      </w:r>
    </w:p>
    <w:p>
      <w:pPr>
        <w:pStyle w:val="BodyText"/>
      </w:pPr>
      <w:r>
        <w:rPr>
          <w:b/>
          <w:bCs/>
        </w:rPr>
        <w:t xml:space="preserve">Q3.</w:t>
      </w:r>
      <w:r>
        <w:rPr>
          <w:b/>
          <w:bCs/>
        </w:rPr>
        <w:t xml:space="preserve"> </w:t>
      </w:r>
      <w:r>
        <w:rPr>
          <w:b/>
          <w:bCs/>
        </w:rPr>
        <w:t xml:space="preserve">“Quelle est la différence entre la segmentation VLAN classique et la micro-segmentation ?”</w:t>
      </w:r>
      <w:r>
        <w:t xml:space="preserve"> </w:t>
      </w:r>
      <w:r>
        <w:t xml:space="preserve">Réponse attendue : la segmentation VLAN classique isole des groupes d’équipements relativement larges, qui communiquent ensuite librement entre eux au sein du même VLAN ; la micro-segmentation isole le trafic jusqu’au niveau d’un flux individuel entre deux systèmes précis, prolongeant le principe Zero Trust au-delà du simple découpage par VLAN.</w:t>
      </w:r>
    </w:p>
    <w:bookmarkEnd w:id="1717"/>
    <w:bookmarkStart w:id="1718" w:name="Xb966925f39526b1a730b3bf423a7e5461deda53"/>
    <w:p>
      <w:pPr>
        <w:pStyle w:val="Heading2"/>
      </w:pPr>
      <w:r>
        <w:t xml:space="preserve">Optimisation, sécurité et maintenabilité — les réflexes dès ce chapitre</w:t>
      </w:r>
    </w:p>
    <w:p>
      <w:pPr>
        <w:pStyle w:val="FirstParagraph"/>
      </w:pPr>
      <w:r>
        <w:t xml:space="preserve">🔒 Sécurité</w:t>
      </w:r>
      <w:r>
        <w:t xml:space="preserve"> </w:t>
      </w:r>
      <w:r>
        <w:t xml:space="preserve">Applique systématiquement le refus par défaut au routage inter-VLAN — un VLAN sans ACL restrictive associée n’apporte qu’une segmentation illusoire, comme démontré par l’audit du scénario d’ouverture.</w:t>
      </w:r>
    </w:p>
    <w:p>
      <w:pPr>
        <w:pStyle w:val="BodyText"/>
      </w:pPr>
      <w:r>
        <w:t xml:space="preserve">✅ Maintenabilité</w:t>
      </w:r>
      <w:r>
        <w:t xml:space="preserve"> </w:t>
      </w:r>
      <w:r>
        <w:t xml:space="preserve">Documente explicitement la justification de chaque règle d’ACL inter-VLAN, permettant une révision périodique sans risquer de retirer un flux encore réellement nécessaire mais insuffisamment documenté.</w:t>
      </w:r>
    </w:p>
    <w:p>
      <w:pPr>
        <w:pStyle w:val="BodyText"/>
      </w:pPr>
      <w:r>
        <w:t xml:space="preserve">🚀 Performance</w:t>
      </w:r>
      <w:r>
        <w:t xml:space="preserve"> </w:t>
      </w:r>
      <w:r>
        <w:t xml:space="preserve">Une segmentation trop fine sans réel besoin de sécurité correspondant peut complexifier inutilement la gestion du réseau — dose la granularité de segmentation selon la sensibilité réelle de chaque groupe de systèmes, plutôt que de viser une segmentation maximale sans discernement.</w:t>
      </w:r>
    </w:p>
    <w:bookmarkEnd w:id="1718"/>
    <w:bookmarkStart w:id="1719" w:name="résumé-du-chapitre-69"/>
    <w:p>
      <w:pPr>
        <w:pStyle w:val="Heading2"/>
      </w:pPr>
      <w:r>
        <w:t xml:space="preserve">Résumé du chapitre</w:t>
      </w:r>
    </w:p>
    <w:p>
      <w:pPr>
        <w:pStyle w:val="Compact"/>
        <w:numPr>
          <w:ilvl w:val="0"/>
          <w:numId w:val="2611"/>
        </w:numPr>
      </w:pPr>
      <w:r>
        <w:t xml:space="preserve">Un VLAN ne protège réellement que combiné à des règles de routage inter-VLAN restrictives, appliquant le refus par défaut.</w:t>
      </w:r>
    </w:p>
    <w:p>
      <w:pPr>
        <w:pStyle w:val="Compact"/>
        <w:numPr>
          <w:ilvl w:val="0"/>
          <w:numId w:val="2611"/>
        </w:numPr>
      </w:pPr>
      <w:r>
        <w:t xml:space="preserve">La segmentation devrait regrouper les équipements par fonction, par sensibilité ou par niveau de confiance, de façon cohérente et documentée.</w:t>
      </w:r>
    </w:p>
    <w:p>
      <w:pPr>
        <w:pStyle w:val="Compact"/>
        <w:numPr>
          <w:ilvl w:val="0"/>
          <w:numId w:val="2611"/>
        </w:numPr>
      </w:pPr>
      <w:r>
        <w:t xml:space="preserve">Un VLAN d’administration dédié, déjà recommandé ponctuellement dans plusieurs chapitres précédents, devrait isoler systématiquement l’accès aux équipements réseau.</w:t>
      </w:r>
    </w:p>
    <w:p>
      <w:pPr>
        <w:pStyle w:val="Compact"/>
        <w:numPr>
          <w:ilvl w:val="0"/>
          <w:numId w:val="2611"/>
        </w:numPr>
      </w:pPr>
      <w:r>
        <w:t xml:space="preserve">Les ACL inter-VLAN définissent explicitement quels flux sont autorisés entre VLAN, jamais un accès implicite total.</w:t>
      </w:r>
    </w:p>
    <w:p>
      <w:pPr>
        <w:pStyle w:val="Compact"/>
        <w:numPr>
          <w:ilvl w:val="0"/>
          <w:numId w:val="2611"/>
        </w:numPr>
      </w:pPr>
      <w:r>
        <w:t xml:space="preserve">La micro-segmentation prolonge le principe Zero Trust au-delà du simple découpage par VLAN, jusqu’au niveau du flux individuel.</w:t>
      </w:r>
    </w:p>
    <w:p>
      <w:pPr>
        <w:pStyle w:val="Compact"/>
        <w:numPr>
          <w:ilvl w:val="0"/>
          <w:numId w:val="2611"/>
        </w:numPr>
      </w:pPr>
      <w:r>
        <w:t xml:space="preserve">Une politique de segmentation doit être documentée et révisée périodiquement, sous peine de se dégrader progressivement au fil des exceptions accumulées.</w:t>
      </w:r>
    </w:p>
    <w:bookmarkEnd w:id="1719"/>
    <w:bookmarkStart w:id="1720" w:name="quiz-69"/>
    <w:p>
      <w:pPr>
        <w:pStyle w:val="Heading2"/>
      </w:pPr>
      <w:r>
        <w:t xml:space="preserve">Quiz</w:t>
      </w:r>
    </w:p>
    <w:p>
      <w:pPr>
        <w:pStyle w:val="FirstParagraph"/>
      </w:pPr>
      <w:r>
        <w:t xml:space="preserve">📝 QCM (une seule bonne réponse par question)</w:t>
      </w:r>
    </w:p>
    <w:p>
      <w:pPr>
        <w:pStyle w:val="Compact"/>
        <w:numPr>
          <w:ilvl w:val="0"/>
          <w:numId w:val="2612"/>
        </w:numPr>
      </w:pPr>
      <w:r>
        <w:t xml:space="preserve">Un VLAN sans règles de routage inter-VLAN restrictives associées :</w:t>
      </w:r>
    </w:p>
    <w:p>
      <w:pPr>
        <w:pStyle w:val="Compact"/>
        <w:numPr>
          <w:ilvl w:val="1"/>
          <w:numId w:val="2613"/>
        </w:numPr>
      </w:pPr>
    </w:p>
    <w:p>
      <w:pPr>
        <w:pStyle w:val="Compact"/>
        <w:numPr>
          <w:ilvl w:val="2"/>
          <w:numId w:val="2614"/>
        </w:numPr>
      </w:pPr>
      <w:r>
        <w:t xml:space="preserve">Offre une protection de sécurité complète à lui seul</w:t>
      </w:r>
    </w:p>
    <w:p>
      <w:pPr>
        <w:pStyle w:val="Compact"/>
        <w:numPr>
          <w:ilvl w:val="1"/>
          <w:numId w:val="2613"/>
        </w:numPr>
      </w:pPr>
    </w:p>
    <w:p>
      <w:pPr>
        <w:pStyle w:val="Compact"/>
        <w:numPr>
          <w:ilvl w:val="2"/>
          <w:numId w:val="2615"/>
        </w:numPr>
      </w:pPr>
      <w:r>
        <w:t xml:space="preserve">N’apporte qu’une segmentation illusoire, comme démontré dans le scénario d’ouverture</w:t>
      </w:r>
    </w:p>
    <w:p>
      <w:pPr>
        <w:pStyle w:val="Compact"/>
        <w:numPr>
          <w:ilvl w:val="1"/>
          <w:numId w:val="2613"/>
        </w:numPr>
      </w:pPr>
    </w:p>
    <w:p>
      <w:pPr>
        <w:pStyle w:val="Compact"/>
        <w:numPr>
          <w:ilvl w:val="2"/>
          <w:numId w:val="2616"/>
        </w:numPr>
      </w:pPr>
      <w:r>
        <w:t xml:space="preserve">Remplace le besoin d’un pare-feu périmétrique</w:t>
      </w:r>
    </w:p>
    <w:p>
      <w:pPr>
        <w:pStyle w:val="Compact"/>
        <w:numPr>
          <w:ilvl w:val="1"/>
          <w:numId w:val="2613"/>
        </w:numPr>
      </w:pPr>
    </w:p>
    <w:p>
      <w:pPr>
        <w:pStyle w:val="Compact"/>
        <w:numPr>
          <w:ilvl w:val="2"/>
          <w:numId w:val="2617"/>
        </w:numPr>
      </w:pPr>
      <w:r>
        <w:t xml:space="preserve">Chiffre automatiquement le trafic interne</w:t>
      </w:r>
    </w:p>
    <w:p>
      <w:pPr>
        <w:pStyle w:val="Compact"/>
        <w:numPr>
          <w:ilvl w:val="0"/>
          <w:numId w:val="2612"/>
        </w:numPr>
      </w:pPr>
      <w:r>
        <w:t xml:space="preserve">Le VLAN d’administration dédié sert principalement à :</w:t>
      </w:r>
    </w:p>
    <w:p>
      <w:pPr>
        <w:pStyle w:val="Compact"/>
        <w:numPr>
          <w:ilvl w:val="1"/>
          <w:numId w:val="2618"/>
        </w:numPr>
      </w:pPr>
    </w:p>
    <w:p>
      <w:pPr>
        <w:pStyle w:val="Compact"/>
        <w:numPr>
          <w:ilvl w:val="2"/>
          <w:numId w:val="2619"/>
        </w:numPr>
      </w:pPr>
      <w:r>
        <w:t xml:space="preserve">Héberger les postes utilisateurs standards</w:t>
      </w:r>
    </w:p>
    <w:p>
      <w:pPr>
        <w:pStyle w:val="Compact"/>
        <w:numPr>
          <w:ilvl w:val="1"/>
          <w:numId w:val="2618"/>
        </w:numPr>
      </w:pPr>
    </w:p>
    <w:p>
      <w:pPr>
        <w:pStyle w:val="Compact"/>
        <w:numPr>
          <w:ilvl w:val="2"/>
          <w:numId w:val="2620"/>
        </w:numPr>
      </w:pPr>
      <w:r>
        <w:t xml:space="preserve">Isoler l’accès aux interfaces de gestion des équipements réseau et systèmes</w:t>
      </w:r>
    </w:p>
    <w:p>
      <w:pPr>
        <w:pStyle w:val="Compact"/>
        <w:numPr>
          <w:ilvl w:val="1"/>
          <w:numId w:val="2618"/>
        </w:numPr>
      </w:pPr>
    </w:p>
    <w:p>
      <w:pPr>
        <w:pStyle w:val="Compact"/>
        <w:numPr>
          <w:ilvl w:val="2"/>
          <w:numId w:val="2621"/>
        </w:numPr>
      </w:pPr>
      <w:r>
        <w:t xml:space="preserve">Remplacer le besoin de VLAN invité</w:t>
      </w:r>
    </w:p>
    <w:p>
      <w:pPr>
        <w:pStyle w:val="Compact"/>
        <w:numPr>
          <w:ilvl w:val="1"/>
          <w:numId w:val="2618"/>
        </w:numPr>
      </w:pPr>
    </w:p>
    <w:p>
      <w:pPr>
        <w:pStyle w:val="Compact"/>
        <w:numPr>
          <w:ilvl w:val="2"/>
          <w:numId w:val="2622"/>
        </w:numPr>
      </w:pPr>
      <w:r>
        <w:t xml:space="preserve">Accélérer le trafic réseau général</w:t>
      </w:r>
    </w:p>
    <w:p>
      <w:pPr>
        <w:pStyle w:val="Compact"/>
        <w:numPr>
          <w:ilvl w:val="0"/>
          <w:numId w:val="2612"/>
        </w:numPr>
      </w:pPr>
      <w:r>
        <w:t xml:space="preserve">La micro-segmentation, comparée à la segmentation VLAN classique, :</w:t>
      </w:r>
    </w:p>
    <w:p>
      <w:pPr>
        <w:pStyle w:val="Compact"/>
        <w:numPr>
          <w:ilvl w:val="1"/>
          <w:numId w:val="2623"/>
        </w:numPr>
      </w:pPr>
    </w:p>
    <w:p>
      <w:pPr>
        <w:pStyle w:val="Compact"/>
        <w:numPr>
          <w:ilvl w:val="2"/>
          <w:numId w:val="2624"/>
        </w:numPr>
      </w:pPr>
      <w:r>
        <w:t xml:space="preserve">Isole le trafic à un niveau plus large, par groupe entier</w:t>
      </w:r>
    </w:p>
    <w:p>
      <w:pPr>
        <w:pStyle w:val="Compact"/>
        <w:numPr>
          <w:ilvl w:val="1"/>
          <w:numId w:val="2623"/>
        </w:numPr>
      </w:pPr>
    </w:p>
    <w:p>
      <w:pPr>
        <w:pStyle w:val="Compact"/>
        <w:numPr>
          <w:ilvl w:val="2"/>
          <w:numId w:val="2625"/>
        </w:numPr>
      </w:pPr>
      <w:r>
        <w:t xml:space="preserve">Isole le trafic jusqu’au niveau d’un flux individuel entre deux systèmes précis</w:t>
      </w:r>
    </w:p>
    <w:p>
      <w:pPr>
        <w:pStyle w:val="Compact"/>
        <w:numPr>
          <w:ilvl w:val="1"/>
          <w:numId w:val="2623"/>
        </w:numPr>
      </w:pPr>
    </w:p>
    <w:p>
      <w:pPr>
        <w:pStyle w:val="Compact"/>
        <w:numPr>
          <w:ilvl w:val="2"/>
          <w:numId w:val="2626"/>
        </w:numPr>
      </w:pPr>
      <w:r>
        <w:t xml:space="preserve">Remplace complètement le besoin de VLAN</w:t>
      </w:r>
    </w:p>
    <w:p>
      <w:pPr>
        <w:pStyle w:val="Compact"/>
        <w:numPr>
          <w:ilvl w:val="1"/>
          <w:numId w:val="2623"/>
        </w:numPr>
      </w:pPr>
    </w:p>
    <w:p>
      <w:pPr>
        <w:pStyle w:val="Compact"/>
        <w:numPr>
          <w:ilvl w:val="2"/>
          <w:numId w:val="2627"/>
        </w:numPr>
      </w:pPr>
      <w:r>
        <w:t xml:space="preserve">Ne s’applique qu’au réseau invité</w:t>
      </w:r>
    </w:p>
    <w:p>
      <w:pPr>
        <w:pStyle w:val="FirstParagraph"/>
      </w:pPr>
      <w:r>
        <w:rPr>
          <w:b/>
          <w:bCs/>
        </w:rPr>
        <w:t xml:space="preserve">Corrigé</w:t>
      </w:r>
      <w:r>
        <w:t xml:space="preserve"> </w:t>
      </w:r>
      <w:r>
        <w:t xml:space="preserve">: 1-b, 2-b, 3-b.</w:t>
      </w:r>
    </w:p>
    <w:p>
      <w:pPr>
        <w:pStyle w:val="BodyText"/>
      </w:pPr>
      <w:r>
        <w:t xml:space="preserve">📝 Vrai ou Faux</w:t>
      </w:r>
    </w:p>
    <w:p>
      <w:pPr>
        <w:pStyle w:val="Compact"/>
        <w:numPr>
          <w:ilvl w:val="0"/>
          <w:numId w:val="2628"/>
        </w:numPr>
      </w:pPr>
      <w:r>
        <w:t xml:space="preserve">Un VLAN, à lui seul, sépare uniquement un domaine de diffusion, sans garantir de restriction de trafic vers d’autres VLAN. —</w:t>
      </w:r>
      <w:r>
        <w:t xml:space="preserve"> </w:t>
      </w:r>
      <w:r>
        <w:rPr>
          <w:b/>
          <w:bCs/>
        </w:rPr>
        <w:t xml:space="preserve">Vrai</w:t>
      </w:r>
      <w:r>
        <w:t xml:space="preserve">.</w:t>
      </w:r>
    </w:p>
    <w:p>
      <w:pPr>
        <w:pStyle w:val="Compact"/>
        <w:numPr>
          <w:ilvl w:val="0"/>
          <w:numId w:val="2628"/>
        </w:numPr>
      </w:pPr>
      <w:r>
        <w:t xml:space="preserve">Le réseau invité devrait bénéficier d’un accès limité mais réel vers les serveurs internes, pour faciliter certains usages. —</w:t>
      </w:r>
      <w:r>
        <w:t xml:space="preserve"> </w:t>
      </w:r>
      <w:r>
        <w:rPr>
          <w:b/>
          <w:bCs/>
        </w:rPr>
        <w:t xml:space="preserve">Faux</w:t>
      </w:r>
      <w:r>
        <w:t xml:space="preserve"> </w:t>
      </w:r>
      <w:r>
        <w:t xml:space="preserve">(section</w:t>
      </w:r>
      <w:r>
        <w:t xml:space="preserve"> </w:t>
      </w:r>
      <w:r>
        <w:t xml:space="preserve">“Erreur n°3”</w:t>
      </w:r>
      <w:r>
        <w:t xml:space="preserve">).</w:t>
      </w:r>
    </w:p>
    <w:p>
      <w:pPr>
        <w:pStyle w:val="Compact"/>
        <w:numPr>
          <w:ilvl w:val="0"/>
          <w:numId w:val="2628"/>
        </w:numPr>
      </w:pPr>
      <w:r>
        <w:t xml:space="preserve">La micro-segmentation prolonge directement le principe Zero Trust déjà établi au chapitre 26. —</w:t>
      </w:r>
      <w:r>
        <w:t xml:space="preserve"> </w:t>
      </w:r>
      <w:r>
        <w:rPr>
          <w:b/>
          <w:bCs/>
        </w:rPr>
        <w:t xml:space="preserve">Vrai</w:t>
      </w:r>
      <w:r>
        <w:t xml:space="preserve">.</w:t>
      </w:r>
    </w:p>
    <w:p>
      <w:pPr>
        <w:pStyle w:val="Compact"/>
        <w:numPr>
          <w:ilvl w:val="0"/>
          <w:numId w:val="2628"/>
        </w:numPr>
      </w:pPr>
      <w:r>
        <w:t xml:space="preserve">Une politique de segmentation, une fois correctement mise en place, n’a pas besoin d’être révisée ultérieurement. —</w:t>
      </w:r>
      <w:r>
        <w:t xml:space="preserve"> </w:t>
      </w:r>
      <w:r>
        <w:rPr>
          <w:b/>
          <w:bCs/>
        </w:rPr>
        <w:t xml:space="preserve">Faux</w:t>
      </w:r>
      <w:r>
        <w:t xml:space="preserve"> </w:t>
      </w:r>
      <w:r>
        <w:t xml:space="preserve">(section 70.6).</w:t>
      </w:r>
    </w:p>
    <w:p>
      <w:pPr>
        <w:pStyle w:val="FirstParagraph"/>
      </w:pPr>
      <w:r>
        <w:t xml:space="preserve">📝 Questions ouvertes</w:t>
      </w:r>
    </w:p>
    <w:p>
      <w:pPr>
        <w:pStyle w:val="Compact"/>
        <w:numPr>
          <w:ilvl w:val="0"/>
          <w:numId w:val="2629"/>
        </w:numPr>
      </w:pPr>
      <w:r>
        <w:t xml:space="preserve">Explique pourquoi l’auditeur du scénario d’ouverture a pu affirmer que les VLAN existants</w:t>
      </w:r>
      <w:r>
        <w:t xml:space="preserve"> </w:t>
      </w:r>
      <w:r>
        <w:t xml:space="preserve">“ne segmentent presque rien dans les faits”</w:t>
      </w:r>
      <w:r>
        <w:t xml:space="preserve">, malgré leur existence technique réelle.</w:t>
      </w:r>
    </w:p>
    <w:p>
      <w:pPr>
        <w:pStyle w:val="Compact"/>
        <w:numPr>
          <w:ilvl w:val="0"/>
          <w:numId w:val="2629"/>
        </w:numPr>
      </w:pPr>
      <w:r>
        <w:t xml:space="preserve">Compare le VLAN d’administration dédié recommandé dans ce chapitre aux recommandations ponctuelles déjà formulées pour Zabbix (section 59.3), Syslog (section 63.4) et Winbox (section 67.7) — en quoi ce chapitre ne fait-il que formaliser un principe déjà appliqué ailleurs ?</w:t>
      </w:r>
    </w:p>
    <w:p>
      <w:pPr>
        <w:pStyle w:val="FirstParagraph"/>
      </w:pPr>
      <w:r>
        <w:rPr>
          <w:b/>
          <w:bCs/>
        </w:rPr>
        <w:t xml:space="preserve">Corrigé 1</w:t>
      </w:r>
      <w:r>
        <w:t xml:space="preserve"> </w:t>
      </w:r>
      <w:r>
        <w:t xml:space="preserve">: les VLAN existants séparaient effectivement des domaines de diffusion distincts, un fonctionnement technique réel et vérifiable. Mais sans règles de routage inter-VLAN restrictives, le trafic pouvait circuler librement d’un VLAN à un autre malgré cette séparation — un poste compromis dans un VLAN pouvait ainsi atteindre sans obstacle des systèmes dans n’importe quel autre VLAN. La segmentation existait donc au niveau de l’architecture physique et logique, mais pas au niveau du contrôle réel du trafic, qui est précisément ce qui détermine si une segmentation apporte un bénéfice de sécurité concret ou reste purement théorique — d’où le constat sévère mais juste de l’auditeur.</w:t>
      </w:r>
    </w:p>
    <w:p>
      <w:pPr>
        <w:pStyle w:val="BodyText"/>
      </w:pPr>
      <w:r>
        <w:rPr>
          <w:b/>
          <w:bCs/>
        </w:rPr>
        <w:t xml:space="preserve">Corrigé 2</w:t>
      </w:r>
      <w:r>
        <w:t xml:space="preserve"> </w:t>
      </w:r>
      <w:r>
        <w:t xml:space="preserve">: chacune des recommandations citées appliquait déjà, de façon isolée, le même principe fondamental — restreindre l’accès à une interface d’administration ou de collecte sensible à un segment réseau spécifique et contrôlé, plutôt que de la laisser accessible depuis l’ensemble du réseau interne. Le VLAN d’administration dédié de ce chapitre ne fait que généraliser cette même logique à l’échelle de l’ensemble de l’infrastructure réseau, en un seul VLAN cohérent regroupant tous ces accès sensibles, plutôt que de traiter chaque cas individuellement et de façon dispersée comme cela avait été fait jusqu’ici. Cette généralisation illustre un schéma récurrent dans ce manuel : une bonne pratique appliquée ponctuellement à un cas précis révèle souvent, une fois plusieurs occurrences accumulées, un principe plus général qui mérite d’être formalisé explicitement plutôt que redécouvert à chaque nouveau cas particulier.</w:t>
      </w:r>
    </w:p>
    <w:bookmarkEnd w:id="1720"/>
    <w:bookmarkStart w:id="1721" w:name="exercices-69"/>
    <w:p>
      <w:pPr>
        <w:pStyle w:val="Heading2"/>
      </w:pPr>
      <w:r>
        <w:t xml:space="preserve">Exercices</w:t>
      </w:r>
    </w:p>
    <w:p>
      <w:pPr>
        <w:pStyle w:val="FirstParagraph"/>
      </w:pPr>
      <w:r>
        <w:t xml:space="preserve">📝 Exercice 70.1</w:t>
      </w:r>
    </w:p>
    <w:p>
      <w:pPr>
        <w:pStyle w:val="BodyText"/>
      </w:pPr>
      <w:r>
        <w:t xml:space="preserve">Propose une segmentation VLAN complète pour l’entreprise du fil rouge, couvrant au minimum les postes utilisateurs, les serveurs internes, le VLAN d’administration, la DMZ hébergeant le portail client, et le réseau invité, avec pour chaque paire de VLAN une indication explicite (autorisé ou refusé) du trafic inter-VLAN.</w:t>
      </w:r>
    </w:p>
    <w:p>
      <w:pPr>
        <w:pStyle w:val="BodyText"/>
      </w:pPr>
      <w:r>
        <w:rPr>
          <w:b/>
          <w:bCs/>
        </w:rPr>
        <w:t xml:space="preserve">Corrigé :</w:t>
      </w:r>
      <w:r>
        <w:t xml:space="preserve"> </w:t>
      </w:r>
      <w:r>
        <w:t xml:space="preserve">Postes utilisateurs → Serveurs internes : autorisé, restreint aux ports applicatifs strictement nécessaires (par exemple HTTPS vers le serveur de gestion documentaire). Postes utilisateurs → VLAN administration : refusé. Postes utilisateurs → DMZ : autorisé uniquement vers le portail client sur le port HTTPS, comme tout visiteur externe passerait par le reverse proxy (chapitre 68). Serveurs internes → VLAN administration : autorisé de façon très restreinte, pour la supervision (Zabbix, section 59.3). VLAN administration → tous les autres VLAN : autorisé pour la gestion des équipements, dans le sens administrateur vers équipement uniquement. Réseau invité → tout autre VLAN : refusé sans exception, seul un accès Internet direct via une DMZ dédiée aux invités serait autorisé. Cette matrice applique systématiquement le refus par défaut, n’autorisant que les flux dont la nécessité a été explicitement identifiée, conformément au principe établi à la section 70.4.</w:t>
      </w:r>
    </w:p>
    <w:p>
      <w:pPr>
        <w:pStyle w:val="BodyText"/>
      </w:pPr>
      <w:r>
        <w:t xml:space="preserve">📝 Exercice 70.2</w:t>
      </w:r>
    </w:p>
    <w:p>
      <w:pPr>
        <w:pStyle w:val="BodyText"/>
      </w:pPr>
      <w:r>
        <w:t xml:space="preserve">Rédige, en 3 à 5 phrases, une règle d’équipe garantissant qu’aucune exception</w:t>
      </w:r>
      <w:r>
        <w:t xml:space="preserve"> </w:t>
      </w:r>
      <w:r>
        <w:t xml:space="preserve">“temporaire”</w:t>
      </w:r>
      <w:r>
        <w:t xml:space="preserve"> </w:t>
      </w:r>
      <w:r>
        <w:t xml:space="preserve">aux règles de segmentation VLAN ne devient permanente sans révision, en t’appuyant sur le risque décrit à la section</w:t>
      </w:r>
      <w:r>
        <w:t xml:space="preserve"> </w:t>
      </w:r>
      <w:r>
        <w:t xml:space="preserve">“En entreprise”</w:t>
      </w:r>
      <w:r>
        <w:t xml:space="preserve">.</w:t>
      </w:r>
    </w:p>
    <w:p>
      <w:pPr>
        <w:pStyle w:val="BodyText"/>
      </w:pPr>
      <w:r>
        <w:rPr>
          <w:b/>
          <w:bCs/>
        </w:rPr>
        <w:t xml:space="preserve">Corrigé (exemple de réponse) :</w:t>
      </w:r>
      <w:r>
        <w:t xml:space="preserve"> </w:t>
      </w:r>
      <w:r>
        <w:t xml:space="preserve">Toute exception temporaire accordée à la politique de segmentation VLAN, quelle que soit son urgence initiale, sera systématiquement documentée avec une date d’expiration explicite au moment de sa création, jamais laissée sans limite de durée définie. Une revue trimestrielle de l’ensemble des exceptions actives sera réalisée, chaque exception encore active au-delà de sa date d’expiration initiale devant être soit formellement reconduite avec une nouvelle justification, soit immédiatement retirée. Cette discipline appliquée à la segmentation réseau rejoint le même principe déjà recommandé pour la révision des règles du pare-feu périmétrique au chapitre 66, évitant que la politique de segmentation ne se dégrade silencieusement au fil des années jusqu’à reproduire le constat sévère de l’audit du scénario d’ouverture de ce chapitre.</w:t>
      </w:r>
    </w:p>
    <w:bookmarkEnd w:id="1721"/>
    <w:bookmarkStart w:id="1722" w:name="checklist-de-fin-de-chapitre-69"/>
    <w:p>
      <w:pPr>
        <w:pStyle w:val="Heading2"/>
      </w:pPr>
      <w:r>
        <w:t xml:space="preserve">Checklist de fin de chapitre</w:t>
      </w:r>
    </w:p>
    <w:p>
      <w:pPr>
        <w:pStyle w:val="FirstParagraph"/>
      </w:pPr>
      <w:r>
        <w:t xml:space="preserve">☐ Je comprends pourquoi un VLAN sans ACL restrictive associée n’apporte qu’une segmentation illusoire.</w:t>
      </w:r>
    </w:p>
    <w:p>
      <w:pPr>
        <w:pStyle w:val="BodyText"/>
      </w:pPr>
      <w:r>
        <w:t xml:space="preserve">☐ Je sais concevoir une segmentation par fonction, par sensibilité et par niveau de confiance.</w:t>
      </w:r>
    </w:p>
    <w:p>
      <w:pPr>
        <w:pStyle w:val="BodyText"/>
      </w:pPr>
      <w:r>
        <w:t xml:space="preserve">☐ Je sais pourquoi un VLAN d’administration dédié formalise un principe déjà appliqué ponctuellement dans cette partie du manuel.</w:t>
      </w:r>
    </w:p>
    <w:p>
      <w:pPr>
        <w:pStyle w:val="BodyText"/>
      </w:pPr>
      <w:r>
        <w:t xml:space="preserve">☐ Je sais construire des ACL inter-VLAN appliquant le refus par défaut.</w:t>
      </w:r>
    </w:p>
    <w:p>
      <w:pPr>
        <w:pStyle w:val="BodyText"/>
      </w:pPr>
      <w:r>
        <w:t xml:space="preserve">☐ Je comprends la différence entre segmentation VLAN classique et micro-segmentation.</w:t>
      </w:r>
    </w:p>
    <w:p>
      <w:pPr>
        <w:pStyle w:val="BodyText"/>
      </w:pPr>
      <w:r>
        <w:t xml:space="preserve">☐ Je sais diagnostiquer un mouvement latéral non contenu révélant une segmentation défaillante.</w:t>
      </w:r>
    </w:p>
    <w:bookmarkEnd w:id="1722"/>
    <w:bookmarkStart w:id="1723" w:name="faq-69"/>
    <w:p>
      <w:pPr>
        <w:pStyle w:val="Heading2"/>
      </w:pPr>
      <w:r>
        <w:t xml:space="preserve">FAQ</w:t>
      </w:r>
    </w:p>
    <w:p>
      <w:pPr>
        <w:pStyle w:val="FirstParagraph"/>
      </w:pPr>
      <w:r>
        <w:t xml:space="preserve">Faut-il un VLAN distinct pour chaque service de l’entreprise (comptabilité, ressources humaines, informatique) ?</w:t>
      </w:r>
    </w:p>
    <w:p>
      <w:pPr>
        <w:pStyle w:val="BodyText"/>
      </w:pPr>
      <w:r>
        <w:t xml:space="preserve">Pas nécessairement par service organisationnel — une segmentation par fonction technique ou par niveau de sensibilité des données (section 70.2) reste souvent plus pertinente et plus simple à maintenir qu’un découpage strictement calqué sur l’organigramme de l’entreprise, qui évolue plus fréquemment que l’architecture réseau elle-même.</w:t>
      </w:r>
    </w:p>
    <w:p>
      <w:pPr>
        <w:pStyle w:val="BodyText"/>
      </w:pPr>
      <w:r>
        <w:t xml:space="preserve">La micro-segmentation nécessite-t-elle des équipements spécifiques, différents de ceux déjà présentés dans cette partie ?</w:t>
      </w:r>
    </w:p>
    <w:p>
      <w:pPr>
        <w:pStyle w:val="BodyText"/>
      </w:pPr>
      <w:r>
        <w:t xml:space="preserve">Elle s’appuie souvent sur des capacités avancées déjà présentes dans les pare-feu nouvelle génération (chapitre 66) ou sur des solutions logicielles dédiées, particulièrement répandues dans les environnements virtualisés et cloud — un approfondissement qui dépasse le cadre de ce chapitre introductif à la segmentation.</w:t>
      </w:r>
    </w:p>
    <w:p>
      <w:pPr>
        <w:pStyle w:val="BodyText"/>
      </w:pPr>
      <w:r>
        <w:t xml:space="preserve">Une segmentation VLAN complète élimine-t-elle le besoin des autres mesures de sécurité déjà couvertes dans ce manuel ?</w:t>
      </w:r>
    </w:p>
    <w:p>
      <w:pPr>
        <w:pStyle w:val="BodyText"/>
      </w:pPr>
      <w:r>
        <w:t xml:space="preserve">Non, la segmentation reste une couche de défense parmi d’autres — elle limite la propagation d’un incident déjà survenu, mais ne remplace ni l’authentification multifacteur (chapitre 25), ni le pare-feu nouvelle génération (chapitre 66), ni aucune des autres mesures déjà présentées, chacune répondant à un risque distinct dans une approche de défense en profondeur.</w:t>
      </w:r>
    </w:p>
    <w:p>
      <w:pPr>
        <w:pStyle w:val="BodyText"/>
      </w:pPr>
      <w:r>
        <w:t xml:space="preserve">Combien de temps faut-il pour corriger une segmentation défaillante comme celle révélée dans le scénario d’ouverture ?</w:t>
      </w:r>
    </w:p>
    <w:p>
      <w:pPr>
        <w:pStyle w:val="BodyText"/>
      </w:pPr>
      <w:r>
        <w:t xml:space="preserve">Une réorganisation complète prend généralement plusieurs semaines à plusieurs mois selon la taille de l’infrastructure, nécessitant une identification préalable rigoureuse des flux réellement nécessaires avant toute restriction, pour éviter d’interrompre un service légitime par une règle trop restrictive appliquée prématurément.</w:t>
      </w:r>
    </w:p>
    <w:bookmarkEnd w:id="1723"/>
    <w:bookmarkStart w:id="1725" w:name="références-et-pour-aller-plus-loin-69"/>
    <w:p>
      <w:pPr>
        <w:pStyle w:val="Heading2"/>
      </w:pPr>
      <w:r>
        <w:t xml:space="preserve">Références et pour aller plus loin</w:t>
      </w:r>
    </w:p>
    <w:p>
      <w:pPr>
        <w:pStyle w:val="Compact"/>
        <w:numPr>
          <w:ilvl w:val="0"/>
          <w:numId w:val="2630"/>
        </w:numPr>
      </w:pPr>
      <w:r>
        <w:t xml:space="preserve">NIST — Guide to a Secure Enterprise Network Landscape (SP 800-215) :</w:t>
      </w:r>
      <w:r>
        <w:t xml:space="preserve"> </w:t>
      </w:r>
      <w:hyperlink r:id="rId1724">
        <w:r>
          <w:rPr>
            <w:rStyle w:val="Hyperlink"/>
          </w:rPr>
          <w:t xml:space="preserve">https://csrc.nist.gov/publications/detail/sp/800-215/final</w:t>
        </w:r>
      </w:hyperlink>
    </w:p>
    <w:p>
      <w:pPr>
        <w:pStyle w:val="Compact"/>
        <w:numPr>
          <w:ilvl w:val="0"/>
          <w:numId w:val="2630"/>
        </w:numPr>
      </w:pPr>
      <w:r>
        <w:t xml:space="preserve">CIS Controls — Control 12 : Network Infrastructure Management :</w:t>
      </w:r>
      <w:r>
        <w:t xml:space="preserve"> </w:t>
      </w:r>
      <w:hyperlink r:id="rId92">
        <w:r>
          <w:rPr>
            <w:rStyle w:val="Hyperlink"/>
          </w:rPr>
          <w:t xml:space="preserve">https://www.cisecurity.org/controls</w:t>
        </w:r>
      </w:hyperlink>
    </w:p>
    <w:p>
      <w:pPr>
        <w:pStyle w:val="FirstParagraph"/>
      </w:pPr>
      <w:r>
        <w:rPr>
          <w:i/>
          <w:iCs/>
        </w:rPr>
        <w:t xml:space="preserve">Cette partie du manuel se termine ici. La Partie 12 s’ouvre sur la cybersécurité et la gouvernance — NIST CSF, ISO 27001, CIS Benchmarks, SIEM, IDS/IPS, EDR, réponse à incident — pour formaliser à l’échelle de toute l’organisation les principes de sécurité déjà rencontrés au fil des chapitres précédents.</w:t>
      </w:r>
    </w:p>
    <w:p>
      <w:pPr>
        <w:pStyle w:val="BodyText"/>
      </w:pPr>
      <w:r>
        <w:t xml:space="preserve">CHAPITRE 71</w:t>
      </w:r>
    </w:p>
    <w:bookmarkEnd w:id="1725"/>
    <w:bookmarkEnd w:id="1726"/>
    <w:bookmarkStart w:id="1751" w:name="cadre-nist-cybersecurity-framework"/>
    <w:p>
      <w:pPr>
        <w:pStyle w:val="Heading1"/>
      </w:pPr>
      <w:r>
        <w:t xml:space="preserve">Cadre NIST Cybersecurity Framework</w:t>
      </w:r>
    </w:p>
    <w:p>
      <w:pPr>
        <w:pStyle w:val="FirstParagraph"/>
      </w:pPr>
      <w:r>
        <w:t xml:space="preserve">🎯 Objectif du chapitre</w:t>
      </w:r>
      <w:r>
        <w:t xml:space="preserve"> </w:t>
      </w:r>
      <w:r>
        <w:t xml:space="preserve">Formaliser, à l’échelle de toute l’organisation, les principes de sécurité déjà rencontrés au fil des soixante-dix chapitres précédents — souvent introduits en réaction à un incident précis plutôt que dans un cadre structuré d’ensemble. À la fin de ce chapitre, tu comprendras les cinq fonctions du NIST Cybersecurity Framework (Identifier, Protéger, Détecter, Répondre, Récupérer), et tu sauras y rattacher les mesures déjà mises en place dans ce manuel pour identifier les lacunes restantes.</w:t>
      </w:r>
    </w:p>
    <w:p>
      <w:pPr>
        <w:pStyle w:val="BodyText"/>
      </w:pPr>
      <w:r>
        <w:t xml:space="preserve">🎬 Mise en situation</w:t>
      </w:r>
      <w:r>
        <w:t xml:space="preserve"> </w:t>
      </w:r>
      <w:r>
        <w:t xml:space="preserve">La RSSI, forte du constat de l’audit de segmentation (chapitre 70), présente au comité de direction un rétrospectif éclairant : chaque mesure de sécurité de l’entreprise a été introduite en réaction à un incident précis — le MFA après le phishing (chapitre 25), la segmentation renforcée après l’audit, le plan de continuité après l’exercice de simulation d’ouragan (chapitre 32).</w:t>
      </w:r>
      <w:r>
        <w:t xml:space="preserve"> </w:t>
      </w:r>
      <w:r>
        <w:t xml:space="preserve">“Nous avons de bonnes mesures individuelles,”</w:t>
      </w:r>
      <w:r>
        <w:t xml:space="preserve"> </w:t>
      </w:r>
      <w:r>
        <w:t xml:space="preserve">résume-t-elle,</w:t>
      </w:r>
      <w:r>
        <w:t xml:space="preserve"> </w:t>
      </w:r>
      <w:r>
        <w:t xml:space="preserve">“mais aucun cadre commun ne nous dit si nous couvrons vraiment l’ensemble du risque, ou si nous avons simplement colmaté les brèches les plus visibles au fur et à mesure qu’elles sont apparues.”</w:t>
      </w:r>
      <w:r>
        <w:t xml:space="preserve"> </w:t>
      </w:r>
      <w:r>
        <w:t xml:space="preserve">Le comité demande l’adoption d’un cadre reconnu internationalement. La RSSI propose le NIST Cybersecurity Framework.</w:t>
      </w:r>
    </w:p>
    <w:bookmarkStart w:id="1727" w:name="X1992e575f970ea1ef124cd860f2100921e7faad"/>
    <w:p>
      <w:pPr>
        <w:pStyle w:val="Heading2"/>
      </w:pPr>
      <w:r>
        <w:t xml:space="preserve">71.1 Le problème : une sécurité construite par réaction, jamais par cadre</w:t>
      </w:r>
    </w:p>
    <w:p>
      <w:pPr>
        <w:pStyle w:val="FirstParagraph"/>
      </w:pPr>
      <w:r>
        <w:t xml:space="preserve">📌 À retenir — le constat de la RSSI, rendu explicite</w:t>
      </w:r>
      <w:r>
        <w:t xml:space="preserve"> </w:t>
      </w:r>
      <w:r>
        <w:t xml:space="preserve">Une sécurité construite exclusivement en réaction à des incidents successifs traite efficacement les problèmes déjà survenus, mais ne garantit rien sur les risques pas encore matérialisés — une organisation ne sait jamais si elle a couvert l’ensemble du risque réel, ou seulement les incidents qu’elle a eu la chance ou le malheur de rencontrer jusqu’ici. Un cadre structuré comme le NIST CSF permet d’évaluer la couverture de sécurité de façon systématique, plutôt que de dépendre du hasard des incidents passés.</w:t>
      </w:r>
    </w:p>
    <w:bookmarkEnd w:id="1727"/>
    <w:bookmarkStart w:id="1731" w:name="Xd7e2aa39d0830c86333581a8836dfa9e6ddd3f0"/>
    <w:p>
      <w:pPr>
        <w:pStyle w:val="Heading2"/>
      </w:pPr>
      <w:r>
        <w:t xml:space="preserve">71.2 Les cinq fonctions du NIST Cybersecurity Framework</w:t>
      </w:r>
    </w:p>
    <w:p>
      <w:pPr>
        <w:pStyle w:val="FirstParagraph"/>
      </w:pPr>
      <w:r>
        <w:t xml:space="preserve">📌 À retenir</w:t>
      </w:r>
      <w:r>
        <w:t xml:space="preserve"> </w:t>
      </w:r>
      <w:r>
        <w:t xml:space="preserve">Le</w:t>
      </w:r>
      <w:r>
        <w:t xml:space="preserve"> </w:t>
      </w:r>
      <w:r>
        <w:rPr>
          <w:b/>
          <w:bCs/>
        </w:rPr>
        <w:t xml:space="preserve">NIST Cybersecurity Framework</w:t>
      </w:r>
      <w:r>
        <w:t xml:space="preserve"> </w:t>
      </w:r>
      <w:r>
        <w:t xml:space="preserve">organise l’ensemble des activités de cybersécurité d’une organisation en cinq fonctions :</w:t>
      </w:r>
      <w:r>
        <w:t xml:space="preserve"> </w:t>
      </w:r>
      <w:r>
        <w:rPr>
          <w:b/>
          <w:bCs/>
        </w:rPr>
        <w:t xml:space="preserve">Identifier</w:t>
      </w:r>
      <w:r>
        <w:t xml:space="preserve"> </w:t>
      </w:r>
      <w:r>
        <w:t xml:space="preserve">(comprendre ce qu’il faut protéger),</w:t>
      </w:r>
      <w:r>
        <w:t xml:space="preserve"> </w:t>
      </w:r>
      <w:r>
        <w:rPr>
          <w:b/>
          <w:bCs/>
        </w:rPr>
        <w:t xml:space="preserve">Protéger</w:t>
      </w:r>
      <w:r>
        <w:t xml:space="preserve"> </w:t>
      </w:r>
      <w:r>
        <w:t xml:space="preserve">(mettre en œuvre des mesures de défense),</w:t>
      </w:r>
      <w:r>
        <w:t xml:space="preserve"> </w:t>
      </w:r>
      <w:r>
        <w:rPr>
          <w:b/>
          <w:bCs/>
        </w:rPr>
        <w:t xml:space="preserve">Détecter</w:t>
      </w:r>
      <w:r>
        <w:t xml:space="preserve"> </w:t>
      </w:r>
      <w:r>
        <w:t xml:space="preserve">(repérer un incident en cours),</w:t>
      </w:r>
      <w:r>
        <w:t xml:space="preserve"> </w:t>
      </w:r>
      <w:r>
        <w:rPr>
          <w:b/>
          <w:bCs/>
        </w:rPr>
        <w:t xml:space="preserve">Répondre</w:t>
      </w:r>
      <w:r>
        <w:t xml:space="preserve"> </w:t>
      </w:r>
      <w:r>
        <w:t xml:space="preserve">(contenir et traiter un incident détecté),</w:t>
      </w:r>
      <w:r>
        <w:t xml:space="preserve"> </w:t>
      </w:r>
      <w:r>
        <w:rPr>
          <w:b/>
          <w:bCs/>
        </w:rPr>
        <w:t xml:space="preserve">Récupérer</w:t>
      </w:r>
      <w:r>
        <w:t xml:space="preserve"> </w:t>
      </w:r>
      <w:r>
        <w:t xml:space="preserve">(restaurer les opérations normales après un incident). Ces cinq fonctions ne se succèdent pas de façon strictement linéaire — elles opèrent en continu et simultanément, chacune se renforçant mutuellement.</w:t>
      </w:r>
    </w:p>
    <w:p>
      <w:pPr>
        <w:pStyle w:val="CaptionedFigure"/>
      </w:pPr>
      <w:r>
        <w:drawing>
          <wp:inline>
            <wp:extent cx="5334000" cy="1301367"/>
            <wp:effectExtent b="0" l="0" r="0" t="0"/>
            <wp:docPr descr="Diagramme" title="" id="1729" name="Picture"/>
            <a:graphic>
              <a:graphicData uri="http://schemas.openxmlformats.org/drawingml/2006/picture">
                <pic:pic>
                  <pic:nvPicPr>
                    <pic:cNvPr descr="C:/Users/ingja/Desktop/jarvis-starter-kit/livrables/formations/manuel-administration-systeme/assets/diagrams/d-71-nist-cybersecurity-framework-diagramme-1.png" id="1730" name="Picture"/>
                    <pic:cNvPicPr>
                      <a:picLocks noChangeArrowheads="1" noChangeAspect="1"/>
                    </pic:cNvPicPr>
                  </pic:nvPicPr>
                  <pic:blipFill>
                    <a:blip r:embed="rId1728"/>
                    <a:stretch>
                      <a:fillRect/>
                    </a:stretch>
                  </pic:blipFill>
                  <pic:spPr bwMode="auto">
                    <a:xfrm>
                      <a:off x="0" y="0"/>
                      <a:ext cx="5334000" cy="1301367"/>
                    </a:xfrm>
                    <a:prstGeom prst="rect">
                      <a:avLst/>
                    </a:prstGeom>
                    <a:noFill/>
                    <a:ln w="9525">
                      <a:noFill/>
                      <a:headEnd/>
                      <a:tailEnd/>
                    </a:ln>
                  </pic:spPr>
                </pic:pic>
              </a:graphicData>
            </a:graphic>
          </wp:inline>
        </w:drawing>
      </w:r>
    </w:p>
    <w:p>
      <w:pPr>
        <w:pStyle w:val="ImageCaption"/>
      </w:pPr>
      <w:r>
        <w:t xml:space="preserve">Diagramme</w:t>
      </w:r>
    </w:p>
    <w:bookmarkEnd w:id="1731"/>
    <w:bookmarkStart w:id="1732" w:name="identifier-rappel-direct-du-chapitre-3"/>
    <w:p>
      <w:pPr>
        <w:pStyle w:val="Heading2"/>
      </w:pPr>
      <w:r>
        <w:t xml:space="preserve">71.3 Identifier : rappel direct du chapitre 3</w:t>
      </w:r>
    </w:p>
    <w:p>
      <w:pPr>
        <w:pStyle w:val="FirstParagraph"/>
      </w:pPr>
      <w:r>
        <w:t xml:space="preserve">💡 Rattacher ce qui existe déjà</w:t>
      </w:r>
      <w:r>
        <w:t xml:space="preserve"> </w:t>
      </w:r>
      <w:r>
        <w:t xml:space="preserve">La fonction</w:t>
      </w:r>
      <w:r>
        <w:t xml:space="preserve"> </w:t>
      </w:r>
      <w:r>
        <w:rPr>
          <w:b/>
          <w:bCs/>
        </w:rPr>
        <w:t xml:space="preserve">Identifier</w:t>
      </w:r>
      <w:r>
        <w:t xml:space="preserve"> </w:t>
      </w:r>
      <w:r>
        <w:t xml:space="preserve">couvre l’inventaire des actifs, l’évaluation des risques et la compréhension du contexte métier — exactement le rôle déjà rempli par la documentation et la gestion des actifs établies au chapitre 3, la toute première fondation posée dans ce manuel. Sans un inventaire fiable de ce qu’il faut protéger, aucune des quatre fonctions suivantes ne peut être correctement dimensionnée.</w:t>
      </w:r>
    </w:p>
    <w:bookmarkEnd w:id="1732"/>
    <w:bookmarkStart w:id="1733" w:name="X34f60443b2573dd2e486f8c702225f64ac2f138"/>
    <w:p>
      <w:pPr>
        <w:pStyle w:val="Heading2"/>
      </w:pPr>
      <w:r>
        <w:t xml:space="preserve">71.4 Protéger : rappel direct de la majorité des chapitres précédents</w:t>
      </w:r>
    </w:p>
    <w:p>
      <w:pPr>
        <w:pStyle w:val="FirstParagraph"/>
      </w:pPr>
      <w:r>
        <w:t xml:space="preserve">💡 La fonction la plus richement couverte jusqu’ici</w:t>
      </w:r>
      <w:r>
        <w:t xml:space="preserve"> </w:t>
      </w:r>
      <w:r>
        <w:t xml:space="preserve">La fonction</w:t>
      </w:r>
      <w:r>
        <w:t xml:space="preserve"> </w:t>
      </w:r>
      <w:r>
        <w:rPr>
          <w:b/>
          <w:bCs/>
        </w:rPr>
        <w:t xml:space="preserve">Protéger</w:t>
      </w:r>
      <w:r>
        <w:t xml:space="preserve"> </w:t>
      </w:r>
      <w:r>
        <w:t xml:space="preserve">couvre l’ensemble des mesures préventives déjà déployées dans ce manuel : l’authentification multifacteur (chapitre 25), le principe de moindre privilège d’Active Directory (chapitres 22-25), le pare-feu nouvelle génération (chapitre 66), le VPN chiffré (chapitre 69), et la segmentation réseau (chapitre 70). Le constat de la RSSI dans le scénario d’ouverture révèle que cette fonction, bien que richement couverte, l’a été de façon dispersée plutôt que planifiée dans un cadre global.</w:t>
      </w:r>
    </w:p>
    <w:bookmarkEnd w:id="1733"/>
    <w:bookmarkStart w:id="1734" w:name="détecter-rappel-direct-de-la-partie-10"/>
    <w:p>
      <w:pPr>
        <w:pStyle w:val="Heading2"/>
      </w:pPr>
      <w:r>
        <w:t xml:space="preserve">71.5 Détecter : rappel direct de la Partie 10</w:t>
      </w:r>
    </w:p>
    <w:p>
      <w:pPr>
        <w:pStyle w:val="FirstParagraph"/>
      </w:pPr>
      <w:r>
        <w:t xml:space="preserve">💡 Rattacher ce qui existe déjà</w:t>
      </w:r>
      <w:r>
        <w:t xml:space="preserve"> </w:t>
      </w:r>
      <w:r>
        <w:t xml:space="preserve">La fonction</w:t>
      </w:r>
      <w:r>
        <w:t xml:space="preserve"> </w:t>
      </w:r>
      <w:r>
        <w:rPr>
          <w:b/>
          <w:bCs/>
        </w:rPr>
        <w:t xml:space="preserve">Détecter</w:t>
      </w:r>
      <w:r>
        <w:t xml:space="preserve"> </w:t>
      </w:r>
      <w:r>
        <w:t xml:space="preserve">couvre l’ensemble de la Partie 10 de ce manuel — la supervision (chapitre 58), Zabbix et Prometheus (chapitres 59-60), la centralisation des logs (chapitres 62-63), et l’analyse de trafic réseau (chapitre 64). Un incident non détecté reste un incident non contenu, quelle que soit par ailleurs la qualité des mesures de protection en place.</w:t>
      </w:r>
    </w:p>
    <w:bookmarkEnd w:id="1734"/>
    <w:bookmarkStart w:id="1735" w:name="répondre-un-aperçu-avant-le-chapitre-79"/>
    <w:p>
      <w:pPr>
        <w:pStyle w:val="Heading2"/>
      </w:pPr>
      <w:r>
        <w:t xml:space="preserve">71.6 Répondre : un aperçu avant le chapitre 79</w:t>
      </w:r>
    </w:p>
    <w:p>
      <w:pPr>
        <w:pStyle w:val="FirstParagraph"/>
      </w:pPr>
      <w:r>
        <w:t xml:space="preserve">📌 À retenir</w:t>
      </w:r>
      <w:r>
        <w:t xml:space="preserve"> </w:t>
      </w:r>
      <w:r>
        <w:t xml:space="preserve">La fonction</w:t>
      </w:r>
      <w:r>
        <w:t xml:space="preserve"> </w:t>
      </w:r>
      <w:r>
        <w:rPr>
          <w:b/>
          <w:bCs/>
        </w:rPr>
        <w:t xml:space="preserve">Répondre</w:t>
      </w:r>
      <w:r>
        <w:t xml:space="preserve"> </w:t>
      </w:r>
      <w:r>
        <w:t xml:space="preserve">couvre les activités menées une fois un incident détecté — contenir sa propagation, communiquer avec les parties prenantes concernées, et documenter les actions entreprises. Ce manuel n’a jusqu’ici couvert cette fonction que ponctuellement, à travers le récit des incidents du fil rouge — un traitement formel et procédural de la réponse à incident sera présenté au chapitre 79, clôturant cette partie.</w:t>
      </w:r>
    </w:p>
    <w:bookmarkEnd w:id="1735"/>
    <w:bookmarkStart w:id="1736" w:name="X5714c236013cd26901d4591b549ce9e8d48c40b"/>
    <w:p>
      <w:pPr>
        <w:pStyle w:val="Heading2"/>
      </w:pPr>
      <w:r>
        <w:t xml:space="preserve">71.7 Récupérer : rappel direct des chapitres 30 à 32</w:t>
      </w:r>
    </w:p>
    <w:p>
      <w:pPr>
        <w:pStyle w:val="FirstParagraph"/>
      </w:pPr>
      <w:r>
        <w:t xml:space="preserve">💡 Rattacher ce qui existe déjà</w:t>
      </w:r>
      <w:r>
        <w:t xml:space="preserve"> </w:t>
      </w:r>
      <w:r>
        <w:t xml:space="preserve">La fonction</w:t>
      </w:r>
      <w:r>
        <w:t xml:space="preserve"> </w:t>
      </w:r>
      <w:r>
        <w:rPr>
          <w:b/>
          <w:bCs/>
        </w:rPr>
        <w:t xml:space="preserve">Récupérer</w:t>
      </w:r>
      <w:r>
        <w:t xml:space="preserve"> </w:t>
      </w:r>
      <w:r>
        <w:t xml:space="preserve">couvre le retour à un fonctionnement normal après un incident — exactement le rôle déjà rempli par les stratégies de sauvegarde (chapitre 30), le plan de reprise d’activité (chapitre 31) et le plan de continuité d’activité (chapitre 32). Une organisation qui détecte et contient efficacement un incident, mais sans capacité de récupération éprouvée, reste vulnérable à un impact prolongé bien après la neutralisation de la menace initiale.</w:t>
      </w:r>
    </w:p>
    <w:bookmarkEnd w:id="1736"/>
    <w:bookmarkStart w:id="1737" w:name="X2e3cb6099619d169542f04ba369288809099c9a"/>
    <w:p>
      <w:pPr>
        <w:pStyle w:val="Heading2"/>
      </w:pPr>
      <w:r>
        <w:t xml:space="preserve">71.8 Niveaux de maturité et profils : un usage pratique du cadre</w:t>
      </w:r>
    </w:p>
    <w:p>
      <w:pPr>
        <w:pStyle w:val="FirstParagraph"/>
      </w:pPr>
      <w:r>
        <w:t xml:space="preserve">📌 À retenir</w:t>
      </w:r>
      <w:r>
        <w:t xml:space="preserve"> </w:t>
      </w:r>
      <w:r>
        <w:t xml:space="preserve">Le NIST CSF définit également des</w:t>
      </w:r>
      <w:r>
        <w:t xml:space="preserve"> </w:t>
      </w:r>
      <w:r>
        <w:rPr>
          <w:b/>
          <w:bCs/>
        </w:rPr>
        <w:t xml:space="preserve">Tiers</w:t>
      </w:r>
      <w:r>
        <w:t xml:space="preserve"> </w:t>
      </w:r>
      <w:r>
        <w:t xml:space="preserve">(niveaux de maturité, de partiel à adaptatif) et permet de construire un</w:t>
      </w:r>
      <w:r>
        <w:t xml:space="preserve"> </w:t>
      </w:r>
      <w:r>
        <w:rPr>
          <w:b/>
          <w:bCs/>
        </w:rPr>
        <w:t xml:space="preserve">profil</w:t>
      </w:r>
      <w:r>
        <w:t xml:space="preserve"> </w:t>
      </w:r>
      <w:r>
        <w:t xml:space="preserve">— l’état actuel de sécurité de l’organisation comparé à un état cible souhaité. Cette comparaison rend visible, fonction par fonction, où se situent les lacunes réelles de l’organisation — exactement l’exercice que la RSSI propose de mener dans le scénario d’ouverture, plutôt que de continuer à ajouter des mesures ponctuelles sans vue d’ensemble.</w:t>
      </w:r>
    </w:p>
    <w:bookmarkEnd w:id="1737"/>
    <w:bookmarkStart w:id="1738" w:name="X26dff7dce26c476506c7d10fa2a2849a3ecc046"/>
    <w:p>
      <w:pPr>
        <w:pStyle w:val="Heading2"/>
      </w:pPr>
      <w:r>
        <w:t xml:space="preserve">Atelier — Cartographier les mesures existantes selon le NIST CSF</w:t>
      </w:r>
    </w:p>
    <w:p>
      <w:pPr>
        <w:pStyle w:val="FirstParagraph"/>
      </w:pPr>
      <w:r>
        <w:t xml:space="preserve">🛠️ Atelier 71 — Répondre à la demande du comité de direction</w:t>
      </w:r>
    </w:p>
    <w:p>
      <w:pPr>
        <w:pStyle w:val="BodyText"/>
      </w:pPr>
      <w:r>
        <w:rPr>
          <w:b/>
          <w:bCs/>
        </w:rPr>
        <w:t xml:space="preserve">Objectif</w:t>
      </w:r>
      <w:r>
        <w:t xml:space="preserve"> </w:t>
      </w:r>
      <w:r>
        <w:t xml:space="preserve">: cartographier les mesures de sécurité déjà en place dans l’entreprise du fil rouge selon les cinq fonctions du NIST CSF, et identifier les lacunes.</w:t>
      </w:r>
    </w:p>
    <w:p>
      <w:pPr>
        <w:pStyle w:val="BodyText"/>
      </w:pPr>
      <w:r>
        <w:rPr>
          <w:b/>
          <w:bCs/>
        </w:rPr>
        <w:t xml:space="preserve">Préparation</w:t>
      </w:r>
      <w:r>
        <w:t xml:space="preserve"> </w:t>
      </w:r>
      <w:r>
        <w:t xml:space="preserve">: une revue des chapitres précédents pertinents pour chaque fonction (sections 71.3 à 71.7).</w:t>
      </w:r>
    </w:p>
    <w:p>
      <w:pPr>
        <w:pStyle w:val="BodyText"/>
      </w:pPr>
      <w:r>
        <w:rPr>
          <w:b/>
          <w:bCs/>
        </w:rPr>
        <w:t xml:space="preserve">Étapes détaillées</w:t>
      </w:r>
      <w:r>
        <w:t xml:space="preserve"> </w:t>
      </w:r>
      <w:r>
        <w:t xml:space="preserve">:</w:t>
      </w:r>
    </w:p>
    <w:p>
      <w:pPr>
        <w:pStyle w:val="Compact"/>
        <w:numPr>
          <w:ilvl w:val="0"/>
          <w:numId w:val="2631"/>
        </w:numPr>
      </w:pPr>
      <w:r>
        <w:t xml:space="preserve">Liste, pour chacune des cinq fonctions, les mesures déjà couvertes dans ce manuel jusqu’ici.</w:t>
      </w:r>
    </w:p>
    <w:p>
      <w:pPr>
        <w:pStyle w:val="Compact"/>
        <w:numPr>
          <w:ilvl w:val="0"/>
          <w:numId w:val="2631"/>
        </w:numPr>
      </w:pPr>
      <w:r>
        <w:t xml:space="preserve">Identifie la fonction la mieux couverte et la fonction la moins couverte.</w:t>
      </w:r>
    </w:p>
    <w:p>
      <w:pPr>
        <w:pStyle w:val="Compact"/>
        <w:numPr>
          <w:ilvl w:val="0"/>
          <w:numId w:val="2631"/>
        </w:numPr>
      </w:pPr>
      <w:r>
        <w:t xml:space="preserve">Propose une priorité d’investissement pour la fonction identifiée comme la moins couverte.</w:t>
      </w:r>
    </w:p>
    <w:p>
      <w:pPr>
        <w:pStyle w:val="Compact"/>
        <w:numPr>
          <w:ilvl w:val="0"/>
          <w:numId w:val="2631"/>
        </w:numPr>
      </w:pPr>
      <w:r>
        <w:t xml:space="preserve">Explique pourquoi une organisation qui investit exclusivement dans la fonction Protéger, en négligeant Détecter et Répondre, reste vulnérable malgré cet investissement.</w:t>
      </w:r>
    </w:p>
    <w:p>
      <w:pPr>
        <w:pStyle w:val="Compact"/>
        <w:numPr>
          <w:ilvl w:val="0"/>
          <w:numId w:val="2631"/>
        </w:numPr>
      </w:pPr>
      <w:r>
        <w:t xml:space="preserve">Compare ta démarche à la section</w:t>
      </w:r>
      <w:r>
        <w:t xml:space="preserve"> </w:t>
      </w:r>
      <w:r>
        <w:t xml:space="preserve">“Résultat attendu”</w:t>
      </w:r>
      <w:r>
        <w:t xml:space="preserve">.</w:t>
      </w:r>
    </w:p>
    <w:p>
      <w:pPr>
        <w:pStyle w:val="FirstParagraph"/>
      </w:pPr>
      <w:r>
        <w:rPr>
          <w:b/>
          <w:bCs/>
        </w:rPr>
        <w:t xml:space="preserve">Résultat attendu</w:t>
      </w:r>
      <w:r>
        <w:t xml:space="preserve"> </w:t>
      </w:r>
      <w:r>
        <w:t xml:space="preserve">: la fonction Protéger apparaît généralement la mieux couverte, ayant bénéficié du plus grand nombre de chapitres et de mesures dans ce manuel (Active Directory, MFA, pare-feu, VPN, segmentation). La fonction Répondre apparaît la moins formellement couverte à ce stade, traitée jusqu’ici uniquement à travers le récit des incidents plutôt que par une procédure structurée — une lacune que le chapitre 79 comblera. Une organisation exclusivement centrée sur la fonction Protéger reste vulnérable car aucune mesure préventive n’est efficace à 100 % : sans capacité de détection, un incident ayant contourné les défenses préventives peut se propager silencieusement pendant une durée prolongée avant d’être découvert, et sans procédure de réponse formalisée, sa contention dépend alors de l’improvisation plutôt que d’un processus éprouvé.</w:t>
      </w:r>
    </w:p>
    <w:p>
      <w:pPr>
        <w:pStyle w:val="BodyText"/>
      </w:pPr>
      <w:r>
        <w:rPr>
          <w:b/>
          <w:bCs/>
        </w:rPr>
        <w:t xml:space="preserve">Dépannage</w:t>
      </w:r>
      <w:r>
        <w:t xml:space="preserve"> </w:t>
      </w:r>
      <w:r>
        <w:t xml:space="preserve">: si la cartographie révèle qu’une fonction entière semble n’avoir aucune mesure associée, vérifie que le terme employé par le NIST CSF ne correspond pas simplement à un vocabulaire différent d’une mesure déjà en place sous un autre nom — les cinq fonctions couvrent des activités généralement déjà pratiquées, au moins partiellement, même sans référence explicite au cadre lui-même.</w:t>
      </w:r>
    </w:p>
    <w:bookmarkEnd w:id="1738"/>
    <w:bookmarkStart w:id="1739" w:name="erreurs-fréquentes-70"/>
    <w:p>
      <w:pPr>
        <w:pStyle w:val="Heading2"/>
      </w:pPr>
      <w:r>
        <w:t xml:space="preserve">Erreurs fréquentes</w:t>
      </w:r>
    </w:p>
    <w:p>
      <w:pPr>
        <w:pStyle w:val="FirstParagraph"/>
      </w:pPr>
      <w:r>
        <w:t xml:space="preserve">⚠️ Erreur n°1 — traiter le NIST CSF comme un document théorique jamais appliqué concrètement</w:t>
      </w:r>
      <w:r>
        <w:t xml:space="preserve"> </w:t>
      </w:r>
      <w:r>
        <w:t xml:space="preserve">Un cadre adopté formellement, mais jamais utilisé pour orienter réellement les priorités d’investissement en sécurité, n’apporte aucun bénéfice réel au-delà de sa simple existence documentaire.</w:t>
      </w:r>
    </w:p>
    <w:p>
      <w:pPr>
        <w:pStyle w:val="BodyText"/>
      </w:pPr>
      <w:r>
        <w:t xml:space="preserve">⚠️ Erreur n°2 — sur-investir dans une seule fonction, au détriment des quatre autres</w:t>
      </w:r>
      <w:r>
        <w:t xml:space="preserve"> </w:t>
      </w:r>
      <w:r>
        <w:t xml:space="preserve">Rappel de l’atelier : un investissement déséquilibré, même dans une fonction légitimement importante comme Protéger, laisse les autres fonctions vulnérables et compromet l’efficacité globale de la posture de sécurité.</w:t>
      </w:r>
    </w:p>
    <w:p>
      <w:pPr>
        <w:pStyle w:val="BodyText"/>
      </w:pPr>
      <w:r>
        <w:t xml:space="preserve">⚠️ Erreur n°3 — établir un profil une seule fois, sans jamais le réviser</w:t>
      </w:r>
      <w:r>
        <w:t xml:space="preserve"> </w:t>
      </w:r>
      <w:r>
        <w:t xml:space="preserve">Rappel indirect des chapitres 65 et 70 : une posture de sécurité, comme une topologie réseau ou une politique de segmentation, se dégrade avec le temps sans révision périodique du profil de maturité établi.</w:t>
      </w:r>
    </w:p>
    <w:bookmarkEnd w:id="1739"/>
    <w:bookmarkStart w:id="1740" w:name="X04470628197999b954655c548c55221672a92bb"/>
    <w:p>
      <w:pPr>
        <w:pStyle w:val="Heading2"/>
      </w:pPr>
      <w:r>
        <w:t xml:space="preserve">Diagnostiquer une organisation sans cadre de sécurité commun</w:t>
      </w:r>
    </w:p>
    <w:p>
      <w:pPr>
        <w:pStyle w:val="FirstParagraph"/>
      </w:pPr>
      <w:r>
        <w:t xml:space="preserve">🩺 Symptôme : chaque mesure de sécurité de l’organisation semble décidée isolément, sans cohérence d’ensemble visible</w:t>
      </w:r>
    </w:p>
    <w:p>
      <w:pPr>
        <w:pStyle w:val="Compact"/>
        <w:numPr>
          <w:ilvl w:val="0"/>
          <w:numId w:val="2632"/>
        </w:numPr>
      </w:pPr>
      <w:r>
        <w:rPr>
          <w:b/>
          <w:bCs/>
        </w:rPr>
        <w:t xml:space="preserve">Diagnostic</w:t>
      </w:r>
      <w:r>
        <w:t xml:space="preserve"> </w:t>
      </w:r>
      <w:r>
        <w:t xml:space="preserve">: ce symptôme, exactement celui identifié par la RSSI dans le scénario d’ouverture, indique généralement l’absence d’un cadre de référence partagé, chaque décision de sécurité étant prise en réaction à un événement précis plutôt qu’en cohérence avec une vision d’ensemble.</w:t>
      </w:r>
    </w:p>
    <w:p>
      <w:pPr>
        <w:pStyle w:val="Compact"/>
        <w:numPr>
          <w:ilvl w:val="0"/>
          <w:numId w:val="2632"/>
        </w:numPr>
      </w:pPr>
      <w:r>
        <w:rPr>
          <w:b/>
          <w:bCs/>
        </w:rPr>
        <w:t xml:space="preserve">Comment vérifier</w:t>
      </w:r>
      <w:r>
        <w:t xml:space="preserve"> </w:t>
      </w:r>
      <w:r>
        <w:t xml:space="preserve">: tenter de cartographier les mesures existantes selon les cinq fonctions du NIST CSF (comme dans l’atelier de ce chapitre) — l’absence de mesures dans une ou plusieurs fonctions révèle concrètement les angles morts de l’organisation.</w:t>
      </w:r>
    </w:p>
    <w:p>
      <w:pPr>
        <w:pStyle w:val="Compact"/>
        <w:numPr>
          <w:ilvl w:val="0"/>
          <w:numId w:val="2632"/>
        </w:numPr>
      </w:pPr>
      <w:r>
        <w:rPr>
          <w:b/>
          <w:bCs/>
        </w:rPr>
        <w:t xml:space="preserve">Résolution</w:t>
      </w:r>
      <w:r>
        <w:t xml:space="preserve"> </w:t>
      </w:r>
      <w:r>
        <w:t xml:space="preserve">: adopter formellement un cadre de référence comme le NIST CSF, établir un profil de maturité actuel, et prioriser les investissements futurs selon les lacunes identifiées plutôt que selon le prochain incident qui surviendra.</w:t>
      </w:r>
    </w:p>
    <w:bookmarkEnd w:id="1740"/>
    <w:bookmarkStart w:id="1741" w:name="en-entreprise-70"/>
    <w:p>
      <w:pPr>
        <w:pStyle w:val="Heading2"/>
      </w:pPr>
      <w:r>
        <w:t xml:space="preserve">En entreprise</w:t>
      </w:r>
    </w:p>
    <w:p>
      <w:pPr>
        <w:pStyle w:val="Compact"/>
        <w:numPr>
          <w:ilvl w:val="0"/>
          <w:numId w:val="2633"/>
        </w:numPr>
      </w:pPr>
      <w:r>
        <w:rPr>
          <w:b/>
          <w:bCs/>
        </w:rPr>
        <w:t xml:space="preserve">Bonne pratique répandue</w:t>
      </w:r>
      <w:r>
        <w:t xml:space="preserve"> </w:t>
      </w:r>
      <w:r>
        <w:t xml:space="preserve">: réviser le profil de maturité NIST CSF de l’organisation au moins annuellement, en cohérence avec le cycle de revue déjà recommandé pour d’autres politiques de sécurité dans ce manuel.</w:t>
      </w:r>
    </w:p>
    <w:p>
      <w:pPr>
        <w:pStyle w:val="Compact"/>
        <w:numPr>
          <w:ilvl w:val="0"/>
          <w:numId w:val="2633"/>
        </w:numPr>
      </w:pPr>
      <w:r>
        <w:rPr>
          <w:b/>
          <w:bCs/>
        </w:rPr>
        <w:t xml:space="preserve">Bonne pratique répandue</w:t>
      </w:r>
      <w:r>
        <w:t xml:space="preserve"> </w:t>
      </w:r>
      <w:r>
        <w:t xml:space="preserve">: utiliser le cadre pour communiquer l’état de la sécurité au comité de direction dans un langage structuré et reconnu internationalement, plutôt qu’à travers une liste de mesures techniques difficile à interpréter pour un public non technique.</w:t>
      </w:r>
    </w:p>
    <w:p>
      <w:pPr>
        <w:pStyle w:val="Compact"/>
        <w:numPr>
          <w:ilvl w:val="0"/>
          <w:numId w:val="2633"/>
        </w:numPr>
      </w:pPr>
      <w:r>
        <w:rPr>
          <w:b/>
          <w:bCs/>
        </w:rPr>
        <w:t xml:space="preserve">Erreur classique observée</w:t>
      </w:r>
      <w:r>
        <w:t xml:space="preserve"> </w:t>
      </w:r>
      <w:r>
        <w:t xml:space="preserve">: un cadre de sécurité adopté à la suite d’une exigence contractuelle ou réglementaire, produit une fois pour satisfaire cette exigence ponctuelle, puis jamais intégré réellement dans le processus de décision courant de l’organisation.</w:t>
      </w:r>
    </w:p>
    <w:bookmarkEnd w:id="1741"/>
    <w:bookmarkStart w:id="1742" w:name="entretien-technique-70"/>
    <w:p>
      <w:pPr>
        <w:pStyle w:val="Heading2"/>
      </w:pPr>
      <w:r>
        <w:t xml:space="preserve">Entretien technique</w:t>
      </w:r>
    </w:p>
    <w:p>
      <w:pPr>
        <w:pStyle w:val="FirstParagraph"/>
      </w:pPr>
      <w:r>
        <w:t xml:space="preserve">💼 Questions fréquemment posées en entretien</w:t>
      </w:r>
    </w:p>
    <w:p>
      <w:pPr>
        <w:pStyle w:val="BodyText"/>
      </w:pPr>
      <w:r>
        <w:rPr>
          <w:b/>
          <w:bCs/>
        </w:rPr>
        <w:t xml:space="preserve">Q1.</w:t>
      </w:r>
      <w:r>
        <w:rPr>
          <w:b/>
          <w:bCs/>
        </w:rPr>
        <w:t xml:space="preserve"> </w:t>
      </w:r>
      <w:r>
        <w:rPr>
          <w:b/>
          <w:bCs/>
        </w:rPr>
        <w:t xml:space="preserve">“Quelles sont les cinq fonctions du NIST Cybersecurity Framework, et comment s’articulent-elles entre elles ?”</w:t>
      </w:r>
      <w:r>
        <w:t xml:space="preserve"> </w:t>
      </w:r>
      <w:r>
        <w:t xml:space="preserve">Réponse attendue : Identifier, Protéger, Détecter, Répondre, Récupérer — ces cinq fonctions opèrent en continu et simultanément plutôt que de façon strictement séquentielle, chacune se renforçant mutuellement ; un retour d’expérience après un incident nourrit généralement une amélioration de la fonction Identifier.</w:t>
      </w:r>
    </w:p>
    <w:p>
      <w:pPr>
        <w:pStyle w:val="BodyText"/>
      </w:pPr>
      <w:r>
        <w:rPr>
          <w:b/>
          <w:bCs/>
        </w:rPr>
        <w:t xml:space="preserve">Q2.</w:t>
      </w:r>
      <w:r>
        <w:rPr>
          <w:b/>
          <w:bCs/>
        </w:rPr>
        <w:t xml:space="preserve"> </w:t>
      </w:r>
      <w:r>
        <w:rPr>
          <w:b/>
          <w:bCs/>
        </w:rPr>
        <w:t xml:space="preserve">“Pourquoi une organisation qui investit exclusivement dans la prévention (fonction Protéger) reste-t-elle vulnérable ?”</w:t>
      </w:r>
      <w:r>
        <w:t xml:space="preserve"> </w:t>
      </w:r>
      <w:r>
        <w:t xml:space="preserve">Réponse attendue : aucune mesure préventive n’est efficace à 100 % ; sans capacité de détection, un incident ayant contourné les défenses préventives peut se propager silencieusement, et sans procédure de réponse formalisée, sa contention dépend de l’improvisation plutôt que d’un processus éprouvé.</w:t>
      </w:r>
    </w:p>
    <w:p>
      <w:pPr>
        <w:pStyle w:val="BodyText"/>
      </w:pPr>
      <w:r>
        <w:rPr>
          <w:b/>
          <w:bCs/>
        </w:rPr>
        <w:t xml:space="preserve">Q3.</w:t>
      </w:r>
      <w:r>
        <w:rPr>
          <w:b/>
          <w:bCs/>
        </w:rPr>
        <w:t xml:space="preserve"> </w:t>
      </w:r>
      <w:r>
        <w:rPr>
          <w:b/>
          <w:bCs/>
        </w:rPr>
        <w:t xml:space="preserve">“À quoi sert un profil de maturité dans le cadre du NIST CSF ?”</w:t>
      </w:r>
      <w:r>
        <w:t xml:space="preserve"> </w:t>
      </w:r>
      <w:r>
        <w:t xml:space="preserve">Réponse attendue : à comparer l’état actuel de sécurité de l’organisation, fonction par fonction, à un état cible souhaité, rendant visibles les lacunes réelles et permettant de prioriser les investissements futurs de façon structurée plutôt que réactive.</w:t>
      </w:r>
    </w:p>
    <w:bookmarkEnd w:id="1742"/>
    <w:bookmarkStart w:id="1743" w:name="X42bc75cd1a316406d73062e8cc9e6c8e1050fba"/>
    <w:p>
      <w:pPr>
        <w:pStyle w:val="Heading2"/>
      </w:pPr>
      <w:r>
        <w:t xml:space="preserve">Optimisation, sécurité et maintenabilité — les réflexes dès ce chapitre</w:t>
      </w:r>
    </w:p>
    <w:p>
      <w:pPr>
        <w:pStyle w:val="FirstParagraph"/>
      </w:pPr>
      <w:r>
        <w:t xml:space="preserve">🔒 Sécurité</w:t>
      </w:r>
      <w:r>
        <w:t xml:space="preserve"> </w:t>
      </w:r>
      <w:r>
        <w:t xml:space="preserve">Ne considère jamais une fonction du NIST CSF comme suffisamment couverte de façon permanente — chaque fonction nécessite un investissement continu, la menace et l’infrastructure évoluant constamment.</w:t>
      </w:r>
    </w:p>
    <w:p>
      <w:pPr>
        <w:pStyle w:val="BodyText"/>
      </w:pPr>
      <w:r>
        <w:t xml:space="preserve">✅ Maintenabilité</w:t>
      </w:r>
      <w:r>
        <w:t xml:space="preserve"> </w:t>
      </w:r>
      <w:r>
        <w:t xml:space="preserve">Documente explicitement le rattachement de chaque mesure de sécurité existante à l’une des cinq fonctions du cadre, facilitant l’identification rapide des lacunes lors de toute revue future.</w:t>
      </w:r>
    </w:p>
    <w:p>
      <w:pPr>
        <w:pStyle w:val="BodyText"/>
      </w:pPr>
      <w:r>
        <w:t xml:space="preserve">🚀 Performance</w:t>
      </w:r>
      <w:r>
        <w:t xml:space="preserve"> </w:t>
      </w:r>
      <w:r>
        <w:t xml:space="preserve">L’adoption d’un cadre structuré comme le NIST CSF améliore l’efficacité des investissements de sécurité en évitant la redondance de mesures similaires et en révélant les lacunes réellement prioritaires, plutôt que de disperser les ressources de façon réactive.</w:t>
      </w:r>
    </w:p>
    <w:bookmarkEnd w:id="1743"/>
    <w:bookmarkStart w:id="1744" w:name="résumé-du-chapitre-70"/>
    <w:p>
      <w:pPr>
        <w:pStyle w:val="Heading2"/>
      </w:pPr>
      <w:r>
        <w:t xml:space="preserve">Résumé du chapitre</w:t>
      </w:r>
    </w:p>
    <w:p>
      <w:pPr>
        <w:pStyle w:val="Compact"/>
        <w:numPr>
          <w:ilvl w:val="0"/>
          <w:numId w:val="2634"/>
        </w:numPr>
      </w:pPr>
      <w:r>
        <w:t xml:space="preserve">Une sécurité construite exclusivement en réaction aux incidents ne garantit rien sur les risques pas encore matérialisés.</w:t>
      </w:r>
    </w:p>
    <w:p>
      <w:pPr>
        <w:pStyle w:val="Compact"/>
        <w:numPr>
          <w:ilvl w:val="0"/>
          <w:numId w:val="2634"/>
        </w:numPr>
      </w:pPr>
      <w:r>
        <w:t xml:space="preserve">Le NIST CSF organise la cybersécurité en cinq fonctions continues et interdépendantes : Identifier, Protéger, Détecter, Répondre, Récupérer.</w:t>
      </w:r>
    </w:p>
    <w:p>
      <w:pPr>
        <w:pStyle w:val="Compact"/>
        <w:numPr>
          <w:ilvl w:val="0"/>
          <w:numId w:val="2634"/>
        </w:numPr>
      </w:pPr>
      <w:r>
        <w:t xml:space="preserve">La fonction Identifier correspond à l’inventaire des actifs déjà établi au chapitre 3.</w:t>
      </w:r>
    </w:p>
    <w:p>
      <w:pPr>
        <w:pStyle w:val="Compact"/>
        <w:numPr>
          <w:ilvl w:val="0"/>
          <w:numId w:val="2634"/>
        </w:numPr>
      </w:pPr>
      <w:r>
        <w:t xml:space="preserve">La fonction Protéger correspond à la majorité des mesures préventives déjà couvertes dans ce manuel.</w:t>
      </w:r>
    </w:p>
    <w:p>
      <w:pPr>
        <w:pStyle w:val="Compact"/>
        <w:numPr>
          <w:ilvl w:val="0"/>
          <w:numId w:val="2634"/>
        </w:numPr>
      </w:pPr>
      <w:r>
        <w:t xml:space="preserve">La fonction Détecter correspond à l’ensemble de la Partie 10 consacrée à la supervision.</w:t>
      </w:r>
    </w:p>
    <w:p>
      <w:pPr>
        <w:pStyle w:val="Compact"/>
        <w:numPr>
          <w:ilvl w:val="0"/>
          <w:numId w:val="2634"/>
        </w:numPr>
      </w:pPr>
      <w:r>
        <w:t xml:space="preserve">La fonction Récupérer correspond aux stratégies de sauvegarde et aux plans de continuité déjà établis aux chapitres 30 à 32.</w:t>
      </w:r>
    </w:p>
    <w:p>
      <w:pPr>
        <w:pStyle w:val="Compact"/>
        <w:numPr>
          <w:ilvl w:val="0"/>
          <w:numId w:val="2634"/>
        </w:numPr>
      </w:pPr>
      <w:r>
        <w:t xml:space="preserve">Un profil de maturité permet de comparer l’état actuel à un état cible, révélant les lacunes réelles pour prioriser les investissements futurs.</w:t>
      </w:r>
    </w:p>
    <w:bookmarkEnd w:id="1744"/>
    <w:bookmarkStart w:id="1745" w:name="quiz-70"/>
    <w:p>
      <w:pPr>
        <w:pStyle w:val="Heading2"/>
      </w:pPr>
      <w:r>
        <w:t xml:space="preserve">Quiz</w:t>
      </w:r>
    </w:p>
    <w:p>
      <w:pPr>
        <w:pStyle w:val="FirstParagraph"/>
      </w:pPr>
      <w:r>
        <w:t xml:space="preserve">📝 QCM (une seule bonne réponse par question)</w:t>
      </w:r>
    </w:p>
    <w:p>
      <w:pPr>
        <w:pStyle w:val="Compact"/>
        <w:numPr>
          <w:ilvl w:val="0"/>
          <w:numId w:val="2635"/>
        </w:numPr>
      </w:pPr>
      <w:r>
        <w:t xml:space="preserve">Les cinq fonctions du NIST Cybersecurity Framework sont :</w:t>
      </w:r>
    </w:p>
    <w:p>
      <w:pPr>
        <w:pStyle w:val="Compact"/>
        <w:numPr>
          <w:ilvl w:val="1"/>
          <w:numId w:val="2636"/>
        </w:numPr>
      </w:pPr>
    </w:p>
    <w:p>
      <w:pPr>
        <w:pStyle w:val="Compact"/>
        <w:numPr>
          <w:ilvl w:val="2"/>
          <w:numId w:val="2637"/>
        </w:numPr>
      </w:pPr>
      <w:r>
        <w:t xml:space="preserve">Planifier, Construire, Tester, Déployer, Maintenir</w:t>
      </w:r>
    </w:p>
    <w:p>
      <w:pPr>
        <w:pStyle w:val="Compact"/>
        <w:numPr>
          <w:ilvl w:val="1"/>
          <w:numId w:val="2636"/>
        </w:numPr>
      </w:pPr>
    </w:p>
    <w:p>
      <w:pPr>
        <w:pStyle w:val="Compact"/>
        <w:numPr>
          <w:ilvl w:val="2"/>
          <w:numId w:val="2638"/>
        </w:numPr>
      </w:pPr>
      <w:r>
        <w:t xml:space="preserve">Identifier, Protéger, Détecter, Répondre, Récupérer</w:t>
      </w:r>
    </w:p>
    <w:p>
      <w:pPr>
        <w:pStyle w:val="Compact"/>
        <w:numPr>
          <w:ilvl w:val="1"/>
          <w:numId w:val="2636"/>
        </w:numPr>
      </w:pPr>
    </w:p>
    <w:p>
      <w:pPr>
        <w:pStyle w:val="Compact"/>
        <w:numPr>
          <w:ilvl w:val="2"/>
          <w:numId w:val="2639"/>
        </w:numPr>
      </w:pPr>
      <w:r>
        <w:t xml:space="preserve">Analyser, Concevoir, Implémenter, Vérifier, Clôturer</w:t>
      </w:r>
    </w:p>
    <w:p>
      <w:pPr>
        <w:pStyle w:val="Compact"/>
        <w:numPr>
          <w:ilvl w:val="1"/>
          <w:numId w:val="2636"/>
        </w:numPr>
      </w:pPr>
    </w:p>
    <w:p>
      <w:pPr>
        <w:pStyle w:val="Compact"/>
        <w:numPr>
          <w:ilvl w:val="2"/>
          <w:numId w:val="2640"/>
        </w:numPr>
      </w:pPr>
      <w:r>
        <w:t xml:space="preserve">Prévenir, Détecter, Corriger, Documenter, Archiver</w:t>
      </w:r>
    </w:p>
    <w:p>
      <w:pPr>
        <w:pStyle w:val="Compact"/>
        <w:numPr>
          <w:ilvl w:val="0"/>
          <w:numId w:val="2635"/>
        </w:numPr>
      </w:pPr>
      <w:r>
        <w:t xml:space="preserve">La fonction</w:t>
      </w:r>
      <w:r>
        <w:t xml:space="preserve"> </w:t>
      </w:r>
      <w:r>
        <w:t xml:space="preserve">“Détecter”</w:t>
      </w:r>
      <w:r>
        <w:t xml:space="preserve"> </w:t>
      </w:r>
      <w:r>
        <w:t xml:space="preserve">du NIST CSF correspond principalement, dans ce manuel, à :</w:t>
      </w:r>
    </w:p>
    <w:p>
      <w:pPr>
        <w:pStyle w:val="Compact"/>
        <w:numPr>
          <w:ilvl w:val="1"/>
          <w:numId w:val="2641"/>
        </w:numPr>
      </w:pPr>
    </w:p>
    <w:p>
      <w:pPr>
        <w:pStyle w:val="Compact"/>
        <w:numPr>
          <w:ilvl w:val="2"/>
          <w:numId w:val="2642"/>
        </w:numPr>
      </w:pPr>
      <w:r>
        <w:t xml:space="preserve">La Partie 5 sur le stockage et la continuité</w:t>
      </w:r>
    </w:p>
    <w:p>
      <w:pPr>
        <w:pStyle w:val="Compact"/>
        <w:numPr>
          <w:ilvl w:val="1"/>
          <w:numId w:val="2641"/>
        </w:numPr>
      </w:pPr>
    </w:p>
    <w:p>
      <w:pPr>
        <w:pStyle w:val="Compact"/>
        <w:numPr>
          <w:ilvl w:val="2"/>
          <w:numId w:val="2643"/>
        </w:numPr>
      </w:pPr>
      <w:r>
        <w:t xml:space="preserve">La Partie 10 sur la supervision, la journalisation et l’observabilité</w:t>
      </w:r>
    </w:p>
    <w:p>
      <w:pPr>
        <w:pStyle w:val="Compact"/>
        <w:numPr>
          <w:ilvl w:val="1"/>
          <w:numId w:val="2641"/>
        </w:numPr>
      </w:pPr>
    </w:p>
    <w:p>
      <w:pPr>
        <w:pStyle w:val="Compact"/>
        <w:numPr>
          <w:ilvl w:val="2"/>
          <w:numId w:val="2644"/>
        </w:numPr>
      </w:pPr>
      <w:r>
        <w:t xml:space="preserve">La Partie 9 sur l’automatisation</w:t>
      </w:r>
    </w:p>
    <w:p>
      <w:pPr>
        <w:pStyle w:val="Compact"/>
        <w:numPr>
          <w:ilvl w:val="1"/>
          <w:numId w:val="2641"/>
        </w:numPr>
      </w:pPr>
    </w:p>
    <w:p>
      <w:pPr>
        <w:pStyle w:val="Compact"/>
        <w:numPr>
          <w:ilvl w:val="2"/>
          <w:numId w:val="2645"/>
        </w:numPr>
      </w:pPr>
      <w:r>
        <w:t xml:space="preserve">La Partie 6 sur la virtualisation</w:t>
      </w:r>
    </w:p>
    <w:p>
      <w:pPr>
        <w:pStyle w:val="Compact"/>
        <w:numPr>
          <w:ilvl w:val="0"/>
          <w:numId w:val="2635"/>
        </w:numPr>
      </w:pPr>
      <w:r>
        <w:t xml:space="preserve">Un profil de maturité NIST CSF sert principalement à :</w:t>
      </w:r>
    </w:p>
    <w:p>
      <w:pPr>
        <w:pStyle w:val="Compact"/>
        <w:numPr>
          <w:ilvl w:val="1"/>
          <w:numId w:val="2646"/>
        </w:numPr>
      </w:pPr>
    </w:p>
    <w:p>
      <w:pPr>
        <w:pStyle w:val="Compact"/>
        <w:numPr>
          <w:ilvl w:val="2"/>
          <w:numId w:val="2647"/>
        </w:numPr>
      </w:pPr>
      <w:r>
        <w:t xml:space="preserve">Remplacer le besoin de toute mesure de sécurité technique</w:t>
      </w:r>
    </w:p>
    <w:p>
      <w:pPr>
        <w:pStyle w:val="Compact"/>
        <w:numPr>
          <w:ilvl w:val="1"/>
          <w:numId w:val="2646"/>
        </w:numPr>
      </w:pPr>
    </w:p>
    <w:p>
      <w:pPr>
        <w:pStyle w:val="Compact"/>
        <w:numPr>
          <w:ilvl w:val="2"/>
          <w:numId w:val="2648"/>
        </w:numPr>
      </w:pPr>
      <w:r>
        <w:t xml:space="preserve">Comparer l’état actuel de sécurité à un état cible, révélant les lacunes réelles</w:t>
      </w:r>
    </w:p>
    <w:p>
      <w:pPr>
        <w:pStyle w:val="Compact"/>
        <w:numPr>
          <w:ilvl w:val="1"/>
          <w:numId w:val="2646"/>
        </w:numPr>
      </w:pPr>
    </w:p>
    <w:p>
      <w:pPr>
        <w:pStyle w:val="Compact"/>
        <w:numPr>
          <w:ilvl w:val="2"/>
          <w:numId w:val="2649"/>
        </w:numPr>
      </w:pPr>
      <w:r>
        <w:t xml:space="preserve">Chiffrer automatiquement les données sensibles</w:t>
      </w:r>
    </w:p>
    <w:p>
      <w:pPr>
        <w:pStyle w:val="Compact"/>
        <w:numPr>
          <w:ilvl w:val="1"/>
          <w:numId w:val="2646"/>
        </w:numPr>
      </w:pPr>
    </w:p>
    <w:p>
      <w:pPr>
        <w:pStyle w:val="Compact"/>
        <w:numPr>
          <w:ilvl w:val="2"/>
          <w:numId w:val="2650"/>
        </w:numPr>
      </w:pPr>
      <w:r>
        <w:t xml:space="preserve">Éliminer le besoin d’un plan de continuité d’activité</w:t>
      </w:r>
    </w:p>
    <w:p>
      <w:pPr>
        <w:pStyle w:val="FirstParagraph"/>
      </w:pPr>
      <w:r>
        <w:rPr>
          <w:b/>
          <w:bCs/>
        </w:rPr>
        <w:t xml:space="preserve">Corrigé</w:t>
      </w:r>
      <w:r>
        <w:t xml:space="preserve"> </w:t>
      </w:r>
      <w:r>
        <w:t xml:space="preserve">: 1-b, 2-b, 3-b.</w:t>
      </w:r>
    </w:p>
    <w:p>
      <w:pPr>
        <w:pStyle w:val="BodyText"/>
      </w:pPr>
      <w:r>
        <w:t xml:space="preserve">📝 Vrai ou Faux</w:t>
      </w:r>
    </w:p>
    <w:p>
      <w:pPr>
        <w:pStyle w:val="Compact"/>
        <w:numPr>
          <w:ilvl w:val="0"/>
          <w:numId w:val="2651"/>
        </w:numPr>
      </w:pPr>
      <w:r>
        <w:t xml:space="preserve">Les cinq fonctions du NIST CSF se succèdent de façon strictement linéaire, l’une après l’autre. —</w:t>
      </w:r>
      <w:r>
        <w:t xml:space="preserve"> </w:t>
      </w:r>
      <w:r>
        <w:rPr>
          <w:b/>
          <w:bCs/>
        </w:rPr>
        <w:t xml:space="preserve">Faux</w:t>
      </w:r>
      <w:r>
        <w:t xml:space="preserve"> </w:t>
      </w:r>
      <w:r>
        <w:t xml:space="preserve">(elles opèrent en continu et simultanément, section 71.2).</w:t>
      </w:r>
    </w:p>
    <w:p>
      <w:pPr>
        <w:pStyle w:val="Compact"/>
        <w:numPr>
          <w:ilvl w:val="0"/>
          <w:numId w:val="2651"/>
        </w:numPr>
      </w:pPr>
      <w:r>
        <w:t xml:space="preserve">Une organisation exclusivement centrée sur la prévention reste vulnérable en l’absence de capacité de détection et de réponse. —</w:t>
      </w:r>
      <w:r>
        <w:t xml:space="preserve"> </w:t>
      </w:r>
      <w:r>
        <w:rPr>
          <w:b/>
          <w:bCs/>
        </w:rPr>
        <w:t xml:space="preserve">Vrai</w:t>
      </w:r>
      <w:r>
        <w:t xml:space="preserve">.</w:t>
      </w:r>
    </w:p>
    <w:p>
      <w:pPr>
        <w:pStyle w:val="Compact"/>
        <w:numPr>
          <w:ilvl w:val="0"/>
          <w:numId w:val="2651"/>
        </w:numPr>
      </w:pPr>
      <w:r>
        <w:t xml:space="preserve">Un profil de maturité NIST CSF, une fois établi, n’a pas besoin d’être révisé ultérieurement. —</w:t>
      </w:r>
      <w:r>
        <w:t xml:space="preserve"> </w:t>
      </w:r>
      <w:r>
        <w:rPr>
          <w:b/>
          <w:bCs/>
        </w:rPr>
        <w:t xml:space="preserve">Faux</w:t>
      </w:r>
      <w:r>
        <w:t xml:space="preserve"> </w:t>
      </w:r>
      <w:r>
        <w:t xml:space="preserve">(section</w:t>
      </w:r>
      <w:r>
        <w:t xml:space="preserve"> </w:t>
      </w:r>
      <w:r>
        <w:t xml:space="preserve">“Erreur n°3”</w:t>
      </w:r>
      <w:r>
        <w:t xml:space="preserve">).</w:t>
      </w:r>
    </w:p>
    <w:p>
      <w:pPr>
        <w:pStyle w:val="Compact"/>
        <w:numPr>
          <w:ilvl w:val="0"/>
          <w:numId w:val="2651"/>
        </w:numPr>
      </w:pPr>
      <w:r>
        <w:t xml:space="preserve">La fonction Récupérer correspond aux stratégies de sauvegarde et aux plans de continuité déjà couverts dans ce manuel. —</w:t>
      </w:r>
      <w:r>
        <w:t xml:space="preserve"> </w:t>
      </w:r>
      <w:r>
        <w:rPr>
          <w:b/>
          <w:bCs/>
        </w:rPr>
        <w:t xml:space="preserve">Vrai</w:t>
      </w:r>
      <w:r>
        <w:t xml:space="preserve">.</w:t>
      </w:r>
    </w:p>
    <w:p>
      <w:pPr>
        <w:pStyle w:val="FirstParagraph"/>
      </w:pPr>
      <w:r>
        <w:t xml:space="preserve">📝 Questions ouvertes</w:t>
      </w:r>
    </w:p>
    <w:p>
      <w:pPr>
        <w:pStyle w:val="Compact"/>
        <w:numPr>
          <w:ilvl w:val="0"/>
          <w:numId w:val="2652"/>
        </w:numPr>
      </w:pPr>
      <w:r>
        <w:t xml:space="preserve">Explique pourquoi le constat de la RSSI dans le scénario d’ouverture — une sécurité</w:t>
      </w:r>
      <w:r>
        <w:t xml:space="preserve"> </w:t>
      </w:r>
      <w:r>
        <w:t xml:space="preserve">“construite par réaction successive”</w:t>
      </w:r>
      <w:r>
        <w:t xml:space="preserve"> </w:t>
      </w:r>
      <w:r>
        <w:t xml:space="preserve">— n’est pas nécessairement le signe d’une mauvaise gestion, mais plutôt une évolution naturelle sans cadre structuré préalable.</w:t>
      </w:r>
    </w:p>
    <w:p>
      <w:pPr>
        <w:pStyle w:val="Compact"/>
        <w:numPr>
          <w:ilvl w:val="0"/>
          <w:numId w:val="2652"/>
        </w:numPr>
      </w:pPr>
      <w:r>
        <w:t xml:space="preserve">Un collègue affirme que puisque l’entreprise du fil rouge dispose déjà de nombreuses mesures de sécurité solides (chapitres 22-26, 66-70), l’adoption formelle d’un cadre comme le NIST CSF n’apporterait aucune valeur supplémentaire. Discute cette affirmation.</w:t>
      </w:r>
    </w:p>
    <w:p>
      <w:pPr>
        <w:pStyle w:val="FirstParagraph"/>
      </w:pPr>
      <w:r>
        <w:rPr>
          <w:b/>
          <w:bCs/>
        </w:rPr>
        <w:t xml:space="preserve">Corrigé 1</w:t>
      </w:r>
      <w:r>
        <w:t xml:space="preserve"> </w:t>
      </w:r>
      <w:r>
        <w:t xml:space="preserve">: chaque mesure de sécurité introduite au fil de ce manuel (MFA après le phishing, segmentation renforcée après l’audit, plan de continuité après l’exercice de simulation) constituait une réponse rationnelle et appropriée au risque identifié à ce moment précis. Le problème n’est pas la qualité individuelle de chaque mesure, mais l’absence d’un cadre permettant de savoir, à un instant donné, si l’ensemble de ces mesures couvre réellement l’ensemble du risque de l’organisation, ou seulement les incidents déjà rencontrés par chance ou par malheur. Une organisation qui n’a encore jamais eu de cadre structuré n’a généralement pas eu l’occasion de se poser cette question de couverture globale plus tôt — l’adoption d’un cadre comme le NIST CSF n’est donc pas une correction d’erreurs passées, mais une maturation naturelle de la gestion de la sécurité à mesure que l’organisation grandit.</w:t>
      </w:r>
    </w:p>
    <w:p>
      <w:pPr>
        <w:pStyle w:val="BodyText"/>
      </w:pPr>
      <w:r>
        <w:rPr>
          <w:b/>
          <w:bCs/>
        </w:rPr>
        <w:t xml:space="preserve">Corrigé 2</w:t>
      </w:r>
      <w:r>
        <w:t xml:space="preserve"> </w:t>
      </w:r>
      <w:r>
        <w:t xml:space="preserve">: cette affirmation sous-estime la valeur du cadre au-delà des mesures techniques elles-mêmes. Même avec des mesures individuellement solides, sans cadre de référence, l’organisation ne peut pas répondre avec certitude à la question</w:t>
      </w:r>
      <w:r>
        <w:t xml:space="preserve"> </w:t>
      </w:r>
      <w:r>
        <w:t xml:space="preserve">“sommes-nous réellement couverts sur l’ensemble du risque, ou avons-nous simplement traité les incidents déjà survenus ?”</w:t>
      </w:r>
      <w:r>
        <w:t xml:space="preserve"> </w:t>
      </w:r>
      <w:r>
        <w:t xml:space="preserve">— exactement la question posée par la RSSI dans le scénario d’ouverture. Le cadre apporte une valeur distincte des mesures techniques elles-mêmes : une vision structurée permettant d’identifier les lacunes invisibles (par exemple, une fonction Répondre peu formalisée malgré des mesures de Protéger très solides), et un langage commun pour communiquer l’état de la sécurité à des parties prenantes non techniques, comme le comité de direction du scénario d’ouverture.</w:t>
      </w:r>
    </w:p>
    <w:bookmarkEnd w:id="1745"/>
    <w:bookmarkStart w:id="1746" w:name="exercices-70"/>
    <w:p>
      <w:pPr>
        <w:pStyle w:val="Heading2"/>
      </w:pPr>
      <w:r>
        <w:t xml:space="preserve">Exercices</w:t>
      </w:r>
    </w:p>
    <w:p>
      <w:pPr>
        <w:pStyle w:val="FirstParagraph"/>
      </w:pPr>
      <w:r>
        <w:t xml:space="preserve">📝 Exercice 71.1</w:t>
      </w:r>
    </w:p>
    <w:p>
      <w:pPr>
        <w:pStyle w:val="BodyText"/>
      </w:pPr>
      <w:r>
        <w:t xml:space="preserve">Pour chacune des mesures suivantes déjà rencontrées dans ce manuel, indique à quelle fonction du NIST CSF elle appartient principalement : (a) l’inventaire des actifs du chapitre 3 ; (b) le pare-feu nouvelle génération Fortinet du chapitre 66 ; (c) la pile ELK du chapitre 62 ; (d) le plan de reprise d’activité du chapitre 31.</w:t>
      </w:r>
    </w:p>
    <w:p>
      <w:pPr>
        <w:pStyle w:val="BodyText"/>
      </w:pPr>
      <w:r>
        <w:rPr>
          <w:b/>
          <w:bCs/>
        </w:rPr>
        <w:t xml:space="preserve">Corrigé :</w:t>
      </w:r>
      <w:r>
        <w:t xml:space="preserve"> </w:t>
      </w:r>
      <w:r>
        <w:t xml:space="preserve">(a) Identifier — l’inventaire des actifs constitue la fondation même de cette fonction (section 71.3). (b) Protéger — le pare-feu nouvelle génération constitue une mesure de défense préventive (section 71.4). (c) Détecter — la centralisation des logs permet de repérer un incident en cours (section 71.5). (d) Récupérer — le plan de reprise d’activité vise le retour à un fonctionnement normal après un incident (section 71.7).</w:t>
      </w:r>
    </w:p>
    <w:p>
      <w:pPr>
        <w:pStyle w:val="BodyText"/>
      </w:pPr>
      <w:r>
        <w:t xml:space="preserve">📝 Exercice 71.2</w:t>
      </w:r>
    </w:p>
    <w:p>
      <w:pPr>
        <w:pStyle w:val="BodyText"/>
      </w:pPr>
      <w:r>
        <w:t xml:space="preserve">Rédige, en 3 à 5 phrases, une règle d’équipe garantissant que le profil de maturité NIST CSF de l’organisation est révisé au moins annuellement, en t’appuyant sur le risque décrit à la section</w:t>
      </w:r>
      <w:r>
        <w:t xml:space="preserve"> </w:t>
      </w:r>
      <w:r>
        <w:t xml:space="preserve">“Erreur n°3”</w:t>
      </w:r>
      <w:r>
        <w:t xml:space="preserve">.</w:t>
      </w:r>
    </w:p>
    <w:p>
      <w:pPr>
        <w:pStyle w:val="BodyText"/>
      </w:pPr>
      <w:r>
        <w:rPr>
          <w:b/>
          <w:bCs/>
        </w:rPr>
        <w:t xml:space="preserve">Corrigé (exemple de réponse) :</w:t>
      </w:r>
      <w:r>
        <w:t xml:space="preserve"> </w:t>
      </w:r>
      <w:r>
        <w:t xml:space="preserve">Le profil de maturité NIST CSF de l’organisation sera révisé formellement une fois par an, à l’occasion d’une réunion dédiée impliquant la RSSI et les responsables techniques concernés par chacune des cinq fonctions. Cette révision comparera l’état actuel des mesures en place à l’état cible précédemment défini, identifiant explicitement toute nouvelle lacune apparue depuis la dernière revue, qu’elle résulte d’une évolution de l’infrastructure ou d’un changement du paysage de menace. Les priorités d’investissement en sécurité pour l’année suivante seront directement dérivées des lacunes identifiées lors de cette revue, plutôt que fixées de façon ad hoc au fil des incidents rencontrés, évitant de reproduire le constat initial de la RSSI dans le scénario d’ouverture de ce chapitre.</w:t>
      </w:r>
    </w:p>
    <w:bookmarkEnd w:id="1746"/>
    <w:bookmarkStart w:id="1747" w:name="checklist-de-fin-de-chapitre-70"/>
    <w:p>
      <w:pPr>
        <w:pStyle w:val="Heading2"/>
      </w:pPr>
      <w:r>
        <w:t xml:space="preserve">Checklist de fin de chapitre</w:t>
      </w:r>
    </w:p>
    <w:p>
      <w:pPr>
        <w:pStyle w:val="FirstParagraph"/>
      </w:pPr>
      <w:r>
        <w:t xml:space="preserve">☐ Je comprends pourquoi une sécurité construite exclusivement en réaction aux incidents laisse des lacunes invisibles.</w:t>
      </w:r>
    </w:p>
    <w:p>
      <w:pPr>
        <w:pStyle w:val="BodyText"/>
      </w:pPr>
      <w:r>
        <w:t xml:space="preserve">☐ Je sais nommer et expliquer les cinq fonctions du NIST Cybersecurity Framework.</w:t>
      </w:r>
    </w:p>
    <w:p>
      <w:pPr>
        <w:pStyle w:val="BodyText"/>
      </w:pPr>
      <w:r>
        <w:t xml:space="preserve">☐ Je sais rattacher les mesures de sécurité déjà couvertes dans ce manuel à chacune des cinq fonctions.</w:t>
      </w:r>
    </w:p>
    <w:p>
      <w:pPr>
        <w:pStyle w:val="BodyText"/>
      </w:pPr>
      <w:r>
        <w:t xml:space="preserve">☐ Je comprends pourquoi un investissement déséquilibré entre les fonctions laisse l’organisation vulnérable.</w:t>
      </w:r>
    </w:p>
    <w:p>
      <w:pPr>
        <w:pStyle w:val="BodyText"/>
      </w:pPr>
      <w:r>
        <w:t xml:space="preserve">☐ Je sais expliquer l’usage pratique d’un profil de maturité NIST CSF.</w:t>
      </w:r>
    </w:p>
    <w:p>
      <w:pPr>
        <w:pStyle w:val="BodyText"/>
      </w:pPr>
      <w:r>
        <w:t xml:space="preserve">☐ Je sais diagnostiquer une organisation dépourvue de cadre de sécurité commun.</w:t>
      </w:r>
    </w:p>
    <w:bookmarkEnd w:id="1747"/>
    <w:bookmarkStart w:id="1748" w:name="faq-70"/>
    <w:p>
      <w:pPr>
        <w:pStyle w:val="Heading2"/>
      </w:pPr>
      <w:r>
        <w:t xml:space="preserve">FAQ</w:t>
      </w:r>
    </w:p>
    <w:p>
      <w:pPr>
        <w:pStyle w:val="FirstParagraph"/>
      </w:pPr>
      <w:r>
        <w:t xml:space="preserve">Le NIST CSF est-il une certification, comme ISO 27001 abordée au chapitre suivant ?</w:t>
      </w:r>
    </w:p>
    <w:p>
      <w:pPr>
        <w:pStyle w:val="BodyText"/>
      </w:pPr>
      <w:r>
        <w:t xml:space="preserve">Non, le NIST CSF est un cadre de référence volontaire, sans processus de certification formelle associé — il diffère en cela d’ISO 27001, qui fait l’objet d’une certification par un organisme tiers, un contraste approfondi au chapitre 72.</w:t>
      </w:r>
    </w:p>
    <w:p>
      <w:pPr>
        <w:pStyle w:val="BodyText"/>
      </w:pPr>
      <w:r>
        <w:t xml:space="preserve">Le NIST CSF est-il applicable uniquement aux grandes organisations ?</w:t>
      </w:r>
    </w:p>
    <w:p>
      <w:pPr>
        <w:pStyle w:val="BodyText"/>
      </w:pPr>
      <w:r>
        <w:t xml:space="preserve">Non, le cadre reste applicable à des organisations de toute taille, avec un niveau de formalisme adaptable — une petite structure peut appliquer les mêmes cinq fonctions avec des mesures proportionnées à sa taille, sans nécessiter la même complexité procédurale qu’une grande entreprise.</w:t>
      </w:r>
    </w:p>
    <w:p>
      <w:pPr>
        <w:pStyle w:val="BodyText"/>
      </w:pPr>
      <w:r>
        <w:t xml:space="preserve">Faut-il choisir entre le NIST CSF et d’autres cadres comme ISO 27001 ou les CIS Benchmarks ?</w:t>
      </w:r>
    </w:p>
    <w:p>
      <w:pPr>
        <w:pStyle w:val="BodyText"/>
      </w:pPr>
      <w:r>
        <w:t xml:space="preserve">Non, ces cadres, présentés dans les chapitres suivants de cette partie, sont généralement complémentaires plutôt que concurrents — de nombreuses organisations combinent plusieurs cadres, chacun apportant une perspective ou un niveau de détail différent sur la même réalité de sécurité.</w:t>
      </w:r>
    </w:p>
    <w:p>
      <w:pPr>
        <w:pStyle w:val="BodyText"/>
      </w:pPr>
      <w:r>
        <w:t xml:space="preserve">Combien de temps faut-il pour établir un premier profil de maturité NIST CSF pour une organisation ?</w:t>
      </w:r>
    </w:p>
    <w:p>
      <w:pPr>
        <w:pStyle w:val="BodyText"/>
      </w:pPr>
      <w:r>
        <w:t xml:space="preserve">Un premier exercice de cartographie, comme celui réalisé dans l’atelier de ce chapitre, peut être mené en quelques semaines pour une organisation de taille moyenne, à condition de disposer déjà d’un inventaire des actifs et des mesures existantes suffisamment documenté.</w:t>
      </w:r>
    </w:p>
    <w:bookmarkEnd w:id="1748"/>
    <w:bookmarkStart w:id="1750" w:name="références-et-pour-aller-plus-loin-70"/>
    <w:p>
      <w:pPr>
        <w:pStyle w:val="Heading2"/>
      </w:pPr>
      <w:r>
        <w:t xml:space="preserve">Références et pour aller plus loin</w:t>
      </w:r>
    </w:p>
    <w:p>
      <w:pPr>
        <w:pStyle w:val="Compact"/>
        <w:numPr>
          <w:ilvl w:val="0"/>
          <w:numId w:val="2653"/>
        </w:numPr>
      </w:pPr>
      <w:r>
        <w:t xml:space="preserve">NIST — Cybersecurity Framework (CSF) 2.0 :</w:t>
      </w:r>
      <w:r>
        <w:t xml:space="preserve"> </w:t>
      </w:r>
      <w:hyperlink r:id="rId36">
        <w:r>
          <w:rPr>
            <w:rStyle w:val="Hyperlink"/>
          </w:rPr>
          <w:t xml:space="preserve">https://www.nist.gov/cyberframework</w:t>
        </w:r>
      </w:hyperlink>
    </w:p>
    <w:p>
      <w:pPr>
        <w:pStyle w:val="Compact"/>
        <w:numPr>
          <w:ilvl w:val="0"/>
          <w:numId w:val="2653"/>
        </w:numPr>
      </w:pPr>
      <w:r>
        <w:t xml:space="preserve">NIST — Quick Start Guide du CSF :</w:t>
      </w:r>
      <w:r>
        <w:t xml:space="preserve"> </w:t>
      </w:r>
      <w:hyperlink r:id="rId1749">
        <w:r>
          <w:rPr>
            <w:rStyle w:val="Hyperlink"/>
          </w:rPr>
          <w:t xml:space="preserve">https://csrc.nist.gov/projects/cybersecurity-framework</w:t>
        </w:r>
      </w:hyperlink>
    </w:p>
    <w:p>
      <w:pPr>
        <w:pStyle w:val="FirstParagraph"/>
      </w:pPr>
      <w:r>
        <w:rPr>
          <w:i/>
          <w:iCs/>
        </w:rPr>
        <w:t xml:space="preserve">Chapitre suivant : la norme ISO/IEC 27001 — un cadre de gouvernance de la sécurité de l’information complémentaire au NIST CSF, avec un processus de certification formelle par un organisme tiers.</w:t>
      </w:r>
    </w:p>
    <w:p>
      <w:pPr>
        <w:pStyle w:val="BodyText"/>
      </w:pPr>
      <w:r>
        <w:t xml:space="preserve">CHAPITRE 72</w:t>
      </w:r>
    </w:p>
    <w:bookmarkEnd w:id="1750"/>
    <w:bookmarkEnd w:id="1751"/>
    <w:bookmarkStart w:id="1776" w:name="norme-isoiec-27001"/>
    <w:p>
      <w:pPr>
        <w:pStyle w:val="Heading1"/>
      </w:pPr>
      <w:r>
        <w:t xml:space="preserve">Norme ISO/IEC 27001</w:t>
      </w:r>
    </w:p>
    <w:p>
      <w:pPr>
        <w:pStyle w:val="FirstParagraph"/>
      </w:pPr>
      <w:r>
        <w:t xml:space="preserve">🎯 Objectif du chapitre</w:t>
      </w:r>
      <w:r>
        <w:t xml:space="preserve"> </w:t>
      </w:r>
      <w:r>
        <w:t xml:space="preserve">Découvrir un cadre de gouvernance de la sécurité de l’information complémentaire au NIST CSF du chapitre précédent, avec un processus de certification formelle par un organisme tiers. À la fin de ce chapitre, tu comprendras la structure d’un Système de Management de la Sécurité de l’Information (SMSI), le rôle de l’Annexe A et de la déclaration d’applicabilité, et la différence fondamentale entre un cadre volontaire comme le NIST CSF et une norme certifiable comme ISO 27001.</w:t>
      </w:r>
    </w:p>
    <w:p>
      <w:pPr>
        <w:pStyle w:val="BodyText"/>
      </w:pPr>
      <w:r>
        <w:t xml:space="preserve">🎬 Mise en situation</w:t>
      </w:r>
      <w:r>
        <w:t xml:space="preserve"> </w:t>
      </w:r>
      <w:r>
        <w:t xml:space="preserve">Un an après l’adoption du NIST CSF (chapitre 71), l’entreprise d’assurance négocie un contrat avec un nouveau partenaire international, qui exige une preuve formelle et vérifiable par un tiers indépendant de la maturité de sécurité de l’entreprise avant de signer.</w:t>
      </w:r>
      <w:r>
        <w:t xml:space="preserve"> </w:t>
      </w:r>
      <w:r>
        <w:t xml:space="preserve">“Nous appliquons le NIST CSF sérieusement,”</w:t>
      </w:r>
      <w:r>
        <w:t xml:space="preserve"> </w:t>
      </w:r>
      <w:r>
        <w:t xml:space="preserve">explique la RSSI,</w:t>
      </w:r>
      <w:r>
        <w:t xml:space="preserve"> </w:t>
      </w:r>
      <w:r>
        <w:t xml:space="preserve">“mais notre partenaire veut une certification reconnue, pas seulement notre parole sur notre propre conformité.”</w:t>
      </w:r>
      <w:r>
        <w:t xml:space="preserve"> </w:t>
      </w:r>
      <w:r>
        <w:t xml:space="preserve">Le NIST CSF, cadre volontaire et auto-évalué, ne répond pas à cette exigence contractuelle précise. L’entreprise entame une démarche de certification ISO/IEC 27001.</w:t>
      </w:r>
    </w:p>
    <w:bookmarkStart w:id="1752" w:name="X7ffddfe13569e988949ecd8c87b2bfb4260ac34"/>
    <w:p>
      <w:pPr>
        <w:pStyle w:val="Heading2"/>
      </w:pPr>
      <w:r>
        <w:t xml:space="preserve">72.1 Le problème : une auto-évaluation ne suffit plus pour un partenaire externe</w:t>
      </w:r>
    </w:p>
    <w:p>
      <w:pPr>
        <w:pStyle w:val="FirstParagraph"/>
      </w:pPr>
      <w:r>
        <w:t xml:space="preserve">📌 À retenir — la différence fondamentale avec le chapitre 71</w:t>
      </w:r>
      <w:r>
        <w:t xml:space="preserve"> </w:t>
      </w:r>
      <w:r>
        <w:t xml:space="preserve">Le NIST CSF (chapitre 71) permet à une organisation d’évaluer et de structurer sa propre sécurité, mais cette évaluation reste interne et auto-déclarée — rien n’empêche une organisation d’être trop optimiste sur son propre profil de maturité.</w:t>
      </w:r>
      <w:r>
        <w:t xml:space="preserve"> </w:t>
      </w:r>
      <w:r>
        <w:rPr>
          <w:b/>
          <w:bCs/>
        </w:rPr>
        <w:t xml:space="preserve">ISO/IEC 27001</w:t>
      </w:r>
      <w:r>
        <w:t xml:space="preserve"> </w:t>
      </w:r>
      <w:r>
        <w:t xml:space="preserve">est une norme internationale certifiable : un organisme de certification accrédité audite l’organisation selon des critères précis et délivre (ou refuse) un certificat reconnu internationalement, offrant à un tiers externe — comme le partenaire du scénario d’ouverture — une preuve vérifiable plutôt qu’une simple déclaration.</w:t>
      </w:r>
    </w:p>
    <w:bookmarkEnd w:id="1752"/>
    <w:bookmarkStart w:id="1756" w:name="Xc7135d22bdbc6fad077c51eb1cda5e660f5bcb0"/>
    <w:p>
      <w:pPr>
        <w:pStyle w:val="Heading2"/>
      </w:pPr>
      <w:r>
        <w:t xml:space="preserve">72.2 Le Système de Management de la Sécurité de l’Information (SMSI)</w:t>
      </w:r>
    </w:p>
    <w:p>
      <w:pPr>
        <w:pStyle w:val="FirstParagraph"/>
      </w:pPr>
      <w:r>
        <w:t xml:space="preserve">📌 À retenir</w:t>
      </w:r>
      <w:r>
        <w:t xml:space="preserve"> </w:t>
      </w:r>
      <w:r>
        <w:t xml:space="preserve">ISO 27001 ne se limite pas à une liste de mesures techniques — elle exige la mise en place d’un</w:t>
      </w:r>
      <w:r>
        <w:t xml:space="preserve"> </w:t>
      </w:r>
      <w:r>
        <w:rPr>
          <w:b/>
          <w:bCs/>
        </w:rPr>
        <w:t xml:space="preserve">SMSI</w:t>
      </w:r>
      <w:r>
        <w:t xml:space="preserve">, un système de gestion complet incluant l’identification des risques, la définition d’objectifs de sécurité, la mise en œuvre de mesures, la surveillance de leur efficacité, et leur amélioration continue. Cette approche rejoint le principe déjà établi au chapitre 2 pour la gestion des changements ITIL : la sécurité n’est pas un projet ponctuel achevé une fois pour toutes, mais un processus de gestion continu.</w:t>
      </w:r>
    </w:p>
    <w:p>
      <w:pPr>
        <w:pStyle w:val="CaptionedFigure"/>
      </w:pPr>
      <w:r>
        <w:drawing>
          <wp:inline>
            <wp:extent cx="5334000" cy="1060373"/>
            <wp:effectExtent b="0" l="0" r="0" t="0"/>
            <wp:docPr descr="Diagramme" title="" id="1754" name="Picture"/>
            <a:graphic>
              <a:graphicData uri="http://schemas.openxmlformats.org/drawingml/2006/picture">
                <pic:pic>
                  <pic:nvPicPr>
                    <pic:cNvPr descr="C:/Users/ingja/Desktop/jarvis-starter-kit/livrables/formations/manuel-administration-systeme/assets/diagrams/d-72-iso-27001-diagramme-1.png" id="1755" name="Picture"/>
                    <pic:cNvPicPr>
                      <a:picLocks noChangeArrowheads="1" noChangeAspect="1"/>
                    </pic:cNvPicPr>
                  </pic:nvPicPr>
                  <pic:blipFill>
                    <a:blip r:embed="rId1753"/>
                    <a:stretch>
                      <a:fillRect/>
                    </a:stretch>
                  </pic:blipFill>
                  <pic:spPr bwMode="auto">
                    <a:xfrm>
                      <a:off x="0" y="0"/>
                      <a:ext cx="5334000" cy="1060373"/>
                    </a:xfrm>
                    <a:prstGeom prst="rect">
                      <a:avLst/>
                    </a:prstGeom>
                    <a:noFill/>
                    <a:ln w="9525">
                      <a:noFill/>
                      <a:headEnd/>
                      <a:tailEnd/>
                    </a:ln>
                  </pic:spPr>
                </pic:pic>
              </a:graphicData>
            </a:graphic>
          </wp:inline>
        </w:drawing>
      </w:r>
    </w:p>
    <w:p>
      <w:pPr>
        <w:pStyle w:val="ImageCaption"/>
      </w:pPr>
      <w:r>
        <w:t xml:space="preserve">Diagramme</w:t>
      </w:r>
    </w:p>
    <w:bookmarkEnd w:id="1756"/>
    <w:bookmarkStart w:id="1757" w:name="X9a84a840561d9ba228945bde2a3c1d137e2c7fd"/>
    <w:p>
      <w:pPr>
        <w:pStyle w:val="Heading2"/>
      </w:pPr>
      <w:r>
        <w:t xml:space="preserve">72.3 L’analyse de risque : le point de départ obligatoire</w:t>
      </w:r>
    </w:p>
    <w:p>
      <w:pPr>
        <w:pStyle w:val="FirstParagraph"/>
      </w:pPr>
      <w:r>
        <w:t xml:space="preserve">💡 Rappel direct de la fonction Identifier du chapitre 71</w:t>
      </w:r>
      <w:r>
        <w:t xml:space="preserve"> </w:t>
      </w:r>
      <w:r>
        <w:t xml:space="preserve">ISO 27001 exige une analyse de risque formelle, identifiant chaque actif (rappel direct de l’inventaire du chapitre 3), les menaces qui pèsent sur lui, et la probabilité et l’impact d’une matérialisation de ces menaces. Cette analyse détermine ensuite quelles mesures de sécurité sont réellement nécessaires — évitant à la fois le sous-investissement sur un risque critique et le sur-investissement sur un risque négligeable.</w:t>
      </w:r>
    </w:p>
    <w:bookmarkEnd w:id="1757"/>
    <w:bookmarkStart w:id="1758" w:name="X730e480dace632f275253ada9bd5d15afcd279c"/>
    <w:p>
      <w:pPr>
        <w:pStyle w:val="Heading2"/>
      </w:pPr>
      <w:r>
        <w:t xml:space="preserve">72.4 L’Annexe A et la déclaration d’applicabilité</w:t>
      </w:r>
    </w:p>
    <w:p>
      <w:pPr>
        <w:pStyle w:val="FirstParagraph"/>
      </w:pPr>
      <w:r>
        <w:t xml:space="preserve">📌 À retenir</w:t>
      </w:r>
      <w:r>
        <w:t xml:space="preserve"> </w:t>
      </w:r>
      <w:r>
        <w:t xml:space="preserve">L’</w:t>
      </w:r>
      <w:r>
        <w:rPr>
          <w:b/>
          <w:bCs/>
        </w:rPr>
        <w:t xml:space="preserve">Annexe A</w:t>
      </w:r>
      <w:r>
        <w:t xml:space="preserve"> </w:t>
      </w:r>
      <w:r>
        <w:t xml:space="preserve">d’ISO 27001 propose un catalogue de mesures de sécurité de référence (contrôle d’accès, cryptographie, sécurité physique, gestion des incidents, entre autres). L’organisation ne doit pas nécessairement implémenter l’intégralité de ce catalogue — elle produit une</w:t>
      </w:r>
      <w:r>
        <w:t xml:space="preserve"> </w:t>
      </w:r>
      <w:r>
        <w:rPr>
          <w:b/>
          <w:bCs/>
        </w:rPr>
        <w:t xml:space="preserve">déclaration d’applicabilité</w:t>
      </w:r>
      <w:r>
        <w:t xml:space="preserve">, justifiant explicitement, pour chaque mesure, si elle est appliquée ou non, et pourquoi. Cette approche évite le piège d’une conformité superficielle qui cocherait des cases sans réflexion réelle sur la pertinence de chaque mesure pour le contexte précis de l’organisation.</w:t>
      </w:r>
    </w:p>
    <w:bookmarkEnd w:id="1758"/>
    <w:bookmarkStart w:id="1759" w:name="rattacher-les-mesures-déjà-en-place"/>
    <w:p>
      <w:pPr>
        <w:pStyle w:val="Heading2"/>
      </w:pPr>
      <w:r>
        <w:t xml:space="preserve">72.5 Rattacher les mesures déjà en place</w:t>
      </w:r>
    </w:p>
    <w:p>
      <w:pPr>
        <w:pStyle w:val="FirstParagraph"/>
      </w:pPr>
      <w:r>
        <w:t xml:space="preserve">✅ Une grande partie du travail est déjà faite</w:t>
      </w:r>
      <w:r>
        <w:t xml:space="preserve"> </w:t>
      </w:r>
      <w:r>
        <w:t xml:space="preserve">Comme pour le NIST CSF au chapitre précédent, une grande partie des mesures déjà couvertes dans ce manuel se rattache directement à des contrôles de l’Annexe A — le contrôle d’accès Active Directory (chapitres 22-25) correspond au domaine</w:t>
      </w:r>
      <w:r>
        <w:t xml:space="preserve"> </w:t>
      </w:r>
      <w:r>
        <w:t xml:space="preserve">“contrôle d’accès”</w:t>
      </w:r>
      <w:r>
        <w:t xml:space="preserve"> </w:t>
      </w:r>
      <w:r>
        <w:t xml:space="preserve">; le chiffrement TLS (chapitre 24) correspond au domaine</w:t>
      </w:r>
      <w:r>
        <w:t xml:space="preserve"> </w:t>
      </w:r>
      <w:r>
        <w:t xml:space="preserve">“cryptographie”</w:t>
      </w:r>
      <w:r>
        <w:t xml:space="preserve"> </w:t>
      </w:r>
      <w:r>
        <w:t xml:space="preserve">; le plan de continuité (chapitre 32) correspond au domaine</w:t>
      </w:r>
      <w:r>
        <w:t xml:space="preserve"> </w:t>
      </w:r>
      <w:r>
        <w:t xml:space="preserve">“continuité d’activité”</w:t>
      </w:r>
      <w:r>
        <w:t xml:space="preserve">. La démarche de certification ne repart donc pas de zéro, mais consiste largement à documenter et à formaliser l’existant selon la structure exigée par la norme.</w:t>
      </w:r>
    </w:p>
    <w:bookmarkEnd w:id="1759"/>
    <w:bookmarkStart w:id="1760" w:name="X5946bf9a0b8aa45e2026d3bed77d4cf1f08eb05"/>
    <w:p>
      <w:pPr>
        <w:pStyle w:val="Heading2"/>
      </w:pPr>
      <w:r>
        <w:t xml:space="preserve">72.6 L’audit de certification : interne, puis externe</w:t>
      </w:r>
    </w:p>
    <w:p>
      <w:pPr>
        <w:pStyle w:val="FirstParagraph"/>
      </w:pPr>
      <w:r>
        <w:t xml:space="preserve">📌 À retenir</w:t>
      </w:r>
      <w:r>
        <w:t xml:space="preserve"> </w:t>
      </w:r>
      <w:r>
        <w:t xml:space="preserve">Avant l’audit de certification proprement dit, mené par l’organisme de certification externe, une organisation réalise généralement un ou plusieurs</w:t>
      </w:r>
      <w:r>
        <w:t xml:space="preserve"> </w:t>
      </w:r>
      <w:r>
        <w:rPr>
          <w:b/>
          <w:bCs/>
        </w:rPr>
        <w:t xml:space="preserve">audits internes</w:t>
      </w:r>
      <w:r>
        <w:t xml:space="preserve">, vérifiant elle-même sa conformité aux exigences de la norme avant de s’exposer à un audit externe. Cette étape rejoint le même principe déjà établi pour tester une restauration de sauvegarde avant d’en avoir réellement besoin (chapitre 27) — vérifier la conformité en interne avant qu’un tiers externe ne le fasse à la place de l’organisation, avec un enjeu commercial ou contractuel bien plus élevé en cas d’échec.</w:t>
      </w:r>
    </w:p>
    <w:bookmarkEnd w:id="1760"/>
    <w:bookmarkStart w:id="1761" w:name="Xeb9fb934164d9462ead96939bc882b321114325"/>
    <w:p>
      <w:pPr>
        <w:pStyle w:val="Heading2"/>
      </w:pPr>
      <w:r>
        <w:t xml:space="preserve">72.7 NIST CSF et ISO 27001 : complémentaires, pas concurrents</w:t>
      </w:r>
    </w:p>
    <w:p>
      <w:pPr>
        <w:pStyle w:val="FirstParagraph"/>
      </w:pPr>
      <w:r>
        <w:t xml:space="preserve">📌 À retenir — répondre directement à la question laissée en suspens au chapitre 71</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Critère</w:t>
            </w:r>
          </w:p>
        </w:tc>
        <w:tc>
          <w:tcPr/>
          <w:p>
            <w:pPr>
              <w:pStyle w:val="Compact"/>
            </w:pPr>
            <w:r>
              <w:t xml:space="preserve">NIST CSF (chapitre 71)</w:t>
            </w:r>
          </w:p>
        </w:tc>
        <w:tc>
          <w:tcPr/>
          <w:p>
            <w:pPr>
              <w:pStyle w:val="Compact"/>
            </w:pPr>
            <w:r>
              <w:t xml:space="preserve">ISO 27001</w:t>
            </w:r>
          </w:p>
        </w:tc>
      </w:tr>
      <w:tr>
        <w:tc>
          <w:tcPr/>
          <w:p>
            <w:pPr>
              <w:pStyle w:val="Compact"/>
            </w:pPr>
            <w:r>
              <w:t xml:space="preserve">Nature</w:t>
            </w:r>
          </w:p>
        </w:tc>
        <w:tc>
          <w:tcPr/>
          <w:p>
            <w:pPr>
              <w:pStyle w:val="Compact"/>
            </w:pPr>
            <w:r>
              <w:t xml:space="preserve">Cadre de référence volontaire</w:t>
            </w:r>
          </w:p>
        </w:tc>
        <w:tc>
          <w:tcPr/>
          <w:p>
            <w:pPr>
              <w:pStyle w:val="Compact"/>
            </w:pPr>
            <w:r>
              <w:t xml:space="preserve">Norme internationale certifiable</w:t>
            </w:r>
          </w:p>
        </w:tc>
      </w:tr>
      <w:tr>
        <w:tc>
          <w:tcPr/>
          <w:p>
            <w:pPr>
              <w:pStyle w:val="Compact"/>
            </w:pPr>
            <w:r>
              <w:t xml:space="preserve">Évaluation</w:t>
            </w:r>
          </w:p>
        </w:tc>
        <w:tc>
          <w:tcPr/>
          <w:p>
            <w:pPr>
              <w:pStyle w:val="Compact"/>
            </w:pPr>
            <w:r>
              <w:t xml:space="preserve">Auto-évaluation interne</w:t>
            </w:r>
          </w:p>
        </w:tc>
        <w:tc>
          <w:tcPr/>
          <w:p>
            <w:pPr>
              <w:pStyle w:val="Compact"/>
            </w:pPr>
            <w:r>
              <w:t xml:space="preserve">Audit par un organisme accrédité externe</w:t>
            </w:r>
          </w:p>
        </w:tc>
      </w:tr>
      <w:tr>
        <w:tc>
          <w:tcPr/>
          <w:p>
            <w:pPr>
              <w:pStyle w:val="Compact"/>
            </w:pPr>
            <w:r>
              <w:t xml:space="preserve">Structure</w:t>
            </w:r>
          </w:p>
        </w:tc>
        <w:tc>
          <w:tcPr/>
          <w:p>
            <w:pPr>
              <w:pStyle w:val="Compact"/>
            </w:pPr>
            <w:r>
              <w:t xml:space="preserve">Cinq fonctions continues</w:t>
            </w:r>
          </w:p>
        </w:tc>
        <w:tc>
          <w:tcPr/>
          <w:p>
            <w:pPr>
              <w:pStyle w:val="Compact"/>
            </w:pPr>
            <w:r>
              <w:t xml:space="preserve">Système de management complet (SMSI)</w:t>
            </w:r>
          </w:p>
        </w:tc>
      </w:tr>
      <w:tr>
        <w:tc>
          <w:tcPr/>
          <w:p>
            <w:pPr>
              <w:pStyle w:val="Compact"/>
            </w:pPr>
            <w:r>
              <w:t xml:space="preserve">Reconnaissance externe</w:t>
            </w:r>
          </w:p>
        </w:tc>
        <w:tc>
          <w:tcPr/>
          <w:p>
            <w:pPr>
              <w:pStyle w:val="Compact"/>
            </w:pPr>
            <w:r>
              <w:t xml:space="preserve">Limitée, sans certificat formel</w:t>
            </w:r>
          </w:p>
        </w:tc>
        <w:tc>
          <w:tcPr/>
          <w:p>
            <w:pPr>
              <w:pStyle w:val="Compact"/>
            </w:pPr>
            <w:r>
              <w:t xml:space="preserve">Certificat reconnu internationalement</w:t>
            </w:r>
          </w:p>
        </w:tc>
      </w:tr>
    </w:tbl>
    <w:p>
      <w:pPr>
        <w:pStyle w:val="BodyText"/>
      </w:pPr>
      <w:r>
        <w:t xml:space="preserve">De nombreuses organisations utilisent les deux cadres de façon complémentaire : le NIST CSF pour structurer et prioriser les activités de sécurité au quotidien, ISO 27001 pour formaliser cette démarche dans un cadre certifiable reconnu par des partenaires externes — exactement la situation de l’entreprise du scénario d’ouverture, qui conserve le NIST CSF déjà adopté tout en engageant une démarche de certification ISO 27001 en complément.</w:t>
      </w:r>
    </w:p>
    <w:bookmarkEnd w:id="1761"/>
    <w:bookmarkStart w:id="1762" w:name="X99bc9704eb0fbfafe9d97f3a19e7287e5de853d"/>
    <w:p>
      <w:pPr>
        <w:pStyle w:val="Heading2"/>
      </w:pPr>
      <w:r>
        <w:t xml:space="preserve">Atelier — Préparer la déclaration d’applicabilité</w:t>
      </w:r>
    </w:p>
    <w:p>
      <w:pPr>
        <w:pStyle w:val="FirstParagraph"/>
      </w:pPr>
      <w:r>
        <w:t xml:space="preserve">🛠️ Atelier 72 — Répondre à l’exigence du partenaire du scénario d’ouverture</w:t>
      </w:r>
    </w:p>
    <w:p>
      <w:pPr>
        <w:pStyle w:val="BodyText"/>
      </w:pPr>
      <w:r>
        <w:rPr>
          <w:b/>
          <w:bCs/>
        </w:rPr>
        <w:t xml:space="preserve">Objectif</w:t>
      </w:r>
      <w:r>
        <w:t xml:space="preserve"> </w:t>
      </w:r>
      <w:r>
        <w:t xml:space="preserve">: construire un extrait de déclaration d’applicabilité, rattachant des mesures déjà en place à des contrôles de l’Annexe A.</w:t>
      </w:r>
    </w:p>
    <w:p>
      <w:pPr>
        <w:pStyle w:val="BodyText"/>
      </w:pPr>
      <w:r>
        <w:rPr>
          <w:b/>
          <w:bCs/>
        </w:rPr>
        <w:t xml:space="preserve">Préparation</w:t>
      </w:r>
      <w:r>
        <w:t xml:space="preserve"> </w:t>
      </w:r>
      <w:r>
        <w:t xml:space="preserve">: une liste des mesures de sécurité déjà couvertes dans ce manuel (chapitres 22-26, 66-70).</w:t>
      </w:r>
    </w:p>
    <w:p>
      <w:pPr>
        <w:pStyle w:val="BodyText"/>
      </w:pPr>
      <w:r>
        <w:rPr>
          <w:b/>
          <w:bCs/>
        </w:rPr>
        <w:t xml:space="preserve">Étapes détaillées</w:t>
      </w:r>
      <w:r>
        <w:t xml:space="preserve"> </w:t>
      </w:r>
      <w:r>
        <w:t xml:space="preserve">:</w:t>
      </w:r>
    </w:p>
    <w:p>
      <w:pPr>
        <w:pStyle w:val="Compact"/>
        <w:numPr>
          <w:ilvl w:val="0"/>
          <w:numId w:val="2654"/>
        </w:numPr>
      </w:pPr>
      <w:r>
        <w:t xml:space="preserve">Pour trois domaines de l’Annexe A (contrôle d’accès, cryptographie, continuité d’activité), identifie une mesure déjà en place dans l’entreprise du fil rouge.</w:t>
      </w:r>
    </w:p>
    <w:p>
      <w:pPr>
        <w:pStyle w:val="Compact"/>
        <w:numPr>
          <w:ilvl w:val="0"/>
          <w:numId w:val="2654"/>
        </w:numPr>
      </w:pPr>
      <w:r>
        <w:t xml:space="preserve">Rédige une justification courte pour chaque mesure, expliquant pourquoi elle répond au contrôle correspondant.</w:t>
      </w:r>
    </w:p>
    <w:p>
      <w:pPr>
        <w:pStyle w:val="Compact"/>
        <w:numPr>
          <w:ilvl w:val="0"/>
          <w:numId w:val="2654"/>
        </w:numPr>
      </w:pPr>
      <w:r>
        <w:t xml:space="preserve">Identifie un domaine de l’Annexe A pour lequel aucune mesure claire n’a encore été établie dans ce manuel, et propose une justification de non-applicabilité ou un plan pour le couvrir.</w:t>
      </w:r>
    </w:p>
    <w:p>
      <w:pPr>
        <w:pStyle w:val="Compact"/>
        <w:numPr>
          <w:ilvl w:val="0"/>
          <w:numId w:val="2654"/>
        </w:numPr>
      </w:pPr>
      <w:r>
        <w:t xml:space="preserve">Explique pourquoi une déclaration d’applicabilité honnête, incluant des justifications de non-applicabilité, est préférable à une déclaration cherchant à cocher artificiellement toutes les cases.</w:t>
      </w:r>
    </w:p>
    <w:p>
      <w:pPr>
        <w:pStyle w:val="Compact"/>
        <w:numPr>
          <w:ilvl w:val="0"/>
          <w:numId w:val="2654"/>
        </w:numPr>
      </w:pPr>
      <w:r>
        <w:t xml:space="preserve">Compare ta démarche à la section</w:t>
      </w:r>
      <w:r>
        <w:t xml:space="preserve"> </w:t>
      </w:r>
      <w:r>
        <w:t xml:space="preserve">“Résultat attendu”</w:t>
      </w:r>
      <w:r>
        <w:t xml:space="preserve">.</w:t>
      </w:r>
    </w:p>
    <w:p>
      <w:pPr>
        <w:pStyle w:val="FirstParagraph"/>
      </w:pPr>
      <w:r>
        <w:rPr>
          <w:b/>
          <w:bCs/>
        </w:rPr>
        <w:t xml:space="preserve">Résultat attendu</w:t>
      </w:r>
      <w:r>
        <w:t xml:space="preserve"> </w:t>
      </w:r>
      <w:r>
        <w:t xml:space="preserve">: le contrôle d’accès se justifie par l’authentification multifacteur et le principe de moindre privilège d’Active Directory (chapitres 22-25) ; la cryptographie se justifie par le chiffrement TLS des flux sensibles (chapitre 24) et le VPN chiffré (chapitre 69) ; la continuité d’activité se justifie par le plan de continuité déjà établi (chapitre 32). Un domaine encore peu couvert pourrait être la gestion formelle des incidents de sécurité, traitée jusqu’ici uniquement à travers le récit des incidents plutôt que par une procédure documentée — un point que le chapitre 79 de ce manuel comblera. Une déclaration honnête, admettant les lacunes réelles plutôt que de les dissimuler, reste préférable car un audit de certification externe (section 72.6) détecterait de toute façon un écart entre une déclaration artificiellement complète et la réalité observée sur le terrain, un résultat bien plus dommageable pour la crédibilité de l’organisation qu’une lacune honnêtement déclarée et accompagnée d’un plan de remédiation.</w:t>
      </w:r>
    </w:p>
    <w:p>
      <w:pPr>
        <w:pStyle w:val="BodyText"/>
      </w:pPr>
      <w:r>
        <w:rPr>
          <w:b/>
          <w:bCs/>
        </w:rPr>
        <w:t xml:space="preserve">Dépannage</w:t>
      </w:r>
      <w:r>
        <w:t xml:space="preserve"> </w:t>
      </w:r>
      <w:r>
        <w:t xml:space="preserve">: si une mesure semble correspondre à plusieurs contrôles de l’Annexe A simultanément, ce n’est pas une erreur — une seule mesure technique (comme le pare-feu nouvelle génération du chapitre 66) peut légitimement contribuer à plusieurs contrôles distincts (contrôle d’accès réseau, sécurité des communications), et devrait être documentée dans chacun des contrôles concernés plutôt que dans un seul choisi arbitrairement.</w:t>
      </w:r>
    </w:p>
    <w:bookmarkEnd w:id="1762"/>
    <w:bookmarkStart w:id="1763" w:name="erreurs-fréquentes-71"/>
    <w:p>
      <w:pPr>
        <w:pStyle w:val="Heading2"/>
      </w:pPr>
      <w:r>
        <w:t xml:space="preserve">Erreurs fréquentes</w:t>
      </w:r>
    </w:p>
    <w:p>
      <w:pPr>
        <w:pStyle w:val="FirstParagraph"/>
      </w:pPr>
      <w:r>
        <w:t xml:space="preserve">⚠️ Erreur n°1 — une certification recherchée uniquement pour le document final, sans SMSI réellement opérant</w:t>
      </w:r>
      <w:r>
        <w:t xml:space="preserve"> </w:t>
      </w:r>
      <w:r>
        <w:t xml:space="preserve">Rappel de la section 72.2 : une certification obtenue sans processus de gestion continu réel derrière elle se dégrade rapidement, l’organisation risquant de ne plus être conforme à l’audit de surveillance suivant.</w:t>
      </w:r>
    </w:p>
    <w:p>
      <w:pPr>
        <w:pStyle w:val="BodyText"/>
      </w:pPr>
      <w:r>
        <w:t xml:space="preserve">⚠️ Erreur n°2 — une déclaration d’applicabilité artificiellement complète, cochant des mesures non réellement en place</w:t>
      </w:r>
      <w:r>
        <w:t xml:space="preserve"> </w:t>
      </w:r>
      <w:r>
        <w:t xml:space="preserve">Rappel de l’atelier : un écart entre la déclaration et la réalité observée sur le terrain compromet gravement la crédibilité de l’organisation lors de l’audit externe.</w:t>
      </w:r>
    </w:p>
    <w:p>
      <w:pPr>
        <w:pStyle w:val="BodyText"/>
      </w:pPr>
      <w:r>
        <w:t xml:space="preserve">⚠️ Erreur n°3 — aucun audit interne réalisé avant l’audit de certification externe</w:t>
      </w:r>
      <w:r>
        <w:t xml:space="preserve"> </w:t>
      </w:r>
      <w:r>
        <w:t xml:space="preserve">Rappel de la section 72.6 : se présenter directement à l’audit externe sans vérification interne préalable expose l’organisation à un risque d’échec évitable, avec un enjeu commercial potentiellement élevé.</w:t>
      </w:r>
    </w:p>
    <w:bookmarkEnd w:id="1763"/>
    <w:bookmarkStart w:id="1764" w:name="Xb28b318a311d957d21131c12ef4e25c4e580e2b"/>
    <w:p>
      <w:pPr>
        <w:pStyle w:val="Heading2"/>
      </w:pPr>
      <w:r>
        <w:t xml:space="preserve">Diagnostiquer un échec d’audit de certification</w:t>
      </w:r>
    </w:p>
    <w:p>
      <w:pPr>
        <w:pStyle w:val="FirstParagraph"/>
      </w:pPr>
      <w:r>
        <w:t xml:space="preserve">🩺 Symptôme : l’organisation échoue à son audit de certification ISO 27001, malgré une préparation apparemment sérieuse</w:t>
      </w:r>
    </w:p>
    <w:p>
      <w:pPr>
        <w:pStyle w:val="Compact"/>
        <w:numPr>
          <w:ilvl w:val="0"/>
          <w:numId w:val="2655"/>
        </w:numPr>
      </w:pPr>
      <w:r>
        <w:rPr>
          <w:b/>
          <w:bCs/>
        </w:rPr>
        <w:t xml:space="preserve">Diagnostic</w:t>
      </w:r>
      <w:r>
        <w:t xml:space="preserve"> </w:t>
      </w:r>
      <w:r>
        <w:t xml:space="preserve">: vérifier si l’échec porte sur un écart entre la déclaration d’applicabilité et la réalité observée (mesure déclarée mais non réellement en place), ou sur une lacune de documentation du processus de gestion (mesure réellement en place mais insuffisamment formalisée pour satisfaire les exigences documentaires de la norme).</w:t>
      </w:r>
    </w:p>
    <w:p>
      <w:pPr>
        <w:pStyle w:val="Compact"/>
        <w:numPr>
          <w:ilvl w:val="0"/>
          <w:numId w:val="2655"/>
        </w:numPr>
      </w:pPr>
      <w:r>
        <w:rPr>
          <w:b/>
          <w:bCs/>
        </w:rPr>
        <w:t xml:space="preserve">Comment vérifier</w:t>
      </w:r>
      <w:r>
        <w:t xml:space="preserve"> </w:t>
      </w:r>
      <w:r>
        <w:t xml:space="preserve">: consulter le rapport détaillé de l’organisme de certification, qui précise généralement la nature exacte de chaque non-conformité relevée.</w:t>
      </w:r>
    </w:p>
    <w:p>
      <w:pPr>
        <w:pStyle w:val="Compact"/>
        <w:numPr>
          <w:ilvl w:val="0"/>
          <w:numId w:val="2655"/>
        </w:numPr>
      </w:pPr>
      <w:r>
        <w:rPr>
          <w:b/>
          <w:bCs/>
        </w:rPr>
        <w:t xml:space="preserve">Résolution</w:t>
      </w:r>
      <w:r>
        <w:t xml:space="preserve"> </w:t>
      </w:r>
      <w:r>
        <w:t xml:space="preserve">: pour un écart de réalité, mettre en œuvre effectivement la mesure manquante avant une nouvelle tentative ; pour une lacune de documentation, formaliser et documenter un processus déjà réellement pratiqué mais insuffisamment tracé.</w:t>
      </w:r>
    </w:p>
    <w:bookmarkEnd w:id="1764"/>
    <w:bookmarkStart w:id="1765" w:name="en-entreprise-71"/>
    <w:p>
      <w:pPr>
        <w:pStyle w:val="Heading2"/>
      </w:pPr>
      <w:r>
        <w:t xml:space="preserve">En entreprise</w:t>
      </w:r>
    </w:p>
    <w:p>
      <w:pPr>
        <w:pStyle w:val="Compact"/>
        <w:numPr>
          <w:ilvl w:val="0"/>
          <w:numId w:val="2656"/>
        </w:numPr>
      </w:pPr>
      <w:r>
        <w:rPr>
          <w:b/>
          <w:bCs/>
        </w:rPr>
        <w:t xml:space="preserve">Bonne pratique répandue</w:t>
      </w:r>
      <w:r>
        <w:t xml:space="preserve"> </w:t>
      </w:r>
      <w:r>
        <w:t xml:space="preserve">: impliquer l’ensemble des équipes concernées (pas uniquement l’équipe sécurité) dès le début de la démarche de certification, la norme couvrant des processus organisationnels qui dépassent le seul périmètre technique.</w:t>
      </w:r>
    </w:p>
    <w:p>
      <w:pPr>
        <w:pStyle w:val="Compact"/>
        <w:numPr>
          <w:ilvl w:val="0"/>
          <w:numId w:val="2656"/>
        </w:numPr>
      </w:pPr>
      <w:r>
        <w:rPr>
          <w:b/>
          <w:bCs/>
        </w:rPr>
        <w:t xml:space="preserve">Bonne pratique répandue</w:t>
      </w:r>
      <w:r>
        <w:t xml:space="preserve"> </w:t>
      </w:r>
      <w:r>
        <w:t xml:space="preserve">: traiter la certification comme un jalon dans un processus continu, plutôt que comme un aboutissement final — les audits de surveillance périodiques qui suivent la certification initiale exigent un maintien réel de la conformité, pas seulement au moment de l’audit initial.</w:t>
      </w:r>
    </w:p>
    <w:p>
      <w:pPr>
        <w:pStyle w:val="Compact"/>
        <w:numPr>
          <w:ilvl w:val="0"/>
          <w:numId w:val="2656"/>
        </w:numPr>
      </w:pPr>
      <w:r>
        <w:rPr>
          <w:b/>
          <w:bCs/>
        </w:rPr>
        <w:t xml:space="preserve">Erreur classique observée</w:t>
      </w:r>
      <w:r>
        <w:t xml:space="preserve"> </w:t>
      </w:r>
      <w:r>
        <w:t xml:space="preserve">: une organisation qui investit massivement dans la préparation de l’audit de certification, obtient son certificat, puis relâche son attention jusqu’à l’audit de surveillance suivant, découvrant alors un écart de conformité accumulé au fil du temps.</w:t>
      </w:r>
    </w:p>
    <w:bookmarkEnd w:id="1765"/>
    <w:bookmarkStart w:id="1766" w:name="entretien-technique-71"/>
    <w:p>
      <w:pPr>
        <w:pStyle w:val="Heading2"/>
      </w:pPr>
      <w:r>
        <w:t xml:space="preserve">Entretien technique</w:t>
      </w:r>
    </w:p>
    <w:p>
      <w:pPr>
        <w:pStyle w:val="FirstParagraph"/>
      </w:pPr>
      <w:r>
        <w:t xml:space="preserve">💼 Questions fréquemment posées en entretien</w:t>
      </w:r>
    </w:p>
    <w:p>
      <w:pPr>
        <w:pStyle w:val="BodyText"/>
      </w:pPr>
      <w:r>
        <w:rPr>
          <w:b/>
          <w:bCs/>
        </w:rPr>
        <w:t xml:space="preserve">Q1.</w:t>
      </w:r>
      <w:r>
        <w:rPr>
          <w:b/>
          <w:bCs/>
        </w:rPr>
        <w:t xml:space="preserve"> </w:t>
      </w:r>
      <w:r>
        <w:rPr>
          <w:b/>
          <w:bCs/>
        </w:rPr>
        <w:t xml:space="preserve">“Quelle est la différence fondamentale entre le NIST CSF et ISO 27001 ?”</w:t>
      </w:r>
      <w:r>
        <w:t xml:space="preserve"> </w:t>
      </w:r>
      <w:r>
        <w:t xml:space="preserve">Réponse attendue : le NIST CSF est un cadre de référence volontaire basé sur l’auto-évaluation ; ISO 27001 est une norme internationale certifiable, auditée par un organisme accrédité externe, offrant une preuve vérifiable de conformité reconnue par des tiers.</w:t>
      </w:r>
    </w:p>
    <w:p>
      <w:pPr>
        <w:pStyle w:val="BodyText"/>
      </w:pPr>
      <w:r>
        <w:rPr>
          <w:b/>
          <w:bCs/>
        </w:rPr>
        <w:t xml:space="preserve">Q2.</w:t>
      </w:r>
      <w:r>
        <w:rPr>
          <w:b/>
          <w:bCs/>
        </w:rPr>
        <w:t xml:space="preserve"> </w:t>
      </w:r>
      <w:r>
        <w:rPr>
          <w:b/>
          <w:bCs/>
        </w:rPr>
        <w:t xml:space="preserve">“Qu’est-ce qu’une déclaration d’applicabilité dans le cadre d’ISO 27001 ?”</w:t>
      </w:r>
      <w:r>
        <w:t xml:space="preserve"> </w:t>
      </w:r>
      <w:r>
        <w:t xml:space="preserve">Réponse attendue : un document justifiant explicitement, pour chaque mesure du catalogue de référence de l’Annexe A, si elle est appliquée ou non par l’organisation, et pourquoi — évitant une conformité superficielle qui cocherait des cases sans réflexion réelle sur leur pertinence.</w:t>
      </w:r>
    </w:p>
    <w:p>
      <w:pPr>
        <w:pStyle w:val="BodyText"/>
      </w:pPr>
      <w:r>
        <w:rPr>
          <w:b/>
          <w:bCs/>
        </w:rPr>
        <w:t xml:space="preserve">Q3.</w:t>
      </w:r>
      <w:r>
        <w:rPr>
          <w:b/>
          <w:bCs/>
        </w:rPr>
        <w:t xml:space="preserve"> </w:t>
      </w:r>
      <w:r>
        <w:rPr>
          <w:b/>
          <w:bCs/>
        </w:rPr>
        <w:t xml:space="preserve">“Pourquoi une organisation réalise-t-elle généralement un audit interne avant l’audit de certification externe ?”</w:t>
      </w:r>
      <w:r>
        <w:t xml:space="preserve"> </w:t>
      </w:r>
      <w:r>
        <w:t xml:space="preserve">Réponse attendue : pour vérifier elle-même sa conformité aux exigences de la norme avant de s’exposer à un audit externe, réduisant le risque d’échec lors de l’audit de certification, dont l’enjeu commercial ou contractuel peut être significatif.</w:t>
      </w:r>
    </w:p>
    <w:bookmarkEnd w:id="1766"/>
    <w:bookmarkStart w:id="1767" w:name="X5e1a4c854fe5e4c233c13d94b54a9938323ebe0"/>
    <w:p>
      <w:pPr>
        <w:pStyle w:val="Heading2"/>
      </w:pPr>
      <w:r>
        <w:t xml:space="preserve">Optimisation, sécurité et maintenabilité — les réflexes dès ce chapitre</w:t>
      </w:r>
    </w:p>
    <w:p>
      <w:pPr>
        <w:pStyle w:val="FirstParagraph"/>
      </w:pPr>
      <w:r>
        <w:t xml:space="preserve">🔒 Sécurité</w:t>
      </w:r>
      <w:r>
        <w:t xml:space="preserve"> </w:t>
      </w:r>
      <w:r>
        <w:t xml:space="preserve">Ne considère jamais une certification ISO 27001 comme un aboutissement final — le SMSI exige une amélioration continue, et les audits de surveillance périodiques vérifient le maintien réel de la conformité dans le temps.</w:t>
      </w:r>
    </w:p>
    <w:p>
      <w:pPr>
        <w:pStyle w:val="BodyText"/>
      </w:pPr>
      <w:r>
        <w:t xml:space="preserve">✅ Maintenabilité</w:t>
      </w:r>
      <w:r>
        <w:t xml:space="preserve"> </w:t>
      </w:r>
      <w:r>
        <w:t xml:space="preserve">Documente le rattachement de chaque mesure de sécurité existante à un contrôle précis de l’Annexe A dès sa mise en place, plutôt que de reconstruire cette correspondance a posteriori au moment de préparer un audit.</w:t>
      </w:r>
    </w:p>
    <w:p>
      <w:pPr>
        <w:pStyle w:val="BodyText"/>
      </w:pPr>
      <w:r>
        <w:t xml:space="preserve">🚀 Performance</w:t>
      </w:r>
      <w:r>
        <w:t xml:space="preserve"> </w:t>
      </w:r>
      <w:r>
        <w:t xml:space="preserve">Une démarche de certification bien préparée, s’appuyant sur des mesures déjà en place et correctement documentées (section 72.5), réduit significativement le temps et le coût nécessaires par rapport à une démarche repartant de zéro.</w:t>
      </w:r>
    </w:p>
    <w:bookmarkEnd w:id="1767"/>
    <w:bookmarkStart w:id="1768" w:name="résumé-du-chapitre-71"/>
    <w:p>
      <w:pPr>
        <w:pStyle w:val="Heading2"/>
      </w:pPr>
      <w:r>
        <w:t xml:space="preserve">Résumé du chapitre</w:t>
      </w:r>
    </w:p>
    <w:p>
      <w:pPr>
        <w:pStyle w:val="Compact"/>
        <w:numPr>
          <w:ilvl w:val="0"/>
          <w:numId w:val="2657"/>
        </w:numPr>
      </w:pPr>
      <w:r>
        <w:t xml:space="preserve">Une auto-évaluation interne, comme le NIST CSF, ne suffit généralement pas à répondre à une exigence contractuelle d’un partenaire externe demandant une preuve vérifiable de conformité.</w:t>
      </w:r>
    </w:p>
    <w:p>
      <w:pPr>
        <w:pStyle w:val="Compact"/>
        <w:numPr>
          <w:ilvl w:val="0"/>
          <w:numId w:val="2657"/>
        </w:numPr>
      </w:pPr>
      <w:r>
        <w:t xml:space="preserve">ISO 27001 exige la mise en place d’un Système de Management de la Sécurité de l’Information (SMSI), un processus de gestion continu plutôt qu’un projet ponctuel.</w:t>
      </w:r>
    </w:p>
    <w:p>
      <w:pPr>
        <w:pStyle w:val="Compact"/>
        <w:numPr>
          <w:ilvl w:val="0"/>
          <w:numId w:val="2657"/>
        </w:numPr>
      </w:pPr>
      <w:r>
        <w:t xml:space="preserve">L’analyse de risque constitue le point de départ obligatoire, déterminant quelles mesures de sécurité sont réellement nécessaires.</w:t>
      </w:r>
    </w:p>
    <w:p>
      <w:pPr>
        <w:pStyle w:val="Compact"/>
        <w:numPr>
          <w:ilvl w:val="0"/>
          <w:numId w:val="2657"/>
        </w:numPr>
      </w:pPr>
      <w:r>
        <w:t xml:space="preserve">L’Annexe A propose un catalogue de mesures de référence ; la déclaration d’applicabilité justifie explicitement leur application ou non-application.</w:t>
      </w:r>
    </w:p>
    <w:p>
      <w:pPr>
        <w:pStyle w:val="Compact"/>
        <w:numPr>
          <w:ilvl w:val="0"/>
          <w:numId w:val="2657"/>
        </w:numPr>
      </w:pPr>
      <w:r>
        <w:t xml:space="preserve">Une grande partie des mesures déjà couvertes dans ce manuel se rattache directement à des contrôles de l’Annexe A.</w:t>
      </w:r>
    </w:p>
    <w:p>
      <w:pPr>
        <w:pStyle w:val="Compact"/>
        <w:numPr>
          <w:ilvl w:val="0"/>
          <w:numId w:val="2657"/>
        </w:numPr>
      </w:pPr>
      <w:r>
        <w:t xml:space="preserve">Le NIST CSF et ISO 27001 sont complémentaires : le premier structure les activités de sécurité au quotidien, le second les formalise dans un cadre certifiable reconnu par des tiers externes.</w:t>
      </w:r>
    </w:p>
    <w:bookmarkEnd w:id="1768"/>
    <w:bookmarkStart w:id="1769" w:name="quiz-71"/>
    <w:p>
      <w:pPr>
        <w:pStyle w:val="Heading2"/>
      </w:pPr>
      <w:r>
        <w:t xml:space="preserve">Quiz</w:t>
      </w:r>
    </w:p>
    <w:p>
      <w:pPr>
        <w:pStyle w:val="FirstParagraph"/>
      </w:pPr>
      <w:r>
        <w:t xml:space="preserve">📝 QCM (une seule bonne réponse par question)</w:t>
      </w:r>
    </w:p>
    <w:p>
      <w:pPr>
        <w:pStyle w:val="Compact"/>
        <w:numPr>
          <w:ilvl w:val="0"/>
          <w:numId w:val="2658"/>
        </w:numPr>
      </w:pPr>
      <w:r>
        <w:t xml:space="preserve">La différence fondamentale entre le NIST CSF et ISO 27001 est que :</w:t>
      </w:r>
    </w:p>
    <w:p>
      <w:pPr>
        <w:pStyle w:val="Compact"/>
        <w:numPr>
          <w:ilvl w:val="1"/>
          <w:numId w:val="2659"/>
        </w:numPr>
      </w:pPr>
    </w:p>
    <w:p>
      <w:pPr>
        <w:pStyle w:val="Compact"/>
        <w:numPr>
          <w:ilvl w:val="2"/>
          <w:numId w:val="2660"/>
        </w:numPr>
      </w:pPr>
      <w:r>
        <w:t xml:space="preserve">Le NIST CSF est certifiable par un organisme externe, contrairement à ISO 27001</w:t>
      </w:r>
    </w:p>
    <w:p>
      <w:pPr>
        <w:pStyle w:val="Compact"/>
        <w:numPr>
          <w:ilvl w:val="1"/>
          <w:numId w:val="2659"/>
        </w:numPr>
      </w:pPr>
    </w:p>
    <w:p>
      <w:pPr>
        <w:pStyle w:val="Compact"/>
        <w:numPr>
          <w:ilvl w:val="2"/>
          <w:numId w:val="2661"/>
        </w:numPr>
      </w:pPr>
      <w:r>
        <w:t xml:space="preserve">ISO 27001 est une norme certifiable auditée par un organisme externe, contrairement au NIST CSF basé sur l’auto-évaluation</w:t>
      </w:r>
    </w:p>
    <w:p>
      <w:pPr>
        <w:pStyle w:val="Compact"/>
        <w:numPr>
          <w:ilvl w:val="1"/>
          <w:numId w:val="2659"/>
        </w:numPr>
      </w:pPr>
    </w:p>
    <w:p>
      <w:pPr>
        <w:pStyle w:val="Compact"/>
        <w:numPr>
          <w:ilvl w:val="2"/>
          <w:numId w:val="2662"/>
        </w:numPr>
      </w:pPr>
      <w:r>
        <w:t xml:space="preserve">Les deux cadres sont strictement identiques</w:t>
      </w:r>
    </w:p>
    <w:p>
      <w:pPr>
        <w:pStyle w:val="Compact"/>
        <w:numPr>
          <w:ilvl w:val="1"/>
          <w:numId w:val="2659"/>
        </w:numPr>
      </w:pPr>
    </w:p>
    <w:p>
      <w:pPr>
        <w:pStyle w:val="Compact"/>
        <w:numPr>
          <w:ilvl w:val="2"/>
          <w:numId w:val="2663"/>
        </w:numPr>
      </w:pPr>
      <w:r>
        <w:t xml:space="preserve">ISO 27001 ne couvre que les aspects techniques, sans processus de gestion</w:t>
      </w:r>
    </w:p>
    <w:p>
      <w:pPr>
        <w:pStyle w:val="Compact"/>
        <w:numPr>
          <w:ilvl w:val="0"/>
          <w:numId w:val="2658"/>
        </w:numPr>
      </w:pPr>
      <w:r>
        <w:t xml:space="preserve">La déclaration d’applicabilité sert à :</w:t>
      </w:r>
    </w:p>
    <w:p>
      <w:pPr>
        <w:pStyle w:val="Compact"/>
        <w:numPr>
          <w:ilvl w:val="1"/>
          <w:numId w:val="2664"/>
        </w:numPr>
      </w:pPr>
    </w:p>
    <w:p>
      <w:pPr>
        <w:pStyle w:val="Compact"/>
        <w:numPr>
          <w:ilvl w:val="2"/>
          <w:numId w:val="2665"/>
        </w:numPr>
      </w:pPr>
      <w:r>
        <w:t xml:space="preserve">Remplacer le besoin d’une analyse de risque</w:t>
      </w:r>
    </w:p>
    <w:p>
      <w:pPr>
        <w:pStyle w:val="Compact"/>
        <w:numPr>
          <w:ilvl w:val="1"/>
          <w:numId w:val="2664"/>
        </w:numPr>
      </w:pPr>
    </w:p>
    <w:p>
      <w:pPr>
        <w:pStyle w:val="Compact"/>
        <w:numPr>
          <w:ilvl w:val="2"/>
          <w:numId w:val="2666"/>
        </w:numPr>
      </w:pPr>
      <w:r>
        <w:t xml:space="preserve">Justifier explicitement l’application ou la non-application de chaque mesure de l’Annexe A</w:t>
      </w:r>
    </w:p>
    <w:p>
      <w:pPr>
        <w:pStyle w:val="Compact"/>
        <w:numPr>
          <w:ilvl w:val="1"/>
          <w:numId w:val="2664"/>
        </w:numPr>
      </w:pPr>
    </w:p>
    <w:p>
      <w:pPr>
        <w:pStyle w:val="Compact"/>
        <w:numPr>
          <w:ilvl w:val="2"/>
          <w:numId w:val="2667"/>
        </w:numPr>
      </w:pPr>
      <w:r>
        <w:t xml:space="preserve">Éliminer le besoin d’un audit externe</w:t>
      </w:r>
    </w:p>
    <w:p>
      <w:pPr>
        <w:pStyle w:val="Compact"/>
        <w:numPr>
          <w:ilvl w:val="1"/>
          <w:numId w:val="2664"/>
        </w:numPr>
      </w:pPr>
    </w:p>
    <w:p>
      <w:pPr>
        <w:pStyle w:val="Compact"/>
        <w:numPr>
          <w:ilvl w:val="2"/>
          <w:numId w:val="2668"/>
        </w:numPr>
      </w:pPr>
      <w:r>
        <w:t xml:space="preserve">Documenter uniquement les mesures déjà en place, sans les mesures absentes</w:t>
      </w:r>
    </w:p>
    <w:p>
      <w:pPr>
        <w:pStyle w:val="Compact"/>
        <w:numPr>
          <w:ilvl w:val="0"/>
          <w:numId w:val="2658"/>
        </w:numPr>
      </w:pPr>
      <w:r>
        <w:t xml:space="preserve">Après l’obtention d’une certification ISO 27001, une organisation doit :</w:t>
      </w:r>
    </w:p>
    <w:p>
      <w:pPr>
        <w:pStyle w:val="Compact"/>
        <w:numPr>
          <w:ilvl w:val="1"/>
          <w:numId w:val="2669"/>
        </w:numPr>
      </w:pPr>
    </w:p>
    <w:p>
      <w:pPr>
        <w:pStyle w:val="Compact"/>
        <w:numPr>
          <w:ilvl w:val="2"/>
          <w:numId w:val="2670"/>
        </w:numPr>
      </w:pPr>
      <w:r>
        <w:t xml:space="preserve">Considérer la démarche comme définitivement achevée</w:t>
      </w:r>
    </w:p>
    <w:p>
      <w:pPr>
        <w:pStyle w:val="Compact"/>
        <w:numPr>
          <w:ilvl w:val="1"/>
          <w:numId w:val="2669"/>
        </w:numPr>
      </w:pPr>
    </w:p>
    <w:p>
      <w:pPr>
        <w:pStyle w:val="Compact"/>
        <w:numPr>
          <w:ilvl w:val="2"/>
          <w:numId w:val="2671"/>
        </w:numPr>
      </w:pPr>
      <w:r>
        <w:t xml:space="preserve">Maintenir sa conformité dans la durée, vérifiée par des audits de surveillance périodiques</w:t>
      </w:r>
    </w:p>
    <w:p>
      <w:pPr>
        <w:pStyle w:val="Compact"/>
        <w:numPr>
          <w:ilvl w:val="1"/>
          <w:numId w:val="2669"/>
        </w:numPr>
      </w:pPr>
    </w:p>
    <w:p>
      <w:pPr>
        <w:pStyle w:val="Compact"/>
        <w:numPr>
          <w:ilvl w:val="2"/>
          <w:numId w:val="2672"/>
        </w:numPr>
      </w:pPr>
      <w:r>
        <w:t xml:space="preserve">Cesser toute analyse de risque</w:t>
      </w:r>
    </w:p>
    <w:p>
      <w:pPr>
        <w:pStyle w:val="Compact"/>
        <w:numPr>
          <w:ilvl w:val="1"/>
          <w:numId w:val="2669"/>
        </w:numPr>
      </w:pPr>
    </w:p>
    <w:p>
      <w:pPr>
        <w:pStyle w:val="Compact"/>
        <w:numPr>
          <w:ilvl w:val="2"/>
          <w:numId w:val="2673"/>
        </w:numPr>
      </w:pPr>
      <w:r>
        <w:t xml:space="preserve">Abandonner le NIST CSF si celui-ci était déjà en place</w:t>
      </w:r>
    </w:p>
    <w:p>
      <w:pPr>
        <w:pStyle w:val="FirstParagraph"/>
      </w:pPr>
      <w:r>
        <w:rPr>
          <w:b/>
          <w:bCs/>
        </w:rPr>
        <w:t xml:space="preserve">Corrigé</w:t>
      </w:r>
      <w:r>
        <w:t xml:space="preserve"> </w:t>
      </w:r>
      <w:r>
        <w:t xml:space="preserve">: 1-b, 2-b, 3-b.</w:t>
      </w:r>
    </w:p>
    <w:p>
      <w:pPr>
        <w:pStyle w:val="BodyText"/>
      </w:pPr>
      <w:r>
        <w:t xml:space="preserve">📝 Vrai ou Faux</w:t>
      </w:r>
    </w:p>
    <w:p>
      <w:pPr>
        <w:pStyle w:val="Compact"/>
        <w:numPr>
          <w:ilvl w:val="0"/>
          <w:numId w:val="2674"/>
        </w:numPr>
      </w:pPr>
      <w:r>
        <w:t xml:space="preserve">ISO 27001 exige l’implémentation intégrale de toutes les mesures du catalogue de l’Annexe A, sans exception possible. —</w:t>
      </w:r>
      <w:r>
        <w:t xml:space="preserve"> </w:t>
      </w:r>
      <w:r>
        <w:rPr>
          <w:b/>
          <w:bCs/>
        </w:rPr>
        <w:t xml:space="preserve">Faux</w:t>
      </w:r>
      <w:r>
        <w:t xml:space="preserve"> </w:t>
      </w:r>
      <w:r>
        <w:t xml:space="preserve">(section 72.4, la déclaration d’applicabilité permet de justifier une non-application).</w:t>
      </w:r>
    </w:p>
    <w:p>
      <w:pPr>
        <w:pStyle w:val="Compact"/>
        <w:numPr>
          <w:ilvl w:val="0"/>
          <w:numId w:val="2674"/>
        </w:numPr>
      </w:pPr>
      <w:r>
        <w:t xml:space="preserve">Le NIST CSF et ISO 27001 sont généralement utilisés de façon complémentaire plutôt que concurrente. —</w:t>
      </w:r>
      <w:r>
        <w:t xml:space="preserve"> </w:t>
      </w:r>
      <w:r>
        <w:rPr>
          <w:b/>
          <w:bCs/>
        </w:rPr>
        <w:t xml:space="preserve">Vrai</w:t>
      </w:r>
      <w:r>
        <w:t xml:space="preserve">.</w:t>
      </w:r>
    </w:p>
    <w:p>
      <w:pPr>
        <w:pStyle w:val="Compact"/>
        <w:numPr>
          <w:ilvl w:val="0"/>
          <w:numId w:val="2674"/>
        </w:numPr>
      </w:pPr>
      <w:r>
        <w:t xml:space="preserve">Une déclaration d’applicabilité artificiellement complète, cochant des mesures non réellement en place, ne présente aucun risque lors d’un audit externe. —</w:t>
      </w:r>
      <w:r>
        <w:t xml:space="preserve"> </w:t>
      </w:r>
      <w:r>
        <w:rPr>
          <w:b/>
          <w:bCs/>
        </w:rPr>
        <w:t xml:space="preserve">Faux</w:t>
      </w:r>
      <w:r>
        <w:t xml:space="preserve"> </w:t>
      </w:r>
      <w:r>
        <w:t xml:space="preserve">(section</w:t>
      </w:r>
      <w:r>
        <w:t xml:space="preserve"> </w:t>
      </w:r>
      <w:r>
        <w:t xml:space="preserve">“Erreur n°2”</w:t>
      </w:r>
      <w:r>
        <w:t xml:space="preserve">).</w:t>
      </w:r>
    </w:p>
    <w:p>
      <w:pPr>
        <w:pStyle w:val="Compact"/>
        <w:numPr>
          <w:ilvl w:val="0"/>
          <w:numId w:val="2674"/>
        </w:numPr>
      </w:pPr>
      <w:r>
        <w:t xml:space="preserve">Un audit interne avant l’audit de certification externe permet de réduire le risque d’échec lors de l’audit externe. —</w:t>
      </w:r>
      <w:r>
        <w:t xml:space="preserve"> </w:t>
      </w:r>
      <w:r>
        <w:rPr>
          <w:b/>
          <w:bCs/>
        </w:rPr>
        <w:t xml:space="preserve">Vrai</w:t>
      </w:r>
      <w:r>
        <w:t xml:space="preserve">.</w:t>
      </w:r>
    </w:p>
    <w:p>
      <w:pPr>
        <w:pStyle w:val="FirstParagraph"/>
      </w:pPr>
      <w:r>
        <w:t xml:space="preserve">📝 Questions ouvertes</w:t>
      </w:r>
    </w:p>
    <w:p>
      <w:pPr>
        <w:pStyle w:val="Compact"/>
        <w:numPr>
          <w:ilvl w:val="0"/>
          <w:numId w:val="2675"/>
        </w:numPr>
      </w:pPr>
      <w:r>
        <w:t xml:space="preserve">Explique pourquoi le NIST CSF, déjà adopté sérieusement par l’entreprise au chapitre 71, ne suffisait pas à répondre à l’exigence du partenaire international dans le scénario d’ouverture.</w:t>
      </w:r>
    </w:p>
    <w:p>
      <w:pPr>
        <w:pStyle w:val="Compact"/>
        <w:numPr>
          <w:ilvl w:val="0"/>
          <w:numId w:val="2675"/>
        </w:numPr>
      </w:pPr>
      <w:r>
        <w:t xml:space="preserve">Un collègue propose de répondre rapidement à l’exigence du partenaire en produisant une déclaration d’applicabilité affirmant que toutes les mesures de l’Annexe A sont déjà en place,</w:t>
      </w:r>
      <w:r>
        <w:t xml:space="preserve"> </w:t>
      </w:r>
      <w:r>
        <w:t xml:space="preserve">“pour accélérer la signature du contrat”</w:t>
      </w:r>
      <w:r>
        <w:t xml:space="preserve">. Discute le risque de cette proposition.</w:t>
      </w:r>
    </w:p>
    <w:p>
      <w:pPr>
        <w:pStyle w:val="FirstParagraph"/>
      </w:pPr>
      <w:r>
        <w:rPr>
          <w:b/>
          <w:bCs/>
        </w:rPr>
        <w:t xml:space="preserve">Corrigé 1</w:t>
      </w:r>
      <w:r>
        <w:t xml:space="preserve"> </w:t>
      </w:r>
      <w:r>
        <w:t xml:space="preserve">: le NIST CSF, tel qu’adopté au chapitre 71, repose sur une auto-évaluation interne — l’organisation elle-même détermine et déclare son propre niveau de maturité, sans vérification par une tierce partie indépendante. Le partenaire international du scénario d’ouverture exigeait une preuve vérifiable par un organisme externe, une garantie qu’aucune auto-évaluation, aussi rigoureuse soit-elle en interne, ne peut apporter par nature. ISO 27001, avec son processus de certification par un organisme accrédité, répond directement à ce besoin de vérification externe indépendante, ce que le NIST CSF n’a jamais été conçu pour offrir.</w:t>
      </w:r>
    </w:p>
    <w:p>
      <w:pPr>
        <w:pStyle w:val="BodyText"/>
      </w:pPr>
      <w:r>
        <w:rPr>
          <w:b/>
          <w:bCs/>
        </w:rPr>
        <w:t xml:space="preserve">Corrigé 2</w:t>
      </w:r>
      <w:r>
        <w:t xml:space="preserve"> </w:t>
      </w:r>
      <w:r>
        <w:t xml:space="preserve">: cette proposition expose l’organisation à un risque sérieux lors de l’audit de certification effectif, qui vérifierait concrètement, sur le terrain, si chaque mesure déclarée est réellement en place — un audit ISO 27001 ne se limite pas à examiner un document déclaratif, mais implique une vérification factuelle des contrôles annoncés. Un écart détecté entre une déclaration artificiellement complète et la réalité observée compromettrait gravement la crédibilité de l’organisation, potentiellement bien au-delà du simple échec de cette certification particulière — un organisme de certification ou un partenaire découvrant une déclaration mensongère perdrait toute confiance dans les affirmations futures de l’organisation. Une déclaration honnête, même incomplète, accompagnée d’un plan de remédiation crédible pour les lacunes identifiées, reste une approche bien plus solide à long terme que cette proposition.</w:t>
      </w:r>
    </w:p>
    <w:bookmarkEnd w:id="1769"/>
    <w:bookmarkStart w:id="1770" w:name="exercices-71"/>
    <w:p>
      <w:pPr>
        <w:pStyle w:val="Heading2"/>
      </w:pPr>
      <w:r>
        <w:t xml:space="preserve">Exercices</w:t>
      </w:r>
    </w:p>
    <w:p>
      <w:pPr>
        <w:pStyle w:val="FirstParagraph"/>
      </w:pPr>
      <w:r>
        <w:t xml:space="preserve">📝 Exercice 72.1</w:t>
      </w:r>
    </w:p>
    <w:p>
      <w:pPr>
        <w:pStyle w:val="BodyText"/>
      </w:pPr>
      <w:r>
        <w:t xml:space="preserve">Explique pourquoi une organisation qui a déjà sérieusement adopté le NIST CSF (chapitre 71) dispose d’un avantage significatif pour engager une démarche de certification ISO 27001, plutôt que de repartir de zéro.</w:t>
      </w:r>
    </w:p>
    <w:p>
      <w:pPr>
        <w:pStyle w:val="BodyText"/>
      </w:pPr>
      <w:r>
        <w:rPr>
          <w:b/>
          <w:bCs/>
        </w:rPr>
        <w:t xml:space="preserve">Corrigé :</w:t>
      </w:r>
      <w:r>
        <w:t xml:space="preserve"> </w:t>
      </w:r>
      <w:r>
        <w:t xml:space="preserve">Une organisation ayant déjà cartographié ses mesures de sécurité selon les cinq fonctions du NIST CSF (Identifier, Protéger, Détecter, Répondre, Récupérer) dispose déjà d’une vision structurée de sa posture de sécurité, largement transposable vers les contrôles de l’Annexe A d’ISO 27001 (section 72.5) — la fonction Identifier correspond largement à l’analyse de risque déjà exigée par ISO 27001 (section 72.3), la fonction Protéger recouvre une grande partie des contrôles techniques de l’Annexe A. Cette cartographie préalable réduit significativement l’effort de préparation à la certification, transformant une grande partie du travail en un exercice de rattachement et de documentation formelle plutôt qu’une construction entièrement nouvelle des mesures elles-mêmes — un avantage direct de l’approche progressive et cohérente déjà suivie par l’entreprise du fil rouge tout au long de cette partie du manuel.</w:t>
      </w:r>
    </w:p>
    <w:p>
      <w:pPr>
        <w:pStyle w:val="BodyText"/>
      </w:pPr>
      <w:r>
        <w:t xml:space="preserve">📝 Exercice 72.2</w:t>
      </w:r>
    </w:p>
    <w:p>
      <w:pPr>
        <w:pStyle w:val="BodyText"/>
      </w:pPr>
      <w:r>
        <w:t xml:space="preserve">Rédige, en 3 à 5 phrases, une règle d’équipe garantissant qu’un audit interne est systématiquement réalisé avant tout audit de certification externe, en t’appuyant sur le risque décrit à la section 72.6.</w:t>
      </w:r>
    </w:p>
    <w:p>
      <w:pPr>
        <w:pStyle w:val="BodyText"/>
      </w:pPr>
      <w:r>
        <w:rPr>
          <w:b/>
          <w:bCs/>
        </w:rPr>
        <w:t xml:space="preserve">Corrigé (exemple de réponse) :</w:t>
      </w:r>
      <w:r>
        <w:t xml:space="preserve"> </w:t>
      </w:r>
      <w:r>
        <w:t xml:space="preserve">Aucune démarche de certification ISO 27001 ne sera présentée à l’organisme de certification externe sans qu’un audit interne complet n’ait préalablement vérifié la conformité de l’organisation à l’ensemble des exigences applicables de la norme. Cet audit interne sera mené par une personne ou une équipe distincte de celle ayant directement mis en œuvre les mesures évaluées, garantissant un regard suffisamment indépendant pour détecter les écarts réels. Toute non-conformité identifiée lors de cet audit interne sera corrigée avant la présentation à l’audit externe, réduisant le risque d’échec décrit à la section 72.6 et évitant l’impact commercial ou contractuel potentiellement significatif d’un audit de certification manqué.</w:t>
      </w:r>
    </w:p>
    <w:bookmarkEnd w:id="1770"/>
    <w:bookmarkStart w:id="1771" w:name="checklist-de-fin-de-chapitre-71"/>
    <w:p>
      <w:pPr>
        <w:pStyle w:val="Heading2"/>
      </w:pPr>
      <w:r>
        <w:t xml:space="preserve">Checklist de fin de chapitre</w:t>
      </w:r>
    </w:p>
    <w:p>
      <w:pPr>
        <w:pStyle w:val="FirstParagraph"/>
      </w:pPr>
      <w:r>
        <w:t xml:space="preserve">☐ Je comprends la différence fondamentale entre le NIST CSF (auto-évaluation) et ISO 27001 (certification externe).</w:t>
      </w:r>
    </w:p>
    <w:p>
      <w:pPr>
        <w:pStyle w:val="BodyText"/>
      </w:pPr>
      <w:r>
        <w:t xml:space="preserve">☐ Je sais expliquer ce qu’est un Système de Management de la Sécurité de l’Information (SMSI).</w:t>
      </w:r>
    </w:p>
    <w:p>
      <w:pPr>
        <w:pStyle w:val="BodyText"/>
      </w:pPr>
      <w:r>
        <w:t xml:space="preserve">☐ Je comprends le rôle de l’analyse de risque comme point de départ obligatoire d’ISO 27001.</w:t>
      </w:r>
    </w:p>
    <w:p>
      <w:pPr>
        <w:pStyle w:val="BodyText"/>
      </w:pPr>
      <w:r>
        <w:t xml:space="preserve">☐ Je sais expliquer le rôle de l’Annexe A et de la déclaration d’applicabilité.</w:t>
      </w:r>
    </w:p>
    <w:p>
      <w:pPr>
        <w:pStyle w:val="BodyText"/>
      </w:pPr>
      <w:r>
        <w:t xml:space="preserve">☐ Je sais rattacher des mesures de sécurité existantes à des contrôles de l’Annexe A.</w:t>
      </w:r>
    </w:p>
    <w:p>
      <w:pPr>
        <w:pStyle w:val="BodyText"/>
      </w:pPr>
      <w:r>
        <w:t xml:space="preserve">☐ Je comprends pourquoi le NIST CSF et ISO 27001 sont complémentaires plutôt que concurrents.</w:t>
      </w:r>
    </w:p>
    <w:bookmarkEnd w:id="1771"/>
    <w:bookmarkStart w:id="1772" w:name="faq-71"/>
    <w:p>
      <w:pPr>
        <w:pStyle w:val="Heading2"/>
      </w:pPr>
      <w:r>
        <w:t xml:space="preserve">FAQ</w:t>
      </w:r>
    </w:p>
    <w:p>
      <w:pPr>
        <w:pStyle w:val="FirstParagraph"/>
      </w:pPr>
      <w:r>
        <w:t xml:space="preserve">Une petite ou moyenne organisation peut-elle réellement viser une certification ISO 27001 ?</w:t>
      </w:r>
    </w:p>
    <w:p>
      <w:pPr>
        <w:pStyle w:val="BodyText"/>
      </w:pPr>
      <w:r>
        <w:t xml:space="preserve">Oui, la norme s’applique à des organisations de toute taille, avec un SMSI proportionné à la complexité réelle de l’organisation — une petite structure n’a pas besoin de la même lourdeur documentaire qu’une multinationale pour satisfaire les exigences de la norme.</w:t>
      </w:r>
    </w:p>
    <w:p>
      <w:pPr>
        <w:pStyle w:val="BodyText"/>
      </w:pPr>
      <w:r>
        <w:t xml:space="preserve">Combien de temps prend généralement une démarche de certification ISO 27001 ?</w:t>
      </w:r>
    </w:p>
    <w:p>
      <w:pPr>
        <w:pStyle w:val="BodyText"/>
      </w:pPr>
      <w:r>
        <w:t xml:space="preserve">Le délai varie fortement selon la maturité de sécurité déjà en place, mais s’étale généralement sur plusieurs mois à plus d’un an pour une première certification, incluant l’analyse de risque, la mise en œuvre des mesures manquantes, et les audits internes préalables à l’audit de certification.</w:t>
      </w:r>
    </w:p>
    <w:p>
      <w:pPr>
        <w:pStyle w:val="BodyText"/>
      </w:pPr>
      <w:r>
        <w:t xml:space="preserve">La certification ISO 27001 est-elle définitive une fois obtenue ?</w:t>
      </w:r>
    </w:p>
    <w:p>
      <w:pPr>
        <w:pStyle w:val="BodyText"/>
      </w:pPr>
      <w:r>
        <w:t xml:space="preserve">Non, elle est généralement valable trois ans, avec des audits de surveillance périodiques (souvent annuels) vérifiant le maintien réel de la conformité — un relâchement de l’effort après la certification initiale peut conduire à un échec lors d’un audit de surveillance ultérieur.</w:t>
      </w:r>
    </w:p>
    <w:p>
      <w:pPr>
        <w:pStyle w:val="BodyText"/>
      </w:pPr>
      <w:r>
        <w:t xml:space="preserve">ISO 27001 impose-t-elle des mesures techniques précises, comme un fabricant de pare-feu particulier ?</w:t>
      </w:r>
    </w:p>
    <w:p>
      <w:pPr>
        <w:pStyle w:val="BodyText"/>
      </w:pPr>
      <w:r>
        <w:t xml:space="preserve">Non, la norme reste technologiquement neutre — elle exige que des risques identifiés soient traités par des mesures appropriées, sans imposer de solution technique spécifique, laissant à l’organisation le choix des outils concrets déjà présentés dans ce manuel (Fortinet, Mikrotik, ou tout autre équipement adapté à son contexte).</w:t>
      </w:r>
    </w:p>
    <w:bookmarkEnd w:id="1772"/>
    <w:bookmarkStart w:id="1775" w:name="références-et-pour-aller-plus-loin-71"/>
    <w:p>
      <w:pPr>
        <w:pStyle w:val="Heading2"/>
      </w:pPr>
      <w:r>
        <w:t xml:space="preserve">Références et pour aller plus loin</w:t>
      </w:r>
    </w:p>
    <w:p>
      <w:pPr>
        <w:pStyle w:val="Compact"/>
        <w:numPr>
          <w:ilvl w:val="0"/>
          <w:numId w:val="2676"/>
        </w:numPr>
      </w:pPr>
      <w:r>
        <w:t xml:space="preserve">ISO — ISO/IEC 27001 Information security management :</w:t>
      </w:r>
      <w:r>
        <w:t xml:space="preserve"> </w:t>
      </w:r>
      <w:hyperlink r:id="rId1773">
        <w:r>
          <w:rPr>
            <w:rStyle w:val="Hyperlink"/>
          </w:rPr>
          <w:t xml:space="preserve">https://www.iso.org/standard/27001</w:t>
        </w:r>
      </w:hyperlink>
    </w:p>
    <w:p>
      <w:pPr>
        <w:pStyle w:val="Compact"/>
        <w:numPr>
          <w:ilvl w:val="0"/>
          <w:numId w:val="2676"/>
        </w:numPr>
      </w:pPr>
      <w:r>
        <w:t xml:space="preserve">ISO — Introduction officielle à la famille ISO/IEC 27000 :</w:t>
      </w:r>
      <w:r>
        <w:t xml:space="preserve"> </w:t>
      </w:r>
      <w:hyperlink r:id="rId1774">
        <w:r>
          <w:rPr>
            <w:rStyle w:val="Hyperlink"/>
          </w:rPr>
          <w:t xml:space="preserve">https://www.iso.org/isoiec-27001-information-security.html</w:t>
        </w:r>
      </w:hyperlink>
    </w:p>
    <w:p>
      <w:pPr>
        <w:pStyle w:val="FirstParagraph"/>
      </w:pPr>
      <w:r>
        <w:rPr>
          <w:i/>
          <w:iCs/>
        </w:rPr>
        <w:t xml:space="preserve">Chapitre suivant : les CIS Benchmarks — des recommandations de configuration technique détaillées et concrètes, complétant les cadres de gouvernance de haut niveau déjà présentés dans cette partie du manuel.</w:t>
      </w:r>
    </w:p>
    <w:p>
      <w:pPr>
        <w:pStyle w:val="BodyText"/>
      </w:pPr>
      <w:r>
        <w:t xml:space="preserve">CHAPITRE 73</w:t>
      </w:r>
    </w:p>
    <w:bookmarkEnd w:id="1775"/>
    <w:bookmarkEnd w:id="1776"/>
    <w:bookmarkStart w:id="1796" w:name="cis-benchmarks"/>
    <w:p>
      <w:pPr>
        <w:pStyle w:val="Heading1"/>
      </w:pPr>
      <w:r>
        <w:t xml:space="preserve">CIS Benchmarks</w:t>
      </w:r>
    </w:p>
    <w:p>
      <w:pPr>
        <w:pStyle w:val="FirstParagraph"/>
      </w:pPr>
      <w:r>
        <w:t xml:space="preserve">🎯 Objectif du chapitre</w:t>
      </w:r>
      <w:r>
        <w:t xml:space="preserve"> </w:t>
      </w:r>
      <w:r>
        <w:t xml:space="preserve">Descendre des cadres de gouvernance de haut niveau déjà présentés (NIST CSF, ISO 27001) vers des recommandations de configuration technique détaillées et concrètes, applicables directement à chaque serveur de l’infrastructure. À la fin de ce chapitre, tu comprendras la différence entre les CIS Controls et les CIS Benchmarks, les niveaux de conformité Level 1 et Level 2, et tu sauras durcir un serveur selon un benchmark tout en évitant de casser des fonctionnalités nécessaires.</w:t>
      </w:r>
    </w:p>
    <w:p>
      <w:pPr>
        <w:pStyle w:val="BodyText"/>
      </w:pPr>
      <w:r>
        <w:t xml:space="preserve">🎬 Mise en situation</w:t>
      </w:r>
      <w:r>
        <w:t xml:space="preserve"> </w:t>
      </w:r>
      <w:r>
        <w:t xml:space="preserve">Lors de la préparation de la certification ISO 27001 (chapitre 72), l’auditeur interne pose une question précise à laquelle personne dans l’équipe ne peut répondre avec certitude :</w:t>
      </w:r>
      <w:r>
        <w:t xml:space="preserve"> </w:t>
      </w:r>
      <w:r>
        <w:t xml:space="preserve">“Vous déclarez que le contrôle d’accès et le durcissement des systèmes sont en place — mais concrètement, quels paramètres exacts sont configurés sur chaque serveur ? Comment savez-vous qu’un serveur Windows Server et un serveur Rocky Linux sont configurés selon les mêmes standards de sécurité rigoureux, plutôt que selon les habitudes de l’administrateur qui les a installés ?”</w:t>
      </w:r>
      <w:r>
        <w:t xml:space="preserve"> </w:t>
      </w:r>
      <w:r>
        <w:t xml:space="preserve">Aucune réponse précise n’existe — chaque serveur a été configuré au fil du temps, sans référentiel technique commun. Les CIS Benchmarks répondent directement à cette question.</w:t>
      </w:r>
    </w:p>
    <w:bookmarkStart w:id="1777" w:name="Xc331a4f61ae7c3348b297888c180a72d7f7649f"/>
    <w:p>
      <w:pPr>
        <w:pStyle w:val="Heading2"/>
      </w:pPr>
      <w:r>
        <w:t xml:space="preserve">73.1 Le problème : une politique déclarée, une configuration réelle incertaine</w:t>
      </w:r>
    </w:p>
    <w:p>
      <w:pPr>
        <w:pStyle w:val="FirstParagraph"/>
      </w:pPr>
      <w:r>
        <w:t xml:space="preserve">📌 À retenir — le même écart déjà dénoncé à la section 72.4</w:t>
      </w:r>
      <w:r>
        <w:t xml:space="preserve"> </w:t>
      </w:r>
      <w:r>
        <w:t xml:space="preserve">Une déclaration d’applicabilité ISO 27001 affirmant que le</w:t>
      </w:r>
      <w:r>
        <w:t xml:space="preserve"> </w:t>
      </w:r>
      <w:r>
        <w:t xml:space="preserve">“durcissement des systèmes”</w:t>
      </w:r>
      <w:r>
        <w:t xml:space="preserve"> </w:t>
      </w:r>
      <w:r>
        <w:t xml:space="preserve">est en place reste une déclaration de haut niveau, sans détail sur les paramètres exacts appliqués à chaque serveur. Sans un référentiel technique précis et vérifiable, deux serveurs peuvent porter la même étiquette de conformité tout en ayant des configurations réellement très différentes — l’écart exact entre déclaration et réalité déjà dénoncé comme risque à la section 72.4.</w:t>
      </w:r>
    </w:p>
    <w:bookmarkEnd w:id="1777"/>
    <w:bookmarkStart w:id="1778" w:name="Xc5de40c863f3b5a02b45fac16c3b36dd42da166"/>
    <w:p>
      <w:pPr>
        <w:pStyle w:val="Heading2"/>
      </w:pPr>
      <w:r>
        <w:t xml:space="preserve">73.2 Les CIS Benchmarks : des guides de configuration détaillés et gratuits</w:t>
      </w:r>
    </w:p>
    <w:p>
      <w:pPr>
        <w:pStyle w:val="FirstParagraph"/>
      </w:pPr>
      <w:r>
        <w:t xml:space="preserve">📌 À retenir</w:t>
      </w:r>
      <w:r>
        <w:t xml:space="preserve"> </w:t>
      </w:r>
      <w:r>
        <w:t xml:space="preserve">Les</w:t>
      </w:r>
      <w:r>
        <w:t xml:space="preserve"> </w:t>
      </w:r>
      <w:r>
        <w:rPr>
          <w:b/>
          <w:bCs/>
        </w:rPr>
        <w:t xml:space="preserve">CIS Benchmarks</w:t>
      </w:r>
      <w:r>
        <w:t xml:space="preserve"> </w:t>
      </w:r>
      <w:r>
        <w:t xml:space="preserve">(Center for Internet Security) sont des guides de configuration sécurisée détaillés, disponibles gratuitement, pour un très large éventail de technologies — Windows Server, les distributions Linux courantes, les navigateurs, les principaux hyperviseurs et fournisseurs cloud. Chaque recommandation précise exactement le paramètre à modifier, la valeur recommandée, la justification de sécurité, et souvent la commande ou le réglage précis pour l’appliquer — répondant directement au niveau de détail que l’auditeur du scénario d’ouverture réclamait.</w:t>
      </w:r>
    </w:p>
    <w:bookmarkEnd w:id="1778"/>
    <w:bookmarkStart w:id="1779" w:name="X69c82d179a3b0c502ea06bbccc0a817e1af257a"/>
    <w:p>
      <w:pPr>
        <w:pStyle w:val="Heading2"/>
      </w:pPr>
      <w:r>
        <w:t xml:space="preserve">73.3 CIS Controls et CIS Benchmarks : deux niveaux complémentaires</w:t>
      </w:r>
    </w:p>
    <w:p>
      <w:pPr>
        <w:pStyle w:val="FirstParagraph"/>
      </w:pPr>
      <w:r>
        <w:t xml:space="preserve">💡 Rappel indirect de la hiérarchie déjà rencontrée aux chapitres 71-72</w:t>
      </w:r>
      <w:r>
        <w:t xml:space="preserve"> </w:t>
      </w:r>
      <w:r>
        <w:t xml:space="preserve">Les</w:t>
      </w:r>
      <w:r>
        <w:t xml:space="preserve"> </w:t>
      </w:r>
      <w:r>
        <w:rPr>
          <w:b/>
          <w:bCs/>
        </w:rPr>
        <w:t xml:space="preserve">CIS Controls</w:t>
      </w:r>
      <w:r>
        <w:t xml:space="preserve"> </w:t>
      </w:r>
      <w:r>
        <w:t xml:space="preserve">définissent un ensemble de priorités stratégiques de haut niveau (dix-huit domaines, comme l’inventaire des actifs ou la gestion des accès) — un niveau d’abstraction comparable aux fonctions du NIST CSF (chapitre 71). Les</w:t>
      </w:r>
      <w:r>
        <w:t xml:space="preserve"> </w:t>
      </w:r>
      <w:r>
        <w:rPr>
          <w:b/>
          <w:bCs/>
        </w:rPr>
        <w:t xml:space="preserve">CIS Benchmarks</w:t>
      </w:r>
      <w:r>
        <w:t xml:space="preserve">, eux, descendent au niveau de la configuration technique précise d’un système donné — le paramètre exact à appliquer sur un serveur Windows Server 2022 ou une distribution Rocky Linux. Les deux se complètent exactement comme les cadres de gouvernance et les mesures techniques concrètes se complètent tout au long de ce manuel.</w:t>
      </w:r>
    </w:p>
    <w:bookmarkEnd w:id="1779"/>
    <w:bookmarkStart w:id="1780" w:name="niveaux-de-conformité-level-1-et-level-2"/>
    <w:p>
      <w:pPr>
        <w:pStyle w:val="Heading2"/>
      </w:pPr>
      <w:r>
        <w:t xml:space="preserve">73.4 Niveaux de conformité : Level 1 et Level 2</w:t>
      </w:r>
    </w:p>
    <w:p>
      <w:pPr>
        <w:pStyle w:val="FirstParagraph"/>
      </w:pPr>
      <w:r>
        <w:t xml:space="preserve">⚠️ Encore le même arbitrage déjà rencontré à plusieurs reprises</w:t>
      </w:r>
      <w:r>
        <w:t xml:space="preserve"> </w:t>
      </w:r>
      <w:r>
        <w:t xml:space="preserve">Chaque recommandation d’un CIS Benchmark est classée</w:t>
      </w:r>
      <w:r>
        <w:t xml:space="preserve"> </w:t>
      </w:r>
      <w:r>
        <w:rPr>
          <w:b/>
          <w:bCs/>
        </w:rPr>
        <w:t xml:space="preserve">Level 1</w:t>
      </w:r>
      <w:r>
        <w:t xml:space="preserve"> </w:t>
      </w:r>
      <w:r>
        <w:t xml:space="preserve">(mesures de sécurité de base, avec un impact fonctionnel minimal et largement applicables) ou</w:t>
      </w:r>
      <w:r>
        <w:t xml:space="preserve"> </w:t>
      </w:r>
      <w:r>
        <w:rPr>
          <w:b/>
          <w:bCs/>
        </w:rPr>
        <w:t xml:space="preserve">Level 2</w:t>
      </w:r>
      <w:r>
        <w:t xml:space="preserve"> </w:t>
      </w:r>
      <w:r>
        <w:t xml:space="preserve">(mesures plus strictes, offrant une sécurité renforcée mais avec un risque plus élevé d’impact sur certaines fonctionnalités). Ce classement reflète le même arbitrage déjà rencontré à plusieurs reprises dans ce manuel entre sécurité et fonctionnalité — appliquer aveuglément l’intégralité du Level 2 sans discernement risque de casser des fonctionnalités réellement nécessaires à l’activité de l’entreprise.</w:t>
      </w:r>
    </w:p>
    <w:bookmarkEnd w:id="1780"/>
    <w:bookmarkStart w:id="1781" w:name="outils-dévaluation-automatisée"/>
    <w:p>
      <w:pPr>
        <w:pStyle w:val="Heading2"/>
      </w:pPr>
      <w:r>
        <w:t xml:space="preserve">73.5 Outils d’évaluation automatisée</w:t>
      </w:r>
    </w:p>
    <w:p>
      <w:pPr>
        <w:pStyle w:val="FirstParagraph"/>
      </w:pPr>
      <w:r>
        <w:t xml:space="preserve">💡 Rappel direct du chapitre 57 — encore la même logique de scan automatisé</w:t>
      </w:r>
      <w:r>
        <w:t xml:space="preserve"> </w:t>
      </w:r>
      <w:r>
        <w:t xml:space="preserve">Des outils comme</w:t>
      </w:r>
      <w:r>
        <w:t xml:space="preserve"> </w:t>
      </w:r>
      <w:r>
        <w:rPr>
          <w:b/>
          <w:bCs/>
        </w:rPr>
        <w:t xml:space="preserve">CIS-CAT</w:t>
      </w:r>
      <w:r>
        <w:t xml:space="preserve"> </w:t>
      </w:r>
      <w:r>
        <w:t xml:space="preserve">(CIS Configuration Assessment Tool) évaluent automatiquement la conformité d’un système à un benchmark donné, produisant un rapport détaillé des écarts constatés — exactement la même logique déjà rencontrée pour les scans de sécurité automatisés du pipeline DevSecOps (chapitre 57) : automatiser la vérification plutôt que de dépendre d’une inspection manuelle serveur par serveur, un exercice lent et sujet à l’erreur humaine.</w:t>
      </w:r>
    </w:p>
    <w:bookmarkEnd w:id="1781"/>
    <w:bookmarkStart w:id="1782" w:name="Xc4d525bd37d5279f8d3fc953010f567f045cc2e"/>
    <w:p>
      <w:pPr>
        <w:pStyle w:val="Heading2"/>
      </w:pPr>
      <w:r>
        <w:t xml:space="preserve">73.6 Durcir concrètement les serveurs du fil rouge</w:t>
      </w:r>
    </w:p>
    <w:p>
      <w:pPr>
        <w:pStyle w:val="FirstParagraph"/>
      </w:pPr>
      <w:r>
        <w:t xml:space="preserve">✅ Application directe aux serveurs déjà déployés dans ce manuel</w:t>
      </w:r>
      <w:r>
        <w:t xml:space="preserve"> </w:t>
      </w:r>
      <w:r>
        <w:t xml:space="preserve">Le CIS Benchmark pour Windows Server (pertinent pour le contrôleur de domaine des chapitres 5-13) recommande, entre autres, la désactivation des protocoles d’authentification obsolètes et un verrouillage de compte après un nombre limité de tentatives échouées. Le CIS Benchmark pour Rocky Linux (pertinent pour le serveur de gestion documentaire du chapitre 19) recommande, entre autres, la désactivation des services réseau non utilisés et un durcissement des permissions sur les fichiers système sensibles — des recommandations directement complémentaires au travail de durcissement SELinux déjà réalisé à ce chapitre.</w:t>
      </w:r>
    </w:p>
    <w:bookmarkEnd w:id="1782"/>
    <w:bookmarkStart w:id="1783" w:name="X146bf162a26dc48bf160c90d52f98ff0f7fc60a"/>
    <w:p>
      <w:pPr>
        <w:pStyle w:val="Heading2"/>
      </w:pPr>
      <w:r>
        <w:t xml:space="preserve">73.7 Intégrer le durcissement dans les images de base</w:t>
      </w:r>
    </w:p>
    <w:p>
      <w:pPr>
        <w:pStyle w:val="FirstParagraph"/>
      </w:pPr>
      <w:r>
        <w:t xml:space="preserve">💡 Rappel direct des chapitres 39 et 54 — encore le même principe de réutilisation</w:t>
      </w:r>
      <w:r>
        <w:t xml:space="preserve"> </w:t>
      </w:r>
      <w:r>
        <w:t xml:space="preserve">Plutôt que de durcir manuellement chaque serveur individuellement après son installation, intégrer les recommandations d’un CIS Benchmark directement dans l’image de base (image Docker du chapitre 39, ou configuration Terraform/Ansible des chapitres 52-55) garantit que chaque nouveau serveur déployé hérite automatiquement du même niveau de durcissement — exactement le même principe de réutilisation déjà rencontré pour les rôles Ansible, les modules Terraform et les templates Zabbix : durcir une fois, réutiliser systématiquement, plutôt que de répéter manuellement un effort de configuration à chaque nouveau déploiement.</w:t>
      </w:r>
    </w:p>
    <w:bookmarkEnd w:id="1783"/>
    <w:bookmarkStart w:id="1784" w:name="X77fedc8dada10d6ec460ed1629f844a0745cc51"/>
    <w:p>
      <w:pPr>
        <w:pStyle w:val="Heading2"/>
      </w:pPr>
      <w:r>
        <w:t xml:space="preserve">Atelier — Durcir le serveur de gestion documentaire</w:t>
      </w:r>
    </w:p>
    <w:p>
      <w:pPr>
        <w:pStyle w:val="FirstParagraph"/>
      </w:pPr>
      <w:r>
        <w:t xml:space="preserve">🛠️ Atelier 73 — Répondre à la question de l’auditeur du scénario d’ouverture</w:t>
      </w:r>
    </w:p>
    <w:p>
      <w:pPr>
        <w:pStyle w:val="BodyText"/>
      </w:pPr>
      <w:r>
        <w:rPr>
          <w:b/>
          <w:bCs/>
        </w:rPr>
        <w:t xml:space="preserve">Objectif</w:t>
      </w:r>
      <w:r>
        <w:t xml:space="preserve"> </w:t>
      </w:r>
      <w:r>
        <w:t xml:space="preserve">: évaluer et corriger la configuration du serveur de gestion documentaire (Rocky Linux) selon un extrait du CIS Benchmark correspondant.</w:t>
      </w:r>
    </w:p>
    <w:p>
      <w:pPr>
        <w:pStyle w:val="BodyText"/>
      </w:pPr>
      <w:r>
        <w:rPr>
          <w:b/>
          <w:bCs/>
        </w:rPr>
        <w:t xml:space="preserve">Préparation</w:t>
      </w:r>
      <w:r>
        <w:t xml:space="preserve"> </w:t>
      </w:r>
      <w:r>
        <w:t xml:space="preserve">: un accès administrateur au serveur de gestion documentaire, le CIS Benchmark Rocky Linux comme référence.</w:t>
      </w:r>
    </w:p>
    <w:p>
      <w:pPr>
        <w:pStyle w:val="BodyText"/>
      </w:pPr>
      <w:r>
        <w:rPr>
          <w:b/>
          <w:bCs/>
        </w:rPr>
        <w:t xml:space="preserve">Étapes détaillées</w:t>
      </w:r>
      <w:r>
        <w:t xml:space="preserve"> </w:t>
      </w:r>
      <w:r>
        <w:t xml:space="preserve">:</w:t>
      </w:r>
    </w:p>
    <w:p>
      <w:pPr>
        <w:pStyle w:val="Compact"/>
        <w:numPr>
          <w:ilvl w:val="0"/>
          <w:numId w:val="2677"/>
        </w:numPr>
      </w:pPr>
      <w:r>
        <w:t xml:space="preserve">Identifie trois recommandations Level 1 du benchmark directement applicables à ce serveur (services réseau inutiles, permissions de fichiers, politique de mot de passe).</w:t>
      </w:r>
    </w:p>
    <w:p>
      <w:pPr>
        <w:pStyle w:val="Compact"/>
        <w:numPr>
          <w:ilvl w:val="0"/>
          <w:numId w:val="2677"/>
        </w:numPr>
      </w:pPr>
      <w:r>
        <w:t xml:space="preserve">Applique ces trois recommandations et documente le paramètre exact modifié pour chacune.</w:t>
      </w:r>
    </w:p>
    <w:p>
      <w:pPr>
        <w:pStyle w:val="Compact"/>
        <w:numPr>
          <w:ilvl w:val="0"/>
          <w:numId w:val="2677"/>
        </w:numPr>
      </w:pPr>
      <w:r>
        <w:t xml:space="preserve">Identifie une recommandation Level 2 potentiellement risquée pour ce serveur précis, et explique pourquoi une évaluation de son impact fonctionnel est nécessaire avant application.</w:t>
      </w:r>
    </w:p>
    <w:p>
      <w:pPr>
        <w:pStyle w:val="Compact"/>
        <w:numPr>
          <w:ilvl w:val="0"/>
          <w:numId w:val="2677"/>
        </w:numPr>
      </w:pPr>
      <w:r>
        <w:t xml:space="preserve">Explique comment cette démarche répond directement à la question posée par l’auditeur dans le scénario d’ouverture.</w:t>
      </w:r>
    </w:p>
    <w:p>
      <w:pPr>
        <w:pStyle w:val="Compact"/>
        <w:numPr>
          <w:ilvl w:val="0"/>
          <w:numId w:val="2677"/>
        </w:numPr>
      </w:pPr>
      <w:r>
        <w:t xml:space="preserve">Compare ta démarche à la section</w:t>
      </w:r>
      <w:r>
        <w:t xml:space="preserve"> </w:t>
      </w:r>
      <w:r>
        <w:t xml:space="preserve">“Résultat attendu”</w:t>
      </w:r>
      <w:r>
        <w:t xml:space="preserve">.</w:t>
      </w:r>
    </w:p>
    <w:p>
      <w:pPr>
        <w:pStyle w:val="FirstParagraph"/>
      </w:pPr>
      <w:r>
        <w:rPr>
          <w:b/>
          <w:bCs/>
        </w:rPr>
        <w:t xml:space="preserve">Résultat attendu</w:t>
      </w:r>
      <w:r>
        <w:t xml:space="preserve"> </w:t>
      </w:r>
      <w:r>
        <w:t xml:space="preserve">: les trois recommandations Level 1 appliquées et documentées constituent une réponse concrète et vérifiable à la question de l’auditeur — plutôt qu’une simple affirmation que</w:t>
      </w:r>
      <w:r>
        <w:t xml:space="preserve"> </w:t>
      </w:r>
      <w:r>
        <w:t xml:space="preserve">“le durcissement est en place”</w:t>
      </w:r>
      <w:r>
        <w:t xml:space="preserve">, l’équipe peut désormais citer précisément les paramètres appliqués et leur justification, référencée à un standard technique reconnu. La recommandation Level 2 identifiée comme potentiellement risquée illustre l’arbitrage de la section 73.4 : elle ne devrait être appliquée qu’après vérification qu’elle n’interrompt pas une fonctionnalité réellement utilisée par le logiciel de gestion documentaire, évitant de reproduire l’erreur déjà dénoncée d’un excès de sécurité disproportionné par rapport au besoin réel.</w:t>
      </w:r>
    </w:p>
    <w:p>
      <w:pPr>
        <w:pStyle w:val="BodyText"/>
      </w:pPr>
      <w:r>
        <w:rPr>
          <w:b/>
          <w:bCs/>
        </w:rPr>
        <w:t xml:space="preserve">Dépannage</w:t>
      </w:r>
      <w:r>
        <w:t xml:space="preserve"> </w:t>
      </w:r>
      <w:r>
        <w:t xml:space="preserve">: si l’application d’une recommandation du benchmark casse une fonctionnalité du logiciel de gestion documentaire, ne désactive pas l’ensemble du durcissement par réaction excessive — identifie précisément la recommandation responsable et évalue si une exception documentée et justifiée est appropriée pour ce cas précis, plutôt que d’abandonner l’intégralité de la démarche.</w:t>
      </w:r>
    </w:p>
    <w:bookmarkEnd w:id="1784"/>
    <w:bookmarkStart w:id="1785" w:name="erreurs-fréquentes-72"/>
    <w:p>
      <w:pPr>
        <w:pStyle w:val="Heading2"/>
      </w:pPr>
      <w:r>
        <w:t xml:space="preserve">Erreurs fréquentes</w:t>
      </w:r>
    </w:p>
    <w:p>
      <w:pPr>
        <w:pStyle w:val="FirstParagraph"/>
      </w:pPr>
      <w:r>
        <w:t xml:space="preserve">⚠️ Erreur n°1 — appliquer aveuglément l’intégralité du Level 2 sans évaluation d’impact</w:t>
      </w:r>
      <w:r>
        <w:t xml:space="preserve"> </w:t>
      </w:r>
      <w:r>
        <w:t xml:space="preserve">Rappel de la section 73.4 : un risque réel de casser des fonctionnalités nécessaires à l’activité de l’entreprise, sans bénéfice de sécurité proportionné dans certains cas.</w:t>
      </w:r>
    </w:p>
    <w:p>
      <w:pPr>
        <w:pStyle w:val="BodyText"/>
      </w:pPr>
      <w:r>
        <w:t xml:space="preserve">⚠️ Erreur n°2 — un durcissement effectué une seule fois, jamais revérifié après un changement ultérieur</w:t>
      </w:r>
      <w:r>
        <w:t xml:space="preserve"> </w:t>
      </w:r>
      <w:r>
        <w:t xml:space="preserve">Une mise à jour système, une réinstallation partielle, ou une modification de configuration ultérieure peut silencieusement annuler une recommandation de durcissement appliquée initialement, sans qu’aucune vérification périodique ne le détecte.</w:t>
      </w:r>
    </w:p>
    <w:p>
      <w:pPr>
        <w:pStyle w:val="BodyText"/>
      </w:pPr>
      <w:r>
        <w:t xml:space="preserve">⚠️ Erreur n°3 — considérer les CIS Benchmarks comme</w:t>
      </w:r>
      <w:r>
        <w:t xml:space="preserve"> </w:t>
      </w:r>
      <w:r>
        <w:t xml:space="preserve">“trop théoriques”</w:t>
      </w:r>
      <w:r>
        <w:t xml:space="preserve"> </w:t>
      </w:r>
      <w:r>
        <w:t xml:space="preserve">et ne jamais les consulter réellement</w:t>
      </w:r>
      <w:r>
        <w:t xml:space="preserve"> </w:t>
      </w:r>
      <w:r>
        <w:t xml:space="preserve">Rappel du scénario d’ouverture : c’est précisément l’absence de référentiel technique concret et consulté qui a empêché l’équipe de répondre à la question précise de l’auditeur.</w:t>
      </w:r>
    </w:p>
    <w:bookmarkEnd w:id="1785"/>
    <w:bookmarkStart w:id="1786" w:name="X0fb25a4a47ce011ce9170820e2f4798dc9109a7"/>
    <w:p>
      <w:pPr>
        <w:pStyle w:val="Heading2"/>
      </w:pPr>
      <w:r>
        <w:t xml:space="preserve">Diagnostiquer une application cassée après un durcissement</w:t>
      </w:r>
    </w:p>
    <w:p>
      <w:pPr>
        <w:pStyle w:val="FirstParagraph"/>
      </w:pPr>
      <w:r>
        <w:t xml:space="preserve">🩺 Symptôme : une application cesse de fonctionner correctement après l’application d’un CIS Benchmark</w:t>
      </w:r>
    </w:p>
    <w:p>
      <w:pPr>
        <w:pStyle w:val="Compact"/>
        <w:numPr>
          <w:ilvl w:val="0"/>
          <w:numId w:val="2678"/>
        </w:numPr>
      </w:pPr>
      <w:r>
        <w:rPr>
          <w:b/>
          <w:bCs/>
        </w:rPr>
        <w:t xml:space="preserve">Diagnostic</w:t>
      </w:r>
      <w:r>
        <w:t xml:space="preserve"> </w:t>
      </w:r>
      <w:r>
        <w:t xml:space="preserve">: ce symptôme appartient à la même famille que celui déjà rencontré pour une politique NGFW trop stricte au chapitre 66 — une mesure de sécurité, correctement appliquée en elle-même, entre en conflit avec un besoin fonctionnel réel non anticipé.</w:t>
      </w:r>
    </w:p>
    <w:p>
      <w:pPr>
        <w:pStyle w:val="Compact"/>
        <w:numPr>
          <w:ilvl w:val="0"/>
          <w:numId w:val="2678"/>
        </w:numPr>
      </w:pPr>
      <w:r>
        <w:rPr>
          <w:b/>
          <w:bCs/>
        </w:rPr>
        <w:t xml:space="preserve">Comment vérifier</w:t>
      </w:r>
      <w:r>
        <w:t xml:space="preserve"> </w:t>
      </w:r>
      <w:r>
        <w:t xml:space="preserve">: consulter les journaux d’erreur de l’application concernée immédiatement après l’application du durcissement, et comparer les recommandations récemment appliquées à la liste des changements possibles.</w:t>
      </w:r>
    </w:p>
    <w:p>
      <w:pPr>
        <w:pStyle w:val="Compact"/>
        <w:numPr>
          <w:ilvl w:val="0"/>
          <w:numId w:val="2678"/>
        </w:numPr>
      </w:pPr>
      <w:r>
        <w:rPr>
          <w:b/>
          <w:bCs/>
        </w:rPr>
        <w:t xml:space="preserve">Résolution</w:t>
      </w:r>
      <w:r>
        <w:t xml:space="preserve"> </w:t>
      </w:r>
      <w:r>
        <w:t xml:space="preserve">: identifier la recommandation précise responsable via un retour en arrière progressif (rappel indirect de la méthode de diagnostic déjà pratiquée au chapitre 66), puis documenter une exception justifiée pour cette recommandation spécifique plutôt que d’abandonner l’ensemble du durcissement.</w:t>
      </w:r>
    </w:p>
    <w:bookmarkEnd w:id="1786"/>
    <w:bookmarkStart w:id="1787" w:name="en-entreprise-72"/>
    <w:p>
      <w:pPr>
        <w:pStyle w:val="Heading2"/>
      </w:pPr>
      <w:r>
        <w:t xml:space="preserve">En entreprise</w:t>
      </w:r>
    </w:p>
    <w:p>
      <w:pPr>
        <w:pStyle w:val="Compact"/>
        <w:numPr>
          <w:ilvl w:val="0"/>
          <w:numId w:val="2679"/>
        </w:numPr>
      </w:pPr>
      <w:r>
        <w:rPr>
          <w:b/>
          <w:bCs/>
        </w:rPr>
        <w:t xml:space="preserve">Bonne pratique répandue</w:t>
      </w:r>
      <w:r>
        <w:t xml:space="preserve"> </w:t>
      </w:r>
      <w:r>
        <w:t xml:space="preserve">: tester l’application d’un nouveau CIS Benchmark sur un environnement de test (rappel direct du chapitre 4) avant toute application en production, particulièrement pour les recommandations Level 2.</w:t>
      </w:r>
    </w:p>
    <w:p>
      <w:pPr>
        <w:pStyle w:val="Compact"/>
        <w:numPr>
          <w:ilvl w:val="0"/>
          <w:numId w:val="2679"/>
        </w:numPr>
      </w:pPr>
      <w:r>
        <w:rPr>
          <w:b/>
          <w:bCs/>
        </w:rPr>
        <w:t xml:space="preserve">Bonne pratique répandue</w:t>
      </w:r>
      <w:r>
        <w:t xml:space="preserve"> </w:t>
      </w:r>
      <w:r>
        <w:t xml:space="preserve">: intégrer la vérification de conformité à un CIS Benchmark dans le pipeline DevSecOps déjà établi au chapitre 57, plutôt que de la traiter comme une activité ponctuelle séparée.</w:t>
      </w:r>
    </w:p>
    <w:p>
      <w:pPr>
        <w:pStyle w:val="Compact"/>
        <w:numPr>
          <w:ilvl w:val="0"/>
          <w:numId w:val="2679"/>
        </w:numPr>
      </w:pPr>
      <w:r>
        <w:rPr>
          <w:b/>
          <w:bCs/>
        </w:rPr>
        <w:t xml:space="preserve">Erreur classique observée</w:t>
      </w:r>
      <w:r>
        <w:t xml:space="preserve"> </w:t>
      </w:r>
      <w:r>
        <w:t xml:space="preserve">: un durcissement appliqué avec succès lors du déploiement initial d’un serveur, mais jamais reconduit sur les serveurs suivants faute de processus reproductible — chaque nouveau serveur revient alors à une configuration par défaut moins sécurisée, sans que personne ne s’en aperçoive avant un audit ultérieur.</w:t>
      </w:r>
    </w:p>
    <w:bookmarkEnd w:id="1787"/>
    <w:bookmarkStart w:id="1788" w:name="entretien-technique-72"/>
    <w:p>
      <w:pPr>
        <w:pStyle w:val="Heading2"/>
      </w:pPr>
      <w:r>
        <w:t xml:space="preserve">Entretien technique</w:t>
      </w:r>
    </w:p>
    <w:p>
      <w:pPr>
        <w:pStyle w:val="FirstParagraph"/>
      </w:pPr>
      <w:r>
        <w:t xml:space="preserve">💼 Questions fréquemment posées en entretien</w:t>
      </w:r>
    </w:p>
    <w:p>
      <w:pPr>
        <w:pStyle w:val="BodyText"/>
      </w:pPr>
      <w:r>
        <w:rPr>
          <w:b/>
          <w:bCs/>
        </w:rPr>
        <w:t xml:space="preserve">Q1.</w:t>
      </w:r>
      <w:r>
        <w:rPr>
          <w:b/>
          <w:bCs/>
        </w:rPr>
        <w:t xml:space="preserve"> </w:t>
      </w:r>
      <w:r>
        <w:rPr>
          <w:b/>
          <w:bCs/>
        </w:rPr>
        <w:t xml:space="preserve">“Quelle est la différence entre les CIS Controls et les CIS Benchmarks ?”</w:t>
      </w:r>
      <w:r>
        <w:t xml:space="preserve"> </w:t>
      </w:r>
      <w:r>
        <w:t xml:space="preserve">Réponse attendue : les CIS Controls définissent des priorités stratégiques de haut niveau, comparables aux fonctions du NIST CSF ; les CIS Benchmarks descendent au niveau de la configuration technique précise d’un système donné, avec des paramètres exacts à appliquer.</w:t>
      </w:r>
    </w:p>
    <w:p>
      <w:pPr>
        <w:pStyle w:val="BodyText"/>
      </w:pPr>
      <w:r>
        <w:rPr>
          <w:b/>
          <w:bCs/>
        </w:rPr>
        <w:t xml:space="preserve">Q2.</w:t>
      </w:r>
      <w:r>
        <w:rPr>
          <w:b/>
          <w:bCs/>
        </w:rPr>
        <w:t xml:space="preserve"> </w:t>
      </w:r>
      <w:r>
        <w:rPr>
          <w:b/>
          <w:bCs/>
        </w:rPr>
        <w:t xml:space="preserve">“Quelle est la différence entre les niveaux Level 1 et Level 2 d’un CIS Benchmark ?”</w:t>
      </w:r>
      <w:r>
        <w:t xml:space="preserve"> </w:t>
      </w:r>
      <w:r>
        <w:t xml:space="preserve">Réponse attendue : Level 1 couvre des mesures de sécurité de base avec un impact fonctionnel minimal, largement applicables ; Level 2 couvre des mesures plus strictes offrant une sécurité renforcée mais avec un risque plus élevé d’impact sur certaines fonctionnalités, nécessitant une évaluation avant application.</w:t>
      </w:r>
    </w:p>
    <w:p>
      <w:pPr>
        <w:pStyle w:val="BodyText"/>
      </w:pPr>
      <w:r>
        <w:rPr>
          <w:b/>
          <w:bCs/>
        </w:rPr>
        <w:t xml:space="preserve">Q3.</w:t>
      </w:r>
      <w:r>
        <w:rPr>
          <w:b/>
          <w:bCs/>
        </w:rPr>
        <w:t xml:space="preserve"> </w:t>
      </w:r>
      <w:r>
        <w:rPr>
          <w:b/>
          <w:bCs/>
        </w:rPr>
        <w:t xml:space="preserve">“Pourquoi intégrer le durcissement CIS directement dans une image de base ou une configuration Ansible/Terraform, plutôt que de l’appliquer manuellement après installation ?”</w:t>
      </w:r>
      <w:r>
        <w:t xml:space="preserve"> </w:t>
      </w:r>
      <w:r>
        <w:t xml:space="preserve">Réponse attendue : garantir que chaque nouveau serveur déployé hérite automatiquement du même niveau de durcissement, éliminant le risque de dérive de configuration déjà dénoncé pour toute configuration manuelle répétée dans ce manuel.</w:t>
      </w:r>
    </w:p>
    <w:bookmarkEnd w:id="1788"/>
    <w:bookmarkStart w:id="1789" w:name="Xb9699d81fc5d780110c91a17bbbeb7290fdc146"/>
    <w:p>
      <w:pPr>
        <w:pStyle w:val="Heading2"/>
      </w:pPr>
      <w:r>
        <w:t xml:space="preserve">Optimisation, sécurité et maintenabilité — les réflexes dès ce chapitre</w:t>
      </w:r>
    </w:p>
    <w:p>
      <w:pPr>
        <w:pStyle w:val="FirstParagraph"/>
      </w:pPr>
      <w:r>
        <w:t xml:space="preserve">🔒 Sécurité</w:t>
      </w:r>
      <w:r>
        <w:t xml:space="preserve"> </w:t>
      </w:r>
      <w:r>
        <w:t xml:space="preserve">Utilise les CIS Benchmarks comme référence technique concrète pour toute déclaration de conformité de haut niveau — une déclaration ISO 27001 ou NIST CSF gagne en crédibilité vérifiable lorsqu’elle s’appuie sur un référentiel technique précis et documenté.</w:t>
      </w:r>
    </w:p>
    <w:p>
      <w:pPr>
        <w:pStyle w:val="BodyText"/>
      </w:pPr>
      <w:r>
        <w:t xml:space="preserve">✅ Maintenabilité</w:t>
      </w:r>
      <w:r>
        <w:t xml:space="preserve"> </w:t>
      </w:r>
      <w:r>
        <w:t xml:space="preserve">Intègre le durcissement CIS dans les images de base et les configurations Infrastructure as Code plutôt que de le répéter manuellement — un changement de recommandation se propage alors automatiquement à tout nouveau déploiement.</w:t>
      </w:r>
    </w:p>
    <w:p>
      <w:pPr>
        <w:pStyle w:val="BodyText"/>
      </w:pPr>
      <w:r>
        <w:t xml:space="preserve">🚀 Performance</w:t>
      </w:r>
      <w:r>
        <w:t xml:space="preserve"> </w:t>
      </w:r>
      <w:r>
        <w:t xml:space="preserve">Priorise les recommandations Level 1, à faible risque d’impact fonctionnel, avant d’évaluer prudemment les recommandations Level 2 les plus pertinentes pour le contexte réel de chaque système, plutôt que de viser une conformité totale immédiate au détriment de la stabilité opérationnelle.</w:t>
      </w:r>
    </w:p>
    <w:bookmarkEnd w:id="1789"/>
    <w:bookmarkStart w:id="1790" w:name="résumé-du-chapitre-72"/>
    <w:p>
      <w:pPr>
        <w:pStyle w:val="Heading2"/>
      </w:pPr>
      <w:r>
        <w:t xml:space="preserve">Résumé du chapitre</w:t>
      </w:r>
    </w:p>
    <w:p>
      <w:pPr>
        <w:pStyle w:val="Compact"/>
        <w:numPr>
          <w:ilvl w:val="0"/>
          <w:numId w:val="2680"/>
        </w:numPr>
      </w:pPr>
      <w:r>
        <w:t xml:space="preserve">Une déclaration de conformité de haut niveau, sans référentiel technique précis, ne peut pas répondre à une question détaillée sur la configuration réelle de chaque serveur.</w:t>
      </w:r>
    </w:p>
    <w:p>
      <w:pPr>
        <w:pStyle w:val="Compact"/>
        <w:numPr>
          <w:ilvl w:val="0"/>
          <w:numId w:val="2680"/>
        </w:numPr>
      </w:pPr>
      <w:r>
        <w:t xml:space="preserve">Les CIS Benchmarks fournissent des guides de configuration sécurisée détaillés et gratuits, pour un large éventail de technologies.</w:t>
      </w:r>
    </w:p>
    <w:p>
      <w:pPr>
        <w:pStyle w:val="Compact"/>
        <w:numPr>
          <w:ilvl w:val="0"/>
          <w:numId w:val="2680"/>
        </w:numPr>
      </w:pPr>
      <w:r>
        <w:t xml:space="preserve">Les CIS Controls (stratégiques) et les CIS Benchmarks (techniques) se complètent, comme les cadres de gouvernance et les mesures techniques concrètes tout au long de ce manuel.</w:t>
      </w:r>
    </w:p>
    <w:p>
      <w:pPr>
        <w:pStyle w:val="Compact"/>
        <w:numPr>
          <w:ilvl w:val="0"/>
          <w:numId w:val="2680"/>
        </w:numPr>
      </w:pPr>
      <w:r>
        <w:t xml:space="preserve">Le niveau Level 1 offre un impact fonctionnel minimal ; le niveau Level 2 nécessite une évaluation d’impact avant application.</w:t>
      </w:r>
    </w:p>
    <w:p>
      <w:pPr>
        <w:pStyle w:val="Compact"/>
        <w:numPr>
          <w:ilvl w:val="0"/>
          <w:numId w:val="2680"/>
        </w:numPr>
      </w:pPr>
      <w:r>
        <w:t xml:space="preserve">Des outils comme CIS-CAT automatisent l’évaluation de conformité, rejoignant la logique déjà établie pour les scans de sécurité du pipeline DevSecOps.</w:t>
      </w:r>
    </w:p>
    <w:p>
      <w:pPr>
        <w:pStyle w:val="Compact"/>
        <w:numPr>
          <w:ilvl w:val="0"/>
          <w:numId w:val="2680"/>
        </w:numPr>
      </w:pPr>
      <w:r>
        <w:t xml:space="preserve">Intégrer le durcissement dans les images de base ou l’Infrastructure as Code garantit sa reproduction cohérente sur tout nouveau déploiement.</w:t>
      </w:r>
    </w:p>
    <w:bookmarkEnd w:id="1790"/>
    <w:bookmarkStart w:id="1791" w:name="quiz-72"/>
    <w:p>
      <w:pPr>
        <w:pStyle w:val="Heading2"/>
      </w:pPr>
      <w:r>
        <w:t xml:space="preserve">Quiz</w:t>
      </w:r>
    </w:p>
    <w:p>
      <w:pPr>
        <w:pStyle w:val="FirstParagraph"/>
      </w:pPr>
      <w:r>
        <w:t xml:space="preserve">📝 QCM (une seule bonne réponse par question)</w:t>
      </w:r>
    </w:p>
    <w:p>
      <w:pPr>
        <w:pStyle w:val="Compact"/>
        <w:numPr>
          <w:ilvl w:val="0"/>
          <w:numId w:val="2681"/>
        </w:numPr>
      </w:pPr>
      <w:r>
        <w:t xml:space="preserve">Les CIS Benchmarks se distinguent des CIS Controls par :</w:t>
      </w:r>
    </w:p>
    <w:p>
      <w:pPr>
        <w:pStyle w:val="Compact"/>
        <w:numPr>
          <w:ilvl w:val="1"/>
          <w:numId w:val="2682"/>
        </w:numPr>
      </w:pPr>
    </w:p>
    <w:p>
      <w:pPr>
        <w:pStyle w:val="Compact"/>
        <w:numPr>
          <w:ilvl w:val="2"/>
          <w:numId w:val="2683"/>
        </w:numPr>
      </w:pPr>
      <w:r>
        <w:t xml:space="preserve">Leur niveau stratégique plus élevé</w:t>
      </w:r>
    </w:p>
    <w:p>
      <w:pPr>
        <w:pStyle w:val="Compact"/>
        <w:numPr>
          <w:ilvl w:val="1"/>
          <w:numId w:val="2682"/>
        </w:numPr>
      </w:pPr>
    </w:p>
    <w:p>
      <w:pPr>
        <w:pStyle w:val="Compact"/>
        <w:numPr>
          <w:ilvl w:val="2"/>
          <w:numId w:val="2684"/>
        </w:numPr>
      </w:pPr>
      <w:r>
        <w:t xml:space="preserve">Leur niveau de détail technique précis, jusqu’au paramètre exact à appliquer</w:t>
      </w:r>
    </w:p>
    <w:p>
      <w:pPr>
        <w:pStyle w:val="Compact"/>
        <w:numPr>
          <w:ilvl w:val="1"/>
          <w:numId w:val="2682"/>
        </w:numPr>
      </w:pPr>
    </w:p>
    <w:p>
      <w:pPr>
        <w:pStyle w:val="Compact"/>
        <w:numPr>
          <w:ilvl w:val="2"/>
          <w:numId w:val="2685"/>
        </w:numPr>
      </w:pPr>
      <w:r>
        <w:t xml:space="preserve">Leur absence totale de lien avec la sécurité</w:t>
      </w:r>
    </w:p>
    <w:p>
      <w:pPr>
        <w:pStyle w:val="Compact"/>
        <w:numPr>
          <w:ilvl w:val="1"/>
          <w:numId w:val="2682"/>
        </w:numPr>
      </w:pPr>
    </w:p>
    <w:p>
      <w:pPr>
        <w:pStyle w:val="Compact"/>
        <w:numPr>
          <w:ilvl w:val="2"/>
          <w:numId w:val="2686"/>
        </w:numPr>
      </w:pPr>
      <w:r>
        <w:t xml:space="preserve">Leur caractère payant, contrairement aux CIS Controls</w:t>
      </w:r>
    </w:p>
    <w:p>
      <w:pPr>
        <w:pStyle w:val="Compact"/>
        <w:numPr>
          <w:ilvl w:val="0"/>
          <w:numId w:val="2681"/>
        </w:numPr>
      </w:pPr>
      <w:r>
        <w:t xml:space="preserve">Une recommandation Level 2 d’un CIS Benchmark, comparée à une recommandation Level 1 :</w:t>
      </w:r>
    </w:p>
    <w:p>
      <w:pPr>
        <w:pStyle w:val="Compact"/>
        <w:numPr>
          <w:ilvl w:val="1"/>
          <w:numId w:val="2687"/>
        </w:numPr>
      </w:pPr>
    </w:p>
    <w:p>
      <w:pPr>
        <w:pStyle w:val="Compact"/>
        <w:numPr>
          <w:ilvl w:val="2"/>
          <w:numId w:val="2688"/>
        </w:numPr>
      </w:pPr>
      <w:r>
        <w:t xml:space="preserve">A toujours un impact fonctionnel minimal</w:t>
      </w:r>
    </w:p>
    <w:p>
      <w:pPr>
        <w:pStyle w:val="Compact"/>
        <w:numPr>
          <w:ilvl w:val="1"/>
          <w:numId w:val="2687"/>
        </w:numPr>
      </w:pPr>
    </w:p>
    <w:p>
      <w:pPr>
        <w:pStyle w:val="Compact"/>
        <w:numPr>
          <w:ilvl w:val="2"/>
          <w:numId w:val="2689"/>
        </w:numPr>
      </w:pPr>
      <w:r>
        <w:t xml:space="preserve">Offre une sécurité renforcée mais avec un risque plus élevé d’impact fonctionnel</w:t>
      </w:r>
    </w:p>
    <w:p>
      <w:pPr>
        <w:pStyle w:val="Compact"/>
        <w:numPr>
          <w:ilvl w:val="1"/>
          <w:numId w:val="2687"/>
        </w:numPr>
      </w:pPr>
    </w:p>
    <w:p>
      <w:pPr>
        <w:pStyle w:val="Compact"/>
        <w:numPr>
          <w:ilvl w:val="2"/>
          <w:numId w:val="2690"/>
        </w:numPr>
      </w:pPr>
      <w:r>
        <w:t xml:space="preserve">Ne concerne jamais les serveurs Linux</w:t>
      </w:r>
    </w:p>
    <w:p>
      <w:pPr>
        <w:pStyle w:val="Compact"/>
        <w:numPr>
          <w:ilvl w:val="1"/>
          <w:numId w:val="2687"/>
        </w:numPr>
      </w:pPr>
    </w:p>
    <w:p>
      <w:pPr>
        <w:pStyle w:val="Compact"/>
        <w:numPr>
          <w:ilvl w:val="2"/>
          <w:numId w:val="2691"/>
        </w:numPr>
      </w:pPr>
      <w:r>
        <w:t xml:space="preserve">Remplace le besoin d’une analyse de risque</w:t>
      </w:r>
    </w:p>
    <w:p>
      <w:pPr>
        <w:pStyle w:val="Compact"/>
        <w:numPr>
          <w:ilvl w:val="0"/>
          <w:numId w:val="2681"/>
        </w:numPr>
      </w:pPr>
      <w:r>
        <w:t xml:space="preserve">Intégrer le durcissement CIS dans une image de base ou une configuration Infrastructure as Code permet principalement de :</w:t>
      </w:r>
    </w:p>
    <w:p>
      <w:pPr>
        <w:pStyle w:val="Compact"/>
        <w:numPr>
          <w:ilvl w:val="1"/>
          <w:numId w:val="2692"/>
        </w:numPr>
      </w:pPr>
    </w:p>
    <w:p>
      <w:pPr>
        <w:pStyle w:val="Compact"/>
        <w:numPr>
          <w:ilvl w:val="2"/>
          <w:numId w:val="2693"/>
        </w:numPr>
      </w:pPr>
      <w:r>
        <w:t xml:space="preserve">Réduire le coût des serveurs</w:t>
      </w:r>
    </w:p>
    <w:p>
      <w:pPr>
        <w:pStyle w:val="Compact"/>
        <w:numPr>
          <w:ilvl w:val="1"/>
          <w:numId w:val="2692"/>
        </w:numPr>
      </w:pPr>
    </w:p>
    <w:p>
      <w:pPr>
        <w:pStyle w:val="Compact"/>
        <w:numPr>
          <w:ilvl w:val="2"/>
          <w:numId w:val="2694"/>
        </w:numPr>
      </w:pPr>
      <w:r>
        <w:t xml:space="preserve">Garantir que chaque nouveau serveur hérite automatiquement du même niveau de durcissement</w:t>
      </w:r>
    </w:p>
    <w:p>
      <w:pPr>
        <w:pStyle w:val="Compact"/>
        <w:numPr>
          <w:ilvl w:val="1"/>
          <w:numId w:val="2692"/>
        </w:numPr>
      </w:pPr>
    </w:p>
    <w:p>
      <w:pPr>
        <w:pStyle w:val="Compact"/>
        <w:numPr>
          <w:ilvl w:val="2"/>
          <w:numId w:val="2695"/>
        </w:numPr>
      </w:pPr>
      <w:r>
        <w:t xml:space="preserve">Éliminer le besoin de tout audit de sécurité futur</w:t>
      </w:r>
    </w:p>
    <w:p>
      <w:pPr>
        <w:pStyle w:val="Compact"/>
        <w:numPr>
          <w:ilvl w:val="1"/>
          <w:numId w:val="2692"/>
        </w:numPr>
      </w:pPr>
    </w:p>
    <w:p>
      <w:pPr>
        <w:pStyle w:val="Compact"/>
        <w:numPr>
          <w:ilvl w:val="2"/>
          <w:numId w:val="2696"/>
        </w:numPr>
      </w:pPr>
      <w:r>
        <w:t xml:space="preserve">Remplacer le besoin des CIS Controls</w:t>
      </w:r>
    </w:p>
    <w:p>
      <w:pPr>
        <w:pStyle w:val="FirstParagraph"/>
      </w:pPr>
      <w:r>
        <w:rPr>
          <w:b/>
          <w:bCs/>
        </w:rPr>
        <w:t xml:space="preserve">Corrigé</w:t>
      </w:r>
      <w:r>
        <w:t xml:space="preserve"> </w:t>
      </w:r>
      <w:r>
        <w:t xml:space="preserve">: 1-b, 2-b, 3-b.</w:t>
      </w:r>
    </w:p>
    <w:p>
      <w:pPr>
        <w:pStyle w:val="BodyText"/>
      </w:pPr>
      <w:r>
        <w:t xml:space="preserve">📝 Vrai ou Faux</w:t>
      </w:r>
    </w:p>
    <w:p>
      <w:pPr>
        <w:pStyle w:val="Compact"/>
        <w:numPr>
          <w:ilvl w:val="0"/>
          <w:numId w:val="2697"/>
        </w:numPr>
      </w:pPr>
      <w:r>
        <w:t xml:space="preserve">Une déclaration affirmant que</w:t>
      </w:r>
      <w:r>
        <w:t xml:space="preserve"> </w:t>
      </w:r>
      <w:r>
        <w:t xml:space="preserve">“le durcissement des systèmes est en place”</w:t>
      </w:r>
      <w:r>
        <w:t xml:space="preserve"> </w:t>
      </w:r>
      <w:r>
        <w:t xml:space="preserve">suffit à répondre à une question précise sur les paramètres réellement configurés. —</w:t>
      </w:r>
      <w:r>
        <w:t xml:space="preserve"> </w:t>
      </w:r>
      <w:r>
        <w:rPr>
          <w:b/>
          <w:bCs/>
        </w:rPr>
        <w:t xml:space="preserve">Faux</w:t>
      </w:r>
      <w:r>
        <w:t xml:space="preserve"> </w:t>
      </w:r>
      <w:r>
        <w:t xml:space="preserve">(scénario d’ouverture, section 73.1).</w:t>
      </w:r>
    </w:p>
    <w:p>
      <w:pPr>
        <w:pStyle w:val="Compact"/>
        <w:numPr>
          <w:ilvl w:val="0"/>
          <w:numId w:val="2697"/>
        </w:numPr>
      </w:pPr>
      <w:r>
        <w:t xml:space="preserve">Appliquer aveuglément toutes les recommandations Level 2 sans évaluation d’impact peut casser des fonctionnalités nécessaires. —</w:t>
      </w:r>
      <w:r>
        <w:t xml:space="preserve"> </w:t>
      </w:r>
      <w:r>
        <w:rPr>
          <w:b/>
          <w:bCs/>
        </w:rPr>
        <w:t xml:space="preserve">Vrai</w:t>
      </w:r>
      <w:r>
        <w:t xml:space="preserve">.</w:t>
      </w:r>
    </w:p>
    <w:p>
      <w:pPr>
        <w:pStyle w:val="Compact"/>
        <w:numPr>
          <w:ilvl w:val="0"/>
          <w:numId w:val="2697"/>
        </w:numPr>
      </w:pPr>
      <w:r>
        <w:t xml:space="preserve">Un durcissement appliqué une fois reste valide indéfiniment, sans besoin de vérification ultérieure. —</w:t>
      </w:r>
      <w:r>
        <w:t xml:space="preserve"> </w:t>
      </w:r>
      <w:r>
        <w:rPr>
          <w:b/>
          <w:bCs/>
        </w:rPr>
        <w:t xml:space="preserve">Faux</w:t>
      </w:r>
      <w:r>
        <w:t xml:space="preserve"> </w:t>
      </w:r>
      <w:r>
        <w:t xml:space="preserve">(section</w:t>
      </w:r>
      <w:r>
        <w:t xml:space="preserve"> </w:t>
      </w:r>
      <w:r>
        <w:t xml:space="preserve">“Erreur n°2”</w:t>
      </w:r>
      <w:r>
        <w:t xml:space="preserve">).</w:t>
      </w:r>
    </w:p>
    <w:p>
      <w:pPr>
        <w:pStyle w:val="Compact"/>
        <w:numPr>
          <w:ilvl w:val="0"/>
          <w:numId w:val="2697"/>
        </w:numPr>
      </w:pPr>
      <w:r>
        <w:t xml:space="preserve">Les CIS Benchmarks sont disponibles gratuitement pour un large éventail de technologies. —</w:t>
      </w:r>
      <w:r>
        <w:t xml:space="preserve"> </w:t>
      </w:r>
      <w:r>
        <w:rPr>
          <w:b/>
          <w:bCs/>
        </w:rPr>
        <w:t xml:space="preserve">Vrai</w:t>
      </w:r>
      <w:r>
        <w:t xml:space="preserve">.</w:t>
      </w:r>
    </w:p>
    <w:p>
      <w:pPr>
        <w:pStyle w:val="FirstParagraph"/>
      </w:pPr>
      <w:r>
        <w:t xml:space="preserve">📝 Questions ouvertes</w:t>
      </w:r>
    </w:p>
    <w:p>
      <w:pPr>
        <w:pStyle w:val="Compact"/>
        <w:numPr>
          <w:ilvl w:val="0"/>
          <w:numId w:val="2698"/>
        </w:numPr>
      </w:pPr>
      <w:r>
        <w:t xml:space="preserve">Explique pourquoi la question de l’auditeur dans le scénario d’ouverture ne pouvait pas être satisfaite par la seule déclaration d’applicabilité ISO 27001 déjà rédigée au chapitre 72.</w:t>
      </w:r>
    </w:p>
    <w:p>
      <w:pPr>
        <w:pStyle w:val="Compact"/>
        <w:numPr>
          <w:ilvl w:val="0"/>
          <w:numId w:val="2698"/>
        </w:numPr>
      </w:pPr>
      <w:r>
        <w:t xml:space="preserve">Un collègue applique l’intégralité des recommandations Level 2 du CIS Benchmark Windows Server sur le contrôleur de domaine, sans test préalable,</w:t>
      </w:r>
      <w:r>
        <w:t xml:space="preserve"> </w:t>
      </w:r>
      <w:r>
        <w:t xml:space="preserve">“pour maximiser la sécurité le plus rapidement possible”</w:t>
      </w:r>
      <w:r>
        <w:t xml:space="preserve">. Discute le risque de cette approche.</w:t>
      </w:r>
    </w:p>
    <w:p>
      <w:pPr>
        <w:pStyle w:val="FirstParagraph"/>
      </w:pPr>
      <w:r>
        <w:rPr>
          <w:b/>
          <w:bCs/>
        </w:rPr>
        <w:t xml:space="preserve">Corrigé 1</w:t>
      </w:r>
      <w:r>
        <w:t xml:space="preserve"> </w:t>
      </w:r>
      <w:r>
        <w:t xml:space="preserve">: la déclaration d’applicabilité ISO 27001 du chapitre 72 opère à un niveau de granularité relativement élevé — elle affirme qu’un domaine de contrôle (comme le durcissement des systèmes) est couvert, sans nécessairement préciser les paramètres techniques exacts appliqués sur chaque serveur individuel. L’auditeur demandait une preuve technique concrète et vérifiable, au niveau du paramètre précis — exactement le niveau de détail qu’apportent les CIS Benchmarks (section 73.2), absents de la préparation initiale de la certification. La déclaration de haut niveau et le référentiel technique détaillé opèrent à deux niveaux distincts et complémentaires, tous deux nécessaires pour répondre pleinement à une exigence d’audit rigoureuse.</w:t>
      </w:r>
    </w:p>
    <w:p>
      <w:pPr>
        <w:pStyle w:val="BodyText"/>
      </w:pPr>
      <w:r>
        <w:rPr>
          <w:b/>
          <w:bCs/>
        </w:rPr>
        <w:t xml:space="preserve">Corrigé 2</w:t>
      </w:r>
      <w:r>
        <w:t xml:space="preserve"> </w:t>
      </w:r>
      <w:r>
        <w:t xml:space="preserve">: cette approche ignore l’arbitrage explicitement prévu par la classification Level 1/Level 2 elle-même (section 73.4) — les recommandations Level 2 sont précisément identifiées comme présentant un risque plus élevé d’impact fonctionnel, nécessitant une évaluation avant application plutôt qu’une application systématique et immédiate. Sur un contrôleur de domaine, système particulièrement critique pour l’ensemble de l’infrastructure (chapitres 5-13), une fonctionnalité cassée par une recommandation Level 2 mal évaluée pourrait avoir un impact bien plus large que le bénéfice de sécurité recherché — un test préalable en environnement de test (rappel du chapitre 4), suivi d’une application progressive et évaluée, reste la démarche appropriée plutôt qu’une application massive et non testée directement en production sur un système aussi critique.</w:t>
      </w:r>
    </w:p>
    <w:bookmarkEnd w:id="1791"/>
    <w:bookmarkStart w:id="1792" w:name="exercices-72"/>
    <w:p>
      <w:pPr>
        <w:pStyle w:val="Heading2"/>
      </w:pPr>
      <w:r>
        <w:t xml:space="preserve">Exercices</w:t>
      </w:r>
    </w:p>
    <w:p>
      <w:pPr>
        <w:pStyle w:val="FirstParagraph"/>
      </w:pPr>
      <w:r>
        <w:t xml:space="preserve">📝 Exercice 73.1</w:t>
      </w:r>
    </w:p>
    <w:p>
      <w:pPr>
        <w:pStyle w:val="BodyText"/>
      </w:pPr>
      <w:r>
        <w:t xml:space="preserve">Propose une démarche en quatre étapes pour intégrer les CIS Benchmarks dans le cycle de vie de déploiement des serveurs de l’entreprise, en t’appuyant sur les principes de la section 73.7 et sur l’Infrastructure as Code déjà établie aux chapitres 52-55.</w:t>
      </w:r>
    </w:p>
    <w:p>
      <w:pPr>
        <w:pStyle w:val="BodyText"/>
      </w:pPr>
      <w:r>
        <w:rPr>
          <w:b/>
          <w:bCs/>
        </w:rPr>
        <w:t xml:space="preserve">Corrigé :</w:t>
      </w:r>
      <w:r>
        <w:t xml:space="preserve"> </w:t>
      </w:r>
      <w:r>
        <w:t xml:space="preserve">1) Identifier, pour chaque type de serveur déployé par l’entreprise (Windows Server, Rocky Linux), les recommandations Level 1 et les recommandations Level 2 jugées pertinentes après évaluation d’impact. 2) Traduire ces recommandations en tâches Ansible réutilisables (chapitre 53) ou en configuration intégrée à l’image de base Docker (chapitre 39) selon le type de déploiement concerné. 3) Intégrer l’exécution de ce durcissement systématiquement dans le pipeline de déploiement automatisé (chapitre 56), garantissant qu’aucun nouveau serveur n’est mis en production sans avoir traversé cette étape. 4) Ajouter une vérification de conformité automatisée via un outil comme CIS-CAT (section 73.5) au pipeline DevSecOps déjà établi (chapitre 57), détectant toute dérive de configuration avant qu’elle ne devienne un problème silencieux découvert seulement lors d’un audit ultérieur.</w:t>
      </w:r>
    </w:p>
    <w:p>
      <w:pPr>
        <w:pStyle w:val="BodyText"/>
      </w:pPr>
      <w:r>
        <w:t xml:space="preserve">📝 Exercice 73.2</w:t>
      </w:r>
    </w:p>
    <w:p>
      <w:pPr>
        <w:pStyle w:val="BodyText"/>
      </w:pPr>
      <w:r>
        <w:t xml:space="preserve">Rédige, en 3 à 5 phrases, une règle d’équipe garantissant qu’aucune recommandation Level 2 d’un CIS Benchmark n’est appliquée en production sans test préalable, en t’appuyant sur le risque décrit dans les questions ouvertes de ce chapitre.</w:t>
      </w:r>
    </w:p>
    <w:p>
      <w:pPr>
        <w:pStyle w:val="BodyText"/>
      </w:pPr>
      <w:r>
        <w:rPr>
          <w:b/>
          <w:bCs/>
        </w:rPr>
        <w:t xml:space="preserve">Corrigé (exemple de réponse) :</w:t>
      </w:r>
      <w:r>
        <w:t xml:space="preserve"> </w:t>
      </w:r>
      <w:r>
        <w:t xml:space="preserve">Toute recommandation Level 2 d’un CIS Benchmark devra être testée dans l’environnement de test déjà établi au chapitre 4 avant toute application en production, avec une vérification explicite que les fonctionnalités critiques du système concerné continuent de fonctionner correctement après application. Les recommandations Level 1, présentant un risque fonctionnel minimal, pourront être appliquées plus directement, sans nécessiter le même niveau de validation préalable. Toute exception documentée, où une recommandation Level 2 pertinente serait volontairement non appliquée en raison d’un conflit fonctionnel avéré, sera consignée avec sa justification, cohérente avec l’esprit de la déclaration d’applicabilité déjà établie au chapitre 72.</w:t>
      </w:r>
    </w:p>
    <w:bookmarkEnd w:id="1792"/>
    <w:bookmarkStart w:id="1793" w:name="checklist-de-fin-de-chapitre-72"/>
    <w:p>
      <w:pPr>
        <w:pStyle w:val="Heading2"/>
      </w:pPr>
      <w:r>
        <w:t xml:space="preserve">Checklist de fin de chapitre</w:t>
      </w:r>
    </w:p>
    <w:p>
      <w:pPr>
        <w:pStyle w:val="FirstParagraph"/>
      </w:pPr>
      <w:r>
        <w:t xml:space="preserve">☐ Je comprends pourquoi une déclaration de conformité de haut niveau ne suffit pas sans référentiel technique précis.</w:t>
      </w:r>
    </w:p>
    <w:p>
      <w:pPr>
        <w:pStyle w:val="BodyText"/>
      </w:pPr>
      <w:r>
        <w:t xml:space="preserve">☐ Je sais distinguer les CIS Controls (stratégiques) des CIS Benchmarks (techniques).</w:t>
      </w:r>
    </w:p>
    <w:p>
      <w:pPr>
        <w:pStyle w:val="BodyText"/>
      </w:pPr>
      <w:r>
        <w:t xml:space="preserve">☐ Je sais expliquer la différence entre les niveaux Level 1 et Level 2.</w:t>
      </w:r>
    </w:p>
    <w:p>
      <w:pPr>
        <w:pStyle w:val="BodyText"/>
      </w:pPr>
      <w:r>
        <w:t xml:space="preserve">☐ Je sais utiliser un outil d’évaluation automatisée comme CIS-CAT.</w:t>
      </w:r>
    </w:p>
    <w:p>
      <w:pPr>
        <w:pStyle w:val="BodyText"/>
      </w:pPr>
      <w:r>
        <w:t xml:space="preserve">☐ Je sais durcir un serveur Windows Server et un serveur Rocky Linux selon un extrait de CIS Benchmark.</w:t>
      </w:r>
    </w:p>
    <w:p>
      <w:pPr>
        <w:pStyle w:val="BodyText"/>
      </w:pPr>
      <w:r>
        <w:t xml:space="preserve">☐ Je comprends l’intérêt d’intégrer le durcissement dans les images de base et l’Infrastructure as Code.</w:t>
      </w:r>
    </w:p>
    <w:bookmarkEnd w:id="1793"/>
    <w:bookmarkStart w:id="1794" w:name="faq-72"/>
    <w:p>
      <w:pPr>
        <w:pStyle w:val="Heading2"/>
      </w:pPr>
      <w:r>
        <w:t xml:space="preserve">FAQ</w:t>
      </w:r>
    </w:p>
    <w:p>
      <w:pPr>
        <w:pStyle w:val="FirstParagraph"/>
      </w:pPr>
      <w:r>
        <w:t xml:space="preserve">Les CIS Benchmarks sont-ils spécifiques à une seule technologie, ou couvrent-ils un large éventail de systèmes ?</w:t>
      </w:r>
    </w:p>
    <w:p>
      <w:pPr>
        <w:pStyle w:val="BodyText"/>
      </w:pPr>
      <w:r>
        <w:t xml:space="preserve">Ils couvrent un très large éventail de technologies — systèmes d’exploitation, navigateurs, hyperviseurs, fournisseurs cloud, bases de données — permettant une approche cohérente de durcissement à travers l’ensemble de l’infrastructure hétérogène déjà rencontrée dans ce manuel.</w:t>
      </w:r>
    </w:p>
    <w:p>
      <w:pPr>
        <w:pStyle w:val="BodyText"/>
      </w:pPr>
      <w:r>
        <w:t xml:space="preserve">Faut-il viser une conformité à 100 % à un CIS Benchmark ?</w:t>
      </w:r>
    </w:p>
    <w:p>
      <w:pPr>
        <w:pStyle w:val="BodyText"/>
      </w:pPr>
      <w:r>
        <w:t xml:space="preserve">Pas nécessairement — une conformité totale et non réfléchie, en particulier pour les recommandations Level 2, peut compromettre des fonctionnalités nécessaires ; une approche pragmatique, priorisant Level 1 et évaluant soigneusement Level 2, reste généralement plus appropriée qu’une conformité maximale poursuivie sans discernement.</w:t>
      </w:r>
    </w:p>
    <w:p>
      <w:pPr>
        <w:pStyle w:val="BodyText"/>
      </w:pPr>
      <w:r>
        <w:t xml:space="preserve">Les CIS Benchmarks remplacent-ils le besoin d’ISO 27001 ou du NIST CSF ?</w:t>
      </w:r>
    </w:p>
    <w:p>
      <w:pPr>
        <w:pStyle w:val="BodyText"/>
      </w:pPr>
      <w:r>
        <w:t xml:space="preserve">Non, ils opèrent à un niveau différent et complémentaire — les CIS Benchmarks fournissent le détail technique d’application, tandis que NIST CSF et ISO 27001 fournissent le cadre de gouvernance et de gestion global dans lequel ce détail technique s’inscrit.</w:t>
      </w:r>
    </w:p>
    <w:p>
      <w:pPr>
        <w:pStyle w:val="BodyText"/>
      </w:pPr>
      <w:r>
        <w:t xml:space="preserve">Un CIS Benchmark est-il mis à jour régulièrement ?</w:t>
      </w:r>
    </w:p>
    <w:p>
      <w:pPr>
        <w:pStyle w:val="BodyText"/>
      </w:pPr>
      <w:r>
        <w:t xml:space="preserve">Oui, les benchmarks sont révisés périodiquement pour suivre l’évolution des versions logicielles et des menaces connues — une veille régulière sur les nouvelles versions publiées reste nécessaire pour maintenir un référentiel de durcissement à jour.</w:t>
      </w:r>
    </w:p>
    <w:bookmarkEnd w:id="1794"/>
    <w:bookmarkStart w:id="1795" w:name="références-et-pour-aller-plus-loin-72"/>
    <w:p>
      <w:pPr>
        <w:pStyle w:val="Heading2"/>
      </w:pPr>
      <w:r>
        <w:t xml:space="preserve">Références et pour aller plus loin</w:t>
      </w:r>
    </w:p>
    <w:p>
      <w:pPr>
        <w:pStyle w:val="Compact"/>
        <w:numPr>
          <w:ilvl w:val="0"/>
          <w:numId w:val="2699"/>
        </w:numPr>
      </w:pPr>
      <w:r>
        <w:t xml:space="preserve">Center for Internet Security — CIS Benchmarks :</w:t>
      </w:r>
      <w:r>
        <w:t xml:space="preserve"> </w:t>
      </w:r>
      <w:hyperlink r:id="rId198">
        <w:r>
          <w:rPr>
            <w:rStyle w:val="Hyperlink"/>
          </w:rPr>
          <w:t xml:space="preserve">https://www.cisecurity.org/cis-benchmarks</w:t>
        </w:r>
      </w:hyperlink>
    </w:p>
    <w:p>
      <w:pPr>
        <w:pStyle w:val="Compact"/>
        <w:numPr>
          <w:ilvl w:val="0"/>
          <w:numId w:val="2699"/>
        </w:numPr>
      </w:pPr>
      <w:r>
        <w:t xml:space="preserve">Center for Internet Security — CIS Controls :</w:t>
      </w:r>
      <w:r>
        <w:t xml:space="preserve"> </w:t>
      </w:r>
      <w:hyperlink r:id="rId92">
        <w:r>
          <w:rPr>
            <w:rStyle w:val="Hyperlink"/>
          </w:rPr>
          <w:t xml:space="preserve">https://www.cisecurity.org/controls</w:t>
        </w:r>
      </w:hyperlink>
    </w:p>
    <w:p>
      <w:pPr>
        <w:pStyle w:val="FirstParagraph"/>
      </w:pPr>
      <w:r>
        <w:rPr>
          <w:i/>
          <w:iCs/>
        </w:rPr>
        <w:t xml:space="preserve">Chapitre suivant : le SIEM — centraliser et corréler les événements de sécurité de l’ensemble de l’infrastructure, au-delà de la simple centralisation des logs déjà couverte à la Partie 10 de ce manuel.</w:t>
      </w:r>
    </w:p>
    <w:p>
      <w:pPr>
        <w:pStyle w:val="BodyText"/>
      </w:pPr>
      <w:r>
        <w:t xml:space="preserve">CHAPITRE 74</w:t>
      </w:r>
    </w:p>
    <w:bookmarkEnd w:id="1795"/>
    <w:bookmarkEnd w:id="1796"/>
    <w:bookmarkStart w:id="1818" w:name="Xa7f82e51aa5cebe5c57a4a52b76cb09b3cdb0ae"/>
    <w:p>
      <w:pPr>
        <w:pStyle w:val="Heading1"/>
      </w:pPr>
      <w:r>
        <w:t xml:space="preserve">SIEM : centralisation et corrélation d’événements</w:t>
      </w:r>
    </w:p>
    <w:p>
      <w:pPr>
        <w:pStyle w:val="FirstParagraph"/>
      </w:pPr>
      <w:r>
        <w:t xml:space="preserve">🎯 Objectif du chapitre</w:t>
      </w:r>
      <w:r>
        <w:t xml:space="preserve"> </w:t>
      </w:r>
      <w:r>
        <w:t xml:space="preserve">Centraliser et corréler les événements de sécurité de l’ensemble de l’infrastructure, au-delà de la simple centralisation des logs déjà couverte à la Partie 10 de ce manuel. À la fin de ce chapitre, tu comprendras la différence entre un système de centralisation de logs (ELK, Graylog) et un SIEM, tu sauras construire une règle de corrélation combinant plusieurs sources, et tu comprendras comment un SIEM formalise concrètement la fonction Détecter du NIST CSF déjà présentée au chapitre 71.</w:t>
      </w:r>
    </w:p>
    <w:p>
      <w:pPr>
        <w:pStyle w:val="BodyText"/>
      </w:pPr>
      <w:r>
        <w:t xml:space="preserve">🎬 Mise en situation</w:t>
      </w:r>
      <w:r>
        <w:t xml:space="preserve"> </w:t>
      </w:r>
      <w:r>
        <w:t xml:space="preserve">Une simulation d’intrusion menée par un prestataire externe reproduit un scénario réaliste : une tentative de connexion échouée sur un compte Active Directory (chapitre 23), suivie quelques minutes plus tard d’une connexion réussie sur ce même compte depuis une adresse IP inhabituelle, puis d’un volume de trafic sortant anormalement élevé détecté par le pare-feu Fortinet (chapitre 66). Chacun de ces trois événements, pris isolément dans Graylog ou dans les journaux Zabbix, semble mineur — une tentative échouée parmi tant d’autres, une connexion normale, un pic de trafic ponctuel.</w:t>
      </w:r>
      <w:r>
        <w:t xml:space="preserve"> </w:t>
      </w:r>
      <w:r>
        <w:t xml:space="preserve">“Aucune de vos alertes actuelles ne se serait déclenchée,”</w:t>
      </w:r>
      <w:r>
        <w:t xml:space="preserve"> </w:t>
      </w:r>
      <w:r>
        <w:t xml:space="preserve">conclut le rapport du prestataire,</w:t>
      </w:r>
      <w:r>
        <w:t xml:space="preserve"> </w:t>
      </w:r>
      <w:r>
        <w:t xml:space="preserve">“parce qu’aucun de vos outils ne relie ces trois événements entre eux.”</w:t>
      </w:r>
      <w:r>
        <w:t xml:space="preserve"> </w:t>
      </w:r>
      <w:r>
        <w:t xml:space="preserve">C’est précisément le rôle d’un SIEM.</w:t>
      </w:r>
    </w:p>
    <w:bookmarkStart w:id="1797" w:name="X1f059556f95d9e5c4e027e47abc9502cd7f1670"/>
    <w:p>
      <w:pPr>
        <w:pStyle w:val="Heading2"/>
      </w:pPr>
      <w:r>
        <w:t xml:space="preserve">74.1 Le problème : des signaux épars, chacun anodin isolément</w:t>
      </w:r>
    </w:p>
    <w:p>
      <w:pPr>
        <w:pStyle w:val="FirstParagraph"/>
      </w:pPr>
      <w:r>
        <w:t xml:space="preserve">📌 À retenir — le constat du scénario d’ouverture</w:t>
      </w:r>
      <w:r>
        <w:t xml:space="preserve"> </w:t>
      </w:r>
      <w:r>
        <w:t xml:space="preserve">Une attaque réelle se manifeste rarement par un seul événement spectaculaire et évident — elle se compose généralement d’une séquence de signaux individuellement discrets, chacun explicable isolément par une activité normale. La centralisation des logs (Partie 10) rend ces événements consultables, mais ne les relie pas automatiquement entre eux — un analyste devrait chercher manuellement la corrélation, un exercice peu réaliste face au volume d’événements générés quotidiennement par une infrastructure entière.</w:t>
      </w:r>
    </w:p>
    <w:bookmarkEnd w:id="1797"/>
    <w:bookmarkStart w:id="1798" w:name="Xd0379c1d5f77760508b669b52d04bde537eb96f"/>
    <w:p>
      <w:pPr>
        <w:pStyle w:val="Heading2"/>
      </w:pPr>
      <w:r>
        <w:t xml:space="preserve">74.2 SIEM : au-delà de la centralisation, la corrélation</w:t>
      </w:r>
    </w:p>
    <w:p>
      <w:pPr>
        <w:pStyle w:val="FirstParagraph"/>
      </w:pPr>
      <w:r>
        <w:t xml:space="preserve">💡 Analogie — assembler les pièces d’un puzzle, pas seulement les collectionner</w:t>
      </w:r>
      <w:r>
        <w:t xml:space="preserve"> </w:t>
      </w:r>
      <w:r>
        <w:t xml:space="preserve">Un système de centralisation de logs comme Graylog ou ELK (chapitres 62-63) collectionne les pièces d’un puzzle et permet de les consulter individuellement. Un</w:t>
      </w:r>
      <w:r>
        <w:t xml:space="preserve"> </w:t>
      </w:r>
      <w:r>
        <w:rPr>
          <w:b/>
          <w:bCs/>
        </w:rPr>
        <w:t xml:space="preserve">SIEM</w:t>
      </w:r>
      <w:r>
        <w:t xml:space="preserve"> </w:t>
      </w:r>
      <w:r>
        <w:t xml:space="preserve">(Security Information and Event Management) va plus loin : il applique des règles de corrélation reliant automatiquement plusieurs événements distincts, potentiellement issus de sources différentes, pour révéler un scénario d’attaque cohérent qu’aucun événement isolé ne suffirait à démontrer — assemblant activement les pièces du puzzle plutôt que de se contenter de les collectionner.</w:t>
      </w:r>
    </w:p>
    <w:bookmarkEnd w:id="1798"/>
    <w:bookmarkStart w:id="1799" w:name="Xefdaa8a98bc9b53ec2feaab430e412a8b5a336e"/>
    <w:p>
      <w:pPr>
        <w:pStyle w:val="Heading2"/>
      </w:pPr>
      <w:r>
        <w:t xml:space="preserve">74.3 Règles de corrélation : combiner plusieurs sources</w:t>
      </w:r>
    </w:p>
    <w:p>
      <w:pPr>
        <w:pStyle w:val="FirstParagraph"/>
      </w:pPr>
      <w:r>
        <w:t xml:space="preserve">📌 À retenir — répondre directement au scénario d’ouverture</w:t>
      </w:r>
      <w:r>
        <w:t xml:space="preserve"> </w:t>
      </w:r>
      <w:r>
        <w:t xml:space="preserve">Une règle de corrélation SIEM définit une séquence ou une combinaison d’événements qui, ensemble, constituent un indicateur de compromission bien plus fort que chacun pris séparément. Pour le scénario d’ouverture, une règle pourrait se formuler ainsi :</w:t>
      </w:r>
      <w:r>
        <w:t xml:space="preserve"> </w:t>
      </w:r>
      <w:r>
        <w:t xml:space="preserve">“une connexion réussie sur un compte ayant connu un échec récent, suivie dans les quinze minutes d’un volume de trafic sortant dépassant un seuil normal depuis le poste concerné”</w:t>
      </w:r>
      <w:r>
        <w:t xml:space="preserve"> </w:t>
      </w:r>
      <w:r>
        <w:t xml:space="preserve">— une combinaison que ni Active Directory seul, ni le pare-feu seul, ne pouvaient détecter.</w:t>
      </w:r>
    </w:p>
    <w:p>
      <w:pPr>
        <w:pStyle w:val="SourceCode"/>
      </w:pPr>
      <w:r>
        <w:rPr>
          <w:rStyle w:val="VerbatimChar"/>
        </w:rPr>
        <w:t xml:space="preserve">regle: connexion-suspecte-puis-exfiltration</w:t>
      </w:r>
      <w:r>
        <w:br/>
      </w:r>
      <w:r>
        <w:rPr>
          <w:rStyle w:val="VerbatimChar"/>
        </w:rPr>
        <w:t xml:space="preserve">  si:</w:t>
      </w:r>
      <w:r>
        <w:br/>
      </w:r>
      <w:r>
        <w:rPr>
          <w:rStyle w:val="VerbatimChar"/>
        </w:rPr>
        <w:t xml:space="preserve">    - evenement AD: echec_authentification(compte=X)</w:t>
      </w:r>
      <w:r>
        <w:br/>
      </w:r>
      <w:r>
        <w:rPr>
          <w:rStyle w:val="VerbatimChar"/>
        </w:rPr>
        <w:t xml:space="preserve">    - suivi_de evenement AD: succes_authentification(compte=X) dans les 30min</w:t>
      </w:r>
      <w:r>
        <w:br/>
      </w:r>
      <w:r>
        <w:rPr>
          <w:rStyle w:val="VerbatimChar"/>
        </w:rPr>
        <w:t xml:space="preserve">    - suivi_de evenement pare-feu: trafic_sortant(source=poste_de(X)) &gt; seuil dans les 15min</w:t>
      </w:r>
      <w:r>
        <w:br/>
      </w:r>
      <w:r>
        <w:rPr>
          <w:rStyle w:val="VerbatimChar"/>
        </w:rPr>
        <w:t xml:space="preserve">  alors:</w:t>
      </w:r>
      <w:r>
        <w:br/>
      </w:r>
      <w:r>
        <w:rPr>
          <w:rStyle w:val="VerbatimChar"/>
        </w:rPr>
        <w:t xml:space="preserve">    severite: critique</w:t>
      </w:r>
      <w:r>
        <w:br/>
      </w:r>
      <w:r>
        <w:rPr>
          <w:rStyle w:val="VerbatimChar"/>
        </w:rPr>
        <w:t xml:space="preserve">    action: alerter equipe securite + isoler le poste</w:t>
      </w:r>
    </w:p>
    <w:bookmarkEnd w:id="1799"/>
    <w:bookmarkStart w:id="1800" w:name="sappuyer-sur-les-sources-déjà-en-place"/>
    <w:p>
      <w:pPr>
        <w:pStyle w:val="Heading2"/>
      </w:pPr>
      <w:r>
        <w:t xml:space="preserve">74.4 S’appuyer sur les sources déjà en place</w:t>
      </w:r>
    </w:p>
    <w:p>
      <w:pPr>
        <w:pStyle w:val="FirstParagraph"/>
      </w:pPr>
      <w:r>
        <w:t xml:space="preserve">✅ Un SIEM ne remplace pas la Partie 10, il s’appuie dessus</w:t>
      </w:r>
      <w:r>
        <w:t xml:space="preserve"> </w:t>
      </w:r>
      <w:r>
        <w:t xml:space="preserve">Un SIEM n’exige généralement pas de reconstruire toute l’infrastructure de collecte — il s’intègre aux sources déjà en place : les journaux Active Directory déjà accessibles via les outils du chapitre 23, les événements du pare-feu Fortinet déjà centralisés via Graylog (chapitres 63 et 66), les logs applicatifs déjà indexés dans ELK (chapitre 62). Le SIEM ajoute une couche de corrélation par-dessus ces sources existantes, plutôt que de les dupliquer ou de les remplacer.</w:t>
      </w:r>
    </w:p>
    <w:bookmarkEnd w:id="1800"/>
    <w:bookmarkStart w:id="1801" w:name="X4fdb085778ba62a85a9d42c6764f9b7d744e6c3"/>
    <w:p>
      <w:pPr>
        <w:pStyle w:val="Heading2"/>
      </w:pPr>
      <w:r>
        <w:t xml:space="preserve">74.5 Reconnaître un scénario d’attaque en plusieurs étapes</w:t>
      </w:r>
    </w:p>
    <w:p>
      <w:pPr>
        <w:pStyle w:val="FirstParagraph"/>
      </w:pPr>
      <w:r>
        <w:t xml:space="preserve">💡 Rappel indirect du chapitre 4</w:t>
      </w:r>
      <w:r>
        <w:t xml:space="preserve"> </w:t>
      </w:r>
      <w:r>
        <w:t xml:space="preserve">Une intrusion réelle, comme celle exploitant l’accès RDP exposé au chapitre 4, se déroule généralement en plusieurs étapes distinctes : reconnaissance, accès initial, escalade de privilèges, puis action finale (chiffrement, exfiltration). Un SIEM correctement configuré peut détecter cette progression à travers ses différentes étapes, offrant une chance de contenir l’attaque avant l’étape finale — une capacité de détection précoce qu’aucun outil isolé ne peut offrir seul, chaque étape individuelle restant potentiellement trop discrète pour déclencher une alerte à elle seule.</w:t>
      </w:r>
    </w:p>
    <w:bookmarkEnd w:id="1801"/>
    <w:bookmarkStart w:id="1802" w:name="faux-positifs-et-calibrage-des-règles"/>
    <w:p>
      <w:pPr>
        <w:pStyle w:val="Heading2"/>
      </w:pPr>
      <w:r>
        <w:t xml:space="preserve">74.6 Faux positifs et calibrage des règles</w:t>
      </w:r>
    </w:p>
    <w:p>
      <w:pPr>
        <w:pStyle w:val="FirstParagraph"/>
      </w:pPr>
      <w:r>
        <w:t xml:space="preserve">⚠️ Encore le même piège, rencontré pour la sixième fois dans ce manuel</w:t>
      </w:r>
      <w:r>
        <w:t xml:space="preserve"> </w:t>
      </w:r>
      <w:r>
        <w:t xml:space="preserve">Une règle de corrélation trop sensible génère un grand nombre de faux positifs — des combinaisons d’événements légitimes ressemblant superficiellement à un scénario d’attaque, comme un employé se trompant de mot de passe avant de se reconnecter correctement puis de télécharger un fichier volumineux légitime. Exactement le même risque de fatigue d’alerte déjà rencontré à plusieurs reprises dans ce manuel (sections 58.7, 59.5, 60.6, 61.5, 63.5) s’applique aux règles SIEM : un calibrage soigneux, affiné progressivement à partir de l’expérience réelle de l’environnement, reste indispensable pour que les analystes continuent à prendre chaque alerte au sérieux.</w:t>
      </w:r>
    </w:p>
    <w:bookmarkEnd w:id="1802"/>
    <w:bookmarkStart w:id="1803" w:name="X4f6b09d409bcba2f2f9387b71f725cf0f80cde6"/>
    <w:p>
      <w:pPr>
        <w:pStyle w:val="Heading2"/>
      </w:pPr>
      <w:r>
        <w:t xml:space="preserve">74.7 Le SIEM comme formalisation de la fonction Détecter</w:t>
      </w:r>
    </w:p>
    <w:p>
      <w:pPr>
        <w:pStyle w:val="FirstParagraph"/>
      </w:pPr>
      <w:r>
        <w:t xml:space="preserve">📌 À retenir — rappel direct du chapitre 71</w:t>
      </w:r>
      <w:r>
        <w:t xml:space="preserve"> </w:t>
      </w:r>
      <w:r>
        <w:t xml:space="preserve">Un SIEM constitue l’outillage technique le plus abouti de la fonction</w:t>
      </w:r>
      <w:r>
        <w:t xml:space="preserve"> </w:t>
      </w:r>
      <w:r>
        <w:rPr>
          <w:b/>
          <w:bCs/>
        </w:rPr>
        <w:t xml:space="preserve">Détecter</w:t>
      </w:r>
      <w:r>
        <w:t xml:space="preserve"> </w:t>
      </w:r>
      <w:r>
        <w:t xml:space="preserve">du NIST CSF (chapitre 71) — il ne se contente pas de collecter passivement des événements, mais applique une analyse active continue cherchant explicitement des schémas d’attaque connus. Adopter un SIEM représente ainsi un investissement concret et mesurable dans une fonction du cadre déjà identifiée, lors de l’exercice de cartographie du chapitre 71, comme potentiellement moins développée que la fonction Protéger.</w:t>
      </w:r>
    </w:p>
    <w:bookmarkEnd w:id="1803"/>
    <w:bookmarkStart w:id="1804" w:name="Xe43cdd0dd345854f92eec1de794e18c59c03291"/>
    <w:p>
      <w:pPr>
        <w:pStyle w:val="Heading2"/>
      </w:pPr>
      <w:r>
        <w:t xml:space="preserve">Atelier — Détecter le scénario du prestataire externe</w:t>
      </w:r>
    </w:p>
    <w:p>
      <w:pPr>
        <w:pStyle w:val="FirstParagraph"/>
      </w:pPr>
      <w:r>
        <w:t xml:space="preserve">🛠️ Atelier 74 — Construire la règle manquante du scénario d’ouverture</w:t>
      </w:r>
    </w:p>
    <w:p>
      <w:pPr>
        <w:pStyle w:val="BodyText"/>
      </w:pPr>
      <w:r>
        <w:rPr>
          <w:b/>
          <w:bCs/>
        </w:rPr>
        <w:t xml:space="preserve">Objectif</w:t>
      </w:r>
      <w:r>
        <w:t xml:space="preserve"> </w:t>
      </w:r>
      <w:r>
        <w:t xml:space="preserve">: construire une règle de corrélation SIEM détectant le scénario précis identifié par le prestataire externe dans le scénario d’ouverture.</w:t>
      </w:r>
    </w:p>
    <w:p>
      <w:pPr>
        <w:pStyle w:val="BodyText"/>
      </w:pPr>
      <w:r>
        <w:rPr>
          <w:b/>
          <w:bCs/>
        </w:rPr>
        <w:t xml:space="preserve">Préparation</w:t>
      </w:r>
      <w:r>
        <w:t xml:space="preserve"> </w:t>
      </w:r>
      <w:r>
        <w:t xml:space="preserve">: un SIEM intégré aux journaux Active Directory et aux journaux du pare-feu Fortinet, déjà centralisés.</w:t>
      </w:r>
    </w:p>
    <w:p>
      <w:pPr>
        <w:pStyle w:val="BodyText"/>
      </w:pPr>
      <w:r>
        <w:rPr>
          <w:b/>
          <w:bCs/>
        </w:rPr>
        <w:t xml:space="preserve">Étapes détaillées</w:t>
      </w:r>
      <w:r>
        <w:t xml:space="preserve"> </w:t>
      </w:r>
      <w:r>
        <w:t xml:space="preserve">:</w:t>
      </w:r>
    </w:p>
    <w:p>
      <w:pPr>
        <w:pStyle w:val="Compact"/>
        <w:numPr>
          <w:ilvl w:val="0"/>
          <w:numId w:val="2700"/>
        </w:numPr>
      </w:pPr>
      <w:r>
        <w:t xml:space="preserve">Décompose le scénario d’attaque en trois événements distincts et identifiables (section 74.3).</w:t>
      </w:r>
    </w:p>
    <w:p>
      <w:pPr>
        <w:pStyle w:val="Compact"/>
        <w:numPr>
          <w:ilvl w:val="0"/>
          <w:numId w:val="2700"/>
        </w:numPr>
      </w:pPr>
      <w:r>
        <w:t xml:space="preserve">Définis une fenêtre temporelle raisonnable entre chaque événement de la séquence.</w:t>
      </w:r>
    </w:p>
    <w:p>
      <w:pPr>
        <w:pStyle w:val="Compact"/>
        <w:numPr>
          <w:ilvl w:val="0"/>
          <w:numId w:val="2700"/>
        </w:numPr>
      </w:pPr>
      <w:r>
        <w:t xml:space="preserve">Détermine la sévérité appropriée pour cette règle et l’action associée (alerte simple, ou action automatique comme l’isolement du poste concerné).</w:t>
      </w:r>
    </w:p>
    <w:p>
      <w:pPr>
        <w:pStyle w:val="Compact"/>
        <w:numPr>
          <w:ilvl w:val="0"/>
          <w:numId w:val="2700"/>
        </w:numPr>
      </w:pPr>
      <w:r>
        <w:t xml:space="preserve">Explique pourquoi une fenêtre temporelle trop large risquerait de générer des faux positifs, et une fenêtre trop courte risquerait de manquer l’attaque réelle.</w:t>
      </w:r>
    </w:p>
    <w:p>
      <w:pPr>
        <w:pStyle w:val="Compact"/>
        <w:numPr>
          <w:ilvl w:val="0"/>
          <w:numId w:val="2700"/>
        </w:numPr>
      </w:pPr>
      <w:r>
        <w:t xml:space="preserve">Compare ta démarche à la section</w:t>
      </w:r>
      <w:r>
        <w:t xml:space="preserve"> </w:t>
      </w:r>
      <w:r>
        <w:t xml:space="preserve">“Résultat attendu”</w:t>
      </w:r>
      <w:r>
        <w:t xml:space="preserve">.</w:t>
      </w:r>
    </w:p>
    <w:p>
      <w:pPr>
        <w:pStyle w:val="FirstParagraph"/>
      </w:pPr>
      <w:r>
        <w:rPr>
          <w:b/>
          <w:bCs/>
        </w:rPr>
        <w:t xml:space="preserve">Résultat attendu</w:t>
      </w:r>
      <w:r>
        <w:t xml:space="preserve"> </w:t>
      </w:r>
      <w:r>
        <w:t xml:space="preserve">: la règle de corrélation combine les trois événements identifiés (échec puis succès d’authentification, suivi d’un trafic sortant anormal) avec une fenêtre temporelle de quelques dizaines de minutes, proportionnée à la vitesse réaliste d’une progression d’attaque. Une fenêtre trop large (plusieurs heures) risquerait de relier des événements sans rapport réel entre eux, provoquant des faux positifs ; une fenêtre trop courte (quelques secondes) risquerait de manquer une attaque se déroulant à un rythme légèrement plus lent que prévu, ne validant jamais la condition de séquence. Cette règle, une fois en place, aurait permis de détecter automatiquement le scénario que le prestataire externe a dû, dans les faits, reconstituer manuellement après coup.</w:t>
      </w:r>
    </w:p>
    <w:p>
      <w:pPr>
        <w:pStyle w:val="BodyText"/>
      </w:pPr>
      <w:r>
        <w:rPr>
          <w:b/>
          <w:bCs/>
        </w:rPr>
        <w:t xml:space="preserve">Dépannage</w:t>
      </w:r>
      <w:r>
        <w:t xml:space="preserve"> </w:t>
      </w:r>
      <w:r>
        <w:t xml:space="preserve">: si la règle de corrélation ne se déclenche jamais malgré un scénario de test reproduisant fidèlement les conditions prévues, vérifie que les horodatages des différentes sources d’événements (Active Directory, pare-feu) sont bien synchronisés — un décalage d’horloge entre systèmes (rappel indirect du chapitre 23) peut faire échouer une corrélation basée sur une fenêtre temporelle précise.</w:t>
      </w:r>
    </w:p>
    <w:bookmarkEnd w:id="1804"/>
    <w:bookmarkStart w:id="1805" w:name="erreurs-fréquentes-73"/>
    <w:p>
      <w:pPr>
        <w:pStyle w:val="Heading2"/>
      </w:pPr>
      <w:r>
        <w:t xml:space="preserve">Erreurs fréquentes</w:t>
      </w:r>
    </w:p>
    <w:p>
      <w:pPr>
        <w:pStyle w:val="FirstParagraph"/>
      </w:pPr>
      <w:r>
        <w:t xml:space="preserve">⚠️ Erreur n°1 — un SIEM déployé, mais aucune règle de corrélation réellement configurée</w:t>
      </w:r>
      <w:r>
        <w:t xml:space="preserve"> </w:t>
      </w:r>
      <w:r>
        <w:t xml:space="preserve">Un SIEM utilisé uniquement comme un système de centralisation de logs, sans exploiter sa capacité de corrélation, n’apporte aucun bénéfice au-delà de ce que Graylog ou ELK offrent déjà — reproduisant exactement le problème du scénario d’ouverture malgré l’investissement dans l’outil.</w:t>
      </w:r>
    </w:p>
    <w:p>
      <w:pPr>
        <w:pStyle w:val="BodyText"/>
      </w:pPr>
      <w:r>
        <w:t xml:space="preserve">⚠️ Erreur n°2 — un nombre excessif de règles mal calibrées, provoquant une fatigue d’alerte</w:t>
      </w:r>
      <w:r>
        <w:t xml:space="preserve"> </w:t>
      </w:r>
      <w:r>
        <w:t xml:space="preserve">Rappel de la section 74.6 : le même risque déjà rencontré à de multiples reprises dans ce manuel, avec un enjeu particulièrement élevé pour des alertes de sécurité potentiellement critiques.</w:t>
      </w:r>
    </w:p>
    <w:p>
      <w:pPr>
        <w:pStyle w:val="BodyText"/>
      </w:pPr>
      <w:r>
        <w:t xml:space="preserve">⚠️ Erreur n°3 — des sources critiques non intégrées au SIEM, créant des angles morts</w:t>
      </w:r>
      <w:r>
        <w:t xml:space="preserve"> </w:t>
      </w:r>
      <w:r>
        <w:t xml:space="preserve">Un SIEM ne peut corréler que les sources qu’il ingère réellement — une source de logs critique restée hors du périmètre d’intégration crée un angle mort dans lequel une étape entière d’une attaque pourrait passer totalement inaperçue.</w:t>
      </w:r>
    </w:p>
    <w:bookmarkEnd w:id="1805"/>
    <w:bookmarkStart w:id="1806" w:name="Xedc5a1f454238d789853b852e37292079c52e0d"/>
    <w:p>
      <w:pPr>
        <w:pStyle w:val="Heading2"/>
      </w:pPr>
      <w:r>
        <w:t xml:space="preserve">Diagnostiquer une attaque passée inaperçue malgré un SIEM en place</w:t>
      </w:r>
    </w:p>
    <w:p>
      <w:pPr>
        <w:pStyle w:val="FirstParagraph"/>
      </w:pPr>
      <w:r>
        <w:t xml:space="preserve">🩺 Symptôme : une intrusion réelle est découverte après coup, malgré la présence d’un SIEM opérationnel</w:t>
      </w:r>
    </w:p>
    <w:p>
      <w:pPr>
        <w:pStyle w:val="Compact"/>
        <w:numPr>
          <w:ilvl w:val="0"/>
          <w:numId w:val="2701"/>
        </w:numPr>
      </w:pPr>
      <w:r>
        <w:rPr>
          <w:b/>
          <w:bCs/>
        </w:rPr>
        <w:t xml:space="preserve">Diagnostic</w:t>
      </w:r>
      <w:r>
        <w:t xml:space="preserve"> </w:t>
      </w:r>
      <w:r>
        <w:t xml:space="preserve">: vérifier si une règle de corrélation couvrant ce scénario précis existait réellement, si toutes les sources d’événements nécessaires à cette règle étaient effectivement intégrées, et si les horodatages des différentes sources étaient correctement synchronisés.</w:t>
      </w:r>
    </w:p>
    <w:p>
      <w:pPr>
        <w:pStyle w:val="Compact"/>
        <w:numPr>
          <w:ilvl w:val="0"/>
          <w:numId w:val="2701"/>
        </w:numPr>
      </w:pPr>
      <w:r>
        <w:rPr>
          <w:b/>
          <w:bCs/>
        </w:rPr>
        <w:t xml:space="preserve">Comment vérifier</w:t>
      </w:r>
      <w:r>
        <w:t xml:space="preserve"> </w:t>
      </w:r>
      <w:r>
        <w:t xml:space="preserve">: reconstituer manuellement, a posteriori, la séquence d’événements de l’intrusion découverte, et vérifier si une règle de corrélation existante aurait dû, en théorie, se déclencher sur cette séquence exacte.</w:t>
      </w:r>
    </w:p>
    <w:p>
      <w:pPr>
        <w:pStyle w:val="Compact"/>
        <w:numPr>
          <w:ilvl w:val="0"/>
          <w:numId w:val="2701"/>
        </w:numPr>
      </w:pPr>
      <w:r>
        <w:rPr>
          <w:b/>
          <w:bCs/>
        </w:rPr>
        <w:t xml:space="preserve">Résolution</w:t>
      </w:r>
      <w:r>
        <w:t xml:space="preserve"> </w:t>
      </w:r>
      <w:r>
        <w:t xml:space="preserve">: combler la lacune identifiée — création d’une nouvelle règle de corrélation couvrant ce scénario précis, intégration d’une source manquante, ou correction d’un problème de synchronisation temporelle.</w:t>
      </w:r>
    </w:p>
    <w:bookmarkEnd w:id="1806"/>
    <w:bookmarkStart w:id="1807" w:name="en-entreprise-73"/>
    <w:p>
      <w:pPr>
        <w:pStyle w:val="Heading2"/>
      </w:pPr>
      <w:r>
        <w:t xml:space="preserve">En entreprise</w:t>
      </w:r>
    </w:p>
    <w:p>
      <w:pPr>
        <w:pStyle w:val="Compact"/>
        <w:numPr>
          <w:ilvl w:val="0"/>
          <w:numId w:val="2702"/>
        </w:numPr>
      </w:pPr>
      <w:r>
        <w:rPr>
          <w:b/>
          <w:bCs/>
        </w:rPr>
        <w:t xml:space="preserve">Bonne pratique répandue</w:t>
      </w:r>
      <w:r>
        <w:t xml:space="preserve"> </w:t>
      </w:r>
      <w:r>
        <w:t xml:space="preserve">: construire progressivement les règles de corrélation à partir de scénarios d’attaque réalistes et documentés (comme le résultat d’une simulation d’intrusion), plutôt que de tenter de couvrir tous les scénarios théoriquement possibles dès le départ.</w:t>
      </w:r>
    </w:p>
    <w:p>
      <w:pPr>
        <w:pStyle w:val="Compact"/>
        <w:numPr>
          <w:ilvl w:val="0"/>
          <w:numId w:val="2702"/>
        </w:numPr>
      </w:pPr>
      <w:r>
        <w:rPr>
          <w:b/>
          <w:bCs/>
        </w:rPr>
        <w:t xml:space="preserve">Bonne pratique répandue</w:t>
      </w:r>
      <w:r>
        <w:t xml:space="preserve"> </w:t>
      </w:r>
      <w:r>
        <w:t xml:space="preserve">: réviser périodiquement les règles de corrélation existantes à la lumière de nouveaux incidents ou de nouvelles simulations, affinant leur calibrage au fil du temps.</w:t>
      </w:r>
    </w:p>
    <w:p>
      <w:pPr>
        <w:pStyle w:val="Compact"/>
        <w:numPr>
          <w:ilvl w:val="0"/>
          <w:numId w:val="2702"/>
        </w:numPr>
      </w:pPr>
      <w:r>
        <w:rPr>
          <w:b/>
          <w:bCs/>
        </w:rPr>
        <w:t xml:space="preserve">Erreur classique observée</w:t>
      </w:r>
      <w:r>
        <w:t xml:space="preserve"> </w:t>
      </w:r>
      <w:r>
        <w:t xml:space="preserve">: un SIEM acquis à grand coût pour répondre à une exigence de conformité, mais dont la configuration des règles de corrélation est déléguée entièrement au fournisseur lors de l’installation initiale, sans jamais être adaptée au contexte réel et évolutif de l’organisation par la suite.</w:t>
      </w:r>
    </w:p>
    <w:bookmarkEnd w:id="1807"/>
    <w:bookmarkStart w:id="1808" w:name="entretien-technique-73"/>
    <w:p>
      <w:pPr>
        <w:pStyle w:val="Heading2"/>
      </w:pPr>
      <w:r>
        <w:t xml:space="preserve">Entretien technique</w:t>
      </w:r>
    </w:p>
    <w:p>
      <w:pPr>
        <w:pStyle w:val="FirstParagraph"/>
      </w:pPr>
      <w:r>
        <w:t xml:space="preserve">💼 Questions fréquemment posées en entretien</w:t>
      </w:r>
    </w:p>
    <w:p>
      <w:pPr>
        <w:pStyle w:val="BodyText"/>
      </w:pPr>
      <w:r>
        <w:rPr>
          <w:b/>
          <w:bCs/>
        </w:rPr>
        <w:t xml:space="preserve">Q1.</w:t>
      </w:r>
      <w:r>
        <w:rPr>
          <w:b/>
          <w:bCs/>
        </w:rPr>
        <w:t xml:space="preserve"> </w:t>
      </w:r>
      <w:r>
        <w:rPr>
          <w:b/>
          <w:bCs/>
        </w:rPr>
        <w:t xml:space="preserve">“Quelle est la différence fondamentale entre un système de centralisation de logs comme ELK ou Graylog et un SIEM ?”</w:t>
      </w:r>
      <w:r>
        <w:t xml:space="preserve"> </w:t>
      </w:r>
      <w:r>
        <w:t xml:space="preserve">Réponse attendue : la centralisation de logs collecte et rend consultables les événements ; un SIEM ajoute une couche de corrélation active, reliant automatiquement plusieurs événements distincts, potentiellement issus de sources différentes, pour révéler un scénario d’attaque cohérent qu’aucun événement isolé ne suffirait à démontrer.</w:t>
      </w:r>
    </w:p>
    <w:p>
      <w:pPr>
        <w:pStyle w:val="BodyText"/>
      </w:pPr>
      <w:r>
        <w:rPr>
          <w:b/>
          <w:bCs/>
        </w:rPr>
        <w:t xml:space="preserve">Q2.</w:t>
      </w:r>
      <w:r>
        <w:rPr>
          <w:b/>
          <w:bCs/>
        </w:rPr>
        <w:t xml:space="preserve"> </w:t>
      </w:r>
      <w:r>
        <w:rPr>
          <w:b/>
          <w:bCs/>
        </w:rPr>
        <w:t xml:space="preserve">“Pourquoi une attaque réelle peut-elle passer inaperçue malgré l’existence d’alertes individuelles sur chaque type d’événement ?”</w:t>
      </w:r>
      <w:r>
        <w:t xml:space="preserve"> </w:t>
      </w:r>
      <w:r>
        <w:t xml:space="preserve">Réponse attendue : une attaque se compose généralement d’une séquence de signaux individuellement discrets et explicables par une activité normale ; sans corrélation entre ces signaux, aucune alerte individuelle ne se déclenche, chaque événement restant sous le seuil de détection pris isolément.</w:t>
      </w:r>
    </w:p>
    <w:p>
      <w:pPr>
        <w:pStyle w:val="BodyText"/>
      </w:pPr>
      <w:r>
        <w:rPr>
          <w:b/>
          <w:bCs/>
        </w:rPr>
        <w:t xml:space="preserve">Q3.</w:t>
      </w:r>
      <w:r>
        <w:rPr>
          <w:b/>
          <w:bCs/>
        </w:rPr>
        <w:t xml:space="preserve"> </w:t>
      </w:r>
      <w:r>
        <w:rPr>
          <w:b/>
          <w:bCs/>
        </w:rPr>
        <w:t xml:space="preserve">“Comment un SIEM se rattache-t-il au NIST CSF présenté au chapitre 71 ?”</w:t>
      </w:r>
      <w:r>
        <w:t xml:space="preserve"> </w:t>
      </w:r>
      <w:r>
        <w:t xml:space="preserve">Réponse attendue : un SIEM constitue l’outillage technique le plus abouti de la fonction Détecter du cadre, appliquant une analyse active continue plutôt qu’une simple collecte passive d’événements.</w:t>
      </w:r>
    </w:p>
    <w:bookmarkEnd w:id="1808"/>
    <w:bookmarkStart w:id="1809" w:name="Xc93af4e8e316d57e677a679a1c125c49d9e0258"/>
    <w:p>
      <w:pPr>
        <w:pStyle w:val="Heading2"/>
      </w:pPr>
      <w:r>
        <w:t xml:space="preserve">Optimisation, sécurité et maintenabilité — les réflexes dès ce chapitre</w:t>
      </w:r>
    </w:p>
    <w:p>
      <w:pPr>
        <w:pStyle w:val="FirstParagraph"/>
      </w:pPr>
      <w:r>
        <w:t xml:space="preserve">🔒 Sécurité</w:t>
      </w:r>
      <w:r>
        <w:t xml:space="preserve"> </w:t>
      </w:r>
      <w:r>
        <w:t xml:space="preserve">Intègre systématiquement toute nouvelle source de logs critique au périmètre du SIEM dès sa mise en place, plutôt que de considérer cette intégration comme une amélioration optionnelle réalisable ultérieurement.</w:t>
      </w:r>
    </w:p>
    <w:p>
      <w:pPr>
        <w:pStyle w:val="BodyText"/>
      </w:pPr>
      <w:r>
        <w:t xml:space="preserve">✅ Maintenabilité</w:t>
      </w:r>
      <w:r>
        <w:t xml:space="preserve"> </w:t>
      </w:r>
      <w:r>
        <w:t xml:space="preserve">Documente la justification et le contexte de chaque règle de corrélation créée — un scénario d’attaque réel ou simulé ayant motivé sa création — facilitant sa révision future et évitant l’accumulation de règles obsolètes dont plus personne ne comprend le fondement.</w:t>
      </w:r>
    </w:p>
    <w:p>
      <w:pPr>
        <w:pStyle w:val="BodyText"/>
      </w:pPr>
      <w:r>
        <w:t xml:space="preserve">🚀 Performance</w:t>
      </w:r>
      <w:r>
        <w:t xml:space="preserve"> </w:t>
      </w:r>
      <w:r>
        <w:t xml:space="preserve">Un SIEM traitant un volume élevé d’événements en temps réel nécessite des ressources de traitement significatives — dimensionne l’infrastructure sous-jacente en fonction du volume réel d’événements attendu, particulièrement à mesure que de nouvelles sources sont intégrées au fil du temps.</w:t>
      </w:r>
    </w:p>
    <w:bookmarkEnd w:id="1809"/>
    <w:bookmarkStart w:id="1810" w:name="résumé-du-chapitre-73"/>
    <w:p>
      <w:pPr>
        <w:pStyle w:val="Heading2"/>
      </w:pPr>
      <w:r>
        <w:t xml:space="preserve">Résumé du chapitre</w:t>
      </w:r>
    </w:p>
    <w:p>
      <w:pPr>
        <w:pStyle w:val="Compact"/>
        <w:numPr>
          <w:ilvl w:val="0"/>
          <w:numId w:val="2703"/>
        </w:numPr>
      </w:pPr>
      <w:r>
        <w:t xml:space="preserve">Une attaque réelle se compose généralement d’une séquence de signaux individuellement discrets, chacun explicable isolément par une activité normale.</w:t>
      </w:r>
    </w:p>
    <w:p>
      <w:pPr>
        <w:pStyle w:val="Compact"/>
        <w:numPr>
          <w:ilvl w:val="0"/>
          <w:numId w:val="2703"/>
        </w:numPr>
      </w:pPr>
      <w:r>
        <w:t xml:space="preserve">Un SIEM applique des règles de corrélation reliant automatiquement plusieurs événements distincts pour révéler un scénario d’attaque cohérent.</w:t>
      </w:r>
    </w:p>
    <w:p>
      <w:pPr>
        <w:pStyle w:val="Compact"/>
        <w:numPr>
          <w:ilvl w:val="0"/>
          <w:numId w:val="2703"/>
        </w:numPr>
      </w:pPr>
      <w:r>
        <w:t xml:space="preserve">Un SIEM s’appuie sur les sources de centralisation déjà en place (Graylog, ELK, journaux Active Directory, pare-feu) plutôt que de les remplacer.</w:t>
      </w:r>
    </w:p>
    <w:p>
      <w:pPr>
        <w:pStyle w:val="Compact"/>
        <w:numPr>
          <w:ilvl w:val="0"/>
          <w:numId w:val="2703"/>
        </w:numPr>
      </w:pPr>
      <w:r>
        <w:t xml:space="preserve">Les règles de corrélation nécessitent un calibrage soigneux pour éviter la fatigue d’alerte, un piège rencontré à de multiples reprises dans ce manuel.</w:t>
      </w:r>
    </w:p>
    <w:p>
      <w:pPr>
        <w:pStyle w:val="Compact"/>
        <w:numPr>
          <w:ilvl w:val="0"/>
          <w:numId w:val="2703"/>
        </w:numPr>
      </w:pPr>
      <w:r>
        <w:t xml:space="preserve">Un SIEM constitue l’outillage technique le plus abouti de la fonction Détecter du NIST CSF déjà présenté au chapitre 71.</w:t>
      </w:r>
    </w:p>
    <w:p>
      <w:pPr>
        <w:pStyle w:val="Compact"/>
        <w:numPr>
          <w:ilvl w:val="0"/>
          <w:numId w:val="2703"/>
        </w:numPr>
      </w:pPr>
      <w:r>
        <w:t xml:space="preserve">Une source critique non intégrée au SIEM crée un angle mort dans lequel une étape entière d’une attaque pourrait passer inaperçue.</w:t>
      </w:r>
    </w:p>
    <w:bookmarkEnd w:id="1810"/>
    <w:bookmarkStart w:id="1811" w:name="quiz-73"/>
    <w:p>
      <w:pPr>
        <w:pStyle w:val="Heading2"/>
      </w:pPr>
      <w:r>
        <w:t xml:space="preserve">Quiz</w:t>
      </w:r>
    </w:p>
    <w:p>
      <w:pPr>
        <w:pStyle w:val="FirstParagraph"/>
      </w:pPr>
      <w:r>
        <w:t xml:space="preserve">📝 QCM (une seule bonne réponse par question)</w:t>
      </w:r>
    </w:p>
    <w:p>
      <w:pPr>
        <w:pStyle w:val="Compact"/>
        <w:numPr>
          <w:ilvl w:val="0"/>
          <w:numId w:val="2704"/>
        </w:numPr>
      </w:pPr>
      <w:r>
        <w:t xml:space="preserve">La principale différence entre un SIEM et un système de centralisation de logs comme ELK est :</w:t>
      </w:r>
    </w:p>
    <w:p>
      <w:pPr>
        <w:pStyle w:val="Compact"/>
        <w:numPr>
          <w:ilvl w:val="1"/>
          <w:numId w:val="2705"/>
        </w:numPr>
      </w:pPr>
    </w:p>
    <w:p>
      <w:pPr>
        <w:pStyle w:val="Compact"/>
        <w:numPr>
          <w:ilvl w:val="2"/>
          <w:numId w:val="2706"/>
        </w:numPr>
      </w:pPr>
      <w:r>
        <w:t xml:space="preserve">Le SIEM ne collecte aucun log, contrairement à ELK</w:t>
      </w:r>
    </w:p>
    <w:p>
      <w:pPr>
        <w:pStyle w:val="Compact"/>
        <w:numPr>
          <w:ilvl w:val="1"/>
          <w:numId w:val="2705"/>
        </w:numPr>
      </w:pPr>
    </w:p>
    <w:p>
      <w:pPr>
        <w:pStyle w:val="Compact"/>
        <w:numPr>
          <w:ilvl w:val="2"/>
          <w:numId w:val="2707"/>
        </w:numPr>
      </w:pPr>
      <w:r>
        <w:t xml:space="preserve">Le SIEM ajoute une corrélation active entre plusieurs événements, au-delà de la simple centralisation</w:t>
      </w:r>
    </w:p>
    <w:p>
      <w:pPr>
        <w:pStyle w:val="Compact"/>
        <w:numPr>
          <w:ilvl w:val="1"/>
          <w:numId w:val="2705"/>
        </w:numPr>
      </w:pPr>
    </w:p>
    <w:p>
      <w:pPr>
        <w:pStyle w:val="Compact"/>
        <w:numPr>
          <w:ilvl w:val="2"/>
          <w:numId w:val="2708"/>
        </w:numPr>
      </w:pPr>
      <w:r>
        <w:t xml:space="preserve">ELK est toujours plus coûteux qu’un SIEM</w:t>
      </w:r>
    </w:p>
    <w:p>
      <w:pPr>
        <w:pStyle w:val="Compact"/>
        <w:numPr>
          <w:ilvl w:val="1"/>
          <w:numId w:val="2705"/>
        </w:numPr>
      </w:pPr>
    </w:p>
    <w:p>
      <w:pPr>
        <w:pStyle w:val="Compact"/>
        <w:numPr>
          <w:ilvl w:val="2"/>
          <w:numId w:val="2709"/>
        </w:numPr>
      </w:pPr>
      <w:r>
        <w:t xml:space="preserve">Le SIEM remplace le besoin de tout pare-feu</w:t>
      </w:r>
    </w:p>
    <w:p>
      <w:pPr>
        <w:pStyle w:val="Compact"/>
        <w:numPr>
          <w:ilvl w:val="0"/>
          <w:numId w:val="2704"/>
        </w:numPr>
      </w:pPr>
      <w:r>
        <w:t xml:space="preserve">Dans le scénario d’ouverture, pourquoi aucune alerte individuelle ne s’est-elle déclenchée ?</w:t>
      </w:r>
    </w:p>
    <w:p>
      <w:pPr>
        <w:pStyle w:val="Compact"/>
        <w:numPr>
          <w:ilvl w:val="1"/>
          <w:numId w:val="2710"/>
        </w:numPr>
      </w:pPr>
    </w:p>
    <w:p>
      <w:pPr>
        <w:pStyle w:val="Compact"/>
        <w:numPr>
          <w:ilvl w:val="2"/>
          <w:numId w:val="2711"/>
        </w:numPr>
      </w:pPr>
      <w:r>
        <w:t xml:space="preserve">Aucun outil de supervision n’était en place</w:t>
      </w:r>
    </w:p>
    <w:p>
      <w:pPr>
        <w:pStyle w:val="Compact"/>
        <w:numPr>
          <w:ilvl w:val="1"/>
          <w:numId w:val="2710"/>
        </w:numPr>
      </w:pPr>
    </w:p>
    <w:p>
      <w:pPr>
        <w:pStyle w:val="Compact"/>
        <w:numPr>
          <w:ilvl w:val="2"/>
          <w:numId w:val="2712"/>
        </w:numPr>
      </w:pPr>
      <w:r>
        <w:t xml:space="preserve">Chaque événement, pris isolément, restait explicable par une activité normale</w:t>
      </w:r>
    </w:p>
    <w:p>
      <w:pPr>
        <w:pStyle w:val="Compact"/>
        <w:numPr>
          <w:ilvl w:val="1"/>
          <w:numId w:val="2710"/>
        </w:numPr>
      </w:pPr>
    </w:p>
    <w:p>
      <w:pPr>
        <w:pStyle w:val="Compact"/>
        <w:numPr>
          <w:ilvl w:val="2"/>
          <w:numId w:val="2713"/>
        </w:numPr>
      </w:pPr>
      <w:r>
        <w:t xml:space="preserve">Le pare-feu était mal configuré</w:t>
      </w:r>
    </w:p>
    <w:p>
      <w:pPr>
        <w:pStyle w:val="Compact"/>
        <w:numPr>
          <w:ilvl w:val="1"/>
          <w:numId w:val="2710"/>
        </w:numPr>
      </w:pPr>
    </w:p>
    <w:p>
      <w:pPr>
        <w:pStyle w:val="Compact"/>
        <w:numPr>
          <w:ilvl w:val="2"/>
          <w:numId w:val="2714"/>
        </w:numPr>
      </w:pPr>
      <w:r>
        <w:t xml:space="preserve">Les journaux Active Directory n’étaient pas centralisés</w:t>
      </w:r>
    </w:p>
    <w:p>
      <w:pPr>
        <w:pStyle w:val="Compact"/>
        <w:numPr>
          <w:ilvl w:val="0"/>
          <w:numId w:val="2704"/>
        </w:numPr>
      </w:pPr>
      <w:r>
        <w:t xml:space="preserve">Un SIEM constitue l’outillage le plus abouti de quelle fonction du NIST CSF ?</w:t>
      </w:r>
    </w:p>
    <w:p>
      <w:pPr>
        <w:pStyle w:val="Compact"/>
        <w:numPr>
          <w:ilvl w:val="1"/>
          <w:numId w:val="2715"/>
        </w:numPr>
      </w:pPr>
    </w:p>
    <w:p>
      <w:pPr>
        <w:pStyle w:val="Compact"/>
        <w:numPr>
          <w:ilvl w:val="2"/>
          <w:numId w:val="2716"/>
        </w:numPr>
      </w:pPr>
      <w:r>
        <w:t xml:space="preserve">Identifier</w:t>
      </w:r>
    </w:p>
    <w:p>
      <w:pPr>
        <w:pStyle w:val="Compact"/>
        <w:numPr>
          <w:ilvl w:val="1"/>
          <w:numId w:val="2715"/>
        </w:numPr>
      </w:pPr>
    </w:p>
    <w:p>
      <w:pPr>
        <w:pStyle w:val="Compact"/>
        <w:numPr>
          <w:ilvl w:val="2"/>
          <w:numId w:val="2717"/>
        </w:numPr>
      </w:pPr>
      <w:r>
        <w:t xml:space="preserve">Protéger</w:t>
      </w:r>
    </w:p>
    <w:p>
      <w:pPr>
        <w:pStyle w:val="Compact"/>
        <w:numPr>
          <w:ilvl w:val="1"/>
          <w:numId w:val="2715"/>
        </w:numPr>
      </w:pPr>
    </w:p>
    <w:p>
      <w:pPr>
        <w:pStyle w:val="Compact"/>
        <w:numPr>
          <w:ilvl w:val="2"/>
          <w:numId w:val="2718"/>
        </w:numPr>
      </w:pPr>
      <w:r>
        <w:t xml:space="preserve">Détecter</w:t>
      </w:r>
    </w:p>
    <w:p>
      <w:pPr>
        <w:pStyle w:val="Compact"/>
        <w:numPr>
          <w:ilvl w:val="1"/>
          <w:numId w:val="2715"/>
        </w:numPr>
      </w:pPr>
    </w:p>
    <w:p>
      <w:pPr>
        <w:pStyle w:val="Compact"/>
        <w:numPr>
          <w:ilvl w:val="2"/>
          <w:numId w:val="2719"/>
        </w:numPr>
      </w:pPr>
      <w:r>
        <w:t xml:space="preserve">Récupérer</w:t>
      </w:r>
    </w:p>
    <w:p>
      <w:pPr>
        <w:pStyle w:val="FirstParagraph"/>
      </w:pPr>
      <w:r>
        <w:rPr>
          <w:b/>
          <w:bCs/>
        </w:rPr>
        <w:t xml:space="preserve">Corrigé</w:t>
      </w:r>
      <w:r>
        <w:t xml:space="preserve"> </w:t>
      </w:r>
      <w:r>
        <w:t xml:space="preserve">: 1-b, 2-b, 3-c.</w:t>
      </w:r>
    </w:p>
    <w:p>
      <w:pPr>
        <w:pStyle w:val="BodyText"/>
      </w:pPr>
      <w:r>
        <w:t xml:space="preserve">📝 Vrai ou Faux</w:t>
      </w:r>
    </w:p>
    <w:p>
      <w:pPr>
        <w:pStyle w:val="Compact"/>
        <w:numPr>
          <w:ilvl w:val="0"/>
          <w:numId w:val="2720"/>
        </w:numPr>
      </w:pPr>
      <w:r>
        <w:t xml:space="preserve">Un SIEM nécessite généralement de reconstruire entièrement l’infrastructure de collecte de logs déjà en place. —</w:t>
      </w:r>
      <w:r>
        <w:t xml:space="preserve"> </w:t>
      </w:r>
      <w:r>
        <w:rPr>
          <w:b/>
          <w:bCs/>
        </w:rPr>
        <w:t xml:space="preserve">Faux</w:t>
      </w:r>
      <w:r>
        <w:t xml:space="preserve"> </w:t>
      </w:r>
      <w:r>
        <w:t xml:space="preserve">(section 74.4).</w:t>
      </w:r>
    </w:p>
    <w:p>
      <w:pPr>
        <w:pStyle w:val="Compact"/>
        <w:numPr>
          <w:ilvl w:val="0"/>
          <w:numId w:val="2720"/>
        </w:numPr>
      </w:pPr>
      <w:r>
        <w:t xml:space="preserve">Une règle de corrélation trop sensible peut provoquer une fatigue d’alerte, réduisant l’attention portée aux alertes réellement critiques. —</w:t>
      </w:r>
      <w:r>
        <w:t xml:space="preserve"> </w:t>
      </w:r>
      <w:r>
        <w:rPr>
          <w:b/>
          <w:bCs/>
        </w:rPr>
        <w:t xml:space="preserve">Vrai</w:t>
      </w:r>
      <w:r>
        <w:t xml:space="preserve">.</w:t>
      </w:r>
    </w:p>
    <w:p>
      <w:pPr>
        <w:pStyle w:val="Compact"/>
        <w:numPr>
          <w:ilvl w:val="0"/>
          <w:numId w:val="2720"/>
        </w:numPr>
      </w:pPr>
      <w:r>
        <w:t xml:space="preserve">Une source de logs critique non intégrée au SIEM ne crée aucun risque, tant que les autres sources sont bien couvertes. —</w:t>
      </w:r>
      <w:r>
        <w:t xml:space="preserve"> </w:t>
      </w:r>
      <w:r>
        <w:rPr>
          <w:b/>
          <w:bCs/>
        </w:rPr>
        <w:t xml:space="preserve">Faux</w:t>
      </w:r>
      <w:r>
        <w:t xml:space="preserve"> </w:t>
      </w:r>
      <w:r>
        <w:t xml:space="preserve">(section</w:t>
      </w:r>
      <w:r>
        <w:t xml:space="preserve"> </w:t>
      </w:r>
      <w:r>
        <w:t xml:space="preserve">“Erreur n°3”</w:t>
      </w:r>
      <w:r>
        <w:t xml:space="preserve">).</w:t>
      </w:r>
    </w:p>
    <w:p>
      <w:pPr>
        <w:pStyle w:val="Compact"/>
        <w:numPr>
          <w:ilvl w:val="0"/>
          <w:numId w:val="2720"/>
        </w:numPr>
      </w:pPr>
      <w:r>
        <w:t xml:space="preserve">Un décalage d’horloge entre systèmes peut faire échouer une règle de corrélation basée sur une fenêtre temporelle précise. —</w:t>
      </w:r>
      <w:r>
        <w:t xml:space="preserve"> </w:t>
      </w:r>
      <w:r>
        <w:rPr>
          <w:b/>
          <w:bCs/>
        </w:rPr>
        <w:t xml:space="preserve">Vrai</w:t>
      </w:r>
      <w:r>
        <w:t xml:space="preserve"> </w:t>
      </w:r>
      <w:r>
        <w:t xml:space="preserve">(atelier, dépannage).</w:t>
      </w:r>
    </w:p>
    <w:p>
      <w:pPr>
        <w:pStyle w:val="FirstParagraph"/>
      </w:pPr>
      <w:r>
        <w:t xml:space="preserve">📝 Questions ouvertes</w:t>
      </w:r>
    </w:p>
    <w:p>
      <w:pPr>
        <w:pStyle w:val="Compact"/>
        <w:numPr>
          <w:ilvl w:val="0"/>
          <w:numId w:val="2721"/>
        </w:numPr>
      </w:pPr>
      <w:r>
        <w:t xml:space="preserve">Explique pourquoi le prestataire externe du scénario d’ouverture a pu reconstituer manuellement le scénario d’attaque, alors que les outils de supervision de l’entreprise ne l’ont pas détecté automatiquement.</w:t>
      </w:r>
    </w:p>
    <w:p>
      <w:pPr>
        <w:pStyle w:val="Compact"/>
        <w:numPr>
          <w:ilvl w:val="0"/>
          <w:numId w:val="2721"/>
        </w:numPr>
      </w:pPr>
      <w:r>
        <w:t xml:space="preserve">Un collègue propose de créer une règle de corrélation extrêmement large, déclenchant une alerte dès qu’un employé se connecte depuis une nouvelle adresse IP,</w:t>
      </w:r>
      <w:r>
        <w:t xml:space="preserve"> </w:t>
      </w:r>
      <w:r>
        <w:t xml:space="preserve">“pour ne rater aucune intrusion possible”</w:t>
      </w:r>
      <w:r>
        <w:t xml:space="preserve">. Discute le risque de cette proposition.</w:t>
      </w:r>
    </w:p>
    <w:p>
      <w:pPr>
        <w:pStyle w:val="FirstParagraph"/>
      </w:pPr>
      <w:r>
        <w:rPr>
          <w:b/>
          <w:bCs/>
        </w:rPr>
        <w:t xml:space="preserve">Corrigé 1</w:t>
      </w:r>
      <w:r>
        <w:t xml:space="preserve"> </w:t>
      </w:r>
      <w:r>
        <w:t xml:space="preserve">: le prestataire externe disposait, après coup, de la connaissance complète de la séquence d’événements qu’il avait lui-même orchestrée dans le cadre de la simulation — une information que les outils de supervision de l’entreprise n’avaient pas a priori. Ces outils, dans leur état au moment du scénario, centralisaient bien chaque événement individuellement (Active Directory, pare-feu) mais n’appliquaient aucune règle de corrélation reliant ces événements entre eux en temps réel. Un analyste humain aurait théoriquement pu détecter la même séquence en consultant manuellement chaque source, mais un tel exercice manuel, exhaustif et continu, reste irréaliste face au volume d’événements générés quotidiennement par une infrastructure entière — exactement le problème qu’un SIEM automatise et résout.</w:t>
      </w:r>
    </w:p>
    <w:p>
      <w:pPr>
        <w:pStyle w:val="BodyText"/>
      </w:pPr>
      <w:r>
        <w:rPr>
          <w:b/>
          <w:bCs/>
        </w:rPr>
        <w:t xml:space="preserve">Corrigé 2</w:t>
      </w:r>
      <w:r>
        <w:t xml:space="preserve"> </w:t>
      </w:r>
      <w:r>
        <w:t xml:space="preserve">: une connexion depuis une nouvelle adresse IP reste un événement extrêmement fréquent et généralement légitime — un employé en déplacement, travaillant depuis son domicile, ou utilisant une connexion mobile génère régulièrement ce type d’événement sans qu’aucune intrusion ne soit en cours. Une règle aussi large générerait un volume considérable d’alertes sans réelle valeur discriminante, provoquant rapidement la même fatigue d’alerte déjà dénoncée à la section 74.6 — les analystes finiraient par ignorer systématiquement ce type d’alerte, y compris lorsqu’elle signalerait effectivement une intrusion réelle. Une règle plus pertinente combinerait ce signal avec d’autres éléments contextuels plus discriminants (comme dans l’exemple du scénario d’ouverture), plutôt que de se fier à un seul indicateur aussi fréquent et peu spécifique pris isolément.</w:t>
      </w:r>
    </w:p>
    <w:bookmarkEnd w:id="1811"/>
    <w:bookmarkStart w:id="1812" w:name="exercices-73"/>
    <w:p>
      <w:pPr>
        <w:pStyle w:val="Heading2"/>
      </w:pPr>
      <w:r>
        <w:t xml:space="preserve">Exercices</w:t>
      </w:r>
    </w:p>
    <w:p>
      <w:pPr>
        <w:pStyle w:val="FirstParagraph"/>
      </w:pPr>
      <w:r>
        <w:t xml:space="preserve">📝 Exercice 74.1</w:t>
      </w:r>
    </w:p>
    <w:p>
      <w:pPr>
        <w:pStyle w:val="BodyText"/>
      </w:pPr>
      <w:r>
        <w:t xml:space="preserve">Propose une règle de corrélation SIEM pour détecter une tentative de mouvement latéral après une compromission initiale, combinant un événement d’authentification Active Directory et un événement de connexion réseau inhabituelle entre deux serveurs internes qui ne communiquent normalement pas entre eux.</w:t>
      </w:r>
    </w:p>
    <w:p>
      <w:pPr>
        <w:pStyle w:val="BodyText"/>
      </w:pPr>
      <w:r>
        <w:rPr>
          <w:b/>
          <w:bCs/>
        </w:rPr>
        <w:t xml:space="preserve">Corrigé :</w:t>
      </w:r>
      <w:r>
        <w:t xml:space="preserve"> </w:t>
      </w:r>
      <w:r>
        <w:t xml:space="preserve">La règle pourrait se formuler ainsi :</w:t>
      </w:r>
      <w:r>
        <w:t xml:space="preserve"> </w:t>
      </w:r>
      <w:r>
        <w:t xml:space="preserve">“une authentification réussie sur un compte à privilèges élevés (chapitre 22), suivie dans les dix minutes d’une connexion réseau initiée depuis le poste de ce compte vers un serveur avec lequel ce compte n’a historiquement jamais communiqué, alors sévérité critique, alerter l’équipe sécurité et documenter la connexion réseau observée”</w:t>
      </w:r>
      <w:r>
        <w:t xml:space="preserve">. Cette règle combine un événement d’identité (Active Directory) et un événement réseau (pare-feu ou capture, chapitre 64), reproduisant exactement le même principe de corrélation multi-source déjà illustré dans le scénario d’ouverture de ce chapitre — un mouvement latéral, étape typique d’une progression d’attaque après un accès initial (rappel de la section 74.5), se manifeste rarement par un seul signal isolé suffisamment distinctif pour être détecté sans corrélation.</w:t>
      </w:r>
    </w:p>
    <w:p>
      <w:pPr>
        <w:pStyle w:val="BodyText"/>
      </w:pPr>
      <w:r>
        <w:t xml:space="preserve">📝 Exercice 74.2</w:t>
      </w:r>
    </w:p>
    <w:p>
      <w:pPr>
        <w:pStyle w:val="BodyText"/>
      </w:pPr>
      <w:r>
        <w:t xml:space="preserve">Rédige, en 3 à 5 phrases, une règle d’équipe garantissant que chaque nouvelle règle de corrélation créée dans le SIEM est calibrée progressivement avant d’être configurée pour déclencher une action automatique critique, en t’appuyant sur le risque décrit à la section 74.6.</w:t>
      </w:r>
    </w:p>
    <w:p>
      <w:pPr>
        <w:pStyle w:val="BodyText"/>
      </w:pPr>
      <w:r>
        <w:rPr>
          <w:b/>
          <w:bCs/>
        </w:rPr>
        <w:t xml:space="preserve">Corrigé (exemple de réponse) :</w:t>
      </w:r>
      <w:r>
        <w:t xml:space="preserve"> </w:t>
      </w:r>
      <w:r>
        <w:t xml:space="preserve">Toute nouvelle règle de corrélation sera d’abord déployée en mode d’observation, générant une alerte visible pour l’équipe sécurité sans déclencher d’action automatique critique, pendant une période d’évaluation d’au moins deux semaines. Durant cette période, chaque déclenchement de la règle sera examiné pour déterminer s’il s’agit d’un véritable positif ou d’un faux positif, permettant d’ajuster les seuils et les conditions de la règle avant son passage en mode actif. Une règle ne sera configurée pour déclencher une action automatique critique, comme l’isolement d’un poste, qu’après cette période de calibrage ayant démontré un taux de faux positifs suffisamment faible, évitant qu’une règle mal calibrée n’isole automatiquement un poste légitime et ne perturbe l’activité normale de l’entreprise.</w:t>
      </w:r>
    </w:p>
    <w:bookmarkEnd w:id="1812"/>
    <w:bookmarkStart w:id="1813" w:name="checklist-de-fin-de-chapitre-73"/>
    <w:p>
      <w:pPr>
        <w:pStyle w:val="Heading2"/>
      </w:pPr>
      <w:r>
        <w:t xml:space="preserve">Checklist de fin de chapitre</w:t>
      </w:r>
    </w:p>
    <w:p>
      <w:pPr>
        <w:pStyle w:val="FirstParagraph"/>
      </w:pPr>
      <w:r>
        <w:t xml:space="preserve">☐ Je comprends la différence entre un système de centralisation de logs et un SIEM.</w:t>
      </w:r>
    </w:p>
    <w:p>
      <w:pPr>
        <w:pStyle w:val="BodyText"/>
      </w:pPr>
      <w:r>
        <w:t xml:space="preserve">☐ Je sais expliquer pourquoi une attaque réelle peut passer inaperçue sans corrélation entre événements.</w:t>
      </w:r>
    </w:p>
    <w:p>
      <w:pPr>
        <w:pStyle w:val="BodyText"/>
      </w:pPr>
      <w:r>
        <w:t xml:space="preserve">☐ Je sais construire une règle de corrélation combinant plusieurs sources d’événements.</w:t>
      </w:r>
    </w:p>
    <w:p>
      <w:pPr>
        <w:pStyle w:val="BodyText"/>
      </w:pPr>
      <w:r>
        <w:t xml:space="preserve">☐ Je comprends pourquoi un SIEM s’appuie sur les sources déjà centralisées plutôt que de les remplacer.</w:t>
      </w:r>
    </w:p>
    <w:p>
      <w:pPr>
        <w:pStyle w:val="BodyText"/>
      </w:pPr>
      <w:r>
        <w:t xml:space="preserve">☐ Je sais éviter la fatigue d’alerte lors du calibrage des règles de corrélation.</w:t>
      </w:r>
    </w:p>
    <w:p>
      <w:pPr>
        <w:pStyle w:val="BodyText"/>
      </w:pPr>
      <w:r>
        <w:t xml:space="preserve">☐ Je comprends comment un SIEM formalise concrètement la fonction Détecter du NIST CSF.</w:t>
      </w:r>
    </w:p>
    <w:bookmarkEnd w:id="1813"/>
    <w:bookmarkStart w:id="1814" w:name="faq-73"/>
    <w:p>
      <w:pPr>
        <w:pStyle w:val="Heading2"/>
      </w:pPr>
      <w:r>
        <w:t xml:space="preserve">FAQ</w:t>
      </w:r>
    </w:p>
    <w:p>
      <w:pPr>
        <w:pStyle w:val="FirstParagraph"/>
      </w:pPr>
      <w:r>
        <w:t xml:space="preserve">Un SIEM nécessite-t-il une équipe dédiée pour être réellement efficace ?</w:t>
      </w:r>
    </w:p>
    <w:p>
      <w:pPr>
        <w:pStyle w:val="BodyText"/>
      </w:pPr>
      <w:r>
        <w:t xml:space="preserve">Un SIEM produit d’autant plus de valeur qu’une équipe dispose du temps nécessaire pour créer, calibrer et réviser régulièrement ses règles de corrélation — un SIEM installé sans cet investissement continu en personnel risque de reproduire l’erreur déjà dénoncée d’un outil déployé mais jamais réellement exploité.</w:t>
      </w:r>
    </w:p>
    <w:p>
      <w:pPr>
        <w:pStyle w:val="BodyText"/>
      </w:pPr>
      <w:r>
        <w:t xml:space="preserve">Existe-t-il des règles de corrélation prêtes à l’emploi, ou faut-il toutes les construire soi-même ?</w:t>
      </w:r>
    </w:p>
    <w:p>
      <w:pPr>
        <w:pStyle w:val="BodyText"/>
      </w:pPr>
      <w:r>
        <w:t xml:space="preserve">De nombreux SIEM proposent des bibliothèques de règles préconfigurées pour des scénarios d’attaque courants et connus, réduisant le travail initial — ces règles prêtes à l’emploi méritent néanmoins d’être adaptées et calibrées au contexte réel de chaque organisation, plutôt qu’appliquées telles quelles sans ajustement.</w:t>
      </w:r>
    </w:p>
    <w:p>
      <w:pPr>
        <w:pStyle w:val="BodyText"/>
      </w:pPr>
      <w:r>
        <w:t xml:space="preserve">Un SIEM peut-il détecter une attaque totalement nouvelle, jamais rencontrée auparavant ?</w:t>
      </w:r>
    </w:p>
    <w:p>
      <w:pPr>
        <w:pStyle w:val="BodyText"/>
      </w:pPr>
      <w:r>
        <w:t xml:space="preserve">Les règles de corrélation classiques détectent des schémas déjà identifiés et modélisés ; certains SIEM modernes intègrent également des capacités d’analyse comportementale, cherchant des anomalies statistiques sans schéma prédéfini — une capacité complémentaire, mais qui ne remplace pas l’importance des règles de corrélation ciblées présentées dans ce chapitre.</w:t>
      </w:r>
    </w:p>
    <w:p>
      <w:pPr>
        <w:pStyle w:val="BodyText"/>
      </w:pPr>
      <w:r>
        <w:t xml:space="preserve">Le SIEM remplace-t-il le besoin d’un IDS/IPS, présenté au chapitre suivant ?</w:t>
      </w:r>
    </w:p>
    <w:p>
      <w:pPr>
        <w:pStyle w:val="BodyText"/>
      </w:pPr>
      <w:r>
        <w:t xml:space="preserve">Non, les deux se complètent — un IDS/IPS détecte et peut bloquer des signatures d’attaque au niveau réseau en temps réel, tandis qu’un SIEM corrèle des événements provenant de sources multiples et variées ; un IDS/IPS constitue d’ailleurs souvent lui-même une source d’événements précieuse à intégrer dans un SIEM.</w:t>
      </w:r>
    </w:p>
    <w:bookmarkEnd w:id="1814"/>
    <w:bookmarkStart w:id="1817" w:name="références-et-pour-aller-plus-loin-73"/>
    <w:p>
      <w:pPr>
        <w:pStyle w:val="Heading2"/>
      </w:pPr>
      <w:r>
        <w:t xml:space="preserve">Références et pour aller plus loin</w:t>
      </w:r>
    </w:p>
    <w:p>
      <w:pPr>
        <w:pStyle w:val="Compact"/>
        <w:numPr>
          <w:ilvl w:val="0"/>
          <w:numId w:val="2722"/>
        </w:numPr>
      </w:pPr>
      <w:r>
        <w:t xml:space="preserve">NIST — Guide to Computer Security Log Management (SP 800-92) :</w:t>
      </w:r>
      <w:r>
        <w:t xml:space="preserve"> </w:t>
      </w:r>
      <w:hyperlink r:id="rId1815">
        <w:r>
          <w:rPr>
            <w:rStyle w:val="Hyperlink"/>
          </w:rPr>
          <w:t xml:space="preserve">https://csrc.nist.gov/publications/detail/sp/800-92/final</w:t>
        </w:r>
      </w:hyperlink>
    </w:p>
    <w:p>
      <w:pPr>
        <w:pStyle w:val="Compact"/>
        <w:numPr>
          <w:ilvl w:val="0"/>
          <w:numId w:val="2722"/>
        </w:numPr>
      </w:pPr>
      <w:r>
        <w:t xml:space="preserve">MITRE ATT&amp;CK — Base de connaissance des tactiques et techniques d’attaque :</w:t>
      </w:r>
      <w:r>
        <w:t xml:space="preserve"> </w:t>
      </w:r>
      <w:hyperlink r:id="rId1816">
        <w:r>
          <w:rPr>
            <w:rStyle w:val="Hyperlink"/>
          </w:rPr>
          <w:t xml:space="preserve">https://attack.mitre.org/</w:t>
        </w:r>
      </w:hyperlink>
    </w:p>
    <w:p>
      <w:pPr>
        <w:pStyle w:val="FirstParagraph"/>
      </w:pPr>
      <w:r>
        <w:rPr>
          <w:i/>
          <w:iCs/>
        </w:rPr>
        <w:t xml:space="preserve">Chapitre suivant : IDS/IPS — la détection et la prévention d’intrusion au niveau réseau, une source d’événements précieuse à intégrer directement au SIEM déjà construit dans ce chapitre.</w:t>
      </w:r>
    </w:p>
    <w:p>
      <w:pPr>
        <w:pStyle w:val="BodyText"/>
      </w:pPr>
      <w:r>
        <w:t xml:space="preserve">CHAPITRE 75</w:t>
      </w:r>
    </w:p>
    <w:bookmarkEnd w:id="1817"/>
    <w:bookmarkEnd w:id="1818"/>
    <w:bookmarkStart w:id="1844" w:name="idsips"/>
    <w:p>
      <w:pPr>
        <w:pStyle w:val="Heading1"/>
      </w:pPr>
      <w:r>
        <w:t xml:space="preserve">IDS/IPS</w:t>
      </w:r>
    </w:p>
    <w:p>
      <w:pPr>
        <w:pStyle w:val="FirstParagraph"/>
      </w:pPr>
      <w:r>
        <w:t xml:space="preserve">🎯 Objectif du chapitre</w:t>
      </w:r>
      <w:r>
        <w:t xml:space="preserve"> </w:t>
      </w:r>
      <w:r>
        <w:t xml:space="preserve">Approfondir la détection et la prévention d’intrusion au niveau réseau, déjà mentionnée brièvement au chapitre 66, comme source d’événements précieuse à intégrer directement au SIEM construit au chapitre précédent. À la fin de ce chapitre, tu comprendras la différence entre un IDS et un IPS, la distinction entre détection par signature et par anomalie, le bon positionnement réseau de ces outils, et le risque spécifique de faux positifs en mode de blocage actif.</w:t>
      </w:r>
    </w:p>
    <w:p>
      <w:pPr>
        <w:pStyle w:val="BodyText"/>
      </w:pPr>
      <w:r>
        <w:t xml:space="preserve">🎬 Mise en situation</w:t>
      </w:r>
      <w:r>
        <w:t xml:space="preserve"> </w:t>
      </w:r>
      <w:r>
        <w:t xml:space="preserve">Le SIEM du chapitre 74 corrèle efficacement les événements Active Directory et pare-feu déjà disponibles, mais reste aveugle à une catégorie entière de menaces : les tentatives d’exploitation de vulnérabilités réseau détectables uniquement par l’inspection fine du trafic lui-même — un scan de ports méthodique, une tentative d’exploitation d’une faille connue dans un service exposé, un motif de trafic caractéristique d’un outil d’attaque automatisé.</w:t>
      </w:r>
      <w:r>
        <w:t xml:space="preserve"> </w:t>
      </w:r>
      <w:r>
        <w:t xml:space="preserve">“Notre SIEM corrèle très bien ce qu’on lui donne,”</w:t>
      </w:r>
      <w:r>
        <w:t xml:space="preserve"> </w:t>
      </w:r>
      <w:r>
        <w:t xml:space="preserve">observe la RSSI,</w:t>
      </w:r>
      <w:r>
        <w:t xml:space="preserve"> </w:t>
      </w:r>
      <w:r>
        <w:t xml:space="preserve">“mais on ne lui donne rien sur ce qui se passe vraiment au niveau du réseau lui-même.”</w:t>
      </w:r>
      <w:r>
        <w:t xml:space="preserve"> </w:t>
      </w:r>
      <w:r>
        <w:t xml:space="preserve">Un IDS/IPS comble directement cette lacune, en reprenant le fil laissé en suspens au chapitre 66.</w:t>
      </w:r>
    </w:p>
    <w:bookmarkStart w:id="1819" w:name="X7c09fb1f2d116778c15d1abcf2c08cafe9b6922"/>
    <w:p>
      <w:pPr>
        <w:pStyle w:val="Heading2"/>
      </w:pPr>
      <w:r>
        <w:t xml:space="preserve">75.1 Le problème : une source d’événements réseau manquante</w:t>
      </w:r>
    </w:p>
    <w:p>
      <w:pPr>
        <w:pStyle w:val="FirstParagraph"/>
      </w:pPr>
      <w:r>
        <w:t xml:space="preserve">📌 À retenir — rappel direct de la section 74.4</w:t>
      </w:r>
      <w:r>
        <w:t xml:space="preserve"> </w:t>
      </w:r>
      <w:r>
        <w:t xml:space="preserve">Un SIEM ne peut corréler que les sources qu’il ingère réellement — sans une source dédiée à l’inspection fine du trafic réseau, aucune règle de corrélation, aussi bien conçue soit-elle, ne peut détecter un scan de ports ou une tentative d’exploitation caractéristique au niveau du trafic lui-même. Un IDS/IPS comble exactement cette lacune, en fournissant au SIEM une nouvelle catégorie d’événements qu’aucune des sources déjà intégrées (Active Directory, pare-feu, logs applicatifs) ne peut produire.</w:t>
      </w:r>
    </w:p>
    <w:bookmarkEnd w:id="1819"/>
    <w:bookmarkStart w:id="1820" w:name="X9d80a0b2160be46a82625c7673ca3ed903e8e73"/>
    <w:p>
      <w:pPr>
        <w:pStyle w:val="Heading2"/>
      </w:pPr>
      <w:r>
        <w:t xml:space="preserve">75.2 IDS et IPS : détecter, ou détecter et bloquer</w:t>
      </w:r>
    </w:p>
    <w:p>
      <w:pPr>
        <w:pStyle w:val="FirstParagraph"/>
      </w:pPr>
      <w:r>
        <w:t xml:space="preserve">📌 À retenir</w:t>
      </w:r>
      <w:r>
        <w:t xml:space="preserve"> </w:t>
      </w:r>
      <w:r>
        <w:t xml:space="preserve">Un</w:t>
      </w:r>
      <w:r>
        <w:t xml:space="preserve"> </w:t>
      </w:r>
      <w:r>
        <w:rPr>
          <w:b/>
          <w:bCs/>
        </w:rPr>
        <w:t xml:space="preserve">IDS</w:t>
      </w:r>
      <w:r>
        <w:t xml:space="preserve"> </w:t>
      </w:r>
      <w:r>
        <w:t xml:space="preserve">(Intrusion Detection System) observe passivement le trafic réseau, détecte une activité suspecte et génère une alerte, sans intervenir directement sur ce trafic. Un</w:t>
      </w:r>
      <w:r>
        <w:t xml:space="preserve"> </w:t>
      </w:r>
      <w:r>
        <w:rPr>
          <w:b/>
          <w:bCs/>
        </w:rPr>
        <w:t xml:space="preserve">IPS</w:t>
      </w:r>
      <w:r>
        <w:t xml:space="preserve"> </w:t>
      </w:r>
      <w:r>
        <w:t xml:space="preserve">(Intrusion Prevention System) va plus loin : positionné directement dans le chemin du trafic, il peut bloquer activement une connexion identifiée comme malveillante, en temps réel, avant qu’elle n’atteigne sa destination — un rôle similaire à celui déjà entrevu pour le module IPS intégré au pare-feu Fortinet à la section 66.6.</w:t>
      </w:r>
    </w:p>
    <w:bookmarkEnd w:id="1820"/>
    <w:bookmarkStart w:id="1821" w:name="X5fea3a5a05d9248760f529477e6757f48bfcca8"/>
    <w:p>
      <w:pPr>
        <w:pStyle w:val="Heading2"/>
      </w:pPr>
      <w:r>
        <w:t xml:space="preserve">75.3 Détection par signature et détection par anomalie</w:t>
      </w:r>
    </w:p>
    <w:p>
      <w:pPr>
        <w:pStyle w:val="FirstParagraph"/>
      </w:pPr>
      <w:r>
        <w:t xml:space="preserve">💡 Deux approches complémentaires</w:t>
      </w:r>
      <w:r>
        <w:t xml:space="preserve"> </w:t>
      </w:r>
      <w:r>
        <w:t xml:space="preserve">La</w:t>
      </w:r>
      <w:r>
        <w:t xml:space="preserve"> </w:t>
      </w:r>
      <w:r>
        <w:rPr>
          <w:b/>
          <w:bCs/>
        </w:rPr>
        <w:t xml:space="preserve">détection par signature</w:t>
      </w:r>
      <w:r>
        <w:t xml:space="preserve"> </w:t>
      </w:r>
      <w:r>
        <w:t xml:space="preserve">compare le trafic à une base de motifs d’attaque déjà connus et documentés — rapide et fiable pour des menaces déjà répertoriées, mais incapable de détecter une attaque totalement nouvelle dont aucune signature n’existe encore. La</w:t>
      </w:r>
      <w:r>
        <w:t xml:space="preserve"> </w:t>
      </w:r>
      <w:r>
        <w:rPr>
          <w:b/>
          <w:bCs/>
        </w:rPr>
        <w:t xml:space="preserve">détection par anomalie</w:t>
      </w:r>
      <w:r>
        <w:t xml:space="preserve"> </w:t>
      </w:r>
      <w:r>
        <w:t xml:space="preserve">établit un profil de comportement normal pour le réseau surveillé, et signale tout écart significatif par rapport à ce profil — capable de détecter des menaces inédites, mais avec un risque plus élevé de faux positifs face à un comportement légitime mais inhabituel.</w:t>
      </w:r>
    </w:p>
    <w:bookmarkEnd w:id="1821"/>
    <w:bookmarkStart w:id="1825" w:name="Xb4c25ced3a0b105b5cfbf0246c439e96c914dad"/>
    <w:p>
      <w:pPr>
        <w:pStyle w:val="Heading2"/>
      </w:pPr>
      <w:r>
        <w:t xml:space="preserve">75.4 Positionnement réseau : écoute passive ou en ligne</w:t>
      </w:r>
    </w:p>
    <w:p>
      <w:pPr>
        <w:pStyle w:val="FirstParagraph"/>
      </w:pPr>
      <w:r>
        <w:t xml:space="preserve">💡 Rappel direct du chapitre 64</w:t>
      </w:r>
      <w:r>
        <w:t xml:space="preserve"> </w:t>
      </w:r>
      <w:r>
        <w:t xml:space="preserve">Un IDS, fonctionnant en écoute passive, se positionne généralement via un port mirroring ou un TAP réseau — exactement le même principe déjà rencontré pour la capture de trafic avec Wireshark au chapitre 64, observant une copie du trafic sans jamais l’affecter directement. Un IPS, devant bloquer activement le trafic, doit impérativement être positionné directement dans le chemin de ce trafic (</w:t>
      </w:r>
      <w:r>
        <w:rPr>
          <w:i/>
          <w:iCs/>
        </w:rPr>
        <w:t xml:space="preserve">inline</w:t>
      </w:r>
      <w:r>
        <w:t xml:space="preserve">) — une différence de positionnement qui a des implications importantes en cas de panne de l’équipement lui-même, abordées à la section suivante.</w:t>
      </w:r>
    </w:p>
    <w:p>
      <w:pPr>
        <w:pStyle w:val="CaptionedFigure"/>
      </w:pPr>
      <w:r>
        <w:drawing>
          <wp:inline>
            <wp:extent cx="5334000" cy="1606626"/>
            <wp:effectExtent b="0" l="0" r="0" t="0"/>
            <wp:docPr descr="Diagramme" title="" id="1823" name="Picture"/>
            <a:graphic>
              <a:graphicData uri="http://schemas.openxmlformats.org/drawingml/2006/picture">
                <pic:pic>
                  <pic:nvPicPr>
                    <pic:cNvPr descr="C:/Users/ingja/Desktop/jarvis-starter-kit/livrables/formations/manuel-administration-systeme/assets/diagrams/d-75-ids-ips-diagramme-1.png" id="1824" name="Picture"/>
                    <pic:cNvPicPr>
                      <a:picLocks noChangeArrowheads="1" noChangeAspect="1"/>
                    </pic:cNvPicPr>
                  </pic:nvPicPr>
                  <pic:blipFill>
                    <a:blip r:embed="rId1822"/>
                    <a:stretch>
                      <a:fillRect/>
                    </a:stretch>
                  </pic:blipFill>
                  <pic:spPr bwMode="auto">
                    <a:xfrm>
                      <a:off x="0" y="0"/>
                      <a:ext cx="5334000" cy="1606626"/>
                    </a:xfrm>
                    <a:prstGeom prst="rect">
                      <a:avLst/>
                    </a:prstGeom>
                    <a:noFill/>
                    <a:ln w="9525">
                      <a:noFill/>
                      <a:headEnd/>
                      <a:tailEnd/>
                    </a:ln>
                  </pic:spPr>
                </pic:pic>
              </a:graphicData>
            </a:graphic>
          </wp:inline>
        </w:drawing>
      </w:r>
    </w:p>
    <w:p>
      <w:pPr>
        <w:pStyle w:val="ImageCaption"/>
      </w:pPr>
      <w:r>
        <w:t xml:space="preserve">Diagramme</w:t>
      </w:r>
    </w:p>
    <w:bookmarkEnd w:id="1825"/>
    <w:bookmarkStart w:id="1826" w:name="X96aaa4c48771f56a7e15b0e920e342aa034c020"/>
    <w:p>
      <w:pPr>
        <w:pStyle w:val="Heading2"/>
      </w:pPr>
      <w:r>
        <w:t xml:space="preserve">75.5 Le risque spécifique de l’IPS : bloquer du trafic légitime</w:t>
      </w:r>
    </w:p>
    <w:p>
      <w:pPr>
        <w:pStyle w:val="FirstParagraph"/>
      </w:pPr>
      <w:r>
        <w:t xml:space="preserve">⚠️ Un enjeu plus sévère que pour un simple faux positif d’alerte</w:t>
      </w:r>
      <w:r>
        <w:t xml:space="preserve"> </w:t>
      </w:r>
      <w:r>
        <w:t xml:space="preserve">Un faux positif d’un IDS génère simplement une alerte inutile, examinée puis écartée par un analyste — une nuisance gérable. Un faux positif d’un IPS</w:t>
      </w:r>
      <w:r>
        <w:t xml:space="preserve"> </w:t>
      </w:r>
      <w:r>
        <w:rPr>
          <w:b/>
          <w:bCs/>
        </w:rPr>
        <w:t xml:space="preserve">bloque activement</w:t>
      </w:r>
      <w:r>
        <w:t xml:space="preserve"> </w:t>
      </w:r>
      <w:r>
        <w:t xml:space="preserve">une connexion légitime, avec un impact direct et immédiat sur l’activité de l’entreprise — un risque comparable, mais plus sévère, à celui déjà rencontré pour une politique de pare-feu nouvelle génération trop stricte au chapitre 66. Ce risque justifie une approche prudente et progressive avant d’activer le blocage automatique.</w:t>
      </w:r>
    </w:p>
    <w:bookmarkEnd w:id="1826"/>
    <w:bookmarkStart w:id="1827" w:name="intégrer-les-événements-idsips-au-siem"/>
    <w:p>
      <w:pPr>
        <w:pStyle w:val="Heading2"/>
      </w:pPr>
      <w:r>
        <w:t xml:space="preserve">75.6 Intégrer les événements IDS/IPS au SIEM</w:t>
      </w:r>
    </w:p>
    <w:p>
      <w:pPr>
        <w:pStyle w:val="FirstParagraph"/>
      </w:pPr>
      <w:r>
        <w:t xml:space="preserve">✅ Boucler la boucle avec le chapitre précédent</w:t>
      </w:r>
      <w:r>
        <w:t xml:space="preserve"> </w:t>
      </w:r>
      <w:r>
        <w:t xml:space="preserve">Les événements générés par l’IDS/IPS, une fois intégrés au SIEM déjà construit au chapitre 74, enrichissent considérablement les règles de corrélation existantes — une tentative d’exploitation détectée par l’IDS, immédiatement suivie d’une authentification réussie sur le serveur ciblé, constitue un signal de compromission bien plus fort que chacun des deux événements pris isolément, exactement le même principe de corrélation multi-source déjà établi au chapitre 74.</w:t>
      </w:r>
    </w:p>
    <w:bookmarkEnd w:id="1827"/>
    <w:bookmarkStart w:id="1828" w:name="X578175c0890c9bd9cf43d7b72e9d3597981f65b"/>
    <w:p>
      <w:pPr>
        <w:pStyle w:val="Heading2"/>
      </w:pPr>
      <w:r>
        <w:t xml:space="preserve">75.7 Snort et Suricata : des références open source</w:t>
      </w:r>
    </w:p>
    <w:p>
      <w:pPr>
        <w:pStyle w:val="FirstParagraph"/>
      </w:pPr>
      <w:r>
        <w:t xml:space="preserve">💡 Le même schéma que les autres outils libres déjà rencontrés</w:t>
      </w:r>
      <w:r>
        <w:t xml:space="preserve"> </w:t>
      </w:r>
      <w:r>
        <w:rPr>
          <w:b/>
          <w:bCs/>
        </w:rPr>
        <w:t xml:space="preserve">Snort</w:t>
      </w:r>
      <w:r>
        <w:t xml:space="preserve"> </w:t>
      </w:r>
      <w:r>
        <w:t xml:space="preserve">et</w:t>
      </w:r>
      <w:r>
        <w:t xml:space="preserve"> </w:t>
      </w:r>
      <w:r>
        <w:rPr>
          <w:b/>
          <w:bCs/>
        </w:rPr>
        <w:t xml:space="preserve">Suricata</w:t>
      </w:r>
      <w:r>
        <w:t xml:space="preserve"> </w:t>
      </w:r>
      <w:r>
        <w:t xml:space="preserve">sont deux moteurs IDS/IPS open source largement reconnus et documentés, comparables par leur maturité et leur adoption aux autres outils libres déjà rencontrés dans ce manuel (Zabbix, Prometheus, la pile ELK) — un choix pragmatique et bien établi, particulièrement pour une organisation cherchant une solution éprouvée sans dépendance à un fournisseur commercial spécifique.</w:t>
      </w:r>
    </w:p>
    <w:bookmarkEnd w:id="1828"/>
    <w:bookmarkStart w:id="1829" w:name="X36e04fa1885ea5042b3c25a1f1a83b92531a964"/>
    <w:p>
      <w:pPr>
        <w:pStyle w:val="Heading2"/>
      </w:pPr>
      <w:r>
        <w:t xml:space="preserve">Atelier — Déployer un IDS et l’intégrer au SIEM</w:t>
      </w:r>
    </w:p>
    <w:p>
      <w:pPr>
        <w:pStyle w:val="FirstParagraph"/>
      </w:pPr>
      <w:r>
        <w:t xml:space="preserve">🛠️ Atelier 75 — Combler la lacune identifiée dans le scénario d’ouverture</w:t>
      </w:r>
    </w:p>
    <w:p>
      <w:pPr>
        <w:pStyle w:val="BodyText"/>
      </w:pPr>
      <w:r>
        <w:rPr>
          <w:b/>
          <w:bCs/>
        </w:rPr>
        <w:t xml:space="preserve">Objectif</w:t>
      </w:r>
      <w:r>
        <w:t xml:space="preserve"> </w:t>
      </w:r>
      <w:r>
        <w:t xml:space="preserve">: déployer un IDS en écoute passive entre le pare-feu et le réseau interne, et intégrer ses alertes au SIEM déjà construit au chapitre 74.</w:t>
      </w:r>
    </w:p>
    <w:p>
      <w:pPr>
        <w:pStyle w:val="BodyText"/>
      </w:pPr>
      <w:r>
        <w:rPr>
          <w:b/>
          <w:bCs/>
        </w:rPr>
        <w:t xml:space="preserve">Préparation</w:t>
      </w:r>
      <w:r>
        <w:t xml:space="preserve"> </w:t>
      </w:r>
      <w:r>
        <w:t xml:space="preserve">: un port mirroring configuré sur le commutateur central (rappel du chapitre 65), un IDS basé sur Suricata ou Snort.</w:t>
      </w:r>
    </w:p>
    <w:p>
      <w:pPr>
        <w:pStyle w:val="BodyText"/>
      </w:pPr>
      <w:r>
        <w:rPr>
          <w:b/>
          <w:bCs/>
        </w:rPr>
        <w:t xml:space="preserve">Étapes détaillées</w:t>
      </w:r>
      <w:r>
        <w:t xml:space="preserve"> </w:t>
      </w:r>
      <w:r>
        <w:t xml:space="preserve">:</w:t>
      </w:r>
    </w:p>
    <w:p>
      <w:pPr>
        <w:pStyle w:val="Compact"/>
        <w:numPr>
          <w:ilvl w:val="0"/>
          <w:numId w:val="2723"/>
        </w:numPr>
      </w:pPr>
      <w:r>
        <w:t xml:space="preserve">Configure l’IDS en écoute passive via le port mirroring (section 75.4).</w:t>
      </w:r>
    </w:p>
    <w:p>
      <w:pPr>
        <w:pStyle w:val="Compact"/>
        <w:numPr>
          <w:ilvl w:val="0"/>
          <w:numId w:val="2723"/>
        </w:numPr>
      </w:pPr>
      <w:r>
        <w:t xml:space="preserve">Simule un scan de ports depuis un poste de test et vérifie que l’IDS génère bien une alerte correspondante.</w:t>
      </w:r>
    </w:p>
    <w:p>
      <w:pPr>
        <w:pStyle w:val="Compact"/>
        <w:numPr>
          <w:ilvl w:val="0"/>
          <w:numId w:val="2723"/>
        </w:numPr>
      </w:pPr>
      <w:r>
        <w:t xml:space="preserve">Configure la transmission des alertes de l’IDS vers le SIEM (section 75.6).</w:t>
      </w:r>
    </w:p>
    <w:p>
      <w:pPr>
        <w:pStyle w:val="Compact"/>
        <w:numPr>
          <w:ilvl w:val="0"/>
          <w:numId w:val="2723"/>
        </w:numPr>
      </w:pPr>
      <w:r>
        <w:t xml:space="preserve">Explique pourquoi ce déploiement commence délibérément en mode IDS (écoute passive) plutôt qu’en mode IPS (blocage actif).</w:t>
      </w:r>
    </w:p>
    <w:p>
      <w:pPr>
        <w:pStyle w:val="Compact"/>
        <w:numPr>
          <w:ilvl w:val="0"/>
          <w:numId w:val="2723"/>
        </w:numPr>
      </w:pPr>
      <w:r>
        <w:t xml:space="preserve">Compare ta démarche à la section</w:t>
      </w:r>
      <w:r>
        <w:t xml:space="preserve"> </w:t>
      </w:r>
      <w:r>
        <w:t xml:space="preserve">“Résultat attendu”</w:t>
      </w:r>
      <w:r>
        <w:t xml:space="preserve">.</w:t>
      </w:r>
    </w:p>
    <w:p>
      <w:pPr>
        <w:pStyle w:val="FirstParagraph"/>
      </w:pPr>
      <w:r>
        <w:rPr>
          <w:b/>
          <w:bCs/>
        </w:rPr>
        <w:t xml:space="preserve">Résultat attendu</w:t>
      </w:r>
      <w:r>
        <w:t xml:space="preserve"> </w:t>
      </w:r>
      <w:r>
        <w:t xml:space="preserve">: l’IDS détecte et journalise le scan de ports simulé, sans interrompre aucun trafic — un choix délibéré pour cette première phase de déploiement, permettant d’observer le comportement réel de l’outil sur le trafic normal de l’entreprise, d’ajuster ses règles de détection, et de mesurer son taux de faux positifs avant d’envisager un passage en mode IPS avec blocage actif (section 75.5). L’intégration au SIEM enrichit les règles de corrélation existantes, capables désormais de croiser un événement réseau (détecté par l’IDS) avec un événement d’identité ou applicatif déjà intégré au chapitre 74.</w:t>
      </w:r>
    </w:p>
    <w:p>
      <w:pPr>
        <w:pStyle w:val="BodyText"/>
      </w:pPr>
      <w:r>
        <w:rPr>
          <w:b/>
          <w:bCs/>
        </w:rPr>
        <w:t xml:space="preserve">Dépannage</w:t>
      </w:r>
      <w:r>
        <w:t xml:space="preserve"> </w:t>
      </w:r>
      <w:r>
        <w:t xml:space="preserve">: si l’IDS ne détecte aucun événement malgré le scan de test effectué, vérifie que le port mirroring est bien configuré pour capturer le trafic pertinent — exactement le même type d’erreur de positionnement déjà rencontré pour une capture Wireshark lancée sur la mauvaise interface au chapitre 64.</w:t>
      </w:r>
    </w:p>
    <w:bookmarkEnd w:id="1829"/>
    <w:bookmarkStart w:id="1830" w:name="erreurs-fréquentes-74"/>
    <w:p>
      <w:pPr>
        <w:pStyle w:val="Heading2"/>
      </w:pPr>
      <w:r>
        <w:t xml:space="preserve">Erreurs fréquentes</w:t>
      </w:r>
    </w:p>
    <w:p>
      <w:pPr>
        <w:pStyle w:val="FirstParagraph"/>
      </w:pPr>
      <w:r>
        <w:t xml:space="preserve">⚠️ Erreur n°1 — déployer directement en mode IPS inline sans période d’observation préalable</w:t>
      </w:r>
      <w:r>
        <w:t xml:space="preserve"> </w:t>
      </w:r>
      <w:r>
        <w:t xml:space="preserve">Rappel de la section 75.5 : un risque élevé de bloquer du trafic légitime avant d’avoir eu l’occasion de calibrer correctement les règles de détection sur le trafic réel de l’organisation.</w:t>
      </w:r>
    </w:p>
    <w:p>
      <w:pPr>
        <w:pStyle w:val="BodyText"/>
      </w:pPr>
      <w:r>
        <w:t xml:space="preserve">⚠️ Erreur n°2 — des signatures d’attaque jamais mises à jour</w:t>
      </w:r>
      <w:r>
        <w:t xml:space="preserve"> </w:t>
      </w:r>
      <w:r>
        <w:t xml:space="preserve">Un IDS/IPS reposant sur une base de signatures obsolète ne détecte pas les menaces documentées après sa dernière mise à jour, offrant une fausse impression de protection contre des menaces pourtant déjà bien connues.</w:t>
      </w:r>
    </w:p>
    <w:p>
      <w:pPr>
        <w:pStyle w:val="BodyText"/>
      </w:pPr>
      <w:r>
        <w:t xml:space="preserve">⚠️ Erreur n°3 — un IDS positionné à un endroit du réseau où il ne voit pas le trafic pertinent</w:t>
      </w:r>
      <w:r>
        <w:t xml:space="preserve"> </w:t>
      </w:r>
      <w:r>
        <w:t xml:space="preserve">Rappel de l’atelier : un mauvais positionnement réseau, exactement le même type d’erreur déjà rencontré pour une capture réseau lancée sur la mauvaise interface au chapitre 64, rend l’outil totalement inefficace malgré une configuration par ailleurs correcte.</w:t>
      </w:r>
    </w:p>
    <w:bookmarkEnd w:id="1830"/>
    <w:bookmarkStart w:id="1831" w:name="X1f48be85279609732b4f7ccca40bbf5ad0f7f4c"/>
    <w:p>
      <w:pPr>
        <w:pStyle w:val="Heading2"/>
      </w:pPr>
      <w:r>
        <w:t xml:space="preserve">Diagnostiquer un IDS silencieux malgré une attaque de test</w:t>
      </w:r>
    </w:p>
    <w:p>
      <w:pPr>
        <w:pStyle w:val="FirstParagraph"/>
      </w:pPr>
      <w:r>
        <w:t xml:space="preserve">🩺 Symptôme : une attaque de test ne déclenche aucune alerte sur l’IDS, malgré un déploiement apparemment fonctionnel</w:t>
      </w:r>
    </w:p>
    <w:p>
      <w:pPr>
        <w:pStyle w:val="Compact"/>
        <w:numPr>
          <w:ilvl w:val="0"/>
          <w:numId w:val="2724"/>
        </w:numPr>
      </w:pPr>
      <w:r>
        <w:rPr>
          <w:b/>
          <w:bCs/>
        </w:rPr>
        <w:t xml:space="preserve">Diagnostic</w:t>
      </w:r>
      <w:r>
        <w:t xml:space="preserve"> </w:t>
      </w:r>
      <w:r>
        <w:t xml:space="preserve">: vérifier, dans l’ordre, si le positionnement réseau (port mirroring ou TAP) capture bien le trafic pertinent, si les signatures utilisées couvrent le type d’attaque testé, et si le moteur IDS lui-même est actif et fonctionnel.</w:t>
      </w:r>
    </w:p>
    <w:p>
      <w:pPr>
        <w:pStyle w:val="Compact"/>
        <w:numPr>
          <w:ilvl w:val="0"/>
          <w:numId w:val="2724"/>
        </w:numPr>
      </w:pPr>
      <w:r>
        <w:rPr>
          <w:b/>
          <w:bCs/>
        </w:rPr>
        <w:t xml:space="preserve">Comment vérifier</w:t>
      </w:r>
      <w:r>
        <w:t xml:space="preserve"> </w:t>
      </w:r>
      <w:r>
        <w:t xml:space="preserve">: capturer directement le trafic sur l’interface d’écoute de l’IDS avec Wireshark (chapitre 64) pendant le test, confirmant si le trafic attendu atteint réellement l’outil.</w:t>
      </w:r>
    </w:p>
    <w:p>
      <w:pPr>
        <w:pStyle w:val="Compact"/>
        <w:numPr>
          <w:ilvl w:val="0"/>
          <w:numId w:val="2724"/>
        </w:numPr>
      </w:pPr>
      <w:r>
        <w:rPr>
          <w:b/>
          <w:bCs/>
        </w:rPr>
        <w:t xml:space="preserve">Résolution</w:t>
      </w:r>
      <w:r>
        <w:t xml:space="preserve"> </w:t>
      </w:r>
      <w:r>
        <w:t xml:space="preserve">: la cause la plus fréquente reste un positionnement réseau incorrect, suivie d’une base de signatures obsolète ne couvrant pas le type d’attaque testé.</w:t>
      </w:r>
    </w:p>
    <w:bookmarkEnd w:id="1831"/>
    <w:bookmarkStart w:id="1832" w:name="en-entreprise-74"/>
    <w:p>
      <w:pPr>
        <w:pStyle w:val="Heading2"/>
      </w:pPr>
      <w:r>
        <w:t xml:space="preserve">En entreprise</w:t>
      </w:r>
    </w:p>
    <w:p>
      <w:pPr>
        <w:pStyle w:val="Compact"/>
        <w:numPr>
          <w:ilvl w:val="0"/>
          <w:numId w:val="2725"/>
        </w:numPr>
      </w:pPr>
      <w:r>
        <w:rPr>
          <w:b/>
          <w:bCs/>
        </w:rPr>
        <w:t xml:space="preserve">Bonne pratique répandue</w:t>
      </w:r>
      <w:r>
        <w:t xml:space="preserve"> </w:t>
      </w:r>
      <w:r>
        <w:t xml:space="preserve">: toujours débuter le déploiement d’un IPS par une phase d’observation en mode IDS, mesurant le taux de faux positifs réel sur le trafic de l’organisation avant d’activer un blocage automatique.</w:t>
      </w:r>
    </w:p>
    <w:p>
      <w:pPr>
        <w:pStyle w:val="Compact"/>
        <w:numPr>
          <w:ilvl w:val="0"/>
          <w:numId w:val="2725"/>
        </w:numPr>
      </w:pPr>
      <w:r>
        <w:rPr>
          <w:b/>
          <w:bCs/>
        </w:rPr>
        <w:t xml:space="preserve">Bonne pratique répandue</w:t>
      </w:r>
      <w:r>
        <w:t xml:space="preserve"> </w:t>
      </w:r>
      <w:r>
        <w:t xml:space="preserve">: maintenir les signatures d’attaque à jour selon un calendrier régulier, au même titre que les mises à jour de sécurité déjà couvertes pour les systèmes d’exploitation dans ce manuel.</w:t>
      </w:r>
    </w:p>
    <w:p>
      <w:pPr>
        <w:pStyle w:val="Compact"/>
        <w:numPr>
          <w:ilvl w:val="0"/>
          <w:numId w:val="2725"/>
        </w:numPr>
      </w:pPr>
      <w:r>
        <w:rPr>
          <w:b/>
          <w:bCs/>
        </w:rPr>
        <w:t xml:space="preserve">Erreur classique observée</w:t>
      </w:r>
      <w:r>
        <w:t xml:space="preserve"> </w:t>
      </w:r>
      <w:r>
        <w:t xml:space="preserve">: un IPS activé en mode blocage dès son installation initiale, provoquant l’interruption d’une application métier critique quelques heures plus tard à cause d’un faux positif — un incident qui aurait été évité par la phase d’observation préalable recommandée à la section 75.5.</w:t>
      </w:r>
    </w:p>
    <w:bookmarkEnd w:id="1832"/>
    <w:bookmarkStart w:id="1833" w:name="entretien-technique-74"/>
    <w:p>
      <w:pPr>
        <w:pStyle w:val="Heading2"/>
      </w:pPr>
      <w:r>
        <w:t xml:space="preserve">Entretien technique</w:t>
      </w:r>
    </w:p>
    <w:p>
      <w:pPr>
        <w:pStyle w:val="FirstParagraph"/>
      </w:pPr>
      <w:r>
        <w:t xml:space="preserve">💼 Questions fréquemment posées en entretien</w:t>
      </w:r>
    </w:p>
    <w:p>
      <w:pPr>
        <w:pStyle w:val="BodyText"/>
      </w:pPr>
      <w:r>
        <w:rPr>
          <w:b/>
          <w:bCs/>
        </w:rPr>
        <w:t xml:space="preserve">Q1.</w:t>
      </w:r>
      <w:r>
        <w:rPr>
          <w:b/>
          <w:bCs/>
        </w:rPr>
        <w:t xml:space="preserve"> </w:t>
      </w:r>
      <w:r>
        <w:rPr>
          <w:b/>
          <w:bCs/>
        </w:rPr>
        <w:t xml:space="preserve">“Quelle est la différence fondamentale entre un IDS et un IPS ?”</w:t>
      </w:r>
      <w:r>
        <w:t xml:space="preserve"> </w:t>
      </w:r>
      <w:r>
        <w:t xml:space="preserve">Réponse attendue : un IDS observe passivement le trafic et génère une alerte sans intervenir ; un IPS, positionné directement dans le chemin du trafic, peut bloquer activement une connexion identifiée comme malveillante en temps réel.</w:t>
      </w:r>
    </w:p>
    <w:p>
      <w:pPr>
        <w:pStyle w:val="BodyText"/>
      </w:pPr>
      <w:r>
        <w:rPr>
          <w:b/>
          <w:bCs/>
        </w:rPr>
        <w:t xml:space="preserve">Q2.</w:t>
      </w:r>
      <w:r>
        <w:rPr>
          <w:b/>
          <w:bCs/>
        </w:rPr>
        <w:t xml:space="preserve"> </w:t>
      </w:r>
      <w:r>
        <w:rPr>
          <w:b/>
          <w:bCs/>
        </w:rPr>
        <w:t xml:space="preserve">“Quelle est la différence entre la détection par signature et la détection par anomalie ?”</w:t>
      </w:r>
      <w:r>
        <w:t xml:space="preserve"> </w:t>
      </w:r>
      <w:r>
        <w:t xml:space="preserve">Réponse attendue : la détection par signature compare le trafic à des motifs d’attaque déjà connus, rapide et fiable mais limitée aux menaces déjà documentées ; la détection par anomalie signale tout écart par rapport à un profil de comportement normal établi, capable de détecter des menaces inédites mais avec un risque plus élevé de faux positifs.</w:t>
      </w:r>
    </w:p>
    <w:p>
      <w:pPr>
        <w:pStyle w:val="BodyText"/>
      </w:pPr>
      <w:r>
        <w:rPr>
          <w:b/>
          <w:bCs/>
        </w:rPr>
        <w:t xml:space="preserve">Q3.</w:t>
      </w:r>
      <w:r>
        <w:rPr>
          <w:b/>
          <w:bCs/>
        </w:rPr>
        <w:t xml:space="preserve"> </w:t>
      </w:r>
      <w:r>
        <w:rPr>
          <w:b/>
          <w:bCs/>
        </w:rPr>
        <w:t xml:space="preserve">“Pourquoi recommande-t-on de déployer un nouvel IPS d’abord en mode d’observation, plutôt qu’en mode de blocage actif dès le départ ?”</w:t>
      </w:r>
      <w:r>
        <w:t xml:space="preserve"> </w:t>
      </w:r>
      <w:r>
        <w:t xml:space="preserve">Réponse attendue : un faux positif en mode blocage interrompt une connexion légitime avec un impact direct sur l’activité de l’entreprise ; une phase d’observation préalable permet de calibrer les règles et de mesurer le taux de faux positifs réel avant d’accepter le risque d’un blocage automatique.</w:t>
      </w:r>
    </w:p>
    <w:bookmarkEnd w:id="1833"/>
    <w:bookmarkStart w:id="1834" w:name="X9c93300892b96c920d8f0c17d23431595fc413f"/>
    <w:p>
      <w:pPr>
        <w:pStyle w:val="Heading2"/>
      </w:pPr>
      <w:r>
        <w:t xml:space="preserve">Optimisation, sécurité et maintenabilité — les réflexes dès ce chapitre</w:t>
      </w:r>
    </w:p>
    <w:p>
      <w:pPr>
        <w:pStyle w:val="FirstParagraph"/>
      </w:pPr>
      <w:r>
        <w:t xml:space="preserve">🔒 Sécurité</w:t>
      </w:r>
      <w:r>
        <w:t xml:space="preserve"> </w:t>
      </w:r>
      <w:r>
        <w:t xml:space="preserve">Intègre systématiquement les événements de l’IDS/IPS au SIEM déjà en place — leur valeur de détection augmente significativement lorsqu’ils sont corrélés avec d’autres sources, plutôt que consultés isolément.</w:t>
      </w:r>
    </w:p>
    <w:p>
      <w:pPr>
        <w:pStyle w:val="BodyText"/>
      </w:pPr>
      <w:r>
        <w:t xml:space="preserve">✅ Maintenabilité</w:t>
      </w:r>
      <w:r>
        <w:t xml:space="preserve"> </w:t>
      </w:r>
      <w:r>
        <w:t xml:space="preserve">Planifie une mise à jour régulière des signatures d’attaque, avec une vérification périodique que ce processus fonctionne réellement — une base de signatures silencieusement obsolète offre une fausse impression de protection.</w:t>
      </w:r>
    </w:p>
    <w:p>
      <w:pPr>
        <w:pStyle w:val="BodyText"/>
      </w:pPr>
      <w:r>
        <w:t xml:space="preserve">🚀 Performance</w:t>
      </w:r>
      <w:r>
        <w:t xml:space="preserve"> </w:t>
      </w:r>
      <w:r>
        <w:t xml:space="preserve">Un IPS en ligne introduit une latence supplémentaire sur le trafic qu’il inspecte, particulièrement sous forte charge — dimensionne l’équipement en fonction du volume de trafic réel attendu, pour éviter qu’il ne devienne lui-même un goulot d’étranglement sur des liens à fort débit.</w:t>
      </w:r>
    </w:p>
    <w:bookmarkEnd w:id="1834"/>
    <w:bookmarkStart w:id="1835" w:name="résumé-du-chapitre-74"/>
    <w:p>
      <w:pPr>
        <w:pStyle w:val="Heading2"/>
      </w:pPr>
      <w:r>
        <w:t xml:space="preserve">Résumé du chapitre</w:t>
      </w:r>
    </w:p>
    <w:p>
      <w:pPr>
        <w:pStyle w:val="Compact"/>
        <w:numPr>
          <w:ilvl w:val="0"/>
          <w:numId w:val="2726"/>
        </w:numPr>
      </w:pPr>
      <w:r>
        <w:t xml:space="preserve">Un SIEM ne peut corréler que les sources qu’il ingère ; un IDS/IPS fournit une source d’événements réseau indispensable, absente des sources déjà intégrées au chapitre 74.</w:t>
      </w:r>
    </w:p>
    <w:p>
      <w:pPr>
        <w:pStyle w:val="Compact"/>
        <w:numPr>
          <w:ilvl w:val="0"/>
          <w:numId w:val="2726"/>
        </w:numPr>
      </w:pPr>
      <w:r>
        <w:t xml:space="preserve">Un IDS observe passivement et alerte ; un IPS, positionné en ligne, peut bloquer activement le trafic malveillant en temps réel.</w:t>
      </w:r>
    </w:p>
    <w:p>
      <w:pPr>
        <w:pStyle w:val="Compact"/>
        <w:numPr>
          <w:ilvl w:val="0"/>
          <w:numId w:val="2726"/>
        </w:numPr>
      </w:pPr>
      <w:r>
        <w:t xml:space="preserve">La détection par signature couvre les menaces connues avec fiabilité ; la détection par anomalie couvre des menaces inédites avec un risque de faux positifs plus élevé.</w:t>
      </w:r>
    </w:p>
    <w:p>
      <w:pPr>
        <w:pStyle w:val="Compact"/>
        <w:numPr>
          <w:ilvl w:val="0"/>
          <w:numId w:val="2726"/>
        </w:numPr>
      </w:pPr>
      <w:r>
        <w:t xml:space="preserve">Un IDS se positionne en écoute passive, un IPS doit impérativement se positionner dans le chemin direct du trafic.</w:t>
      </w:r>
    </w:p>
    <w:p>
      <w:pPr>
        <w:pStyle w:val="Compact"/>
        <w:numPr>
          <w:ilvl w:val="0"/>
          <w:numId w:val="2726"/>
        </w:numPr>
      </w:pPr>
      <w:r>
        <w:t xml:space="preserve">Un faux positif en mode IPS bloque activement du trafic légitime, un risque plus sévère qu’une simple alerte inutile.</w:t>
      </w:r>
    </w:p>
    <w:p>
      <w:pPr>
        <w:pStyle w:val="Compact"/>
        <w:numPr>
          <w:ilvl w:val="0"/>
          <w:numId w:val="2726"/>
        </w:numPr>
      </w:pPr>
      <w:r>
        <w:t xml:space="preserve">Les événements IDS/IPS, intégrés au SIEM, enrichissent significativement les règles de corrélation existantes.</w:t>
      </w:r>
    </w:p>
    <w:bookmarkEnd w:id="1835"/>
    <w:bookmarkStart w:id="1836" w:name="quiz-74"/>
    <w:p>
      <w:pPr>
        <w:pStyle w:val="Heading2"/>
      </w:pPr>
      <w:r>
        <w:t xml:space="preserve">Quiz</w:t>
      </w:r>
    </w:p>
    <w:p>
      <w:pPr>
        <w:pStyle w:val="FirstParagraph"/>
      </w:pPr>
      <w:r>
        <w:t xml:space="preserve">📝 QCM (une seule bonne réponse par question)</w:t>
      </w:r>
    </w:p>
    <w:p>
      <w:pPr>
        <w:pStyle w:val="Compact"/>
        <w:numPr>
          <w:ilvl w:val="0"/>
          <w:numId w:val="2727"/>
        </w:numPr>
      </w:pPr>
      <w:r>
        <w:t xml:space="preserve">Un IPS, contrairement à un IDS, peut :</w:t>
      </w:r>
    </w:p>
    <w:p>
      <w:pPr>
        <w:pStyle w:val="Compact"/>
        <w:numPr>
          <w:ilvl w:val="1"/>
          <w:numId w:val="2728"/>
        </w:numPr>
      </w:pPr>
    </w:p>
    <w:p>
      <w:pPr>
        <w:pStyle w:val="Compact"/>
        <w:numPr>
          <w:ilvl w:val="2"/>
          <w:numId w:val="2729"/>
        </w:numPr>
      </w:pPr>
      <w:r>
        <w:t xml:space="preserve">Uniquement générer des alertes sans intervenir sur le trafic</w:t>
      </w:r>
    </w:p>
    <w:p>
      <w:pPr>
        <w:pStyle w:val="Compact"/>
        <w:numPr>
          <w:ilvl w:val="1"/>
          <w:numId w:val="2728"/>
        </w:numPr>
      </w:pPr>
    </w:p>
    <w:p>
      <w:pPr>
        <w:pStyle w:val="Compact"/>
        <w:numPr>
          <w:ilvl w:val="2"/>
          <w:numId w:val="2730"/>
        </w:numPr>
      </w:pPr>
      <w:r>
        <w:t xml:space="preserve">Bloquer activement une connexion identifiée comme malveillante en temps réel</w:t>
      </w:r>
    </w:p>
    <w:p>
      <w:pPr>
        <w:pStyle w:val="Compact"/>
        <w:numPr>
          <w:ilvl w:val="1"/>
          <w:numId w:val="2728"/>
        </w:numPr>
      </w:pPr>
    </w:p>
    <w:p>
      <w:pPr>
        <w:pStyle w:val="Compact"/>
        <w:numPr>
          <w:ilvl w:val="2"/>
          <w:numId w:val="2731"/>
        </w:numPr>
      </w:pPr>
      <w:r>
        <w:t xml:space="preserve">Fonctionner uniquement en écoute passive</w:t>
      </w:r>
    </w:p>
    <w:p>
      <w:pPr>
        <w:pStyle w:val="Compact"/>
        <w:numPr>
          <w:ilvl w:val="1"/>
          <w:numId w:val="2728"/>
        </w:numPr>
      </w:pPr>
    </w:p>
    <w:p>
      <w:pPr>
        <w:pStyle w:val="Compact"/>
        <w:numPr>
          <w:ilvl w:val="2"/>
          <w:numId w:val="2732"/>
        </w:numPr>
      </w:pPr>
      <w:r>
        <w:t xml:space="preserve">Remplacer complètement le besoin d’un pare-feu</w:t>
      </w:r>
    </w:p>
    <w:p>
      <w:pPr>
        <w:pStyle w:val="Compact"/>
        <w:numPr>
          <w:ilvl w:val="0"/>
          <w:numId w:val="2727"/>
        </w:numPr>
      </w:pPr>
      <w:r>
        <w:t xml:space="preserve">La détection par anomalie, comparée à la détection par signature, présente l’avantage de :</w:t>
      </w:r>
    </w:p>
    <w:p>
      <w:pPr>
        <w:pStyle w:val="Compact"/>
        <w:numPr>
          <w:ilvl w:val="1"/>
          <w:numId w:val="2733"/>
        </w:numPr>
      </w:pPr>
    </w:p>
    <w:p>
      <w:pPr>
        <w:pStyle w:val="Compact"/>
        <w:numPr>
          <w:ilvl w:val="2"/>
          <w:numId w:val="2734"/>
        </w:numPr>
      </w:pPr>
      <w:r>
        <w:t xml:space="preserve">Ne jamais générer de faux positif</w:t>
      </w:r>
    </w:p>
    <w:p>
      <w:pPr>
        <w:pStyle w:val="Compact"/>
        <w:numPr>
          <w:ilvl w:val="1"/>
          <w:numId w:val="2733"/>
        </w:numPr>
      </w:pPr>
    </w:p>
    <w:p>
      <w:pPr>
        <w:pStyle w:val="Compact"/>
        <w:numPr>
          <w:ilvl w:val="2"/>
          <w:numId w:val="2735"/>
        </w:numPr>
      </w:pPr>
      <w:r>
        <w:t xml:space="preserve">Pouvoir détecter des menaces inédites, sans signature préexistante</w:t>
      </w:r>
    </w:p>
    <w:p>
      <w:pPr>
        <w:pStyle w:val="Compact"/>
        <w:numPr>
          <w:ilvl w:val="1"/>
          <w:numId w:val="2733"/>
        </w:numPr>
      </w:pPr>
    </w:p>
    <w:p>
      <w:pPr>
        <w:pStyle w:val="Compact"/>
        <w:numPr>
          <w:ilvl w:val="2"/>
          <w:numId w:val="2736"/>
        </w:numPr>
      </w:pPr>
      <w:r>
        <w:t xml:space="preserve">Fonctionner uniquement sur du trafic chiffré</w:t>
      </w:r>
    </w:p>
    <w:p>
      <w:pPr>
        <w:pStyle w:val="Compact"/>
        <w:numPr>
          <w:ilvl w:val="1"/>
          <w:numId w:val="2733"/>
        </w:numPr>
      </w:pPr>
    </w:p>
    <w:p>
      <w:pPr>
        <w:pStyle w:val="Compact"/>
        <w:numPr>
          <w:ilvl w:val="2"/>
          <w:numId w:val="2737"/>
        </w:numPr>
      </w:pPr>
      <w:r>
        <w:t xml:space="preserve">Ne nécessiter aucune mise à jour</w:t>
      </w:r>
    </w:p>
    <w:p>
      <w:pPr>
        <w:pStyle w:val="Compact"/>
        <w:numPr>
          <w:ilvl w:val="0"/>
          <w:numId w:val="2727"/>
        </w:numPr>
      </w:pPr>
      <w:r>
        <w:t xml:space="preserve">Il est recommandé de déployer un nouvel IPS :</w:t>
      </w:r>
    </w:p>
    <w:p>
      <w:pPr>
        <w:pStyle w:val="Compact"/>
        <w:numPr>
          <w:ilvl w:val="1"/>
          <w:numId w:val="2738"/>
        </w:numPr>
      </w:pPr>
    </w:p>
    <w:p>
      <w:pPr>
        <w:pStyle w:val="Compact"/>
        <w:numPr>
          <w:ilvl w:val="2"/>
          <w:numId w:val="2739"/>
        </w:numPr>
      </w:pPr>
      <w:r>
        <w:t xml:space="preserve">Directement en mode blocage actif, pour une protection immédiate maximale</w:t>
      </w:r>
    </w:p>
    <w:p>
      <w:pPr>
        <w:pStyle w:val="Compact"/>
        <w:numPr>
          <w:ilvl w:val="1"/>
          <w:numId w:val="2738"/>
        </w:numPr>
      </w:pPr>
    </w:p>
    <w:p>
      <w:pPr>
        <w:pStyle w:val="Compact"/>
        <w:numPr>
          <w:ilvl w:val="2"/>
          <w:numId w:val="2740"/>
        </w:numPr>
      </w:pPr>
      <w:r>
        <w:t xml:space="preserve">D’abord en mode d’observation, avant d’activer le blocage automatique</w:t>
      </w:r>
    </w:p>
    <w:p>
      <w:pPr>
        <w:pStyle w:val="Compact"/>
        <w:numPr>
          <w:ilvl w:val="1"/>
          <w:numId w:val="2738"/>
        </w:numPr>
      </w:pPr>
    </w:p>
    <w:p>
      <w:pPr>
        <w:pStyle w:val="Compact"/>
        <w:numPr>
          <w:ilvl w:val="2"/>
          <w:numId w:val="2741"/>
        </w:numPr>
      </w:pPr>
      <w:r>
        <w:t xml:space="preserve">Uniquement sur les réseaux sans trafic important</w:t>
      </w:r>
    </w:p>
    <w:p>
      <w:pPr>
        <w:pStyle w:val="Compact"/>
        <w:numPr>
          <w:ilvl w:val="1"/>
          <w:numId w:val="2738"/>
        </w:numPr>
      </w:pPr>
    </w:p>
    <w:p>
      <w:pPr>
        <w:pStyle w:val="Compact"/>
        <w:numPr>
          <w:ilvl w:val="2"/>
          <w:numId w:val="2742"/>
        </w:numPr>
      </w:pPr>
      <w:r>
        <w:t xml:space="preserve">Sans jamais l’intégrer à un SIEM</w:t>
      </w:r>
    </w:p>
    <w:p>
      <w:pPr>
        <w:pStyle w:val="FirstParagraph"/>
      </w:pPr>
      <w:r>
        <w:rPr>
          <w:b/>
          <w:bCs/>
        </w:rPr>
        <w:t xml:space="preserve">Corrigé</w:t>
      </w:r>
      <w:r>
        <w:t xml:space="preserve"> </w:t>
      </w:r>
      <w:r>
        <w:t xml:space="preserve">: 1-b, 2-b, 3-b.</w:t>
      </w:r>
    </w:p>
    <w:p>
      <w:pPr>
        <w:pStyle w:val="BodyText"/>
      </w:pPr>
      <w:r>
        <w:t xml:space="preserve">📝 Vrai ou Faux</w:t>
      </w:r>
    </w:p>
    <w:p>
      <w:pPr>
        <w:pStyle w:val="Compact"/>
        <w:numPr>
          <w:ilvl w:val="0"/>
          <w:numId w:val="2743"/>
        </w:numPr>
      </w:pPr>
      <w:r>
        <w:t xml:space="preserve">Un IDS peut fonctionner en écoute passive, de la même façon qu’une capture Wireshark via port mirroring. —</w:t>
      </w:r>
      <w:r>
        <w:t xml:space="preserve"> </w:t>
      </w:r>
      <w:r>
        <w:rPr>
          <w:b/>
          <w:bCs/>
        </w:rPr>
        <w:t xml:space="preserve">Vrai</w:t>
      </w:r>
      <w:r>
        <w:t xml:space="preserve"> </w:t>
      </w:r>
      <w:r>
        <w:t xml:space="preserve">(section 75.4).</w:t>
      </w:r>
    </w:p>
    <w:p>
      <w:pPr>
        <w:pStyle w:val="Compact"/>
        <w:numPr>
          <w:ilvl w:val="0"/>
          <w:numId w:val="2743"/>
        </w:numPr>
      </w:pPr>
      <w:r>
        <w:t xml:space="preserve">Un faux positif d’un IPS a généralement le même impact qu’un faux positif d’un IDS. —</w:t>
      </w:r>
      <w:r>
        <w:t xml:space="preserve"> </w:t>
      </w:r>
      <w:r>
        <w:rPr>
          <w:b/>
          <w:bCs/>
        </w:rPr>
        <w:t xml:space="preserve">Faux</w:t>
      </w:r>
      <w:r>
        <w:t xml:space="preserve"> </w:t>
      </w:r>
      <w:r>
        <w:t xml:space="preserve">(section 75.5, l’IPS bloque activement le trafic).</w:t>
      </w:r>
    </w:p>
    <w:p>
      <w:pPr>
        <w:pStyle w:val="Compact"/>
        <w:numPr>
          <w:ilvl w:val="0"/>
          <w:numId w:val="2743"/>
        </w:numPr>
      </w:pPr>
      <w:r>
        <w:t xml:space="preserve">Une base de signatures d’attaque jamais mise à jour continue de détecter efficacement les nouvelles menaces. —</w:t>
      </w:r>
      <w:r>
        <w:t xml:space="preserve"> </w:t>
      </w:r>
      <w:r>
        <w:rPr>
          <w:b/>
          <w:bCs/>
        </w:rPr>
        <w:t xml:space="preserve">Faux</w:t>
      </w:r>
      <w:r>
        <w:t xml:space="preserve"> </w:t>
      </w:r>
      <w:r>
        <w:t xml:space="preserve">(section</w:t>
      </w:r>
      <w:r>
        <w:t xml:space="preserve"> </w:t>
      </w:r>
      <w:r>
        <w:t xml:space="preserve">“Erreur n°2”</w:t>
      </w:r>
      <w:r>
        <w:t xml:space="preserve">).</w:t>
      </w:r>
    </w:p>
    <w:p>
      <w:pPr>
        <w:pStyle w:val="Compact"/>
        <w:numPr>
          <w:ilvl w:val="0"/>
          <w:numId w:val="2743"/>
        </w:numPr>
      </w:pPr>
      <w:r>
        <w:t xml:space="preserve">Les événements générés par un IDS/IPS peuvent enrichir les règles de corrélation d’un SIEM déjà en place. —</w:t>
      </w:r>
      <w:r>
        <w:t xml:space="preserve"> </w:t>
      </w:r>
      <w:r>
        <w:rPr>
          <w:b/>
          <w:bCs/>
        </w:rPr>
        <w:t xml:space="preserve">Vrai</w:t>
      </w:r>
      <w:r>
        <w:t xml:space="preserve"> </w:t>
      </w:r>
      <w:r>
        <w:t xml:space="preserve">(section 75.6).</w:t>
      </w:r>
    </w:p>
    <w:p>
      <w:pPr>
        <w:pStyle w:val="FirstParagraph"/>
      </w:pPr>
      <w:r>
        <w:t xml:space="preserve">📝 Questions ouvertes</w:t>
      </w:r>
    </w:p>
    <w:p>
      <w:pPr>
        <w:pStyle w:val="Compact"/>
        <w:numPr>
          <w:ilvl w:val="0"/>
          <w:numId w:val="2744"/>
        </w:numPr>
      </w:pPr>
      <w:r>
        <w:t xml:space="preserve">Explique pourquoi le SIEM du chapitre 74, aussi bien configuré soit-il, ne pouvait pas détecter le type de menace identifié dans le scénario d’ouverture de ce chapitre.</w:t>
      </w:r>
    </w:p>
    <w:p>
      <w:pPr>
        <w:pStyle w:val="Compact"/>
        <w:numPr>
          <w:ilvl w:val="0"/>
          <w:numId w:val="2744"/>
        </w:numPr>
      </w:pPr>
      <w:r>
        <w:t xml:space="preserve">Un collègue, pressé par une exigence de sécurité urgente, souhaite activer immédiatement le mode blocage de l’IPS nouvellement déployé, sans phase d’observation préalable. Explique les risques et propose une alternative.</w:t>
      </w:r>
    </w:p>
    <w:p>
      <w:pPr>
        <w:pStyle w:val="FirstParagraph"/>
      </w:pPr>
      <w:r>
        <w:rPr>
          <w:b/>
          <w:bCs/>
        </w:rPr>
        <w:t xml:space="preserve">Corrigé 1</w:t>
      </w:r>
      <w:r>
        <w:t xml:space="preserve"> </w:t>
      </w:r>
      <w:r>
        <w:t xml:space="preserve">: le SIEM du chapitre 74 corrèle les événements provenant des sources qu’il ingère réellement — Active Directory, pare-feu, logs applicatifs. Un scan de ports méthodique ou une tentative d’exploitation caractéristique au niveau du trafic réseau lui-même ne génère aucun événement dans ces sources existantes, ces activités n’étant visibles qu’à travers une inspection fine du trafic réseau — précisément ce qu’aucune des sources déjà intégrées ne fournit. Le SIEM ne peut corréler que ce qu’il reçoit ; sans une source IDS/IPS dédiée, cette catégorie entière de menaces reste structurellement invisible pour lui, quelle que soit la qualité de ses règles de corrélation.</w:t>
      </w:r>
    </w:p>
    <w:p>
      <w:pPr>
        <w:pStyle w:val="BodyText"/>
      </w:pPr>
      <w:r>
        <w:rPr>
          <w:b/>
          <w:bCs/>
        </w:rPr>
        <w:t xml:space="preserve">Corrigé 2</w:t>
      </w:r>
      <w:r>
        <w:t xml:space="preserve"> </w:t>
      </w:r>
      <w:r>
        <w:t xml:space="preserve">: activer immédiatement le blocage sans phase d’observation préalable expose l’organisation au risque déjà décrit à la section 75.5 — un faux positif bloquerait activement une connexion légitime, avec un impact direct et immédiat sur l’activité de l’entreprise, potentiellement plus dommageable dans l’urgence que le risque de sécurité que l’on cherche à traiter. Une alternative plus mesurée consisterait à activer le blocage uniquement pour les signatures présentant le plus haut niveau de confiance et le risque de faux positif le plus faible, en conservant le mode d’observation pour les signatures moins fiables — un compromis répondant partiellement à l’urgence exprimée tout en limitant le risque d’interruption de service, plutôt qu’un passage en blocage total et non calibré.</w:t>
      </w:r>
    </w:p>
    <w:bookmarkEnd w:id="1836"/>
    <w:bookmarkStart w:id="1837" w:name="exercices-74"/>
    <w:p>
      <w:pPr>
        <w:pStyle w:val="Heading2"/>
      </w:pPr>
      <w:r>
        <w:t xml:space="preserve">Exercices</w:t>
      </w:r>
    </w:p>
    <w:p>
      <w:pPr>
        <w:pStyle w:val="FirstParagraph"/>
      </w:pPr>
      <w:r>
        <w:t xml:space="preserve">📝 Exercice 75.1</w:t>
      </w:r>
    </w:p>
    <w:p>
      <w:pPr>
        <w:pStyle w:val="BodyText"/>
      </w:pPr>
      <w:r>
        <w:t xml:space="preserve">Propose une règle de corrélation SIEM combinant une alerte IDS de tentative d’exploitation détectée sur le serveur du portail client avec un second événement déjà disponible dans le SIEM du chapitre 74, pour distinguer une tentative isolée sans conséquence d’une compromission probable.</w:t>
      </w:r>
    </w:p>
    <w:p>
      <w:pPr>
        <w:pStyle w:val="BodyText"/>
      </w:pPr>
      <w:r>
        <w:rPr>
          <w:b/>
          <w:bCs/>
        </w:rPr>
        <w:t xml:space="preserve">Corrigé :</w:t>
      </w:r>
      <w:r>
        <w:t xml:space="preserve"> </w:t>
      </w:r>
      <w:r>
        <w:t xml:space="preserve">La règle pourrait se formuler ainsi :</w:t>
      </w:r>
      <w:r>
        <w:t xml:space="preserve"> </w:t>
      </w:r>
      <w:r>
        <w:t xml:space="preserve">“une alerte IDS de tentative d’exploitation ciblant le serveur du portail client, suivie dans les dix minutes d’une connexion réseau inhabituelle initiée depuis ce même serveur vers une destination externe non répertoriée (événement pare-feu, chapitre 66), alors sévérité critique, alerter immédiatement l’équipe sécurité”</w:t>
      </w:r>
      <w:r>
        <w:t xml:space="preserve">. Une tentative d’exploitation isolée, sans suite observable, reste fréquente et souvent sans conséquence réelle — de nombreuses tentatives échouent naturellement contre un système correctement à jour et durci (chapitre 73). En revanche, une tentative suivie d’un comportement réseau anormal en provenance du système ciblé constitue un indicateur bien plus fort d’une compromission effective, reproduisant exactement le même principe de corrélation multi-source déjà illustré au chapitre 74.</w:t>
      </w:r>
    </w:p>
    <w:p>
      <w:pPr>
        <w:pStyle w:val="BodyText"/>
      </w:pPr>
      <w:r>
        <w:t xml:space="preserve">📝 Exercice 75.2</w:t>
      </w:r>
    </w:p>
    <w:p>
      <w:pPr>
        <w:pStyle w:val="BodyText"/>
      </w:pPr>
      <w:r>
        <w:t xml:space="preserve">Rédige, en 3 à 5 phrases, une règle d’équipe garantissant qu’aucun IPS n’est activé en mode blocage sans une période d’observation préalable documentée, en t’appuyant sur le risque décrit à la section 75.5.</w:t>
      </w:r>
    </w:p>
    <w:p>
      <w:pPr>
        <w:pStyle w:val="BodyText"/>
      </w:pPr>
      <w:r>
        <w:rPr>
          <w:b/>
          <w:bCs/>
        </w:rPr>
        <w:t xml:space="preserve">Corrigé (exemple de réponse) :</w:t>
      </w:r>
      <w:r>
        <w:t xml:space="preserve"> </w:t>
      </w:r>
      <w:r>
        <w:t xml:space="preserve">Tout nouvel IPS déployé sur l’infrastructure de l’entreprise fonctionnera exclusivement en mode d’observation (IDS) pendant une période minimale de deux semaines, durant laquelle chaque alerte générée sera examinée pour distinguer les véritables positifs des faux positifs. Le passage en mode blocage actif ne sera autorisé qu’après validation explicite de la RSSI, sur la base d’un taux de faux positifs jugé suffisamment faible pour le trafic réel de l’organisation. Toute exception à cette règle, motivée par une urgence de sécurité avérée, nécessitera une justification documentée et se limitera si possible aux signatures présentant le plus haut niveau de confiance, plutôt qu’un blocage généralisé et non calibré de l’ensemble des signatures disponibles.</w:t>
      </w:r>
    </w:p>
    <w:bookmarkEnd w:id="1837"/>
    <w:bookmarkStart w:id="1838" w:name="checklist-de-fin-de-chapitre-74"/>
    <w:p>
      <w:pPr>
        <w:pStyle w:val="Heading2"/>
      </w:pPr>
      <w:r>
        <w:t xml:space="preserve">Checklist de fin de chapitre</w:t>
      </w:r>
    </w:p>
    <w:p>
      <w:pPr>
        <w:pStyle w:val="FirstParagraph"/>
      </w:pPr>
      <w:r>
        <w:t xml:space="preserve">☐ Je comprends pourquoi un SIEM nécessite une source d’événements réseau dédiée pour détecter certaines menaces.</w:t>
      </w:r>
    </w:p>
    <w:p>
      <w:pPr>
        <w:pStyle w:val="BodyText"/>
      </w:pPr>
      <w:r>
        <w:t xml:space="preserve">☐ Je sais distinguer un IDS (détection passive) d’un IPS (blocage actif).</w:t>
      </w:r>
    </w:p>
    <w:p>
      <w:pPr>
        <w:pStyle w:val="BodyText"/>
      </w:pPr>
      <w:r>
        <w:t xml:space="preserve">☐ Je sais expliquer la différence entre détection par signature et détection par anomalie.</w:t>
      </w:r>
    </w:p>
    <w:p>
      <w:pPr>
        <w:pStyle w:val="BodyText"/>
      </w:pPr>
      <w:r>
        <w:t xml:space="preserve">☐ Je sais positionner correctement un IDS et un IPS sur le réseau.</w:t>
      </w:r>
    </w:p>
    <w:p>
      <w:pPr>
        <w:pStyle w:val="BodyText"/>
      </w:pPr>
      <w:r>
        <w:t xml:space="preserve">☐ Je comprends le risque spécifique et plus sévère d’un faux positif en mode IPS.</w:t>
      </w:r>
    </w:p>
    <w:p>
      <w:pPr>
        <w:pStyle w:val="BodyText"/>
      </w:pPr>
      <w:r>
        <w:t xml:space="preserve">☐ Je sais intégrer les événements IDS/IPS au SIEM pour enrichir les règles de corrélation.</w:t>
      </w:r>
    </w:p>
    <w:bookmarkEnd w:id="1838"/>
    <w:bookmarkStart w:id="1839" w:name="faq-74"/>
    <w:p>
      <w:pPr>
        <w:pStyle w:val="Heading2"/>
      </w:pPr>
      <w:r>
        <w:t xml:space="preserve">FAQ</w:t>
      </w:r>
    </w:p>
    <w:p>
      <w:pPr>
        <w:pStyle w:val="FirstParagraph"/>
      </w:pPr>
      <w:r>
        <w:t xml:space="preserve">Un IDS/IPS remplace-t-il le besoin du pare-feu nouvelle génération du chapitre 66 ?</w:t>
      </w:r>
    </w:p>
    <w:p>
      <w:pPr>
        <w:pStyle w:val="BodyText"/>
      </w:pPr>
      <w:r>
        <w:t xml:space="preserve">Non, les deux se complètent — le pare-feu filtre le trafic selon des politiques de zones et d’applications, tandis que l’IDS/IPS inspecte spécifiquement le trafic à la recherche de signatures ou d’anomalies d’attaque ; de nombreux NGFW intègrent d’ailleurs un module IPS, comme déjà mentionné à la section 66.6.</w:t>
      </w:r>
    </w:p>
    <w:p>
      <w:pPr>
        <w:pStyle w:val="BodyText"/>
      </w:pPr>
      <w:r>
        <w:t xml:space="preserve">Faut-il déployer un IDS/IPS sur l’ensemble des segments réseau de l’entreprise ?</w:t>
      </w:r>
    </w:p>
    <w:p>
      <w:pPr>
        <w:pStyle w:val="BodyText"/>
      </w:pPr>
      <w:r>
        <w:t xml:space="preserve">Une priorisation initiale sur les segments les plus exposés ou les plus critiques (comme la frontière avec Internet, ou l’accès aux serveurs les plus sensibles) reste généralement plus réaliste qu’un déploiement exhaustif immédiat, particulièrement pour une organisation débutant cette démarche.</w:t>
      </w:r>
    </w:p>
    <w:p>
      <w:pPr>
        <w:pStyle w:val="BodyText"/>
      </w:pPr>
      <w:r>
        <w:t xml:space="preserve">Snort et Suricata sont-ils les seules options disponibles pour un IDS/IPS ?</w:t>
      </w:r>
    </w:p>
    <w:p>
      <w:pPr>
        <w:pStyle w:val="BodyText"/>
      </w:pPr>
      <w:r>
        <w:t xml:space="preserve">Non, de nombreuses solutions commerciales existent également, souvent intégrées directement aux pare-feu nouvelle génération comme Fortinet — le choix entre une solution open source dédiée et une fonctionnalité intégrée à un équipement déjà en place dépend du contexte et des ressources de l’organisation.</w:t>
      </w:r>
    </w:p>
    <w:p>
      <w:pPr>
        <w:pStyle w:val="BodyText"/>
      </w:pPr>
      <w:r>
        <w:t xml:space="preserve">Un IDS/IPS peut-il inspecter du trafic chiffré ?</w:t>
      </w:r>
    </w:p>
    <w:p>
      <w:pPr>
        <w:pStyle w:val="BodyText"/>
      </w:pPr>
      <w:r>
        <w:t xml:space="preserve">Une inspection directe du contenu chiffré nécessite généralement un déchiffrement préalable (souvent via le pare-feu nouvelle génération lui-même), une inspection qui reste techniquement possible mais qui soulève des considérations de performance et de confidentialité à évaluer selon le contexte de l’organisation.</w:t>
      </w:r>
    </w:p>
    <w:bookmarkEnd w:id="1839"/>
    <w:bookmarkStart w:id="1843" w:name="références-et-pour-aller-plus-loin-74"/>
    <w:p>
      <w:pPr>
        <w:pStyle w:val="Heading2"/>
      </w:pPr>
      <w:r>
        <w:t xml:space="preserve">Références et pour aller plus loin</w:t>
      </w:r>
    </w:p>
    <w:p>
      <w:pPr>
        <w:pStyle w:val="Compact"/>
        <w:numPr>
          <w:ilvl w:val="0"/>
          <w:numId w:val="2745"/>
        </w:numPr>
      </w:pPr>
      <w:r>
        <w:t xml:space="preserve">Documentation officielle Suricata :</w:t>
      </w:r>
      <w:r>
        <w:t xml:space="preserve"> </w:t>
      </w:r>
      <w:hyperlink r:id="rId1840">
        <w:r>
          <w:rPr>
            <w:rStyle w:val="Hyperlink"/>
          </w:rPr>
          <w:t xml:space="preserve">https://docs.suricata.io/en/latest/</w:t>
        </w:r>
      </w:hyperlink>
    </w:p>
    <w:p>
      <w:pPr>
        <w:pStyle w:val="Compact"/>
        <w:numPr>
          <w:ilvl w:val="0"/>
          <w:numId w:val="2745"/>
        </w:numPr>
      </w:pPr>
      <w:r>
        <w:t xml:space="preserve">Documentation officielle Snort :</w:t>
      </w:r>
      <w:r>
        <w:t xml:space="preserve"> </w:t>
      </w:r>
      <w:hyperlink r:id="rId1841">
        <w:r>
          <w:rPr>
            <w:rStyle w:val="Hyperlink"/>
          </w:rPr>
          <w:t xml:space="preserve">https://docs.snort.org/</w:t>
        </w:r>
      </w:hyperlink>
    </w:p>
    <w:p>
      <w:pPr>
        <w:pStyle w:val="Compact"/>
        <w:numPr>
          <w:ilvl w:val="0"/>
          <w:numId w:val="2745"/>
        </w:numPr>
      </w:pPr>
      <w:r>
        <w:t xml:space="preserve">NIST — Guide to Intrusion Detection and Prevention Systems (SP 800-94) :</w:t>
      </w:r>
      <w:r>
        <w:t xml:space="preserve"> </w:t>
      </w:r>
      <w:hyperlink r:id="rId1842">
        <w:r>
          <w:rPr>
            <w:rStyle w:val="Hyperlink"/>
          </w:rPr>
          <w:t xml:space="preserve">https://csrc.nist.gov/publications/detail/sp/800-94/final</w:t>
        </w:r>
      </w:hyperlink>
    </w:p>
    <w:p>
      <w:pPr>
        <w:pStyle w:val="FirstParagraph"/>
      </w:pPr>
      <w:r>
        <w:rPr>
          <w:i/>
          <w:iCs/>
        </w:rPr>
        <w:t xml:space="preserve">Chapitre suivant : l’EDR — étendre la détection et la protection au niveau des postes et des serveurs eux-mêmes, complétant la visibilité réseau déjà apportée par l’IDS/IPS de ce chapitre.</w:t>
      </w:r>
    </w:p>
    <w:p>
      <w:pPr>
        <w:pStyle w:val="BodyText"/>
      </w:pPr>
      <w:r>
        <w:t xml:space="preserve">CHAPITRE 76</w:t>
      </w:r>
    </w:p>
    <w:bookmarkEnd w:id="1843"/>
    <w:bookmarkEnd w:id="1844"/>
    <w:bookmarkStart w:id="1865" w:name="edr-et-protection-des-postesserveurs"/>
    <w:p>
      <w:pPr>
        <w:pStyle w:val="Heading1"/>
      </w:pPr>
      <w:r>
        <w:t xml:space="preserve">EDR et protection des postes/serveurs</w:t>
      </w:r>
    </w:p>
    <w:p>
      <w:pPr>
        <w:pStyle w:val="FirstParagraph"/>
      </w:pPr>
      <w:r>
        <w:t xml:space="preserve">🎯 Objectif du chapitre</w:t>
      </w:r>
      <w:r>
        <w:t xml:space="preserve"> </w:t>
      </w:r>
      <w:r>
        <w:t xml:space="preserve">Étendre la détection et la protection au niveau des postes et des serveurs eux-mêmes, complétant la visibilité réseau déjà apportée par l’IDS/IPS du chapitre précédent. À la fin de ce chapitre, tu comprendras la différence entre un EDR et un antivirus traditionnel, le rôle de la télémétrie comportementale, la réponse automatisée à une menace détectée, et comment un EDR aurait pu changer le déroulement de l’incident fondateur de ce manuel.</w:t>
      </w:r>
    </w:p>
    <w:p>
      <w:pPr>
        <w:pStyle w:val="BodyText"/>
      </w:pPr>
      <w:r>
        <w:t xml:space="preserve">🎬 Mise en situation</w:t>
      </w:r>
      <w:r>
        <w:t xml:space="preserve"> </w:t>
      </w:r>
      <w:r>
        <w:t xml:space="preserve">En repensant à l’incident de rançongiciel du chapitre 4 — un accès RDP exposé exploité, suivi du chiffrement de plusieurs postes avant que quiconque ne s’en aperçoive — la RSSI pose une question directe :</w:t>
      </w:r>
      <w:r>
        <w:t xml:space="preserve"> </w:t>
      </w:r>
      <w:r>
        <w:t xml:space="preserve">“Notre IDS/IPS aurait pu voir le trafic réseau initial, notre SIEM aurait pu corréler des événements suspects. Mais une fois l’attaquant à l’intérieur d’un poste, en train de chiffrer des fichiers localement, qu’est-ce qui aurait pu le stopper avant que les dégâts ne soient faits ?”</w:t>
      </w:r>
      <w:r>
        <w:t xml:space="preserve"> </w:t>
      </w:r>
      <w:r>
        <w:t xml:space="preserve">L’antivirus traditionnel installé sur ce poste, basé sur des signatures déjà connues, n’avait rien détecté — le rançongiciel utilisé était trop récent pour figurer dans sa base. Un EDR répond directement à cette question.</w:t>
      </w:r>
    </w:p>
    <w:bookmarkStart w:id="1845" w:name="Xb43a38108e9d2010e253935b89424cbd8aafa9e"/>
    <w:p>
      <w:pPr>
        <w:pStyle w:val="Heading2"/>
      </w:pPr>
      <w:r>
        <w:t xml:space="preserve">76.1 Le problème : une menace invisible au niveau réseau, une fois à l’intérieur d’un poste</w:t>
      </w:r>
    </w:p>
    <w:p>
      <w:pPr>
        <w:pStyle w:val="FirstParagraph"/>
      </w:pPr>
      <w:r>
        <w:t xml:space="preserve">📌 À retenir — la limite du chapitre 75</w:t>
      </w:r>
      <w:r>
        <w:t xml:space="preserve"> </w:t>
      </w:r>
      <w:r>
        <w:t xml:space="preserve">Un IDS/IPS observe le trafic circulant sur le réseau — une fois qu’un attaquant a obtenu un accès initial et opère localement sur un poste (chiffrement de fichiers, exécution de commandes, modification du registre), une grande partie de cette activité ne génère aucun trafic réseau distinctif et reste donc invisible pour un IDS/IPS, aussi bien positionné soit-il. Une source de détection dédiée à l’intérieur même du poste devient nécessaire pour combler cet angle mort.</w:t>
      </w:r>
    </w:p>
    <w:bookmarkEnd w:id="1845"/>
    <w:bookmarkStart w:id="1846" w:name="edr-au-delà-de-lantivirus-traditionnel"/>
    <w:p>
      <w:pPr>
        <w:pStyle w:val="Heading2"/>
      </w:pPr>
      <w:r>
        <w:t xml:space="preserve">76.2 EDR : au-delà de l’antivirus traditionnel</w:t>
      </w:r>
    </w:p>
    <w:p>
      <w:pPr>
        <w:pStyle w:val="FirstParagraph"/>
      </w:pPr>
      <w:r>
        <w:t xml:space="preserve">💡 Rappel direct de la section 75.3 — le même principe, appliqué au poste</w:t>
      </w:r>
      <w:r>
        <w:t xml:space="preserve"> </w:t>
      </w:r>
      <w:r>
        <w:t xml:space="preserve">Un antivirus traditionnel fonctionne principalement par signature, comparant chaque fichier à une base de menaces déjà connues — exactement la même limite déjà rencontrée pour la détection par signature d’un IDS (section 75.3), incapable de détecter une menace inédite absente de sa base. Un</w:t>
      </w:r>
      <w:r>
        <w:t xml:space="preserve"> </w:t>
      </w:r>
      <w:r>
        <w:rPr>
          <w:b/>
          <w:bCs/>
        </w:rPr>
        <w:t xml:space="preserve">EDR</w:t>
      </w:r>
      <w:r>
        <w:t xml:space="preserve"> </w:t>
      </w:r>
      <w:r>
        <w:t xml:space="preserve">(Endpoint Detection and Response) observe en continu le</w:t>
      </w:r>
      <w:r>
        <w:t xml:space="preserve"> </w:t>
      </w:r>
      <w:r>
        <w:rPr>
          <w:b/>
          <w:bCs/>
        </w:rPr>
        <w:t xml:space="preserve">comportement</w:t>
      </w:r>
      <w:r>
        <w:t xml:space="preserve"> </w:t>
      </w:r>
      <w:r>
        <w:t xml:space="preserve">du poste — quels processus s’exécutent, quels fichiers sont modifiés en masse, quelles connexions réseau locales sont établies — permettant de détecter une activité malveillante par son comportement caractéristique, même sans signature préexistante correspondante.</w:t>
      </w:r>
    </w:p>
    <w:bookmarkEnd w:id="1846"/>
    <w:bookmarkStart w:id="1847" w:name="télémétrie-poste-par-poste"/>
    <w:p>
      <w:pPr>
        <w:pStyle w:val="Heading2"/>
      </w:pPr>
      <w:r>
        <w:t xml:space="preserve">76.3 Télémétrie poste par poste</w:t>
      </w:r>
    </w:p>
    <w:p>
      <w:pPr>
        <w:pStyle w:val="FirstParagraph"/>
      </w:pPr>
      <w:r>
        <w:t xml:space="preserve">📌 À retenir — rappel indirect du chapitre 58</w:t>
      </w:r>
      <w:r>
        <w:t xml:space="preserve"> </w:t>
      </w:r>
      <w:r>
        <w:t xml:space="preserve">Un agent EDR installé sur chaque poste collecte en continu une télémétrie détaillée — création et arborescence des processus, modifications de fichiers, appels système sensibles, connexions réseau locales — exactement le même principe d’observabilité déjà établi au chapitre 58, appliqué ici non plus à un serveur dans son ensemble mais au comportement fin de chaque processus individuel s’exécutant sur un poste.</w:t>
      </w:r>
    </w:p>
    <w:bookmarkEnd w:id="1847"/>
    <w:bookmarkStart w:id="1848" w:name="X332c5f5bf02810a4fbab70398b317957f0c2bf3"/>
    <w:p>
      <w:pPr>
        <w:pStyle w:val="Heading2"/>
      </w:pPr>
      <w:r>
        <w:t xml:space="preserve">76.4 Détection comportementale et réponse automatisée</w:t>
      </w:r>
    </w:p>
    <w:p>
      <w:pPr>
        <w:pStyle w:val="FirstParagraph"/>
      </w:pPr>
      <w:r>
        <w:t xml:space="preserve">🔒 Sécurité — répondre directement à la question de la RSSI</w:t>
      </w:r>
      <w:r>
        <w:t xml:space="preserve"> </w:t>
      </w:r>
      <w:r>
        <w:t xml:space="preserve">Un comportement caractéristique d’un rançongiciel — un processus modifiant un très grand nombre de fichiers en un temps très court, avec un changement d’extension systématique — constitue une signature comportementale détectable par un EDR, indépendamment de la signature spécifique du rançongiciel utilisé. Un EDR peut alors déclencher une</w:t>
      </w:r>
      <w:r>
        <w:t xml:space="preserve"> </w:t>
      </w:r>
      <w:r>
        <w:rPr>
          <w:b/>
          <w:bCs/>
        </w:rPr>
        <w:t xml:space="preserve">réponse automatisée</w:t>
      </w:r>
      <w:r>
        <w:t xml:space="preserve"> </w:t>
      </w:r>
      <w:r>
        <w:t xml:space="preserve">: isoler immédiatement le poste concerné du réseau, stoppant la propagation avant qu’elle n’atteigne d’autres systèmes — exactement l’action déjà évoquée comme exemple de réponse automatique dans une règle de corrélation SIEM au chapitre 74.</w:t>
      </w:r>
    </w:p>
    <w:bookmarkEnd w:id="1848"/>
    <w:bookmarkStart w:id="1849" w:name="X33dc872fd5a49d0b03d56153ebaae24d37c8399"/>
    <w:p>
      <w:pPr>
        <w:pStyle w:val="Heading2"/>
      </w:pPr>
      <w:r>
        <w:t xml:space="preserve">76.5 Reconsidérer l’incident du chapitre 4 avec un EDR en place</w:t>
      </w:r>
    </w:p>
    <w:p>
      <w:pPr>
        <w:pStyle w:val="FirstParagraph"/>
      </w:pPr>
      <w:r>
        <w:t xml:space="preserve">✅ Le contrefactuel qui motive ce chapitre</w:t>
      </w:r>
      <w:r>
        <w:t xml:space="preserve"> </w:t>
      </w:r>
      <w:r>
        <w:t xml:space="preserve">Dans l’incident du chapitre 4, l’antivirus traditionnel n’avait rien détecté faute de signature correspondante — mais le comportement du rançongiciel une fois actif (chiffrement massif et rapide de fichiers) aurait constitué un signal comportemental fortement caractéristique pour un EDR, indépendamment de la nouveauté de la menace spécifique utilisée. Un EDR correctement configuré aurait pu isoler automatiquement le poste compromis dès les premières secondes de chiffrement, limitant potentiellement l’incident à un seul poste plutôt qu’à sa propagation observée dans le récit original.</w:t>
      </w:r>
    </w:p>
    <w:bookmarkEnd w:id="1849"/>
    <w:bookmarkStart w:id="1850" w:name="Xb37d6a6aaf76ad73c3035317460c57989fa6f0e"/>
    <w:p>
      <w:pPr>
        <w:pStyle w:val="Heading2"/>
      </w:pPr>
      <w:r>
        <w:t xml:space="preserve">76.6 Intégrer l’EDR au SIEM : une troisième source majeure</w:t>
      </w:r>
    </w:p>
    <w:p>
      <w:pPr>
        <w:pStyle w:val="FirstParagraph"/>
      </w:pPr>
      <w:r>
        <w:t xml:space="preserve">💡 Rappel direct des chapitres 74 et 75</w:t>
      </w:r>
      <w:r>
        <w:t xml:space="preserve"> </w:t>
      </w:r>
      <w:r>
        <w:t xml:space="preserve">L’EDR constitue, aux côtés d’Active Directory, du pare-feu et de l’IDS/IPS, une troisième catégorie majeure de source à intégrer au SIEM — une alerte EDR de comportement suspect, corrélée avec une authentification récente sur ce même poste ou une alerte IDS antérieure sur le trafic réseau ayant précédé l’incident, reconstitue une chaîne d’attaque complète à travers plusieurs couches de l’infrastructure, du réseau jusqu’au poste lui-même.</w:t>
      </w:r>
    </w:p>
    <w:bookmarkEnd w:id="1850"/>
    <w:bookmarkStart w:id="1851" w:name="Xb89b5c2a439a4c6c8b912cfa58bf25af75e73e3"/>
    <w:p>
      <w:pPr>
        <w:pStyle w:val="Heading2"/>
      </w:pPr>
      <w:r>
        <w:t xml:space="preserve">76.7 EDR et antivirus traditionnel : un tableau de décision</w:t>
      </w:r>
    </w:p>
    <w:p>
      <w:pPr>
        <w:pStyle w:val="FirstParagraph"/>
      </w:pPr>
      <w:r>
        <w:t xml:space="preserve">📌 À retenir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Critère</w:t>
            </w:r>
          </w:p>
        </w:tc>
        <w:tc>
          <w:tcPr/>
          <w:p>
            <w:pPr>
              <w:pStyle w:val="Compact"/>
            </w:pPr>
            <w:r>
              <w:t xml:space="preserve">Antivirus traditionnel</w:t>
            </w:r>
          </w:p>
        </w:tc>
        <w:tc>
          <w:tcPr/>
          <w:p>
            <w:pPr>
              <w:pStyle w:val="Compact"/>
            </w:pPr>
            <w:r>
              <w:t xml:space="preserve">EDR</w:t>
            </w:r>
          </w:p>
        </w:tc>
      </w:tr>
      <w:tr>
        <w:tc>
          <w:tcPr/>
          <w:p>
            <w:pPr>
              <w:pStyle w:val="Compact"/>
            </w:pPr>
            <w:r>
              <w:t xml:space="preserve">Méthode de détection</w:t>
            </w:r>
          </w:p>
        </w:tc>
        <w:tc>
          <w:tcPr/>
          <w:p>
            <w:pPr>
              <w:pStyle w:val="Compact"/>
            </w:pPr>
            <w:r>
              <w:t xml:space="preserve">Signature de fichiers connus</w:t>
            </w:r>
          </w:p>
        </w:tc>
        <w:tc>
          <w:tcPr/>
          <w:p>
            <w:pPr>
              <w:pStyle w:val="Compact"/>
            </w:pPr>
            <w:r>
              <w:t xml:space="preserve">Comportement des processus en continu</w:t>
            </w:r>
          </w:p>
        </w:tc>
      </w:tr>
      <w:tr>
        <w:tc>
          <w:tcPr/>
          <w:p>
            <w:pPr>
              <w:pStyle w:val="Compact"/>
            </w:pPr>
            <w:r>
              <w:t xml:space="preserve">Menaces inédites</w:t>
            </w:r>
          </w:p>
        </w:tc>
        <w:tc>
          <w:tcPr/>
          <w:p>
            <w:pPr>
              <w:pStyle w:val="Compact"/>
            </w:pPr>
            <w:r>
              <w:t xml:space="preserve">Généralement non détectées</w:t>
            </w:r>
          </w:p>
        </w:tc>
        <w:tc>
          <w:tcPr/>
          <w:p>
            <w:pPr>
              <w:pStyle w:val="Compact"/>
            </w:pPr>
            <w:r>
              <w:t xml:space="preserve">Détectables par comportement caractéristique</w:t>
            </w:r>
          </w:p>
        </w:tc>
      </w:tr>
      <w:tr>
        <w:tc>
          <w:tcPr/>
          <w:p>
            <w:pPr>
              <w:pStyle w:val="Compact"/>
            </w:pPr>
            <w:r>
              <w:t xml:space="preserve">Réponse</w:t>
            </w:r>
          </w:p>
        </w:tc>
        <w:tc>
          <w:tcPr/>
          <w:p>
            <w:pPr>
              <w:pStyle w:val="Compact"/>
            </w:pPr>
            <w:r>
              <w:t xml:space="preserve">Suppression ou mise en quarantaine du fichier</w:t>
            </w:r>
          </w:p>
        </w:tc>
        <w:tc>
          <w:tcPr/>
          <w:p>
            <w:pPr>
              <w:pStyle w:val="Compact"/>
            </w:pPr>
            <w:r>
              <w:t xml:space="preserve">Isolement réseau du poste, investigation détaillée</w:t>
            </w:r>
          </w:p>
        </w:tc>
      </w:tr>
      <w:tr>
        <w:tc>
          <w:tcPr/>
          <w:p>
            <w:pPr>
              <w:pStyle w:val="Compact"/>
            </w:pPr>
            <w:r>
              <w:t xml:space="preserve">Visibilité</w:t>
            </w:r>
          </w:p>
        </w:tc>
        <w:tc>
          <w:tcPr/>
          <w:p>
            <w:pPr>
              <w:pStyle w:val="Compact"/>
            </w:pPr>
            <w:r>
              <w:t xml:space="preserve">Limitée au fichier analysé</w:t>
            </w:r>
          </w:p>
        </w:tc>
        <w:tc>
          <w:tcPr/>
          <w:p>
            <w:pPr>
              <w:pStyle w:val="Compact"/>
            </w:pPr>
            <w:r>
              <w:t xml:space="preserve">Historique complet de l’activité du poste</w:t>
            </w:r>
          </w:p>
        </w:tc>
      </w:tr>
    </w:tbl>
    <w:p>
      <w:pPr>
        <w:pStyle w:val="BodyText"/>
      </w:pPr>
      <w:r>
        <w:t xml:space="preserve">Ces deux approches restent généralement complémentaires plutôt qu’exclusives — de nombreuses solutions modernes combinent les deux dans un même agent, l’antivirus traditionnel filtrant efficacement les menaces déjà connues tandis que l’EDR couvre les menaces comportementales inédites.</w:t>
      </w:r>
    </w:p>
    <w:bookmarkEnd w:id="1851"/>
    <w:bookmarkStart w:id="1852" w:name="X9524576c6a8d4f430e44a8b4e0ff561e696bb98"/>
    <w:p>
      <w:pPr>
        <w:pStyle w:val="Heading2"/>
      </w:pPr>
      <w:r>
        <w:t xml:space="preserve">Atelier — Configurer une réponse automatisée à un comportement de rançongiciel</w:t>
      </w:r>
    </w:p>
    <w:p>
      <w:pPr>
        <w:pStyle w:val="FirstParagraph"/>
      </w:pPr>
      <w:r>
        <w:t xml:space="preserve">🛠️ Atelier 76 — Reproduire, avec un EDR, une protection absente lors de l’incident du chapitre 4</w:t>
      </w:r>
    </w:p>
    <w:p>
      <w:pPr>
        <w:pStyle w:val="BodyText"/>
      </w:pPr>
      <w:r>
        <w:rPr>
          <w:b/>
          <w:bCs/>
        </w:rPr>
        <w:t xml:space="preserve">Objectif</w:t>
      </w:r>
      <w:r>
        <w:t xml:space="preserve"> </w:t>
      </w:r>
      <w:r>
        <w:t xml:space="preserve">: configurer une règle EDR détectant un comportement caractéristique de rançongiciel et déclenchant l’isolement automatique du poste concerné.</w:t>
      </w:r>
    </w:p>
    <w:p>
      <w:pPr>
        <w:pStyle w:val="BodyText"/>
      </w:pPr>
      <w:r>
        <w:rPr>
          <w:b/>
          <w:bCs/>
        </w:rPr>
        <w:t xml:space="preserve">Préparation</w:t>
      </w:r>
      <w:r>
        <w:t xml:space="preserve"> </w:t>
      </w:r>
      <w:r>
        <w:t xml:space="preserve">: un agent EDR déployé sur un poste de test.</w:t>
      </w:r>
    </w:p>
    <w:p>
      <w:pPr>
        <w:pStyle w:val="BodyText"/>
      </w:pPr>
      <w:r>
        <w:rPr>
          <w:b/>
          <w:bCs/>
        </w:rPr>
        <w:t xml:space="preserve">Étapes détaillées</w:t>
      </w:r>
      <w:r>
        <w:t xml:space="preserve"> </w:t>
      </w:r>
      <w:r>
        <w:t xml:space="preserve">:</w:t>
      </w:r>
    </w:p>
    <w:p>
      <w:pPr>
        <w:pStyle w:val="Compact"/>
        <w:numPr>
          <w:ilvl w:val="0"/>
          <w:numId w:val="2746"/>
        </w:numPr>
      </w:pPr>
      <w:r>
        <w:t xml:space="preserve">Définis un seuil comportemental caractéristique (par exemple, plus de cinquante fichiers modifiés avec changement d’extension en moins de trente secondes).</w:t>
      </w:r>
    </w:p>
    <w:p>
      <w:pPr>
        <w:pStyle w:val="Compact"/>
        <w:numPr>
          <w:ilvl w:val="0"/>
          <w:numId w:val="2746"/>
        </w:numPr>
      </w:pPr>
      <w:r>
        <w:t xml:space="preserve">Configure la réponse automatique associée : isolement réseau immédiat du poste concerné.</w:t>
      </w:r>
    </w:p>
    <w:p>
      <w:pPr>
        <w:pStyle w:val="Compact"/>
        <w:numPr>
          <w:ilvl w:val="0"/>
          <w:numId w:val="2746"/>
        </w:numPr>
      </w:pPr>
      <w:r>
        <w:t xml:space="preserve">Configure la transmission de cette alerte vers le SIEM (section 76.6).</w:t>
      </w:r>
    </w:p>
    <w:p>
      <w:pPr>
        <w:pStyle w:val="Compact"/>
        <w:numPr>
          <w:ilvl w:val="0"/>
          <w:numId w:val="2746"/>
        </w:numPr>
      </w:pPr>
      <w:r>
        <w:t xml:space="preserve">Explique pourquoi cette règle, appliquée à l’incident du chapitre 4, aurait pu limiter l’ampleur de la propagation observée.</w:t>
      </w:r>
    </w:p>
    <w:p>
      <w:pPr>
        <w:pStyle w:val="Compact"/>
        <w:numPr>
          <w:ilvl w:val="0"/>
          <w:numId w:val="2746"/>
        </w:numPr>
      </w:pPr>
      <w:r>
        <w:t xml:space="preserve">Compare ta démarche à la section</w:t>
      </w:r>
      <w:r>
        <w:t xml:space="preserve"> </w:t>
      </w:r>
      <w:r>
        <w:t xml:space="preserve">“Résultat attendu”</w:t>
      </w:r>
      <w:r>
        <w:t xml:space="preserve">.</w:t>
      </w:r>
    </w:p>
    <w:p>
      <w:pPr>
        <w:pStyle w:val="FirstParagraph"/>
      </w:pPr>
      <w:r>
        <w:rPr>
          <w:b/>
          <w:bCs/>
        </w:rPr>
        <w:t xml:space="preserve">Résultat attendu</w:t>
      </w:r>
      <w:r>
        <w:t xml:space="preserve"> </w:t>
      </w:r>
      <w:r>
        <w:t xml:space="preserve">: la règle détecte le comportement caractéristique de chiffrement massif indépendamment de la signature spécifique du rançongiciel utilisé, isolant automatiquement le poste concerné avant que l’attaquant ne puisse se propager latéralement vers d’autres systèmes (rappel du mouvement latéral déjà évoqué à la section 74.5 et à l’exercice 74.1). Appliquée rétroactivement au scénario du chapitre 4, cette règle aurait détecté le comportement de chiffrement dès ses premières secondes, potentiellement avant qu’un nombre significatif de fichiers ne soit affecté — contenant l’incident à un seul poste plutôt que de permettre sa propagation, exactement l’issue que la RSSI recherchait dans le scénario d’ouverture de ce chapitre.</w:t>
      </w:r>
    </w:p>
    <w:p>
      <w:pPr>
        <w:pStyle w:val="BodyText"/>
      </w:pPr>
      <w:r>
        <w:rPr>
          <w:b/>
          <w:bCs/>
        </w:rPr>
        <w:t xml:space="preserve">Dépannage</w:t>
      </w:r>
      <w:r>
        <w:t xml:space="preserve"> </w:t>
      </w:r>
      <w:r>
        <w:t xml:space="preserve">: si la règle isole un poste lors d’une opération légitime (comme une réorganisation massive de fichiers par un utilisateur ou un script de maintenance planifié), ajuste le seuil comportemental ou ajoute une exception documentée pour ce type d’activité légitime connue, plutôt que de désactiver l’ensemble de la règle — exactement le même principe déjà établi pour le calibrage des règles SIEM au chapitre 74.</w:t>
      </w:r>
    </w:p>
    <w:bookmarkEnd w:id="1852"/>
    <w:bookmarkStart w:id="1853" w:name="erreurs-fréquentes-75"/>
    <w:p>
      <w:pPr>
        <w:pStyle w:val="Heading2"/>
      </w:pPr>
      <w:r>
        <w:t xml:space="preserve">Erreurs fréquentes</w:t>
      </w:r>
    </w:p>
    <w:p>
      <w:pPr>
        <w:pStyle w:val="FirstParagraph"/>
      </w:pPr>
      <w:r>
        <w:t xml:space="preserve">⚠️ Erreur n°1 — un EDR déployé uniquement sur certains postes, créant un angle mort</w:t>
      </w:r>
      <w:r>
        <w:t xml:space="preserve"> </w:t>
      </w:r>
      <w:r>
        <w:t xml:space="preserve">Rappel indirect des chapitres 74-75 : un poste sans agent EDR reste totalement invisible pour cette couche de détection, quel que soit le comportement malveillant qui s’y produit.</w:t>
      </w:r>
    </w:p>
    <w:p>
      <w:pPr>
        <w:pStyle w:val="BodyText"/>
      </w:pPr>
      <w:r>
        <w:t xml:space="preserve">⚠️ Erreur n°2 — une réponse automatisée trop agressive, isolant des postes légitimes</w:t>
      </w:r>
      <w:r>
        <w:t xml:space="preserve"> </w:t>
      </w:r>
      <w:r>
        <w:t xml:space="preserve">Rappel direct du même risque déjà dénoncé pour un IPS mal calibré à la section 75.5 : un seuil comportemental trop sensible peut interrompre une activité légitime, avec un impact direct sur l’activité de l’entreprise.</w:t>
      </w:r>
    </w:p>
    <w:p>
      <w:pPr>
        <w:pStyle w:val="BodyText"/>
      </w:pPr>
      <w:r>
        <w:t xml:space="preserve">⚠️ Erreur n°3 — des alertes EDR générées mais jamais consultées ni intégrées au SIEM</w:t>
      </w:r>
      <w:r>
        <w:t xml:space="preserve"> </w:t>
      </w:r>
      <w:r>
        <w:t xml:space="preserve">Rappel indirect du chapitre 58 : une détection technique fonctionnelle mais dont personne n’est activement informé reproduit le même risque qu’une supervision ignorée.</w:t>
      </w:r>
    </w:p>
    <w:bookmarkEnd w:id="1853"/>
    <w:bookmarkStart w:id="1854" w:name="X223c2e9c1c2f40e1a07dedc119359c930f52f26"/>
    <w:p>
      <w:pPr>
        <w:pStyle w:val="Heading2"/>
      </w:pPr>
      <w:r>
        <w:t xml:space="preserve">Diagnostiquer un EDR qui isole un poste légitime par erreur</w:t>
      </w:r>
    </w:p>
    <w:p>
      <w:pPr>
        <w:pStyle w:val="FirstParagraph"/>
      </w:pPr>
      <w:r>
        <w:t xml:space="preserve">🩺 Symptôme : un poste utilisé pour une activité légitime est isolé automatiquement par l’EDR</w:t>
      </w:r>
    </w:p>
    <w:p>
      <w:pPr>
        <w:pStyle w:val="Compact"/>
        <w:numPr>
          <w:ilvl w:val="0"/>
          <w:numId w:val="2747"/>
        </w:numPr>
      </w:pPr>
      <w:r>
        <w:rPr>
          <w:b/>
          <w:bCs/>
        </w:rPr>
        <w:t xml:space="preserve">Diagnostic</w:t>
      </w:r>
      <w:r>
        <w:t xml:space="preserve"> </w:t>
      </w:r>
      <w:r>
        <w:t xml:space="preserve">: identifier précisément quelle règle comportementale a déclenché l’isolement, et si l’activité à l’origine du déclenchement correspond réellement à une opération légitime connue (script de maintenance, réorganisation massive de fichiers) ou à un incident réel nécessitant une investigation plus poussée.</w:t>
      </w:r>
    </w:p>
    <w:p>
      <w:pPr>
        <w:pStyle w:val="Compact"/>
        <w:numPr>
          <w:ilvl w:val="0"/>
          <w:numId w:val="2747"/>
        </w:numPr>
      </w:pPr>
      <w:r>
        <w:rPr>
          <w:b/>
          <w:bCs/>
        </w:rPr>
        <w:t xml:space="preserve">Comment vérifier</w:t>
      </w:r>
      <w:r>
        <w:t xml:space="preserve"> </w:t>
      </w:r>
      <w:r>
        <w:t xml:space="preserve">: consulter l’historique détaillé de télémétrie du poste concerné dans la console EDR, retraçant précisément les processus et fichiers impliqués dans le déclenchement de la règle.</w:t>
      </w:r>
    </w:p>
    <w:p>
      <w:pPr>
        <w:pStyle w:val="Compact"/>
        <w:numPr>
          <w:ilvl w:val="0"/>
          <w:numId w:val="2747"/>
        </w:numPr>
      </w:pPr>
      <w:r>
        <w:rPr>
          <w:b/>
          <w:bCs/>
        </w:rPr>
        <w:t xml:space="preserve">Résolution</w:t>
      </w:r>
      <w:r>
        <w:t xml:space="preserve"> </w:t>
      </w:r>
      <w:r>
        <w:t xml:space="preserve">: si l’activité est confirmée légitime, ajuster le seuil de la règle ou documenter une exception pour ce type d’activité spécifique ; si un doute subsiste, maintenir l’isolement le temps d’une investigation complémentaire plutôt que de lever la protection par précipitation.</w:t>
      </w:r>
    </w:p>
    <w:bookmarkEnd w:id="1854"/>
    <w:bookmarkStart w:id="1855" w:name="en-entreprise-75"/>
    <w:p>
      <w:pPr>
        <w:pStyle w:val="Heading2"/>
      </w:pPr>
      <w:r>
        <w:t xml:space="preserve">En entreprise</w:t>
      </w:r>
    </w:p>
    <w:p>
      <w:pPr>
        <w:pStyle w:val="Compact"/>
        <w:numPr>
          <w:ilvl w:val="0"/>
          <w:numId w:val="2748"/>
        </w:numPr>
      </w:pPr>
      <w:r>
        <w:rPr>
          <w:b/>
          <w:bCs/>
        </w:rPr>
        <w:t xml:space="preserve">Bonne pratique répandue</w:t>
      </w:r>
      <w:r>
        <w:t xml:space="preserve"> </w:t>
      </w:r>
      <w:r>
        <w:t xml:space="preserve">: déployer l’EDR de façon exhaustive sur l’ensemble des postes et serveurs de l’organisation, sans exception, un seul système non couvert représentant un angle mort potentiellement exploitable.</w:t>
      </w:r>
    </w:p>
    <w:p>
      <w:pPr>
        <w:pStyle w:val="Compact"/>
        <w:numPr>
          <w:ilvl w:val="0"/>
          <w:numId w:val="2748"/>
        </w:numPr>
      </w:pPr>
      <w:r>
        <w:rPr>
          <w:b/>
          <w:bCs/>
        </w:rPr>
        <w:t xml:space="preserve">Bonne pratique répandue</w:t>
      </w:r>
      <w:r>
        <w:t xml:space="preserve"> </w:t>
      </w:r>
      <w:r>
        <w:t xml:space="preserve">: documenter les activités légitimes connues susceptibles de ressembler à un comportement malveillant (scripts de maintenance planifiés, outils de sauvegarde), pour calibrer les règles de détection en conséquence et réduire les faux positifs.</w:t>
      </w:r>
    </w:p>
    <w:p>
      <w:pPr>
        <w:pStyle w:val="Compact"/>
        <w:numPr>
          <w:ilvl w:val="0"/>
          <w:numId w:val="2748"/>
        </w:numPr>
      </w:pPr>
      <w:r>
        <w:rPr>
          <w:b/>
          <w:bCs/>
        </w:rPr>
        <w:t xml:space="preserve">Erreur classique observée</w:t>
      </w:r>
      <w:r>
        <w:t xml:space="preserve"> </w:t>
      </w:r>
      <w:r>
        <w:t xml:space="preserve">: un EDR déployé rapidement sur les serveurs critiques uniquement, en laissant de côté les postes de travail des utilisateurs — alors que ces postes constituent souvent le point d’entrée initial d’une attaque, comme celui exploité dans l’incident du chapitre 4.</w:t>
      </w:r>
    </w:p>
    <w:bookmarkEnd w:id="1855"/>
    <w:bookmarkStart w:id="1856" w:name="entretien-technique-75"/>
    <w:p>
      <w:pPr>
        <w:pStyle w:val="Heading2"/>
      </w:pPr>
      <w:r>
        <w:t xml:space="preserve">Entretien technique</w:t>
      </w:r>
    </w:p>
    <w:p>
      <w:pPr>
        <w:pStyle w:val="FirstParagraph"/>
      </w:pPr>
      <w:r>
        <w:t xml:space="preserve">💼 Questions fréquemment posées en entretien</w:t>
      </w:r>
    </w:p>
    <w:p>
      <w:pPr>
        <w:pStyle w:val="BodyText"/>
      </w:pPr>
      <w:r>
        <w:rPr>
          <w:b/>
          <w:bCs/>
        </w:rPr>
        <w:t xml:space="preserve">Q1.</w:t>
      </w:r>
      <w:r>
        <w:rPr>
          <w:b/>
          <w:bCs/>
        </w:rPr>
        <w:t xml:space="preserve"> </w:t>
      </w:r>
      <w:r>
        <w:rPr>
          <w:b/>
          <w:bCs/>
        </w:rPr>
        <w:t xml:space="preserve">“Quelle est la différence fondamentale entre un antivirus traditionnel et un EDR ?”</w:t>
      </w:r>
      <w:r>
        <w:t xml:space="preserve"> </w:t>
      </w:r>
      <w:r>
        <w:t xml:space="preserve">Réponse attendue : un antivirus traditionnel détecte par signature de fichiers déjà connus, incapable de détecter une menace inédite ; un EDR observe en continu le comportement des processus sur le poste, permettant de détecter une activité malveillante par son comportement caractéristique, même sans signature préexistante.</w:t>
      </w:r>
    </w:p>
    <w:p>
      <w:pPr>
        <w:pStyle w:val="BodyText"/>
      </w:pPr>
      <w:r>
        <w:rPr>
          <w:b/>
          <w:bCs/>
        </w:rPr>
        <w:t xml:space="preserve">Q2.</w:t>
      </w:r>
      <w:r>
        <w:rPr>
          <w:b/>
          <w:bCs/>
        </w:rPr>
        <w:t xml:space="preserve"> </w:t>
      </w:r>
      <w:r>
        <w:rPr>
          <w:b/>
          <w:bCs/>
        </w:rPr>
        <w:t xml:space="preserve">“Pourquoi un IDS/IPS, aussi bien positionné soit-il, ne peut-il pas détecter une activité malveillante purement locale sur un poste, comme le chiffrement de fichiers par un rançongiciel ?”</w:t>
      </w:r>
      <w:r>
        <w:t xml:space="preserve"> </w:t>
      </w:r>
      <w:r>
        <w:t xml:space="preserve">Réponse attendue : un IDS/IPS observe le trafic réseau ; une activité purement locale sur un poste (modification de fichiers, exécution de processus) ne génère généralement aucun trafic réseau distinctif, la rendant invisible pour un outil observant uniquement le réseau.</w:t>
      </w:r>
    </w:p>
    <w:p>
      <w:pPr>
        <w:pStyle w:val="BodyText"/>
      </w:pPr>
      <w:r>
        <w:rPr>
          <w:b/>
          <w:bCs/>
        </w:rPr>
        <w:t xml:space="preserve">Q3.</w:t>
      </w:r>
      <w:r>
        <w:rPr>
          <w:b/>
          <w:bCs/>
        </w:rPr>
        <w:t xml:space="preserve"> </w:t>
      </w:r>
      <w:r>
        <w:rPr>
          <w:b/>
          <w:bCs/>
        </w:rPr>
        <w:t xml:space="preserve">“Comment un EDR peut-il détecter un rançongiciel totalement nouveau, sans signature préexistante ?”</w:t>
      </w:r>
      <w:r>
        <w:t xml:space="preserve"> </w:t>
      </w:r>
      <w:r>
        <w:t xml:space="preserve">Réponse attendue : en observant le comportement caractéristique de l’activité malveillante elle-même (modification massive et rapide de fichiers, changement systématique d’extension) plutôt que la signature spécifique du fichier exécutable — un comportement suffisamment distinctif reste détectable indépendamment de la nouveauté de la menace précise utilisée.</w:t>
      </w:r>
    </w:p>
    <w:bookmarkEnd w:id="1856"/>
    <w:bookmarkStart w:id="1857" w:name="X8c904a31abc6730da48dc38dc917881eff41ac7"/>
    <w:p>
      <w:pPr>
        <w:pStyle w:val="Heading2"/>
      </w:pPr>
      <w:r>
        <w:t xml:space="preserve">Optimisation, sécurité et maintenabilité — les réflexes dès ce chapitre</w:t>
      </w:r>
    </w:p>
    <w:p>
      <w:pPr>
        <w:pStyle w:val="FirstParagraph"/>
      </w:pPr>
      <w:r>
        <w:t xml:space="preserve">🔒 Sécurité</w:t>
      </w:r>
      <w:r>
        <w:t xml:space="preserve"> </w:t>
      </w:r>
      <w:r>
        <w:t xml:space="preserve">Déploie l’EDR sur l’ensemble des postes et serveurs sans exception — un seul système non couvert peut servir de point d’entrée ou de propagation non détecté pour un incident.</w:t>
      </w:r>
    </w:p>
    <w:p>
      <w:pPr>
        <w:pStyle w:val="BodyText"/>
      </w:pPr>
      <w:r>
        <w:t xml:space="preserve">✅ Maintenabilité</w:t>
      </w:r>
      <w:r>
        <w:t xml:space="preserve"> </w:t>
      </w:r>
      <w:r>
        <w:t xml:space="preserve">Documente systématiquement les activités légitimes connues pouvant ressembler à un comportement malveillant, réduisant le risque de faux positif tout en conservant la sensibilité de détection sur les comportements réellement anormaux.</w:t>
      </w:r>
    </w:p>
    <w:p>
      <w:pPr>
        <w:pStyle w:val="BodyText"/>
      </w:pPr>
      <w:r>
        <w:t xml:space="preserve">🚀 Performance</w:t>
      </w:r>
      <w:r>
        <w:t xml:space="preserve"> </w:t>
      </w:r>
      <w:r>
        <w:t xml:space="preserve">La télémétrie continue collectée par un agent EDR consomme des ressources locales sur chaque poste — un dimensionnement adapté et une configuration raisonnable de la profondeur de collecte évitent un impact perceptible sur les performances quotidiennes des utilisateurs.</w:t>
      </w:r>
    </w:p>
    <w:bookmarkEnd w:id="1857"/>
    <w:bookmarkStart w:id="1858" w:name="résumé-du-chapitre-75"/>
    <w:p>
      <w:pPr>
        <w:pStyle w:val="Heading2"/>
      </w:pPr>
      <w:r>
        <w:t xml:space="preserve">Résumé du chapitre</w:t>
      </w:r>
    </w:p>
    <w:p>
      <w:pPr>
        <w:pStyle w:val="Compact"/>
        <w:numPr>
          <w:ilvl w:val="0"/>
          <w:numId w:val="2749"/>
        </w:numPr>
      </w:pPr>
      <w:r>
        <w:t xml:space="preserve">Un IDS/IPS observe le réseau, mais reste aveugle à une activité malveillante purement locale sur un poste — un EDR comble cet angle mort.</w:t>
      </w:r>
    </w:p>
    <w:p>
      <w:pPr>
        <w:pStyle w:val="Compact"/>
        <w:numPr>
          <w:ilvl w:val="0"/>
          <w:numId w:val="2749"/>
        </w:numPr>
      </w:pPr>
      <w:r>
        <w:t xml:space="preserve">Un EDR détecte par comportement plutôt que par signature, permettant de repérer une menace inédite qu’un antivirus traditionnel manquerait.</w:t>
      </w:r>
    </w:p>
    <w:p>
      <w:pPr>
        <w:pStyle w:val="Compact"/>
        <w:numPr>
          <w:ilvl w:val="0"/>
          <w:numId w:val="2749"/>
        </w:numPr>
      </w:pPr>
      <w:r>
        <w:t xml:space="preserve">La télémétrie EDR collecte en continu l’activité détaillée de chaque poste, dans le même esprit d’observabilité déjà établi au chapitre 58.</w:t>
      </w:r>
    </w:p>
    <w:p>
      <w:pPr>
        <w:pStyle w:val="Compact"/>
        <w:numPr>
          <w:ilvl w:val="0"/>
          <w:numId w:val="2749"/>
        </w:numPr>
      </w:pPr>
      <w:r>
        <w:t xml:space="preserve">Un EDR peut déclencher une réponse automatisée, comme l’isolement réseau immédiat d’un poste compromis, limitant la propagation d’un incident.</w:t>
      </w:r>
    </w:p>
    <w:p>
      <w:pPr>
        <w:pStyle w:val="Compact"/>
        <w:numPr>
          <w:ilvl w:val="0"/>
          <w:numId w:val="2749"/>
        </w:numPr>
      </w:pPr>
      <w:r>
        <w:t xml:space="preserve">Appliqué rétroactivement à l’incident du chapitre 4, un EDR aurait pu détecter et contenir le rançongiciel dès ses premières secondes d’activité.</w:t>
      </w:r>
    </w:p>
    <w:p>
      <w:pPr>
        <w:pStyle w:val="Compact"/>
        <w:numPr>
          <w:ilvl w:val="0"/>
          <w:numId w:val="2749"/>
        </w:numPr>
      </w:pPr>
      <w:r>
        <w:t xml:space="preserve">L’EDR, l’IDS/IPS et le SIEM se complètent pour couvrir respectivement le poste, le réseau et la corrélation d’ensemble de l’infrastructure.</w:t>
      </w:r>
    </w:p>
    <w:bookmarkEnd w:id="1858"/>
    <w:bookmarkStart w:id="1859" w:name="quiz-75"/>
    <w:p>
      <w:pPr>
        <w:pStyle w:val="Heading2"/>
      </w:pPr>
      <w:r>
        <w:t xml:space="preserve">Quiz</w:t>
      </w:r>
    </w:p>
    <w:p>
      <w:pPr>
        <w:pStyle w:val="FirstParagraph"/>
      </w:pPr>
      <w:r>
        <w:t xml:space="preserve">📝 QCM (une seule bonne réponse par question)</w:t>
      </w:r>
    </w:p>
    <w:p>
      <w:pPr>
        <w:pStyle w:val="Compact"/>
        <w:numPr>
          <w:ilvl w:val="0"/>
          <w:numId w:val="2750"/>
        </w:numPr>
      </w:pPr>
      <w:r>
        <w:t xml:space="preserve">Un EDR se distingue d’un antivirus traditionnel principalement par :</w:t>
      </w:r>
    </w:p>
    <w:p>
      <w:pPr>
        <w:pStyle w:val="Compact"/>
        <w:numPr>
          <w:ilvl w:val="1"/>
          <w:numId w:val="2751"/>
        </w:numPr>
      </w:pPr>
    </w:p>
    <w:p>
      <w:pPr>
        <w:pStyle w:val="Compact"/>
        <w:numPr>
          <w:ilvl w:val="2"/>
          <w:numId w:val="2752"/>
        </w:numPr>
      </w:pPr>
      <w:r>
        <w:t xml:space="preserve">Sa détection basée sur le comportement plutôt que sur la signature de fichiers connus</w:t>
      </w:r>
    </w:p>
    <w:p>
      <w:pPr>
        <w:pStyle w:val="Compact"/>
        <w:numPr>
          <w:ilvl w:val="1"/>
          <w:numId w:val="2751"/>
        </w:numPr>
      </w:pPr>
    </w:p>
    <w:p>
      <w:pPr>
        <w:pStyle w:val="Compact"/>
        <w:numPr>
          <w:ilvl w:val="2"/>
          <w:numId w:val="2753"/>
        </w:numPr>
      </w:pPr>
      <w:r>
        <w:t xml:space="preserve">Son incapacité à détecter toute menace</w:t>
      </w:r>
    </w:p>
    <w:p>
      <w:pPr>
        <w:pStyle w:val="Compact"/>
        <w:numPr>
          <w:ilvl w:val="1"/>
          <w:numId w:val="2751"/>
        </w:numPr>
      </w:pPr>
    </w:p>
    <w:p>
      <w:pPr>
        <w:pStyle w:val="Compact"/>
        <w:numPr>
          <w:ilvl w:val="2"/>
          <w:numId w:val="2754"/>
        </w:numPr>
      </w:pPr>
      <w:r>
        <w:t xml:space="preserve">Son fonctionnement exclusivement réseau, sans agent local</w:t>
      </w:r>
    </w:p>
    <w:p>
      <w:pPr>
        <w:pStyle w:val="Compact"/>
        <w:numPr>
          <w:ilvl w:val="1"/>
          <w:numId w:val="2751"/>
        </w:numPr>
      </w:pPr>
    </w:p>
    <w:p>
      <w:pPr>
        <w:pStyle w:val="Compact"/>
        <w:numPr>
          <w:ilvl w:val="2"/>
          <w:numId w:val="2755"/>
        </w:numPr>
      </w:pPr>
      <w:r>
        <w:t xml:space="preserve">Son remplacement complet du besoin d’un IDS/IPS</w:t>
      </w:r>
    </w:p>
    <w:p>
      <w:pPr>
        <w:pStyle w:val="Compact"/>
        <w:numPr>
          <w:ilvl w:val="0"/>
          <w:numId w:val="2750"/>
        </w:numPr>
      </w:pPr>
      <w:r>
        <w:t xml:space="preserve">Pourquoi un IDS/IPS ne peut-il pas détecter le chiffrement local de fichiers par un rançongiciel ?</w:t>
      </w:r>
    </w:p>
    <w:p>
      <w:pPr>
        <w:pStyle w:val="Compact"/>
        <w:numPr>
          <w:ilvl w:val="1"/>
          <w:numId w:val="2756"/>
        </w:numPr>
      </w:pPr>
    </w:p>
    <w:p>
      <w:pPr>
        <w:pStyle w:val="Compact"/>
        <w:numPr>
          <w:ilvl w:val="2"/>
          <w:numId w:val="2757"/>
        </w:numPr>
      </w:pPr>
      <w:r>
        <w:t xml:space="preserve">Cette activité génère toujours un trafic réseau facilement détectable</w:t>
      </w:r>
    </w:p>
    <w:p>
      <w:pPr>
        <w:pStyle w:val="Compact"/>
        <w:numPr>
          <w:ilvl w:val="1"/>
          <w:numId w:val="2756"/>
        </w:numPr>
      </w:pPr>
    </w:p>
    <w:p>
      <w:pPr>
        <w:pStyle w:val="Compact"/>
        <w:numPr>
          <w:ilvl w:val="2"/>
          <w:numId w:val="2758"/>
        </w:numPr>
      </w:pPr>
      <w:r>
        <w:t xml:space="preserve">Cette activité est purement locale et ne génère généralement aucun trafic réseau distinctif</w:t>
      </w:r>
    </w:p>
    <w:p>
      <w:pPr>
        <w:pStyle w:val="Compact"/>
        <w:numPr>
          <w:ilvl w:val="1"/>
          <w:numId w:val="2756"/>
        </w:numPr>
      </w:pPr>
    </w:p>
    <w:p>
      <w:pPr>
        <w:pStyle w:val="Compact"/>
        <w:numPr>
          <w:ilvl w:val="2"/>
          <w:numId w:val="2759"/>
        </w:numPr>
      </w:pPr>
      <w:r>
        <w:t xml:space="preserve">Les IDS/IPS sont configurés pour ignorer ce type d’activité</w:t>
      </w:r>
    </w:p>
    <w:p>
      <w:pPr>
        <w:pStyle w:val="Compact"/>
        <w:numPr>
          <w:ilvl w:val="1"/>
          <w:numId w:val="2756"/>
        </w:numPr>
      </w:pPr>
    </w:p>
    <w:p>
      <w:pPr>
        <w:pStyle w:val="Compact"/>
        <w:numPr>
          <w:ilvl w:val="2"/>
          <w:numId w:val="2760"/>
        </w:numPr>
      </w:pPr>
      <w:r>
        <w:t xml:space="preserve">Le chiffrement de fichiers n’est jamais malveillant</w:t>
      </w:r>
    </w:p>
    <w:p>
      <w:pPr>
        <w:pStyle w:val="Compact"/>
        <w:numPr>
          <w:ilvl w:val="0"/>
          <w:numId w:val="2750"/>
        </w:numPr>
      </w:pPr>
      <w:r>
        <w:t xml:space="preserve">Une réponse automatisée typique d’un EDR face à un comportement de rançongiciel détecté est :</w:t>
      </w:r>
    </w:p>
    <w:p>
      <w:pPr>
        <w:pStyle w:val="Compact"/>
        <w:numPr>
          <w:ilvl w:val="1"/>
          <w:numId w:val="2761"/>
        </w:numPr>
      </w:pPr>
    </w:p>
    <w:p>
      <w:pPr>
        <w:pStyle w:val="Compact"/>
        <w:numPr>
          <w:ilvl w:val="2"/>
          <w:numId w:val="2762"/>
        </w:numPr>
      </w:pPr>
      <w:r>
        <w:t xml:space="preserve">L’envoi d’un simple message informatif à l’utilisateur du poste</w:t>
      </w:r>
    </w:p>
    <w:p>
      <w:pPr>
        <w:pStyle w:val="Compact"/>
        <w:numPr>
          <w:ilvl w:val="1"/>
          <w:numId w:val="2761"/>
        </w:numPr>
      </w:pPr>
    </w:p>
    <w:p>
      <w:pPr>
        <w:pStyle w:val="Compact"/>
        <w:numPr>
          <w:ilvl w:val="2"/>
          <w:numId w:val="2763"/>
        </w:numPr>
      </w:pPr>
      <w:r>
        <w:t xml:space="preserve">L’isolement réseau immédiat du poste concerné</w:t>
      </w:r>
    </w:p>
    <w:p>
      <w:pPr>
        <w:pStyle w:val="Compact"/>
        <w:numPr>
          <w:ilvl w:val="1"/>
          <w:numId w:val="2761"/>
        </w:numPr>
      </w:pPr>
    </w:p>
    <w:p>
      <w:pPr>
        <w:pStyle w:val="Compact"/>
        <w:numPr>
          <w:ilvl w:val="2"/>
          <w:numId w:val="2764"/>
        </w:numPr>
      </w:pPr>
      <w:r>
        <w:t xml:space="preserve">Le redémarrage automatique du serveur central</w:t>
      </w:r>
    </w:p>
    <w:p>
      <w:pPr>
        <w:pStyle w:val="Compact"/>
        <w:numPr>
          <w:ilvl w:val="1"/>
          <w:numId w:val="2761"/>
        </w:numPr>
      </w:pPr>
    </w:p>
    <w:p>
      <w:pPr>
        <w:pStyle w:val="Compact"/>
        <w:numPr>
          <w:ilvl w:val="2"/>
          <w:numId w:val="2765"/>
        </w:numPr>
      </w:pPr>
      <w:r>
        <w:t xml:space="preserve">La désactivation complète du pare-feu</w:t>
      </w:r>
    </w:p>
    <w:p>
      <w:pPr>
        <w:pStyle w:val="FirstParagraph"/>
      </w:pPr>
      <w:r>
        <w:rPr>
          <w:b/>
          <w:bCs/>
        </w:rPr>
        <w:t xml:space="preserve">Corrigé</w:t>
      </w:r>
      <w:r>
        <w:t xml:space="preserve"> </w:t>
      </w:r>
      <w:r>
        <w:t xml:space="preserve">: 1-a, 2-b, 3-b.</w:t>
      </w:r>
    </w:p>
    <w:p>
      <w:pPr>
        <w:pStyle w:val="BodyText"/>
      </w:pPr>
      <w:r>
        <w:t xml:space="preserve">📝 Vrai ou Faux</w:t>
      </w:r>
    </w:p>
    <w:p>
      <w:pPr>
        <w:pStyle w:val="Compact"/>
        <w:numPr>
          <w:ilvl w:val="0"/>
          <w:numId w:val="2766"/>
        </w:numPr>
      </w:pPr>
      <w:r>
        <w:t xml:space="preserve">Un antivirus traditionnel basé sur signature peut détecter fiablement une menace totalement nouvelle, sans signature préexistante. —</w:t>
      </w:r>
      <w:r>
        <w:t xml:space="preserve"> </w:t>
      </w:r>
      <w:r>
        <w:rPr>
          <w:b/>
          <w:bCs/>
        </w:rPr>
        <w:t xml:space="preserve">Faux</w:t>
      </w:r>
      <w:r>
        <w:t xml:space="preserve"> </w:t>
      </w:r>
      <w:r>
        <w:t xml:space="preserve">(section 76.2).</w:t>
      </w:r>
    </w:p>
    <w:p>
      <w:pPr>
        <w:pStyle w:val="Compact"/>
        <w:numPr>
          <w:ilvl w:val="0"/>
          <w:numId w:val="2766"/>
        </w:numPr>
      </w:pPr>
      <w:r>
        <w:t xml:space="preserve">Un EDR déployé sur seulement une partie des postes de l’organisation offre une protection équivalente à un déploiement exhaustif. —</w:t>
      </w:r>
      <w:r>
        <w:t xml:space="preserve"> </w:t>
      </w:r>
      <w:r>
        <w:rPr>
          <w:b/>
          <w:bCs/>
        </w:rPr>
        <w:t xml:space="preserve">Faux</w:t>
      </w:r>
      <w:r>
        <w:t xml:space="preserve"> </w:t>
      </w:r>
      <w:r>
        <w:t xml:space="preserve">(section</w:t>
      </w:r>
      <w:r>
        <w:t xml:space="preserve"> </w:t>
      </w:r>
      <w:r>
        <w:t xml:space="preserve">“Erreur n°1”</w:t>
      </w:r>
      <w:r>
        <w:t xml:space="preserve">).</w:t>
      </w:r>
    </w:p>
    <w:p>
      <w:pPr>
        <w:pStyle w:val="Compact"/>
        <w:numPr>
          <w:ilvl w:val="0"/>
          <w:numId w:val="2766"/>
        </w:numPr>
      </w:pPr>
      <w:r>
        <w:t xml:space="preserve">L’EDR et l’antivirus traditionnel sont généralement complémentaires plutôt qu’exclusifs. —</w:t>
      </w:r>
      <w:r>
        <w:t xml:space="preserve"> </w:t>
      </w:r>
      <w:r>
        <w:rPr>
          <w:b/>
          <w:bCs/>
        </w:rPr>
        <w:t xml:space="preserve">Vrai</w:t>
      </w:r>
      <w:r>
        <w:t xml:space="preserve"> </w:t>
      </w:r>
      <w:r>
        <w:t xml:space="preserve">(section 76.7).</w:t>
      </w:r>
    </w:p>
    <w:p>
      <w:pPr>
        <w:pStyle w:val="Compact"/>
        <w:numPr>
          <w:ilvl w:val="0"/>
          <w:numId w:val="2766"/>
        </w:numPr>
      </w:pPr>
      <w:r>
        <w:t xml:space="preserve">Une réponse automatisée EDR trop agressive peut isoler un poste légitime, un risque comparable à celui déjà rencontré pour un IPS mal calibré. —</w:t>
      </w:r>
      <w:r>
        <w:t xml:space="preserve"> </w:t>
      </w:r>
      <w:r>
        <w:rPr>
          <w:b/>
          <w:bCs/>
        </w:rPr>
        <w:t xml:space="preserve">Vrai</w:t>
      </w:r>
      <w:r>
        <w:t xml:space="preserve"> </w:t>
      </w:r>
      <w:r>
        <w:t xml:space="preserve">(section</w:t>
      </w:r>
      <w:r>
        <w:t xml:space="preserve"> </w:t>
      </w:r>
      <w:r>
        <w:t xml:space="preserve">“Erreur n°2”</w:t>
      </w:r>
      <w:r>
        <w:t xml:space="preserve">).</w:t>
      </w:r>
    </w:p>
    <w:p>
      <w:pPr>
        <w:pStyle w:val="FirstParagraph"/>
      </w:pPr>
      <w:r>
        <w:t xml:space="preserve">📝 Questions ouvertes</w:t>
      </w:r>
    </w:p>
    <w:p>
      <w:pPr>
        <w:pStyle w:val="Compact"/>
        <w:numPr>
          <w:ilvl w:val="0"/>
          <w:numId w:val="2767"/>
        </w:numPr>
      </w:pPr>
      <w:r>
        <w:t xml:space="preserve">Explique pourquoi l’antivirus traditionnel installé sur le poste compromis lors de l’incident du chapitre 4 n’a rien détecté, et comment un EDR aurait pu changer ce résultat.</w:t>
      </w:r>
    </w:p>
    <w:p>
      <w:pPr>
        <w:pStyle w:val="Compact"/>
        <w:numPr>
          <w:ilvl w:val="0"/>
          <w:numId w:val="2767"/>
        </w:numPr>
      </w:pPr>
      <w:r>
        <w:t xml:space="preserve">Un collègue propose de désactiver la réponse automatisée d’isolement de l’EDR, en la remplaçant par une simple alerte nécessitant une validation humaine avant toute action,</w:t>
      </w:r>
      <w:r>
        <w:t xml:space="preserve"> </w:t>
      </w:r>
      <w:r>
        <w:t xml:space="preserve">“pour éviter tout risque de faux positif bloquant une activité légitime”</w:t>
      </w:r>
      <w:r>
        <w:t xml:space="preserve">. Discute les avantages et les limites de cette proposition.</w:t>
      </w:r>
    </w:p>
    <w:p>
      <w:pPr>
        <w:pStyle w:val="FirstParagraph"/>
      </w:pPr>
      <w:r>
        <w:rPr>
          <w:b/>
          <w:bCs/>
        </w:rPr>
        <w:t xml:space="preserve">Corrigé 1</w:t>
      </w:r>
      <w:r>
        <w:t xml:space="preserve"> </w:t>
      </w:r>
      <w:r>
        <w:t xml:space="preserve">: l’antivirus traditionnel de l’incident du chapitre 4 fonctionnait par comparaison à une base de signatures de menaces déjà connues — le rançongiciel utilisé étant trop récent, aucune signature correspondante n’existait encore dans cette base au moment de l’attaque, le rendant totalement invisible pour cet outil. Un EDR, observant le comportement plutôt que la signature (section 76.2), aurait pu détecter le motif caractéristique du chiffrement massif et rapide de fichiers, indépendamment de la nouveauté du rançongiciel spécifique utilisé — un comportement suffisamment distinctif pour déclencher une alerte, voire une réponse automatisée d’isolement (section 76.4), potentiellement avant qu’un nombre significatif de fichiers ne soit affecté.</w:t>
      </w:r>
    </w:p>
    <w:p>
      <w:pPr>
        <w:pStyle w:val="BodyText"/>
      </w:pPr>
      <w:r>
        <w:rPr>
          <w:b/>
          <w:bCs/>
        </w:rPr>
        <w:t xml:space="preserve">Corrigé 2</w:t>
      </w:r>
      <w:r>
        <w:t xml:space="preserve"> </w:t>
      </w:r>
      <w:r>
        <w:t xml:space="preserve">: cette proposition élimine effectivement le risque d’un faux positif bloquant automatiquement une activité légitime, un avantage réel compte tenu du risque déjà dénoncé à la section</w:t>
      </w:r>
      <w:r>
        <w:t xml:space="preserve"> </w:t>
      </w:r>
      <w:r>
        <w:t xml:space="preserve">“Erreur n°2”</w:t>
      </w:r>
      <w:r>
        <w:t xml:space="preserve">. Cependant, elle introduit un délai humain avant toute action de confinement — pendant l’attente d’une validation humaine, un rançongiciel réel continuerait de chiffrer des fichiers sans interruption, potentiellement pendant plusieurs minutes selon la disponibilité de la personne devant valider l’action, un délai qui aurait pu réduire significativement l’efficacité de la réponse dans le scénario contrefactuel de la section 76.5. Un compromis plus mesuré consisterait à conserver la réponse automatisée pour les comportements présentant le plus haut niveau de confiance (comme un chiffrement massif et rapide, peu susceptible d’être une activité légitime), tout en réservant la validation humaine préalable aux comportements plus ambigus et moins caractéristiques.</w:t>
      </w:r>
    </w:p>
    <w:bookmarkEnd w:id="1859"/>
    <w:bookmarkStart w:id="1860" w:name="exercices-75"/>
    <w:p>
      <w:pPr>
        <w:pStyle w:val="Heading2"/>
      </w:pPr>
      <w:r>
        <w:t xml:space="preserve">Exercices</w:t>
      </w:r>
    </w:p>
    <w:p>
      <w:pPr>
        <w:pStyle w:val="FirstParagraph"/>
      </w:pPr>
      <w:r>
        <w:t xml:space="preserve">📝 Exercice 76.1</w:t>
      </w:r>
    </w:p>
    <w:p>
      <w:pPr>
        <w:pStyle w:val="BodyText"/>
      </w:pPr>
      <w:r>
        <w:t xml:space="preserve">Propose une règle de corrélation SIEM combinant une alerte EDR de comportement suspect sur un poste avec un événement Active Directory, pour distinguer un incident probable d’une simple activité inhabituelle sans gravité.</w:t>
      </w:r>
    </w:p>
    <w:p>
      <w:pPr>
        <w:pStyle w:val="BodyText"/>
      </w:pPr>
      <w:r>
        <w:rPr>
          <w:b/>
          <w:bCs/>
        </w:rPr>
        <w:t xml:space="preserve">Corrigé :</w:t>
      </w:r>
      <w:r>
        <w:t xml:space="preserve"> </w:t>
      </w:r>
      <w:r>
        <w:t xml:space="preserve">La règle pourrait se formuler ainsi :</w:t>
      </w:r>
      <w:r>
        <w:t xml:space="preserve"> </w:t>
      </w:r>
      <w:r>
        <w:t xml:space="preserve">“une alerte EDR de comportement suspect (exécution de processus inhabituel) sur un poste, précédée dans l’heure d’une authentification réussie sur ce poste depuis une adresse IP jamais observée auparavant pour cet utilisateur (événement Active Directory, chapitre 23), alors sévérité élevée, alerter l’équipe sécurité pour investigation prioritaire”</w:t>
      </w:r>
      <w:r>
        <w:t xml:space="preserve">. Un comportement EDR suspect isolé peut parfois correspondre à une activité légitime mais inhabituelle (nouvel outil installé par un utilisateur, par exemple) ; combiné à un signal d’authentification également atypique, la probabilité d’un scénario de compromission réelle augmente significativement, reproduisant le même principe de corrélation multi-source déjà établi aux chapitres 74 et 75 — chaque source individuelle reste ambiguë, leur combinaison devient un indicateur bien plus fiable.</w:t>
      </w:r>
    </w:p>
    <w:p>
      <w:pPr>
        <w:pStyle w:val="BodyText"/>
      </w:pPr>
      <w:r>
        <w:t xml:space="preserve">📝 Exercice 76.2</w:t>
      </w:r>
    </w:p>
    <w:p>
      <w:pPr>
        <w:pStyle w:val="BodyText"/>
      </w:pPr>
      <w:r>
        <w:t xml:space="preserve">Rédige, en 3 à 5 phrases, une règle d’équipe garantissant qu’aucun nouveau poste n’est mis en service dans l’entreprise sans agent EDR installé et fonctionnel, en t’appuyant sur le risque décrit à la section</w:t>
      </w:r>
      <w:r>
        <w:t xml:space="preserve"> </w:t>
      </w:r>
      <w:r>
        <w:t xml:space="preserve">“Erreur n°1”</w:t>
      </w:r>
      <w:r>
        <w:t xml:space="preserve">.</w:t>
      </w:r>
    </w:p>
    <w:p>
      <w:pPr>
        <w:pStyle w:val="BodyText"/>
      </w:pPr>
      <w:r>
        <w:rPr>
          <w:b/>
          <w:bCs/>
        </w:rPr>
        <w:t xml:space="preserve">Corrigé (exemple de réponse) :</w:t>
      </w:r>
      <w:r>
        <w:t xml:space="preserve"> </w:t>
      </w:r>
      <w:r>
        <w:t xml:space="preserve">Aucun poste de travail ou serveur ne sera considéré comme prêt pour la mise en service sans que l’agent EDR n’y soit installé, correctement enregistré auprès de la console centrale, et vérifié comme transmettant effectivement sa télémétrie. Cette vérification sera intégrée à la checklist de mise en service déjà existante pour tout nouveau système, au même titre que les autres contrôles de sécurité déjà établis dans ce manuel. Un audit périodique de l’inventaire des postes (rappel du chapitre 3) sera croisé avec la liste des agents EDR actifs, permettant de détecter rapidement tout système ayant échappé à cette procédure ou dont l’agent aurait cessé de fonctionner silencieusement, évitant que ce système ne devienne un angle mort non détecté dans la couverture de sécurité globale de l’organisation.</w:t>
      </w:r>
    </w:p>
    <w:bookmarkEnd w:id="1860"/>
    <w:bookmarkStart w:id="1861" w:name="checklist-de-fin-de-chapitre-75"/>
    <w:p>
      <w:pPr>
        <w:pStyle w:val="Heading2"/>
      </w:pPr>
      <w:r>
        <w:t xml:space="preserve">Checklist de fin de chapitre</w:t>
      </w:r>
    </w:p>
    <w:p>
      <w:pPr>
        <w:pStyle w:val="FirstParagraph"/>
      </w:pPr>
      <w:r>
        <w:t xml:space="preserve">☐ Je comprends pourquoi un IDS/IPS reste aveugle à une activité malveillante purement locale sur un poste.</w:t>
      </w:r>
    </w:p>
    <w:p>
      <w:pPr>
        <w:pStyle w:val="BodyText"/>
      </w:pPr>
      <w:r>
        <w:t xml:space="preserve">☐ Je sais distinguer un EDR (détection comportementale) d’un antivirus traditionnel (détection par signature).</w:t>
      </w:r>
    </w:p>
    <w:p>
      <w:pPr>
        <w:pStyle w:val="BodyText"/>
      </w:pPr>
      <w:r>
        <w:t xml:space="preserve">☐ Je comprends le rôle de la télémétrie continue collectée par un agent EDR.</w:t>
      </w:r>
    </w:p>
    <w:p>
      <w:pPr>
        <w:pStyle w:val="BodyText"/>
      </w:pPr>
      <w:r>
        <w:t xml:space="preserve">☐ Je sais configurer une réponse automatisée EDR, comme l’isolement d’un poste compromis.</w:t>
      </w:r>
    </w:p>
    <w:p>
      <w:pPr>
        <w:pStyle w:val="BodyText"/>
      </w:pPr>
      <w:r>
        <w:t xml:space="preserve">☐ Je comprends comment un EDR aurait pu changer le déroulement de l’incident du chapitre 4.</w:t>
      </w:r>
    </w:p>
    <w:p>
      <w:pPr>
        <w:pStyle w:val="BodyText"/>
      </w:pPr>
      <w:r>
        <w:t xml:space="preserve">☐ Je sais intégrer les alertes EDR au SIEM pour enrichir la corrélation d’ensemble.</w:t>
      </w:r>
    </w:p>
    <w:bookmarkEnd w:id="1861"/>
    <w:bookmarkStart w:id="1862" w:name="faq-75"/>
    <w:p>
      <w:pPr>
        <w:pStyle w:val="Heading2"/>
      </w:pPr>
      <w:r>
        <w:t xml:space="preserve">FAQ</w:t>
      </w:r>
    </w:p>
    <w:p>
      <w:pPr>
        <w:pStyle w:val="FirstParagraph"/>
      </w:pPr>
      <w:r>
        <w:t xml:space="preserve">Un EDR remplace-t-il complètement le besoin d’un antivirus traditionnel ?</w:t>
      </w:r>
    </w:p>
    <w:p>
      <w:pPr>
        <w:pStyle w:val="BodyText"/>
      </w:pPr>
      <w:r>
        <w:t xml:space="preserve">Pas nécessairement — de nombreuses solutions modernes combinent les deux approches dans un même agent (section 76.7), l’antivirus traditionnel filtrant efficacement les menaces déjà connues tandis que l’EDR couvre les comportements inédits, les deux approches restant généralement complémentaires plutôt qu’exclusives.</w:t>
      </w:r>
    </w:p>
    <w:p>
      <w:pPr>
        <w:pStyle w:val="BodyText"/>
      </w:pPr>
      <w:r>
        <w:t xml:space="preserve">Un EDR peut-il générer des faux positifs, comme les autres outils de détection déjà rencontrés dans ce manuel ?</w:t>
      </w:r>
    </w:p>
    <w:p>
      <w:pPr>
        <w:pStyle w:val="BodyText"/>
      </w:pPr>
      <w:r>
        <w:t xml:space="preserve">Oui, exactement le même risque déjà rencontré pour les triggers Zabbix, les règles Prometheus, les règles SIEM et les règles IPS s’applique aux règles comportementales EDR — un calibrage soigneux et une documentation des activités légitimes connues restent nécessaires pour limiter ce risque.</w:t>
      </w:r>
    </w:p>
    <w:p>
      <w:pPr>
        <w:pStyle w:val="BodyText"/>
      </w:pPr>
      <w:r>
        <w:t xml:space="preserve">L’EDR nécessite-t-il une équipe dédiée pour être efficace, comme le SIEM du chapitre 74 ?</w:t>
      </w:r>
    </w:p>
    <w:p>
      <w:pPr>
        <w:pStyle w:val="BodyText"/>
      </w:pPr>
      <w:r>
        <w:t xml:space="preserve">Une surveillance et un ajustement réguliers des règles comportementales restent nécessaires pour maintenir l’efficacité de l’EDR dans la durée, un investissement humain comparable à celui déjà recommandé pour le SIEM au chapitre 74 — un EDR installé puis totalement délaissé perd progressivement sa pertinence face à l’évolution du contexte de l’organisation.</w:t>
      </w:r>
    </w:p>
    <w:p>
      <w:pPr>
        <w:pStyle w:val="BodyText"/>
      </w:pPr>
      <w:r>
        <w:t xml:space="preserve">Un EDR peut-il détecter une menace qui n’implique aucun fichier malveillant, comme une attaque utilisant uniquement des outils légitimes déjà présents sur le système ?</w:t>
      </w:r>
    </w:p>
    <w:p>
      <w:pPr>
        <w:pStyle w:val="BodyText"/>
      </w:pPr>
      <w:r>
        <w:t xml:space="preserve">Oui, c’est précisément l’un des principaux avantages de l’approche comportementale — une attaque utilisant exclusivement des outils système légitimes (une technique parfois appelée</w:t>
      </w:r>
      <w:r>
        <w:t xml:space="preserve"> </w:t>
      </w:r>
      <w:r>
        <w:t xml:space="preserve">“living off the land”</w:t>
      </w:r>
      <w:r>
        <w:t xml:space="preserve">) échapperait totalement à un antivirus traditionnel basé sur signature, mais peut être détectée par un EDR si la séquence d’utilisation de ces outils légitimes constitue elle-même un comportement anormal et caractéristique.</w:t>
      </w:r>
    </w:p>
    <w:bookmarkEnd w:id="1862"/>
    <w:bookmarkStart w:id="1864" w:name="références-et-pour-aller-plus-loin-75"/>
    <w:p>
      <w:pPr>
        <w:pStyle w:val="Heading2"/>
      </w:pPr>
      <w:r>
        <w:t xml:space="preserve">Références et pour aller plus loin</w:t>
      </w:r>
    </w:p>
    <w:p>
      <w:pPr>
        <w:pStyle w:val="Compact"/>
        <w:numPr>
          <w:ilvl w:val="0"/>
          <w:numId w:val="2768"/>
        </w:numPr>
      </w:pPr>
      <w:r>
        <w:t xml:space="preserve">NIST — Guide to Malware Incident Prevention and Handling (SP 800-83) :</w:t>
      </w:r>
      <w:r>
        <w:t xml:space="preserve"> </w:t>
      </w:r>
      <w:hyperlink r:id="rId1863">
        <w:r>
          <w:rPr>
            <w:rStyle w:val="Hyperlink"/>
          </w:rPr>
          <w:t xml:space="preserve">https://csrc.nist.gov/publications/detail/sp/800-83/rev-1/final</w:t>
        </w:r>
      </w:hyperlink>
    </w:p>
    <w:p>
      <w:pPr>
        <w:pStyle w:val="Compact"/>
        <w:numPr>
          <w:ilvl w:val="0"/>
          <w:numId w:val="2768"/>
        </w:numPr>
      </w:pPr>
      <w:r>
        <w:t xml:space="preserve">MITRE ATT&amp;CK — Techniques associées aux rançongiciels :</w:t>
      </w:r>
      <w:r>
        <w:t xml:space="preserve"> </w:t>
      </w:r>
      <w:hyperlink r:id="rId1816">
        <w:r>
          <w:rPr>
            <w:rStyle w:val="Hyperlink"/>
          </w:rPr>
          <w:t xml:space="preserve">https://attack.mitre.org/</w:t>
        </w:r>
      </w:hyperlink>
    </w:p>
    <w:p>
      <w:pPr>
        <w:pStyle w:val="FirstParagraph"/>
      </w:pPr>
      <w:r>
        <w:rPr>
          <w:i/>
          <w:iCs/>
        </w:rPr>
        <w:t xml:space="preserve">Chapitre suivant : l’audit de sécurité et les tests d’intrusion — vérifier activement et de façon proactive l’efficacité réelle de l’ensemble des mesures de détection et de protection déjà construites dans cette partie du manuel, plutôt que d’attendre qu’un incident réel ne les mette à l’épreuve.</w:t>
      </w:r>
    </w:p>
    <w:p>
      <w:pPr>
        <w:pStyle w:val="BodyText"/>
      </w:pPr>
      <w:r>
        <w:t xml:space="preserve">CHAPITRE 77</w:t>
      </w:r>
    </w:p>
    <w:bookmarkEnd w:id="1864"/>
    <w:bookmarkEnd w:id="1865"/>
    <w:bookmarkStart w:id="1888" w:name="Xd266ebeb8840af46da8d0e5a5c12da64d495b67"/>
    <w:p>
      <w:pPr>
        <w:pStyle w:val="Heading1"/>
      </w:pPr>
      <w:r>
        <w:t xml:space="preserve">Audit de sécurité et tests d’intrusion (notions)</w:t>
      </w:r>
    </w:p>
    <w:p>
      <w:pPr>
        <w:pStyle w:val="FirstParagraph"/>
      </w:pPr>
      <w:r>
        <w:t xml:space="preserve">🎯 Objectif du chapitre</w:t>
      </w:r>
      <w:r>
        <w:t xml:space="preserve"> </w:t>
      </w:r>
      <w:r>
        <w:t xml:space="preserve">Vérifier activement et de façon proactive l’efficacité réelle de l’ensemble des mesures de détection et de protection déjà construites dans cette partie du manuel — pare-feu (chapitre 66), IDS/IPS (chapitre 75), EDR (chapitre 76), SIEM (chapitre 74) — plutôt que d’attendre qu’un incident réel ne les mette à l’épreuve. À la fin de ce chapitre, tu comprendras la différence entre un audit de sécurité et un test d’intrusion, les différents niveaux de connaissance préalable (boîte noire, grise, blanche), le cadre légal indispensable, et la boucle de vérification après remédiation.</w:t>
      </w:r>
    </w:p>
    <w:p>
      <w:pPr>
        <w:pStyle w:val="BodyText"/>
      </w:pPr>
      <w:r>
        <w:t xml:space="preserve">🎬 Mise en situation</w:t>
      </w:r>
      <w:r>
        <w:t xml:space="preserve"> </w:t>
      </w:r>
      <w:r>
        <w:t xml:space="preserve">La simulation d’intrusion évoquée au chapitre 74, menée par un prestataire externe, n’était pas un événement isolé — c’était en réalité le premier test d’intrusion formel commandité par l’entreprise, après plusieurs années à construire des défenses (pare-feu, IDS/IPS, EDR, SIEM) sans jamais les avoir réellement mises à l’épreuve dans des conditions proches d’une attaque réelle.</w:t>
      </w:r>
      <w:r>
        <w:t xml:space="preserve"> </w:t>
      </w:r>
      <w:r>
        <w:t xml:space="preserve">“On construit des défenses depuis des années,”</w:t>
      </w:r>
      <w:r>
        <w:t xml:space="preserve"> </w:t>
      </w:r>
      <w:r>
        <w:t xml:space="preserve">résume la RSSI,</w:t>
      </w:r>
      <w:r>
        <w:t xml:space="preserve"> </w:t>
      </w:r>
      <w:r>
        <w:t xml:space="preserve">“mais jusqu’à cette simulation, on n’avait jamais vraiment vérifié si elles fonctionnaient ensemble face à un attaquant déterminé.”</w:t>
      </w:r>
      <w:r>
        <w:t xml:space="preserve"> </w:t>
      </w:r>
      <w:r>
        <w:t xml:space="preserve">Ce chapitre formalise cette pratique, désormais intégrée durablement au cycle de sécurité de l’entreprise.</w:t>
      </w:r>
    </w:p>
    <w:bookmarkStart w:id="1866" w:name="X9edb33186256b29deb24c51fb763788afdafeeb"/>
    <w:p>
      <w:pPr>
        <w:pStyle w:val="Heading2"/>
      </w:pPr>
      <w:r>
        <w:t xml:space="preserve">77.1 Le problème : des défenses jamais réellement testées</w:t>
      </w:r>
    </w:p>
    <w:p>
      <w:pPr>
        <w:pStyle w:val="FirstParagraph"/>
      </w:pPr>
      <w:r>
        <w:t xml:space="preserve">📌 À retenir</w:t>
      </w:r>
      <w:r>
        <w:t xml:space="preserve"> </w:t>
      </w:r>
      <w:r>
        <w:t xml:space="preserve">Une mesure de sécurité correctement configurée en théorie peut échouer en pratique pour de multiples raisons — une règle mal calibrée, une source non intégrée au SIEM, un poste oublié lors du déploiement de l’EDR. Sans test actif dans des conditions réalistes, ces failles restent invisibles jusqu’à ce qu’un attaquant réel, malveillant, les découvre à sa place — un scénario nettement moins favorable qu’une découverte contrôlée par un prestataire mandaté à cet effet.</w:t>
      </w:r>
    </w:p>
    <w:bookmarkEnd w:id="1866"/>
    <w:bookmarkStart w:id="1867" w:name="X541c63e875434d3b46d7bc306e470dc439c37a9"/>
    <w:p>
      <w:pPr>
        <w:pStyle w:val="Heading2"/>
      </w:pPr>
      <w:r>
        <w:t xml:space="preserve">77.2 Audit de sécurité et test d’intrusion : deux approches distinctes</w:t>
      </w:r>
    </w:p>
    <w:p>
      <w:pPr>
        <w:pStyle w:val="FirstParagraph"/>
      </w:pPr>
      <w:r>
        <w:t xml:space="preserve">📌 À retenir</w:t>
      </w:r>
      <w:r>
        <w:t xml:space="preserve"> </w:t>
      </w:r>
      <w:r>
        <w:t xml:space="preserve">Un</w:t>
      </w:r>
      <w:r>
        <w:t xml:space="preserve"> </w:t>
      </w:r>
      <w:r>
        <w:rPr>
          <w:b/>
          <w:bCs/>
        </w:rPr>
        <w:t xml:space="preserve">audit de sécurité</w:t>
      </w:r>
      <w:r>
        <w:t xml:space="preserve"> </w:t>
      </w:r>
      <w:r>
        <w:t xml:space="preserve">examine la conformité et la configuration des systèmes par rapport à un référentiel donné (comme les CIS Benchmarks du chapitre 73), généralement de façon systématique et documentaire. Un</w:t>
      </w:r>
      <w:r>
        <w:t xml:space="preserve"> </w:t>
      </w:r>
      <w:r>
        <w:rPr>
          <w:b/>
          <w:bCs/>
        </w:rPr>
        <w:t xml:space="preserve">test d’intrusion</w:t>
      </w:r>
      <w:r>
        <w:t xml:space="preserve"> </w:t>
      </w:r>
      <w:r>
        <w:t xml:space="preserve">(pentest) va plus loin : il simule activement une attaque réelle, tentant d’exploiter des vulnérabilités pour évaluer non seulement leur présence, mais leur exploitabilité concrète et l’efficacité réelle des défenses en place à les détecter et à les contenir — exactement l’exercice mené par le prestataire dans le scénario d’ouverture du chapitre 74.</w:t>
      </w:r>
    </w:p>
    <w:bookmarkEnd w:id="1867"/>
    <w:bookmarkStart w:id="1868" w:name="Xf198b70abcd77a22b2db869c382ed05f36695fa"/>
    <w:p>
      <w:pPr>
        <w:pStyle w:val="Heading2"/>
      </w:pPr>
      <w:r>
        <w:t xml:space="preserve">77.3 Niveaux de connaissance préalable : boîte noire, grise, blanche</w:t>
      </w:r>
    </w:p>
    <w:p>
      <w:pPr>
        <w:pStyle w:val="FirstParagraph"/>
      </w:pPr>
      <w:r>
        <w:t xml:space="preserve">💡 Trois niveaux de réalisme</w:t>
      </w:r>
      <w:r>
        <w:t xml:space="preserve"> </w:t>
      </w:r>
      <w:r>
        <w:t xml:space="preserve">Un test en</w:t>
      </w:r>
      <w:r>
        <w:t xml:space="preserve"> </w:t>
      </w:r>
      <w:r>
        <w:rPr>
          <w:b/>
          <w:bCs/>
        </w:rPr>
        <w:t xml:space="preserve">boîte noire</w:t>
      </w:r>
      <w:r>
        <w:t xml:space="preserve"> </w:t>
      </w:r>
      <w:r>
        <w:t xml:space="preserve">simule un attaquant externe sans aucune connaissance préalable de l’infrastructure — le plus réaliste par rapport à une menace externe, mais aussi le plus long et le moins exhaustif dans le temps imparti. Un test en</w:t>
      </w:r>
      <w:r>
        <w:t xml:space="preserve"> </w:t>
      </w:r>
      <w:r>
        <w:rPr>
          <w:b/>
          <w:bCs/>
        </w:rPr>
        <w:t xml:space="preserve">boîte grise</w:t>
      </w:r>
      <w:r>
        <w:t xml:space="preserve"> </w:t>
      </w:r>
      <w:r>
        <w:t xml:space="preserve">fournit un niveau de connaissance intermédiaire (comme des identifiants utilisateur standards), simulant une menace interne ou un attaquant ayant déjà obtenu un accès initial. Un test en</w:t>
      </w:r>
      <w:r>
        <w:t xml:space="preserve"> </w:t>
      </w:r>
      <w:r>
        <w:rPr>
          <w:b/>
          <w:bCs/>
        </w:rPr>
        <w:t xml:space="preserve">boîte blanche</w:t>
      </w:r>
      <w:r>
        <w:t xml:space="preserve"> </w:t>
      </w:r>
      <w:r>
        <w:t xml:space="preserve">fournit une connaissance complète de l’infrastructure, maximisant la couverture des vulnérabilités identifiées au détriment du réalisme d’un scénario d’attaque authentique.</w:t>
      </w:r>
    </w:p>
    <w:bookmarkEnd w:id="1868"/>
    <w:bookmarkStart w:id="1869" w:name="X18ec719d4393480b5f5e41a2d7dcb09927292ba"/>
    <w:p>
      <w:pPr>
        <w:pStyle w:val="Heading2"/>
      </w:pPr>
      <w:r>
        <w:t xml:space="preserve">77.4 Le cadre légal : jamais sans mandat écrit explicite</w:t>
      </w:r>
    </w:p>
    <w:p>
      <w:pPr>
        <w:pStyle w:val="FirstParagraph"/>
      </w:pPr>
      <w:r>
        <w:t xml:space="preserve">🔒 Sécurité — un point non négociable</w:t>
      </w:r>
      <w:r>
        <w:t xml:space="preserve"> </w:t>
      </w:r>
      <w:r>
        <w:t xml:space="preserve">Un test d’intrusion réalisé sans autorisation écrite explicite, précisant le périmètre exact autorisé, les dates, et les limites de l’intervention, constitue une activité illégale, indiscernable d’une véritable cyberattaque du point de vue de la loi — quelle que soit l’intention réelle de la personne qui le mène. Toute démarche de test d’intrusion, interne ou via un prestataire externe comme dans le scénario d’ouverture, doit impérativement s’appuyer sur un mandat écrit signé par une autorité compétente de l’organisation, définissant précisément la portée (</w:t>
      </w:r>
      <w:r>
        <w:rPr>
          <w:i/>
          <w:iCs/>
        </w:rPr>
        <w:t xml:space="preserve">scope</w:t>
      </w:r>
      <w:r>
        <w:t xml:space="preserve">) autorisée.</w:t>
      </w:r>
    </w:p>
    <w:bookmarkEnd w:id="1869"/>
    <w:bookmarkStart w:id="1870" w:name="les-étapes-dun-test-dintrusion"/>
    <w:p>
      <w:pPr>
        <w:pStyle w:val="Heading2"/>
      </w:pPr>
      <w:r>
        <w:t xml:space="preserve">77.5 Les étapes d’un test d’intrusion</w:t>
      </w:r>
    </w:p>
    <w:p>
      <w:pPr>
        <w:pStyle w:val="FirstParagraph"/>
      </w:pPr>
      <w:r>
        <w:t xml:space="preserve">💡 Rappel indirect de la section 74.5</w:t>
      </w:r>
      <w:r>
        <w:t xml:space="preserve"> </w:t>
      </w:r>
      <w:r>
        <w:t xml:space="preserve">Un test d’intrusion suit généralement une progression similaire à celle d’une attaque réelle déjà évoquée au chapitre 74 :</w:t>
      </w:r>
      <w:r>
        <w:t xml:space="preserve"> </w:t>
      </w:r>
      <w:r>
        <w:rPr>
          <w:b/>
          <w:bCs/>
        </w:rPr>
        <w:t xml:space="preserve">reconnaissance</w:t>
      </w:r>
      <w:r>
        <w:t xml:space="preserve"> </w:t>
      </w:r>
      <w:r>
        <w:t xml:space="preserve">(collecte d’informations sur la cible),</w:t>
      </w:r>
      <w:r>
        <w:t xml:space="preserve"> </w:t>
      </w:r>
      <w:r>
        <w:rPr>
          <w:b/>
          <w:bCs/>
        </w:rPr>
        <w:t xml:space="preserve">exploitation</w:t>
      </w:r>
      <w:r>
        <w:t xml:space="preserve"> </w:t>
      </w:r>
      <w:r>
        <w:t xml:space="preserve">(tentative d’accès initial via une vulnérabilité identifiée),</w:t>
      </w:r>
      <w:r>
        <w:t xml:space="preserve"> </w:t>
      </w:r>
      <w:r>
        <w:rPr>
          <w:b/>
          <w:bCs/>
        </w:rPr>
        <w:t xml:space="preserve">post-exploitation</w:t>
      </w:r>
      <w:r>
        <w:t xml:space="preserve"> </w:t>
      </w:r>
      <w:r>
        <w:t xml:space="preserve">(évaluation de ce qu’un accès obtenu permettrait réellement de faire — élévation de privilèges, mouvement latéral), puis</w:t>
      </w:r>
      <w:r>
        <w:t xml:space="preserve"> </w:t>
      </w:r>
      <w:r>
        <w:rPr>
          <w:b/>
          <w:bCs/>
        </w:rPr>
        <w:t xml:space="preserve">rapport</w:t>
      </w:r>
      <w:r>
        <w:t xml:space="preserve"> </w:t>
      </w:r>
      <w:r>
        <w:t xml:space="preserve">(documentation détaillée des constats et recommandations). Cette progression méthodique permet d’évaluer non seulement si une vulnérabilité existe, mais son impact réel si elle était exploitée par un attaquant véritable.</w:t>
      </w:r>
    </w:p>
    <w:bookmarkEnd w:id="1870"/>
    <w:bookmarkStart w:id="1871" w:name="Xcda0d177e95ffe78085ea250f4560a9102900b2"/>
    <w:p>
      <w:pPr>
        <w:pStyle w:val="Heading2"/>
      </w:pPr>
      <w:r>
        <w:t xml:space="preserve">77.6 Le rapport : au-delà d’une simple liste de failles</w:t>
      </w:r>
    </w:p>
    <w:p>
      <w:pPr>
        <w:pStyle w:val="FirstParagraph"/>
      </w:pPr>
      <w:r>
        <w:t xml:space="preserve">✅ Rappel indirect du chapitre 72</w:t>
      </w:r>
      <w:r>
        <w:t xml:space="preserve"> </w:t>
      </w:r>
      <w:r>
        <w:t xml:space="preserve">Un rapport de test d’intrusion utile ne se limite pas à énumérer des vulnérabilités techniques — il priorise les constats selon leur gravité réelle et leur exploitabilité concrète, exactement le même principe de priorisation par le risque déjà établi pour l’analyse de risque ISO 27001 au chapitre 72. Une vulnérabilité théorique difficile à exploiter en pratique mérite un traitement différent d’une vulnérabilité activement exploitée avec succès durant le test, avec un accès obtenu jusqu’à des données sensibles.</w:t>
      </w:r>
    </w:p>
    <w:bookmarkEnd w:id="1871"/>
    <w:bookmarkStart w:id="1872" w:name="X8e3ef2243f51c26228c719b1c84f0a6133e0578"/>
    <w:p>
      <w:pPr>
        <w:pStyle w:val="Heading2"/>
      </w:pPr>
      <w:r>
        <w:t xml:space="preserve">77.7 Retester après correction : fermer la boucle</w:t>
      </w:r>
    </w:p>
    <w:p>
      <w:pPr>
        <w:pStyle w:val="FirstParagraph"/>
      </w:pPr>
      <w:r>
        <w:t xml:space="preserve">📌 À retenir — rappel direct du chapitre 27</w:t>
      </w:r>
      <w:r>
        <w:t xml:space="preserve"> </w:t>
      </w:r>
      <w:r>
        <w:t xml:space="preserve">Un rapport de test d’intrusion sans vérification ultérieure de la correction effective des vulnérabilités identifiées reproduit le même risque déjà dénoncé pour une sauvegarde jamais testée en restauration au chapitre 27 — la mesure corrective déclarée</w:t>
      </w:r>
      <w:r>
        <w:t xml:space="preserve"> </w:t>
      </w:r>
      <w:r>
        <w:t xml:space="preserve">“appliquée”</w:t>
      </w:r>
      <w:r>
        <w:t xml:space="preserve"> </w:t>
      </w:r>
      <w:r>
        <w:t xml:space="preserve">peut, dans les faits, s’avérer incomplète ou incorrecte sans qu’aucune vérification ne le confirme. Un cycle de test d’intrusion complet inclut donc systématiquement une phase de</w:t>
      </w:r>
      <w:r>
        <w:t xml:space="preserve"> </w:t>
      </w:r>
      <w:r>
        <w:rPr>
          <w:b/>
          <w:bCs/>
        </w:rPr>
        <w:t xml:space="preserve">retest</w:t>
      </w:r>
      <w:r>
        <w:t xml:space="preserve">, vérifiant que chaque vulnérabilité corrigée l’est réellement, et non simplement déclarée comme telle.</w:t>
      </w:r>
    </w:p>
    <w:bookmarkEnd w:id="1872"/>
    <w:bookmarkStart w:id="1873" w:name="X6f3f6a3964abb41a650590075522ed482856810"/>
    <w:p>
      <w:pPr>
        <w:pStyle w:val="Heading2"/>
      </w:pPr>
      <w:r>
        <w:t xml:space="preserve">Atelier — Définir le mandat d’un test d’intrusion sur le portail client</w:t>
      </w:r>
    </w:p>
    <w:p>
      <w:pPr>
        <w:pStyle w:val="FirstParagraph"/>
      </w:pPr>
      <w:r>
        <w:t xml:space="preserve">🛠️ Atelier 77 — Formaliser la démarche du scénario d’ouverture pour un futur test</w:t>
      </w:r>
    </w:p>
    <w:p>
      <w:pPr>
        <w:pStyle w:val="BodyText"/>
      </w:pPr>
      <w:r>
        <w:rPr>
          <w:b/>
          <w:bCs/>
        </w:rPr>
        <w:t xml:space="preserve">Objectif</w:t>
      </w:r>
      <w:r>
        <w:t xml:space="preserve"> </w:t>
      </w:r>
      <w:r>
        <w:t xml:space="preserve">: rédiger les éléments essentiels d’un mandat de test d’intrusion pour le portail client, exposé publiquement sur Internet.</w:t>
      </w:r>
    </w:p>
    <w:p>
      <w:pPr>
        <w:pStyle w:val="BodyText"/>
      </w:pPr>
      <w:r>
        <w:rPr>
          <w:b/>
          <w:bCs/>
        </w:rPr>
        <w:t xml:space="preserve">Préparation</w:t>
      </w:r>
      <w:r>
        <w:t xml:space="preserve"> </w:t>
      </w:r>
      <w:r>
        <w:t xml:space="preserve">: une compréhension du périmètre technique du portail client (chapitres 39-44), déjà protégé par le pare-feu (chapitre 66), l’IDS/IPS (chapitre 75) et intégré au SIEM (chapitre 74).</w:t>
      </w:r>
    </w:p>
    <w:p>
      <w:pPr>
        <w:pStyle w:val="BodyText"/>
      </w:pPr>
      <w:r>
        <w:rPr>
          <w:b/>
          <w:bCs/>
        </w:rPr>
        <w:t xml:space="preserve">Étapes détaillées</w:t>
      </w:r>
      <w:r>
        <w:t xml:space="preserve"> </w:t>
      </w:r>
      <w:r>
        <w:t xml:space="preserve">:</w:t>
      </w:r>
    </w:p>
    <w:p>
      <w:pPr>
        <w:pStyle w:val="Compact"/>
        <w:numPr>
          <w:ilvl w:val="0"/>
          <w:numId w:val="2769"/>
        </w:numPr>
      </w:pPr>
      <w:r>
        <w:t xml:space="preserve">Détermine le niveau de connaissance préalable le plus approprié pour ce test (boîte noire, grise ou blanche), en justifiant ton choix par rapport à la menace la plus réaliste pour ce système exposé publiquement.</w:t>
      </w:r>
    </w:p>
    <w:p>
      <w:pPr>
        <w:pStyle w:val="Compact"/>
        <w:numPr>
          <w:ilvl w:val="0"/>
          <w:numId w:val="2769"/>
        </w:numPr>
      </w:pPr>
      <w:r>
        <w:t xml:space="preserve">Définis explicitement le périmètre autorisé (quels systèmes, quelles adresses, quelles dates) et ce qui reste hors périmètre.</w:t>
      </w:r>
    </w:p>
    <w:p>
      <w:pPr>
        <w:pStyle w:val="Compact"/>
        <w:numPr>
          <w:ilvl w:val="0"/>
          <w:numId w:val="2769"/>
        </w:numPr>
      </w:pPr>
      <w:r>
        <w:t xml:space="preserve">Rédige les limites de l’intervention (types d’attaques exclues, comme une attaque par déni de service qui interromprait le service pour de vrais utilisateurs).</w:t>
      </w:r>
    </w:p>
    <w:p>
      <w:pPr>
        <w:pStyle w:val="Compact"/>
        <w:numPr>
          <w:ilvl w:val="0"/>
          <w:numId w:val="2769"/>
        </w:numPr>
      </w:pPr>
      <w:r>
        <w:t xml:space="preserve">Explique pourquoi l’autorisation écrite doit être signée par une autorité ayant explicitement le pouvoir d’engager l’organisation sur ce périmètre précis.</w:t>
      </w:r>
    </w:p>
    <w:p>
      <w:pPr>
        <w:pStyle w:val="Compact"/>
        <w:numPr>
          <w:ilvl w:val="0"/>
          <w:numId w:val="2769"/>
        </w:numPr>
      </w:pPr>
      <w:r>
        <w:t xml:space="preserve">Compare ta démarche à la section</w:t>
      </w:r>
      <w:r>
        <w:t xml:space="preserve"> </w:t>
      </w:r>
      <w:r>
        <w:t xml:space="preserve">“Résultat attendu”</w:t>
      </w:r>
      <w:r>
        <w:t xml:space="preserve">.</w:t>
      </w:r>
    </w:p>
    <w:p>
      <w:pPr>
        <w:pStyle w:val="FirstParagraph"/>
      </w:pPr>
      <w:r>
        <w:rPr>
          <w:b/>
          <w:bCs/>
        </w:rPr>
        <w:t xml:space="preserve">Résultat attendu</w:t>
      </w:r>
      <w:r>
        <w:t xml:space="preserve"> </w:t>
      </w:r>
      <w:r>
        <w:t xml:space="preserve">: un test en boîte noire ou grise reste le plus pertinent pour le portail client exposé publiquement, simulant fidèlement la menace la plus probable — un attaquant externe sans accès préalable, éventuellement complété par un accès utilisateur standard pour évaluer les risques d’un compte compromis. Le périmètre devrait explicitement exclure les autres systèmes internes de l’entreprise non liés au portail, évitant qu’un test initialement circonscrit ne dérive vers des systèmes non couverts par le mandat. L’exclusion d’attaques par déni de service protège la disponibilité réelle du service pendant le test, un impact qui affecterait de vrais utilisateurs si le test causait une interruption non désirée. L’autorisation doit être signée par une autorité disposant explicitement du pouvoir d’engager l’organisation, car un mandat signé par une personne sans cette autorité réelle n’offrirait aucune protection légale valide en cas de contestation ultérieure.</w:t>
      </w:r>
    </w:p>
    <w:p>
      <w:pPr>
        <w:pStyle w:val="BodyText"/>
      </w:pPr>
      <w:r>
        <w:rPr>
          <w:b/>
          <w:bCs/>
        </w:rPr>
        <w:t xml:space="preserve">Dépannage</w:t>
      </w:r>
      <w:r>
        <w:t xml:space="preserve"> </w:t>
      </w:r>
      <w:r>
        <w:t xml:space="preserve">: si, durant le test, le prestataire découvre une vulnérabilité critique manifestement exploitable avec un impact potentiel immédiat, le mandat devrait prévoir une procédure de signalement d’urgence permettant d’interrompre le test et d’alerter immédiatement l’équipe de sécurité, plutôt que d’attendre le rapport final pour communiquer une découverte critique.</w:t>
      </w:r>
    </w:p>
    <w:bookmarkEnd w:id="1873"/>
    <w:bookmarkStart w:id="1874" w:name="erreurs-fréquentes-76"/>
    <w:p>
      <w:pPr>
        <w:pStyle w:val="Heading2"/>
      </w:pPr>
      <w:r>
        <w:t xml:space="preserve">Erreurs fréquentes</w:t>
      </w:r>
    </w:p>
    <w:p>
      <w:pPr>
        <w:pStyle w:val="FirstParagraph"/>
      </w:pPr>
      <w:r>
        <w:t xml:space="preserve">⚠️ Erreur n°1 — un test d’intrusion mené sans autorisation écrite explicite</w:t>
      </w:r>
      <w:r>
        <w:t xml:space="preserve"> </w:t>
      </w:r>
      <w:r>
        <w:t xml:space="preserve">Rappel de la section 77.4 : un risque légal majeur, quelle que soit l’intention réelle de la personne qui mène le test.</w:t>
      </w:r>
    </w:p>
    <w:p>
      <w:pPr>
        <w:pStyle w:val="BodyText"/>
      </w:pPr>
      <w:r>
        <w:t xml:space="preserve">⚠️ Erreur n°2 — un périmètre mal défini, menant à un test débordant du cadre autorisé</w:t>
      </w:r>
      <w:r>
        <w:t xml:space="preserve"> </w:t>
      </w:r>
      <w:r>
        <w:t xml:space="preserve">Rappel de l’atelier : un périmètre imprécis expose l’organisation et le prestataire à des risques légaux et opérationnels évitables par une définition claire dès le départ.</w:t>
      </w:r>
    </w:p>
    <w:p>
      <w:pPr>
        <w:pStyle w:val="BodyText"/>
      </w:pPr>
      <w:r>
        <w:t xml:space="preserve">⚠️ Erreur n°3 — un rapport de test archivé sans jamais être suivi de remédiation réelle</w:t>
      </w:r>
      <w:r>
        <w:t xml:space="preserve"> </w:t>
      </w:r>
      <w:r>
        <w:t xml:space="preserve">Rappel de la section 77.7 : une vulnérabilité identifiée mais non corrigée, puis retrouvée identique lors du test suivant, révèle un processus de remédiation défaillant, indépendamment de la qualité du test lui-même.</w:t>
      </w:r>
    </w:p>
    <w:bookmarkEnd w:id="1874"/>
    <w:bookmarkStart w:id="1875" w:name="X6305a429b334a6bd9c2c56ee9a5e9bd4d451358"/>
    <w:p>
      <w:pPr>
        <w:pStyle w:val="Heading2"/>
      </w:pPr>
      <w:r>
        <w:t xml:space="preserve">Diagnostiquer une vulnérabilité récurrente d’un test à l’autre</w:t>
      </w:r>
    </w:p>
    <w:p>
      <w:pPr>
        <w:pStyle w:val="FirstParagraph"/>
      </w:pPr>
      <w:r>
        <w:t xml:space="preserve">🩺 Symptôme : une vulnérabilité déjà signalée lors d’un test d’intrusion précédent est retrouvée non corrigée lors du test suivant</w:t>
      </w:r>
    </w:p>
    <w:p>
      <w:pPr>
        <w:pStyle w:val="Compact"/>
        <w:numPr>
          <w:ilvl w:val="0"/>
          <w:numId w:val="2770"/>
        </w:numPr>
      </w:pPr>
      <w:r>
        <w:rPr>
          <w:b/>
          <w:bCs/>
        </w:rPr>
        <w:t xml:space="preserve">Diagnostic</w:t>
      </w:r>
      <w:r>
        <w:t xml:space="preserve"> </w:t>
      </w:r>
      <w:r>
        <w:t xml:space="preserve">: vérifier si la remédiation avait réellement été assignée à un responsable identifié après le rapport précédent, ou si le rapport avait simplement été archivé sans suivi opérationnel structuré.</w:t>
      </w:r>
    </w:p>
    <w:p>
      <w:pPr>
        <w:pStyle w:val="Compact"/>
        <w:numPr>
          <w:ilvl w:val="0"/>
          <w:numId w:val="2770"/>
        </w:numPr>
      </w:pPr>
      <w:r>
        <w:rPr>
          <w:b/>
          <w:bCs/>
        </w:rPr>
        <w:t xml:space="preserve">Comment vérifier</w:t>
      </w:r>
      <w:r>
        <w:t xml:space="preserve"> </w:t>
      </w:r>
      <w:r>
        <w:t xml:space="preserve">: consulter le processus de suivi des recommandations post-audit — un rapport de test d’intrusion sans mécanisme de suivi formel des actions correctives échoue structurellement à garantir leur mise en œuvre réelle.</w:t>
      </w:r>
    </w:p>
    <w:p>
      <w:pPr>
        <w:pStyle w:val="Compact"/>
        <w:numPr>
          <w:ilvl w:val="0"/>
          <w:numId w:val="2770"/>
        </w:numPr>
      </w:pPr>
      <w:r>
        <w:rPr>
          <w:b/>
          <w:bCs/>
        </w:rPr>
        <w:t xml:space="preserve">Résolution</w:t>
      </w:r>
      <w:r>
        <w:t xml:space="preserve"> </w:t>
      </w:r>
      <w:r>
        <w:t xml:space="preserve">: mettre en place un processus de suivi formel assignant chaque recommandation à un responsable et une échéance, avec une vérification explicite de sa clôture, plutôt que de considérer le rapport lui-même comme l’aboutissement de la démarche.</w:t>
      </w:r>
    </w:p>
    <w:bookmarkEnd w:id="1875"/>
    <w:bookmarkStart w:id="1876" w:name="en-entreprise-76"/>
    <w:p>
      <w:pPr>
        <w:pStyle w:val="Heading2"/>
      </w:pPr>
      <w:r>
        <w:t xml:space="preserve">En entreprise</w:t>
      </w:r>
    </w:p>
    <w:p>
      <w:pPr>
        <w:pStyle w:val="Compact"/>
        <w:numPr>
          <w:ilvl w:val="0"/>
          <w:numId w:val="2771"/>
        </w:numPr>
      </w:pPr>
      <w:r>
        <w:rPr>
          <w:b/>
          <w:bCs/>
        </w:rPr>
        <w:t xml:space="preserve">Bonne pratique répandue</w:t>
      </w:r>
      <w:r>
        <w:t xml:space="preserve"> </w:t>
      </w:r>
      <w:r>
        <w:t xml:space="preserve">: planifier des tests d’intrusion réguliers (généralement annuels, ou après tout changement d’infrastructure significatif), plutôt qu’un exercice ponctuel réalisé une seule fois.</w:t>
      </w:r>
    </w:p>
    <w:p>
      <w:pPr>
        <w:pStyle w:val="Compact"/>
        <w:numPr>
          <w:ilvl w:val="0"/>
          <w:numId w:val="2771"/>
        </w:numPr>
      </w:pPr>
      <w:r>
        <w:rPr>
          <w:b/>
          <w:bCs/>
        </w:rPr>
        <w:t xml:space="preserve">Bonne pratique répandue</w:t>
      </w:r>
      <w:r>
        <w:t xml:space="preserve"> </w:t>
      </w:r>
      <w:r>
        <w:t xml:space="preserve">: varier le niveau de connaissance préalable (boîte noire, grise, blanche) d’un test à l’autre, chacun révélant des angles différents de la posture de sécurité de l’organisation.</w:t>
      </w:r>
    </w:p>
    <w:p>
      <w:pPr>
        <w:pStyle w:val="Compact"/>
        <w:numPr>
          <w:ilvl w:val="0"/>
          <w:numId w:val="2771"/>
        </w:numPr>
      </w:pPr>
      <w:r>
        <w:rPr>
          <w:b/>
          <w:bCs/>
        </w:rPr>
        <w:t xml:space="preserve">Erreur classique observée</w:t>
      </w:r>
      <w:r>
        <w:t xml:space="preserve"> </w:t>
      </w:r>
      <w:r>
        <w:t xml:space="preserve">: un rapport de test d’intrusion présenté au comité de direction comme une réussite marketing (</w:t>
      </w:r>
      <w:r>
        <w:t xml:space="preserve">“nos défenses ont bien résisté”</w:t>
      </w:r>
      <w:r>
        <w:t xml:space="preserve">), sans que les vulnérabilités mineures identifiées ne fassent l’objet d’un suivi rigoureux, jusqu’à ce qu’un test ultérieur — ou un attaquant réel — les redécouvre.</w:t>
      </w:r>
    </w:p>
    <w:bookmarkEnd w:id="1876"/>
    <w:bookmarkStart w:id="1877" w:name="entretien-technique-76"/>
    <w:p>
      <w:pPr>
        <w:pStyle w:val="Heading2"/>
      </w:pPr>
      <w:r>
        <w:t xml:space="preserve">Entretien technique</w:t>
      </w:r>
    </w:p>
    <w:p>
      <w:pPr>
        <w:pStyle w:val="FirstParagraph"/>
      </w:pPr>
      <w:r>
        <w:t xml:space="preserve">💼 Questions fréquemment posées en entretien</w:t>
      </w:r>
    </w:p>
    <w:p>
      <w:pPr>
        <w:pStyle w:val="BodyText"/>
      </w:pPr>
      <w:r>
        <w:rPr>
          <w:b/>
          <w:bCs/>
        </w:rPr>
        <w:t xml:space="preserve">Q1.</w:t>
      </w:r>
      <w:r>
        <w:rPr>
          <w:b/>
          <w:bCs/>
        </w:rPr>
        <w:t xml:space="preserve"> </w:t>
      </w:r>
      <w:r>
        <w:rPr>
          <w:b/>
          <w:bCs/>
        </w:rPr>
        <w:t xml:space="preserve">“Quelle est la différence entre un audit de sécurité et un test d’intrusion ?”</w:t>
      </w:r>
      <w:r>
        <w:t xml:space="preserve"> </w:t>
      </w:r>
      <w:r>
        <w:t xml:space="preserve">Réponse attendue : un audit examine la conformité et la configuration par rapport à un référentiel, généralement de façon systématique et documentaire ; un test d’intrusion simule activement une attaque réelle pour évaluer l’exploitabilité concrète des vulnérabilités et l’efficacité réelle des défenses en place.</w:t>
      </w:r>
    </w:p>
    <w:p>
      <w:pPr>
        <w:pStyle w:val="BodyText"/>
      </w:pPr>
      <w:r>
        <w:rPr>
          <w:b/>
          <w:bCs/>
        </w:rPr>
        <w:t xml:space="preserve">Q2.</w:t>
      </w:r>
      <w:r>
        <w:rPr>
          <w:b/>
          <w:bCs/>
        </w:rPr>
        <w:t xml:space="preserve"> </w:t>
      </w:r>
      <w:r>
        <w:rPr>
          <w:b/>
          <w:bCs/>
        </w:rPr>
        <w:t xml:space="preserve">“Pourquoi un mandat écrit explicite est-il absolument indispensable avant tout test d’intrusion ?”</w:t>
      </w:r>
      <w:r>
        <w:t xml:space="preserve"> </w:t>
      </w:r>
      <w:r>
        <w:t xml:space="preserve">Réponse attendue : sans autorisation écrite précisant le périmètre autorisé, un test d’intrusion est légalement indiscernable d’une véritable cyberattaque, exposant la personne qui le mène à un risque légal majeur, quelle que soit son intention réelle.</w:t>
      </w:r>
    </w:p>
    <w:p>
      <w:pPr>
        <w:pStyle w:val="BodyText"/>
      </w:pPr>
      <w:r>
        <w:rPr>
          <w:b/>
          <w:bCs/>
        </w:rPr>
        <w:t xml:space="preserve">Q3.</w:t>
      </w:r>
      <w:r>
        <w:rPr>
          <w:b/>
          <w:bCs/>
        </w:rPr>
        <w:t xml:space="preserve"> </w:t>
      </w:r>
      <w:r>
        <w:rPr>
          <w:b/>
          <w:bCs/>
        </w:rPr>
        <w:t xml:space="preserve">“Pourquoi le retest après remédiation constitue-t-il une étape essentielle, souvent négligée, d’un cycle de test d’intrusion complet ?”</w:t>
      </w:r>
      <w:r>
        <w:t xml:space="preserve"> </w:t>
      </w:r>
      <w:r>
        <w:t xml:space="preserve">Réponse attendue : une correction déclarée</w:t>
      </w:r>
      <w:r>
        <w:t xml:space="preserve"> </w:t>
      </w:r>
      <w:r>
        <w:t xml:space="preserve">“appliquée”</w:t>
      </w:r>
      <w:r>
        <w:t xml:space="preserve"> </w:t>
      </w:r>
      <w:r>
        <w:t xml:space="preserve">peut s’avérer incomplète ou incorrecte sans vérification ; le retest confirme que la vulnérabilité est réellement corrigée, plutôt que de se fier à une simple déclaration non vérifiée, le même principe déjà établi pour tester une restauration de sauvegarde.</w:t>
      </w:r>
    </w:p>
    <w:bookmarkEnd w:id="1877"/>
    <w:bookmarkStart w:id="1878" w:name="Xb2ba35b3054ea5fb321ca44b688aff19f0233ad"/>
    <w:p>
      <w:pPr>
        <w:pStyle w:val="Heading2"/>
      </w:pPr>
      <w:r>
        <w:t xml:space="preserve">Optimisation, sécurité et maintenabilité — les réflexes dès ce chapitre</w:t>
      </w:r>
    </w:p>
    <w:p>
      <w:pPr>
        <w:pStyle w:val="FirstParagraph"/>
      </w:pPr>
      <w:r>
        <w:t xml:space="preserve">🔒 Sécurité</w:t>
      </w:r>
      <w:r>
        <w:t xml:space="preserve"> </w:t>
      </w:r>
      <w:r>
        <w:t xml:space="preserve">N’engage jamais un test d’intrusion, interne ou externe, sans une autorisation écrite explicite et signée par une autorité compétente — un point non négociable, sans exception, quelle que soit l’urgence perçue.</w:t>
      </w:r>
    </w:p>
    <w:p>
      <w:pPr>
        <w:pStyle w:val="BodyText"/>
      </w:pPr>
      <w:r>
        <w:t xml:space="preserve">✅ Maintenabilité</w:t>
      </w:r>
      <w:r>
        <w:t xml:space="preserve"> </w:t>
      </w:r>
      <w:r>
        <w:t xml:space="preserve">Mets en place un processus de suivi formel pour chaque recommandation issue d’un rapport de test d’intrusion, avec un responsable et une échéance assignés, plutôt que de considérer le rapport lui-même comme l’aboutissement final de la démarche.</w:t>
      </w:r>
    </w:p>
    <w:p>
      <w:pPr>
        <w:pStyle w:val="BodyText"/>
      </w:pPr>
      <w:r>
        <w:t xml:space="preserve">🚀 Performance</w:t>
      </w:r>
      <w:r>
        <w:t xml:space="preserve"> </w:t>
      </w:r>
      <w:r>
        <w:t xml:space="preserve">Priorise les vulnérabilités identifiées selon leur gravité et leur exploitabilité réelle démontrée durant le test, concentrant les ressources de remédiation limitées sur les risques les plus critiques plutôt que de traiter chaque constat avec la même priorité.</w:t>
      </w:r>
    </w:p>
    <w:bookmarkEnd w:id="1878"/>
    <w:bookmarkStart w:id="1879" w:name="résumé-du-chapitre-76"/>
    <w:p>
      <w:pPr>
        <w:pStyle w:val="Heading2"/>
      </w:pPr>
      <w:r>
        <w:t xml:space="preserve">Résumé du chapitre</w:t>
      </w:r>
    </w:p>
    <w:p>
      <w:pPr>
        <w:pStyle w:val="Compact"/>
        <w:numPr>
          <w:ilvl w:val="0"/>
          <w:numId w:val="2772"/>
        </w:numPr>
      </w:pPr>
      <w:r>
        <w:t xml:space="preserve">Des défenses correctement configurées en théorie peuvent échouer en pratique pour des raisons invisibles sans test actif dans des conditions réalistes.</w:t>
      </w:r>
    </w:p>
    <w:p>
      <w:pPr>
        <w:pStyle w:val="Compact"/>
        <w:numPr>
          <w:ilvl w:val="0"/>
          <w:numId w:val="2772"/>
        </w:numPr>
      </w:pPr>
      <w:r>
        <w:t xml:space="preserve">Un audit de sécurité examine la conformité ; un test d’intrusion simule activement une attaque pour évaluer l’exploitabilité réelle des vulnérabilités.</w:t>
      </w:r>
    </w:p>
    <w:p>
      <w:pPr>
        <w:pStyle w:val="Compact"/>
        <w:numPr>
          <w:ilvl w:val="0"/>
          <w:numId w:val="2772"/>
        </w:numPr>
      </w:pPr>
      <w:r>
        <w:t xml:space="preserve">Les trois niveaux de connaissance préalable (boîte noire, grise, blanche) offrent des compromis différents entre réalisme et exhaustivité de couverture.</w:t>
      </w:r>
    </w:p>
    <w:p>
      <w:pPr>
        <w:pStyle w:val="Compact"/>
        <w:numPr>
          <w:ilvl w:val="0"/>
          <w:numId w:val="2772"/>
        </w:numPr>
      </w:pPr>
      <w:r>
        <w:t xml:space="preserve">Un test d’intrusion nécessite impérativement un mandat écrit explicite, définissant précisément le périmètre autorisé — un point légal non négociable.</w:t>
      </w:r>
    </w:p>
    <w:p>
      <w:pPr>
        <w:pStyle w:val="Compact"/>
        <w:numPr>
          <w:ilvl w:val="0"/>
          <w:numId w:val="2772"/>
        </w:numPr>
      </w:pPr>
      <w:r>
        <w:t xml:space="preserve">Un test suit généralement les étapes de reconnaissance, exploitation, post-exploitation et rapport, reflétant la progression d’une attaque réelle.</w:t>
      </w:r>
    </w:p>
    <w:p>
      <w:pPr>
        <w:pStyle w:val="Compact"/>
        <w:numPr>
          <w:ilvl w:val="0"/>
          <w:numId w:val="2772"/>
        </w:numPr>
      </w:pPr>
      <w:r>
        <w:t xml:space="preserve">Le retest après remédiation ferme la boucle de vérification, confirmant qu’une vulnérabilité est réellement corrigée plutôt que simplement déclarée comme telle.</w:t>
      </w:r>
    </w:p>
    <w:bookmarkEnd w:id="1879"/>
    <w:bookmarkStart w:id="1880" w:name="quiz-76"/>
    <w:p>
      <w:pPr>
        <w:pStyle w:val="Heading2"/>
      </w:pPr>
      <w:r>
        <w:t xml:space="preserve">Quiz</w:t>
      </w:r>
    </w:p>
    <w:p>
      <w:pPr>
        <w:pStyle w:val="FirstParagraph"/>
      </w:pPr>
      <w:r>
        <w:t xml:space="preserve">📝 QCM (une seule bonne réponse par question)</w:t>
      </w:r>
    </w:p>
    <w:p>
      <w:pPr>
        <w:pStyle w:val="Compact"/>
        <w:numPr>
          <w:ilvl w:val="0"/>
          <w:numId w:val="2773"/>
        </w:numPr>
      </w:pPr>
      <w:r>
        <w:t xml:space="preserve">La différence fondamentale entre un audit de sécurité et un test d’intrusion est que :</w:t>
      </w:r>
    </w:p>
    <w:p>
      <w:pPr>
        <w:pStyle w:val="Compact"/>
        <w:numPr>
          <w:ilvl w:val="1"/>
          <w:numId w:val="2774"/>
        </w:numPr>
      </w:pPr>
    </w:p>
    <w:p>
      <w:pPr>
        <w:pStyle w:val="Compact"/>
        <w:numPr>
          <w:ilvl w:val="2"/>
          <w:numId w:val="2775"/>
        </w:numPr>
      </w:pPr>
      <w:r>
        <w:t xml:space="preserve">L’audit simule activement une attaque, contrairement au test d’intrusion</w:t>
      </w:r>
    </w:p>
    <w:p>
      <w:pPr>
        <w:pStyle w:val="Compact"/>
        <w:numPr>
          <w:ilvl w:val="1"/>
          <w:numId w:val="2774"/>
        </w:numPr>
      </w:pPr>
    </w:p>
    <w:p>
      <w:pPr>
        <w:pStyle w:val="Compact"/>
        <w:numPr>
          <w:ilvl w:val="2"/>
          <w:numId w:val="2776"/>
        </w:numPr>
      </w:pPr>
      <w:r>
        <w:t xml:space="preserve">Le test d’intrusion simule activement une attaque pour évaluer l’exploitabilité réelle, contrairement à l’audit</w:t>
      </w:r>
    </w:p>
    <w:p>
      <w:pPr>
        <w:pStyle w:val="Compact"/>
        <w:numPr>
          <w:ilvl w:val="1"/>
          <w:numId w:val="2774"/>
        </w:numPr>
      </w:pPr>
    </w:p>
    <w:p>
      <w:pPr>
        <w:pStyle w:val="Compact"/>
        <w:numPr>
          <w:ilvl w:val="2"/>
          <w:numId w:val="2777"/>
        </w:numPr>
      </w:pPr>
      <w:r>
        <w:t xml:space="preserve">Les deux termes désignent exactement la même activité</w:t>
      </w:r>
    </w:p>
    <w:p>
      <w:pPr>
        <w:pStyle w:val="Compact"/>
        <w:numPr>
          <w:ilvl w:val="1"/>
          <w:numId w:val="2774"/>
        </w:numPr>
      </w:pPr>
    </w:p>
    <w:p>
      <w:pPr>
        <w:pStyle w:val="Compact"/>
        <w:numPr>
          <w:ilvl w:val="2"/>
          <w:numId w:val="2778"/>
        </w:numPr>
      </w:pPr>
      <w:r>
        <w:t xml:space="preserve">L’audit ne concerne jamais la sécurité informatique</w:t>
      </w:r>
    </w:p>
    <w:p>
      <w:pPr>
        <w:pStyle w:val="Compact"/>
        <w:numPr>
          <w:ilvl w:val="0"/>
          <w:numId w:val="2773"/>
        </w:numPr>
      </w:pPr>
      <w:r>
        <w:t xml:space="preserve">Un test en boîte noire se caractérise par :</w:t>
      </w:r>
    </w:p>
    <w:p>
      <w:pPr>
        <w:pStyle w:val="Compact"/>
        <w:numPr>
          <w:ilvl w:val="1"/>
          <w:numId w:val="2779"/>
        </w:numPr>
      </w:pPr>
    </w:p>
    <w:p>
      <w:pPr>
        <w:pStyle w:val="Compact"/>
        <w:numPr>
          <w:ilvl w:val="2"/>
          <w:numId w:val="2780"/>
        </w:numPr>
      </w:pPr>
      <w:r>
        <w:t xml:space="preserve">Une connaissance complète de l’infrastructure fournie au testeur</w:t>
      </w:r>
    </w:p>
    <w:p>
      <w:pPr>
        <w:pStyle w:val="Compact"/>
        <w:numPr>
          <w:ilvl w:val="1"/>
          <w:numId w:val="2779"/>
        </w:numPr>
      </w:pPr>
    </w:p>
    <w:p>
      <w:pPr>
        <w:pStyle w:val="Compact"/>
        <w:numPr>
          <w:ilvl w:val="2"/>
          <w:numId w:val="2781"/>
        </w:numPr>
      </w:pPr>
      <w:r>
        <w:t xml:space="preserve">Aucune connaissance préalable de l’infrastructure, simulant un attaquant externe</w:t>
      </w:r>
    </w:p>
    <w:p>
      <w:pPr>
        <w:pStyle w:val="Compact"/>
        <w:numPr>
          <w:ilvl w:val="1"/>
          <w:numId w:val="2779"/>
        </w:numPr>
      </w:pPr>
    </w:p>
    <w:p>
      <w:pPr>
        <w:pStyle w:val="Compact"/>
        <w:numPr>
          <w:ilvl w:val="2"/>
          <w:numId w:val="2782"/>
        </w:numPr>
      </w:pPr>
      <w:r>
        <w:t xml:space="preserve">L’absence totale de mandat écrit</w:t>
      </w:r>
    </w:p>
    <w:p>
      <w:pPr>
        <w:pStyle w:val="Compact"/>
        <w:numPr>
          <w:ilvl w:val="1"/>
          <w:numId w:val="2779"/>
        </w:numPr>
      </w:pPr>
    </w:p>
    <w:p>
      <w:pPr>
        <w:pStyle w:val="Compact"/>
        <w:numPr>
          <w:ilvl w:val="2"/>
          <w:numId w:val="2783"/>
        </w:numPr>
      </w:pPr>
      <w:r>
        <w:t xml:space="preserve">Un périmètre toujours illimité</w:t>
      </w:r>
    </w:p>
    <w:p>
      <w:pPr>
        <w:pStyle w:val="Compact"/>
        <w:numPr>
          <w:ilvl w:val="0"/>
          <w:numId w:val="2773"/>
        </w:numPr>
      </w:pPr>
      <w:r>
        <w:t xml:space="preserve">Le retest après remédiation sert principalement à :</w:t>
      </w:r>
    </w:p>
    <w:p>
      <w:pPr>
        <w:pStyle w:val="Compact"/>
        <w:numPr>
          <w:ilvl w:val="1"/>
          <w:numId w:val="2784"/>
        </w:numPr>
      </w:pPr>
    </w:p>
    <w:p>
      <w:pPr>
        <w:pStyle w:val="Compact"/>
        <w:numPr>
          <w:ilvl w:val="2"/>
          <w:numId w:val="2785"/>
        </w:numPr>
      </w:pPr>
      <w:r>
        <w:t xml:space="preserve">Remplacer le besoin du rapport initial</w:t>
      </w:r>
    </w:p>
    <w:p>
      <w:pPr>
        <w:pStyle w:val="Compact"/>
        <w:numPr>
          <w:ilvl w:val="1"/>
          <w:numId w:val="2784"/>
        </w:numPr>
      </w:pPr>
    </w:p>
    <w:p>
      <w:pPr>
        <w:pStyle w:val="Compact"/>
        <w:numPr>
          <w:ilvl w:val="2"/>
          <w:numId w:val="2786"/>
        </w:numPr>
      </w:pPr>
      <w:r>
        <w:t xml:space="preserve">Confirmer qu’une vulnérabilité corrigée l’est réellement, plutôt que simplement déclarée comme telle</w:t>
      </w:r>
    </w:p>
    <w:p>
      <w:pPr>
        <w:pStyle w:val="Compact"/>
        <w:numPr>
          <w:ilvl w:val="1"/>
          <w:numId w:val="2784"/>
        </w:numPr>
      </w:pPr>
    </w:p>
    <w:p>
      <w:pPr>
        <w:pStyle w:val="Compact"/>
        <w:numPr>
          <w:ilvl w:val="2"/>
          <w:numId w:val="2787"/>
        </w:numPr>
      </w:pPr>
      <w:r>
        <w:t xml:space="preserve">Éliminer le besoin de tout mandat écrit</w:t>
      </w:r>
    </w:p>
    <w:p>
      <w:pPr>
        <w:pStyle w:val="Compact"/>
        <w:numPr>
          <w:ilvl w:val="1"/>
          <w:numId w:val="2784"/>
        </w:numPr>
      </w:pPr>
    </w:p>
    <w:p>
      <w:pPr>
        <w:pStyle w:val="Compact"/>
        <w:numPr>
          <w:ilvl w:val="2"/>
          <w:numId w:val="2788"/>
        </w:numPr>
      </w:pPr>
      <w:r>
        <w:t xml:space="preserve">Réduire la durée du test initial</w:t>
      </w:r>
    </w:p>
    <w:p>
      <w:pPr>
        <w:pStyle w:val="FirstParagraph"/>
      </w:pPr>
      <w:r>
        <w:rPr>
          <w:b/>
          <w:bCs/>
        </w:rPr>
        <w:t xml:space="preserve">Corrigé</w:t>
      </w:r>
      <w:r>
        <w:t xml:space="preserve"> </w:t>
      </w:r>
      <w:r>
        <w:t xml:space="preserve">: 1-b, 2-b, 3-b.</w:t>
      </w:r>
    </w:p>
    <w:p>
      <w:pPr>
        <w:pStyle w:val="BodyText"/>
      </w:pPr>
      <w:r>
        <w:t xml:space="preserve">📝 Vrai ou Faux</w:t>
      </w:r>
    </w:p>
    <w:p>
      <w:pPr>
        <w:pStyle w:val="Compact"/>
        <w:numPr>
          <w:ilvl w:val="0"/>
          <w:numId w:val="2789"/>
        </w:numPr>
      </w:pPr>
      <w:r>
        <w:t xml:space="preserve">Un test d’intrusion peut être mené sans autorisation écrite si l’intention est clairement bienveillante. —</w:t>
      </w:r>
      <w:r>
        <w:t xml:space="preserve"> </w:t>
      </w:r>
      <w:r>
        <w:rPr>
          <w:b/>
          <w:bCs/>
        </w:rPr>
        <w:t xml:space="preserve">Faux</w:t>
      </w:r>
      <w:r>
        <w:t xml:space="preserve"> </w:t>
      </w:r>
      <w:r>
        <w:t xml:space="preserve">(section 77.4, un risque légal quelle que soit l’intention).</w:t>
      </w:r>
    </w:p>
    <w:p>
      <w:pPr>
        <w:pStyle w:val="Compact"/>
        <w:numPr>
          <w:ilvl w:val="0"/>
          <w:numId w:val="2789"/>
        </w:numPr>
      </w:pPr>
      <w:r>
        <w:t xml:space="preserve">Un test en boîte blanche maximise la couverture des vulnérabilités identifiées au détriment du réalisme du scénario d’attaque. —</w:t>
      </w:r>
      <w:r>
        <w:t xml:space="preserve"> </w:t>
      </w:r>
      <w:r>
        <w:rPr>
          <w:b/>
          <w:bCs/>
        </w:rPr>
        <w:t xml:space="preserve">Vrai</w:t>
      </w:r>
      <w:r>
        <w:t xml:space="preserve"> </w:t>
      </w:r>
      <w:r>
        <w:t xml:space="preserve">(section 77.3).</w:t>
      </w:r>
    </w:p>
    <w:p>
      <w:pPr>
        <w:pStyle w:val="Compact"/>
        <w:numPr>
          <w:ilvl w:val="0"/>
          <w:numId w:val="2789"/>
        </w:numPr>
      </w:pPr>
      <w:r>
        <w:t xml:space="preserve">Un rapport de test d’intrusion archivé sans processus de suivi formel garantit la correction effective des vulnérabilités identifiées. —</w:t>
      </w:r>
      <w:r>
        <w:t xml:space="preserve"> </w:t>
      </w:r>
      <w:r>
        <w:rPr>
          <w:b/>
          <w:bCs/>
        </w:rPr>
        <w:t xml:space="preserve">Faux</w:t>
      </w:r>
      <w:r>
        <w:t xml:space="preserve"> </w:t>
      </w:r>
      <w:r>
        <w:t xml:space="preserve">(section</w:t>
      </w:r>
      <w:r>
        <w:t xml:space="preserve"> </w:t>
      </w:r>
      <w:r>
        <w:t xml:space="preserve">“Erreur n°3”</w:t>
      </w:r>
      <w:r>
        <w:t xml:space="preserve">).</w:t>
      </w:r>
    </w:p>
    <w:p>
      <w:pPr>
        <w:pStyle w:val="Compact"/>
        <w:numPr>
          <w:ilvl w:val="0"/>
          <w:numId w:val="2789"/>
        </w:numPr>
      </w:pPr>
      <w:r>
        <w:t xml:space="preserve">Le périmètre d’un test d’intrusion doit être défini précisément avant le début du test. —</w:t>
      </w:r>
      <w:r>
        <w:t xml:space="preserve"> </w:t>
      </w:r>
      <w:r>
        <w:rPr>
          <w:b/>
          <w:bCs/>
        </w:rPr>
        <w:t xml:space="preserve">Vrai</w:t>
      </w:r>
      <w:r>
        <w:t xml:space="preserve"> </w:t>
      </w:r>
      <w:r>
        <w:t xml:space="preserve">(section 77.4).</w:t>
      </w:r>
    </w:p>
    <w:p>
      <w:pPr>
        <w:pStyle w:val="FirstParagraph"/>
      </w:pPr>
      <w:r>
        <w:t xml:space="preserve">📝 Questions ouvertes</w:t>
      </w:r>
    </w:p>
    <w:p>
      <w:pPr>
        <w:pStyle w:val="Compact"/>
        <w:numPr>
          <w:ilvl w:val="0"/>
          <w:numId w:val="2790"/>
        </w:numPr>
      </w:pPr>
      <w:r>
        <w:t xml:space="preserve">Explique pourquoi la simulation d’intrusion du scénario d’ouverture du chapitre 74 aurait constitué une activité illégale si elle avait été menée sans le mandat approprié, malgré son intention manifestement bénéfique pour l’entreprise.</w:t>
      </w:r>
    </w:p>
    <w:p>
      <w:pPr>
        <w:pStyle w:val="Compact"/>
        <w:numPr>
          <w:ilvl w:val="0"/>
          <w:numId w:val="2790"/>
        </w:numPr>
      </w:pPr>
      <w:r>
        <w:t xml:space="preserve">Un collègue propose de considérer le rapport de test d’intrusion comme</w:t>
      </w:r>
      <w:r>
        <w:t xml:space="preserve"> </w:t>
      </w:r>
      <w:r>
        <w:t xml:space="preserve">“terminé”</w:t>
      </w:r>
      <w:r>
        <w:t xml:space="preserve"> </w:t>
      </w:r>
      <w:r>
        <w:t xml:space="preserve">dès sa remise, sans processus de suivi formel des recommandations. Explique le risque concret de cette approche, en t’appuyant sur un parallèle déjà établi ailleurs dans ce manuel.</w:t>
      </w:r>
    </w:p>
    <w:p>
      <w:pPr>
        <w:pStyle w:val="FirstParagraph"/>
      </w:pPr>
      <w:r>
        <w:rPr>
          <w:b/>
          <w:bCs/>
        </w:rPr>
        <w:t xml:space="preserve">Corrigé 1</w:t>
      </w:r>
      <w:r>
        <w:t xml:space="preserve"> </w:t>
      </w:r>
      <w:r>
        <w:t xml:space="preserve">: la loi ne peut généralement pas distinguer, sur la seule base des actions techniques observées, un test d’intrusion légitime d’une véritable cyberattaque — les deux impliquent des tentatives similaires d’accès non autorisé à des systèmes informatiques. Seule l’existence d’un mandat écrit explicite, signé par une autorité compétente de l’organisation ciblée, établit juridiquement le caractère autorisé de l’intervention. Sans ce mandat, même une intervention menée avec les meilleures intentions et dans le seul but d’améliorer la sécurité de l’entreprise resterait, du point de vue légal, indiscernable d’une intrusion malveillante — un risque que la section 77.4 qualifie explicitement de non négociable.</w:t>
      </w:r>
    </w:p>
    <w:p>
      <w:pPr>
        <w:pStyle w:val="BodyText"/>
      </w:pPr>
      <w:r>
        <w:rPr>
          <w:b/>
          <w:bCs/>
        </w:rPr>
        <w:t xml:space="preserve">Corrigé 2</w:t>
      </w:r>
      <w:r>
        <w:t xml:space="preserve"> </w:t>
      </w:r>
      <w:r>
        <w:t xml:space="preserve">: cette approche reproduit exactement le même risque déjà dénoncé pour une sauvegarde jamais testée en restauration au chapitre 27 — une action déclarée</w:t>
      </w:r>
      <w:r>
        <w:t xml:space="preserve"> </w:t>
      </w:r>
      <w:r>
        <w:t xml:space="preserve">“faite”</w:t>
      </w:r>
      <w:r>
        <w:t xml:space="preserve"> </w:t>
      </w:r>
      <w:r>
        <w:t xml:space="preserve">(le rapport remis) sans vérification de son effet réel (les vulnérabilités effectivement corrigées) laisse un écart potentiellement important entre la perception de sécurité de l’organisation et sa réalité effective. Une vulnérabilité identifiée dans le rapport, mais jamais réellement corrigée faute de suivi assigné à un responsable précis, resterait exploitable exactement comme si le test n’avait jamais eu lieu — sauf que l’organisation croirait, à tort, avoir traité le problème. Le retest (section 77.7) constitue la seule vérification fiable que la remédiation a réellement eu l’effet recherché, plutôt que de se fier à une simple déclaration d’achèvement non vérifiée.</w:t>
      </w:r>
    </w:p>
    <w:bookmarkEnd w:id="1880"/>
    <w:bookmarkStart w:id="1881" w:name="exercices-76"/>
    <w:p>
      <w:pPr>
        <w:pStyle w:val="Heading2"/>
      </w:pPr>
      <w:r>
        <w:t xml:space="preserve">Exercices</w:t>
      </w:r>
    </w:p>
    <w:p>
      <w:pPr>
        <w:pStyle w:val="FirstParagraph"/>
      </w:pPr>
      <w:r>
        <w:t xml:space="preserve">📝 Exercice 77.1</w:t>
      </w:r>
    </w:p>
    <w:p>
      <w:pPr>
        <w:pStyle w:val="BodyText"/>
      </w:pPr>
      <w:r>
        <w:t xml:space="preserve">Un test d’intrusion en boîte grise sur le portail client révèle qu’un utilisateur standard peut, par une faille d’autorisation, accéder aux données d’autres utilisateurs. Décris les étapes appropriées suivant cette découverte, de la documentation initiale jusqu’à la clôture définitive du constat.</w:t>
      </w:r>
    </w:p>
    <w:p>
      <w:pPr>
        <w:pStyle w:val="BodyText"/>
      </w:pPr>
      <w:r>
        <w:rPr>
          <w:b/>
          <w:bCs/>
        </w:rPr>
        <w:t xml:space="preserve">Corrigé :</w:t>
      </w:r>
      <w:r>
        <w:t xml:space="preserve"> </w:t>
      </w:r>
      <w:r>
        <w:t xml:space="preserve">1) Documenter précisément la vulnérabilité dans le rapport, avec les étapes exactes ayant permis de la reproduire, sa gravité (accès non autorisé à des données d’autres utilisateurs, potentiellement sensible) et son exploitabilité démontrée durant le test (section 77.6). 2) Assigner cette recommandation à un responsable identifié au sein de l’équipe de développement du portail, avec une échéance de correction proportionnée à la gravité du constat. 3) Corriger la faille d’autorisation dans le code de l’application. 4) Retester spécifiquement ce constat (section 77.7), en tentant de reproduire exactement le même scénario d’exploitation qu’initialement documenté, confirmant que la correction empêche effectivement l’accès non autorisé précédemment démontré. 5) Clôturer formellement le constat uniquement après cette vérification positive, jamais sur la seule base de la déclaration de correction par l’équipe de développement.</w:t>
      </w:r>
    </w:p>
    <w:p>
      <w:pPr>
        <w:pStyle w:val="BodyText"/>
      </w:pPr>
      <w:r>
        <w:t xml:space="preserve">📝 Exercice 77.2</w:t>
      </w:r>
    </w:p>
    <w:p>
      <w:pPr>
        <w:pStyle w:val="BodyText"/>
      </w:pPr>
      <w:r>
        <w:t xml:space="preserve">Rédige, en 3 à 5 phrases, une règle d’équipe garantissant qu’aucun test d’intrusion, interne ou via un prestataire externe, n’est jamais mené sans mandat écrit préalablement approuvé, en t’appuyant sur le risque légal décrit à la section 77.4.</w:t>
      </w:r>
    </w:p>
    <w:p>
      <w:pPr>
        <w:pStyle w:val="BodyText"/>
      </w:pPr>
      <w:r>
        <w:rPr>
          <w:b/>
          <w:bCs/>
        </w:rPr>
        <w:t xml:space="preserve">Corrigé (exemple de réponse) :</w:t>
      </w:r>
      <w:r>
        <w:t xml:space="preserve"> </w:t>
      </w:r>
      <w:r>
        <w:t xml:space="preserve">Aucun test d’intrusion, qu’il soit mené par un membre de l’équipe interne ou par un prestataire externe, ne débutera sans un mandat écrit préalablement approuvé, précisant explicitement le périmètre autorisé, les dates de l’intervention, et les types d’actions exclues du test. Ce mandat sera signé par une autorité de l’organisation disposant explicitement du pouvoir d’engager celle-ci sur ce périmètre précis, jamais par une personne agissant sans cette délégation formelle. Toute demande de test d’intrusion urgente, même motivée par une préoccupation de sécurité légitime, suivra impérativement ce même processus d’approbation avant tout début d’intervention technique, sans exception fondée sur l’urgence perçue, conformément au caractère non négociable de cette exigence déjà établi dans ce chapitre.</w:t>
      </w:r>
    </w:p>
    <w:bookmarkEnd w:id="1881"/>
    <w:bookmarkStart w:id="1882" w:name="checklist-de-fin-de-chapitre-76"/>
    <w:p>
      <w:pPr>
        <w:pStyle w:val="Heading2"/>
      </w:pPr>
      <w:r>
        <w:t xml:space="preserve">Checklist de fin de chapitre</w:t>
      </w:r>
    </w:p>
    <w:p>
      <w:pPr>
        <w:pStyle w:val="FirstParagraph"/>
      </w:pPr>
      <w:r>
        <w:t xml:space="preserve">☐ Je comprends pourquoi des défenses correctement configurées en théorie peuvent échouer en pratique sans test actif.</w:t>
      </w:r>
    </w:p>
    <w:p>
      <w:pPr>
        <w:pStyle w:val="BodyText"/>
      </w:pPr>
      <w:r>
        <w:t xml:space="preserve">☐ Je sais distinguer un audit de sécurité d’un test d’intrusion.</w:t>
      </w:r>
    </w:p>
    <w:p>
      <w:pPr>
        <w:pStyle w:val="BodyText"/>
      </w:pPr>
      <w:r>
        <w:t xml:space="preserve">☐ Je sais expliquer la différence entre les tests en boîte noire, grise et blanche.</w:t>
      </w:r>
    </w:p>
    <w:p>
      <w:pPr>
        <w:pStyle w:val="BodyText"/>
      </w:pPr>
      <w:r>
        <w:t xml:space="preserve">☐ Je comprends pourquoi un mandat écrit explicite est absolument indispensable avant tout test d’intrusion.</w:t>
      </w:r>
    </w:p>
    <w:p>
      <w:pPr>
        <w:pStyle w:val="BodyText"/>
      </w:pPr>
      <w:r>
        <w:t xml:space="preserve">☐ Je sais décrire les étapes typiques d’un test d’intrusion.</w:t>
      </w:r>
    </w:p>
    <w:p>
      <w:pPr>
        <w:pStyle w:val="BodyText"/>
      </w:pPr>
      <w:r>
        <w:t xml:space="preserve">☐ Je comprends l’importance du retest après remédiation pour fermer la boucle de vérification.</w:t>
      </w:r>
    </w:p>
    <w:bookmarkEnd w:id="1882"/>
    <w:bookmarkStart w:id="1883" w:name="faq-76"/>
    <w:p>
      <w:pPr>
        <w:pStyle w:val="Heading2"/>
      </w:pPr>
      <w:r>
        <w:t xml:space="preserve">FAQ</w:t>
      </w:r>
    </w:p>
    <w:p>
      <w:pPr>
        <w:pStyle w:val="FirstParagraph"/>
      </w:pPr>
      <w:r>
        <w:t xml:space="preserve">Une petite ou moyenne organisation peut-elle réellement se permettre des tests d’intrusion réguliers ?</w:t>
      </w:r>
    </w:p>
    <w:p>
      <w:pPr>
        <w:pStyle w:val="BodyText"/>
      </w:pPr>
      <w:r>
        <w:t xml:space="preserve">Le coût et l’ampleur d’un test peuvent être adaptés au contexte réel de l’organisation — un test ciblé sur les systèmes les plus critiques (comme le portail client exposé publiquement) reste plus accessible qu’un test exhaustif de l’ensemble de l’infrastructure, tout en apportant une valeur significative.</w:t>
      </w:r>
    </w:p>
    <w:p>
      <w:pPr>
        <w:pStyle w:val="BodyText"/>
      </w:pPr>
      <w:r>
        <w:t xml:space="preserve">Faut-il toujours faire appel à un prestataire externe, ou une équipe interne peut-elle mener un test d’intrusion ?</w:t>
      </w:r>
    </w:p>
    <w:p>
      <w:pPr>
        <w:pStyle w:val="BodyText"/>
      </w:pPr>
      <w:r>
        <w:t xml:space="preserve">Les deux approches sont possibles et souvent complémentaires — une équipe interne compétente peut mener des tests plus fréquents et moins coûteux, tandis qu’un prestataire externe indépendant apporte un regard neuf et une expertise potentiellement plus spécialisée, comme dans le scénario d’ouverture de ce chapitre.</w:t>
      </w:r>
    </w:p>
    <w:p>
      <w:pPr>
        <w:pStyle w:val="BodyText"/>
      </w:pPr>
      <w:r>
        <w:t xml:space="preserve">Un test d’intrusion réussi (aucune vulnérabilité critique trouvée) signifie-t-il que l’infrastructure est totalement sécurisée ?</w:t>
      </w:r>
    </w:p>
    <w:p>
      <w:pPr>
        <w:pStyle w:val="BodyText"/>
      </w:pPr>
      <w:r>
        <w:t xml:space="preserve">Non, un test d’intrusion évalue la sécurité à un instant précis, dans un périmètre et une durée définis — il ne garantit rien sur les vulnérabilités qui pourraient apparaître ultérieurement suite à un changement d’infrastructure, ni sur des scénarios d’attaque non couverts par le périmètre du test réalisé.</w:t>
      </w:r>
    </w:p>
    <w:p>
      <w:pPr>
        <w:pStyle w:val="BodyText"/>
      </w:pPr>
      <w:r>
        <w:t xml:space="preserve">Quelle est la différence entre un test d’intrusion et le bug bounty (programme de récompense pour la découverte de vulnérabilités) ?</w:t>
      </w:r>
    </w:p>
    <w:p>
      <w:pPr>
        <w:pStyle w:val="BodyText"/>
      </w:pPr>
      <w:r>
        <w:t xml:space="preserve">Un test d’intrusion est mené par un nombre limité de testeurs mandatés, sur une période définie ; un programme de bug bounty ouvre la recherche de vulnérabilités à une communauté plus large de chercheurs indépendants, généralement de façon continue, avec une récompense financière pour chaque découverte validée — les deux approches restent complémentaires plutôt que substituables.</w:t>
      </w:r>
    </w:p>
    <w:bookmarkEnd w:id="1883"/>
    <w:bookmarkStart w:id="1887" w:name="références-et-pour-aller-plus-loin-76"/>
    <w:p>
      <w:pPr>
        <w:pStyle w:val="Heading2"/>
      </w:pPr>
      <w:r>
        <w:t xml:space="preserve">Références et pour aller plus loin</w:t>
      </w:r>
    </w:p>
    <w:p>
      <w:pPr>
        <w:pStyle w:val="Compact"/>
        <w:numPr>
          <w:ilvl w:val="0"/>
          <w:numId w:val="2791"/>
        </w:numPr>
      </w:pPr>
      <w:r>
        <w:t xml:space="preserve">OWASP — Testing Guide :</w:t>
      </w:r>
      <w:r>
        <w:t xml:space="preserve"> </w:t>
      </w:r>
      <w:hyperlink r:id="rId1884">
        <w:r>
          <w:rPr>
            <w:rStyle w:val="Hyperlink"/>
          </w:rPr>
          <w:t xml:space="preserve">https://owasp.org/www-project-web-security-testing-guide/</w:t>
        </w:r>
      </w:hyperlink>
    </w:p>
    <w:p>
      <w:pPr>
        <w:pStyle w:val="Compact"/>
        <w:numPr>
          <w:ilvl w:val="0"/>
          <w:numId w:val="2791"/>
        </w:numPr>
      </w:pPr>
      <w:r>
        <w:t xml:space="preserve">NIST — Technical Guide to Information Security Testing and Assessment (SP 800-115) :</w:t>
      </w:r>
      <w:r>
        <w:t xml:space="preserve"> </w:t>
      </w:r>
      <w:hyperlink r:id="rId1885">
        <w:r>
          <w:rPr>
            <w:rStyle w:val="Hyperlink"/>
          </w:rPr>
          <w:t xml:space="preserve">https://csrc.nist.gov/publications/detail/sp/800-115/final</w:t>
        </w:r>
      </w:hyperlink>
    </w:p>
    <w:p>
      <w:pPr>
        <w:pStyle w:val="Compact"/>
        <w:numPr>
          <w:ilvl w:val="0"/>
          <w:numId w:val="2791"/>
        </w:numPr>
      </w:pPr>
      <w:r>
        <w:t xml:space="preserve">PTES — Penetration Testing Execution Standard :</w:t>
      </w:r>
      <w:r>
        <w:t xml:space="preserve"> </w:t>
      </w:r>
      <w:hyperlink r:id="rId1886">
        <w:r>
          <w:rPr>
            <w:rStyle w:val="Hyperlink"/>
          </w:rPr>
          <w:t xml:space="preserve">http://www.pentest-standard.org/</w:t>
        </w:r>
      </w:hyperlink>
    </w:p>
    <w:p>
      <w:pPr>
        <w:pStyle w:val="FirstParagraph"/>
      </w:pPr>
      <w:r>
        <w:rPr>
          <w:i/>
          <w:iCs/>
        </w:rPr>
        <w:t xml:space="preserve">Chapitre suivant : la gestion des vulnérabilités et le durcissement (hardening) — traiter systématiquement, et pas seulement lors d’un test ponctuel, les failles de sécurité découvertes tout au long du cycle de vie de l’infrastructure.</w:t>
      </w:r>
    </w:p>
    <w:p>
      <w:pPr>
        <w:pStyle w:val="BodyText"/>
      </w:pPr>
      <w:r>
        <w:t xml:space="preserve">CHAPITRE 78</w:t>
      </w:r>
    </w:p>
    <w:bookmarkEnd w:id="1887"/>
    <w:bookmarkEnd w:id="1888"/>
    <w:bookmarkStart w:id="1914" w:name="X9ba9fce84219524212a87d7581b3a98985a01b8"/>
    <w:p>
      <w:pPr>
        <w:pStyle w:val="Heading1"/>
      </w:pPr>
      <w:r>
        <w:t xml:space="preserve">Gestion des vulnérabilités et durcissement (hardening)</w:t>
      </w:r>
    </w:p>
    <w:p>
      <w:pPr>
        <w:pStyle w:val="FirstParagraph"/>
      </w:pPr>
      <w:r>
        <w:t xml:space="preserve">🎯 Objectif du chapitre</w:t>
      </w:r>
      <w:r>
        <w:t xml:space="preserve"> </w:t>
      </w:r>
      <w:r>
        <w:t xml:space="preserve">Traiter systématiquement, et pas seulement lors d’un test ponctuel comme celui du chapitre précédent, les failles de sécurité découvertes tout au long du cycle de vie de l’infrastructure. À la fin de ce chapitre, tu comprendras la gestion des vulnérabilités comme un cycle continu, le scoring CVSS pour prioriser objectivement, la discipline du patch management, et comment intégrer le durcissement du chapitre 73 de façon continue plutôt que ponctuelle.</w:t>
      </w:r>
    </w:p>
    <w:p>
      <w:pPr>
        <w:pStyle w:val="BodyText"/>
      </w:pPr>
      <w:r>
        <w:t xml:space="preserve">🎬 Mise en situation</w:t>
      </w:r>
      <w:r>
        <w:t xml:space="preserve"> </w:t>
      </w:r>
      <w:r>
        <w:t xml:space="preserve">Six mois après le premier test d’intrusion (chapitre 77), un second test révèle un constat préoccupant : plusieurs vulnérabilités mineures identifiées lors du premier test, correctement corrigées à l’époque, sont réapparues — non pas les mêmes exactement, mais des variantes similaires sur de nouveaux serveurs déployés depuis.</w:t>
      </w:r>
      <w:r>
        <w:t xml:space="preserve"> </w:t>
      </w:r>
      <w:r>
        <w:t xml:space="preserve">“On corrige bien après chaque test,”</w:t>
      </w:r>
      <w:r>
        <w:t xml:space="preserve"> </w:t>
      </w:r>
      <w:r>
        <w:t xml:space="preserve">observe la RSSI,</w:t>
      </w:r>
      <w:r>
        <w:t xml:space="preserve"> </w:t>
      </w:r>
      <w:r>
        <w:t xml:space="preserve">“mais entre deux tests, rien ne surveille en continu l’apparition de nouvelles vulnérabilités sur les systèmes qu’on déploie.”</w:t>
      </w:r>
      <w:r>
        <w:t xml:space="preserve"> </w:t>
      </w:r>
      <w:r>
        <w:t xml:space="preserve">Un test d’intrusion annuel ne suffit pas à couvrir les mois qui le séparent du suivant — une gestion continue des vulnérabilités devient nécessaire.</w:t>
      </w:r>
    </w:p>
    <w:bookmarkStart w:id="1889" w:name="X3869176d7584548e4a4b354a05a29c28873a6a5"/>
    <w:p>
      <w:pPr>
        <w:pStyle w:val="Heading2"/>
      </w:pPr>
      <w:r>
        <w:t xml:space="preserve">78.1 Le problème : un traitement ponctuel, pas continu</w:t>
      </w:r>
    </w:p>
    <w:p>
      <w:pPr>
        <w:pStyle w:val="FirstParagraph"/>
      </w:pPr>
      <w:r>
        <w:t xml:space="preserve">📌 À retenir — rappel direct de la section 77.7</w:t>
      </w:r>
      <w:r>
        <w:t xml:space="preserve"> </w:t>
      </w:r>
      <w:r>
        <w:t xml:space="preserve">Un test d’intrusion, même suivi rigoureusement d’un retest (section 77.7), n’offre qu’une photographie de la sécurité à un instant précis. Entre deux tests, de nouveaux serveurs sont déployés, de nouvelles versions logicielles publiées, de nouvelles vulnérabilités découvertes et documentées publiquement — un cycle continu de gestion des vulnérabilités devient nécessaire pour couvrir cet intervalle, plutôt que de dépendre uniquement de vérifications ponctuelles espacées de plusieurs mois.</w:t>
      </w:r>
    </w:p>
    <w:bookmarkEnd w:id="1889"/>
    <w:bookmarkStart w:id="1893" w:name="Xf8f1fcb8f2819dae007c89707faffc1e685f42a"/>
    <w:p>
      <w:pPr>
        <w:pStyle w:val="Heading2"/>
      </w:pPr>
      <w:r>
        <w:t xml:space="preserve">78.2 La gestion des vulnérabilités : un cycle continu</w:t>
      </w:r>
    </w:p>
    <w:p>
      <w:pPr>
        <w:pStyle w:val="FirstParagraph"/>
      </w:pPr>
      <w:r>
        <w:t xml:space="preserve">💡 Rappel direct du chapitre 72 — encore la même roue d’amélioration continue</w:t>
      </w:r>
      <w:r>
        <w:t xml:space="preserve"> </w:t>
      </w:r>
      <w:r>
        <w:t xml:space="preserve">La gestion des vulnérabilités suit un cycle continu :</w:t>
      </w:r>
      <w:r>
        <w:t xml:space="preserve"> </w:t>
      </w:r>
      <w:r>
        <w:rPr>
          <w:b/>
          <w:bCs/>
        </w:rPr>
        <w:t xml:space="preserve">scanner</w:t>
      </w:r>
      <w:r>
        <w:t xml:space="preserve"> </w:t>
      </w:r>
      <w:r>
        <w:t xml:space="preserve">régulièrement l’infrastructure à la recherche de vulnérabilités connues,</w:t>
      </w:r>
      <w:r>
        <w:t xml:space="preserve"> </w:t>
      </w:r>
      <w:r>
        <w:rPr>
          <w:b/>
          <w:bCs/>
        </w:rPr>
        <w:t xml:space="preserve">prioriser</w:t>
      </w:r>
      <w:r>
        <w:t xml:space="preserve"> </w:t>
      </w:r>
      <w:r>
        <w:t xml:space="preserve">les résultats selon leur gravité réelle,</w:t>
      </w:r>
      <w:r>
        <w:t xml:space="preserve"> </w:t>
      </w:r>
      <w:r>
        <w:rPr>
          <w:b/>
          <w:bCs/>
        </w:rPr>
        <w:t xml:space="preserve">remédier</w:t>
      </w:r>
      <w:r>
        <w:t xml:space="preserve"> </w:t>
      </w:r>
      <w:r>
        <w:t xml:space="preserve">(corriger, atténuer, ou accepter le risque),</w:t>
      </w:r>
      <w:r>
        <w:t xml:space="preserve"> </w:t>
      </w:r>
      <w:r>
        <w:rPr>
          <w:b/>
          <w:bCs/>
        </w:rPr>
        <w:t xml:space="preserve">vérifier</w:t>
      </w:r>
      <w:r>
        <w:t xml:space="preserve"> </w:t>
      </w:r>
      <w:r>
        <w:t xml:space="preserve">que la remédiation a réellement fonctionné, puis recommencer — exactement le même cycle Planifier-Déployer-Contrôler-Améliorer déjà établi pour le SMSI d’ISO 27001 au chapitre 72, appliqué ici spécifiquement à la gestion des vulnérabilités techniques.</w:t>
      </w:r>
    </w:p>
    <w:p>
      <w:pPr>
        <w:pStyle w:val="CaptionedFigure"/>
      </w:pPr>
      <w:r>
        <w:drawing>
          <wp:inline>
            <wp:extent cx="5334000" cy="1381698"/>
            <wp:effectExtent b="0" l="0" r="0" t="0"/>
            <wp:docPr descr="Diagramme" title="" id="1891" name="Picture"/>
            <a:graphic>
              <a:graphicData uri="http://schemas.openxmlformats.org/drawingml/2006/picture">
                <pic:pic>
                  <pic:nvPicPr>
                    <pic:cNvPr descr="C:/Users/ingja/Desktop/jarvis-starter-kit/livrables/formations/manuel-administration-systeme/assets/diagrams/d-78-gestion-vulnerabilites-hardening-diagramme-1.png" id="1892" name="Picture"/>
                    <pic:cNvPicPr>
                      <a:picLocks noChangeArrowheads="1" noChangeAspect="1"/>
                    </pic:cNvPicPr>
                  </pic:nvPicPr>
                  <pic:blipFill>
                    <a:blip r:embed="rId1890"/>
                    <a:stretch>
                      <a:fillRect/>
                    </a:stretch>
                  </pic:blipFill>
                  <pic:spPr bwMode="auto">
                    <a:xfrm>
                      <a:off x="0" y="0"/>
                      <a:ext cx="5334000" cy="1381698"/>
                    </a:xfrm>
                    <a:prstGeom prst="rect">
                      <a:avLst/>
                    </a:prstGeom>
                    <a:noFill/>
                    <a:ln w="9525">
                      <a:noFill/>
                      <a:headEnd/>
                      <a:tailEnd/>
                    </a:ln>
                  </pic:spPr>
                </pic:pic>
              </a:graphicData>
            </a:graphic>
          </wp:inline>
        </w:drawing>
      </w:r>
    </w:p>
    <w:p>
      <w:pPr>
        <w:pStyle w:val="ImageCaption"/>
      </w:pPr>
      <w:r>
        <w:t xml:space="preserve">Diagramme</w:t>
      </w:r>
    </w:p>
    <w:bookmarkEnd w:id="1893"/>
    <w:bookmarkStart w:id="1894" w:name="scanner-automatiquement-en-continu"/>
    <w:p>
      <w:pPr>
        <w:pStyle w:val="Heading2"/>
      </w:pPr>
      <w:r>
        <w:t xml:space="preserve">78.3 Scanner automatiquement, en continu</w:t>
      </w:r>
    </w:p>
    <w:p>
      <w:pPr>
        <w:pStyle w:val="FirstParagraph"/>
      </w:pPr>
      <w:r>
        <w:t xml:space="preserve">💡 Rappel direct des chapitres 57 et 73</w:t>
      </w:r>
      <w:r>
        <w:t xml:space="preserve"> </w:t>
      </w:r>
      <w:r>
        <w:t xml:space="preserve">Un scanner de vulnérabilités automatisé examine régulièrement l’infrastructure à la recherche de failles connues et documentées — exactement la même logique déjà rencontrée pour les scans de sécurité du pipeline DevSecOps (chapitre 57) et pour l’évaluation de conformité CIS-CAT (section 73.5), appliquée ici de façon continue et récurrente plutôt qu’une seule fois. Un scan planifié régulièrement (hebdomadaire ou mensuel selon la criticité des systèmes) détecte automatiquement l’apparition d’une nouvelle vulnérabilité sur un serveur, sans attendre le prochain test d’intrusion annuel pour la découvrir.</w:t>
      </w:r>
    </w:p>
    <w:bookmarkEnd w:id="1894"/>
    <w:bookmarkStart w:id="1895" w:name="le-scoring-cvss-prioriser-objectivement"/>
    <w:p>
      <w:pPr>
        <w:pStyle w:val="Heading2"/>
      </w:pPr>
      <w:r>
        <w:t xml:space="preserve">78.4 Le scoring CVSS : prioriser objectivement</w:t>
      </w:r>
    </w:p>
    <w:p>
      <w:pPr>
        <w:pStyle w:val="FirstParagraph"/>
      </w:pPr>
      <w:r>
        <w:t xml:space="preserve">📌 À retenir — rappel direct de la section 77.6</w:t>
      </w:r>
      <w:r>
        <w:t xml:space="preserve"> </w:t>
      </w:r>
      <w:r>
        <w:t xml:space="preserve">Le</w:t>
      </w:r>
      <w:r>
        <w:t xml:space="preserve"> </w:t>
      </w:r>
      <w:r>
        <w:rPr>
          <w:b/>
          <w:bCs/>
        </w:rPr>
        <w:t xml:space="preserve">CVSS</w:t>
      </w:r>
      <w:r>
        <w:t xml:space="preserve"> </w:t>
      </w:r>
      <w:r>
        <w:t xml:space="preserve">(Common Vulnerability Scoring System) attribue un score standardisé à chaque vulnérabilité connue, reflétant sa gravité selon des critères objectifs (facilité d’exploitation, impact potentiel, privilèges nécessaires). Ce score permet de prioriser objectivement les efforts de remédiation, exactement le même principe déjà établi pour prioriser les constats d’un rapport de test d’intrusion selon leur gravité réelle plutôt que leur ordre de découverte — une vulnérabilité au score CVSS élevé, facilement exploitable et à fort impact, mérite un traitement prioritaire par rapport à une vulnérabilité mineure au score faible.</w:t>
      </w:r>
    </w:p>
    <w:bookmarkEnd w:id="1895"/>
    <w:bookmarkStart w:id="1896" w:name="X36fcea8d02646c8acbde2011b718cd674a7b6e0"/>
    <w:p>
      <w:pPr>
        <w:pStyle w:val="Heading2"/>
      </w:pPr>
      <w:r>
        <w:t xml:space="preserve">78.5 Le patch management : une discipline, pas un réflexe ponctuel</w:t>
      </w:r>
    </w:p>
    <w:p>
      <w:pPr>
        <w:pStyle w:val="FirstParagraph"/>
      </w:pPr>
      <w:r>
        <w:t xml:space="preserve">💡 Rappel direct des chapitres 4 et 12</w:t>
      </w:r>
      <w:r>
        <w:t xml:space="preserve"> </w:t>
      </w:r>
      <w:r>
        <w:t xml:space="preserve">La gestion disciplinée des correctifs (</w:t>
      </w:r>
      <w:r>
        <w:rPr>
          <w:b/>
          <w:bCs/>
        </w:rPr>
        <w:t xml:space="preserve">patch management</w:t>
      </w:r>
      <w:r>
        <w:t xml:space="preserve">) s’appuie sur les outils déjà présentés dans ce manuel — WSUS pour les correctifs Windows (chapitre 12), les gestionnaires de paquets pour Linux (chapitre 15) — mais exige une discipline systématique plutôt qu’une application opportuniste : tester chaque correctif en environnement de test (rappel du chapitre 4) avant son déploiement en production, avec un délai raisonnable entre la publication d’un correctif critique et son application effective, proportionné à la gravité de la vulnérabilité qu’il corrige.</w:t>
      </w:r>
    </w:p>
    <w:bookmarkEnd w:id="1896"/>
    <w:bookmarkStart w:id="1897" w:name="X565c5dd1212b5a69f353720236951ebb9afd588"/>
    <w:p>
      <w:pPr>
        <w:pStyle w:val="Heading2"/>
      </w:pPr>
      <w:r>
        <w:t xml:space="preserve">78.6 Intégrer le durcissement dans le cycle de vie continu</w:t>
      </w:r>
    </w:p>
    <w:p>
      <w:pPr>
        <w:pStyle w:val="FirstParagraph"/>
      </w:pPr>
      <w:r>
        <w:t xml:space="preserve">✅ Rappel direct de la section 73.7</w:t>
      </w:r>
      <w:r>
        <w:t xml:space="preserve"> </w:t>
      </w:r>
      <w:r>
        <w:t xml:space="preserve">Exactement le même principe déjà établi pour intégrer les CIS Benchmarks dans les images de base plutôt que de durcir manuellement chaque serveur (section 73.7) s’applique à l’ensemble du cycle de gestion des vulnérabilités : intégrer le scan de vulnérabilités et la vérification de durcissement directement dans le pipeline de déploiement (chapitre 56), garantissant qu’aucun nouveau serveur n’entre en production sans avoir traversé ces vérifications — répondant directement à la réapparition de vulnérabilités sur de nouveaux serveurs constatée dans le scénario d’ouverture.</w:t>
      </w:r>
    </w:p>
    <w:bookmarkEnd w:id="1897"/>
    <w:bookmarkStart w:id="1898" w:name="X0b694a2ce2b934859055435b3203206da451b39"/>
    <w:p>
      <w:pPr>
        <w:pStyle w:val="Heading2"/>
      </w:pPr>
      <w:r>
        <w:t xml:space="preserve">78.7 La course contre la montre entre divulgation et exploitation</w:t>
      </w:r>
    </w:p>
    <w:p>
      <w:pPr>
        <w:pStyle w:val="FirstParagraph"/>
      </w:pPr>
      <w:r>
        <w:t xml:space="preserve">🔒 Sécurité — rappel indirect du chapitre 4</w:t>
      </w:r>
      <w:r>
        <w:t xml:space="preserve"> </w:t>
      </w:r>
      <w:r>
        <w:t xml:space="preserve">Dès qu’une vulnérabilité est publiquement divulguée, une course s’engage entre les défenseurs, qui doivent déployer le correctif, et les attaquants, qui cherchent à exploiter la vulnérabilité avant que les systèmes concernés ne soient corrigés — exactement le type de fenêtre d’exposition qui avait permis l’exploitation de l’accès RDP exposé au chapitre 4. Plus le délai entre la publication d’un correctif critique et son application réelle est long, plus cette fenêtre d’exposition reste ouverte à une exploitation potentielle.</w:t>
      </w:r>
    </w:p>
    <w:bookmarkEnd w:id="1898"/>
    <w:bookmarkStart w:id="1899" w:name="X27f5e68d6892852ed62a7a2c18921e40dc41e14"/>
    <w:p>
      <w:pPr>
        <w:pStyle w:val="Heading2"/>
      </w:pPr>
      <w:r>
        <w:t xml:space="preserve">Atelier — Construire un processus continu pour le portail client</w:t>
      </w:r>
    </w:p>
    <w:p>
      <w:pPr>
        <w:pStyle w:val="FirstParagraph"/>
      </w:pPr>
      <w:r>
        <w:t xml:space="preserve">🛠️ Atelier 78 — Répondre au constat du scénario d’ouverture</w:t>
      </w:r>
    </w:p>
    <w:p>
      <w:pPr>
        <w:pStyle w:val="BodyText"/>
      </w:pPr>
      <w:r>
        <w:rPr>
          <w:b/>
          <w:bCs/>
        </w:rPr>
        <w:t xml:space="preserve">Objectif</w:t>
      </w:r>
      <w:r>
        <w:t xml:space="preserve"> </w:t>
      </w:r>
      <w:r>
        <w:t xml:space="preserve">: construire un processus de gestion des vulnérabilités continu pour le portail client, empêchant la réapparition de vulnérabilités déjà corrigées sur de nouveaux serveurs.</w:t>
      </w:r>
    </w:p>
    <w:p>
      <w:pPr>
        <w:pStyle w:val="BodyText"/>
      </w:pPr>
      <w:r>
        <w:rPr>
          <w:b/>
          <w:bCs/>
        </w:rPr>
        <w:t xml:space="preserve">Préparation</w:t>
      </w:r>
      <w:r>
        <w:t xml:space="preserve"> </w:t>
      </w:r>
      <w:r>
        <w:t xml:space="preserve">: le pipeline de déploiement du portail client déjà établi (chapitres 56-57).</w:t>
      </w:r>
    </w:p>
    <w:p>
      <w:pPr>
        <w:pStyle w:val="BodyText"/>
      </w:pPr>
      <w:r>
        <w:rPr>
          <w:b/>
          <w:bCs/>
        </w:rPr>
        <w:t xml:space="preserve">Étapes détaillées</w:t>
      </w:r>
      <w:r>
        <w:t xml:space="preserve"> </w:t>
      </w:r>
      <w:r>
        <w:t xml:space="preserve">:</w:t>
      </w:r>
    </w:p>
    <w:p>
      <w:pPr>
        <w:pStyle w:val="Compact"/>
        <w:numPr>
          <w:ilvl w:val="0"/>
          <w:numId w:val="2792"/>
        </w:numPr>
      </w:pPr>
      <w:r>
        <w:t xml:space="preserve">Intègre un scan de vulnérabilités automatisé directement dans le pipeline de déploiement, avant toute mise en production d’un nouveau serveur (section 78.6).</w:t>
      </w:r>
    </w:p>
    <w:p>
      <w:pPr>
        <w:pStyle w:val="Compact"/>
        <w:numPr>
          <w:ilvl w:val="0"/>
          <w:numId w:val="2792"/>
        </w:numPr>
      </w:pPr>
      <w:r>
        <w:t xml:space="preserve">Configure ce scan pour bloquer le déploiement en présence d’une vulnérabilité au score CVSS dépassant un seuil critique défini (section 78.4).</w:t>
      </w:r>
    </w:p>
    <w:p>
      <w:pPr>
        <w:pStyle w:val="Compact"/>
        <w:numPr>
          <w:ilvl w:val="0"/>
          <w:numId w:val="2792"/>
        </w:numPr>
      </w:pPr>
      <w:r>
        <w:t xml:space="preserve">Planifie un scan récurrent de l’infrastructure déjà en production, indépendamment du pipeline de déploiement.</w:t>
      </w:r>
    </w:p>
    <w:p>
      <w:pPr>
        <w:pStyle w:val="Compact"/>
        <w:numPr>
          <w:ilvl w:val="0"/>
          <w:numId w:val="2792"/>
        </w:numPr>
      </w:pPr>
      <w:r>
        <w:t xml:space="preserve">Explique pourquoi cette double approche (scan au déploiement et scan récurrent) couvre mieux le cycle de vie complet qu’une seule des deux mesures isolément.</w:t>
      </w:r>
    </w:p>
    <w:p>
      <w:pPr>
        <w:pStyle w:val="Compact"/>
        <w:numPr>
          <w:ilvl w:val="0"/>
          <w:numId w:val="2792"/>
        </w:numPr>
      </w:pPr>
      <w:r>
        <w:t xml:space="preserve">Compare ta démarche à la section</w:t>
      </w:r>
      <w:r>
        <w:t xml:space="preserve"> </w:t>
      </w:r>
      <w:r>
        <w:t xml:space="preserve">“Résultat attendu”</w:t>
      </w:r>
      <w:r>
        <w:t xml:space="preserve">.</w:t>
      </w:r>
    </w:p>
    <w:p>
      <w:pPr>
        <w:pStyle w:val="FirstParagraph"/>
      </w:pPr>
      <w:r>
        <w:rPr>
          <w:b/>
          <w:bCs/>
        </w:rPr>
        <w:t xml:space="preserve">Résultat attendu</w:t>
      </w:r>
      <w:r>
        <w:t xml:space="preserve"> </w:t>
      </w:r>
      <w:r>
        <w:t xml:space="preserve">: le scan intégré au pipeline de déploiement empêche qu’un nouveau serveur présentant une vulnérabilité critique connue n’entre en production, répondant directement au constat du scénario d’ouverture où des vulnérabilités similaires réapparaissaient sur de nouveaux déploiements. Le scan récurrent sur l’infrastructure déjà en production couvre un besoin distinct : détecter une vulnérabilité découverte et documentée après la mise en production d’un serveur, un système parfaitement sain au moment de son déploiement pouvant devenir vulnérable ultérieurement suite à la découverte d’une nouvelle faille dans un logiciel déjà installé. Aucune des deux mesures seules ne couvre l’ensemble du cycle de vie — leur combinaison, oui.</w:t>
      </w:r>
    </w:p>
    <w:p>
      <w:pPr>
        <w:pStyle w:val="BodyText"/>
      </w:pPr>
      <w:r>
        <w:rPr>
          <w:b/>
          <w:bCs/>
        </w:rPr>
        <w:t xml:space="preserve">Dépannage</w:t>
      </w:r>
      <w:r>
        <w:t xml:space="preserve"> </w:t>
      </w:r>
      <w:r>
        <w:t xml:space="preserve">: si le scan intégré au pipeline bloque un déploiement légitime à cause d’un score CVSS jugé disproportionné par rapport au risque réel dans le contexte spécifique de ce système, documente une exception justifiée plutôt que d’abaisser le seuil global de blocage pour l’ensemble du pipeline — exactement le même principe déjà établi pour les exceptions du pipeline DevSecOps au chapitre 57.</w:t>
      </w:r>
    </w:p>
    <w:bookmarkEnd w:id="1899"/>
    <w:bookmarkStart w:id="1900" w:name="erreurs-fréquentes-77"/>
    <w:p>
      <w:pPr>
        <w:pStyle w:val="Heading2"/>
      </w:pPr>
      <w:r>
        <w:t xml:space="preserve">Erreurs fréquentes</w:t>
      </w:r>
    </w:p>
    <w:p>
      <w:pPr>
        <w:pStyle w:val="FirstParagraph"/>
      </w:pPr>
      <w:r>
        <w:t xml:space="preserve">⚠️ Erreur n°1 — scanner sans jamais prioriser, submergé par le volume de résultats</w:t>
      </w:r>
      <w:r>
        <w:t xml:space="preserve"> </w:t>
      </w:r>
      <w:r>
        <w:t xml:space="preserve">Rappel de la section 78.4 : un scan produisant des centaines de résultats sans priorisation objective par score CVSS devient rapidement ingérable, l’équipe ne sachant par où commencer.</w:t>
      </w:r>
    </w:p>
    <w:p>
      <w:pPr>
        <w:pStyle w:val="BodyText"/>
      </w:pPr>
      <w:r>
        <w:t xml:space="preserve">⚠️ Erreur n°2 — appliquer un correctif critique directement en production sans test préalable</w:t>
      </w:r>
      <w:r>
        <w:t xml:space="preserve"> </w:t>
      </w:r>
      <w:r>
        <w:t xml:space="preserve">Rappel du chapitre 4 : un correctif non testé peut introduire une régression inattendue, un risque à mettre en balance avec l’urgence réelle de la vulnérabilité corrigée.</w:t>
      </w:r>
    </w:p>
    <w:p>
      <w:pPr>
        <w:pStyle w:val="BodyText"/>
      </w:pPr>
      <w:r>
        <w:t xml:space="preserve">⚠️ Erreur n°3 — aucune vérification après application d’un correctif</w:t>
      </w:r>
      <w:r>
        <w:t xml:space="preserve"> </w:t>
      </w:r>
      <w:r>
        <w:t xml:space="preserve">Rappel direct de la section 77.7 : le même piège déjà dénoncé pour un rapport de test d’intrusion jamais suivi de vérification s’applique à l’application d’un correctif de sécurité, potentiellement incomplète ou incorrecte sans confirmation.</w:t>
      </w:r>
    </w:p>
    <w:bookmarkEnd w:id="1900"/>
    <w:bookmarkStart w:id="1901" w:name="X55a55978a03c2657e3dce6157ee1e99cd5fa3d4"/>
    <w:p>
      <w:pPr>
        <w:pStyle w:val="Heading2"/>
      </w:pPr>
      <w:r>
        <w:t xml:space="preserve">Diagnostiquer une vulnérabilité critique non corrigée depuis des mois</w:t>
      </w:r>
    </w:p>
    <w:p>
      <w:pPr>
        <w:pStyle w:val="FirstParagraph"/>
      </w:pPr>
      <w:r>
        <w:t xml:space="preserve">🩺 Symptôme : un scan révèle une vulnérabilité critique, connue et documentée publiquement depuis plusieurs mois, toujours non corrigée sur un système de production</w:t>
      </w:r>
    </w:p>
    <w:p>
      <w:pPr>
        <w:pStyle w:val="Compact"/>
        <w:numPr>
          <w:ilvl w:val="0"/>
          <w:numId w:val="2793"/>
        </w:numPr>
      </w:pPr>
      <w:r>
        <w:rPr>
          <w:b/>
          <w:bCs/>
        </w:rPr>
        <w:t xml:space="preserve">Diagnostic</w:t>
      </w:r>
      <w:r>
        <w:t xml:space="preserve"> </w:t>
      </w:r>
      <w:r>
        <w:t xml:space="preserve">: vérifier si cette vulnérabilité avait déjà été identifiée par un scan précédent sans faire l’objet d’un suivi assigné, ou si le système concerné a échappé au périmètre des scans réguliers.</w:t>
      </w:r>
    </w:p>
    <w:p>
      <w:pPr>
        <w:pStyle w:val="Compact"/>
        <w:numPr>
          <w:ilvl w:val="0"/>
          <w:numId w:val="2793"/>
        </w:numPr>
      </w:pPr>
      <w:r>
        <w:rPr>
          <w:b/>
          <w:bCs/>
        </w:rPr>
        <w:t xml:space="preserve">Comment vérifier</w:t>
      </w:r>
      <w:r>
        <w:t xml:space="preserve"> </w:t>
      </w:r>
      <w:r>
        <w:t xml:space="preserve">: consulter l’historique des scans précédents pour ce système, et le processus de suivi des remédiations déjà établi (rappel de la section</w:t>
      </w:r>
      <w:r>
        <w:t xml:space="preserve"> </w:t>
      </w:r>
      <w:r>
        <w:t xml:space="preserve">“Diagnostiquer”</w:t>
      </w:r>
      <w:r>
        <w:t xml:space="preserve"> </w:t>
      </w:r>
      <w:r>
        <w:t xml:space="preserve">du chapitre 77).</w:t>
      </w:r>
    </w:p>
    <w:p>
      <w:pPr>
        <w:pStyle w:val="Compact"/>
        <w:numPr>
          <w:ilvl w:val="0"/>
          <w:numId w:val="2793"/>
        </w:numPr>
      </w:pPr>
      <w:r>
        <w:rPr>
          <w:b/>
          <w:bCs/>
        </w:rPr>
        <w:t xml:space="preserve">Résolution</w:t>
      </w:r>
      <w:r>
        <w:t xml:space="preserve"> </w:t>
      </w:r>
      <w:r>
        <w:t xml:space="preserve">: prioriser la correction immédiate compte tenu du délai d’exposition déjà écoulé (section 78.7), puis renforcer le processus de suivi ayant permis à cette vulnérabilité de rester non traitée aussi longtemps.</w:t>
      </w:r>
    </w:p>
    <w:bookmarkEnd w:id="1901"/>
    <w:bookmarkStart w:id="1902" w:name="en-entreprise-77"/>
    <w:p>
      <w:pPr>
        <w:pStyle w:val="Heading2"/>
      </w:pPr>
      <w:r>
        <w:t xml:space="preserve">En entreprise</w:t>
      </w:r>
    </w:p>
    <w:p>
      <w:pPr>
        <w:pStyle w:val="Compact"/>
        <w:numPr>
          <w:ilvl w:val="0"/>
          <w:numId w:val="2794"/>
        </w:numPr>
      </w:pPr>
      <w:r>
        <w:rPr>
          <w:b/>
          <w:bCs/>
        </w:rPr>
        <w:t xml:space="preserve">Bonne pratique répandue</w:t>
      </w:r>
      <w:r>
        <w:t xml:space="preserve"> </w:t>
      </w:r>
      <w:r>
        <w:t xml:space="preserve">: planifier des scans de vulnérabilités récurrents à une fréquence proportionnée à la criticité de chaque système, plutôt qu’une fréquence uniforme pour l’ensemble de l’infrastructure.</w:t>
      </w:r>
    </w:p>
    <w:p>
      <w:pPr>
        <w:pStyle w:val="Compact"/>
        <w:numPr>
          <w:ilvl w:val="0"/>
          <w:numId w:val="2794"/>
        </w:numPr>
      </w:pPr>
      <w:r>
        <w:rPr>
          <w:b/>
          <w:bCs/>
        </w:rPr>
        <w:t xml:space="preserve">Bonne pratique répandue</w:t>
      </w:r>
      <w:r>
        <w:t xml:space="preserve"> </w:t>
      </w:r>
      <w:r>
        <w:t xml:space="preserve">: définir des délais cibles de remédiation par niveau de score CVSS (par exemple, correction sous 48 heures pour une vulnérabilité critique activement exploitée, sous un mois pour une vulnérabilité mineure), formalisant la priorisation en engagement mesurable.</w:t>
      </w:r>
    </w:p>
    <w:p>
      <w:pPr>
        <w:pStyle w:val="Compact"/>
        <w:numPr>
          <w:ilvl w:val="0"/>
          <w:numId w:val="2794"/>
        </w:numPr>
      </w:pPr>
      <w:r>
        <w:rPr>
          <w:b/>
          <w:bCs/>
        </w:rPr>
        <w:t xml:space="preserve">Erreur classique observée</w:t>
      </w:r>
      <w:r>
        <w:t xml:space="preserve"> </w:t>
      </w:r>
      <w:r>
        <w:t xml:space="preserve">: une organisation qui investit dans un scanner de vulnérabilités sophistiqué, produisant des rapports détaillés et réguliers, mais dont personne n’a la responsabilité claire de traiter effectivement ces résultats — reproduisant le même problème qu’un rapport de test d’intrusion jamais suivi de remédiation réelle.</w:t>
      </w:r>
    </w:p>
    <w:bookmarkEnd w:id="1902"/>
    <w:bookmarkStart w:id="1903" w:name="entretien-technique-77"/>
    <w:p>
      <w:pPr>
        <w:pStyle w:val="Heading2"/>
      </w:pPr>
      <w:r>
        <w:t xml:space="preserve">Entretien technique</w:t>
      </w:r>
    </w:p>
    <w:p>
      <w:pPr>
        <w:pStyle w:val="FirstParagraph"/>
      </w:pPr>
      <w:r>
        <w:t xml:space="preserve">💼 Questions fréquemment posées en entretien</w:t>
      </w:r>
    </w:p>
    <w:p>
      <w:pPr>
        <w:pStyle w:val="BodyText"/>
      </w:pPr>
      <w:r>
        <w:rPr>
          <w:b/>
          <w:bCs/>
        </w:rPr>
        <w:t xml:space="preserve">Q1.</w:t>
      </w:r>
      <w:r>
        <w:rPr>
          <w:b/>
          <w:bCs/>
        </w:rPr>
        <w:t xml:space="preserve"> </w:t>
      </w:r>
      <w:r>
        <w:rPr>
          <w:b/>
          <w:bCs/>
        </w:rPr>
        <w:t xml:space="preserve">“Pourquoi un test d’intrusion annuel ne suffit-il pas à garantir une gestion efficace des vulnérabilités ?”</w:t>
      </w:r>
      <w:r>
        <w:t xml:space="preserve"> </w:t>
      </w:r>
      <w:r>
        <w:t xml:space="preserve">Réponse attendue : un test d’intrusion offre une photographie à un instant précis ; entre deux tests, de nouveaux serveurs sont déployés et de nouvelles vulnérabilités découvertes, nécessitant un cycle continu de scan et de remédiation pour couvrir cet intervalle.</w:t>
      </w:r>
    </w:p>
    <w:p>
      <w:pPr>
        <w:pStyle w:val="BodyText"/>
      </w:pPr>
      <w:r>
        <w:rPr>
          <w:b/>
          <w:bCs/>
        </w:rPr>
        <w:t xml:space="preserve">Q2.</w:t>
      </w:r>
      <w:r>
        <w:rPr>
          <w:b/>
          <w:bCs/>
        </w:rPr>
        <w:t xml:space="preserve"> </w:t>
      </w:r>
      <w:r>
        <w:rPr>
          <w:b/>
          <w:bCs/>
        </w:rPr>
        <w:t xml:space="preserve">“À quoi sert le score CVSS dans la gestion des vulnérabilités ?”</w:t>
      </w:r>
      <w:r>
        <w:t xml:space="preserve"> </w:t>
      </w:r>
      <w:r>
        <w:t xml:space="preserve">Réponse attendue : il attribue un score standardisé et objectif à chaque vulnérabilité selon sa gravité réelle, permettant de prioriser les efforts de remédiation sur les risques les plus critiques plutôt que de traiter chaque constat avec la même priorité.</w:t>
      </w:r>
    </w:p>
    <w:p>
      <w:pPr>
        <w:pStyle w:val="BodyText"/>
      </w:pPr>
      <w:r>
        <w:rPr>
          <w:b/>
          <w:bCs/>
        </w:rPr>
        <w:t xml:space="preserve">Q3.</w:t>
      </w:r>
      <w:r>
        <w:rPr>
          <w:b/>
          <w:bCs/>
        </w:rPr>
        <w:t xml:space="preserve"> </w:t>
      </w:r>
      <w:r>
        <w:rPr>
          <w:b/>
          <w:bCs/>
        </w:rPr>
        <w:t xml:space="preserve">“Pourquoi est-il important de tester un correctif de sécurité en environnement de test avant son application en production, même pour une vulnérabilité critique ?”</w:t>
      </w:r>
      <w:r>
        <w:t xml:space="preserve"> </w:t>
      </w:r>
      <w:r>
        <w:t xml:space="preserve">Réponse attendue : un correctif non testé peut introduire une régression inattendue ; ce risque doit être mis en balance avec l’urgence réelle de la vulnérabilité corrigée, un délai de test raisonnable restant généralement préférable à une application non testée en urgence, sauf exploitation active avérée.</w:t>
      </w:r>
    </w:p>
    <w:bookmarkEnd w:id="1903"/>
    <w:bookmarkStart w:id="1904" w:name="X8805385fff1c26d7cba4b9287e3e14aa6636156"/>
    <w:p>
      <w:pPr>
        <w:pStyle w:val="Heading2"/>
      </w:pPr>
      <w:r>
        <w:t xml:space="preserve">Optimisation, sécurité et maintenabilité — les réflexes dès ce chapitre</w:t>
      </w:r>
    </w:p>
    <w:p>
      <w:pPr>
        <w:pStyle w:val="FirstParagraph"/>
      </w:pPr>
      <w:r>
        <w:t xml:space="preserve">🔒 Sécurité</w:t>
      </w:r>
      <w:r>
        <w:t xml:space="preserve"> </w:t>
      </w:r>
      <w:r>
        <w:t xml:space="preserve">Intègre le scan de vulnérabilités directement dans le pipeline de déploiement plutôt que de le traiter comme une vérification a posteriori — empêcher structurellement le déploiement d’un système vulnérable reste préférable à sa correction après mise en production.</w:t>
      </w:r>
    </w:p>
    <w:p>
      <w:pPr>
        <w:pStyle w:val="BodyText"/>
      </w:pPr>
      <w:r>
        <w:t xml:space="preserve">✅ Maintenabilité</w:t>
      </w:r>
      <w:r>
        <w:t xml:space="preserve"> </w:t>
      </w:r>
      <w:r>
        <w:t xml:space="preserve">Définis des délais cibles de remédiation par niveau de score CVSS, transformant la priorisation théorique en engagement mesurable et suivi dans le temps.</w:t>
      </w:r>
    </w:p>
    <w:p>
      <w:pPr>
        <w:pStyle w:val="BodyText"/>
      </w:pPr>
      <w:r>
        <w:t xml:space="preserve">🚀 Performance</w:t>
      </w:r>
      <w:r>
        <w:t xml:space="preserve"> </w:t>
      </w:r>
      <w:r>
        <w:t xml:space="preserve">Adapte la fréquence des scans récurrents à la criticité réelle de chaque système, évitant à la fois un scan trop rare sur un système critique et une charge de scan excessive sur des systèmes moins sensibles.</w:t>
      </w:r>
    </w:p>
    <w:bookmarkEnd w:id="1904"/>
    <w:bookmarkStart w:id="1905" w:name="résumé-du-chapitre-77"/>
    <w:p>
      <w:pPr>
        <w:pStyle w:val="Heading2"/>
      </w:pPr>
      <w:r>
        <w:t xml:space="preserve">Résumé du chapitre</w:t>
      </w:r>
    </w:p>
    <w:p>
      <w:pPr>
        <w:pStyle w:val="Compact"/>
        <w:numPr>
          <w:ilvl w:val="0"/>
          <w:numId w:val="2795"/>
        </w:numPr>
      </w:pPr>
      <w:r>
        <w:t xml:space="preserve">Un test d’intrusion ponctuel n’offre qu’une photographie à un instant précis ; un cycle continu de gestion des vulnérabilités couvre l’intervalle entre deux tests.</w:t>
      </w:r>
    </w:p>
    <w:p>
      <w:pPr>
        <w:pStyle w:val="Compact"/>
        <w:numPr>
          <w:ilvl w:val="0"/>
          <w:numId w:val="2795"/>
        </w:numPr>
      </w:pPr>
      <w:r>
        <w:t xml:space="preserve">Le cycle scanner-prioriser-remédier-vérifier reprend le même principe d’amélioration continue déjà établi pour le SMSI d’ISO 27001.</w:t>
      </w:r>
    </w:p>
    <w:p>
      <w:pPr>
        <w:pStyle w:val="Compact"/>
        <w:numPr>
          <w:ilvl w:val="0"/>
          <w:numId w:val="2795"/>
        </w:numPr>
      </w:pPr>
      <w:r>
        <w:t xml:space="preserve">Le scoring CVSS permet une priorisation objective des efforts de remédiation selon la gravité réelle de chaque vulnérabilité.</w:t>
      </w:r>
    </w:p>
    <w:p>
      <w:pPr>
        <w:pStyle w:val="Compact"/>
        <w:numPr>
          <w:ilvl w:val="0"/>
          <w:numId w:val="2795"/>
        </w:numPr>
      </w:pPr>
      <w:r>
        <w:t xml:space="preserve">Le patch management exige une discipline systématique de test préalable et de délai de correction proportionné à la gravité.</w:t>
      </w:r>
    </w:p>
    <w:p>
      <w:pPr>
        <w:pStyle w:val="Compact"/>
        <w:numPr>
          <w:ilvl w:val="0"/>
          <w:numId w:val="2795"/>
        </w:numPr>
      </w:pPr>
      <w:r>
        <w:t xml:space="preserve">Intégrer le scan de vulnérabilités et le durcissement directement dans le pipeline de déploiement empêche la réapparition de vulnérabilités déjà corrigées sur de nouveaux systèmes.</w:t>
      </w:r>
    </w:p>
    <w:p>
      <w:pPr>
        <w:pStyle w:val="Compact"/>
        <w:numPr>
          <w:ilvl w:val="0"/>
          <w:numId w:val="2795"/>
        </w:numPr>
      </w:pPr>
      <w:r>
        <w:t xml:space="preserve">Une vérification après application d’un correctif reste indispensable, reproduisant le même principe déjà établi pour le retest après un test d’intrusion.</w:t>
      </w:r>
    </w:p>
    <w:bookmarkEnd w:id="1905"/>
    <w:bookmarkStart w:id="1906" w:name="quiz-77"/>
    <w:p>
      <w:pPr>
        <w:pStyle w:val="Heading2"/>
      </w:pPr>
      <w:r>
        <w:t xml:space="preserve">Quiz</w:t>
      </w:r>
    </w:p>
    <w:p>
      <w:pPr>
        <w:pStyle w:val="FirstParagraph"/>
      </w:pPr>
      <w:r>
        <w:t xml:space="preserve">📝 QCM (une seule bonne réponse par question)</w:t>
      </w:r>
    </w:p>
    <w:p>
      <w:pPr>
        <w:pStyle w:val="Compact"/>
        <w:numPr>
          <w:ilvl w:val="0"/>
          <w:numId w:val="2796"/>
        </w:numPr>
      </w:pPr>
      <w:r>
        <w:t xml:space="preserve">Pourquoi un test d’intrusion annuel ne suffit-il pas seul à garantir une gestion efficace des vulnérabilités ?</w:t>
      </w:r>
    </w:p>
    <w:p>
      <w:pPr>
        <w:pStyle w:val="Compact"/>
        <w:numPr>
          <w:ilvl w:val="1"/>
          <w:numId w:val="2797"/>
        </w:numPr>
      </w:pPr>
    </w:p>
    <w:p>
      <w:pPr>
        <w:pStyle w:val="Compact"/>
        <w:numPr>
          <w:ilvl w:val="2"/>
          <w:numId w:val="2798"/>
        </w:numPr>
      </w:pPr>
      <w:r>
        <w:t xml:space="preserve">Il coûte toujours trop cher pour être répété</w:t>
      </w:r>
    </w:p>
    <w:p>
      <w:pPr>
        <w:pStyle w:val="Compact"/>
        <w:numPr>
          <w:ilvl w:val="1"/>
          <w:numId w:val="2797"/>
        </w:numPr>
      </w:pPr>
    </w:p>
    <w:p>
      <w:pPr>
        <w:pStyle w:val="Compact"/>
        <w:numPr>
          <w:ilvl w:val="2"/>
          <w:numId w:val="2799"/>
        </w:numPr>
      </w:pPr>
      <w:r>
        <w:t xml:space="preserve">De nouveaux serveurs et de nouvelles vulnérabilités apparaissent dans l’intervalle entre deux tests</w:t>
      </w:r>
    </w:p>
    <w:p>
      <w:pPr>
        <w:pStyle w:val="Compact"/>
        <w:numPr>
          <w:ilvl w:val="1"/>
          <w:numId w:val="2797"/>
        </w:numPr>
      </w:pPr>
    </w:p>
    <w:p>
      <w:pPr>
        <w:pStyle w:val="Compact"/>
        <w:numPr>
          <w:ilvl w:val="2"/>
          <w:numId w:val="2800"/>
        </w:numPr>
      </w:pPr>
      <w:r>
        <w:t xml:space="preserve">Un test d’intrusion ne révèle jamais aucune vulnérabilité critique</w:t>
      </w:r>
    </w:p>
    <w:p>
      <w:pPr>
        <w:pStyle w:val="Compact"/>
        <w:numPr>
          <w:ilvl w:val="1"/>
          <w:numId w:val="2797"/>
        </w:numPr>
      </w:pPr>
    </w:p>
    <w:p>
      <w:pPr>
        <w:pStyle w:val="Compact"/>
        <w:numPr>
          <w:ilvl w:val="2"/>
          <w:numId w:val="2801"/>
        </w:numPr>
      </w:pPr>
      <w:r>
        <w:t xml:space="preserve">Il remplace totalement le besoin de patch management</w:t>
      </w:r>
    </w:p>
    <w:p>
      <w:pPr>
        <w:pStyle w:val="Compact"/>
        <w:numPr>
          <w:ilvl w:val="0"/>
          <w:numId w:val="2796"/>
        </w:numPr>
      </w:pPr>
      <w:r>
        <w:t xml:space="preserve">Le score CVSS sert principalement à :</w:t>
      </w:r>
    </w:p>
    <w:p>
      <w:pPr>
        <w:pStyle w:val="Compact"/>
        <w:numPr>
          <w:ilvl w:val="1"/>
          <w:numId w:val="2802"/>
        </w:numPr>
      </w:pPr>
    </w:p>
    <w:p>
      <w:pPr>
        <w:pStyle w:val="Compact"/>
        <w:numPr>
          <w:ilvl w:val="2"/>
          <w:numId w:val="2803"/>
        </w:numPr>
      </w:pPr>
      <w:r>
        <w:t xml:space="preserve">Chiffrer automatiquement les données vulnérables</w:t>
      </w:r>
    </w:p>
    <w:p>
      <w:pPr>
        <w:pStyle w:val="Compact"/>
        <w:numPr>
          <w:ilvl w:val="1"/>
          <w:numId w:val="2802"/>
        </w:numPr>
      </w:pPr>
    </w:p>
    <w:p>
      <w:pPr>
        <w:pStyle w:val="Compact"/>
        <w:numPr>
          <w:ilvl w:val="2"/>
          <w:numId w:val="2804"/>
        </w:numPr>
      </w:pPr>
      <w:r>
        <w:t xml:space="preserve">Prioriser objectivement les efforts de remédiation selon la gravité réelle</w:t>
      </w:r>
    </w:p>
    <w:p>
      <w:pPr>
        <w:pStyle w:val="Compact"/>
        <w:numPr>
          <w:ilvl w:val="1"/>
          <w:numId w:val="2802"/>
        </w:numPr>
      </w:pPr>
    </w:p>
    <w:p>
      <w:pPr>
        <w:pStyle w:val="Compact"/>
        <w:numPr>
          <w:ilvl w:val="2"/>
          <w:numId w:val="2805"/>
        </w:numPr>
      </w:pPr>
      <w:r>
        <w:t xml:space="preserve">Remplacer le besoin d’un scanner de vulnérabilités</w:t>
      </w:r>
    </w:p>
    <w:p>
      <w:pPr>
        <w:pStyle w:val="Compact"/>
        <w:numPr>
          <w:ilvl w:val="1"/>
          <w:numId w:val="2802"/>
        </w:numPr>
      </w:pPr>
    </w:p>
    <w:p>
      <w:pPr>
        <w:pStyle w:val="Compact"/>
        <w:numPr>
          <w:ilvl w:val="2"/>
          <w:numId w:val="2806"/>
        </w:numPr>
      </w:pPr>
      <w:r>
        <w:t xml:space="preserve">Éliminer le besoin de tester un correctif avant son application</w:t>
      </w:r>
    </w:p>
    <w:p>
      <w:pPr>
        <w:pStyle w:val="Compact"/>
        <w:numPr>
          <w:ilvl w:val="0"/>
          <w:numId w:val="2796"/>
        </w:numPr>
      </w:pPr>
      <w:r>
        <w:t xml:space="preserve">Intégrer le scan de vulnérabilités dans le pipeline de déploiement permet principalement de :</w:t>
      </w:r>
    </w:p>
    <w:p>
      <w:pPr>
        <w:pStyle w:val="Compact"/>
        <w:numPr>
          <w:ilvl w:val="1"/>
          <w:numId w:val="2807"/>
        </w:numPr>
      </w:pPr>
    </w:p>
    <w:p>
      <w:pPr>
        <w:pStyle w:val="Compact"/>
        <w:numPr>
          <w:ilvl w:val="2"/>
          <w:numId w:val="2808"/>
        </w:numPr>
      </w:pPr>
      <w:r>
        <w:t xml:space="preserve">Réduire le temps de compilation du code</w:t>
      </w:r>
    </w:p>
    <w:p>
      <w:pPr>
        <w:pStyle w:val="Compact"/>
        <w:numPr>
          <w:ilvl w:val="1"/>
          <w:numId w:val="2807"/>
        </w:numPr>
      </w:pPr>
    </w:p>
    <w:p>
      <w:pPr>
        <w:pStyle w:val="Compact"/>
        <w:numPr>
          <w:ilvl w:val="2"/>
          <w:numId w:val="2809"/>
        </w:numPr>
      </w:pPr>
      <w:r>
        <w:t xml:space="preserve">Empêcher qu’un nouveau serveur vulnérable n’entre en production</w:t>
      </w:r>
    </w:p>
    <w:p>
      <w:pPr>
        <w:pStyle w:val="Compact"/>
        <w:numPr>
          <w:ilvl w:val="1"/>
          <w:numId w:val="2807"/>
        </w:numPr>
      </w:pPr>
    </w:p>
    <w:p>
      <w:pPr>
        <w:pStyle w:val="Compact"/>
        <w:numPr>
          <w:ilvl w:val="2"/>
          <w:numId w:val="2810"/>
        </w:numPr>
      </w:pPr>
      <w:r>
        <w:t xml:space="preserve">Remplacer le besoin de scans récurrents sur l’infrastructure déjà en production</w:t>
      </w:r>
    </w:p>
    <w:p>
      <w:pPr>
        <w:pStyle w:val="Compact"/>
        <w:numPr>
          <w:ilvl w:val="1"/>
          <w:numId w:val="2807"/>
        </w:numPr>
      </w:pPr>
    </w:p>
    <w:p>
      <w:pPr>
        <w:pStyle w:val="Compact"/>
        <w:numPr>
          <w:ilvl w:val="2"/>
          <w:numId w:val="2811"/>
        </w:numPr>
      </w:pPr>
      <w:r>
        <w:t xml:space="preserve">Éliminer le besoin du score CVSS</w:t>
      </w:r>
    </w:p>
    <w:p>
      <w:pPr>
        <w:pStyle w:val="FirstParagraph"/>
      </w:pPr>
      <w:r>
        <w:rPr>
          <w:b/>
          <w:bCs/>
        </w:rPr>
        <w:t xml:space="preserve">Corrigé</w:t>
      </w:r>
      <w:r>
        <w:t xml:space="preserve"> </w:t>
      </w:r>
      <w:r>
        <w:t xml:space="preserve">: 1-b, 2-b, 3-b.</w:t>
      </w:r>
    </w:p>
    <w:p>
      <w:pPr>
        <w:pStyle w:val="BodyText"/>
      </w:pPr>
      <w:r>
        <w:t xml:space="preserve">📝 Vrai ou Faux</w:t>
      </w:r>
    </w:p>
    <w:p>
      <w:pPr>
        <w:pStyle w:val="Compact"/>
        <w:numPr>
          <w:ilvl w:val="0"/>
          <w:numId w:val="2812"/>
        </w:numPr>
      </w:pPr>
      <w:r>
        <w:t xml:space="preserve">Un scan de vulnérabilités intégré au pipeline de déploiement rend inutile tout scan récurrent sur l’infrastructure déjà en production. —</w:t>
      </w:r>
      <w:r>
        <w:t xml:space="preserve"> </w:t>
      </w:r>
      <w:r>
        <w:rPr>
          <w:b/>
          <w:bCs/>
        </w:rPr>
        <w:t xml:space="preserve">Faux</w:t>
      </w:r>
      <w:r>
        <w:t xml:space="preserve"> </w:t>
      </w:r>
      <w:r>
        <w:t xml:space="preserve">(section</w:t>
      </w:r>
      <w:r>
        <w:t xml:space="preserve"> </w:t>
      </w:r>
      <w:r>
        <w:t xml:space="preserve">“Résultat attendu”</w:t>
      </w:r>
      <w:r>
        <w:t xml:space="preserve"> </w:t>
      </w:r>
      <w:r>
        <w:t xml:space="preserve">de l’atelier, les deux couvrent des besoins distincts).</w:t>
      </w:r>
    </w:p>
    <w:p>
      <w:pPr>
        <w:pStyle w:val="Compact"/>
        <w:numPr>
          <w:ilvl w:val="0"/>
          <w:numId w:val="2812"/>
        </w:numPr>
      </w:pPr>
      <w:r>
        <w:t xml:space="preserve">Le score CVSS permet de comparer objectivement la gravité de deux vulnérabilités différentes. —</w:t>
      </w:r>
      <w:r>
        <w:t xml:space="preserve"> </w:t>
      </w:r>
      <w:r>
        <w:rPr>
          <w:b/>
          <w:bCs/>
        </w:rPr>
        <w:t xml:space="preserve">Vrai</w:t>
      </w:r>
      <w:r>
        <w:t xml:space="preserve">.</w:t>
      </w:r>
    </w:p>
    <w:p>
      <w:pPr>
        <w:pStyle w:val="Compact"/>
        <w:numPr>
          <w:ilvl w:val="0"/>
          <w:numId w:val="2812"/>
        </w:numPr>
      </w:pPr>
      <w:r>
        <w:t xml:space="preserve">Un correctif de sécurité critique devrait toujours être appliqué immédiatement en production sans aucun test, quelle que soit la situation. —</w:t>
      </w:r>
      <w:r>
        <w:t xml:space="preserve"> </w:t>
      </w:r>
      <w:r>
        <w:rPr>
          <w:b/>
          <w:bCs/>
        </w:rPr>
        <w:t xml:space="preserve">Faux</w:t>
      </w:r>
      <w:r>
        <w:t xml:space="preserve"> </w:t>
      </w:r>
      <w:r>
        <w:t xml:space="preserve">(section</w:t>
      </w:r>
      <w:r>
        <w:t xml:space="preserve"> </w:t>
      </w:r>
      <w:r>
        <w:t xml:space="preserve">“Erreur n°2”</w:t>
      </w:r>
      <w:r>
        <w:t xml:space="preserve">, à mettre en balance avec le risque de régression).</w:t>
      </w:r>
    </w:p>
    <w:p>
      <w:pPr>
        <w:pStyle w:val="Compact"/>
        <w:numPr>
          <w:ilvl w:val="0"/>
          <w:numId w:val="2812"/>
        </w:numPr>
      </w:pPr>
      <w:r>
        <w:t xml:space="preserve">Une vérification après application d’un correctif reste indispensable pour confirmer son efficacité réelle. —</w:t>
      </w:r>
      <w:r>
        <w:t xml:space="preserve"> </w:t>
      </w:r>
      <w:r>
        <w:rPr>
          <w:b/>
          <w:bCs/>
        </w:rPr>
        <w:t xml:space="preserve">Vrai</w:t>
      </w:r>
      <w:r>
        <w:t xml:space="preserve"> </w:t>
      </w:r>
      <w:r>
        <w:t xml:space="preserve">(section</w:t>
      </w:r>
      <w:r>
        <w:t xml:space="preserve"> </w:t>
      </w:r>
      <w:r>
        <w:t xml:space="preserve">“Erreur n°3”</w:t>
      </w:r>
      <w:r>
        <w:t xml:space="preserve">).</w:t>
      </w:r>
    </w:p>
    <w:p>
      <w:pPr>
        <w:pStyle w:val="FirstParagraph"/>
      </w:pPr>
      <w:r>
        <w:t xml:space="preserve">📝 Questions ouvertes</w:t>
      </w:r>
    </w:p>
    <w:p>
      <w:pPr>
        <w:pStyle w:val="Compact"/>
        <w:numPr>
          <w:ilvl w:val="0"/>
          <w:numId w:val="2813"/>
        </w:numPr>
      </w:pPr>
      <w:r>
        <w:t xml:space="preserve">Explique pourquoi la RSSI, dans le scénario d’ouverture, ne considère pas les tests d’intrusion réguliers comme suffisants malgré leur utilité déjà démontrée au chapitre 77.</w:t>
      </w:r>
    </w:p>
    <w:p>
      <w:pPr>
        <w:pStyle w:val="Compact"/>
        <w:numPr>
          <w:ilvl w:val="0"/>
          <w:numId w:val="2813"/>
        </w:numPr>
      </w:pPr>
      <w:r>
        <w:t xml:space="preserve">Un collègue propose de définir un seul délai de remédiation uniforme (par exemple, trente jours) pour toute vulnérabilité découverte, indépendamment de son score CVSS,</w:t>
      </w:r>
      <w:r>
        <w:t xml:space="preserve"> </w:t>
      </w:r>
      <w:r>
        <w:t xml:space="preserve">“pour simplifier la gestion”</w:t>
      </w:r>
      <w:r>
        <w:t xml:space="preserve">. Discute les limites de cette proposition.</w:t>
      </w:r>
    </w:p>
    <w:p>
      <w:pPr>
        <w:pStyle w:val="FirstParagraph"/>
      </w:pPr>
      <w:r>
        <w:rPr>
          <w:b/>
          <w:bCs/>
        </w:rPr>
        <w:t xml:space="preserve">Corrigé 1</w:t>
      </w:r>
      <w:r>
        <w:t xml:space="preserve"> </w:t>
      </w:r>
      <w:r>
        <w:t xml:space="preserve">: les tests d’intrusion réguliers, tels que présentés au chapitre 77, restent des exercices ponctuels réalisés à intervalle généralement annuel — ils offrent une évaluation approfondie mais limitée dans le temps. Entre deux tests, l’infrastructure continue d’évoluer : de nouveaux serveurs sont déployés, de nouvelles versions logicielles installées, et de nouvelles vulnérabilités découvertes et documentées publiquement par la communauté de sécurité. Un test annuel ne peut, par construction, détecter une vulnérabilité apparue trois mois après sa réalisation — seule une gestion continue, via des scans récurrents et une intégration au pipeline de déploiement, peut couvrir cet intervalle et réduire la fenêtre d’exposition entre l’apparition d’une vulnérabilité et sa détection effective par l’organisation.</w:t>
      </w:r>
    </w:p>
    <w:p>
      <w:pPr>
        <w:pStyle w:val="BodyText"/>
      </w:pPr>
      <w:r>
        <w:rPr>
          <w:b/>
          <w:bCs/>
        </w:rPr>
        <w:t xml:space="preserve">Corrigé 2</w:t>
      </w:r>
      <w:r>
        <w:t xml:space="preserve"> </w:t>
      </w:r>
      <w:r>
        <w:t xml:space="preserve">: un délai uniforme, indépendant de la gravité réelle de chaque vulnérabilité, ignore précisément le principe de priorisation objective que le score CVSS est conçu pour apporter (section 78.4). Une vulnérabilité critique activement exploitée dans la nature, avec un score CVSS élevé, mérite une correction bien plus urgente qu’un délai uniforme de trente jours ne le permettrait — chaque jour de retard supplémentaire allongeant la fenêtre d’exposition décrite à la section 78.7. À l’inverse, une vulnérabilité mineure au score faible ne justifie pas nécessairement la même urgence, et un délai uniforme trop court pour toutes les vulnérabilités pourrait détourner des ressources limitées de remédiation vers des corrections à faible valeur ajoutée, au détriment des vulnérabilités réellement critiques.</w:t>
      </w:r>
    </w:p>
    <w:bookmarkEnd w:id="1906"/>
    <w:bookmarkStart w:id="1907" w:name="exercices-77"/>
    <w:p>
      <w:pPr>
        <w:pStyle w:val="Heading2"/>
      </w:pPr>
      <w:r>
        <w:t xml:space="preserve">Exercices</w:t>
      </w:r>
    </w:p>
    <w:p>
      <w:pPr>
        <w:pStyle w:val="FirstParagraph"/>
      </w:pPr>
      <w:r>
        <w:t xml:space="preserve">📝 Exercice 78.1</w:t>
      </w:r>
    </w:p>
    <w:p>
      <w:pPr>
        <w:pStyle w:val="BodyText"/>
      </w:pPr>
      <w:r>
        <w:t xml:space="preserve">Propose des délais cibles de remédiation différenciés pour trois niveaux de score CVSS (critique, élevé, moyen), en justifiant chaque choix par rapport au risque décrit à la section 78.7.</w:t>
      </w:r>
    </w:p>
    <w:p>
      <w:pPr>
        <w:pStyle w:val="BodyText"/>
      </w:pPr>
      <w:r>
        <w:rPr>
          <w:b/>
          <w:bCs/>
        </w:rPr>
        <w:t xml:space="preserve">Corrigé :</w:t>
      </w:r>
      <w:r>
        <w:t xml:space="preserve"> </w:t>
      </w:r>
      <w:r>
        <w:t xml:space="preserve">Pour une vulnérabilité critique (score CVSS élevé, exploitation active connue ou facilité d’exploitation très élevée), un délai de remédiation de 48 à 72 heures serait approprié, minimisant au maximum la fenêtre d’exposition décrite à la section 78.7, particulièrement si une exploitation est déjà documentée dans la nature. Pour une vulnérabilité élevée (impact significatif mais exploitation moins triviale ou nécessitant des conditions spécifiques), un délai de deux semaines resterait raisonnable, laissant le temps d’un test approprié en environnement de test avant application en production. Pour une vulnérabilité de sévérité moyenne (impact limité ou conditions d’exploitation peu réalistes dans le contexte de l’organisation), un délai d’un mois permettrait de l’intégrer dans un cycle de maintenance régulier plutôt qu’une intervention d’urgence, sans négliger sa correction pour autant.</w:t>
      </w:r>
    </w:p>
    <w:p>
      <w:pPr>
        <w:pStyle w:val="BodyText"/>
      </w:pPr>
      <w:r>
        <w:t xml:space="preserve">📝 Exercice 78.2</w:t>
      </w:r>
    </w:p>
    <w:p>
      <w:pPr>
        <w:pStyle w:val="BodyText"/>
      </w:pPr>
      <w:r>
        <w:t xml:space="preserve">Rédige, en 3 à 5 phrases, une règle d’équipe garantissant qu’aucun nouveau serveur n’entre en production sans avoir traversé le scan de vulnérabilités du pipeline de déploiement, en t’appuyant sur le constat du scénario d’ouverture.</w:t>
      </w:r>
    </w:p>
    <w:p>
      <w:pPr>
        <w:pStyle w:val="BodyText"/>
      </w:pPr>
      <w:r>
        <w:rPr>
          <w:b/>
          <w:bCs/>
        </w:rPr>
        <w:t xml:space="preserve">Corrigé (exemple de réponse) :</w:t>
      </w:r>
      <w:r>
        <w:t xml:space="preserve"> </w:t>
      </w:r>
      <w:r>
        <w:t xml:space="preserve">Tout nouveau serveur, quelle que soit l’urgence de son déploiement, devra impérativement traverser l’étape de scan de vulnérabilités intégrée au pipeline de déploiement avant sa mise en production effective, sans exception ni contournement manuel de cette étape. Cette exigence sera techniquement appliquée par le pipeline lui-même, bloquant automatiquement tout déploiement en présence d’une vulnérabilité critique non traitée, plutôt que de reposer sur la seule discipline volontaire de chaque équipe de déploiement. Cette règle vise directement à empêcher la réapparition de vulnérabilités déjà corrigées sur de nouveaux systèmes, exactement le constat qui avait motivé la mise en place de ce processus continu dans le scénario d’ouverture de ce chapitre.</w:t>
      </w:r>
    </w:p>
    <w:bookmarkEnd w:id="1907"/>
    <w:bookmarkStart w:id="1908" w:name="checklist-de-fin-de-chapitre-77"/>
    <w:p>
      <w:pPr>
        <w:pStyle w:val="Heading2"/>
      </w:pPr>
      <w:r>
        <w:t xml:space="preserve">Checklist de fin de chapitre</w:t>
      </w:r>
    </w:p>
    <w:p>
      <w:pPr>
        <w:pStyle w:val="FirstParagraph"/>
      </w:pPr>
      <w:r>
        <w:t xml:space="preserve">☐ Je comprends pourquoi un test d’intrusion ponctuel ne suffit pas seul à garantir une gestion efficace des vulnérabilités.</w:t>
      </w:r>
    </w:p>
    <w:p>
      <w:pPr>
        <w:pStyle w:val="BodyText"/>
      </w:pPr>
      <w:r>
        <w:t xml:space="preserve">☐ Je sais décrire le cycle continu scanner-prioriser-remédier-vérifier.</w:t>
      </w:r>
    </w:p>
    <w:p>
      <w:pPr>
        <w:pStyle w:val="BodyText"/>
      </w:pPr>
      <w:r>
        <w:t xml:space="preserve">☐ Je sais utiliser le score CVSS pour prioriser objectivement des vulnérabilités.</w:t>
      </w:r>
    </w:p>
    <w:p>
      <w:pPr>
        <w:pStyle w:val="BodyText"/>
      </w:pPr>
      <w:r>
        <w:t xml:space="preserve">☐ Je comprends les principes d’une discipline de patch management rigoureuse.</w:t>
      </w:r>
    </w:p>
    <w:p>
      <w:pPr>
        <w:pStyle w:val="BodyText"/>
      </w:pPr>
      <w:r>
        <w:t xml:space="preserve">☐ Je sais intégrer le scan de vulnérabilités et le durcissement dans un pipeline de déploiement.</w:t>
      </w:r>
    </w:p>
    <w:p>
      <w:pPr>
        <w:pStyle w:val="BodyText"/>
      </w:pPr>
      <w:r>
        <w:t xml:space="preserve">☐ Je comprends pourquoi la fenêtre entre divulgation et correction d’une vulnérabilité constitue un risque à minimiser.</w:t>
      </w:r>
    </w:p>
    <w:bookmarkEnd w:id="1908"/>
    <w:bookmarkStart w:id="1909" w:name="faq-77"/>
    <w:p>
      <w:pPr>
        <w:pStyle w:val="Heading2"/>
      </w:pPr>
      <w:r>
        <w:t xml:space="preserve">FAQ</w:t>
      </w:r>
    </w:p>
    <w:p>
      <w:pPr>
        <w:pStyle w:val="FirstParagraph"/>
      </w:pPr>
      <w:r>
        <w:t xml:space="preserve">Faut-il scanner l’intégralité de l’infrastructure à la même fréquence ?</w:t>
      </w:r>
    </w:p>
    <w:p>
      <w:pPr>
        <w:pStyle w:val="BodyText"/>
      </w:pPr>
      <w:r>
        <w:t xml:space="preserve">Non, une fréquence proportionnée à la criticité de chaque système reste plus efficace qu’une fréquence uniforme — un système exposé publiquement comme le portail client justifie une fréquence plus élevée qu’un système interne à faible exposition.</w:t>
      </w:r>
    </w:p>
    <w:p>
      <w:pPr>
        <w:pStyle w:val="BodyText"/>
      </w:pPr>
      <w:r>
        <w:t xml:space="preserve">Le score CVSS tient-il compte du contexte spécifique de chaque organisation ?</w:t>
      </w:r>
    </w:p>
    <w:p>
      <w:pPr>
        <w:pStyle w:val="BodyText"/>
      </w:pPr>
      <w:r>
        <w:t xml:space="preserve">Le score CVSS de base reste générique ; certaines organisations ajustent leur priorisation avec un score contextualisé, tenant compte de facteurs propres à leur environnement (exposition réelle du système concerné, présence de mesures compensatoires déjà en place), plutôt que de se fier exclusivement au score générique publié.</w:t>
      </w:r>
    </w:p>
    <w:p>
      <w:pPr>
        <w:pStyle w:val="BodyText"/>
      </w:pPr>
      <w:r>
        <w:t xml:space="preserve">Que faire lorsqu’aucun correctif n’est encore disponible pour une vulnérabilité critique découverte ?</w:t>
      </w:r>
    </w:p>
    <w:p>
      <w:pPr>
        <w:pStyle w:val="BodyText"/>
      </w:pPr>
      <w:r>
        <w:t xml:space="preserve">Une mesure d’atténuation temporaire (restriction d’accès réseau via le pare-feu, désactivation de la fonctionnalité vulnérable si possible) reste souvent applicable en attendant la publication d’un correctif définitif, réduisant l’exposition sans attendre la solution complète.</w:t>
      </w:r>
    </w:p>
    <w:p>
      <w:pPr>
        <w:pStyle w:val="BodyText"/>
      </w:pPr>
      <w:r>
        <w:t xml:space="preserve">La gestion des vulnérabilités remplace-t-elle le besoin de tests d’intrusion périodiques déjà couverts au chapitre 77 ?</w:t>
      </w:r>
    </w:p>
    <w:p>
      <w:pPr>
        <w:pStyle w:val="BodyText"/>
      </w:pPr>
      <w:r>
        <w:t xml:space="preserve">Non, les deux restent complémentaires — les scans automatisés détectent efficacement les vulnérabilités déjà connues et documentées, tandis qu’un test d’intrusion évalue également l’exploitabilité réelle dans un scénario d’attaque combiné et peut révéler des faiblesses qu’un scan automatisé seul ne détecterait pas.</w:t>
      </w:r>
    </w:p>
    <w:bookmarkEnd w:id="1909"/>
    <w:bookmarkStart w:id="1913" w:name="références-et-pour-aller-plus-loin-77"/>
    <w:p>
      <w:pPr>
        <w:pStyle w:val="Heading2"/>
      </w:pPr>
      <w:r>
        <w:t xml:space="preserve">Références et pour aller plus loin</w:t>
      </w:r>
    </w:p>
    <w:p>
      <w:pPr>
        <w:pStyle w:val="Compact"/>
        <w:numPr>
          <w:ilvl w:val="0"/>
          <w:numId w:val="2814"/>
        </w:numPr>
      </w:pPr>
      <w:r>
        <w:t xml:space="preserve">FIRST — Common Vulnerability Scoring System (CVSS) :</w:t>
      </w:r>
      <w:r>
        <w:t xml:space="preserve"> </w:t>
      </w:r>
      <w:hyperlink r:id="rId1910">
        <w:r>
          <w:rPr>
            <w:rStyle w:val="Hyperlink"/>
          </w:rPr>
          <w:t xml:space="preserve">https://www.first.org/cvss/</w:t>
        </w:r>
      </w:hyperlink>
    </w:p>
    <w:p>
      <w:pPr>
        <w:pStyle w:val="Compact"/>
        <w:numPr>
          <w:ilvl w:val="0"/>
          <w:numId w:val="2814"/>
        </w:numPr>
      </w:pPr>
      <w:r>
        <w:t xml:space="preserve">NIST — National Vulnerability Database :</w:t>
      </w:r>
      <w:r>
        <w:t xml:space="preserve"> </w:t>
      </w:r>
      <w:hyperlink r:id="rId1911">
        <w:r>
          <w:rPr>
            <w:rStyle w:val="Hyperlink"/>
          </w:rPr>
          <w:t xml:space="preserve">https://nvd.nist.gov/</w:t>
        </w:r>
      </w:hyperlink>
    </w:p>
    <w:p>
      <w:pPr>
        <w:pStyle w:val="Compact"/>
        <w:numPr>
          <w:ilvl w:val="0"/>
          <w:numId w:val="2814"/>
        </w:numPr>
      </w:pPr>
      <w:r>
        <w:t xml:space="preserve">NIST — Guide to Enterprise Patch Management Planning (SP 800-40) :</w:t>
      </w:r>
      <w:r>
        <w:t xml:space="preserve"> </w:t>
      </w:r>
      <w:hyperlink r:id="rId1912">
        <w:r>
          <w:rPr>
            <w:rStyle w:val="Hyperlink"/>
          </w:rPr>
          <w:t xml:space="preserve">https://csrc.nist.gov/publications/detail/sp/800-40/rev-4/final</w:t>
        </w:r>
      </w:hyperlink>
    </w:p>
    <w:p>
      <w:pPr>
        <w:pStyle w:val="FirstParagraph"/>
      </w:pPr>
      <w:r>
        <w:rPr>
          <w:i/>
          <w:iCs/>
        </w:rPr>
        <w:t xml:space="preserve">Chapitre suivant : la réponse à incident et les notions de base du forensic — que faire concrètement lorsque, malgré toutes les mesures de prévention et de détection déjà construites dans cette partie du manuel, un incident survient réellement, clôturant la Partie 12 de ce manuel.</w:t>
      </w:r>
    </w:p>
    <w:p>
      <w:pPr>
        <w:pStyle w:val="BodyText"/>
      </w:pPr>
      <w:r>
        <w:t xml:space="preserve">CHAPITRE 79</w:t>
      </w:r>
    </w:p>
    <w:bookmarkEnd w:id="1913"/>
    <w:bookmarkEnd w:id="1914"/>
    <w:bookmarkStart w:id="1940" w:name="réponse-à-incident-et-forensic-de-base"/>
    <w:p>
      <w:pPr>
        <w:pStyle w:val="Heading1"/>
      </w:pPr>
      <w:r>
        <w:t xml:space="preserve">Réponse à incident et forensic de base</w:t>
      </w:r>
    </w:p>
    <w:p>
      <w:pPr>
        <w:pStyle w:val="FirstParagraph"/>
      </w:pPr>
      <w:r>
        <w:t xml:space="preserve">🎯 Objectif du chapitre</w:t>
      </w:r>
      <w:r>
        <w:t xml:space="preserve"> </w:t>
      </w:r>
      <w:r>
        <w:t xml:space="preserve">Traiter ce qu’il faut faire concrètement lorsque, malgré toutes les mesures de prévention et de détection déjà construites dans cette partie du manuel, un incident survient réellement — le traitement formel et procédural déjà annoncé comme manquant à la section 71.6. À la fin de ce chapitre, tu comprendras les six phases d’une réponse à incident structurée, les notions de base du forensic (préservation des preuves, chaîne de custody), et comment l’ensemble des outils construits dans cette partie (SIEM, IDS/IPS, EDR) se combinent lors d’un incident réel.</w:t>
      </w:r>
    </w:p>
    <w:p>
      <w:pPr>
        <w:pStyle w:val="BodyText"/>
      </w:pPr>
      <w:r>
        <w:t xml:space="preserve">🎬 Mise en situation</w:t>
      </w:r>
      <w:r>
        <w:t xml:space="preserve"> </w:t>
      </w:r>
      <w:r>
        <w:t xml:space="preserve">En clôture de la Partie 12, la RSSI organise une relecture collective de l’incident fondateur du chapitre 4 — le rançongiciel exploitant l’accès RDP exposé.</w:t>
      </w:r>
      <w:r>
        <w:t xml:space="preserve"> </w:t>
      </w:r>
      <w:r>
        <w:t xml:space="preserve">“À l’époque,”</w:t>
      </w:r>
      <w:r>
        <w:t xml:space="preserve"> </w:t>
      </w:r>
      <w:r>
        <w:t xml:space="preserve">rappelle-t-elle,</w:t>
      </w:r>
      <w:r>
        <w:t xml:space="preserve"> </w:t>
      </w:r>
      <w:r>
        <w:t xml:space="preserve">“on a improvisé entièrement : personne ne savait qui devait décider quoi, certains postes ont été éteints immédiatement, effaçant probablement des preuves utiles, et une fois l’incident terminé, personne n’a formellement documenté ce qui avait été appris.”</w:t>
      </w:r>
      <w:r>
        <w:t xml:space="preserve"> </w:t>
      </w:r>
      <w:r>
        <w:t xml:space="preserve">Aujourd’hui, l’entreprise dispose d’un SIEM (chapitre 74), d’un IDS/IPS (chapitre 75) et d’un EDR (chapitre 76) — mais sans procédure structurée pour orchestrer leur usage pendant un incident réel, une grande partie de cette maturité technique resterait sous-exploitée dans l’urgence. Ce chapitre construit cette procédure.</w:t>
      </w:r>
    </w:p>
    <w:bookmarkStart w:id="1915" w:name="X9aa4928965cec4aab22a6fbf8bdcc7ad89056b3"/>
    <w:p>
      <w:pPr>
        <w:pStyle w:val="Heading2"/>
      </w:pPr>
      <w:r>
        <w:t xml:space="preserve">79.1 Le problème : revenir à l’improvisation du chapitre 4</w:t>
      </w:r>
    </w:p>
    <w:p>
      <w:pPr>
        <w:pStyle w:val="FirstParagraph"/>
      </w:pPr>
      <w:r>
        <w:t xml:space="preserve">📌 À retenir</w:t>
      </w:r>
      <w:r>
        <w:t xml:space="preserve"> </w:t>
      </w:r>
      <w:r>
        <w:t xml:space="preserve">Sans procédure écrite préparée à l’avance, un incident réel se traite dans l’urgence et l’improvisation — exactement ce qui s’est produit au chapitre 4. Ce constat rejoint directement le même principe déjà établi pour le plan de reprise d’activité et le plan de continuité (chapitres 31-32) : la préparation doit précéder l’incident, jamais s’improviser pendant celui-ci, un enjeu d’autant plus critique que la pression et le stress d’un incident réel réduisent significativement la qualité du jugement improvisé.</w:t>
      </w:r>
    </w:p>
    <w:bookmarkEnd w:id="1915"/>
    <w:bookmarkStart w:id="1919" w:name="Xb3c7a06fcb6d22e809c96265102dff8daa249a4"/>
    <w:p>
      <w:pPr>
        <w:pStyle w:val="Heading2"/>
      </w:pPr>
      <w:r>
        <w:t xml:space="preserve">79.2 Les six phases d’une réponse à incident structurée</w:t>
      </w:r>
    </w:p>
    <w:p>
      <w:pPr>
        <w:pStyle w:val="FirstParagraph"/>
      </w:pPr>
      <w:r>
        <w:t xml:space="preserve">📌 À retenir</w:t>
      </w:r>
      <w:r>
        <w:t xml:space="preserve"> </w:t>
      </w:r>
      <w:r>
        <w:t xml:space="preserve">Une réponse à incident structurée suit généralement six phases :</w:t>
      </w:r>
      <w:r>
        <w:t xml:space="preserve"> </w:t>
      </w:r>
      <w:r>
        <w:rPr>
          <w:b/>
          <w:bCs/>
        </w:rPr>
        <w:t xml:space="preserve">préparation</w:t>
      </w:r>
      <w:r>
        <w:t xml:space="preserve"> </w:t>
      </w:r>
      <w:r>
        <w:t xml:space="preserve">(avant tout incident),</w:t>
      </w:r>
      <w:r>
        <w:t xml:space="preserve"> </w:t>
      </w:r>
      <w:r>
        <w:rPr>
          <w:b/>
          <w:bCs/>
        </w:rPr>
        <w:t xml:space="preserve">identification</w:t>
      </w:r>
      <w:r>
        <w:t xml:space="preserve"> </w:t>
      </w:r>
      <w:r>
        <w:t xml:space="preserve">(détecter et confirmer qu’un incident est en cours),</w:t>
      </w:r>
      <w:r>
        <w:t xml:space="preserve"> </w:t>
      </w:r>
      <w:r>
        <w:rPr>
          <w:b/>
          <w:bCs/>
        </w:rPr>
        <w:t xml:space="preserve">confinement</w:t>
      </w:r>
      <w:r>
        <w:t xml:space="preserve"> </w:t>
      </w:r>
      <w:r>
        <w:t xml:space="preserve">(limiter la propagation),</w:t>
      </w:r>
      <w:r>
        <w:t xml:space="preserve"> </w:t>
      </w:r>
      <w:r>
        <w:rPr>
          <w:b/>
          <w:bCs/>
        </w:rPr>
        <w:t xml:space="preserve">éradication</w:t>
      </w:r>
      <w:r>
        <w:t xml:space="preserve"> </w:t>
      </w:r>
      <w:r>
        <w:t xml:space="preserve">(éliminer la cause),</w:t>
      </w:r>
      <w:r>
        <w:t xml:space="preserve"> </w:t>
      </w:r>
      <w:r>
        <w:rPr>
          <w:b/>
          <w:bCs/>
        </w:rPr>
        <w:t xml:space="preserve">récupération</w:t>
      </w:r>
      <w:r>
        <w:t xml:space="preserve"> </w:t>
      </w:r>
      <w:r>
        <w:t xml:space="preserve">(restaurer un fonctionnement normal), et</w:t>
      </w:r>
      <w:r>
        <w:t xml:space="preserve"> </w:t>
      </w:r>
      <w:r>
        <w:rPr>
          <w:b/>
          <w:bCs/>
        </w:rPr>
        <w:t xml:space="preserve">retour d’expérience</w:t>
      </w:r>
      <w:r>
        <w:t xml:space="preserve"> </w:t>
      </w:r>
      <w:r>
        <w:t xml:space="preserve">(documenter les leçons apprises). Cette structure, largement reconnue et documentée (notamment par le NIST), transforme une réaction improvisée en un processus reproductible et amélioré à chaque nouvel incident.</w:t>
      </w:r>
    </w:p>
    <w:p>
      <w:pPr>
        <w:pStyle w:val="CaptionedFigure"/>
      </w:pPr>
      <w:r>
        <w:drawing>
          <wp:inline>
            <wp:extent cx="5334000" cy="1012174"/>
            <wp:effectExtent b="0" l="0" r="0" t="0"/>
            <wp:docPr descr="Diagramme" title="" id="1917" name="Picture"/>
            <a:graphic>
              <a:graphicData uri="http://schemas.openxmlformats.org/drawingml/2006/picture">
                <pic:pic>
                  <pic:nvPicPr>
                    <pic:cNvPr descr="C:/Users/ingja/Desktop/jarvis-starter-kit/livrables/formations/manuel-administration-systeme/assets/diagrams/d-79-reponse-incident-forensic-diagramme-1.png" id="1918" name="Picture"/>
                    <pic:cNvPicPr>
                      <a:picLocks noChangeArrowheads="1" noChangeAspect="1"/>
                    </pic:cNvPicPr>
                  </pic:nvPicPr>
                  <pic:blipFill>
                    <a:blip r:embed="rId1916"/>
                    <a:stretch>
                      <a:fillRect/>
                    </a:stretch>
                  </pic:blipFill>
                  <pic:spPr bwMode="auto">
                    <a:xfrm>
                      <a:off x="0" y="0"/>
                      <a:ext cx="5334000" cy="1012174"/>
                    </a:xfrm>
                    <a:prstGeom prst="rect">
                      <a:avLst/>
                    </a:prstGeom>
                    <a:noFill/>
                    <a:ln w="9525">
                      <a:noFill/>
                      <a:headEnd/>
                      <a:tailEnd/>
                    </a:ln>
                  </pic:spPr>
                </pic:pic>
              </a:graphicData>
            </a:graphic>
          </wp:inline>
        </w:drawing>
      </w:r>
    </w:p>
    <w:p>
      <w:pPr>
        <w:pStyle w:val="ImageCaption"/>
      </w:pPr>
      <w:r>
        <w:t xml:space="preserve">Diagramme</w:t>
      </w:r>
    </w:p>
    <w:bookmarkEnd w:id="1919"/>
    <w:bookmarkStart w:id="1920" w:name="X814421b30aa4ecfa14dda7ddccd0d89acfce386"/>
    <w:p>
      <w:pPr>
        <w:pStyle w:val="Heading2"/>
      </w:pPr>
      <w:r>
        <w:t xml:space="preserve">79.3 Préparation : le plan écrit avant l’incident</w:t>
      </w:r>
    </w:p>
    <w:p>
      <w:pPr>
        <w:pStyle w:val="FirstParagraph"/>
      </w:pPr>
      <w:r>
        <w:t xml:space="preserve">💡 Rappel direct des chapitres 31-32</w:t>
      </w:r>
      <w:r>
        <w:t xml:space="preserve"> </w:t>
      </w:r>
      <w:r>
        <w:t xml:space="preserve">La phase de préparation définit à l’avance qui décide quoi durant un incident, quels contacts alerter (interne et externe, incluant potentiellement des autorités légales selon la nature de l’incident), et quels outils sont disponibles — exactement le même principe de préparation documentée déjà établi pour le plan de reprise d’activité et le plan de continuité, appliqué ici spécifiquement à la gestion d’un incident de sécurité en cours.</w:t>
      </w:r>
    </w:p>
    <w:bookmarkEnd w:id="1920"/>
    <w:bookmarkStart w:id="1921" w:name="Xa19bdec3937fee39fb4bc427021358f04dc7b79"/>
    <w:p>
      <w:pPr>
        <w:pStyle w:val="Heading2"/>
      </w:pPr>
      <w:r>
        <w:t xml:space="preserve">79.4 Identification : où tout ce qui a été construit converge</w:t>
      </w:r>
    </w:p>
    <w:p>
      <w:pPr>
        <w:pStyle w:val="FirstParagraph"/>
      </w:pPr>
      <w:r>
        <w:t xml:space="preserve">✅ Rappel direct des chapitres 74, 75 et 76</w:t>
      </w:r>
      <w:r>
        <w:t xml:space="preserve"> </w:t>
      </w:r>
      <w:r>
        <w:t xml:space="preserve">La phase d’identification s’appuie directement sur l’ensemble des outils de détection déjà construits dans cette partie du manuel — une alerte de corrélation du SIEM (chapitre 74), une détection réseau de l’IDS/IPS (chapitre 75), ou une alerte comportementale de l’EDR (chapitre 76) déclenchent généralement le point de départ formel d’une réponse à incident. C’est précisément à cette étape que la maturité technique accumulée tout au long de cette partie du manuel démontre sa valeur concrète, transformant une détection technique en déclenchement d’un processus organisationnel structuré.</w:t>
      </w:r>
    </w:p>
    <w:bookmarkEnd w:id="1921"/>
    <w:bookmarkStart w:id="1922" w:name="X71bb0d6651221a749fa1d45dfa38d23cf2b512e"/>
    <w:p>
      <w:pPr>
        <w:pStyle w:val="Heading2"/>
      </w:pPr>
      <w:r>
        <w:t xml:space="preserve">79.5 Confinement : isoler sans détruire les preuves</w:t>
      </w:r>
    </w:p>
    <w:p>
      <w:pPr>
        <w:pStyle w:val="FirstParagraph"/>
      </w:pPr>
      <w:r>
        <w:t xml:space="preserve">⚠️ Une nuance essentielle par rapport à la réponse automatisée du chapitre 76</w:t>
      </w:r>
      <w:r>
        <w:t xml:space="preserve"> </w:t>
      </w:r>
      <w:r>
        <w:t xml:space="preserve">L’isolement réseau automatique d’un poste par l’EDR (section 76.4) constitue une excellente première mesure de confinement — mais la phase de confinement complète va plus loin : elle doit isoler la menace tout en préservant l’état du système pour l’analyse forensic ultérieure (section 79.6). Éteindre immédiatement un poste compromis, un réflexe intuitif mais risqué, peut effacer des preuves précieuses présentes uniquement en mémoire vive, compliquant considérablement la compréhension complète de l’incident.</w:t>
      </w:r>
    </w:p>
    <w:bookmarkEnd w:id="1922"/>
    <w:bookmarkStart w:id="1923" w:name="X08805b7d24d7f8e9c805fe7eb0c64e1b3c877d8"/>
    <w:p>
      <w:pPr>
        <w:pStyle w:val="Heading2"/>
      </w:pPr>
      <w:r>
        <w:t xml:space="preserve">79.6 Notions de base du forensic : préserver avant de nettoyer</w:t>
      </w:r>
    </w:p>
    <w:p>
      <w:pPr>
        <w:pStyle w:val="FirstParagraph"/>
      </w:pPr>
      <w:r>
        <w:t xml:space="preserve">🔒 Sécurité — répondre directement au constat de la RSSI dans le scénario d’ouverture</w:t>
      </w:r>
      <w:r>
        <w:t xml:space="preserve"> </w:t>
      </w:r>
      <w:r>
        <w:t xml:space="preserve">Le</w:t>
      </w:r>
      <w:r>
        <w:t xml:space="preserve"> </w:t>
      </w:r>
      <w:r>
        <w:rPr>
          <w:b/>
          <w:bCs/>
        </w:rPr>
        <w:t xml:space="preserve">forensic</w:t>
      </w:r>
      <w:r>
        <w:t xml:space="preserve"> </w:t>
      </w:r>
      <w:r>
        <w:t xml:space="preserve">numérique consiste à préserver et analyser méthodiquement les preuves d’un incident, en maintenant une</w:t>
      </w:r>
      <w:r>
        <w:t xml:space="preserve"> </w:t>
      </w:r>
      <w:r>
        <w:rPr>
          <w:b/>
          <w:bCs/>
        </w:rPr>
        <w:t xml:space="preserve">chaîne de custody</w:t>
      </w:r>
      <w:r>
        <w:t xml:space="preserve"> </w:t>
      </w:r>
      <w:r>
        <w:t xml:space="preserve">rigoureuse (une documentation continue de qui a accédé à quelle preuve, quand, et comment) garantissant l’intégrité de ces preuves. Avant toute action de nettoyage (réinstallation, suppression de fichiers), une image complète du système compromis devrait être capturée — répondant directement au constat du scénario d’ouverture, où des postes éteints précipitamment lors de l’incident du chapitre 4 avaient probablement effacé des informations qui auraient pu éclairer la compréhension complète de l’attaque.</w:t>
      </w:r>
    </w:p>
    <w:bookmarkEnd w:id="1923"/>
    <w:bookmarkStart w:id="1924" w:name="X775f1a35f2565081a799a530a04fa9b789bbe5f"/>
    <w:p>
      <w:pPr>
        <w:pStyle w:val="Heading2"/>
      </w:pPr>
      <w:r>
        <w:t xml:space="preserve">79.7 Éradication et récupération : rappel direct du chapitre 31</w:t>
      </w:r>
    </w:p>
    <w:p>
      <w:pPr>
        <w:pStyle w:val="FirstParagraph"/>
      </w:pPr>
      <w:r>
        <w:t xml:space="preserve">💡 Rappel direct des chapitres 27 et 31</w:t>
      </w:r>
      <w:r>
        <w:t xml:space="preserve"> </w:t>
      </w:r>
      <w:r>
        <w:t xml:space="preserve">Une fois la cause de l’incident éliminée (éradication), la récupération s’appuie directement sur les stratégies de sauvegarde et le plan de reprise d’activité déjà établis aux chapitres 27 et 31 — restaurer les systèmes affectés à partir d’une sauvegarde saine et vérifiée, plutôt que de tenter une réparation incertaine d’un système potentiellement encore compromis de façon non détectée.</w:t>
      </w:r>
    </w:p>
    <w:bookmarkEnd w:id="1924"/>
    <w:bookmarkStart w:id="1925" w:name="X5dea21a9ecb3b27aa42f17b2b3246ce6c19396b"/>
    <w:p>
      <w:pPr>
        <w:pStyle w:val="Heading2"/>
      </w:pPr>
      <w:r>
        <w:t xml:space="preserve">79.8 Retour d’expérience : boucler vers la fonction Identifier</w:t>
      </w:r>
    </w:p>
    <w:p>
      <w:pPr>
        <w:pStyle w:val="FirstParagraph"/>
      </w:pPr>
      <w:r>
        <w:t xml:space="preserve">📌 À retenir — rappel direct du diagramme du chapitre 71</w:t>
      </w:r>
      <w:r>
        <w:t xml:space="preserve"> </w:t>
      </w:r>
      <w:r>
        <w:t xml:space="preserve">Le retour d’expérience documente les leçons apprises et alimente directement la fonction</w:t>
      </w:r>
      <w:r>
        <w:t xml:space="preserve"> </w:t>
      </w:r>
      <w:r>
        <w:rPr>
          <w:b/>
          <w:bCs/>
        </w:rPr>
        <w:t xml:space="preserve">Identifier</w:t>
      </w:r>
      <w:r>
        <w:t xml:space="preserve"> </w:t>
      </w:r>
      <w:r>
        <w:t xml:space="preserve">du NIST CSF (chapitre 71) — exactement la flèche de rétroaction déjà représentée dans le diagramme de la section 71.2, reliant la fonction Récupérer à la fonction Identifier. Un incident correctement analysé après coup révèle souvent des angles morts dans l’inventaire des actifs, des lacunes dans les mesures de protection, ou des besoins de détection non couverts — nourrissant ainsi le cycle complet de gestion de la sécurité plutôt que de clore l’incident sans en tirer d’enseignement structuré.</w:t>
      </w:r>
    </w:p>
    <w:bookmarkEnd w:id="1925"/>
    <w:bookmarkStart w:id="1926" w:name="Xe8ec3d0016adcd454bee5cab273f1f31b904bd2"/>
    <w:p>
      <w:pPr>
        <w:pStyle w:val="Heading2"/>
      </w:pPr>
      <w:r>
        <w:t xml:space="preserve">Atelier — Rejouer l’incident du chapitre 4 avec la maturité actuelle</w:t>
      </w:r>
    </w:p>
    <w:p>
      <w:pPr>
        <w:pStyle w:val="FirstParagraph"/>
      </w:pPr>
      <w:r>
        <w:t xml:space="preserve">🛠️ Atelier 79 — La synthèse de toute la Partie 12</w:t>
      </w:r>
    </w:p>
    <w:p>
      <w:pPr>
        <w:pStyle w:val="BodyText"/>
      </w:pPr>
      <w:r>
        <w:rPr>
          <w:b/>
          <w:bCs/>
        </w:rPr>
        <w:t xml:space="preserve">Objectif</w:t>
      </w:r>
      <w:r>
        <w:t xml:space="preserve"> </w:t>
      </w:r>
      <w:r>
        <w:t xml:space="preserve">: rejouer, phase par phase, l’incident de rançongiciel du chapitre 4 en utilisant l’ensemble des outils et procédures construits tout au long de cette partie du manuel.</w:t>
      </w:r>
    </w:p>
    <w:p>
      <w:pPr>
        <w:pStyle w:val="BodyText"/>
      </w:pPr>
      <w:r>
        <w:rPr>
          <w:b/>
          <w:bCs/>
        </w:rPr>
        <w:t xml:space="preserve">Préparation</w:t>
      </w:r>
      <w:r>
        <w:t xml:space="preserve"> </w:t>
      </w:r>
      <w:r>
        <w:t xml:space="preserve">: une relecture du scénario original du chapitre 4, et l’ensemble des outils déjà déployés (NIST CSF, SIEM, IDS/IPS, EDR, CIS Benchmarks).</w:t>
      </w:r>
    </w:p>
    <w:p>
      <w:pPr>
        <w:pStyle w:val="BodyText"/>
      </w:pPr>
      <w:r>
        <w:rPr>
          <w:b/>
          <w:bCs/>
        </w:rPr>
        <w:t xml:space="preserve">Étapes détaillées</w:t>
      </w:r>
      <w:r>
        <w:t xml:space="preserve"> </w:t>
      </w:r>
      <w:r>
        <w:t xml:space="preserve">:</w:t>
      </w:r>
    </w:p>
    <w:p>
      <w:pPr>
        <w:pStyle w:val="Compact"/>
        <w:numPr>
          <w:ilvl w:val="0"/>
          <w:numId w:val="2815"/>
        </w:numPr>
      </w:pPr>
      <w:r>
        <w:rPr>
          <w:b/>
          <w:bCs/>
        </w:rPr>
        <w:t xml:space="preserve">Identification</w:t>
      </w:r>
      <w:r>
        <w:t xml:space="preserve"> </w:t>
      </w:r>
      <w:r>
        <w:t xml:space="preserve">: décris comment l’IDS/IPS (chapitre 75) et l’EDR (chapitre 76) auraient pu détecter l’intrusion à des étapes différentes et plus précoces que la découverte originale par les utilisateurs.</w:t>
      </w:r>
    </w:p>
    <w:p>
      <w:pPr>
        <w:pStyle w:val="Compact"/>
        <w:numPr>
          <w:ilvl w:val="0"/>
          <w:numId w:val="2815"/>
        </w:numPr>
      </w:pPr>
      <w:r>
        <w:rPr>
          <w:b/>
          <w:bCs/>
        </w:rPr>
        <w:t xml:space="preserve">Confinement</w:t>
      </w:r>
      <w:r>
        <w:t xml:space="preserve"> </w:t>
      </w:r>
      <w:r>
        <w:t xml:space="preserve">: décris l’action de confinement appropriée, en tenant compte de la nuance forensic de la section 79.5.</w:t>
      </w:r>
    </w:p>
    <w:p>
      <w:pPr>
        <w:pStyle w:val="Compact"/>
        <w:numPr>
          <w:ilvl w:val="0"/>
          <w:numId w:val="2815"/>
        </w:numPr>
      </w:pPr>
      <w:r>
        <w:rPr>
          <w:b/>
          <w:bCs/>
        </w:rPr>
        <w:t xml:space="preserve">Forensic</w:t>
      </w:r>
      <w:r>
        <w:t xml:space="preserve"> </w:t>
      </w:r>
      <w:r>
        <w:t xml:space="preserve">: identifie les preuves qui auraient dû être préservées avant toute action de nettoyage.</w:t>
      </w:r>
    </w:p>
    <w:p>
      <w:pPr>
        <w:pStyle w:val="Compact"/>
        <w:numPr>
          <w:ilvl w:val="0"/>
          <w:numId w:val="2815"/>
        </w:numPr>
      </w:pPr>
      <w:r>
        <w:rPr>
          <w:b/>
          <w:bCs/>
        </w:rPr>
        <w:t xml:space="preserve">Récupération</w:t>
      </w:r>
      <w:r>
        <w:t xml:space="preserve"> </w:t>
      </w:r>
      <w:r>
        <w:t xml:space="preserve">: explique comment le plan de reprise d’activité du chapitre 31 s’articule avec cette réponse à incident.</w:t>
      </w:r>
    </w:p>
    <w:p>
      <w:pPr>
        <w:pStyle w:val="Compact"/>
        <w:numPr>
          <w:ilvl w:val="0"/>
          <w:numId w:val="2815"/>
        </w:numPr>
      </w:pPr>
      <w:r>
        <w:rPr>
          <w:b/>
          <w:bCs/>
        </w:rPr>
        <w:t xml:space="preserve">Retour d’expérience</w:t>
      </w:r>
      <w:r>
        <w:t xml:space="preserve"> </w:t>
      </w:r>
      <w:r>
        <w:t xml:space="preserve">: propose une leçon apprise qui aurait dû alimenter la fonction Identifier du NIST CSF.</w:t>
      </w:r>
    </w:p>
    <w:p>
      <w:pPr>
        <w:pStyle w:val="Compact"/>
        <w:numPr>
          <w:ilvl w:val="0"/>
          <w:numId w:val="2815"/>
        </w:numPr>
      </w:pPr>
      <w:r>
        <w:t xml:space="preserve">Compare ta démarche à la section</w:t>
      </w:r>
      <w:r>
        <w:t xml:space="preserve"> </w:t>
      </w:r>
      <w:r>
        <w:t xml:space="preserve">“Résultat attendu”</w:t>
      </w:r>
      <w:r>
        <w:t xml:space="preserve">.</w:t>
      </w:r>
    </w:p>
    <w:p>
      <w:pPr>
        <w:pStyle w:val="FirstParagraph"/>
      </w:pPr>
      <w:r>
        <w:rPr>
          <w:b/>
          <w:bCs/>
        </w:rPr>
        <w:t xml:space="preserve">Résultat attendu</w:t>
      </w:r>
      <w:r>
        <w:t xml:space="preserve"> </w:t>
      </w:r>
      <w:r>
        <w:t xml:space="preserve">: avec la maturité actuelle, l’IDS/IPS aurait pu détecter le scan de reconnaissance précédant l’exploitation de l’accès RDP exposé, et l’EDR aurait pu détecter le comportement de chiffrement caractéristique du rançongiciel dès ses premières secondes d’activité (rappel direct de la section 76.5) — une détection bien plus précoce que celle originale par les utilisateurs constatant l’indisponibilité de leurs fichiers. Le confinement approprié isolerait le poste affecté (via l’EDR) tout en capturant une image du système avant toute réinstallation, préservant les preuves du vecteur d’attaque initial. La récupération s’appuierait sur une restauration depuis une sauvegarde saine et testée (chapitre 27), plutôt qu’une tentative de réparation du système compromis. Le retour d’expérience documenterait que l’accès RDP exposé constituait un actif mal identifié dans son niveau de risque réel — alimentant directement une révision de l’inventaire et de l’analyse de risque de la fonction Identifier.</w:t>
      </w:r>
    </w:p>
    <w:p>
      <w:pPr>
        <w:pStyle w:val="BodyText"/>
      </w:pPr>
      <w:r>
        <w:rPr>
          <w:b/>
          <w:bCs/>
        </w:rPr>
        <w:t xml:space="preserve">Dépannage</w:t>
      </w:r>
      <w:r>
        <w:t xml:space="preserve"> </w:t>
      </w:r>
      <w:r>
        <w:t xml:space="preserve">: si l’exercice révèle qu’une phase entière (souvent le forensic ou le retour d’expérience) reste difficile à réaliser concrètement faute de procédure ou d’outillage existant, considère cette difficulté elle-même comme un résultat légitime de l’exercice — révélant une lacune réelle à combler avant qu’un véritable incident ne survienne, plutôt qu’un échec de l’atelier.</w:t>
      </w:r>
    </w:p>
    <w:bookmarkEnd w:id="1926"/>
    <w:bookmarkStart w:id="1927" w:name="erreurs-fréquentes-78"/>
    <w:p>
      <w:pPr>
        <w:pStyle w:val="Heading2"/>
      </w:pPr>
      <w:r>
        <w:t xml:space="preserve">Erreurs fréquentes</w:t>
      </w:r>
    </w:p>
    <w:p>
      <w:pPr>
        <w:pStyle w:val="FirstParagraph"/>
      </w:pPr>
      <w:r>
        <w:t xml:space="preserve">⚠️ Erreur n°1 — éteindre ou réinstaller immédiatement un système compromis</w:t>
      </w:r>
      <w:r>
        <w:t xml:space="preserve"> </w:t>
      </w:r>
      <w:r>
        <w:t xml:space="preserve">Rappel de la section 79.6 : un réflexe intuitif mais risqué, effaçant potentiellement des preuves forensic précieuses présentes uniquement en mémoire vive.</w:t>
      </w:r>
    </w:p>
    <w:p>
      <w:pPr>
        <w:pStyle w:val="BodyText"/>
      </w:pPr>
      <w:r>
        <w:t xml:space="preserve">⚠️ Erreur n°2 — aucun plan de réponse à incident écrit avant qu’un incident ne survienne</w:t>
      </w:r>
      <w:r>
        <w:t xml:space="preserve"> </w:t>
      </w:r>
      <w:r>
        <w:t xml:space="preserve">Rappel de la section 79.1 : reproduit exactement l’improvisation déjà constatée lors de l’incident du chapitre 4, avec un jugement dégradé par le stress et l’urgence réels de la situation.</w:t>
      </w:r>
    </w:p>
    <w:p>
      <w:pPr>
        <w:pStyle w:val="BodyText"/>
      </w:pPr>
      <w:r>
        <w:t xml:space="preserve">⚠️ Erreur n°3 — aucun retour d’expérience formel après la clôture d’un incident</w:t>
      </w:r>
      <w:r>
        <w:t xml:space="preserve"> </w:t>
      </w:r>
      <w:r>
        <w:t xml:space="preserve">Rappel de la section 79.8 : un incident clos sans documentation structurée des leçons apprises prive l’organisation de la boucle d’amélioration continue déjà établie comme principe central du NIST CSF.</w:t>
      </w:r>
    </w:p>
    <w:bookmarkEnd w:id="1927"/>
    <w:bookmarkStart w:id="1928" w:name="X7fcc2daa7bc67582fffb5b3239fcf74eae2205c"/>
    <w:p>
      <w:pPr>
        <w:pStyle w:val="Heading2"/>
      </w:pPr>
      <w:r>
        <w:t xml:space="preserve">Diagnostiquer un incident qui se reproduit de façon quasi identique</w:t>
      </w:r>
    </w:p>
    <w:p>
      <w:pPr>
        <w:pStyle w:val="FirstParagraph"/>
      </w:pPr>
      <w:r>
        <w:t xml:space="preserve">🩺 Symptôme : un incident de sécurité similaire à un incident déjà survenu se reproduit, exploitant une cause proche ou identique</w:t>
      </w:r>
    </w:p>
    <w:p>
      <w:pPr>
        <w:pStyle w:val="Compact"/>
        <w:numPr>
          <w:ilvl w:val="0"/>
          <w:numId w:val="2816"/>
        </w:numPr>
      </w:pPr>
      <w:r>
        <w:rPr>
          <w:b/>
          <w:bCs/>
        </w:rPr>
        <w:t xml:space="preserve">Diagnostic</w:t>
      </w:r>
      <w:r>
        <w:t xml:space="preserve"> </w:t>
      </w:r>
      <w:r>
        <w:t xml:space="preserve">: ce symptôme, rappel direct du même pattern déjà observé pour des vulnérabilités récurrentes au chapitre 78, révèle généralement l’absence d’un retour d’expérience formel après le premier incident, ou un retour d’expérience réalisé mais dont les recommandations n’ont jamais été suivies d’une action concrète.</w:t>
      </w:r>
    </w:p>
    <w:p>
      <w:pPr>
        <w:pStyle w:val="Compact"/>
        <w:numPr>
          <w:ilvl w:val="0"/>
          <w:numId w:val="2816"/>
        </w:numPr>
      </w:pPr>
      <w:r>
        <w:rPr>
          <w:b/>
          <w:bCs/>
        </w:rPr>
        <w:t xml:space="preserve">Comment vérifier</w:t>
      </w:r>
      <w:r>
        <w:t xml:space="preserve"> </w:t>
      </w:r>
      <w:r>
        <w:t xml:space="preserve">: rechercher si un rapport de retour d’expérience existe pour l’incident précédent, et si ses recommandations ont fait l’objet d’un suivi assigné et vérifié — le même processus de suivi déjà recommandé pour les rapports de test d’intrusion au chapitre 77.</w:t>
      </w:r>
    </w:p>
    <w:p>
      <w:pPr>
        <w:pStyle w:val="Compact"/>
        <w:numPr>
          <w:ilvl w:val="0"/>
          <w:numId w:val="2816"/>
        </w:numPr>
      </w:pPr>
      <w:r>
        <w:rPr>
          <w:b/>
          <w:bCs/>
        </w:rPr>
        <w:t xml:space="preserve">Résolution</w:t>
      </w:r>
      <w:r>
        <w:t xml:space="preserve"> </w:t>
      </w:r>
      <w:r>
        <w:t xml:space="preserve">: formaliser (ou renforcer) le processus de retour d’expérience, avec un suivi structuré des actions correctives identifiées, empêchant qu’une même faille organisationnelle ou technique ne soit exploitée une seconde fois.</w:t>
      </w:r>
    </w:p>
    <w:bookmarkEnd w:id="1928"/>
    <w:bookmarkStart w:id="1929" w:name="en-entreprise-78"/>
    <w:p>
      <w:pPr>
        <w:pStyle w:val="Heading2"/>
      </w:pPr>
      <w:r>
        <w:t xml:space="preserve">En entreprise</w:t>
      </w:r>
    </w:p>
    <w:p>
      <w:pPr>
        <w:pStyle w:val="Compact"/>
        <w:numPr>
          <w:ilvl w:val="0"/>
          <w:numId w:val="2817"/>
        </w:numPr>
      </w:pPr>
      <w:r>
        <w:rPr>
          <w:b/>
          <w:bCs/>
        </w:rPr>
        <w:t xml:space="preserve">Bonne pratique répandue</w:t>
      </w:r>
      <w:r>
        <w:t xml:space="preserve"> </w:t>
      </w:r>
      <w:r>
        <w:t xml:space="preserve">: réaliser des exercices de simulation de réponse à incident (</w:t>
      </w:r>
      <w:r>
        <w:rPr>
          <w:i/>
          <w:iCs/>
        </w:rPr>
        <w:t xml:space="preserve">tabletop exercises</w:t>
      </w:r>
      <w:r>
        <w:t xml:space="preserve">) périodiquement, testant le plan de réponse dans un contexte contrôlé plutôt que d’attendre un incident réel pour le découvrir défaillant — le même principe déjà établi pour tester une restauration de sauvegarde ou un plan de continuité.</w:t>
      </w:r>
    </w:p>
    <w:p>
      <w:pPr>
        <w:pStyle w:val="Compact"/>
        <w:numPr>
          <w:ilvl w:val="0"/>
          <w:numId w:val="2817"/>
        </w:numPr>
      </w:pPr>
      <w:r>
        <w:rPr>
          <w:b/>
          <w:bCs/>
        </w:rPr>
        <w:t xml:space="preserve">Bonne pratique répandue</w:t>
      </w:r>
      <w:r>
        <w:t xml:space="preserve"> </w:t>
      </w:r>
      <w:r>
        <w:t xml:space="preserve">: désigner à l’avance les rôles et responsabilités précis durant un incident (qui décide, qui communique, qui agit techniquement), évitant toute ambiguïté au moment critique.</w:t>
      </w:r>
    </w:p>
    <w:p>
      <w:pPr>
        <w:pStyle w:val="Compact"/>
        <w:numPr>
          <w:ilvl w:val="0"/>
          <w:numId w:val="2817"/>
        </w:numPr>
      </w:pPr>
      <w:r>
        <w:rPr>
          <w:b/>
          <w:bCs/>
        </w:rPr>
        <w:t xml:space="preserve">Erreur classique observée</w:t>
      </w:r>
      <w:r>
        <w:t xml:space="preserve"> </w:t>
      </w:r>
      <w:r>
        <w:t xml:space="preserve">: un plan de réponse à incident rédigé une fois, jamais mis à jour à mesure que l’infrastructure évolue (nouveaux outils, nouveaux contacts, nouvelle organisation) — devenant progressivement obsolète et moins utile au moment précis où il devrait s’appliquer.</w:t>
      </w:r>
    </w:p>
    <w:bookmarkEnd w:id="1929"/>
    <w:bookmarkStart w:id="1930" w:name="entretien-technique-78"/>
    <w:p>
      <w:pPr>
        <w:pStyle w:val="Heading2"/>
      </w:pPr>
      <w:r>
        <w:t xml:space="preserve">Entretien technique</w:t>
      </w:r>
    </w:p>
    <w:p>
      <w:pPr>
        <w:pStyle w:val="FirstParagraph"/>
      </w:pPr>
      <w:r>
        <w:t xml:space="preserve">💼 Questions fréquemment posées en entretien</w:t>
      </w:r>
    </w:p>
    <w:p>
      <w:pPr>
        <w:pStyle w:val="BodyText"/>
      </w:pPr>
      <w:r>
        <w:rPr>
          <w:b/>
          <w:bCs/>
        </w:rPr>
        <w:t xml:space="preserve">Q1.</w:t>
      </w:r>
      <w:r>
        <w:rPr>
          <w:b/>
          <w:bCs/>
        </w:rPr>
        <w:t xml:space="preserve"> </w:t>
      </w:r>
      <w:r>
        <w:rPr>
          <w:b/>
          <w:bCs/>
        </w:rPr>
        <w:t xml:space="preserve">“Quelles sont les six phases d’une réponse à incident structurée ?”</w:t>
      </w:r>
      <w:r>
        <w:t xml:space="preserve"> </w:t>
      </w:r>
      <w:r>
        <w:t xml:space="preserve">Réponse attendue : préparation, identification, confinement, éradication, récupération, retour d’expérience — une structure transformant une réaction improvisée en un processus reproductible et amélioré à chaque nouvel incident.</w:t>
      </w:r>
    </w:p>
    <w:p>
      <w:pPr>
        <w:pStyle w:val="BodyText"/>
      </w:pPr>
      <w:r>
        <w:rPr>
          <w:b/>
          <w:bCs/>
        </w:rPr>
        <w:t xml:space="preserve">Q2.</w:t>
      </w:r>
      <w:r>
        <w:rPr>
          <w:b/>
          <w:bCs/>
        </w:rPr>
        <w:t xml:space="preserve"> </w:t>
      </w:r>
      <w:r>
        <w:rPr>
          <w:b/>
          <w:bCs/>
        </w:rPr>
        <w:t xml:space="preserve">“Pourquoi ne faut-il jamais éteindre immédiatement un système compromis avant toute analyse forensic ?”</w:t>
      </w:r>
      <w:r>
        <w:t xml:space="preserve"> </w:t>
      </w:r>
      <w:r>
        <w:t xml:space="preserve">Réponse attendue : certaines preuves précieuses n’existent qu’en mémoire vive et disparaissent à l’extinction du système ; préserver l’état du système (via une image complète) avant toute action de nettoyage permet une analyse forensic ultérieure plus complète, cruciale pour comprendre pleinement l’incident.</w:t>
      </w:r>
    </w:p>
    <w:p>
      <w:pPr>
        <w:pStyle w:val="BodyText"/>
      </w:pPr>
      <w:r>
        <w:rPr>
          <w:b/>
          <w:bCs/>
        </w:rPr>
        <w:t xml:space="preserve">Q3.</w:t>
      </w:r>
      <w:r>
        <w:rPr>
          <w:b/>
          <w:bCs/>
        </w:rPr>
        <w:t xml:space="preserve"> </w:t>
      </w:r>
      <w:r>
        <w:rPr>
          <w:b/>
          <w:bCs/>
        </w:rPr>
        <w:t xml:space="preserve">“Comment le retour d’expérience d’un incident se rattache-t-il au NIST CSF présenté au chapitre 71 ?”</w:t>
      </w:r>
      <w:r>
        <w:t xml:space="preserve"> </w:t>
      </w:r>
      <w:r>
        <w:t xml:space="preserve">Réponse attendue : le retour d’expérience alimente directement la fonction Identifier, révélant souvent des angles morts dans l’inventaire des actifs ou des lacunes de protection, fermant ainsi la boucle du cycle continu entre les cinq fonctions du cadre.</w:t>
      </w:r>
    </w:p>
    <w:bookmarkEnd w:id="1930"/>
    <w:bookmarkStart w:id="1931" w:name="X6a5cab2411b615d4ec5ff1350758ce3e37f8397"/>
    <w:p>
      <w:pPr>
        <w:pStyle w:val="Heading2"/>
      </w:pPr>
      <w:r>
        <w:t xml:space="preserve">Optimisation, sécurité et maintenabilité — les réflexes dès ce chapitre</w:t>
      </w:r>
    </w:p>
    <w:p>
      <w:pPr>
        <w:pStyle w:val="FirstParagraph"/>
      </w:pPr>
      <w:r>
        <w:t xml:space="preserve">🔒 Sécurité</w:t>
      </w:r>
      <w:r>
        <w:t xml:space="preserve"> </w:t>
      </w:r>
      <w:r>
        <w:t xml:space="preserve">Ne détruis jamais de preuves potentielles par précipitation lors du confinement d’un incident — une image du système avant nettoyage reste une précaution peu coûteuse comparée à la perte définitive d’informations utiles à la compréhension complète de l’incident.</w:t>
      </w:r>
    </w:p>
    <w:p>
      <w:pPr>
        <w:pStyle w:val="BodyText"/>
      </w:pPr>
      <w:r>
        <w:t xml:space="preserve">✅ Maintenabilité</w:t>
      </w:r>
      <w:r>
        <w:t xml:space="preserve"> </w:t>
      </w:r>
      <w:r>
        <w:t xml:space="preserve">Maintiens le plan de réponse à incident à jour à mesure que l’infrastructure évolue, et teste-le périodiquement via des exercices de simulation, plutôt que de le rédiger une fois et de le laisser devenir obsolète.</w:t>
      </w:r>
    </w:p>
    <w:p>
      <w:pPr>
        <w:pStyle w:val="BodyText"/>
      </w:pPr>
      <w:r>
        <w:t xml:space="preserve">🚀 Performance</w:t>
      </w:r>
      <w:r>
        <w:t xml:space="preserve"> </w:t>
      </w:r>
      <w:r>
        <w:t xml:space="preserve">Une réponse à incident structurée et préparée à l’avance réduit significativement le temps de réaction global comparé à une improvisation complète — chaque minute gagnée durant la phase de confinement limite d’autant la propagation potentielle et l’impact final de l’incident.</w:t>
      </w:r>
    </w:p>
    <w:bookmarkEnd w:id="1931"/>
    <w:bookmarkStart w:id="1932" w:name="résumé-du-chapitre-78"/>
    <w:p>
      <w:pPr>
        <w:pStyle w:val="Heading2"/>
      </w:pPr>
      <w:r>
        <w:t xml:space="preserve">Résumé du chapitre</w:t>
      </w:r>
    </w:p>
    <w:p>
      <w:pPr>
        <w:pStyle w:val="Compact"/>
        <w:numPr>
          <w:ilvl w:val="0"/>
          <w:numId w:val="2818"/>
        </w:numPr>
      </w:pPr>
      <w:r>
        <w:t xml:space="preserve">Sans procédure écrite préparée à l’avance, un incident réel se traite dans l’urgence et l’improvisation, comme lors de l’incident fondateur du chapitre 4.</w:t>
      </w:r>
    </w:p>
    <w:p>
      <w:pPr>
        <w:pStyle w:val="Compact"/>
        <w:numPr>
          <w:ilvl w:val="0"/>
          <w:numId w:val="2818"/>
        </w:numPr>
      </w:pPr>
      <w:r>
        <w:t xml:space="preserve">Une réponse à incident structurée suit six phases : préparation, identification, confinement, éradication, récupération, retour d’expérience.</w:t>
      </w:r>
    </w:p>
    <w:p>
      <w:pPr>
        <w:pStyle w:val="Compact"/>
        <w:numPr>
          <w:ilvl w:val="0"/>
          <w:numId w:val="2818"/>
        </w:numPr>
      </w:pPr>
      <w:r>
        <w:t xml:space="preserve">La phase d’identification s’appuie directement sur le SIEM, l’IDS/IPS et l’EDR déjà construits dans cette partie du manuel.</w:t>
      </w:r>
    </w:p>
    <w:p>
      <w:pPr>
        <w:pStyle w:val="Compact"/>
        <w:numPr>
          <w:ilvl w:val="0"/>
          <w:numId w:val="2818"/>
        </w:numPr>
      </w:pPr>
      <w:r>
        <w:t xml:space="preserve">Le confinement doit isoler la menace tout en préservant l’état du système pour l’analyse forensic ultérieure, plutôt que de détruire des preuves par précipitation.</w:t>
      </w:r>
    </w:p>
    <w:p>
      <w:pPr>
        <w:pStyle w:val="Compact"/>
        <w:numPr>
          <w:ilvl w:val="0"/>
          <w:numId w:val="2818"/>
        </w:numPr>
      </w:pPr>
      <w:r>
        <w:t xml:space="preserve">La récupération s’appuie sur les stratégies de sauvegarde et le plan de reprise d’activité déjà établis aux chapitres 27 et 31.</w:t>
      </w:r>
    </w:p>
    <w:p>
      <w:pPr>
        <w:pStyle w:val="Compact"/>
        <w:numPr>
          <w:ilvl w:val="0"/>
          <w:numId w:val="2818"/>
        </w:numPr>
      </w:pPr>
      <w:r>
        <w:t xml:space="preserve">Le retour d’expérience alimente directement la fonction Identifier du NIST CSF, fermant la boucle complète du cycle de gestion de la sécurité.</w:t>
      </w:r>
    </w:p>
    <w:bookmarkEnd w:id="1932"/>
    <w:bookmarkStart w:id="1933" w:name="quiz-78"/>
    <w:p>
      <w:pPr>
        <w:pStyle w:val="Heading2"/>
      </w:pPr>
      <w:r>
        <w:t xml:space="preserve">Quiz</w:t>
      </w:r>
    </w:p>
    <w:p>
      <w:pPr>
        <w:pStyle w:val="FirstParagraph"/>
      </w:pPr>
      <w:r>
        <w:t xml:space="preserve">📝 QCM (une seule bonne réponse par question)</w:t>
      </w:r>
    </w:p>
    <w:p>
      <w:pPr>
        <w:pStyle w:val="Compact"/>
        <w:numPr>
          <w:ilvl w:val="0"/>
          <w:numId w:val="2819"/>
        </w:numPr>
      </w:pPr>
      <w:r>
        <w:t xml:space="preserve">Les six phases d’une réponse à incident structurée sont :</w:t>
      </w:r>
    </w:p>
    <w:p>
      <w:pPr>
        <w:pStyle w:val="Compact"/>
        <w:numPr>
          <w:ilvl w:val="1"/>
          <w:numId w:val="2820"/>
        </w:numPr>
      </w:pPr>
    </w:p>
    <w:p>
      <w:pPr>
        <w:pStyle w:val="Compact"/>
        <w:numPr>
          <w:ilvl w:val="2"/>
          <w:numId w:val="2821"/>
        </w:numPr>
      </w:pPr>
      <w:r>
        <w:t xml:space="preserve">Scanner, Prioriser, Remédier, Vérifier, Documenter, Clôturer</w:t>
      </w:r>
    </w:p>
    <w:p>
      <w:pPr>
        <w:pStyle w:val="Compact"/>
        <w:numPr>
          <w:ilvl w:val="1"/>
          <w:numId w:val="2820"/>
        </w:numPr>
      </w:pPr>
    </w:p>
    <w:p>
      <w:pPr>
        <w:pStyle w:val="Compact"/>
        <w:numPr>
          <w:ilvl w:val="2"/>
          <w:numId w:val="2822"/>
        </w:numPr>
      </w:pPr>
      <w:r>
        <w:t xml:space="preserve">Préparation, Identification, Confinement, Éradication, Récupération, Retour d’expérience</w:t>
      </w:r>
    </w:p>
    <w:p>
      <w:pPr>
        <w:pStyle w:val="Compact"/>
        <w:numPr>
          <w:ilvl w:val="1"/>
          <w:numId w:val="2820"/>
        </w:numPr>
      </w:pPr>
    </w:p>
    <w:p>
      <w:pPr>
        <w:pStyle w:val="Compact"/>
        <w:numPr>
          <w:ilvl w:val="2"/>
          <w:numId w:val="2823"/>
        </w:numPr>
      </w:pPr>
      <w:r>
        <w:t xml:space="preserve">Reconnaissance, Exploitation, Post-exploitation, Rapport, Retest, Clôture</w:t>
      </w:r>
    </w:p>
    <w:p>
      <w:pPr>
        <w:pStyle w:val="Compact"/>
        <w:numPr>
          <w:ilvl w:val="1"/>
          <w:numId w:val="2820"/>
        </w:numPr>
      </w:pPr>
    </w:p>
    <w:p>
      <w:pPr>
        <w:pStyle w:val="Compact"/>
        <w:numPr>
          <w:ilvl w:val="2"/>
          <w:numId w:val="2824"/>
        </w:numPr>
      </w:pPr>
      <w:r>
        <w:t xml:space="preserve">Identifier, Protéger, Détecter, Répondre, Récupérer, Documenter</w:t>
      </w:r>
    </w:p>
    <w:p>
      <w:pPr>
        <w:pStyle w:val="Compact"/>
        <w:numPr>
          <w:ilvl w:val="0"/>
          <w:numId w:val="2819"/>
        </w:numPr>
      </w:pPr>
      <w:r>
        <w:t xml:space="preserve">Pourquoi ne faut-il pas éteindre immédiatement un poste compromis ?</w:t>
      </w:r>
    </w:p>
    <w:p>
      <w:pPr>
        <w:pStyle w:val="Compact"/>
        <w:numPr>
          <w:ilvl w:val="1"/>
          <w:numId w:val="2825"/>
        </w:numPr>
      </w:pPr>
    </w:p>
    <w:p>
      <w:pPr>
        <w:pStyle w:val="Compact"/>
        <w:numPr>
          <w:ilvl w:val="2"/>
          <w:numId w:val="2826"/>
        </w:numPr>
      </w:pPr>
      <w:r>
        <w:t xml:space="preserve">Cela n’a jamais aucune conséquence</w:t>
      </w:r>
    </w:p>
    <w:p>
      <w:pPr>
        <w:pStyle w:val="Compact"/>
        <w:numPr>
          <w:ilvl w:val="1"/>
          <w:numId w:val="2825"/>
        </w:numPr>
      </w:pPr>
    </w:p>
    <w:p>
      <w:pPr>
        <w:pStyle w:val="Compact"/>
        <w:numPr>
          <w:ilvl w:val="2"/>
          <w:numId w:val="2827"/>
        </w:numPr>
      </w:pPr>
      <w:r>
        <w:t xml:space="preserve">Des preuves précieuses présentes en mémoire vive risquent d’être définitivement perdues</w:t>
      </w:r>
    </w:p>
    <w:p>
      <w:pPr>
        <w:pStyle w:val="Compact"/>
        <w:numPr>
          <w:ilvl w:val="1"/>
          <w:numId w:val="2825"/>
        </w:numPr>
      </w:pPr>
    </w:p>
    <w:p>
      <w:pPr>
        <w:pStyle w:val="Compact"/>
        <w:numPr>
          <w:ilvl w:val="2"/>
          <w:numId w:val="2828"/>
        </w:numPr>
      </w:pPr>
      <w:r>
        <w:t xml:space="preserve">Un poste éteint continue de propager l’attaque</w:t>
      </w:r>
    </w:p>
    <w:p>
      <w:pPr>
        <w:pStyle w:val="Compact"/>
        <w:numPr>
          <w:ilvl w:val="1"/>
          <w:numId w:val="2825"/>
        </w:numPr>
      </w:pPr>
    </w:p>
    <w:p>
      <w:pPr>
        <w:pStyle w:val="Compact"/>
        <w:numPr>
          <w:ilvl w:val="2"/>
          <w:numId w:val="2829"/>
        </w:numPr>
      </w:pPr>
      <w:r>
        <w:t xml:space="preserve">L’extinction accélère toujours la récupération</w:t>
      </w:r>
    </w:p>
    <w:p>
      <w:pPr>
        <w:pStyle w:val="Compact"/>
        <w:numPr>
          <w:ilvl w:val="0"/>
          <w:numId w:val="2819"/>
        </w:numPr>
      </w:pPr>
      <w:r>
        <w:t xml:space="preserve">Le retour d’expérience d’un incident alimente principalement :</w:t>
      </w:r>
    </w:p>
    <w:p>
      <w:pPr>
        <w:pStyle w:val="Compact"/>
        <w:numPr>
          <w:ilvl w:val="1"/>
          <w:numId w:val="2830"/>
        </w:numPr>
      </w:pPr>
    </w:p>
    <w:p>
      <w:pPr>
        <w:pStyle w:val="Compact"/>
        <w:numPr>
          <w:ilvl w:val="2"/>
          <w:numId w:val="2831"/>
        </w:numPr>
      </w:pPr>
      <w:r>
        <w:t xml:space="preserve">La fonction Protéger uniquement</w:t>
      </w:r>
    </w:p>
    <w:p>
      <w:pPr>
        <w:pStyle w:val="Compact"/>
        <w:numPr>
          <w:ilvl w:val="1"/>
          <w:numId w:val="2830"/>
        </w:numPr>
      </w:pPr>
    </w:p>
    <w:p>
      <w:pPr>
        <w:pStyle w:val="Compact"/>
        <w:numPr>
          <w:ilvl w:val="2"/>
          <w:numId w:val="2832"/>
        </w:numPr>
      </w:pPr>
      <w:r>
        <w:t xml:space="preserve">La fonction Identifier du NIST CSF</w:t>
      </w:r>
    </w:p>
    <w:p>
      <w:pPr>
        <w:pStyle w:val="Compact"/>
        <w:numPr>
          <w:ilvl w:val="1"/>
          <w:numId w:val="2830"/>
        </w:numPr>
      </w:pPr>
    </w:p>
    <w:p>
      <w:pPr>
        <w:pStyle w:val="Compact"/>
        <w:numPr>
          <w:ilvl w:val="2"/>
          <w:numId w:val="2833"/>
        </w:numPr>
      </w:pPr>
      <w:r>
        <w:t xml:space="preserve">Uniquement le rapport financier de l’incident</w:t>
      </w:r>
    </w:p>
    <w:p>
      <w:pPr>
        <w:pStyle w:val="Compact"/>
        <w:numPr>
          <w:ilvl w:val="1"/>
          <w:numId w:val="2830"/>
        </w:numPr>
      </w:pPr>
    </w:p>
    <w:p>
      <w:pPr>
        <w:pStyle w:val="Compact"/>
        <w:numPr>
          <w:ilvl w:val="2"/>
          <w:numId w:val="2834"/>
        </w:numPr>
      </w:pPr>
      <w:r>
        <w:t xml:space="preserve">Rien, il s’agit d’une étape purement administrative sans effet pratique</w:t>
      </w:r>
    </w:p>
    <w:p>
      <w:pPr>
        <w:pStyle w:val="FirstParagraph"/>
      </w:pPr>
      <w:r>
        <w:rPr>
          <w:b/>
          <w:bCs/>
        </w:rPr>
        <w:t xml:space="preserve">Corrigé</w:t>
      </w:r>
      <w:r>
        <w:t xml:space="preserve"> </w:t>
      </w:r>
      <w:r>
        <w:t xml:space="preserve">: 1-b, 2-b, 3-b.</w:t>
      </w:r>
    </w:p>
    <w:p>
      <w:pPr>
        <w:pStyle w:val="BodyText"/>
      </w:pPr>
      <w:r>
        <w:t xml:space="preserve">📝 Vrai ou Faux</w:t>
      </w:r>
    </w:p>
    <w:p>
      <w:pPr>
        <w:pStyle w:val="Compact"/>
        <w:numPr>
          <w:ilvl w:val="0"/>
          <w:numId w:val="2835"/>
        </w:numPr>
      </w:pPr>
      <w:r>
        <w:t xml:space="preserve">L’isolement automatique d’un poste par l’EDR suffit à lui seul à constituer une phase de confinement complète et rigoureuse. —</w:t>
      </w:r>
      <w:r>
        <w:t xml:space="preserve"> </w:t>
      </w:r>
      <w:r>
        <w:rPr>
          <w:b/>
          <w:bCs/>
        </w:rPr>
        <w:t xml:space="preserve">Faux</w:t>
      </w:r>
      <w:r>
        <w:t xml:space="preserve"> </w:t>
      </w:r>
      <w:r>
        <w:t xml:space="preserve">(section 79.5, la préservation forensic reste également nécessaire).</w:t>
      </w:r>
    </w:p>
    <w:p>
      <w:pPr>
        <w:pStyle w:val="Compact"/>
        <w:numPr>
          <w:ilvl w:val="0"/>
          <w:numId w:val="2835"/>
        </w:numPr>
      </w:pPr>
      <w:r>
        <w:t xml:space="preserve">La phase de récupération s’appuie directement sur les stratégies de sauvegarde déjà établies au chapitre 27. —</w:t>
      </w:r>
      <w:r>
        <w:t xml:space="preserve"> </w:t>
      </w:r>
      <w:r>
        <w:rPr>
          <w:b/>
          <w:bCs/>
        </w:rPr>
        <w:t xml:space="preserve">Vrai</w:t>
      </w:r>
      <w:r>
        <w:t xml:space="preserve">.</w:t>
      </w:r>
    </w:p>
    <w:p>
      <w:pPr>
        <w:pStyle w:val="Compact"/>
        <w:numPr>
          <w:ilvl w:val="0"/>
          <w:numId w:val="2835"/>
        </w:numPr>
      </w:pPr>
      <w:r>
        <w:t xml:space="preserve">Un plan de réponse à incident, une fois rédigé, n’a pas besoin d’être testé avant qu’un incident réel ne survienne. —</w:t>
      </w:r>
      <w:r>
        <w:t xml:space="preserve"> </w:t>
      </w:r>
      <w:r>
        <w:rPr>
          <w:b/>
          <w:bCs/>
        </w:rPr>
        <w:t xml:space="preserve">Faux</w:t>
      </w:r>
      <w:r>
        <w:t xml:space="preserve"> </w:t>
      </w:r>
      <w:r>
        <w:t xml:space="preserve">(section</w:t>
      </w:r>
      <w:r>
        <w:t xml:space="preserve"> </w:t>
      </w:r>
      <w:r>
        <w:t xml:space="preserve">“En entreprise”</w:t>
      </w:r>
      <w:r>
        <w:t xml:space="preserve">, exercices de simulation recommandés).</w:t>
      </w:r>
    </w:p>
    <w:p>
      <w:pPr>
        <w:pStyle w:val="Compact"/>
        <w:numPr>
          <w:ilvl w:val="0"/>
          <w:numId w:val="2835"/>
        </w:numPr>
      </w:pPr>
      <w:r>
        <w:t xml:space="preserve">Un incident similaire à un incident déjà survenu peut se reproduire si le retour d’expérience du premier incident n’a jamais été suivi d’actions concrètes. —</w:t>
      </w:r>
      <w:r>
        <w:t xml:space="preserve"> </w:t>
      </w:r>
      <w:r>
        <w:rPr>
          <w:b/>
          <w:bCs/>
        </w:rPr>
        <w:t xml:space="preserve">Vrai</w:t>
      </w:r>
      <w:r>
        <w:t xml:space="preserve">.</w:t>
      </w:r>
    </w:p>
    <w:p>
      <w:pPr>
        <w:pStyle w:val="FirstParagraph"/>
      </w:pPr>
      <w:r>
        <w:t xml:space="preserve">📝 Questions ouvertes</w:t>
      </w:r>
    </w:p>
    <w:p>
      <w:pPr>
        <w:pStyle w:val="Compact"/>
        <w:numPr>
          <w:ilvl w:val="0"/>
          <w:numId w:val="2836"/>
        </w:numPr>
      </w:pPr>
      <w:r>
        <w:t xml:space="preserve">Explique en quoi la maturité technique accumulée tout au long de la Partie 12 (SIEM, IDS/IPS, EDR) aurait pu changer chacune des six phases de la réponse à l’incident du chapitre 4, phase par phase.</w:t>
      </w:r>
    </w:p>
    <w:p>
      <w:pPr>
        <w:pStyle w:val="Compact"/>
        <w:numPr>
          <w:ilvl w:val="0"/>
          <w:numId w:val="2836"/>
        </w:numPr>
      </w:pPr>
      <w:r>
        <w:t xml:space="preserve">Un collègue affirme qu’une fois un incident correctement confiné et éradiqué, la réponse à incident est terminée et le retour d’expérience constitue une formalité optionnelle. Discute cette affirmation.</w:t>
      </w:r>
    </w:p>
    <w:p>
      <w:pPr>
        <w:pStyle w:val="FirstParagraph"/>
      </w:pPr>
      <w:r>
        <w:rPr>
          <w:b/>
          <w:bCs/>
        </w:rPr>
        <w:t xml:space="preserve">Corrigé 1</w:t>
      </w:r>
      <w:r>
        <w:t xml:space="preserve"> </w:t>
      </w:r>
      <w:r>
        <w:t xml:space="preserve">: en préparation, un plan écrit et des rôles définis auraient remplacé l’improvisation originale. En identification, le SIEM (chapitre 74), l’IDS/IPS (chapitre 75) et l’EDR (chapitre 76) auraient détecté l’intrusion à des étapes bien plus précoces que la découverte par les utilisateurs — potentiellement dès la phase de reconnaissance réseau ou dès les premières secondes de chiffrement. En confinement, l’isolement automatique de l’EDR (section 76.4) aurait contenu la propagation immédiatement, tout en préservant l’état du système pour analyse. En éradication, une compréhension précise de la cause (l’accès RDP exposé) aurait permis une correction ciblée plutôt qu’un nettoyage incertain. En récupération, une restauration depuis une sauvegarde testée (chapitre 27) aurait remplacé toute tentative de réparation d’un système potentiellement encore compromis. En retour d’expérience, l’incident aurait directement nourri une révision de l’inventaire des actifs et de l’analyse de risque, fermant la boucle vers la fonction Identifier du NIST CSF.</w:t>
      </w:r>
    </w:p>
    <w:p>
      <w:pPr>
        <w:pStyle w:val="BodyText"/>
      </w:pPr>
      <w:r>
        <w:rPr>
          <w:b/>
          <w:bCs/>
        </w:rPr>
        <w:t xml:space="preserve">Corrigé 2</w:t>
      </w:r>
      <w:r>
        <w:t xml:space="preserve"> </w:t>
      </w:r>
      <w:r>
        <w:t xml:space="preserve">: cette affirmation sous-estime gravement la valeur du retour d’expérience, déjà établie à la section 79.8 comme le mécanisme reliant directement la réponse à incident au cycle continu d’amélioration de la sécurité de l’organisation. Un incident confiné et éradiqué sans retour d’expérience formel laisse la cause profonde potentiellement non traitée à un niveau organisationnel — comme un actif mal identifié dans son niveau de risque réel, ou une lacune de détection non comblée. Le symptôme diagnostiqué dans ce chapitre (un incident similaire qui se reproduit) illustre précisément ce risque : sans retour d’expérience suivi d’actions concrètes, rien ne garantit qu’une cause organisationnelle similaire ne sera pas exploitée de nouveau, rendant le retour d’expérience aussi essentiel que les phases techniques de confinement et d’éradication, pas une simple formalité administrative optionnelle.</w:t>
      </w:r>
    </w:p>
    <w:bookmarkEnd w:id="1933"/>
    <w:bookmarkStart w:id="1934" w:name="exercices-78"/>
    <w:p>
      <w:pPr>
        <w:pStyle w:val="Heading2"/>
      </w:pPr>
      <w:r>
        <w:t xml:space="preserve">Exercices</w:t>
      </w:r>
    </w:p>
    <w:p>
      <w:pPr>
        <w:pStyle w:val="FirstParagraph"/>
      </w:pPr>
      <w:r>
        <w:t xml:space="preserve">📝 Exercice 79.1</w:t>
      </w:r>
    </w:p>
    <w:p>
      <w:pPr>
        <w:pStyle w:val="BodyText"/>
      </w:pPr>
      <w:r>
        <w:t xml:space="preserve">Rédige un plan de réponse à incident minimal (une page) pour l’entreprise du fil rouge, couvrant au minimum les rôles responsables de chaque phase et les contacts à alerter en cas d’incident critique.</w:t>
      </w:r>
    </w:p>
    <w:p>
      <w:pPr>
        <w:pStyle w:val="BodyText"/>
      </w:pPr>
      <w:r>
        <w:rPr>
          <w:b/>
          <w:bCs/>
        </w:rPr>
        <w:t xml:space="preserve">Corrigé (exemple de réponse) :</w:t>
      </w:r>
      <w:r>
        <w:t xml:space="preserve"> </w:t>
      </w:r>
      <w:r>
        <w:rPr>
          <w:b/>
          <w:bCs/>
        </w:rPr>
        <w:t xml:space="preserve">Préparation</w:t>
      </w:r>
      <w:r>
        <w:t xml:space="preserve"> </w:t>
      </w:r>
      <w:r>
        <w:t xml:space="preserve">: le plan est révisé annuellement et après tout changement majeur d’infrastructure, avec un exercice de simulation semestriel.</w:t>
      </w:r>
      <w:r>
        <w:t xml:space="preserve"> </w:t>
      </w:r>
      <w:r>
        <w:rPr>
          <w:b/>
          <w:bCs/>
        </w:rPr>
        <w:t xml:space="preserve">Identification</w:t>
      </w:r>
      <w:r>
        <w:t xml:space="preserve"> </w:t>
      </w:r>
      <w:r>
        <w:t xml:space="preserve">: toute alerte critique du SIEM, de l’IDS/IPS ou de l’EDR est immédiatement transmise à l’équipe sécurité d’astreinte, chargée de confirmer ou d’écarter l’incident sous 30 minutes.</w:t>
      </w:r>
      <w:r>
        <w:t xml:space="preserve"> </w:t>
      </w:r>
      <w:r>
        <w:rPr>
          <w:b/>
          <w:bCs/>
        </w:rPr>
        <w:t xml:space="preserve">Confinement</w:t>
      </w:r>
      <w:r>
        <w:t xml:space="preserve"> </w:t>
      </w:r>
      <w:r>
        <w:t xml:space="preserve">: l’équipe sécurité d’astreinte est seule autorisée à décider d’un isolement de système, en capturant systématiquement une image du système avant toute action de nettoyage.</w:t>
      </w:r>
      <w:r>
        <w:t xml:space="preserve"> </w:t>
      </w:r>
      <w:r>
        <w:rPr>
          <w:b/>
          <w:bCs/>
        </w:rPr>
        <w:t xml:space="preserve">Éradication et récupération</w:t>
      </w:r>
      <w:r>
        <w:t xml:space="preserve"> </w:t>
      </w:r>
      <w:r>
        <w:t xml:space="preserve">: l’équipe infrastructure intervient une fois la cause confirmée, en s’appuyant sur les sauvegardes testées disponibles.</w:t>
      </w:r>
      <w:r>
        <w:t xml:space="preserve"> </w:t>
      </w:r>
      <w:r>
        <w:rPr>
          <w:b/>
          <w:bCs/>
        </w:rPr>
        <w:t xml:space="preserve">Communication</w:t>
      </w:r>
      <w:r>
        <w:t xml:space="preserve"> </w:t>
      </w:r>
      <w:r>
        <w:t xml:space="preserve">: la RSSI est informée immédiatement de tout incident critique confirmé, et décide de l’escalade éventuelle vers la direction ou les autorités compétentes selon la nature de l’incident.</w:t>
      </w:r>
      <w:r>
        <w:t xml:space="preserve"> </w:t>
      </w:r>
      <w:r>
        <w:rPr>
          <w:b/>
          <w:bCs/>
        </w:rPr>
        <w:t xml:space="preserve">Retour d’expérience</w:t>
      </w:r>
      <w:r>
        <w:t xml:space="preserve"> </w:t>
      </w:r>
      <w:r>
        <w:t xml:space="preserve">: un rapport de retour d’expérience est rédigé sous deux semaines suivant la clôture de tout incident critique, avec des actions correctives assignées et suivies jusqu’à leur clôture effective.</w:t>
      </w:r>
    </w:p>
    <w:p>
      <w:pPr>
        <w:pStyle w:val="BodyText"/>
      </w:pPr>
      <w:r>
        <w:t xml:space="preserve">📝 Exercice 79.2</w:t>
      </w:r>
    </w:p>
    <w:p>
      <w:pPr>
        <w:pStyle w:val="BodyText"/>
      </w:pPr>
      <w:r>
        <w:t xml:space="preserve">Rédige, en 3 à 5 phrases, une règle d’équipe garantissant qu’aucun système compromis n’est nettoyé ou réinstallé sans capture préalable d’une image forensic, en t’appuyant sur le risque décrit à la section 79.6.</w:t>
      </w:r>
    </w:p>
    <w:p>
      <w:pPr>
        <w:pStyle w:val="BodyText"/>
      </w:pPr>
      <w:r>
        <w:rPr>
          <w:b/>
          <w:bCs/>
        </w:rPr>
        <w:t xml:space="preserve">Corrigé (exemple de réponse) :</w:t>
      </w:r>
      <w:r>
        <w:t xml:space="preserve"> </w:t>
      </w:r>
      <w:r>
        <w:t xml:space="preserve">Avant toute action de nettoyage, de réinstallation ou de suppression de fichiers sur un système identifié comme compromis, une image complète de son état (mémoire vive et disque) sera systématiquement capturée et conservée selon une chaîne de custody documentée. Cette capture sera réalisée par une personne formée aux bases du forensic numérique, garantissant qu’elle ne compromette pas elle-même l’intégrité des preuves collectées. Aucune exception ne sera tolérée à cette règle, même sous la pression d’une remise en service rapide du système concerné, l’urgence opérationnelle ne devant jamais l’emporter sur la préservation de preuves potentiellement essentielles à la compréhension complète de l’incident et à la prévention de sa réapparition.</w:t>
      </w:r>
    </w:p>
    <w:bookmarkEnd w:id="1934"/>
    <w:bookmarkStart w:id="1935" w:name="checklist-de-fin-de-chapitre-78"/>
    <w:p>
      <w:pPr>
        <w:pStyle w:val="Heading2"/>
      </w:pPr>
      <w:r>
        <w:t xml:space="preserve">Checklist de fin de chapitre</w:t>
      </w:r>
    </w:p>
    <w:p>
      <w:pPr>
        <w:pStyle w:val="FirstParagraph"/>
      </w:pPr>
      <w:r>
        <w:t xml:space="preserve">☐ Je comprends pourquoi une réponse à incident improvisée reproduit les faiblesses déjà constatées au chapitre 4.</w:t>
      </w:r>
    </w:p>
    <w:p>
      <w:pPr>
        <w:pStyle w:val="BodyText"/>
      </w:pPr>
      <w:r>
        <w:t xml:space="preserve">☐ Je sais nommer et expliquer les six phases d’une réponse à incident structurée.</w:t>
      </w:r>
    </w:p>
    <w:p>
      <w:pPr>
        <w:pStyle w:val="BodyText"/>
      </w:pPr>
      <w:r>
        <w:t xml:space="preserve">☐ Je comprends comment le SIEM, l’IDS/IPS et l’EDR interviennent concrètement lors de la phase d’identification.</w:t>
      </w:r>
    </w:p>
    <w:p>
      <w:pPr>
        <w:pStyle w:val="BodyText"/>
      </w:pPr>
      <w:r>
        <w:t xml:space="preserve">☐ Je sais expliquer pourquoi le confinement doit préserver les preuves plutôt que de simplement éteindre un système compromis.</w:t>
      </w:r>
    </w:p>
    <w:p>
      <w:pPr>
        <w:pStyle w:val="BodyText"/>
      </w:pPr>
      <w:r>
        <w:t xml:space="preserve">☐ Je comprends les notions de base du forensic : préservation des preuves et chaîne de custody.</w:t>
      </w:r>
    </w:p>
    <w:p>
      <w:pPr>
        <w:pStyle w:val="BodyText"/>
      </w:pPr>
      <w:r>
        <w:t xml:space="preserve">☐ Je sais expliquer comment le retour d’expérience boucle vers la fonction Identifier du NIST CSF.</w:t>
      </w:r>
    </w:p>
    <w:bookmarkEnd w:id="1935"/>
    <w:bookmarkStart w:id="1936" w:name="faq-78"/>
    <w:p>
      <w:pPr>
        <w:pStyle w:val="Heading2"/>
      </w:pPr>
      <w:r>
        <w:t xml:space="preserve">FAQ</w:t>
      </w:r>
    </w:p>
    <w:p>
      <w:pPr>
        <w:pStyle w:val="FirstParagraph"/>
      </w:pPr>
      <w:r>
        <w:t xml:space="preserve">Une petite organisation a-t-elle réellement besoin d’un plan de réponse à incident aussi formalisé ?</w:t>
      </w:r>
    </w:p>
    <w:p>
      <w:pPr>
        <w:pStyle w:val="BodyText"/>
      </w:pPr>
      <w:r>
        <w:t xml:space="preserve">Le niveau de formalisme peut être adapté à la taille de l’organisation, mais les principes fondamentaux (rôles définis à l’avance, préservation des preuves, retour d’expérience) restent pertinents même pour une structure modeste — l’absence totale de préparation, quelle que soit la taille de l’organisation, reproduit systématiquement le risque d’improvisation déjà illustré au chapitre 4.</w:t>
      </w:r>
    </w:p>
    <w:p>
      <w:pPr>
        <w:pStyle w:val="BodyText"/>
      </w:pPr>
      <w:r>
        <w:t xml:space="preserve">Faut-il toujours faire appel à un expert forensic externe en cas d’incident majeur ?</w:t>
      </w:r>
    </w:p>
    <w:p>
      <w:pPr>
        <w:pStyle w:val="BodyText"/>
      </w:pPr>
      <w:r>
        <w:t xml:space="preserve">Pour un incident particulièrement complexe ou aux implications légales significatives, une expertise externe spécialisée apporte souvent une rigueur et une expérience que l’équipe interne pourrait ne pas posséder — une décision à anticiper dans le plan de préparation plutôt qu’à improviser au moment de l’incident.</w:t>
      </w:r>
    </w:p>
    <w:p>
      <w:pPr>
        <w:pStyle w:val="BodyText"/>
      </w:pPr>
      <w:r>
        <w:t xml:space="preserve">Combien de temps faut-il conserver les preuves forensic après un incident ?</w:t>
      </w:r>
    </w:p>
    <w:p>
      <w:pPr>
        <w:pStyle w:val="BodyText"/>
      </w:pPr>
      <w:r>
        <w:t xml:space="preserve">La durée de conservation dépend souvent d’exigences légales ou réglementaires applicables à l’organisation, et peut être significativement plus longue que la durée de rétention standard des logs déjà évoquée au chapitre 62 — une politique spécifique de conservation des preuves forensic mérite d’être définie séparément.</w:t>
      </w:r>
    </w:p>
    <w:p>
      <w:pPr>
        <w:pStyle w:val="BodyText"/>
      </w:pPr>
      <w:r>
        <w:t xml:space="preserve">Ce chapitre clôt-il définitivement le sujet de la cybersécurité dans ce manuel ?</w:t>
      </w:r>
    </w:p>
    <w:p>
      <w:pPr>
        <w:pStyle w:val="BodyText"/>
      </w:pPr>
      <w:r>
        <w:t xml:space="preserve">Non, la Partie 12 pose les fondations conceptuelles et procédurales de la cybersécurité et de la gouvernance ; la Partie 13, consacrée au projet final, mettra en application l’ensemble des connaissances de ce manuel — administration système, réseau, virtualisation, cloud, automatisation, supervision et sécurité — dans la conception complète d’une infrastructure hybride pour une entreprise de 300 employés.</w:t>
      </w:r>
    </w:p>
    <w:bookmarkEnd w:id="1936"/>
    <w:bookmarkStart w:id="1939" w:name="références-et-pour-aller-plus-loin-78"/>
    <w:p>
      <w:pPr>
        <w:pStyle w:val="Heading2"/>
      </w:pPr>
      <w:r>
        <w:t xml:space="preserve">Références et pour aller plus loin</w:t>
      </w:r>
    </w:p>
    <w:p>
      <w:pPr>
        <w:pStyle w:val="Compact"/>
        <w:numPr>
          <w:ilvl w:val="0"/>
          <w:numId w:val="2837"/>
        </w:numPr>
      </w:pPr>
      <w:r>
        <w:t xml:space="preserve">NIST — Computer Security Incident Handling Guide (SP 800-61) :</w:t>
      </w:r>
      <w:r>
        <w:t xml:space="preserve"> </w:t>
      </w:r>
      <w:hyperlink r:id="rId1937">
        <w:r>
          <w:rPr>
            <w:rStyle w:val="Hyperlink"/>
          </w:rPr>
          <w:t xml:space="preserve">https://csrc.nist.gov/publications/detail/sp/800-61/rev-2/final</w:t>
        </w:r>
      </w:hyperlink>
    </w:p>
    <w:p>
      <w:pPr>
        <w:pStyle w:val="Compact"/>
        <w:numPr>
          <w:ilvl w:val="0"/>
          <w:numId w:val="2837"/>
        </w:numPr>
      </w:pPr>
      <w:r>
        <w:t xml:space="preserve">SANS Institute — Incident Handler’s Handbook :</w:t>
      </w:r>
      <w:r>
        <w:t xml:space="preserve"> </w:t>
      </w:r>
      <w:hyperlink r:id="rId1938">
        <w:r>
          <w:rPr>
            <w:rStyle w:val="Hyperlink"/>
          </w:rPr>
          <w:t xml:space="preserve">https://www.sans.org/white-papers/33901/</w:t>
        </w:r>
      </w:hyperlink>
    </w:p>
    <w:p>
      <w:pPr>
        <w:pStyle w:val="FirstParagraph"/>
      </w:pPr>
      <w:r>
        <w:rPr>
          <w:i/>
          <w:iCs/>
        </w:rPr>
        <w:t xml:space="preserve">Cette partie du manuel se termine ici. La Partie 13 s’ouvre sur le projet final — la conception complète d’une infrastructure hybride pour une entreprise de 300 employés, multi-sites, mobilisant l’ensemble des connaissances accumulées à travers ce manuel, de l’architecture Active Directory jusqu’à la cybersécurité et la gouvernance.</w:t>
      </w:r>
    </w:p>
    <w:p>
      <w:pPr>
        <w:pStyle w:val="BodyText"/>
      </w:pPr>
      <w:r>
        <w:t xml:space="preserve">CHAPITRE 80</w:t>
      </w:r>
    </w:p>
    <w:bookmarkEnd w:id="1939"/>
    <w:bookmarkEnd w:id="1940"/>
    <w:bookmarkStart w:id="1961" w:name="Xe7ec51045fc2fd5070a815b886a2ddd8e13ec13"/>
    <w:p>
      <w:pPr>
        <w:pStyle w:val="Heading1"/>
      </w:pPr>
      <w:r>
        <w:t xml:space="preserve">Cahier des charges : entreprise de 300 employés, multi-sites</w:t>
      </w:r>
    </w:p>
    <w:p>
      <w:pPr>
        <w:pStyle w:val="FirstParagraph"/>
      </w:pPr>
      <w:r>
        <w:t xml:space="preserve">🎯 Objectif du chapitre</w:t>
      </w:r>
      <w:r>
        <w:t xml:space="preserve"> </w:t>
      </w:r>
      <w:r>
        <w:t xml:space="preserve">Ouvrir la Partie 13 de ce manuel — le projet final — en formalisant un cahier des charges complet pour l’infrastructure de l’entreprise du fil rouge, désormais en pleine croissance. À la fin de ce chapitre, tu sauras structurer un cahier des charges d’infrastructure IT distinguant exigences fonctionnelles, exigences non-fonctionnelles et contraintes, et tu disposeras du document de référence qui guidera les six chapitres suivants de ce manuel, chacun réalisant une partie concrète de ce projet.</w:t>
      </w:r>
    </w:p>
    <w:p>
      <w:pPr>
        <w:pStyle w:val="BodyText"/>
      </w:pPr>
      <w:r>
        <w:t xml:space="preserve">🎬 Mise en situation</w:t>
      </w:r>
      <w:r>
        <w:t xml:space="preserve"> </w:t>
      </w:r>
      <w:r>
        <w:t xml:space="preserve">Trois ans après les premiers chapitres de ce manuel, l’entreprise d’assurance a connu une croissance soutenue : elle compte désormais 300 employés répartis sur trois sites (le siège de Port-au-Prince, l’agence de Cap-Haïtien, et le bureau satellite ouvert au chapitre 67), avec un projet d’ouverture d’un quatrième site pour l’année suivante. Le conseil d’administration mandate la DSI pour produire un cahier des charges complet, formalisant l’ensemble de l’infrastructure — existante et à construire — avant d’engager les investissements nécessaires à cette nouvelle phase de croissance.</w:t>
      </w:r>
      <w:r>
        <w:t xml:space="preserve"> </w:t>
      </w:r>
      <w:r>
        <w:t xml:space="preserve">“On ne peut plus se permettre de construire au fur et à mesure comme on l’a fait jusqu’ici,”</w:t>
      </w:r>
      <w:r>
        <w:t xml:space="preserve"> </w:t>
      </w:r>
      <w:r>
        <w:t xml:space="preserve">résume le DSI.</w:t>
      </w:r>
      <w:r>
        <w:t xml:space="preserve"> </w:t>
      </w:r>
      <w:r>
        <w:t xml:space="preserve">“Il nous faut un document de référence complet.”</w:t>
      </w:r>
    </w:p>
    <w:bookmarkStart w:id="1941" w:name="Xf461a8e1eb6eda48f53cf5ea6f1f75a2315704c"/>
    <w:p>
      <w:pPr>
        <w:pStyle w:val="Heading2"/>
      </w:pPr>
      <w:r>
        <w:t xml:space="preserve">80.1 Le problème : formaliser ce qui s’est construit au fil du temps</w:t>
      </w:r>
    </w:p>
    <w:p>
      <w:pPr>
        <w:pStyle w:val="FirstParagraph"/>
      </w:pPr>
      <w:r>
        <w:t xml:space="preserve">📌 À retenir — la synthèse de tout ce manuel</w:t>
      </w:r>
      <w:r>
        <w:t xml:space="preserve"> </w:t>
      </w:r>
      <w:r>
        <w:t xml:space="preserve">Rappel du chapitre 2 : la documentation constitue la fondation du métier d’administrateur système. Un cahier des charges d’infrastructure applique ce même principe à l’échelle d’un projet complet — il formalise, avant tout investissement significatif, ce que l’infrastructure doit accomplir, dans quelles conditions, et selon quels critères de réussite mesurables, plutôt que de laisser chaque décision se prendre isolément au fil des besoins, comme cela a été le cas jusqu’ici dans le récit de ce manuel.</w:t>
      </w:r>
    </w:p>
    <w:bookmarkEnd w:id="1941"/>
    <w:bookmarkStart w:id="1942" w:name="X4207d18bf497e13387db2063c732864c1432cb2"/>
    <w:p>
      <w:pPr>
        <w:pStyle w:val="Heading2"/>
      </w:pPr>
      <w:r>
        <w:t xml:space="preserve">80.2 Qu’est-ce qu’un cahier des charges d’infrastructure IT</w:t>
      </w:r>
    </w:p>
    <w:p>
      <w:pPr>
        <w:pStyle w:val="FirstParagraph"/>
      </w:pPr>
      <w:r>
        <w:t xml:space="preserve">📌 À retenir</w:t>
      </w:r>
      <w:r>
        <w:t xml:space="preserve"> </w:t>
      </w:r>
      <w:r>
        <w:t xml:space="preserve">Un cahier des charges d’infrastructure structure généralement trois catégories d’information distinctes : les</w:t>
      </w:r>
      <w:r>
        <w:t xml:space="preserve"> </w:t>
      </w:r>
      <w:r>
        <w:rPr>
          <w:b/>
          <w:bCs/>
        </w:rPr>
        <w:t xml:space="preserve">exigences fonctionnelles</w:t>
      </w:r>
      <w:r>
        <w:t xml:space="preserve"> </w:t>
      </w:r>
      <w:r>
        <w:t xml:space="preserve">(ce que l’infrastructure doit permettre de faire), les</w:t>
      </w:r>
      <w:r>
        <w:t xml:space="preserve"> </w:t>
      </w:r>
      <w:r>
        <w:rPr>
          <w:b/>
          <w:bCs/>
        </w:rPr>
        <w:t xml:space="preserve">exigences non-fonctionnelles</w:t>
      </w:r>
      <w:r>
        <w:t xml:space="preserve"> </w:t>
      </w:r>
      <w:r>
        <w:t xml:space="preserve">(les qualités attendues — disponibilité, performance, sécurité), et les</w:t>
      </w:r>
      <w:r>
        <w:t xml:space="preserve"> </w:t>
      </w:r>
      <w:r>
        <w:rPr>
          <w:b/>
          <w:bCs/>
        </w:rPr>
        <w:t xml:space="preserve">contraintes</w:t>
      </w:r>
      <w:r>
        <w:t xml:space="preserve"> </w:t>
      </w:r>
      <w:r>
        <w:t xml:space="preserve">(budget, délai, compétences disponibles). Cette distinction en trois catégories évite qu’un cahier des charges ne se limite à une simple liste de technologies souhaitées, sans lien explicite avec le besoin réel qu’elles sont censées satisfaire.</w:t>
      </w:r>
    </w:p>
    <w:bookmarkEnd w:id="1942"/>
    <w:bookmarkStart w:id="1943" w:name="X6e86474c0c19e9bf85ef9240b5a8549b1b62437"/>
    <w:p>
      <w:pPr>
        <w:pStyle w:val="Heading2"/>
      </w:pPr>
      <w:r>
        <w:t xml:space="preserve">80.3 Contexte de l’entreprise : une croissance qui mobilise l’ensemble du manuel</w:t>
      </w:r>
    </w:p>
    <w:p>
      <w:pPr>
        <w:pStyle w:val="FirstParagraph"/>
      </w:pPr>
      <w:r>
        <w:t xml:space="preserve">💡 Rappel de l’ensemble du fil rouge</w:t>
      </w:r>
      <w:r>
        <w:t xml:space="preserve"> </w:t>
      </w:r>
      <w:r>
        <w:t xml:space="preserve">L’entreprise emploie désormais 300 personnes réparties sur trois sites actuels et un quatrième prévu, avec un système d’information combinant Active Directory hybride (chapitres 5-8), un réseau redondant multi-sites (chapitres 65-70), une infrastructure partiellement virtualisée et partiellement conteneurisée (Parties 6-7), une présence cloud pour le portail client (Partie 8), une automatisation Infrastructure as Code (Partie 9), une supervision complète (Partie 10) et une gouvernance de sécurité structurée (Partie 12) — l’ensemble des briques déjà construites tout au long de ce manuel, désormais formalisées dans un document unique avant la prochaine phase d’expansion.</w:t>
      </w:r>
    </w:p>
    <w:bookmarkEnd w:id="1943"/>
    <w:bookmarkStart w:id="1944" w:name="X2e232f20a7847b33d0423783ccdeb9fa6a79bba"/>
    <w:p>
      <w:pPr>
        <w:pStyle w:val="Heading2"/>
      </w:pPr>
      <w:r>
        <w:t xml:space="preserve">80.4 Exigences fonctionnelles : ce que l’infrastructure doit permettre</w:t>
      </w:r>
    </w:p>
    <w:p>
      <w:pPr>
        <w:pStyle w:val="FirstParagraph"/>
      </w:pPr>
      <w:r>
        <w:t xml:space="preserve">📌 À retenir</w:t>
      </w:r>
      <w:r>
        <w:t xml:space="preserve"> </w:t>
      </w:r>
      <w:r>
        <w:t xml:space="preserve">Les exigences fonctionnelles du projet incluent, entre autres : une gestion centralisée des identités pour 300 employés répartis sur quatre sites (rappel des chapitres 5-8 et 22-26) ; un accès sécurisé et performant au portail client, disponible depuis l’extérieur (rappel des Parties 7-8) ; une capacité de déploiement automatisé et reproductible de nouveaux services (rappel de la Partie 9) ; une supervision centralisée de l’ensemble de l’infrastructure, quel que soit le site d’origine (rappel de la Partie 10). Chaque exigence fonctionnelle devrait être formulée en termes de besoin métier, pas de solution technique prédéterminée — la solution technique se décidera au chapitre 81.</w:t>
      </w:r>
    </w:p>
    <w:bookmarkEnd w:id="1944"/>
    <w:bookmarkStart w:id="1945" w:name="X85e5b01523bdbe2cb8bef6878a06e55b63f122c"/>
    <w:p>
      <w:pPr>
        <w:pStyle w:val="Heading2"/>
      </w:pPr>
      <w:r>
        <w:t xml:space="preserve">80.5 Exigences non-fonctionnelles : les qualités attendues</w:t>
      </w:r>
    </w:p>
    <w:p>
      <w:pPr>
        <w:pStyle w:val="FirstParagraph"/>
      </w:pPr>
      <w:r>
        <w:t xml:space="preserve">✅ Rappel direct des chapitres 31-32 et 72</w:t>
      </w:r>
      <w:r>
        <w:t xml:space="preserve"> </w:t>
      </w:r>
      <w:r>
        <w:t xml:space="preserve">Les exigences non-fonctionnelles précisent les qualités attendues de l’infrastructure, indépendamment de ses fonctionnalités précises — une disponibilité cible pour les services critiques (rappel du plan de continuité, chapitre 32), un temps de reprise maximal en cas d’incident majeur (rappel du plan de reprise d’activité, chapitre 31), une conformité aux référentiels de sécurité déjà adoptés (rappel du NIST CSF et d’ISO 27001, chapitres 71-72). Ces exigences, souvent plus difficiles à formuler que les exigences fonctionnelles, sont pourtant tout aussi déterminantes pour la réussite du projet.</w:t>
      </w:r>
    </w:p>
    <w:bookmarkEnd w:id="1945"/>
    <w:bookmarkStart w:id="1946" w:name="X5fb4c3a53edca6141ad31c10f461013321a7555"/>
    <w:p>
      <w:pPr>
        <w:pStyle w:val="Heading2"/>
      </w:pPr>
      <w:r>
        <w:t xml:space="preserve">80.6 Contraintes : budget, délai, compétences disponibles</w:t>
      </w:r>
    </w:p>
    <w:p>
      <w:pPr>
        <w:pStyle w:val="FirstParagraph"/>
      </w:pPr>
      <w:r>
        <w:t xml:space="preserve">💡 Rappel direct du même arbitrage pragmatique rencontré à plusieurs reprises</w:t>
      </w:r>
      <w:r>
        <w:t xml:space="preserve"> </w:t>
      </w:r>
      <w:r>
        <w:t xml:space="preserve">Les contraintes du projet — un budget défini, un délai de mise en œuvre réaliste, les compétences réellement disponibles au sein de l’équipe — orientent directement les choix techniques qui seront faits au chapitre suivant, exactement le même raisonnement pragmatique déjà appliqué au choix d’Ubuntu Server (chapitre 14), de Zabbix (chapitre 59), ou de Mikrotik pour le bureau satellite (chapitre 67) : le meilleur choix technique reste celui qui correspond au contexte réel de contraintes de l’organisation, pas celui qui maximiserait une sophistication technique sans considération de ce contexte.</w:t>
      </w:r>
    </w:p>
    <w:bookmarkEnd w:id="1946"/>
    <w:bookmarkStart w:id="1947" w:name="X1232915940f6a8e43eb44bc7366cd3349319b80"/>
    <w:p>
      <w:pPr>
        <w:pStyle w:val="Heading2"/>
      </w:pPr>
      <w:r>
        <w:t xml:space="preserve">80.7 Critères de réussite et livrables attendus</w:t>
      </w:r>
    </w:p>
    <w:p>
      <w:pPr>
        <w:pStyle w:val="FirstParagraph"/>
      </w:pPr>
      <w:r>
        <w:t xml:space="preserve">📌 À retenir — la structure des six chapitres suivants</w:t>
      </w:r>
      <w:r>
        <w:t xml:space="preserve"> </w:t>
      </w:r>
      <w:r>
        <w:t xml:space="preserve">Le cahier des charges se conclut par des critères de réussite mesurables et une liste de livrables attendus, correspondant directement à la structure des six chapitres restants de ce manuel : la conception de l’architecture (chapitre 81), le déploiement des services (chapitre 82), la conteneurisation et le CI/CD (chapitre 83), le composant cloud hybride (chapitre 84), la supervision et la sécurisation de bout en bout (chapitre 85), et la documentation finale accompagnée des plans de continuité (chapitre 86) — chaque chapitre suivant réalisant concrètement une partie de ce cahier des charges.</w:t>
      </w:r>
    </w:p>
    <w:bookmarkEnd w:id="1947"/>
    <w:bookmarkStart w:id="1948" w:name="Xf39a0dad25f5b1d48f92e969dd57b8d9fe75b78"/>
    <w:p>
      <w:pPr>
        <w:pStyle w:val="Heading2"/>
      </w:pPr>
      <w:r>
        <w:t xml:space="preserve">Atelier — Rédiger le cahier des charges complet du projet</w:t>
      </w:r>
    </w:p>
    <w:p>
      <w:pPr>
        <w:pStyle w:val="FirstParagraph"/>
      </w:pPr>
      <w:r>
        <w:t xml:space="preserve">🛠️ Atelier 80 — Le document de référence pour toute la Partie 13</w:t>
      </w:r>
    </w:p>
    <w:p>
      <w:pPr>
        <w:pStyle w:val="BodyText"/>
      </w:pPr>
      <w:r>
        <w:rPr>
          <w:b/>
          <w:bCs/>
        </w:rPr>
        <w:t xml:space="preserve">Objectif</w:t>
      </w:r>
      <w:r>
        <w:t xml:space="preserve"> </w:t>
      </w:r>
      <w:r>
        <w:t xml:space="preserve">: rédiger un cahier des charges structuré pour l’infrastructure de l’entreprise du fil rouge, servant de référence aux six chapitres suivants.</w:t>
      </w:r>
    </w:p>
    <w:p>
      <w:pPr>
        <w:pStyle w:val="BodyText"/>
      </w:pPr>
      <w:r>
        <w:rPr>
          <w:b/>
          <w:bCs/>
        </w:rPr>
        <w:t xml:space="preserve">Préparation</w:t>
      </w:r>
      <w:r>
        <w:t xml:space="preserve"> </w:t>
      </w:r>
      <w:r>
        <w:t xml:space="preserve">: une relecture rapide des Parties 1 à 12 de ce manuel, pour identifier les briques déjà construites et pertinentes au contexte de l’entreprise à 300 employés.</w:t>
      </w:r>
    </w:p>
    <w:p>
      <w:pPr>
        <w:pStyle w:val="BodyText"/>
      </w:pPr>
      <w:r>
        <w:rPr>
          <w:b/>
          <w:bCs/>
        </w:rPr>
        <w:t xml:space="preserve">Étapes détaillées</w:t>
      </w:r>
      <w:r>
        <w:t xml:space="preserve"> </w:t>
      </w:r>
      <w:r>
        <w:t xml:space="preserve">:</w:t>
      </w:r>
    </w:p>
    <w:p>
      <w:pPr>
        <w:pStyle w:val="Compact"/>
        <w:numPr>
          <w:ilvl w:val="0"/>
          <w:numId w:val="2838"/>
        </w:numPr>
      </w:pPr>
      <w:r>
        <w:t xml:space="preserve">Rédige au moins cinq exigences fonctionnelles, formulées en termes de besoin métier plutôt que de solution technique.</w:t>
      </w:r>
    </w:p>
    <w:p>
      <w:pPr>
        <w:pStyle w:val="Compact"/>
        <w:numPr>
          <w:ilvl w:val="0"/>
          <w:numId w:val="2838"/>
        </w:numPr>
      </w:pPr>
      <w:r>
        <w:t xml:space="preserve">Rédige au moins trois exigences non-fonctionnelles mesurables (par exemple, une disponibilité cible exprimée en pourcentage, un temps de reprise maximal en heures).</w:t>
      </w:r>
    </w:p>
    <w:p>
      <w:pPr>
        <w:pStyle w:val="Compact"/>
        <w:numPr>
          <w:ilvl w:val="0"/>
          <w:numId w:val="2838"/>
        </w:numPr>
      </w:pPr>
      <w:r>
        <w:t xml:space="preserve">Identifie les contraintes réalistes du projet (budget, délai, compétences).</w:t>
      </w:r>
    </w:p>
    <w:p>
      <w:pPr>
        <w:pStyle w:val="Compact"/>
        <w:numPr>
          <w:ilvl w:val="0"/>
          <w:numId w:val="2838"/>
        </w:numPr>
      </w:pPr>
      <w:r>
        <w:t xml:space="preserve">Définis des critères de réussite mesurables pour au moins deux des six livrables attendus.</w:t>
      </w:r>
    </w:p>
    <w:p>
      <w:pPr>
        <w:pStyle w:val="Compact"/>
        <w:numPr>
          <w:ilvl w:val="0"/>
          <w:numId w:val="2838"/>
        </w:numPr>
      </w:pPr>
      <w:r>
        <w:t xml:space="preserve">Compare ta démarche à la section</w:t>
      </w:r>
      <w:r>
        <w:t xml:space="preserve"> </w:t>
      </w:r>
      <w:r>
        <w:t xml:space="preserve">“Résultat attendu”</w:t>
      </w:r>
      <w:r>
        <w:t xml:space="preserve">.</w:t>
      </w:r>
    </w:p>
    <w:p>
      <w:pPr>
        <w:pStyle w:val="FirstParagraph"/>
      </w:pPr>
      <w:r>
        <w:rPr>
          <w:b/>
          <w:bCs/>
        </w:rPr>
        <w:t xml:space="preserve">Résultat attendu</w:t>
      </w:r>
      <w:r>
        <w:t xml:space="preserve"> </w:t>
      </w:r>
      <w:r>
        <w:t xml:space="preserve">: les exigences fonctionnelles couvrent typiquement la gestion des identités, l’accès au portail client, l’automatisation du déploiement et la supervision centralisée, chacune formulée sans présupposer la solution technique — par exemple</w:t>
      </w:r>
      <w:r>
        <w:t xml:space="preserve"> </w:t>
      </w:r>
      <w:r>
        <w:t xml:space="preserve">“permettre à un nouvel employé d’accéder à l’ensemble des ressources nécessaires en moins d’une journée ouvrée”</w:t>
      </w:r>
      <w:r>
        <w:t xml:space="preserve"> </w:t>
      </w:r>
      <w:r>
        <w:t xml:space="preserve">plutôt que</w:t>
      </w:r>
      <w:r>
        <w:t xml:space="preserve"> </w:t>
      </w:r>
      <w:r>
        <w:t xml:space="preserve">“déployer Active Directory”</w:t>
      </w:r>
      <w:r>
        <w:t xml:space="preserve">. Les exigences non-fonctionnelles pourraient inclure une disponibilité de 99,5 % pour le portail client, un temps de reprise maximal de quatre heures pour les services critiques, et une conformité maintenue au NIST CSF déjà adopté. Les contraintes réalistes tiennent compte du fait que l’équipe technique reste de taille modeste malgré la croissance de l’entreprise, orientant naturellement vers des choix pragmatiques déjà éprouvés dans ce manuel plutôt que vers une sophistication technique disproportionnée par rapport aux ressources humaines réellement disponibles.</w:t>
      </w:r>
    </w:p>
    <w:p>
      <w:pPr>
        <w:pStyle w:val="BodyText"/>
      </w:pPr>
      <w:r>
        <w:rPr>
          <w:b/>
          <w:bCs/>
        </w:rPr>
        <w:t xml:space="preserve">Dépannage</w:t>
      </w:r>
      <w:r>
        <w:t xml:space="preserve"> </w:t>
      </w:r>
      <w:r>
        <w:t xml:space="preserve">: si une exigence rédigée s’avère en réalité une solution technique déguisée (par exemple</w:t>
      </w:r>
      <w:r>
        <w:t xml:space="preserve"> </w:t>
      </w:r>
      <w:r>
        <w:t xml:space="preserve">“installer Kubernetes”</w:t>
      </w:r>
      <w:r>
        <w:t xml:space="preserve"> </w:t>
      </w:r>
      <w:r>
        <w:t xml:space="preserve">plutôt qu’un besoin métier), reformule-la en remontant à la question</w:t>
      </w:r>
      <w:r>
        <w:t xml:space="preserve"> </w:t>
      </w:r>
      <w:r>
        <w:t xml:space="preserve">“pourquoi ce besoin existe-t-il réellement”</w:t>
      </w:r>
      <w:r>
        <w:t xml:space="preserve"> </w:t>
      </w:r>
      <w:r>
        <w:t xml:space="preserve">— un cahier des charges qui présuppose déjà la solution technique limite inutilement les options d’architecture qui seront explorées au chapitre 81.</w:t>
      </w:r>
    </w:p>
    <w:bookmarkEnd w:id="1948"/>
    <w:bookmarkStart w:id="1949" w:name="erreurs-fréquentes-79"/>
    <w:p>
      <w:pPr>
        <w:pStyle w:val="Heading2"/>
      </w:pPr>
      <w:r>
        <w:t xml:space="preserve">Erreurs fréquentes</w:t>
      </w:r>
    </w:p>
    <w:p>
      <w:pPr>
        <w:pStyle w:val="FirstParagraph"/>
      </w:pPr>
      <w:r>
        <w:t xml:space="preserve">⚠️ Erreur n°1 — des exigences formulées comme des solutions techniques plutôt que des besoins métier</w:t>
      </w:r>
      <w:r>
        <w:t xml:space="preserve"> </w:t>
      </w:r>
      <w:r>
        <w:t xml:space="preserve">Rappel de l’atelier : un cahier des charges qui présuppose déjà la solution technique limite inutilement l’espace des choix d’architecture possibles.</w:t>
      </w:r>
    </w:p>
    <w:p>
      <w:pPr>
        <w:pStyle w:val="BodyText"/>
      </w:pPr>
      <w:r>
        <w:t xml:space="preserve">⚠️ Erreur n°2 — des exigences non-fonctionnelles absentes ou non mesurables</w:t>
      </w:r>
      <w:r>
        <w:t xml:space="preserve"> </w:t>
      </w:r>
      <w:r>
        <w:t xml:space="preserve">Rappel de la section 80.5 : une exigence de disponibilité</w:t>
      </w:r>
      <w:r>
        <w:t xml:space="preserve"> </w:t>
      </w:r>
      <w:r>
        <w:t xml:space="preserve">“élevée”</w:t>
      </w:r>
      <w:r>
        <w:t xml:space="preserve">, sans pourcentage précis, ne permet pas de vérifier objectivement si elle est réellement satisfaite une fois le projet réalisé.</w:t>
      </w:r>
    </w:p>
    <w:p>
      <w:pPr>
        <w:pStyle w:val="BodyText"/>
      </w:pPr>
      <w:r>
        <w:t xml:space="preserve">⚠️ Erreur n°3 — des contraintes budgétaires ou humaines irréalistes, ignorant le contexte réel de l’organisation</w:t>
      </w:r>
      <w:r>
        <w:t xml:space="preserve"> </w:t>
      </w:r>
      <w:r>
        <w:t xml:space="preserve">Rappel de la section 80.6 : un cahier des charges ambitieux mais déconnecté des ressources réellement disponibles conduit typiquement à un projet qui échoue ou dérape significativement, plutôt qu’à une réalisation réussie.</w:t>
      </w:r>
    </w:p>
    <w:bookmarkEnd w:id="1949"/>
    <w:bookmarkStart w:id="1950" w:name="X184bcda9739f60ad2b604a58999ce66d2937355"/>
    <w:p>
      <w:pPr>
        <w:pStyle w:val="Heading2"/>
      </w:pPr>
      <w:r>
        <w:t xml:space="preserve">Diagnostiquer un projet qui dérape faute de cahier des charges suffisant</w:t>
      </w:r>
    </w:p>
    <w:p>
      <w:pPr>
        <w:pStyle w:val="FirstParagraph"/>
      </w:pPr>
      <w:r>
        <w:t xml:space="preserve">🩺 Symptôme : un projet d’infrastructure dérape en délai ou en budget, ou livre un résultat ne répondant pas aux attentes réelles</w:t>
      </w:r>
    </w:p>
    <w:p>
      <w:pPr>
        <w:pStyle w:val="Compact"/>
        <w:numPr>
          <w:ilvl w:val="0"/>
          <w:numId w:val="2839"/>
        </w:numPr>
      </w:pPr>
      <w:r>
        <w:rPr>
          <w:b/>
          <w:bCs/>
        </w:rPr>
        <w:t xml:space="preserve">Diagnostic</w:t>
      </w:r>
      <w:r>
        <w:t xml:space="preserve"> </w:t>
      </w:r>
      <w:r>
        <w:t xml:space="preserve">: vérifier si le cahier des charges initial définissait des exigences suffisamment précises et mesurables, ou s’il restait vague sur des points devenus sources de désaccord ou de malentendu en cours de projet.</w:t>
      </w:r>
    </w:p>
    <w:p>
      <w:pPr>
        <w:pStyle w:val="Compact"/>
        <w:numPr>
          <w:ilvl w:val="0"/>
          <w:numId w:val="2839"/>
        </w:numPr>
      </w:pPr>
      <w:r>
        <w:rPr>
          <w:b/>
          <w:bCs/>
        </w:rPr>
        <w:t xml:space="preserve">Comment vérifier</w:t>
      </w:r>
      <w:r>
        <w:t xml:space="preserve"> </w:t>
      </w:r>
      <w:r>
        <w:t xml:space="preserve">: comparer le résultat livré aux critères de réussite explicitement définis dans le cahier des charges initial — l’absence de critères mesurables rend cette comparaison elle-même impossible, un signe révélateur du problème initial.</w:t>
      </w:r>
    </w:p>
    <w:p>
      <w:pPr>
        <w:pStyle w:val="Compact"/>
        <w:numPr>
          <w:ilvl w:val="0"/>
          <w:numId w:val="2839"/>
        </w:numPr>
      </w:pPr>
      <w:r>
        <w:rPr>
          <w:b/>
          <w:bCs/>
        </w:rPr>
        <w:t xml:space="preserve">Résolution</w:t>
      </w:r>
      <w:r>
        <w:t xml:space="preserve"> </w:t>
      </w:r>
      <w:r>
        <w:t xml:space="preserve">: pour un projet en cours, clarifier explicitement les critères de réussite restants avec l’ensemble des parties prenantes ; pour un futur projet, investir davantage de temps dans la phase de cahier des charges avant tout engagement technique.</w:t>
      </w:r>
    </w:p>
    <w:bookmarkEnd w:id="1950"/>
    <w:bookmarkStart w:id="1951" w:name="en-entreprise-79"/>
    <w:p>
      <w:pPr>
        <w:pStyle w:val="Heading2"/>
      </w:pPr>
      <w:r>
        <w:t xml:space="preserve">En entreprise</w:t>
      </w:r>
    </w:p>
    <w:p>
      <w:pPr>
        <w:pStyle w:val="Compact"/>
        <w:numPr>
          <w:ilvl w:val="0"/>
          <w:numId w:val="2840"/>
        </w:numPr>
      </w:pPr>
      <w:r>
        <w:rPr>
          <w:b/>
          <w:bCs/>
        </w:rPr>
        <w:t xml:space="preserve">Bonne pratique répandue</w:t>
      </w:r>
      <w:r>
        <w:t xml:space="preserve"> </w:t>
      </w:r>
      <w:r>
        <w:t xml:space="preserve">: faire valider le cahier des charges par l’ensemble des parties prenantes concernées (direction, équipe technique, utilisateurs clés) avant tout engagement de ressources significatif, évitant les malentendus découverts tardivement en cours de projet.</w:t>
      </w:r>
    </w:p>
    <w:p>
      <w:pPr>
        <w:pStyle w:val="Compact"/>
        <w:numPr>
          <w:ilvl w:val="0"/>
          <w:numId w:val="2840"/>
        </w:numPr>
      </w:pPr>
      <w:r>
        <w:rPr>
          <w:b/>
          <w:bCs/>
        </w:rPr>
        <w:t xml:space="preserve">Bonne pratique répandue</w:t>
      </w:r>
      <w:r>
        <w:t xml:space="preserve"> </w:t>
      </w:r>
      <w:r>
        <w:t xml:space="preserve">: conserver le cahier des charges comme document de référence vivant tout au long du projet, y compris pour arbitrer les décisions difficiles rencontrées durant la mise en œuvre.</w:t>
      </w:r>
    </w:p>
    <w:p>
      <w:pPr>
        <w:pStyle w:val="Compact"/>
        <w:numPr>
          <w:ilvl w:val="0"/>
          <w:numId w:val="2840"/>
        </w:numPr>
      </w:pPr>
      <w:r>
        <w:rPr>
          <w:b/>
          <w:bCs/>
        </w:rPr>
        <w:t xml:space="preserve">Erreur classique observée</w:t>
      </w:r>
      <w:r>
        <w:t xml:space="preserve"> </w:t>
      </w:r>
      <w:r>
        <w:t xml:space="preserve">: un cahier des charges rédigé rapidement pour satisfaire une exigence administrative, puis jamais réellement consulté durant la réalisation du projet — perdant toute sa valeur de document de référence et de critère d’arbitrage.</w:t>
      </w:r>
    </w:p>
    <w:bookmarkEnd w:id="1951"/>
    <w:bookmarkStart w:id="1952" w:name="entretien-technique-79"/>
    <w:p>
      <w:pPr>
        <w:pStyle w:val="Heading2"/>
      </w:pPr>
      <w:r>
        <w:t xml:space="preserve">Entretien technique</w:t>
      </w:r>
    </w:p>
    <w:p>
      <w:pPr>
        <w:pStyle w:val="FirstParagraph"/>
      </w:pPr>
      <w:r>
        <w:t xml:space="preserve">💼 Questions fréquemment posées en entretien</w:t>
      </w:r>
    </w:p>
    <w:p>
      <w:pPr>
        <w:pStyle w:val="BodyText"/>
      </w:pPr>
      <w:r>
        <w:rPr>
          <w:b/>
          <w:bCs/>
        </w:rPr>
        <w:t xml:space="preserve">Q1.</w:t>
      </w:r>
      <w:r>
        <w:rPr>
          <w:b/>
          <w:bCs/>
        </w:rPr>
        <w:t xml:space="preserve"> </w:t>
      </w:r>
      <w:r>
        <w:rPr>
          <w:b/>
          <w:bCs/>
        </w:rPr>
        <w:t xml:space="preserve">“Quelle est la différence entre une exigence fonctionnelle et une exigence non-fonctionnelle dans un cahier des charges d’infrastructure ?”</w:t>
      </w:r>
      <w:r>
        <w:t xml:space="preserve"> </w:t>
      </w:r>
      <w:r>
        <w:t xml:space="preserve">Réponse attendue : une exigence fonctionnelle décrit ce que l’infrastructure doit permettre de faire ; une exigence non-fonctionnelle décrit une qualité attendue indépendamment des fonctionnalités précises, comme la disponibilité, la performance ou la sécurité.</w:t>
      </w:r>
    </w:p>
    <w:p>
      <w:pPr>
        <w:pStyle w:val="BodyText"/>
      </w:pPr>
      <w:r>
        <w:rPr>
          <w:b/>
          <w:bCs/>
        </w:rPr>
        <w:t xml:space="preserve">Q2.</w:t>
      </w:r>
      <w:r>
        <w:rPr>
          <w:b/>
          <w:bCs/>
        </w:rPr>
        <w:t xml:space="preserve"> </w:t>
      </w:r>
      <w:r>
        <w:rPr>
          <w:b/>
          <w:bCs/>
        </w:rPr>
        <w:t xml:space="preserve">“Pourquoi une exigence formulée comme une solution technique plutôt qu’un besoin métier pose-t-elle problème dans un cahier des charges ?”</w:t>
      </w:r>
      <w:r>
        <w:t xml:space="preserve"> </w:t>
      </w:r>
      <w:r>
        <w:t xml:space="preserve">Réponse attendue : elle présuppose déjà la solution avant même d’avoir exploré les options d’architecture possibles, limitant inutilement l’espace des choix qui pourraient mieux répondre au besoin réel dans le contexte spécifique du projet.</w:t>
      </w:r>
    </w:p>
    <w:p>
      <w:pPr>
        <w:pStyle w:val="BodyText"/>
      </w:pPr>
      <w:r>
        <w:rPr>
          <w:b/>
          <w:bCs/>
        </w:rPr>
        <w:t xml:space="preserve">Q3.</w:t>
      </w:r>
      <w:r>
        <w:rPr>
          <w:b/>
          <w:bCs/>
        </w:rPr>
        <w:t xml:space="preserve"> </w:t>
      </w:r>
      <w:r>
        <w:rPr>
          <w:b/>
          <w:bCs/>
        </w:rPr>
        <w:t xml:space="preserve">“Pourquoi les contraintes (budget, délai, compétences) doivent-elles être prises en compte dès la rédaction du cahier des charges, plutôt qu’après le choix de l’architecture ?”</w:t>
      </w:r>
      <w:r>
        <w:t xml:space="preserve"> </w:t>
      </w:r>
      <w:r>
        <w:t xml:space="preserve">Réponse attendue : une architecture conçue sans tenir compte des contraintes réelles risque d’être irréaliste à mettre en œuvre, nécessitant une révision coûteuse en temps ; intégrer les contraintes dès le départ oriente directement vers des choix réalistes et proportionnés au contexte de l’organisation.</w:t>
      </w:r>
    </w:p>
    <w:bookmarkEnd w:id="1952"/>
    <w:bookmarkStart w:id="1953" w:name="X8e6a9f84d641ce40d53de0d6d7c55d00fee5aca"/>
    <w:p>
      <w:pPr>
        <w:pStyle w:val="Heading2"/>
      </w:pPr>
      <w:r>
        <w:t xml:space="preserve">Optimisation, sécurité et maintenabilité — les réflexes dès ce chapitre</w:t>
      </w:r>
    </w:p>
    <w:p>
      <w:pPr>
        <w:pStyle w:val="FirstParagraph"/>
      </w:pPr>
      <w:r>
        <w:t xml:space="preserve">🔒 Sécurité</w:t>
      </w:r>
      <w:r>
        <w:t xml:space="preserve"> </w:t>
      </w:r>
      <w:r>
        <w:t xml:space="preserve">Intègre les exigences de sécurité et de conformité (NIST CSF, ISO 27001) directement dans le cahier des charges initial, plutôt que de les considérer comme une couche ajoutée après coup à une architecture déjà figée.</w:t>
      </w:r>
    </w:p>
    <w:p>
      <w:pPr>
        <w:pStyle w:val="BodyText"/>
      </w:pPr>
      <w:r>
        <w:t xml:space="preserve">✅ Maintenabilité</w:t>
      </w:r>
      <w:r>
        <w:t xml:space="preserve"> </w:t>
      </w:r>
      <w:r>
        <w:t xml:space="preserve">Formule chaque exigence de façon suffisamment précise et mesurable pour permettre une vérification objective de sa satisfaction une fois le projet réalisé, évitant les désaccords d’interprétation ultérieurs.</w:t>
      </w:r>
    </w:p>
    <w:p>
      <w:pPr>
        <w:pStyle w:val="BodyText"/>
      </w:pPr>
      <w:r>
        <w:t xml:space="preserve">🚀 Performance</w:t>
      </w:r>
      <w:r>
        <w:t xml:space="preserve"> </w:t>
      </w:r>
      <w:r>
        <w:t xml:space="preserve">Un cahier des charges suffisamment détaillé dès le départ réduit significativement le risque de reprises coûteuses en cours de projet, comparé à une approche où l’architecture se précise progressivement sans cadre de référence initial.</w:t>
      </w:r>
    </w:p>
    <w:bookmarkEnd w:id="1953"/>
    <w:bookmarkStart w:id="1954" w:name="résumé-du-chapitre-79"/>
    <w:p>
      <w:pPr>
        <w:pStyle w:val="Heading2"/>
      </w:pPr>
      <w:r>
        <w:t xml:space="preserve">Résumé du chapitre</w:t>
      </w:r>
    </w:p>
    <w:p>
      <w:pPr>
        <w:pStyle w:val="Compact"/>
        <w:numPr>
          <w:ilvl w:val="0"/>
          <w:numId w:val="2841"/>
        </w:numPr>
      </w:pPr>
      <w:r>
        <w:t xml:space="preserve">Un cahier des charges d’infrastructure formalise, avant tout investissement significatif, ce que l’infrastructure doit accomplir et selon quels critères de réussite mesurables.</w:t>
      </w:r>
    </w:p>
    <w:p>
      <w:pPr>
        <w:pStyle w:val="Compact"/>
        <w:numPr>
          <w:ilvl w:val="0"/>
          <w:numId w:val="2841"/>
        </w:numPr>
      </w:pPr>
      <w:r>
        <w:t xml:space="preserve">Trois catégories structurent généralement un cahier des charges : exigences fonctionnelles, exigences non-fonctionnelles, et contraintes.</w:t>
      </w:r>
    </w:p>
    <w:p>
      <w:pPr>
        <w:pStyle w:val="Compact"/>
        <w:numPr>
          <w:ilvl w:val="0"/>
          <w:numId w:val="2841"/>
        </w:numPr>
      </w:pPr>
      <w:r>
        <w:t xml:space="preserve">Les exigences fonctionnelles devraient être formulées en termes de besoin métier, pas de solution technique prédéterminée.</w:t>
      </w:r>
    </w:p>
    <w:p>
      <w:pPr>
        <w:pStyle w:val="Compact"/>
        <w:numPr>
          <w:ilvl w:val="0"/>
          <w:numId w:val="2841"/>
        </w:numPr>
      </w:pPr>
      <w:r>
        <w:t xml:space="preserve">Les exigences non-fonctionnelles (disponibilité, performance, sécurité) sont souvent plus difficiles à formuler mais tout aussi déterminantes que les exigences fonctionnelles.</w:t>
      </w:r>
    </w:p>
    <w:p>
      <w:pPr>
        <w:pStyle w:val="Compact"/>
        <w:numPr>
          <w:ilvl w:val="0"/>
          <w:numId w:val="2841"/>
        </w:numPr>
      </w:pPr>
      <w:r>
        <w:t xml:space="preserve">Les contraintes réelles de l’organisation orientent directement les choix techniques qui seront faits dans les chapitres suivants.</w:t>
      </w:r>
    </w:p>
    <w:p>
      <w:pPr>
        <w:pStyle w:val="Compact"/>
        <w:numPr>
          <w:ilvl w:val="0"/>
          <w:numId w:val="2841"/>
        </w:numPr>
      </w:pPr>
      <w:r>
        <w:t xml:space="preserve">Les critères de réussite et les livrables attendus correspondent directement à la structure des six chapitres restants de ce manuel.</w:t>
      </w:r>
    </w:p>
    <w:bookmarkEnd w:id="1954"/>
    <w:bookmarkStart w:id="1955" w:name="quiz-79"/>
    <w:p>
      <w:pPr>
        <w:pStyle w:val="Heading2"/>
      </w:pPr>
      <w:r>
        <w:t xml:space="preserve">Quiz</w:t>
      </w:r>
    </w:p>
    <w:p>
      <w:pPr>
        <w:pStyle w:val="FirstParagraph"/>
      </w:pPr>
      <w:r>
        <w:t xml:space="preserve">📝 QCM (une seule bonne réponse par question)</w:t>
      </w:r>
    </w:p>
    <w:p>
      <w:pPr>
        <w:pStyle w:val="Compact"/>
        <w:numPr>
          <w:ilvl w:val="0"/>
          <w:numId w:val="2842"/>
        </w:numPr>
      </w:pPr>
      <w:r>
        <w:t xml:space="preserve">Une exigence fonctionnelle dans un cahier des charges d’infrastructure décrit :</w:t>
      </w:r>
    </w:p>
    <w:p>
      <w:pPr>
        <w:pStyle w:val="Compact"/>
        <w:numPr>
          <w:ilvl w:val="1"/>
          <w:numId w:val="2843"/>
        </w:numPr>
      </w:pPr>
    </w:p>
    <w:p>
      <w:pPr>
        <w:pStyle w:val="Compact"/>
        <w:numPr>
          <w:ilvl w:val="2"/>
          <w:numId w:val="2844"/>
        </w:numPr>
      </w:pPr>
      <w:r>
        <w:t xml:space="preserve">La qualité attendue de disponibilité du système</w:t>
      </w:r>
    </w:p>
    <w:p>
      <w:pPr>
        <w:pStyle w:val="Compact"/>
        <w:numPr>
          <w:ilvl w:val="1"/>
          <w:numId w:val="2843"/>
        </w:numPr>
      </w:pPr>
    </w:p>
    <w:p>
      <w:pPr>
        <w:pStyle w:val="Compact"/>
        <w:numPr>
          <w:ilvl w:val="2"/>
          <w:numId w:val="2845"/>
        </w:numPr>
      </w:pPr>
      <w:r>
        <w:t xml:space="preserve">Ce que l’infrastructure doit permettre de faire</w:t>
      </w:r>
    </w:p>
    <w:p>
      <w:pPr>
        <w:pStyle w:val="Compact"/>
        <w:numPr>
          <w:ilvl w:val="1"/>
          <w:numId w:val="2843"/>
        </w:numPr>
      </w:pPr>
    </w:p>
    <w:p>
      <w:pPr>
        <w:pStyle w:val="Compact"/>
        <w:numPr>
          <w:ilvl w:val="2"/>
          <w:numId w:val="2846"/>
        </w:numPr>
      </w:pPr>
      <w:r>
        <w:t xml:space="preserve">Le budget alloué au projet</w:t>
      </w:r>
    </w:p>
    <w:p>
      <w:pPr>
        <w:pStyle w:val="Compact"/>
        <w:numPr>
          <w:ilvl w:val="1"/>
          <w:numId w:val="2843"/>
        </w:numPr>
      </w:pPr>
    </w:p>
    <w:p>
      <w:pPr>
        <w:pStyle w:val="Compact"/>
        <w:numPr>
          <w:ilvl w:val="2"/>
          <w:numId w:val="2847"/>
        </w:numPr>
      </w:pPr>
      <w:r>
        <w:t xml:space="preserve">Les compétences de l’équipe technique</w:t>
      </w:r>
    </w:p>
    <w:p>
      <w:pPr>
        <w:pStyle w:val="Compact"/>
        <w:numPr>
          <w:ilvl w:val="0"/>
          <w:numId w:val="2842"/>
        </w:numPr>
      </w:pPr>
      <w:r>
        <w:t xml:space="preserve">Formuler une exigence comme</w:t>
      </w:r>
      <w:r>
        <w:t xml:space="preserve"> </w:t>
      </w:r>
      <w:r>
        <w:t xml:space="preserve">“installer Kubernetes”</w:t>
      </w:r>
      <w:r>
        <w:t xml:space="preserve"> </w:t>
      </w:r>
      <w:r>
        <w:t xml:space="preserve">plutôt que</w:t>
      </w:r>
      <w:r>
        <w:t xml:space="preserve"> </w:t>
      </w:r>
      <w:r>
        <w:t xml:space="preserve">“permettre un déploiement automatisé et reproductible”</w:t>
      </w:r>
      <w:r>
        <w:t xml:space="preserve"> </w:t>
      </w:r>
      <w:r>
        <w:t xml:space="preserve">pose problème car :</w:t>
      </w:r>
    </w:p>
    <w:p>
      <w:pPr>
        <w:pStyle w:val="Compact"/>
        <w:numPr>
          <w:ilvl w:val="1"/>
          <w:numId w:val="2848"/>
        </w:numPr>
      </w:pPr>
    </w:p>
    <w:p>
      <w:pPr>
        <w:pStyle w:val="Compact"/>
        <w:numPr>
          <w:ilvl w:val="2"/>
          <w:numId w:val="2849"/>
        </w:numPr>
      </w:pPr>
      <w:r>
        <w:t xml:space="preserve">Kubernetes n’a jamais été présenté dans ce manuel</w:t>
      </w:r>
    </w:p>
    <w:p>
      <w:pPr>
        <w:pStyle w:val="Compact"/>
        <w:numPr>
          <w:ilvl w:val="1"/>
          <w:numId w:val="2848"/>
        </w:numPr>
      </w:pPr>
    </w:p>
    <w:p>
      <w:pPr>
        <w:pStyle w:val="Compact"/>
        <w:numPr>
          <w:ilvl w:val="2"/>
          <w:numId w:val="2850"/>
        </w:numPr>
      </w:pPr>
      <w:r>
        <w:t xml:space="preserve">Cela présuppose déjà la solution technique avant d’explorer les options d’architecture</w:t>
      </w:r>
    </w:p>
    <w:p>
      <w:pPr>
        <w:pStyle w:val="Compact"/>
        <w:numPr>
          <w:ilvl w:val="1"/>
          <w:numId w:val="2848"/>
        </w:numPr>
      </w:pPr>
    </w:p>
    <w:p>
      <w:pPr>
        <w:pStyle w:val="Compact"/>
        <w:numPr>
          <w:ilvl w:val="2"/>
          <w:numId w:val="2851"/>
        </w:numPr>
      </w:pPr>
      <w:r>
        <w:t xml:space="preserve">Cela rend l’exigence plus précise et donc préférable</w:t>
      </w:r>
    </w:p>
    <w:p>
      <w:pPr>
        <w:pStyle w:val="Compact"/>
        <w:numPr>
          <w:ilvl w:val="1"/>
          <w:numId w:val="2848"/>
        </w:numPr>
      </w:pPr>
    </w:p>
    <w:p>
      <w:pPr>
        <w:pStyle w:val="Compact"/>
        <w:numPr>
          <w:ilvl w:val="2"/>
          <w:numId w:val="2852"/>
        </w:numPr>
      </w:pPr>
      <w:r>
        <w:t xml:space="preserve">Aucun problème réel n’existe avec cette formulation</w:t>
      </w:r>
    </w:p>
    <w:p>
      <w:pPr>
        <w:pStyle w:val="Compact"/>
        <w:numPr>
          <w:ilvl w:val="0"/>
          <w:numId w:val="2842"/>
        </w:numPr>
      </w:pPr>
      <w:r>
        <w:t xml:space="preserve">Les contraintes d’un projet (budget, délai, compétences) devraient être :</w:t>
      </w:r>
    </w:p>
    <w:p>
      <w:pPr>
        <w:pStyle w:val="Compact"/>
        <w:numPr>
          <w:ilvl w:val="1"/>
          <w:numId w:val="2853"/>
        </w:numPr>
      </w:pPr>
    </w:p>
    <w:p>
      <w:pPr>
        <w:pStyle w:val="Compact"/>
        <w:numPr>
          <w:ilvl w:val="2"/>
          <w:numId w:val="2854"/>
        </w:numPr>
      </w:pPr>
      <w:r>
        <w:t xml:space="preserve">Ignorées jusqu’au choix de l’architecture</w:t>
      </w:r>
    </w:p>
    <w:p>
      <w:pPr>
        <w:pStyle w:val="Compact"/>
        <w:numPr>
          <w:ilvl w:val="1"/>
          <w:numId w:val="2853"/>
        </w:numPr>
      </w:pPr>
    </w:p>
    <w:p>
      <w:pPr>
        <w:pStyle w:val="Compact"/>
        <w:numPr>
          <w:ilvl w:val="2"/>
          <w:numId w:val="2855"/>
        </w:numPr>
      </w:pPr>
      <w:r>
        <w:t xml:space="preserve">Prises en compte dès la rédaction du cahier des charges</w:t>
      </w:r>
    </w:p>
    <w:p>
      <w:pPr>
        <w:pStyle w:val="Compact"/>
        <w:numPr>
          <w:ilvl w:val="1"/>
          <w:numId w:val="2853"/>
        </w:numPr>
      </w:pPr>
    </w:p>
    <w:p>
      <w:pPr>
        <w:pStyle w:val="Compact"/>
        <w:numPr>
          <w:ilvl w:val="2"/>
          <w:numId w:val="2856"/>
        </w:numPr>
      </w:pPr>
      <w:r>
        <w:t xml:space="preserve">Définies uniquement après la mise en production</w:t>
      </w:r>
    </w:p>
    <w:p>
      <w:pPr>
        <w:pStyle w:val="Compact"/>
        <w:numPr>
          <w:ilvl w:val="1"/>
          <w:numId w:val="2853"/>
        </w:numPr>
      </w:pPr>
    </w:p>
    <w:p>
      <w:pPr>
        <w:pStyle w:val="Compact"/>
        <w:numPr>
          <w:ilvl w:val="2"/>
          <w:numId w:val="2857"/>
        </w:numPr>
      </w:pPr>
      <w:r>
        <w:t xml:space="preserve">Réservées exclusivement à la direction financière</w:t>
      </w:r>
    </w:p>
    <w:p>
      <w:pPr>
        <w:pStyle w:val="FirstParagraph"/>
      </w:pPr>
      <w:r>
        <w:rPr>
          <w:b/>
          <w:bCs/>
        </w:rPr>
        <w:t xml:space="preserve">Corrigé</w:t>
      </w:r>
      <w:r>
        <w:t xml:space="preserve"> </w:t>
      </w:r>
      <w:r>
        <w:t xml:space="preserve">: 1-b, 2-b, 3-b.</w:t>
      </w:r>
    </w:p>
    <w:p>
      <w:pPr>
        <w:pStyle w:val="BodyText"/>
      </w:pPr>
      <w:r>
        <w:t xml:space="preserve">📝 Vrai ou Faux</w:t>
      </w:r>
    </w:p>
    <w:p>
      <w:pPr>
        <w:pStyle w:val="Compact"/>
        <w:numPr>
          <w:ilvl w:val="0"/>
          <w:numId w:val="2858"/>
        </w:numPr>
      </w:pPr>
      <w:r>
        <w:t xml:space="preserve">Une exigence non-fonctionnelle comme</w:t>
      </w:r>
      <w:r>
        <w:t xml:space="preserve"> </w:t>
      </w:r>
      <w:r>
        <w:t xml:space="preserve">“haute disponibilité”</w:t>
      </w:r>
      <w:r>
        <w:t xml:space="preserve">, sans précision chiffrée, permet une vérification objective de sa satisfaction. —</w:t>
      </w:r>
      <w:r>
        <w:t xml:space="preserve"> </w:t>
      </w:r>
      <w:r>
        <w:rPr>
          <w:b/>
          <w:bCs/>
        </w:rPr>
        <w:t xml:space="preserve">Faux</w:t>
      </w:r>
      <w:r>
        <w:t xml:space="preserve"> </w:t>
      </w:r>
      <w:r>
        <w:t xml:space="preserve">(section</w:t>
      </w:r>
      <w:r>
        <w:t xml:space="preserve"> </w:t>
      </w:r>
      <w:r>
        <w:t xml:space="preserve">“Erreur n°2”</w:t>
      </w:r>
      <w:r>
        <w:t xml:space="preserve">).</w:t>
      </w:r>
    </w:p>
    <w:p>
      <w:pPr>
        <w:pStyle w:val="Compact"/>
        <w:numPr>
          <w:ilvl w:val="0"/>
          <w:numId w:val="2858"/>
        </w:numPr>
      </w:pPr>
      <w:r>
        <w:t xml:space="preserve">Un cahier des charges devrait idéalement rester un document de référence consulté tout au long du projet. —</w:t>
      </w:r>
      <w:r>
        <w:t xml:space="preserve"> </w:t>
      </w:r>
      <w:r>
        <w:rPr>
          <w:b/>
          <w:bCs/>
        </w:rPr>
        <w:t xml:space="preserve">Vrai</w:t>
      </w:r>
      <w:r>
        <w:t xml:space="preserve"> </w:t>
      </w:r>
      <w:r>
        <w:t xml:space="preserve">(section</w:t>
      </w:r>
      <w:r>
        <w:t xml:space="preserve"> </w:t>
      </w:r>
      <w:r>
        <w:t xml:space="preserve">“En entreprise”</w:t>
      </w:r>
      <w:r>
        <w:t xml:space="preserve">).</w:t>
      </w:r>
    </w:p>
    <w:p>
      <w:pPr>
        <w:pStyle w:val="Compact"/>
        <w:numPr>
          <w:ilvl w:val="0"/>
          <w:numId w:val="2858"/>
        </w:numPr>
      </w:pPr>
      <w:r>
        <w:t xml:space="preserve">Les exigences de sécurité et de conformité devraient être ajoutées après la conception de l’architecture, plutôt qu’intégrées dès le cahier des charges. —</w:t>
      </w:r>
      <w:r>
        <w:t xml:space="preserve"> </w:t>
      </w:r>
      <w:r>
        <w:rPr>
          <w:b/>
          <w:bCs/>
        </w:rPr>
        <w:t xml:space="preserve">Faux</w:t>
      </w:r>
      <w:r>
        <w:t xml:space="preserve"> </w:t>
      </w:r>
      <w:r>
        <w:t xml:space="preserve">(section</w:t>
      </w:r>
      <w:r>
        <w:t xml:space="preserve"> </w:t>
      </w:r>
      <w:r>
        <w:t xml:space="preserve">“Sécurité”</w:t>
      </w:r>
      <w:r>
        <w:t xml:space="preserve">).</w:t>
      </w:r>
    </w:p>
    <w:p>
      <w:pPr>
        <w:pStyle w:val="Compact"/>
        <w:numPr>
          <w:ilvl w:val="0"/>
          <w:numId w:val="2858"/>
        </w:numPr>
      </w:pPr>
      <w:r>
        <w:t xml:space="preserve">Un cahier des charges déconnecté des contraintes réelles de l’organisation conduit généralement à un projet réussi sans difficulté particulière. —</w:t>
      </w:r>
      <w:r>
        <w:t xml:space="preserve"> </w:t>
      </w:r>
      <w:r>
        <w:rPr>
          <w:b/>
          <w:bCs/>
        </w:rPr>
        <w:t xml:space="preserve">Faux</w:t>
      </w:r>
      <w:r>
        <w:t xml:space="preserve"> </w:t>
      </w:r>
      <w:r>
        <w:t xml:space="preserve">(section</w:t>
      </w:r>
      <w:r>
        <w:t xml:space="preserve"> </w:t>
      </w:r>
      <w:r>
        <w:t xml:space="preserve">“Erreur n°3”</w:t>
      </w:r>
      <w:r>
        <w:t xml:space="preserve">).</w:t>
      </w:r>
    </w:p>
    <w:p>
      <w:pPr>
        <w:pStyle w:val="FirstParagraph"/>
      </w:pPr>
      <w:r>
        <w:t xml:space="preserve">📝 Questions ouvertes</w:t>
      </w:r>
    </w:p>
    <w:p>
      <w:pPr>
        <w:pStyle w:val="Compact"/>
        <w:numPr>
          <w:ilvl w:val="0"/>
          <w:numId w:val="2859"/>
        </w:numPr>
      </w:pPr>
      <w:r>
        <w:t xml:space="preserve">Explique pourquoi le DSI, dans le scénario d’ouverture, juge insuffisant de continuer à</w:t>
      </w:r>
      <w:r>
        <w:t xml:space="preserve"> </w:t>
      </w:r>
      <w:r>
        <w:t xml:space="preserve">“construire au fur et à mesure”</w:t>
      </w:r>
      <w:r>
        <w:t xml:space="preserve"> </w:t>
      </w:r>
      <w:r>
        <w:t xml:space="preserve">comme cela a été fait tout au long de ce manuel, malgré le succès apparent de cette approche jusqu’ici.</w:t>
      </w:r>
    </w:p>
    <w:p>
      <w:pPr>
        <w:pStyle w:val="Compact"/>
        <w:numPr>
          <w:ilvl w:val="0"/>
          <w:numId w:val="2859"/>
        </w:numPr>
      </w:pPr>
      <w:r>
        <w:t xml:space="preserve">Un collègue propose de rédiger le cahier des charges en listant directement les technologies déjà utilisées dans ce manuel (Active Directory, Kubernetes, Terraform), plutôt que de formuler des besoins métier. Discute les limites de cette approche pour le projet à 300 employés.</w:t>
      </w:r>
    </w:p>
    <w:p>
      <w:pPr>
        <w:pStyle w:val="FirstParagraph"/>
      </w:pPr>
      <w:r>
        <w:rPr>
          <w:b/>
          <w:bCs/>
        </w:rPr>
        <w:t xml:space="preserve">Corrigé 1</w:t>
      </w:r>
      <w:r>
        <w:t xml:space="preserve"> </w:t>
      </w:r>
      <w:r>
        <w:t xml:space="preserve">: l’approche</w:t>
      </w:r>
      <w:r>
        <w:t xml:space="preserve"> </w:t>
      </w:r>
      <w:r>
        <w:t xml:space="preserve">“au fur et à mesure”</w:t>
      </w:r>
      <w:r>
        <w:t xml:space="preserve"> </w:t>
      </w:r>
      <w:r>
        <w:t xml:space="preserve">suivie tout au long de ce manuel fonctionnait bien pour une entreprise en croissance progressive, chaque décision technique répondant à un besoin ponctuel identifiable au moment où il se présentait. À l’échelle de 300 employés et quatre sites, la coordination de multiples décisions simultanées et interdépendantes (architecture réseau, identité, cloud, sécurité) devient significativement plus complexe sans vision d’ensemble préalable — le risque de décisions incohérentes entre elles, ou de investissements redondants, augmente avec l’échelle du projet. Un cahier des charges formalisé permet de coordonner cette complexité accrue avant l’engagement des ressources, plutôt que de découvrir des incohérences après coup, à un stade où leur correction serait bien plus coûteuse.</w:t>
      </w:r>
    </w:p>
    <w:p>
      <w:pPr>
        <w:pStyle w:val="BodyText"/>
      </w:pPr>
      <w:r>
        <w:rPr>
          <w:b/>
          <w:bCs/>
        </w:rPr>
        <w:t xml:space="preserve">Corrigé 2</w:t>
      </w:r>
      <w:r>
        <w:t xml:space="preserve"> </w:t>
      </w:r>
      <w:r>
        <w:t xml:space="preserve">: cette approche reproduit exactement l’erreur déjà dénoncée à la section</w:t>
      </w:r>
      <w:r>
        <w:t xml:space="preserve"> </w:t>
      </w:r>
      <w:r>
        <w:t xml:space="preserve">“Erreur n°1”</w:t>
      </w:r>
      <w:r>
        <w:t xml:space="preserve"> </w:t>
      </w:r>
      <w:r>
        <w:t xml:space="preserve">— présupposer la solution technique avant même d’avoir formulé le besoin réel qu’elle est censée satisfaire. Bien que ces technologies aient effectivement bien servi l’entreprise jusqu’ici, le contexte à 300 employés et quatre sites pourrait révéler des besoins différents, ou justifier des choix d’architecture différents une fois formulés en termes de besoin métier plutôt que de solution prédéterminée (une question directement explorée au chapitre 81). Un cahier des charges qui se contente de lister les technologies déjà connues risque de reconduire des choix par habitude plutôt que par adéquation réellement démontrée au nouveau contexte, un risque que la formulation en besoins métier, suivie d’une phase de conception d’architecture distincte, permet précisément d’éviter.</w:t>
      </w:r>
    </w:p>
    <w:bookmarkEnd w:id="1955"/>
    <w:bookmarkStart w:id="1956" w:name="exercices-79"/>
    <w:p>
      <w:pPr>
        <w:pStyle w:val="Heading2"/>
      </w:pPr>
      <w:r>
        <w:t xml:space="preserve">Exercices</w:t>
      </w:r>
    </w:p>
    <w:p>
      <w:pPr>
        <w:pStyle w:val="FirstParagraph"/>
      </w:pPr>
      <w:r>
        <w:t xml:space="preserve">📝 Exercice 80.1</w:t>
      </w:r>
    </w:p>
    <w:p>
      <w:pPr>
        <w:pStyle w:val="BodyText"/>
      </w:pPr>
      <w:r>
        <w:t xml:space="preserve">Rédige trois exigences non-fonctionnelles mesurables pour le projet de l’entreprise à 300 employés, portant respectivement sur la disponibilité, la sécurité, et la performance.</w:t>
      </w:r>
    </w:p>
    <w:p>
      <w:pPr>
        <w:pStyle w:val="BodyText"/>
      </w:pPr>
      <w:r>
        <w:rPr>
          <w:b/>
          <w:bCs/>
        </w:rPr>
        <w:t xml:space="preserve">Corrigé (exemple de réponse) :</w:t>
      </w:r>
      <w:r>
        <w:t xml:space="preserve"> </w:t>
      </w:r>
      <w:r>
        <w:t xml:space="preserve">Disponibilité :</w:t>
      </w:r>
      <w:r>
        <w:t xml:space="preserve"> </w:t>
      </w:r>
      <w:r>
        <w:t xml:space="preserve">“le portail client devra maintenir une disponibilité mensuelle d’au moins 99,5 %, avec un temps de reprise maximal de quatre heures en cas d’incident majeur affectant le site principal.”</w:t>
      </w:r>
      <w:r>
        <w:t xml:space="preserve"> </w:t>
      </w:r>
      <w:r>
        <w:t xml:space="preserve">Sécurité :</w:t>
      </w:r>
      <w:r>
        <w:t xml:space="preserve"> </w:t>
      </w:r>
      <w:r>
        <w:t xml:space="preserve">“l’infrastructure devra maintenir sa conformité aux fonctions du NIST CSF déjà adoptées, avec une révision du profil de maturité au moins annuelle, et aucune vulnérabilité critique non corrigée au-delà du délai cible défini au chapitre 78.”</w:t>
      </w:r>
      <w:r>
        <w:t xml:space="preserve"> </w:t>
      </w:r>
      <w:r>
        <w:t xml:space="preserve">Performance :</w:t>
      </w:r>
      <w:r>
        <w:t xml:space="preserve"> </w:t>
      </w:r>
      <w:r>
        <w:t xml:space="preserve">“le temps de réponse moyen du portail client ne devra pas dépasser deux secondes pour 95 % des requêtes, mesuré en continu via la supervision Prometheus déjà en place (chapitre 60).”</w:t>
      </w:r>
      <w:r>
        <w:t xml:space="preserve"> </w:t>
      </w:r>
      <w:r>
        <w:t xml:space="preserve">Chacune de ces exigences est formulée de façon suffisamment précise et chiffrée pour permettre une vérification objective de sa satisfaction, contrairement à une formulation vague comme</w:t>
      </w:r>
      <w:r>
        <w:t xml:space="preserve"> </w:t>
      </w:r>
      <w:r>
        <w:t xml:space="preserve">“sécurisé”</w:t>
      </w:r>
      <w:r>
        <w:t xml:space="preserve"> </w:t>
      </w:r>
      <w:r>
        <w:t xml:space="preserve">ou</w:t>
      </w:r>
      <w:r>
        <w:t xml:space="preserve"> </w:t>
      </w:r>
      <w:r>
        <w:t xml:space="preserve">“performant”</w:t>
      </w:r>
      <w:r>
        <w:t xml:space="preserve"> </w:t>
      </w:r>
      <w:r>
        <w:t xml:space="preserve">sans critère mesurable associé.</w:t>
      </w:r>
    </w:p>
    <w:p>
      <w:pPr>
        <w:pStyle w:val="BodyText"/>
      </w:pPr>
      <w:r>
        <w:t xml:space="preserve">📝 Exercice 80.2</w:t>
      </w:r>
    </w:p>
    <w:p>
      <w:pPr>
        <w:pStyle w:val="BodyText"/>
      </w:pPr>
      <w:r>
        <w:t xml:space="preserve">Rédige, en 3 à 5 phrases, une règle d’équipe garantissant que le cahier des charges rédigé dans ce chapitre reste un document de référence activement consulté tout au long des six chapitres suivants de ce manuel, plutôt qu’un document figé et oublié.</w:t>
      </w:r>
    </w:p>
    <w:p>
      <w:pPr>
        <w:pStyle w:val="BodyText"/>
      </w:pPr>
      <w:r>
        <w:rPr>
          <w:b/>
          <w:bCs/>
        </w:rPr>
        <w:t xml:space="preserve">Corrigé (exemple de réponse) :</w:t>
      </w:r>
      <w:r>
        <w:t xml:space="preserve"> </w:t>
      </w:r>
      <w:r>
        <w:t xml:space="preserve">Le cahier des charges rédigé dans ce chapitre sera explicitement référencé au début de chacun des six chapitres suivants de la Partie 13, chaque chapitre rappelant précisément quelles exigences fonctionnelles, non-fonctionnelles ou contraintes il met en œuvre concrètement. Toute décision technique prise durant les chapitres 81 à 86 qui s’écarterait d’une exigence du cahier des charges devra être explicitement justifiée, plutôt que silencieusement ignorée. À la clôture du projet (chapitre 86), chaque critère de réussite défini dans ce chapitre sera vérifié explicitement, confirmant ou infirmant sa satisfaction réelle plutôt que de présumer que le projet, dans son ensemble, a nécessairement répondu à l’intégralité du cahier des charges initial.</w:t>
      </w:r>
    </w:p>
    <w:bookmarkEnd w:id="1956"/>
    <w:bookmarkStart w:id="1957" w:name="checklist-de-fin-de-chapitre-79"/>
    <w:p>
      <w:pPr>
        <w:pStyle w:val="Heading2"/>
      </w:pPr>
      <w:r>
        <w:t xml:space="preserve">Checklist de fin de chapitre</w:t>
      </w:r>
    </w:p>
    <w:p>
      <w:pPr>
        <w:pStyle w:val="FirstParagraph"/>
      </w:pPr>
      <w:r>
        <w:t xml:space="preserve">☐ Je comprends pourquoi un cahier des charges devient nécessaire à mesure qu’un projet d’infrastructure gagne en complexité.</w:t>
      </w:r>
    </w:p>
    <w:p>
      <w:pPr>
        <w:pStyle w:val="BodyText"/>
      </w:pPr>
      <w:r>
        <w:t xml:space="preserve">☐ Je sais distinguer exigences fonctionnelles, exigences non-fonctionnelles et contraintes.</w:t>
      </w:r>
    </w:p>
    <w:p>
      <w:pPr>
        <w:pStyle w:val="BodyText"/>
      </w:pPr>
      <w:r>
        <w:t xml:space="preserve">☐ Je sais formuler une exigence en termes de besoin métier plutôt que de solution technique prédéterminée.</w:t>
      </w:r>
    </w:p>
    <w:p>
      <w:pPr>
        <w:pStyle w:val="BodyText"/>
      </w:pPr>
      <w:r>
        <w:t xml:space="preserve">☐ Je sais rédiger des exigences non-fonctionnelles mesurables et vérifiables.</w:t>
      </w:r>
    </w:p>
    <w:p>
      <w:pPr>
        <w:pStyle w:val="BodyText"/>
      </w:pPr>
      <w:r>
        <w:t xml:space="preserve">☐ Je comprends pourquoi les contraintes réelles de l’organisation doivent être intégrées dès la rédaction du cahier des charges.</w:t>
      </w:r>
    </w:p>
    <w:p>
      <w:pPr>
        <w:pStyle w:val="BodyText"/>
      </w:pPr>
      <w:r>
        <w:t xml:space="preserve">☐ Je dispose d’un cahier des charges complet servant de référence aux six chapitres suivants de ce manuel.</w:t>
      </w:r>
    </w:p>
    <w:bookmarkEnd w:id="1957"/>
    <w:bookmarkStart w:id="1958" w:name="faq-79"/>
    <w:p>
      <w:pPr>
        <w:pStyle w:val="Heading2"/>
      </w:pPr>
      <w:r>
        <w:t xml:space="preserve">FAQ</w:t>
      </w:r>
    </w:p>
    <w:p>
      <w:pPr>
        <w:pStyle w:val="FirstParagraph"/>
      </w:pPr>
      <w:r>
        <w:t xml:space="preserve">Un cahier des charges doit-il rester figé une fois rédigé, ou peut-il évoluer durant le projet ?</w:t>
      </w:r>
    </w:p>
    <w:p>
      <w:pPr>
        <w:pStyle w:val="BodyText"/>
      </w:pPr>
      <w:r>
        <w:t xml:space="preserve">Un cahier des charges peut évoluer face à des contraintes découvertes en cours de projet, mais toute évolution devrait être documentée explicitement et validée par les parties prenantes concernées, plutôt que modifiée silencieusement sans trace ni justification.</w:t>
      </w:r>
    </w:p>
    <w:p>
      <w:pPr>
        <w:pStyle w:val="BodyText"/>
      </w:pPr>
      <w:r>
        <w:t xml:space="preserve">Faut-il rédiger un cahier des charges même pour un projet d’infrastructure de petite envergure ?</w:t>
      </w:r>
    </w:p>
    <w:p>
      <w:pPr>
        <w:pStyle w:val="BodyText"/>
      </w:pPr>
      <w:r>
        <w:t xml:space="preserve">Le niveau de formalisme peut être adapté à l’ampleur réelle du projet, mais les principes fondamentaux (distinguer besoin métier et solution technique, définir des critères mesurables) restent pertinents même pour un projet modeste, réduisant le risque de malentendu quelle que soit l’échelle.</w:t>
      </w:r>
    </w:p>
    <w:p>
      <w:pPr>
        <w:pStyle w:val="BodyText"/>
      </w:pPr>
      <w:r>
        <w:t xml:space="preserve">Qui devrait être impliqué dans la rédaction d’un cahier des charges d’infrastructure ?</w:t>
      </w:r>
    </w:p>
    <w:p>
      <w:pPr>
        <w:pStyle w:val="BodyText"/>
      </w:pPr>
      <w:r>
        <w:t xml:space="preserve">Idéalement, l’ensemble des parties prenantes concernées — direction (pour les contraintes budgétaires et les priorités stratégiques), équipe technique (pour l’évaluation de faisabilité), et utilisateurs clés (pour la validation des besoins fonctionnels réels) — plutôt qu’une rédaction isolée par une seule personne sans consultation.</w:t>
      </w:r>
    </w:p>
    <w:p>
      <w:pPr>
        <w:pStyle w:val="BodyText"/>
      </w:pPr>
      <w:r>
        <w:t xml:space="preserve">Ce cahier des charges sera-t-il repris intégralement dans les chapitres suivants ?</w:t>
      </w:r>
    </w:p>
    <w:p>
      <w:pPr>
        <w:pStyle w:val="BodyText"/>
      </w:pPr>
      <w:r>
        <w:t xml:space="preserve">Oui, chacun des six chapitres restants de cette partie (81 à 86) s’appuiera explicitement sur les exigences, contraintes et critères de réussite définis dans ce chapitre, réalisant progressivement chaque aspect du projet formalisé ici.</w:t>
      </w:r>
    </w:p>
    <w:bookmarkEnd w:id="1958"/>
    <w:bookmarkStart w:id="1960" w:name="références-et-pour-aller-plus-loin-79"/>
    <w:p>
      <w:pPr>
        <w:pStyle w:val="Heading2"/>
      </w:pPr>
      <w:r>
        <w:t xml:space="preserve">Références et pour aller plus loin</w:t>
      </w:r>
    </w:p>
    <w:p>
      <w:pPr>
        <w:pStyle w:val="Compact"/>
        <w:numPr>
          <w:ilvl w:val="0"/>
          <w:numId w:val="2860"/>
        </w:numPr>
      </w:pPr>
      <w:r>
        <w:t xml:space="preserve">PMI — A Guide to the Project Management Body of Knowledge (PMBOK Guide) :</w:t>
      </w:r>
      <w:r>
        <w:t xml:space="preserve"> </w:t>
      </w:r>
      <w:hyperlink r:id="rId1959">
        <w:r>
          <w:rPr>
            <w:rStyle w:val="Hyperlink"/>
          </w:rPr>
          <w:t xml:space="preserve">https://www.pmi.org/pmbok-guide-standards</w:t>
        </w:r>
      </w:hyperlink>
    </w:p>
    <w:p>
      <w:pPr>
        <w:pStyle w:val="Compact"/>
        <w:numPr>
          <w:ilvl w:val="0"/>
          <w:numId w:val="2860"/>
        </w:numPr>
      </w:pPr>
      <w:r>
        <w:t xml:space="preserve">ITIL — Gestion des exigences et de la demande : rappel du chapitre 2 de ce manuel.</w:t>
      </w:r>
    </w:p>
    <w:p>
      <w:pPr>
        <w:pStyle w:val="FirstParagraph"/>
      </w:pPr>
      <w:r>
        <w:rPr>
          <w:i/>
          <w:iCs/>
        </w:rPr>
        <w:t xml:space="preserve">Chapitre suivant : la conception de l’architecture — traduire ce cahier des charges en choix techniques concrets d’Active Directory, de réseau et de virtualisation pour l’infrastructure à 300 employés.</w:t>
      </w:r>
    </w:p>
    <w:p>
      <w:pPr>
        <w:pStyle w:val="BodyText"/>
      </w:pPr>
      <w:r>
        <w:t xml:space="preserve">CHAPITRE 81</w:t>
      </w:r>
    </w:p>
    <w:bookmarkEnd w:id="1960"/>
    <w:bookmarkEnd w:id="1961"/>
    <w:bookmarkStart w:id="1985" w:name="X826391e12691e58740a28aeddcd095b0e569701"/>
    <w:p>
      <w:pPr>
        <w:pStyle w:val="Heading1"/>
      </w:pPr>
      <w:r>
        <w:t xml:space="preserve">Conception de l’architecture (AD, réseau, virtualisation)</w:t>
      </w:r>
    </w:p>
    <w:p>
      <w:pPr>
        <w:pStyle w:val="FirstParagraph"/>
      </w:pPr>
      <w:r>
        <w:t xml:space="preserve">🎯 Objectif du chapitre</w:t>
      </w:r>
      <w:r>
        <w:t xml:space="preserve"> </w:t>
      </w:r>
      <w:r>
        <w:t xml:space="preserve">Traduire le cahier des charges du chapitre précédent en choix techniques concrets d’Active Directory, de réseau et de virtualisation pour l’infrastructure à 300 employés et quatre sites. À la fin de ce chapitre, tu sauras concevoir une topologie de sites Active Directory pour un environnement multi-sites, une architecture réseau redondante reliant l’ensemble des sites, et des choix de virtualisation adaptés au contexte spécifique de chaque site.</w:t>
      </w:r>
    </w:p>
    <w:p>
      <w:pPr>
        <w:pStyle w:val="BodyText"/>
      </w:pPr>
      <w:r>
        <w:t xml:space="preserve">🎬 Mise en situation</w:t>
      </w:r>
      <w:r>
        <w:t xml:space="preserve"> </w:t>
      </w:r>
      <w:r>
        <w:t xml:space="preserve">Le cahier des charges du chapitre 80 étant validé par le conseil d’administration, l’équipe technique doit désormais concevoir l’architecture concrète répondant à ces exigences — en particulier pour le quatrième site, une agence commerciale à ouvrir dans une ville secondaire, avec seulement une vingtaine d’employés prévus initialement.</w:t>
      </w:r>
      <w:r>
        <w:t xml:space="preserve"> </w:t>
      </w:r>
      <w:r>
        <w:t xml:space="preserve">“Le cahier des charges nous dit ce qu’on doit accomplir,”</w:t>
      </w:r>
      <w:r>
        <w:t xml:space="preserve"> </w:t>
      </w:r>
      <w:r>
        <w:t xml:space="preserve">résume le DSI,</w:t>
      </w:r>
      <w:r>
        <w:t xml:space="preserve"> </w:t>
      </w:r>
      <w:r>
        <w:t xml:space="preserve">“maintenant il faut décider concrètement comment.”</w:t>
      </w:r>
      <w:r>
        <w:t xml:space="preserve"> </w:t>
      </w:r>
      <w:r>
        <w:t xml:space="preserve">Ce chapitre construit cette architecture, brique par brique, en s’appuyant systématiquement sur les choix déjà validés dans ce manuel plutôt que de repartir de zéro.</w:t>
      </w:r>
    </w:p>
    <w:bookmarkStart w:id="1962" w:name="X1bd801fdec8f90a45137fce68dea9fd554557d8"/>
    <w:p>
      <w:pPr>
        <w:pStyle w:val="Heading2"/>
      </w:pPr>
      <w:r>
        <w:t xml:space="preserve">81.1 Traduire le cahier des charges en architecture concrète</w:t>
      </w:r>
    </w:p>
    <w:p>
      <w:pPr>
        <w:pStyle w:val="FirstParagraph"/>
      </w:pPr>
      <w:r>
        <w:t xml:space="preserve">📌 À retenir — rappel direct du chapitre 80</w:t>
      </w:r>
      <w:r>
        <w:t xml:space="preserve"> </w:t>
      </w:r>
      <w:r>
        <w:t xml:space="preserve">Chaque choix d’architecture de ce chapitre doit se justifier explicitement par rapport à une exigence précise du cahier des charges — l’exigence de disponibilité de 99,5 % pour le portail client (exemple de l’exercice 80.1) oriente vers une architecture réseau et une virtualisation redondantes ; la contrainte de compétences limitées de l’équipe technique (section 80.6) oriente vers des choix technologiques déjà maîtrisés plutôt que vers une sophistication technique inédite pour l’équipe.</w:t>
      </w:r>
    </w:p>
    <w:bookmarkEnd w:id="1962"/>
    <w:bookmarkStart w:id="1966" w:name="X01df9dcdfc4abd27dad07fc980598c4e70a524e"/>
    <w:p>
      <w:pPr>
        <w:pStyle w:val="Heading2"/>
      </w:pPr>
      <w:r>
        <w:t xml:space="preserve">81.2 Architecture Active Directory pour un environnement à quatre sites</w:t>
      </w:r>
    </w:p>
    <w:p>
      <w:pPr>
        <w:pStyle w:val="FirstParagraph"/>
      </w:pPr>
      <w:r>
        <w:t xml:space="preserve">💡 Rappel direct des chapitres 5 et 6</w:t>
      </w:r>
      <w:r>
        <w:t xml:space="preserve"> </w:t>
      </w:r>
      <w:r>
        <w:t xml:space="preserve">Chaque site physique de l’entreprise correspond à un</w:t>
      </w:r>
      <w:r>
        <w:t xml:space="preserve"> </w:t>
      </w:r>
      <w:r>
        <w:rPr>
          <w:b/>
          <w:bCs/>
        </w:rPr>
        <w:t xml:space="preserve">site Active Directory</w:t>
      </w:r>
      <w:r>
        <w:t xml:space="preserve"> </w:t>
      </w:r>
      <w:r>
        <w:t xml:space="preserve">distinct (chapitre 5), avec son propre sous-réseau associé et, pour les sites de taille significative (siège, agence de Cap-Haïtien), un contrôleur de domaine local — garantissant que l’authentification des employés locaux ne dépend pas de la disponibilité d’un lien réseau vers un autre site. La réplication entre sites (chapitre 6) est configurée selon un intervalle adapté à la criticité et à la bande passante de chaque lien, plutôt qu’un intervalle uniforme pour l’ensemble de l’infrastructure.</w:t>
      </w:r>
    </w:p>
    <w:p>
      <w:pPr>
        <w:pStyle w:val="CaptionedFigure"/>
      </w:pPr>
      <w:r>
        <w:drawing>
          <wp:inline>
            <wp:extent cx="5334000" cy="4498554"/>
            <wp:effectExtent b="0" l="0" r="0" t="0"/>
            <wp:docPr descr="Diagramme" title="" id="1964" name="Picture"/>
            <a:graphic>
              <a:graphicData uri="http://schemas.openxmlformats.org/drawingml/2006/picture">
                <pic:pic>
                  <pic:nvPicPr>
                    <pic:cNvPr descr="C:/Users/ingja/Desktop/jarvis-starter-kit/livrables/formations/manuel-administration-systeme/assets/diagrams/d-81-conception-architecture-diagramme-1.png" id="1965" name="Picture"/>
                    <pic:cNvPicPr>
                      <a:picLocks noChangeArrowheads="1" noChangeAspect="1"/>
                    </pic:cNvPicPr>
                  </pic:nvPicPr>
                  <pic:blipFill>
                    <a:blip r:embed="rId1963"/>
                    <a:stretch>
                      <a:fillRect/>
                    </a:stretch>
                  </pic:blipFill>
                  <pic:spPr bwMode="auto">
                    <a:xfrm>
                      <a:off x="0" y="0"/>
                      <a:ext cx="5334000" cy="4498554"/>
                    </a:xfrm>
                    <a:prstGeom prst="rect">
                      <a:avLst/>
                    </a:prstGeom>
                    <a:noFill/>
                    <a:ln w="9525">
                      <a:noFill/>
                      <a:headEnd/>
                      <a:tailEnd/>
                    </a:ln>
                  </pic:spPr>
                </pic:pic>
              </a:graphicData>
            </a:graphic>
          </wp:inline>
        </w:drawing>
      </w:r>
    </w:p>
    <w:p>
      <w:pPr>
        <w:pStyle w:val="ImageCaption"/>
      </w:pPr>
      <w:r>
        <w:t xml:space="preserve">Diagramme</w:t>
      </w:r>
    </w:p>
    <w:bookmarkEnd w:id="1966"/>
    <w:bookmarkStart w:id="1967" w:name="X26e24585d51e7d3dec9a1d5aa7bb24b5b4bba47"/>
    <w:p>
      <w:pPr>
        <w:pStyle w:val="Heading2"/>
      </w:pPr>
      <w:r>
        <w:t xml:space="preserve">81.3 Le quatrième site : le même raisonnement contextuel qu’au chapitre 67</w:t>
      </w:r>
    </w:p>
    <w:p>
      <w:pPr>
        <w:pStyle w:val="FirstParagraph"/>
      </w:pPr>
      <w:r>
        <w:t xml:space="preserve">✅ Rappel direct de la section 67.1</w:t>
      </w:r>
      <w:r>
        <w:t xml:space="preserve"> </w:t>
      </w:r>
      <w:r>
        <w:t xml:space="preserve">Pour ce nouveau site de vingt employés seulement, un contrôleur de domaine local ne se justifie pas nécessairement — exactement le même raisonnement pragmatique déjà appliqué au choix de Mikrotik pour le bureau satellite (section 67.1) : le coût et la complexité de maintenir un contrôleur de domaine supplémentaire dépassent le bénéfice réel pour un site aussi restreint, tant que le lien VPN vers le siège reste suffisamment fiable pour l’authentification à distance.</w:t>
      </w:r>
    </w:p>
    <w:bookmarkEnd w:id="1967"/>
    <w:bookmarkStart w:id="1968" w:name="X143d172d816f12808d4882075dc9e207a7e564b"/>
    <w:p>
      <w:pPr>
        <w:pStyle w:val="Heading2"/>
      </w:pPr>
      <w:r>
        <w:t xml:space="preserve">81.4 Architecture réseau : redondance multi-sites</w:t>
      </w:r>
    </w:p>
    <w:p>
      <w:pPr>
        <w:pStyle w:val="FirstParagraph"/>
      </w:pPr>
      <w:r>
        <w:t xml:space="preserve">💡 Rappel direct des chapitres 65 et 69</w:t>
      </w:r>
      <w:r>
        <w:t xml:space="preserve"> </w:t>
      </w:r>
      <w:r>
        <w:t xml:space="preserve">Les sites principaux (siège et Cap-Haïtien) restent reliés par les liens WAN redondants déjà établis avec OSPF (chapitre 65), garantissant une bascule automatique en cas de panne d’un lien. Le nouveau site, plus modeste, se connecte via un VPN site à site simple (chapitre 69) — une redondance de lien pourrait être envisagée ultérieurement si l’activité de ce site venait à croître significativement, un choix à réévaluer plutôt qu’à imposer prématurément.</w:t>
      </w:r>
    </w:p>
    <w:bookmarkEnd w:id="1968"/>
    <w:bookmarkStart w:id="1969" w:name="Xd76042d8db58052b3fddce0648cbbb3c5d90e89"/>
    <w:p>
      <w:pPr>
        <w:pStyle w:val="Heading2"/>
      </w:pPr>
      <w:r>
        <w:t xml:space="preserve">81.5 Virtualisation : un choix par site, pas un choix unique imposé</w:t>
      </w:r>
    </w:p>
    <w:p>
      <w:pPr>
        <w:pStyle w:val="FirstParagraph"/>
      </w:pPr>
      <w:r>
        <w:t xml:space="preserve">📌 À retenir — rappel direct de la Partie 6</w:t>
      </w:r>
      <w:r>
        <w:t xml:space="preserve"> </w:t>
      </w:r>
      <w:r>
        <w:t xml:space="preserve">Exactement le même principe déjà établi tout au long de ce manuel s’applique à la virtualisation : le siège, avec ses besoins de charge et de résilience les plus élevés, justifie une solution de virtualisation d’entreprise complète (VMware vSphere ou Hyper-V, chapitres 34-35) avec clustering haute disponibilité ; l’agence de Cap-Haïtien, de taille intermédiaire, peut s’appuyer sur Proxmox VE (chapitre 36), un compromis pragmatique déjà éprouvé dans ce manuel ; le nouveau site, plus modeste encore, pourrait ne nécessiter aucune virtualisation locale, s’appuyant entièrement sur les services centralisés du siège via le VPN.</w:t>
      </w:r>
    </w:p>
    <w:bookmarkEnd w:id="1969"/>
    <w:bookmarkStart w:id="1970" w:name="assembler-la-vue-darchitecture-globale"/>
    <w:p>
      <w:pPr>
        <w:pStyle w:val="Heading2"/>
      </w:pPr>
      <w:r>
        <w:t xml:space="preserve">81.6 Assembler la vue d’architecture globale</w:t>
      </w:r>
    </w:p>
    <w:p>
      <w:pPr>
        <w:pStyle w:val="FirstParagraph"/>
      </w:pPr>
      <w:r>
        <w:t xml:space="preserve">📌 À retenir</w:t>
      </w:r>
      <w:r>
        <w:t xml:space="preserve"> </w:t>
      </w:r>
      <w:r>
        <w:t xml:space="preserve">Une architecture globale cohérente rassemble ces décisions en une vue unique, documentée et compréhensible — exactement le même principe de documentation déjà établi au chapitre 2 comme fondation du métier, appliqué ici à l’échelle complète du projet. Cette vue globale devient la référence technique pour l’ensemble des chapitres suivants de la Partie 13, qui la mettront en œuvre concrètement.</w:t>
      </w:r>
    </w:p>
    <w:bookmarkEnd w:id="1970"/>
    <w:bookmarkStart w:id="1971" w:name="Xe2d9f22bfbbf4e27a58fd03fb68b16db30ddee4"/>
    <w:p>
      <w:pPr>
        <w:pStyle w:val="Heading2"/>
      </w:pPr>
      <w:r>
        <w:t xml:space="preserve">81.7 Valider l’architecture face au cahier des charges</w:t>
      </w:r>
    </w:p>
    <w:p>
      <w:pPr>
        <w:pStyle w:val="FirstParagraph"/>
      </w:pPr>
      <w:r>
        <w:t xml:space="preserve">✅ Fermer la boucle avec le chapitre 80</w:t>
      </w:r>
      <w:r>
        <w:t xml:space="preserve"> </w:t>
      </w:r>
      <w:r>
        <w:t xml:space="preserve">Avant de considérer cette architecture comme définitive, chaque exigence du cahier des charges du chapitre 80 devrait être explicitement vérifiée par rapport à cette conception — une exigence de disponibilité non couverte par un choix de virtualisation suffisamment résilient révèle une lacune à corriger avant la mise en œuvre, plutôt qu’après, à un stade où la correction serait bien plus coûteuse.</w:t>
      </w:r>
    </w:p>
    <w:bookmarkEnd w:id="1971"/>
    <w:bookmarkStart w:id="1972" w:name="X136ea7c2f7ac310811a594184d37b6437fce0ef"/>
    <w:p>
      <w:pPr>
        <w:pStyle w:val="Heading2"/>
      </w:pPr>
      <w:r>
        <w:t xml:space="preserve">Atelier — Produire le schéma d’architecture global</w:t>
      </w:r>
    </w:p>
    <w:p>
      <w:pPr>
        <w:pStyle w:val="FirstParagraph"/>
      </w:pPr>
      <w:r>
        <w:t xml:space="preserve">🛠️ Atelier 81 — La brique technique du projet final</w:t>
      </w:r>
    </w:p>
    <w:p>
      <w:pPr>
        <w:pStyle w:val="BodyText"/>
      </w:pPr>
      <w:r>
        <w:rPr>
          <w:b/>
          <w:bCs/>
        </w:rPr>
        <w:t xml:space="preserve">Objectif</w:t>
      </w:r>
      <w:r>
        <w:t xml:space="preserve"> </w:t>
      </w:r>
      <w:r>
        <w:t xml:space="preserve">: produire un schéma d’architecture global couvrant Active Directory, réseau et virtualisation pour les quatre sites, validé par rapport au cahier des charges du chapitre 80.</w:t>
      </w:r>
    </w:p>
    <w:p>
      <w:pPr>
        <w:pStyle w:val="BodyText"/>
      </w:pPr>
      <w:r>
        <w:rPr>
          <w:b/>
          <w:bCs/>
        </w:rPr>
        <w:t xml:space="preserve">Préparation</w:t>
      </w:r>
      <w:r>
        <w:t xml:space="preserve"> </w:t>
      </w:r>
      <w:r>
        <w:t xml:space="preserve">: le cahier des charges rédigé à l’atelier du chapitre 80.</w:t>
      </w:r>
    </w:p>
    <w:p>
      <w:pPr>
        <w:pStyle w:val="BodyText"/>
      </w:pPr>
      <w:r>
        <w:rPr>
          <w:b/>
          <w:bCs/>
        </w:rPr>
        <w:t xml:space="preserve">Étapes détaillées</w:t>
      </w:r>
      <w:r>
        <w:t xml:space="preserve"> </w:t>
      </w:r>
      <w:r>
        <w:t xml:space="preserve">:</w:t>
      </w:r>
    </w:p>
    <w:p>
      <w:pPr>
        <w:pStyle w:val="Compact"/>
        <w:numPr>
          <w:ilvl w:val="0"/>
          <w:numId w:val="2861"/>
        </w:numPr>
      </w:pPr>
      <w:r>
        <w:t xml:space="preserve">Représente les quatre sites et leurs contrôleurs de domaine (ou absence de contrôleur local) selon le raisonnement de la section 81.3.</w:t>
      </w:r>
    </w:p>
    <w:p>
      <w:pPr>
        <w:pStyle w:val="Compact"/>
        <w:numPr>
          <w:ilvl w:val="0"/>
          <w:numId w:val="2861"/>
        </w:numPr>
      </w:pPr>
      <w:r>
        <w:t xml:space="preserve">Représente les liens réseau entre sites, en distinguant les liens redondants (OSPF) des liens simples (VPN).</w:t>
      </w:r>
    </w:p>
    <w:p>
      <w:pPr>
        <w:pStyle w:val="Compact"/>
        <w:numPr>
          <w:ilvl w:val="0"/>
          <w:numId w:val="2861"/>
        </w:numPr>
      </w:pPr>
      <w:r>
        <w:t xml:space="preserve">Indique le choix de virtualisation retenu pour chaque site, en justifiant chaque choix par le contexte spécifique de ce site plutôt qu’un choix uniforme.</w:t>
      </w:r>
    </w:p>
    <w:p>
      <w:pPr>
        <w:pStyle w:val="Compact"/>
        <w:numPr>
          <w:ilvl w:val="0"/>
          <w:numId w:val="2861"/>
        </w:numPr>
      </w:pPr>
      <w:r>
        <w:t xml:space="preserve">Reprends les exigences non-fonctionnelles rédigées à l’exercice 80.1 et vérifie explicitement si cette architecture les satisfait.</w:t>
      </w:r>
    </w:p>
    <w:p>
      <w:pPr>
        <w:pStyle w:val="Compact"/>
        <w:numPr>
          <w:ilvl w:val="0"/>
          <w:numId w:val="2861"/>
        </w:numPr>
      </w:pPr>
      <w:r>
        <w:t xml:space="preserve">Compare ta démarche à la section</w:t>
      </w:r>
      <w:r>
        <w:t xml:space="preserve"> </w:t>
      </w:r>
      <w:r>
        <w:t xml:space="preserve">“Résultat attendu”</w:t>
      </w:r>
      <w:r>
        <w:t xml:space="preserve">.</w:t>
      </w:r>
    </w:p>
    <w:p>
      <w:pPr>
        <w:pStyle w:val="FirstParagraph"/>
      </w:pPr>
      <w:r>
        <w:rPr>
          <w:b/>
          <w:bCs/>
        </w:rPr>
        <w:t xml:space="preserve">Résultat attendu</w:t>
      </w:r>
      <w:r>
        <w:t xml:space="preserve"> </w:t>
      </w:r>
      <w:r>
        <w:t xml:space="preserve">: l’architecture combine des contrôleurs de domaine locaux pour les sites significatifs et une authentification distante via VPN pour le nouveau site modeste, une redondance réseau OSPF pour les liens critiques et un VPN simple pour le lien vers le nouveau site, et des choix de virtualisation proportionnés à la taille et à la criticité de chaque site plutôt qu’une solution unique imposée partout. La vérification par rapport aux exigences non-fonctionnelles de l’exercice 80.1 (disponibilité de 99,5 % pour le portail client) devrait confirmer que le siège, hébergeant ce service critique, bénéficie bien du niveau de redondance nécessaire (clustering haute disponibilité, chapitre 13, et liens réseau redondants) pour atteindre cet objectif.</w:t>
      </w:r>
    </w:p>
    <w:p>
      <w:pPr>
        <w:pStyle w:val="BodyText"/>
      </w:pPr>
      <w:r>
        <w:rPr>
          <w:b/>
          <w:bCs/>
        </w:rPr>
        <w:t xml:space="preserve">Dépannage</w:t>
      </w:r>
      <w:r>
        <w:t xml:space="preserve"> </w:t>
      </w:r>
      <w:r>
        <w:t xml:space="preserve">: si la vérification révèle qu’une exigence du cahier des charges n’est pas clairement couverte par l’architecture proposée, ne force pas une justification a posteriori — révise explicitement l’architecture pour couvrir cette exigence, ou documente formellement pourquoi cette exigence est révisée ou reportée, plutôt que de laisser un écart silencieux entre le cahier des charges et l’architecture réelle.</w:t>
      </w:r>
    </w:p>
    <w:bookmarkEnd w:id="1972"/>
    <w:bookmarkStart w:id="1973" w:name="erreurs-fréquentes-80"/>
    <w:p>
      <w:pPr>
        <w:pStyle w:val="Heading2"/>
      </w:pPr>
      <w:r>
        <w:t xml:space="preserve">Erreurs fréquentes</w:t>
      </w:r>
    </w:p>
    <w:p>
      <w:pPr>
        <w:pStyle w:val="FirstParagraph"/>
      </w:pPr>
      <w:r>
        <w:t xml:space="preserve">⚠️ Erreur n°1 — une architecture conçue sans revenir explicitement aux exigences du cahier des charges</w:t>
      </w:r>
      <w:r>
        <w:t xml:space="preserve"> </w:t>
      </w:r>
      <w:r>
        <w:t xml:space="preserve">Rappel de la section 81.7 : une architecture séduisante techniquement mais déconnectée du cahier des charges risque de ne pas répondre au besoin réel ayant motivé le projet.</w:t>
      </w:r>
    </w:p>
    <w:p>
      <w:pPr>
        <w:pStyle w:val="BodyText"/>
      </w:pPr>
      <w:r>
        <w:t xml:space="preserve">⚠️ Erreur n°2 — l’absence de sites Active Directory distincts pour des sites géographiquement séparés</w:t>
      </w:r>
      <w:r>
        <w:t xml:space="preserve"> </w:t>
      </w:r>
      <w:r>
        <w:t xml:space="preserve">Rappel direct du chapitre 6 : sans configuration de sites appropriée, le trafic de réplication et d’authentification peut emprunter des liens WAN de façon inefficace, dégradant les performances sans raison technique justifiée.</w:t>
      </w:r>
    </w:p>
    <w:p>
      <w:pPr>
        <w:pStyle w:val="BodyText"/>
      </w:pPr>
      <w:r>
        <w:t xml:space="preserve">⚠️ Erreur n°3 — un même choix de virtualisation imposé uniformément à tous les sites, sans considérer leur contexte respectif</w:t>
      </w:r>
      <w:r>
        <w:t xml:space="preserve"> </w:t>
      </w:r>
      <w:r>
        <w:t xml:space="preserve">Rappel direct de la section 67.1 : reproduit l’erreur inverse du raisonnement pragmatique déjà établi à plusieurs reprises dans ce manuel — le bon choix technique dépend du contexte de chaque site, pas d’une préférence pour l’uniformité en soi.</w:t>
      </w:r>
    </w:p>
    <w:bookmarkEnd w:id="1973"/>
    <w:bookmarkStart w:id="1974" w:name="X4e7606967a0c25778b856f70188dae71d17ab50"/>
    <w:p>
      <w:pPr>
        <w:pStyle w:val="Heading2"/>
      </w:pPr>
      <w:r>
        <w:t xml:space="preserve">Diagnostiquer une latence de réplication AD élevée malgré une bonne bande passante</w:t>
      </w:r>
    </w:p>
    <w:p>
      <w:pPr>
        <w:pStyle w:val="FirstParagraph"/>
      </w:pPr>
      <w:r>
        <w:t xml:space="preserve">🩺 Symptôme : la réplication Active Directory entre deux sites distants prend un temps anormalement long, malgré un lien réseau disposant d’une bande passante suffisante</w:t>
      </w:r>
    </w:p>
    <w:p>
      <w:pPr>
        <w:pStyle w:val="Compact"/>
        <w:numPr>
          <w:ilvl w:val="0"/>
          <w:numId w:val="2862"/>
        </w:numPr>
      </w:pPr>
      <w:r>
        <w:rPr>
          <w:b/>
          <w:bCs/>
        </w:rPr>
        <w:t xml:space="preserve">Diagnostic</w:t>
      </w:r>
      <w:r>
        <w:t xml:space="preserve"> </w:t>
      </w:r>
      <w:r>
        <w:t xml:space="preserve">: ce symptôme, rappel direct du même diagnostic déjà rencontré au chapitre 6, indique généralement une configuration incorrecte des sites Active Directory (sous-réseaux mal associés à leur site, ou intervalle de réplication mal calibré) plutôt qu’un problème de capacité réseau brute.</w:t>
      </w:r>
    </w:p>
    <w:p>
      <w:pPr>
        <w:pStyle w:val="Compact"/>
        <w:numPr>
          <w:ilvl w:val="0"/>
          <w:numId w:val="2862"/>
        </w:numPr>
      </w:pPr>
      <w:r>
        <w:rPr>
          <w:b/>
          <w:bCs/>
        </w:rPr>
        <w:t xml:space="preserve">Comment vérifier</w:t>
      </w:r>
      <w:r>
        <w:t xml:space="preserve"> </w:t>
      </w:r>
      <w:r>
        <w:t xml:space="preserve">: vérifier que chaque sous-réseau est correctement associé à son site Active Directory correspondant, et consulter l’intervalle de réplication configuré pour le lien de site concerné.</w:t>
      </w:r>
    </w:p>
    <w:p>
      <w:pPr>
        <w:pStyle w:val="Compact"/>
        <w:numPr>
          <w:ilvl w:val="0"/>
          <w:numId w:val="2862"/>
        </w:numPr>
      </w:pPr>
      <w:r>
        <w:rPr>
          <w:b/>
          <w:bCs/>
        </w:rPr>
        <w:t xml:space="preserve">Résolution</w:t>
      </w:r>
      <w:r>
        <w:t xml:space="preserve"> </w:t>
      </w:r>
      <w:r>
        <w:t xml:space="preserve">: corriger l’association des sous-réseaux aux sites, ou ajuster l’intervalle de réplication selon la criticité réelle de la synchronisation pour ce lien précis.</w:t>
      </w:r>
    </w:p>
    <w:bookmarkEnd w:id="1974"/>
    <w:bookmarkStart w:id="1975" w:name="en-entreprise-80"/>
    <w:p>
      <w:pPr>
        <w:pStyle w:val="Heading2"/>
      </w:pPr>
      <w:r>
        <w:t xml:space="preserve">En entreprise</w:t>
      </w:r>
    </w:p>
    <w:p>
      <w:pPr>
        <w:pStyle w:val="Compact"/>
        <w:numPr>
          <w:ilvl w:val="0"/>
          <w:numId w:val="2863"/>
        </w:numPr>
      </w:pPr>
      <w:r>
        <w:rPr>
          <w:b/>
          <w:bCs/>
        </w:rPr>
        <w:t xml:space="preserve">Bonne pratique répandue</w:t>
      </w:r>
      <w:r>
        <w:t xml:space="preserve"> </w:t>
      </w:r>
      <w:r>
        <w:t xml:space="preserve">: concevoir l’architecture en partant explicitement de chaque exigence du cahier des charges, plutôt que de partir des technologies déjà connues et de vérifier après coup si elles couvrent le besoin.</w:t>
      </w:r>
    </w:p>
    <w:p>
      <w:pPr>
        <w:pStyle w:val="Compact"/>
        <w:numPr>
          <w:ilvl w:val="0"/>
          <w:numId w:val="2863"/>
        </w:numPr>
      </w:pPr>
      <w:r>
        <w:rPr>
          <w:b/>
          <w:bCs/>
        </w:rPr>
        <w:t xml:space="preserve">Bonne pratique répandue</w:t>
      </w:r>
      <w:r>
        <w:t xml:space="preserve"> </w:t>
      </w:r>
      <w:r>
        <w:t xml:space="preserve">: documenter la justification de chaque choix d’architecture par rapport au contexte spécifique du site concerné, facilitant la compréhension future de décisions qui pourraient sinon sembler incohérentes entre sites.</w:t>
      </w:r>
    </w:p>
    <w:p>
      <w:pPr>
        <w:pStyle w:val="Compact"/>
        <w:numPr>
          <w:ilvl w:val="0"/>
          <w:numId w:val="2863"/>
        </w:numPr>
      </w:pPr>
      <w:r>
        <w:rPr>
          <w:b/>
          <w:bCs/>
        </w:rPr>
        <w:t xml:space="preserve">Erreur classique observée</w:t>
      </w:r>
      <w:r>
        <w:t xml:space="preserve"> </w:t>
      </w:r>
      <w:r>
        <w:t xml:space="preserve">: une architecture conçue en réunion, sous forme de schéma convaincant, mais jamais formellement confrontée aux exigences précises du cahier des charges — révélant des lacunes seulement après la mise en œuvre, à un stade où leur correction devient significativement plus coûteuse.</w:t>
      </w:r>
    </w:p>
    <w:bookmarkEnd w:id="1975"/>
    <w:bookmarkStart w:id="1976" w:name="entretien-technique-80"/>
    <w:p>
      <w:pPr>
        <w:pStyle w:val="Heading2"/>
      </w:pPr>
      <w:r>
        <w:t xml:space="preserve">Entretien technique</w:t>
      </w:r>
    </w:p>
    <w:p>
      <w:pPr>
        <w:pStyle w:val="FirstParagraph"/>
      </w:pPr>
      <w:r>
        <w:t xml:space="preserve">💼 Questions fréquemment posées en entretien</w:t>
      </w:r>
    </w:p>
    <w:p>
      <w:pPr>
        <w:pStyle w:val="BodyText"/>
      </w:pPr>
      <w:r>
        <w:rPr>
          <w:b/>
          <w:bCs/>
        </w:rPr>
        <w:t xml:space="preserve">Q1.</w:t>
      </w:r>
      <w:r>
        <w:rPr>
          <w:b/>
          <w:bCs/>
        </w:rPr>
        <w:t xml:space="preserve"> </w:t>
      </w:r>
      <w:r>
        <w:rPr>
          <w:b/>
          <w:bCs/>
        </w:rPr>
        <w:t xml:space="preserve">“Pourquoi chaque site physique d’une organisation multi-sites devrait-il généralement correspondre à un site Active Directory distinct ?”</w:t>
      </w:r>
      <w:r>
        <w:t xml:space="preserve"> </w:t>
      </w:r>
      <w:r>
        <w:t xml:space="preserve">Réponse attendue : pour optimiser le trafic de réplication et d’authentification à travers les liens WAN, et pour permettre à un contrôleur de domaine local de continuer à authentifier les utilisateurs de ce site même en cas de coupure temporaire du lien vers les autres sites.</w:t>
      </w:r>
    </w:p>
    <w:p>
      <w:pPr>
        <w:pStyle w:val="BodyText"/>
      </w:pPr>
      <w:r>
        <w:rPr>
          <w:b/>
          <w:bCs/>
        </w:rPr>
        <w:t xml:space="preserve">Q2.</w:t>
      </w:r>
      <w:r>
        <w:rPr>
          <w:b/>
          <w:bCs/>
        </w:rPr>
        <w:t xml:space="preserve"> </w:t>
      </w:r>
      <w:r>
        <w:rPr>
          <w:b/>
          <w:bCs/>
        </w:rPr>
        <w:t xml:space="preserve">“Pourquoi ne pas imposer le même choix de virtualisation sur l’ensemble des sites d’une organisation ?”</w:t>
      </w:r>
      <w:r>
        <w:t xml:space="preserve"> </w:t>
      </w:r>
      <w:r>
        <w:t xml:space="preserve">Réponse attendue : le bon choix technique dépend du contexte de chaque site (taille, criticité, budget) — un choix uniforme risque soit de sur-investir dans des sites modestes, soit de sous-équiper des sites critiques, contrairement à une approche proportionnée au contexte réel de chacun.</w:t>
      </w:r>
    </w:p>
    <w:p>
      <w:pPr>
        <w:pStyle w:val="BodyText"/>
      </w:pPr>
      <w:r>
        <w:rPr>
          <w:b/>
          <w:bCs/>
        </w:rPr>
        <w:t xml:space="preserve">Q3.</w:t>
      </w:r>
      <w:r>
        <w:rPr>
          <w:b/>
          <w:bCs/>
        </w:rPr>
        <w:t xml:space="preserve"> </w:t>
      </w:r>
      <w:r>
        <w:rPr>
          <w:b/>
          <w:bCs/>
        </w:rPr>
        <w:t xml:space="preserve">“Pourquoi est-il important de vérifier explicitement chaque exigence du cahier des charges par rapport à l’architecture conçue, plutôt que de supposer qu’elle est nécessairement couverte ?”</w:t>
      </w:r>
      <w:r>
        <w:t xml:space="preserve"> </w:t>
      </w:r>
      <w:r>
        <w:t xml:space="preserve">Réponse attendue : une architecture techniquement séduisante peut néanmoins laisser des lacunes non couvertes par rapport aux exigences réelles ; une vérification explicite révèle ces lacunes avant la mise en œuvre, à un stade où leur correction reste significativement moins coûteuse.</w:t>
      </w:r>
    </w:p>
    <w:bookmarkEnd w:id="1976"/>
    <w:bookmarkStart w:id="1977" w:name="X2a518a4975f86dc2ff2a30713f0c1e4f2dac99d"/>
    <w:p>
      <w:pPr>
        <w:pStyle w:val="Heading2"/>
      </w:pPr>
      <w:r>
        <w:t xml:space="preserve">Optimisation, sécurité et maintenabilité — les réflexes dès ce chapitre</w:t>
      </w:r>
    </w:p>
    <w:p>
      <w:pPr>
        <w:pStyle w:val="FirstParagraph"/>
      </w:pPr>
      <w:r>
        <w:t xml:space="preserve">🔒 Sécurité</w:t>
      </w:r>
      <w:r>
        <w:t xml:space="preserve"> </w:t>
      </w:r>
      <w:r>
        <w:t xml:space="preserve">Intègre les principes de segmentation réseau et de moindre privilège déjà établis (chapitres 70 et 22-25) dès la conception de l’architecture pour le nouveau site, plutôt que de les ajouter après coup à une architecture déjà figée.</w:t>
      </w:r>
    </w:p>
    <w:p>
      <w:pPr>
        <w:pStyle w:val="BodyText"/>
      </w:pPr>
      <w:r>
        <w:t xml:space="preserve">✅ Maintenabilité</w:t>
      </w:r>
      <w:r>
        <w:t xml:space="preserve"> </w:t>
      </w:r>
      <w:r>
        <w:t xml:space="preserve">Documente explicitement la justification de chaque choix d’architecture par rapport au contexte du site concerné et à l’exigence du cahier des charges qu’il satisfait, facilitant toute révision future de l’architecture.</w:t>
      </w:r>
    </w:p>
    <w:p>
      <w:pPr>
        <w:pStyle w:val="BodyText"/>
      </w:pPr>
      <w:r>
        <w:t xml:space="preserve">🚀 Performance</w:t>
      </w:r>
      <w:r>
        <w:t xml:space="preserve"> </w:t>
      </w:r>
      <w:r>
        <w:t xml:space="preserve">Calibre l’intervalle de réplication Active Directory et le dimensionnement des liens réseau selon la criticité réelle de chaque site, évitant un sur-investissement sur des sites modestes ou un sous-dimensionnement sur des sites critiques.</w:t>
      </w:r>
    </w:p>
    <w:bookmarkEnd w:id="1977"/>
    <w:bookmarkStart w:id="1978" w:name="résumé-du-chapitre-80"/>
    <w:p>
      <w:pPr>
        <w:pStyle w:val="Heading2"/>
      </w:pPr>
      <w:r>
        <w:t xml:space="preserve">Résumé du chapitre</w:t>
      </w:r>
    </w:p>
    <w:p>
      <w:pPr>
        <w:pStyle w:val="Compact"/>
        <w:numPr>
          <w:ilvl w:val="0"/>
          <w:numId w:val="2864"/>
        </w:numPr>
      </w:pPr>
      <w:r>
        <w:t xml:space="preserve">Chaque choix d’architecture doit se justifier explicitement par rapport à une exigence précise du cahier des charges du chapitre 80.</w:t>
      </w:r>
    </w:p>
    <w:p>
      <w:pPr>
        <w:pStyle w:val="Compact"/>
        <w:numPr>
          <w:ilvl w:val="0"/>
          <w:numId w:val="2864"/>
        </w:numPr>
      </w:pPr>
      <w:r>
        <w:t xml:space="preserve">Chaque site physique correspond généralement à un site Active Directory distinct, avec un contrôleur de domaine local proportionné à sa taille et sa criticité.</w:t>
      </w:r>
    </w:p>
    <w:p>
      <w:pPr>
        <w:pStyle w:val="Compact"/>
        <w:numPr>
          <w:ilvl w:val="0"/>
          <w:numId w:val="2864"/>
        </w:numPr>
      </w:pPr>
      <w:r>
        <w:t xml:space="preserve">Le nouveau site modeste s’appuie sur une authentification distante via VPN plutôt qu’un contrôleur de domaine local, suivant le même raisonnement pragmatique déjà établi au chapitre 67.</w:t>
      </w:r>
    </w:p>
    <w:p>
      <w:pPr>
        <w:pStyle w:val="Compact"/>
        <w:numPr>
          <w:ilvl w:val="0"/>
          <w:numId w:val="2864"/>
        </w:numPr>
      </w:pPr>
      <w:r>
        <w:t xml:space="preserve">L’architecture réseau combine des liens redondants OSPF pour les sites critiques et un VPN simple pour les sites plus modestes.</w:t>
      </w:r>
    </w:p>
    <w:p>
      <w:pPr>
        <w:pStyle w:val="Compact"/>
        <w:numPr>
          <w:ilvl w:val="0"/>
          <w:numId w:val="2864"/>
        </w:numPr>
      </w:pPr>
      <w:r>
        <w:t xml:space="preserve">Le choix de virtualisation est déterminé site par site, selon le contexte réel de chacun, plutôt qu’imposé uniformément.</w:t>
      </w:r>
    </w:p>
    <w:p>
      <w:pPr>
        <w:pStyle w:val="Compact"/>
        <w:numPr>
          <w:ilvl w:val="0"/>
          <w:numId w:val="2864"/>
        </w:numPr>
      </w:pPr>
      <w:r>
        <w:t xml:space="preserve">Chaque exigence du cahier des charges doit être explicitement vérifiée par rapport à l’architecture finale avant de la considérer comme validée.</w:t>
      </w:r>
    </w:p>
    <w:bookmarkEnd w:id="1978"/>
    <w:bookmarkStart w:id="1979" w:name="quiz-80"/>
    <w:p>
      <w:pPr>
        <w:pStyle w:val="Heading2"/>
      </w:pPr>
      <w:r>
        <w:t xml:space="preserve">Quiz</w:t>
      </w:r>
    </w:p>
    <w:p>
      <w:pPr>
        <w:pStyle w:val="FirstParagraph"/>
      </w:pPr>
      <w:r>
        <w:t xml:space="preserve">📝 QCM (une seule bonne réponse par question)</w:t>
      </w:r>
    </w:p>
    <w:p>
      <w:pPr>
        <w:pStyle w:val="Compact"/>
        <w:numPr>
          <w:ilvl w:val="0"/>
          <w:numId w:val="2865"/>
        </w:numPr>
      </w:pPr>
      <w:r>
        <w:t xml:space="preserve">Chaque site physique d’une organisation multi-sites devrait généralement correspondre à :</w:t>
      </w:r>
    </w:p>
    <w:p>
      <w:pPr>
        <w:pStyle w:val="Compact"/>
        <w:numPr>
          <w:ilvl w:val="1"/>
          <w:numId w:val="2866"/>
        </w:numPr>
      </w:pPr>
    </w:p>
    <w:p>
      <w:pPr>
        <w:pStyle w:val="Compact"/>
        <w:numPr>
          <w:ilvl w:val="2"/>
          <w:numId w:val="2867"/>
        </w:numPr>
      </w:pPr>
      <w:r>
        <w:t xml:space="preserve">Un seul site Active Directory unique pour toute l’organisation</w:t>
      </w:r>
    </w:p>
    <w:p>
      <w:pPr>
        <w:pStyle w:val="Compact"/>
        <w:numPr>
          <w:ilvl w:val="1"/>
          <w:numId w:val="2866"/>
        </w:numPr>
      </w:pPr>
    </w:p>
    <w:p>
      <w:pPr>
        <w:pStyle w:val="Compact"/>
        <w:numPr>
          <w:ilvl w:val="2"/>
          <w:numId w:val="2868"/>
        </w:numPr>
      </w:pPr>
      <w:r>
        <w:t xml:space="preserve">Un site Active Directory distinct, avec son sous-réseau associé</w:t>
      </w:r>
    </w:p>
    <w:p>
      <w:pPr>
        <w:pStyle w:val="Compact"/>
        <w:numPr>
          <w:ilvl w:val="1"/>
          <w:numId w:val="2866"/>
        </w:numPr>
      </w:pPr>
    </w:p>
    <w:p>
      <w:pPr>
        <w:pStyle w:val="Compact"/>
        <w:numPr>
          <w:ilvl w:val="2"/>
          <w:numId w:val="2869"/>
        </w:numPr>
      </w:pPr>
      <w:r>
        <w:t xml:space="preserve">Aucun site Active Directory, uniquement des groupes de sécurité</w:t>
      </w:r>
    </w:p>
    <w:p>
      <w:pPr>
        <w:pStyle w:val="Compact"/>
        <w:numPr>
          <w:ilvl w:val="1"/>
          <w:numId w:val="2866"/>
        </w:numPr>
      </w:pPr>
    </w:p>
    <w:p>
      <w:pPr>
        <w:pStyle w:val="Compact"/>
        <w:numPr>
          <w:ilvl w:val="2"/>
          <w:numId w:val="2870"/>
        </w:numPr>
      </w:pPr>
      <w:r>
        <w:t xml:space="preserve">Une forêt Active Directory entièrement séparée</w:t>
      </w:r>
    </w:p>
    <w:p>
      <w:pPr>
        <w:pStyle w:val="Compact"/>
        <w:numPr>
          <w:ilvl w:val="0"/>
          <w:numId w:val="2865"/>
        </w:numPr>
      </w:pPr>
      <w:r>
        <w:t xml:space="preserve">Le choix de virtualisation pour chaque site devrait être déterminé par :</w:t>
      </w:r>
    </w:p>
    <w:p>
      <w:pPr>
        <w:pStyle w:val="Compact"/>
        <w:numPr>
          <w:ilvl w:val="1"/>
          <w:numId w:val="2871"/>
        </w:numPr>
      </w:pPr>
    </w:p>
    <w:p>
      <w:pPr>
        <w:pStyle w:val="Compact"/>
        <w:numPr>
          <w:ilvl w:val="2"/>
          <w:numId w:val="2872"/>
        </w:numPr>
      </w:pPr>
      <w:r>
        <w:t xml:space="preserve">Une préférence uniforme imposée sur l’ensemble de l’organisation</w:t>
      </w:r>
    </w:p>
    <w:p>
      <w:pPr>
        <w:pStyle w:val="Compact"/>
        <w:numPr>
          <w:ilvl w:val="1"/>
          <w:numId w:val="2871"/>
        </w:numPr>
      </w:pPr>
    </w:p>
    <w:p>
      <w:pPr>
        <w:pStyle w:val="Compact"/>
        <w:numPr>
          <w:ilvl w:val="2"/>
          <w:numId w:val="2873"/>
        </w:numPr>
      </w:pPr>
      <w:r>
        <w:t xml:space="preserve">Le contexte spécifique de chaque site (taille, criticité, budget)</w:t>
      </w:r>
    </w:p>
    <w:p>
      <w:pPr>
        <w:pStyle w:val="Compact"/>
        <w:numPr>
          <w:ilvl w:val="1"/>
          <w:numId w:val="2871"/>
        </w:numPr>
      </w:pPr>
    </w:p>
    <w:p>
      <w:pPr>
        <w:pStyle w:val="Compact"/>
        <w:numPr>
          <w:ilvl w:val="2"/>
          <w:numId w:val="2874"/>
        </w:numPr>
      </w:pPr>
      <w:r>
        <w:t xml:space="preserve">Uniquement le prix le plus bas disponible</w:t>
      </w:r>
    </w:p>
    <w:p>
      <w:pPr>
        <w:pStyle w:val="Compact"/>
        <w:numPr>
          <w:ilvl w:val="1"/>
          <w:numId w:val="2871"/>
        </w:numPr>
      </w:pPr>
    </w:p>
    <w:p>
      <w:pPr>
        <w:pStyle w:val="Compact"/>
        <w:numPr>
          <w:ilvl w:val="2"/>
          <w:numId w:val="2875"/>
        </w:numPr>
      </w:pPr>
      <w:r>
        <w:t xml:space="preserve">La technologie la plus récente disponible sur le marché</w:t>
      </w:r>
    </w:p>
    <w:p>
      <w:pPr>
        <w:pStyle w:val="Compact"/>
        <w:numPr>
          <w:ilvl w:val="0"/>
          <w:numId w:val="2865"/>
        </w:numPr>
      </w:pPr>
      <w:r>
        <w:t xml:space="preserve">Une latence de réplication Active Directory élevée malgré une bonne bande passante indique généralement :</w:t>
      </w:r>
    </w:p>
    <w:p>
      <w:pPr>
        <w:pStyle w:val="Compact"/>
        <w:numPr>
          <w:ilvl w:val="1"/>
          <w:numId w:val="2876"/>
        </w:numPr>
      </w:pPr>
    </w:p>
    <w:p>
      <w:pPr>
        <w:pStyle w:val="Compact"/>
        <w:numPr>
          <w:ilvl w:val="2"/>
          <w:numId w:val="2877"/>
        </w:numPr>
      </w:pPr>
      <w:r>
        <w:t xml:space="preserve">Un problème matériel du lien réseau lui-même</w:t>
      </w:r>
    </w:p>
    <w:p>
      <w:pPr>
        <w:pStyle w:val="Compact"/>
        <w:numPr>
          <w:ilvl w:val="1"/>
          <w:numId w:val="2876"/>
        </w:numPr>
      </w:pPr>
    </w:p>
    <w:p>
      <w:pPr>
        <w:pStyle w:val="Compact"/>
        <w:numPr>
          <w:ilvl w:val="2"/>
          <w:numId w:val="2878"/>
        </w:numPr>
      </w:pPr>
      <w:r>
        <w:t xml:space="preserve">Une configuration incorrecte des sites Active Directory</w:t>
      </w:r>
    </w:p>
    <w:p>
      <w:pPr>
        <w:pStyle w:val="Compact"/>
        <w:numPr>
          <w:ilvl w:val="1"/>
          <w:numId w:val="2876"/>
        </w:numPr>
      </w:pPr>
    </w:p>
    <w:p>
      <w:pPr>
        <w:pStyle w:val="Compact"/>
        <w:numPr>
          <w:ilvl w:val="2"/>
          <w:numId w:val="2879"/>
        </w:numPr>
      </w:pPr>
      <w:r>
        <w:t xml:space="preserve">L’absence de VPN site à site</w:t>
      </w:r>
    </w:p>
    <w:p>
      <w:pPr>
        <w:pStyle w:val="Compact"/>
        <w:numPr>
          <w:ilvl w:val="1"/>
          <w:numId w:val="2876"/>
        </w:numPr>
      </w:pPr>
    </w:p>
    <w:p>
      <w:pPr>
        <w:pStyle w:val="Compact"/>
        <w:numPr>
          <w:ilvl w:val="2"/>
          <w:numId w:val="2880"/>
        </w:numPr>
      </w:pPr>
      <w:r>
        <w:t xml:space="preserve">Un problème de virtualisation</w:t>
      </w:r>
    </w:p>
    <w:p>
      <w:pPr>
        <w:pStyle w:val="FirstParagraph"/>
      </w:pPr>
      <w:r>
        <w:rPr>
          <w:b/>
          <w:bCs/>
        </w:rPr>
        <w:t xml:space="preserve">Corrigé</w:t>
      </w:r>
      <w:r>
        <w:t xml:space="preserve"> </w:t>
      </w:r>
      <w:r>
        <w:t xml:space="preserve">: 1-b, 2-b, 3-b.</w:t>
      </w:r>
    </w:p>
    <w:p>
      <w:pPr>
        <w:pStyle w:val="BodyText"/>
      </w:pPr>
      <w:r>
        <w:t xml:space="preserve">📝 Vrai ou Faux</w:t>
      </w:r>
    </w:p>
    <w:p>
      <w:pPr>
        <w:pStyle w:val="Compact"/>
        <w:numPr>
          <w:ilvl w:val="0"/>
          <w:numId w:val="2881"/>
        </w:numPr>
      </w:pPr>
      <w:r>
        <w:t xml:space="preserve">Chaque choix d’architecture devrait se justifier explicitement par rapport à une exigence du cahier des charges. —</w:t>
      </w:r>
      <w:r>
        <w:t xml:space="preserve"> </w:t>
      </w:r>
      <w:r>
        <w:rPr>
          <w:b/>
          <w:bCs/>
        </w:rPr>
        <w:t xml:space="preserve">Vrai</w:t>
      </w:r>
      <w:r>
        <w:t xml:space="preserve"> </w:t>
      </w:r>
      <w:r>
        <w:t xml:space="preserve">(section 81.1).</w:t>
      </w:r>
    </w:p>
    <w:p>
      <w:pPr>
        <w:pStyle w:val="Compact"/>
        <w:numPr>
          <w:ilvl w:val="0"/>
          <w:numId w:val="2881"/>
        </w:numPr>
      </w:pPr>
      <w:r>
        <w:t xml:space="preserve">Un site de vingt employés justifie systématiquement l’installation d’un contrôleur de domaine local. —</w:t>
      </w:r>
      <w:r>
        <w:t xml:space="preserve"> </w:t>
      </w:r>
      <w:r>
        <w:rPr>
          <w:b/>
          <w:bCs/>
        </w:rPr>
        <w:t xml:space="preserve">Faux</w:t>
      </w:r>
      <w:r>
        <w:t xml:space="preserve"> </w:t>
      </w:r>
      <w:r>
        <w:t xml:space="preserve">(section 81.3).</w:t>
      </w:r>
    </w:p>
    <w:p>
      <w:pPr>
        <w:pStyle w:val="Compact"/>
        <w:numPr>
          <w:ilvl w:val="0"/>
          <w:numId w:val="2881"/>
        </w:numPr>
      </w:pPr>
      <w:r>
        <w:t xml:space="preserve">Un même choix de virtualisation imposé uniformément à tous les sites constitue toujours la meilleure approche. —</w:t>
      </w:r>
      <w:r>
        <w:t xml:space="preserve"> </w:t>
      </w:r>
      <w:r>
        <w:rPr>
          <w:b/>
          <w:bCs/>
        </w:rPr>
        <w:t xml:space="preserve">Faux</w:t>
      </w:r>
      <w:r>
        <w:t xml:space="preserve"> </w:t>
      </w:r>
      <w:r>
        <w:t xml:space="preserve">(section</w:t>
      </w:r>
      <w:r>
        <w:t xml:space="preserve"> </w:t>
      </w:r>
      <w:r>
        <w:t xml:space="preserve">“Erreur n°3”</w:t>
      </w:r>
      <w:r>
        <w:t xml:space="preserve">).</w:t>
      </w:r>
    </w:p>
    <w:p>
      <w:pPr>
        <w:pStyle w:val="Compact"/>
        <w:numPr>
          <w:ilvl w:val="0"/>
          <w:numId w:val="2881"/>
        </w:numPr>
      </w:pPr>
      <w:r>
        <w:t xml:space="preserve">L’architecture devrait être vérifiée explicitement par rapport au cahier des charges avant d’être considérée comme validée. —</w:t>
      </w:r>
      <w:r>
        <w:t xml:space="preserve"> </w:t>
      </w:r>
      <w:r>
        <w:rPr>
          <w:b/>
          <w:bCs/>
        </w:rPr>
        <w:t xml:space="preserve">Vrai</w:t>
      </w:r>
      <w:r>
        <w:t xml:space="preserve"> </w:t>
      </w:r>
      <w:r>
        <w:t xml:space="preserve">(section 81.7).</w:t>
      </w:r>
    </w:p>
    <w:p>
      <w:pPr>
        <w:pStyle w:val="FirstParagraph"/>
      </w:pPr>
      <w:r>
        <w:t xml:space="preserve">📝 Questions ouvertes</w:t>
      </w:r>
    </w:p>
    <w:p>
      <w:pPr>
        <w:pStyle w:val="Compact"/>
        <w:numPr>
          <w:ilvl w:val="0"/>
          <w:numId w:val="2882"/>
        </w:numPr>
      </w:pPr>
      <w:r>
        <w:t xml:space="preserve">Explique pourquoi le raisonnement appliqué au choix de Mikrotik pour le bureau satellite au chapitre 67 s’applique également à la décision de ne pas installer de contrôleur de domaine local sur le nouveau site.</w:t>
      </w:r>
    </w:p>
    <w:p>
      <w:pPr>
        <w:pStyle w:val="Compact"/>
        <w:numPr>
          <w:ilvl w:val="0"/>
          <w:numId w:val="2882"/>
        </w:numPr>
      </w:pPr>
      <w:r>
        <w:t xml:space="preserve">Un collègue propose d’installer VMware vSphere sur l’ensemble des quatre sites,</w:t>
      </w:r>
      <w:r>
        <w:t xml:space="preserve"> </w:t>
      </w:r>
      <w:r>
        <w:t xml:space="preserve">“pour une cohérence technologique maximale et une seule compétence à maintenir dans l’équipe”</w:t>
      </w:r>
      <w:r>
        <w:t xml:space="preserve">. Discute les avantages et les limites de cette proposition.</w:t>
      </w:r>
    </w:p>
    <w:p>
      <w:pPr>
        <w:pStyle w:val="FirstParagraph"/>
      </w:pPr>
      <w:r>
        <w:rPr>
          <w:b/>
          <w:bCs/>
        </w:rPr>
        <w:t xml:space="preserve">Corrigé 1</w:t>
      </w:r>
      <w:r>
        <w:t xml:space="preserve"> </w:t>
      </w:r>
      <w:r>
        <w:t xml:space="preserve">: le raisonnement du chapitre 67 établissait que le bon choix technique dépend du contexte réel (taille, budget, besoin fonctionnel) plutôt que d’une hiérarchie absolue de sophistication technique — un choix modeste et pragmatique peut parfaitement convenir à un contexte modeste, sans que cela ne représente une solution de moindre qualité. La même logique s’applique à la décision Active Directory du nouveau site : avec seulement vingt employés et un lien VPN suffisamment fiable vers le siège, l’investissement et la complexité de maintenance d’un contrôleur de domaine local supplémentaire ne se justifient pas par rapport au bénéfice réel apporté, exactement le même arbitrage contexte-dépendant déjà appliqué au choix du routeur pour ce même type de site modeste.</w:t>
      </w:r>
    </w:p>
    <w:p>
      <w:pPr>
        <w:pStyle w:val="BodyText"/>
      </w:pPr>
      <w:r>
        <w:rPr>
          <w:b/>
          <w:bCs/>
        </w:rPr>
        <w:t xml:space="preserve">Corrigé 2</w:t>
      </w:r>
      <w:r>
        <w:t xml:space="preserve"> </w:t>
      </w:r>
      <w:r>
        <w:t xml:space="preserve">: une cohérence technologique maximale présente effectivement l’avantage réel de simplifier la formation et la maintenance pour une équipe technique restreinte, réduisant la nécessité de maîtriser plusieurs plateformes de virtualisation différentes. Cependant, cette proposition ignore le principe déjà établi à plusieurs reprises dans ce manuel : le bon outil dépend du contexte de chaque site, pas d’une préférence pour l’uniformité en soi. Imposer VMware vSphere, une solution de virtualisation d’entreprise complète et coûteuse, sur le nouveau site de vingt employés représenterait un investissement disproportionné par rapport au besoin réel de ce site modeste — un compromis comme Proxmox VE, voire l’absence de virtualisation locale (section 81.5), resterait plus proportionné à ce contexte spécifique, même au prix d’une légère perte de cohérence technologique globale.</w:t>
      </w:r>
    </w:p>
    <w:bookmarkEnd w:id="1979"/>
    <w:bookmarkStart w:id="1980" w:name="exercices-80"/>
    <w:p>
      <w:pPr>
        <w:pStyle w:val="Heading2"/>
      </w:pPr>
      <w:r>
        <w:t xml:space="preserve">Exercices</w:t>
      </w:r>
    </w:p>
    <w:p>
      <w:pPr>
        <w:pStyle w:val="FirstParagraph"/>
      </w:pPr>
      <w:r>
        <w:t xml:space="preserve">📝 Exercice 81.1</w:t>
      </w:r>
    </w:p>
    <w:p>
      <w:pPr>
        <w:pStyle w:val="BodyText"/>
      </w:pPr>
      <w:r>
        <w:t xml:space="preserve">Décris, pour chacun des quatre sites de l’entreprise, le choix de virtualisation retenu et sa justification, en t’appuyant sur les principes de la section 81.5.</w:t>
      </w:r>
    </w:p>
    <w:p>
      <w:pPr>
        <w:pStyle w:val="BodyText"/>
      </w:pPr>
      <w:r>
        <w:rPr>
          <w:b/>
          <w:bCs/>
        </w:rPr>
        <w:t xml:space="preserve">Corrigé :</w:t>
      </w:r>
      <w:r>
        <w:t xml:space="preserve"> </w:t>
      </w:r>
      <w:r>
        <w:t xml:space="preserve">Le siège (Port-au-Prince), hébergeant les services les plus critiques dont le portail client à haute disponibilité, justifie une solution de virtualisation d’entreprise complète avec clustering haute disponibilité (VMware vSphere ou Hyper-V, chapitres 34-35), garantissant la continuité de service même en cas de panne d’un hôte physique. L’agence de Cap-Haïtien, de taille intermédiaire avec des besoins réels mais moins critiques que le siège, s’appuie sur Proxmox VE (chapitre 36), un compromis pragmatique déjà éprouvé dans ce manuel entre fonctionnalité et coût de licence. Le bureau satellite, déjà équipé de Mikrotik pour son routage (chapitre 67), pourrait continuer sur une solution de virtualisation légère si un besoin local existe, ou s’appuyer également sur les services centralisés selon l’évolution de son activité. Le nouveau site, le plus modeste avec vingt employés, ne justifie probablement aucune virtualisation locale dans un premier temps, s’appuyant entièrement sur les services centralisés du siège via le VPN — une décision à réévaluer si l’activité de ce site venait à croître significativement.</w:t>
      </w:r>
    </w:p>
    <w:p>
      <w:pPr>
        <w:pStyle w:val="BodyText"/>
      </w:pPr>
      <w:r>
        <w:t xml:space="preserve">📝 Exercice 81.2</w:t>
      </w:r>
    </w:p>
    <w:p>
      <w:pPr>
        <w:pStyle w:val="BodyText"/>
      </w:pPr>
      <w:r>
        <w:t xml:space="preserve">Rédige, en 3 à 5 phrases, une règle d’équipe garantissant que toute architecture proposée est explicitement confrontée au cahier des charges avant sa validation définitive, en t’appuyant sur le risque décrit à la section</w:t>
      </w:r>
      <w:r>
        <w:t xml:space="preserve"> </w:t>
      </w:r>
      <w:r>
        <w:t xml:space="preserve">“Erreur n°1”</w:t>
      </w:r>
      <w:r>
        <w:t xml:space="preserve">.</w:t>
      </w:r>
    </w:p>
    <w:p>
      <w:pPr>
        <w:pStyle w:val="BodyText"/>
      </w:pPr>
      <w:r>
        <w:rPr>
          <w:b/>
          <w:bCs/>
        </w:rPr>
        <w:t xml:space="preserve">Corrigé (exemple de réponse) :</w:t>
      </w:r>
      <w:r>
        <w:t xml:space="preserve"> </w:t>
      </w:r>
      <w:r>
        <w:t xml:space="preserve">Toute proposition d’architecture technique devra être accompagnée d’un tableau de correspondance explicite, associant chaque exigence du cahier des charges à l’élément d’architecture qui la satisfait, avant sa présentation pour validation. Toute exigence sans correspondance claire dans ce tableau sera considérée comme une lacune à résoudre avant l’approbation définitive de l’architecture, plutôt qu’une omission découverte après le début de la mise en œuvre. Cette vérification systématique sera intégrée au processus de revue de changement déjà établi au chapitre 2, garantissant qu’aucune architecture n’est validée sur la seule base de sa qualité technique perçue, sans confrontation rigoureuse au besoin réel qu’elle est censée satisfaire.</w:t>
      </w:r>
    </w:p>
    <w:bookmarkEnd w:id="1980"/>
    <w:bookmarkStart w:id="1981" w:name="checklist-de-fin-de-chapitre-80"/>
    <w:p>
      <w:pPr>
        <w:pStyle w:val="Heading2"/>
      </w:pPr>
      <w:r>
        <w:t xml:space="preserve">Checklist de fin de chapitre</w:t>
      </w:r>
    </w:p>
    <w:p>
      <w:pPr>
        <w:pStyle w:val="FirstParagraph"/>
      </w:pPr>
      <w:r>
        <w:t xml:space="preserve">☐ Je sais concevoir une topologie de sites Active Directory pour un environnement multi-sites.</w:t>
      </w:r>
    </w:p>
    <w:p>
      <w:pPr>
        <w:pStyle w:val="BodyText"/>
      </w:pPr>
      <w:r>
        <w:t xml:space="preserve">☐ Je comprends comment adapter le besoin d’un contrôleur de domaine local au contexte de chaque site.</w:t>
      </w:r>
    </w:p>
    <w:p>
      <w:pPr>
        <w:pStyle w:val="BodyText"/>
      </w:pPr>
      <w:r>
        <w:t xml:space="preserve">☐ Je sais concevoir une architecture réseau combinant liens redondants et VPN simples selon la criticité de chaque site.</w:t>
      </w:r>
    </w:p>
    <w:p>
      <w:pPr>
        <w:pStyle w:val="BodyText"/>
      </w:pPr>
      <w:r>
        <w:t xml:space="preserve">☐ Je sais justifier un choix de virtualisation différent selon le contexte de chaque site.</w:t>
      </w:r>
    </w:p>
    <w:p>
      <w:pPr>
        <w:pStyle w:val="BodyText"/>
      </w:pPr>
      <w:r>
        <w:t xml:space="preserve">☐ Je sais assembler une vue d’architecture globale cohérente et documentée.</w:t>
      </w:r>
    </w:p>
    <w:p>
      <w:pPr>
        <w:pStyle w:val="BodyText"/>
      </w:pPr>
      <w:r>
        <w:t xml:space="preserve">☐ Je sais vérifier explicitement une architecture par rapport aux exigences d’un cahier des charges.</w:t>
      </w:r>
    </w:p>
    <w:bookmarkEnd w:id="1981"/>
    <w:bookmarkStart w:id="1982" w:name="faq-80"/>
    <w:p>
      <w:pPr>
        <w:pStyle w:val="Heading2"/>
      </w:pPr>
      <w:r>
        <w:t xml:space="preserve">FAQ</w:t>
      </w:r>
    </w:p>
    <w:p>
      <w:pPr>
        <w:pStyle w:val="FirstParagraph"/>
      </w:pPr>
      <w:r>
        <w:t xml:space="preserve">Faut-il concevoir l’architecture complète avant tout déploiement, ou peut-on procéder par itérations ?</w:t>
      </w:r>
    </w:p>
    <w:p>
      <w:pPr>
        <w:pStyle w:val="BodyText"/>
      </w:pPr>
      <w:r>
        <w:t xml:space="preserve">Une vision d’architecture globale cohérente reste nécessaire dès le départ, mais sa mise en œuvre peut tout à fait procéder par phases successives (comme les chapitres 82 à 86 le montreront), plutôt que d’exiger un déploiement simultané de l’ensemble de l’infrastructure.</w:t>
      </w:r>
    </w:p>
    <w:p>
      <w:pPr>
        <w:pStyle w:val="BodyText"/>
      </w:pPr>
      <w:r>
        <w:t xml:space="preserve">Que faire si deux exigences du cahier des charges semblent entrer en conflit lors de la conception de l’architecture ?</w:t>
      </w:r>
    </w:p>
    <w:p>
      <w:pPr>
        <w:pStyle w:val="BodyText"/>
      </w:pPr>
      <w:r>
        <w:t xml:space="preserve">Un arbitrage explicite, documenté et si possible validé par les parties prenantes concernées, reste nécessaire — un conflit d’exigences non résolu et laissé implicite dans l’architecture se traduira généralement par une déception ultérieure pour l’une des deux exigences non pleinement satisfaites.</w:t>
      </w:r>
    </w:p>
    <w:p>
      <w:pPr>
        <w:pStyle w:val="BodyText"/>
      </w:pPr>
      <w:r>
        <w:t xml:space="preserve">L’architecture conçue dans ce chapitre est-elle définitive pour le reste du projet ?</w:t>
      </w:r>
    </w:p>
    <w:p>
      <w:pPr>
        <w:pStyle w:val="BodyText"/>
      </w:pPr>
      <w:r>
        <w:t xml:space="preserve">Elle sert de référence pour les chapitres suivants, mais reste susceptible d’ajustements mineurs à mesure que la mise en œuvre révèle des contraintes pratiques non anticipées — l’important reste que tout ajustement soit documenté et reste cohérent avec le cahier des charges du chapitre 80.</w:t>
      </w:r>
    </w:p>
    <w:p>
      <w:pPr>
        <w:pStyle w:val="BodyText"/>
      </w:pPr>
      <w:r>
        <w:t xml:space="preserve">Pourquoi ne pas avoir simplement répliqué l’architecture du siège sur l’ensemble des sites, par simplicité ?</w:t>
      </w:r>
    </w:p>
    <w:p>
      <w:pPr>
        <w:pStyle w:val="BodyText"/>
      </w:pPr>
      <w:r>
        <w:t xml:space="preserve">Une réplication uniforme ignorerait les différences réelles de taille, de criticité et de budget entre les sites, un choix déjà écarté à plusieurs reprises dans ce manuel au profit d’une approche proportionnée au contexte de chaque situation.</w:t>
      </w:r>
    </w:p>
    <w:bookmarkEnd w:id="1982"/>
    <w:bookmarkStart w:id="1984" w:name="références-et-pour-aller-plus-loin-80"/>
    <w:p>
      <w:pPr>
        <w:pStyle w:val="Heading2"/>
      </w:pPr>
      <w:r>
        <w:t xml:space="preserve">Références et pour aller plus loin</w:t>
      </w:r>
    </w:p>
    <w:p>
      <w:pPr>
        <w:pStyle w:val="Compact"/>
        <w:numPr>
          <w:ilvl w:val="0"/>
          <w:numId w:val="2883"/>
        </w:numPr>
      </w:pPr>
      <w:r>
        <w:t xml:space="preserve">Microsoft Learn — Concevoir une topologie de sites Active Directory : rappel des chapitres 5-6 de ce manuel.</w:t>
      </w:r>
    </w:p>
    <w:p>
      <w:pPr>
        <w:pStyle w:val="Compact"/>
        <w:numPr>
          <w:ilvl w:val="0"/>
          <w:numId w:val="2883"/>
        </w:numPr>
      </w:pPr>
      <w:r>
        <w:t xml:space="preserve">TOGAF — The Open Group Architecture Framework :</w:t>
      </w:r>
      <w:r>
        <w:t xml:space="preserve"> </w:t>
      </w:r>
      <w:hyperlink r:id="rId1983">
        <w:r>
          <w:rPr>
            <w:rStyle w:val="Hyperlink"/>
          </w:rPr>
          <w:t xml:space="preserve">https://www.opengroup.org/togaf</w:t>
        </w:r>
      </w:hyperlink>
    </w:p>
    <w:p>
      <w:pPr>
        <w:pStyle w:val="FirstParagraph"/>
      </w:pPr>
      <w:r>
        <w:rPr>
          <w:i/>
          <w:iCs/>
        </w:rPr>
        <w:t xml:space="preserve">Chapitre suivant : le déploiement des services Windows et Linux — mettre en œuvre concrètement l’architecture conçue dans ce chapitre sur l’ensemble des quatre sites de l’entreprise.</w:t>
      </w:r>
    </w:p>
    <w:p>
      <w:pPr>
        <w:pStyle w:val="BodyText"/>
      </w:pPr>
      <w:r>
        <w:t xml:space="preserve">CHAPITRE 82</w:t>
      </w:r>
    </w:p>
    <w:bookmarkEnd w:id="1984"/>
    <w:bookmarkEnd w:id="1985"/>
    <w:bookmarkStart w:id="2005" w:name="déploiement-des-services-windowslinux"/>
    <w:p>
      <w:pPr>
        <w:pStyle w:val="Heading1"/>
      </w:pPr>
      <w:r>
        <w:t xml:space="preserve">Déploiement des services Windows/Linux</w:t>
      </w:r>
    </w:p>
    <w:p>
      <w:pPr>
        <w:pStyle w:val="FirstParagraph"/>
      </w:pPr>
      <w:r>
        <w:t xml:space="preserve">🎯 Objectif du chapitre</w:t>
      </w:r>
      <w:r>
        <w:t xml:space="preserve"> </w:t>
      </w:r>
      <w:r>
        <w:t xml:space="preserve">Mettre en œuvre concrètement l’architecture conçue au chapitre 81 sur l’ensemble des quatre sites de l’entreprise, en s’appuyant sur l’automatisation déjà maîtrisée dans ce manuel plutôt que sur un déploiement manuel répété. À la fin de ce chapitre, tu sauras structurer un déploiement multi-sites avec Ansible, respecter l’ordre de dépendance entre services, intégrer le durcissement dès le déploiement, et valider automatiquement que chaque service fonctionne réellement une fois déployé.</w:t>
      </w:r>
    </w:p>
    <w:p>
      <w:pPr>
        <w:pStyle w:val="BodyText"/>
      </w:pPr>
      <w:r>
        <w:t xml:space="preserve">🎬 Mise en situation</w:t>
      </w:r>
      <w:r>
        <w:t xml:space="preserve"> </w:t>
      </w:r>
      <w:r>
        <w:t xml:space="preserve">Face à l’échéance serrée d’ouverture du nouveau site, un administrateur propose de déployer rapidement les services nécessaires manuellement,</w:t>
      </w:r>
      <w:r>
        <w:t xml:space="preserve"> </w:t>
      </w:r>
      <w:r>
        <w:t xml:space="preserve">“juste cette fois, pour respecter les délais”</w:t>
      </w:r>
      <w:r>
        <w:t xml:space="preserve">, en reportant l’intégration à l’automatisation existante à plus tard. Le DSI s’y oppose fermement :</w:t>
      </w:r>
      <w:r>
        <w:t xml:space="preserve"> </w:t>
      </w:r>
      <w:r>
        <w:t xml:space="preserve">“On a justement construit toute cette automatisation Ansible et Terraform pour ne plus jamais avoir à faire ça manuellement. Le nouveau site doit être déployé exactement de la même façon reproductible que les autres, sinon on recrée le même problème de configuration divergente qu’on a déjà résolu au chapitre 52.”</w:t>
      </w:r>
      <w:r>
        <w:t xml:space="preserve"> </w:t>
      </w:r>
      <w:r>
        <w:t xml:space="preserve">Ce chapitre déploie donc l’ensemble des services en s’appuyant systématiquement sur l’automatisation déjà en place.</w:t>
      </w:r>
    </w:p>
    <w:bookmarkStart w:id="1986" w:name="X3c7380157b8b813d4f7f87d3304db4db5ed9e23"/>
    <w:p>
      <w:pPr>
        <w:pStyle w:val="Heading2"/>
      </w:pPr>
      <w:r>
        <w:t xml:space="preserve">82.1 Le problème : déployer quatre sites sans répéter manuellement chaque étape</w:t>
      </w:r>
    </w:p>
    <w:p>
      <w:pPr>
        <w:pStyle w:val="FirstParagraph"/>
      </w:pPr>
      <w:r>
        <w:t xml:space="preserve">📌 À retenir — rappel direct du chapitre 52</w:t>
      </w:r>
      <w:r>
        <w:t xml:space="preserve"> </w:t>
      </w:r>
      <w:r>
        <w:t xml:space="preserve">Un déploiement manuel, même bien documenté, introduit inévitablement de petites divergences entre sites au fil du temps — exactement le même risque de dérive de configuration déjà dénoncé au chapitre 52 pour une administration manuelle multi-serveurs. Un déploiement automatisé garantit que chaque site, y compris le nouveau, reçoit une configuration strictement identique pour les mêmes types de services, éliminant cette source d’incohérence dès le départ.</w:t>
      </w:r>
    </w:p>
    <w:bookmarkEnd w:id="1986"/>
    <w:bookmarkStart w:id="1987" w:name="X2ba0f6a8779e7f723d4eb25958477172cbf18ca"/>
    <w:p>
      <w:pPr>
        <w:pStyle w:val="Heading2"/>
      </w:pPr>
      <w:r>
        <w:t xml:space="preserve">82.2 Playbooks Ansible pour un déploiement standardisé par rôle</w:t>
      </w:r>
    </w:p>
    <w:p>
      <w:pPr>
        <w:pStyle w:val="FirstParagraph"/>
      </w:pPr>
      <w:r>
        <w:t xml:space="preserve">💡 Rappel direct du chapitre 53</w:t>
      </w:r>
      <w:r>
        <w:t xml:space="preserve"> </w:t>
      </w:r>
      <w:r>
        <w:t xml:space="preserve">Les rôles Ansible déjà présentés au chapitre 53 structurent le déploiement de chaque type de service — un rôle</w:t>
      </w:r>
      <w:r>
        <w:t xml:space="preserve"> </w:t>
      </w:r>
      <w:r>
        <w:rPr>
          <w:rStyle w:val="VerbatimChar"/>
        </w:rPr>
        <w:t xml:space="preserve">controleur-domaine</w:t>
      </w:r>
      <w:r>
        <w:t xml:space="preserve">, un rôle</w:t>
      </w:r>
      <w:r>
        <w:t xml:space="preserve"> </w:t>
      </w:r>
      <w:r>
        <w:rPr>
          <w:rStyle w:val="VerbatimChar"/>
        </w:rPr>
        <w:t xml:space="preserve">serveur-dns</w:t>
      </w:r>
      <w:r>
        <w:t xml:space="preserve">, un rôle</w:t>
      </w:r>
      <w:r>
        <w:t xml:space="preserve"> </w:t>
      </w:r>
      <w:r>
        <w:rPr>
          <w:rStyle w:val="VerbatimChar"/>
        </w:rPr>
        <w:t xml:space="preserve">agent-supervision</w:t>
      </w:r>
      <w:r>
        <w:t xml:space="preserve"> </w:t>
      </w:r>
      <w:r>
        <w:t xml:space="preserve">— chacun réutilisable et appliqué de façon cohérente à tout serveur du type correspondant, quel que soit le site concerné.</w:t>
      </w:r>
    </w:p>
    <w:p>
      <w:pPr>
        <w:pStyle w:val="SourceCode"/>
      </w:pPr>
      <w:r>
        <w:rPr>
          <w:rStyle w:val="CommentTok"/>
        </w:rPr>
        <w:t xml:space="preserve"># site.yml - playbook principal de deploiement</w:t>
      </w:r>
      <w:r>
        <w:br/>
      </w:r>
      <w:r>
        <w:rPr>
          <w:rStyle w:val="KeywordTok"/>
        </w:rPr>
        <w:t xml:space="preserve">-</w:t>
      </w:r>
      <w:r>
        <w:rPr>
          <w:rStyle w:val="AttributeTok"/>
        </w:rPr>
        <w:t xml:space="preserve"> </w:t>
      </w:r>
      <w:r>
        <w:rPr>
          <w:rStyle w:val="FunctionTok"/>
        </w:rPr>
        <w:t xml:space="preserve">hosts</w:t>
      </w:r>
      <w:r>
        <w:rPr>
          <w:rStyle w:val="KeywordTok"/>
        </w:rPr>
        <w:t xml:space="preserve">:</w:t>
      </w:r>
      <w:r>
        <w:rPr>
          <w:rStyle w:val="AttributeTok"/>
        </w:rPr>
        <w:t xml:space="preserve"> controleurs_domaine</w:t>
      </w:r>
      <w:r>
        <w:br/>
      </w:r>
      <w:r>
        <w:rPr>
          <w:rStyle w:val="AttributeTok"/>
        </w:rPr>
        <w:t xml:space="preserve">  </w:t>
      </w:r>
      <w:r>
        <w:rPr>
          <w:rStyle w:val="FunctionTok"/>
        </w:rPr>
        <w:t xml:space="preserve">roles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role</w:t>
      </w:r>
      <w:r>
        <w:rPr>
          <w:rStyle w:val="KeywordTok"/>
        </w:rPr>
        <w:t xml:space="preserve">:</w:t>
      </w:r>
      <w:r>
        <w:rPr>
          <w:rStyle w:val="AttributeTok"/>
        </w:rPr>
        <w:t xml:space="preserve"> controleur-domaine</w:t>
      </w:r>
      <w:r>
        <w:br/>
      </w:r>
      <w:r>
        <w:rPr>
          <w:rStyle w:val="AttributeTok"/>
        </w:rPr>
        <w:t xml:space="preserve">    </w:t>
      </w:r>
      <w:r>
        <w:rPr>
          <w:rStyle w:val="KeywordTok"/>
        </w:rPr>
        <w:t xml:space="preserve">-</w:t>
      </w:r>
      <w:r>
        <w:rPr>
          <w:rStyle w:val="AttributeTok"/>
        </w:rPr>
        <w:t xml:space="preserve"> </w:t>
      </w:r>
      <w:r>
        <w:rPr>
          <w:rStyle w:val="FunctionTok"/>
        </w:rPr>
        <w:t xml:space="preserve">role</w:t>
      </w:r>
      <w:r>
        <w:rPr>
          <w:rStyle w:val="KeywordTok"/>
        </w:rPr>
        <w:t xml:space="preserve">:</w:t>
      </w:r>
      <w:r>
        <w:rPr>
          <w:rStyle w:val="AttributeTok"/>
        </w:rPr>
        <w:t xml:space="preserve"> durcissement-cis-windows</w:t>
      </w:r>
      <w:r>
        <w:br/>
      </w:r>
      <w:r>
        <w:br/>
      </w:r>
      <w:r>
        <w:rPr>
          <w:rStyle w:val="KeywordTok"/>
        </w:rPr>
        <w:t xml:space="preserve">-</w:t>
      </w:r>
      <w:r>
        <w:rPr>
          <w:rStyle w:val="AttributeTok"/>
        </w:rPr>
        <w:t xml:space="preserve"> </w:t>
      </w:r>
      <w:r>
        <w:rPr>
          <w:rStyle w:val="FunctionTok"/>
        </w:rPr>
        <w:t xml:space="preserve">hosts</w:t>
      </w:r>
      <w:r>
        <w:rPr>
          <w:rStyle w:val="KeywordTok"/>
        </w:rPr>
        <w:t xml:space="preserve">:</w:t>
      </w:r>
      <w:r>
        <w:rPr>
          <w:rStyle w:val="AttributeTok"/>
        </w:rPr>
        <w:t xml:space="preserve"> serveurs_linux</w:t>
      </w:r>
      <w:r>
        <w:br/>
      </w:r>
      <w:r>
        <w:rPr>
          <w:rStyle w:val="AttributeTok"/>
        </w:rPr>
        <w:t xml:space="preserve">  </w:t>
      </w:r>
      <w:r>
        <w:rPr>
          <w:rStyle w:val="FunctionTok"/>
        </w:rPr>
        <w:t xml:space="preserve">roles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role</w:t>
      </w:r>
      <w:r>
        <w:rPr>
          <w:rStyle w:val="KeywordTok"/>
        </w:rPr>
        <w:t xml:space="preserve">:</w:t>
      </w:r>
      <w:r>
        <w:rPr>
          <w:rStyle w:val="AttributeTok"/>
        </w:rPr>
        <w:t xml:space="preserve"> durcissement-cis-linux</w:t>
      </w:r>
      <w:r>
        <w:br/>
      </w:r>
      <w:r>
        <w:rPr>
          <w:rStyle w:val="AttributeTok"/>
        </w:rPr>
        <w:t xml:space="preserve">    </w:t>
      </w:r>
      <w:r>
        <w:rPr>
          <w:rStyle w:val="KeywordTok"/>
        </w:rPr>
        <w:t xml:space="preserve">-</w:t>
      </w:r>
      <w:r>
        <w:rPr>
          <w:rStyle w:val="AttributeTok"/>
        </w:rPr>
        <w:t xml:space="preserve"> </w:t>
      </w:r>
      <w:r>
        <w:rPr>
          <w:rStyle w:val="FunctionTok"/>
        </w:rPr>
        <w:t xml:space="preserve">role</w:t>
      </w:r>
      <w:r>
        <w:rPr>
          <w:rStyle w:val="KeywordTok"/>
        </w:rPr>
        <w:t xml:space="preserve">:</w:t>
      </w:r>
      <w:r>
        <w:rPr>
          <w:rStyle w:val="AttributeTok"/>
        </w:rPr>
        <w:t xml:space="preserve"> agent-supervision</w:t>
      </w:r>
      <w:r>
        <w:br/>
      </w:r>
      <w:r>
        <w:rPr>
          <w:rStyle w:val="AttributeTok"/>
        </w:rPr>
        <w:t xml:space="preserve">    </w:t>
      </w:r>
      <w:r>
        <w:rPr>
          <w:rStyle w:val="KeywordTok"/>
        </w:rPr>
        <w:t xml:space="preserve">-</w:t>
      </w:r>
      <w:r>
        <w:rPr>
          <w:rStyle w:val="AttributeTok"/>
        </w:rPr>
        <w:t xml:space="preserve"> </w:t>
      </w:r>
      <w:r>
        <w:rPr>
          <w:rStyle w:val="FunctionTok"/>
        </w:rPr>
        <w:t xml:space="preserve">role</w:t>
      </w:r>
      <w:r>
        <w:rPr>
          <w:rStyle w:val="KeywordTok"/>
        </w:rPr>
        <w:t xml:space="preserve">:</w:t>
      </w:r>
      <w:r>
        <w:rPr>
          <w:rStyle w:val="AttributeTok"/>
        </w:rPr>
        <w:t xml:space="preserve"> agent-edr</w:t>
      </w:r>
    </w:p>
    <w:bookmarkEnd w:id="1987"/>
    <w:bookmarkStart w:id="1988" w:name="X8ca136ab1d6c4930a5fec795f7aa582faa167ec"/>
    <w:p>
      <w:pPr>
        <w:pStyle w:val="Heading2"/>
      </w:pPr>
      <w:r>
        <w:t xml:space="preserve">82.3 Déployer le nouveau site avec le même playbook</w:t>
      </w:r>
    </w:p>
    <w:p>
      <w:pPr>
        <w:pStyle w:val="FirstParagraph"/>
      </w:pPr>
      <w:r>
        <w:t xml:space="preserve">✅ Répondre directement au scénario d’ouverture</w:t>
      </w:r>
      <w:r>
        <w:t xml:space="preserve"> </w:t>
      </w:r>
      <w:r>
        <w:t xml:space="preserve">Le nouveau site n’exige aucun nouveau playbook — il s’agit simplement d’ajouter ses serveurs à l’inventaire Ansible existant (chapitre 52), avec les rôles appropriés selon les décisions d’architecture du chapitre 81 (pas de contrôleur de domaine local, mais un agent de supervision et un agent EDR malgré tout). Cette réutilisation directe de l’automatisation déjà éprouvée sur les trois autres sites répond exactement à l’exigence du DSI dans le scénario d’ouverture — une cohérence garantie structurellement, plutôt que par la seule discipline d’un déploiement manuel suivant une documentation.</w:t>
      </w:r>
    </w:p>
    <w:p>
      <w:pPr>
        <w:pStyle w:val="SourceCode"/>
      </w:pPr>
      <w:r>
        <w:rPr>
          <w:rStyle w:val="CommentTok"/>
        </w:rPr>
        <w:t xml:space="preserve"># inventaire - ajout du nouveau site</w:t>
      </w:r>
      <w:r>
        <w:br/>
      </w:r>
      <w:r>
        <w:rPr>
          <w:rStyle w:val="KeywordTok"/>
        </w:rPr>
        <w:t xml:space="preserve">[</w:t>
      </w:r>
      <w:r>
        <w:rPr>
          <w:rStyle w:val="AttributeTok"/>
        </w:rPr>
        <w:t xml:space="preserve">serveurs_linux</w:t>
      </w:r>
      <w:r>
        <w:rPr>
          <w:rStyle w:val="KeywordTok"/>
        </w:rPr>
        <w:t xml:space="preserve">]</w:t>
      </w:r>
      <w:r>
        <w:br/>
      </w:r>
      <w:r>
        <w:rPr>
          <w:rStyle w:val="AttributeTok"/>
        </w:rPr>
        <w:t xml:space="preserve">nouveau-site-app01 ansible_host=10.10.4.10</w:t>
      </w:r>
      <w:r>
        <w:br/>
      </w:r>
      <w:r>
        <w:br/>
      </w:r>
      <w:r>
        <w:rPr>
          <w:rStyle w:val="KeywordTok"/>
        </w:rPr>
        <w:t xml:space="preserve">[</w:t>
      </w:r>
      <w:r>
        <w:rPr>
          <w:rStyle w:val="AttributeTok"/>
        </w:rPr>
        <w:t xml:space="preserve">agents_edr:children</w:t>
      </w:r>
      <w:r>
        <w:rPr>
          <w:rStyle w:val="KeywordTok"/>
        </w:rPr>
        <w:t xml:space="preserve">]</w:t>
      </w:r>
      <w:r>
        <w:br/>
      </w:r>
      <w:r>
        <w:rPr>
          <w:rStyle w:val="AttributeTok"/>
        </w:rPr>
        <w:t xml:space="preserve">serveurs_linux</w:t>
      </w:r>
      <w:r>
        <w:br/>
      </w:r>
      <w:r>
        <w:rPr>
          <w:rStyle w:val="AttributeTok"/>
        </w:rPr>
        <w:t xml:space="preserve">serveurs_windows</w:t>
      </w:r>
    </w:p>
    <w:bookmarkEnd w:id="1988"/>
    <w:bookmarkStart w:id="1989" w:name="Xfbad13589eae6442f0e69777e8ab7553595aeab"/>
    <w:p>
      <w:pPr>
        <w:pStyle w:val="Heading2"/>
      </w:pPr>
      <w:r>
        <w:t xml:space="preserve">82.4 Respecter l’ordre de dépendance entre services</w:t>
      </w:r>
    </w:p>
    <w:p>
      <w:pPr>
        <w:pStyle w:val="FirstParagraph"/>
      </w:pPr>
      <w:r>
        <w:t xml:space="preserve">📌 À retenir — rappel indirect des chapitres 9-10</w:t>
      </w:r>
      <w:r>
        <w:t xml:space="preserve"> </w:t>
      </w:r>
      <w:r>
        <w:t xml:space="preserve">Certains services dépendent d’autres pour fonctionner correctement — un serveur DNS interne dépend généralement d’un contrôleur de domaine déjà opérationnel, un service DHCP dépend d’un serveur DNS déjà configuré pour l’enregistrement dynamique. Le playbook de déploiement doit respecter cet ordre de dépendance, Ansible exécutant les tâches dans l’ordre défini plutôt que de façon simultanée non coordonnée — un déploiement qui ignore cet ordre risque des échecs de service au démarrage, même avec une configuration par ailleurs correcte.</w:t>
      </w:r>
    </w:p>
    <w:bookmarkEnd w:id="1989"/>
    <w:bookmarkStart w:id="1990" w:name="Xe47968bc67abd1aa09f30b96d94fe5703f35e9b"/>
    <w:p>
      <w:pPr>
        <w:pStyle w:val="Heading2"/>
      </w:pPr>
      <w:r>
        <w:t xml:space="preserve">82.5 Intégrer le durcissement dès le déploiement initial</w:t>
      </w:r>
    </w:p>
    <w:p>
      <w:pPr>
        <w:pStyle w:val="FirstParagraph"/>
      </w:pPr>
      <w:r>
        <w:t xml:space="preserve">🔒 Sécurité — rappel direct de la section 73.7</w:t>
      </w:r>
      <w:r>
        <w:t xml:space="preserve"> </w:t>
      </w:r>
      <w:r>
        <w:t xml:space="preserve">Le rôle</w:t>
      </w:r>
      <w:r>
        <w:t xml:space="preserve"> </w:t>
      </w:r>
      <w:r>
        <w:rPr>
          <w:rStyle w:val="VerbatimChar"/>
        </w:rPr>
        <w:t xml:space="preserve">durcissement-cis-windows</w:t>
      </w:r>
      <w:r>
        <w:t xml:space="preserve"> </w:t>
      </w:r>
      <w:r>
        <w:t xml:space="preserve">et</w:t>
      </w:r>
      <w:r>
        <w:t xml:space="preserve"> </w:t>
      </w:r>
      <w:r>
        <w:rPr>
          <w:rStyle w:val="VerbatimChar"/>
        </w:rPr>
        <w:t xml:space="preserve">durcissement-cis-linux</w:t>
      </w:r>
      <w:r>
        <w:t xml:space="preserve"> </w:t>
      </w:r>
      <w:r>
        <w:t xml:space="preserve">du playbook de la section 82.2 applique les recommandations CIS Benchmarks déjà présentées au chapitre 73 dès le déploiement initial de chaque serveur, plutôt que comme une action ponctuelle réalisée après coup — exactement le principe déjà établi de durcir une fois dans l’automatisation, puis réutiliser systématiquement sur chaque nouveau déploiement, garantissant qu’aucun serveur du nouveau site n’entre en production sans ce niveau de protection de base.</w:t>
      </w:r>
    </w:p>
    <w:bookmarkEnd w:id="1990"/>
    <w:bookmarkStart w:id="1991" w:name="X95a2fdf94d14ac3db29cd0c0c6797892c694dc2"/>
    <w:p>
      <w:pPr>
        <w:pStyle w:val="Heading2"/>
      </w:pPr>
      <w:r>
        <w:t xml:space="preserve">82.6 Valider automatiquement que chaque service fonctionne réellement</w:t>
      </w:r>
    </w:p>
    <w:p>
      <w:pPr>
        <w:pStyle w:val="FirstParagraph"/>
      </w:pPr>
      <w:r>
        <w:t xml:space="preserve">💡 Rappel indirect du chapitre 57</w:t>
      </w:r>
      <w:r>
        <w:t xml:space="preserve"> </w:t>
      </w:r>
      <w:r>
        <w:t xml:space="preserve">Une fois le déploiement effectué, une validation automatisée confirme que chaque service fonctionne réellement — une résolution DNS test, une authentification test contre le contrôleur de domaine, une vérification que l’agent de supervision remonte bien ses métriques — plutôt que de considérer le déploiement comme réussi sur la seule base de l’absence d’erreur durant l’exécution du playbook, exactement le même réflexe de vérification déjà établi pour les étapes du pipeline DevSecOps.</w:t>
      </w:r>
    </w:p>
    <w:bookmarkEnd w:id="1991"/>
    <w:bookmarkStart w:id="1992" w:name="documenter-le-déploiement-réalisé"/>
    <w:p>
      <w:pPr>
        <w:pStyle w:val="Heading2"/>
      </w:pPr>
      <w:r>
        <w:t xml:space="preserve">82.7 Documenter le déploiement réalisé</w:t>
      </w:r>
    </w:p>
    <w:p>
      <w:pPr>
        <w:pStyle w:val="FirstParagraph"/>
      </w:pPr>
      <w:r>
        <w:t xml:space="preserve">✅ Rappel direct des chapitres 2 et 80</w:t>
      </w:r>
      <w:r>
        <w:t xml:space="preserve"> </w:t>
      </w:r>
      <w:r>
        <w:t xml:space="preserve">Chaque déploiement de site devrait être documenté — quels rôles ont été appliqués, quelle version du playbook, quelle date — rejoignant directement le principe de documentation déjà établi comme fondation du métier au chapitre 2, et alimentant la documentation finale qui sera consolidée au chapitre 86 pour la remise complète du projet.</w:t>
      </w:r>
    </w:p>
    <w:bookmarkEnd w:id="1992"/>
    <w:bookmarkStart w:id="1993" w:name="Xdf58bcdb58f33477f73037ef5d9bee7f51ea76a"/>
    <w:p>
      <w:pPr>
        <w:pStyle w:val="Heading2"/>
      </w:pPr>
      <w:r>
        <w:t xml:space="preserve">Atelier — Déployer le nouveau site avec l’automatisation existante</w:t>
      </w:r>
    </w:p>
    <w:p>
      <w:pPr>
        <w:pStyle w:val="FirstParagraph"/>
      </w:pPr>
      <w:r>
        <w:t xml:space="preserve">🛠️ Atelier 82 — Répondre concrètement au scénario d’ouverture</w:t>
      </w:r>
    </w:p>
    <w:p>
      <w:pPr>
        <w:pStyle w:val="BodyText"/>
      </w:pPr>
      <w:r>
        <w:rPr>
          <w:b/>
          <w:bCs/>
        </w:rPr>
        <w:t xml:space="preserve">Objectif</w:t>
      </w:r>
      <w:r>
        <w:t xml:space="preserve"> </w:t>
      </w:r>
      <w:r>
        <w:t xml:space="preserve">: ajouter le nouveau site à l’automatisation Ansible existante et déployer ses services conformément à l’architecture du chapitre 81, sans aucun déploiement manuel.</w:t>
      </w:r>
    </w:p>
    <w:p>
      <w:pPr>
        <w:pStyle w:val="BodyText"/>
      </w:pPr>
      <w:r>
        <w:rPr>
          <w:b/>
          <w:bCs/>
        </w:rPr>
        <w:t xml:space="preserve">Préparation</w:t>
      </w:r>
      <w:r>
        <w:t xml:space="preserve"> </w:t>
      </w:r>
      <w:r>
        <w:t xml:space="preserve">: l’inventaire Ansible et les rôles déjà établis pour les trois autres sites.</w:t>
      </w:r>
    </w:p>
    <w:p>
      <w:pPr>
        <w:pStyle w:val="BodyText"/>
      </w:pPr>
      <w:r>
        <w:rPr>
          <w:b/>
          <w:bCs/>
        </w:rPr>
        <w:t xml:space="preserve">Étapes détaillées</w:t>
      </w:r>
      <w:r>
        <w:t xml:space="preserve"> </w:t>
      </w:r>
      <w:r>
        <w:t xml:space="preserve">:</w:t>
      </w:r>
    </w:p>
    <w:p>
      <w:pPr>
        <w:pStyle w:val="Compact"/>
        <w:numPr>
          <w:ilvl w:val="0"/>
          <w:numId w:val="2884"/>
        </w:numPr>
      </w:pPr>
      <w:r>
        <w:t xml:space="preserve">Ajoute les serveurs du nouveau site à l’inventaire Ansible, avec les groupes appropriés selon les décisions d’architecture du chapitre 81 (section 82.3).</w:t>
      </w:r>
    </w:p>
    <w:p>
      <w:pPr>
        <w:pStyle w:val="Compact"/>
        <w:numPr>
          <w:ilvl w:val="0"/>
          <w:numId w:val="2884"/>
        </w:numPr>
      </w:pPr>
      <w:r>
        <w:t xml:space="preserve">Vérifie que l’ordre de dépendance des rôles appliqués respecte les besoins réels de ce site, en tenant compte de l’absence de contrôleur de domaine local (section 82.4).</w:t>
      </w:r>
    </w:p>
    <w:p>
      <w:pPr>
        <w:pStyle w:val="Compact"/>
        <w:numPr>
          <w:ilvl w:val="0"/>
          <w:numId w:val="2884"/>
        </w:numPr>
      </w:pPr>
      <w:r>
        <w:t xml:space="preserve">Exécute le playbook de déploiement et documente les rôles appliqués.</w:t>
      </w:r>
    </w:p>
    <w:p>
      <w:pPr>
        <w:pStyle w:val="Compact"/>
        <w:numPr>
          <w:ilvl w:val="0"/>
          <w:numId w:val="2884"/>
        </w:numPr>
      </w:pPr>
      <w:r>
        <w:t xml:space="preserve">Effectue une validation post-déploiement confirmant que l’agent de supervision et l’agent EDR remontent correctement leurs données (section 82.6).</w:t>
      </w:r>
    </w:p>
    <w:p>
      <w:pPr>
        <w:pStyle w:val="Compact"/>
        <w:numPr>
          <w:ilvl w:val="0"/>
          <w:numId w:val="2884"/>
        </w:numPr>
      </w:pPr>
      <w:r>
        <w:t xml:space="preserve">Compare ta démarche à la section</w:t>
      </w:r>
      <w:r>
        <w:t xml:space="preserve"> </w:t>
      </w:r>
      <w:r>
        <w:t xml:space="preserve">“Résultat attendu”</w:t>
      </w:r>
      <w:r>
        <w:t xml:space="preserve">.</w:t>
      </w:r>
    </w:p>
    <w:p>
      <w:pPr>
        <w:pStyle w:val="FirstParagraph"/>
      </w:pPr>
      <w:r>
        <w:rPr>
          <w:b/>
          <w:bCs/>
        </w:rPr>
        <w:t xml:space="preserve">Résultat attendu</w:t>
      </w:r>
      <w:r>
        <w:t xml:space="preserve"> </w:t>
      </w:r>
      <w:r>
        <w:t xml:space="preserve">: le nouveau site reçoit exactement les mêmes rôles de durcissement, de supervision et de protection EDR que les autres sites, sans configuration manuelle distincte — répondant directement à l’exigence du DSI dans le scénario d’ouverture. La validation post-déploiement confirme concrètement que ces services fonctionnent réellement, plutôt que de simplement supposer leur bon fonctionnement sur la base de l’exécution sans erreur du playbook. La documentation de ce déploiement rejoint directement le principe déjà établi au chapitre 2, et prépare la consolidation finale prévue au chapitre 86.</w:t>
      </w:r>
    </w:p>
    <w:p>
      <w:pPr>
        <w:pStyle w:val="BodyText"/>
      </w:pPr>
      <w:r>
        <w:rPr>
          <w:b/>
          <w:bCs/>
        </w:rPr>
        <w:t xml:space="preserve">Dépannage</w:t>
      </w:r>
      <w:r>
        <w:t xml:space="preserve"> </w:t>
      </w:r>
      <w:r>
        <w:t xml:space="preserve">: si le déploiement échoue sur une tâche liée à l’authentification contre le contrôleur de domaine du siège, vérifie en priorité la connectivité VPN entre le nouveau site et le siège (rappel du chapitre 81) — une dépendance réseau facilement négligée lorsque l’attention se concentre sur la configuration logicielle elle-même.</w:t>
      </w:r>
    </w:p>
    <w:bookmarkEnd w:id="1993"/>
    <w:bookmarkStart w:id="1994" w:name="erreurs-fréquentes-81"/>
    <w:p>
      <w:pPr>
        <w:pStyle w:val="Heading2"/>
      </w:pPr>
      <w:r>
        <w:t xml:space="preserve">Erreurs fréquentes</w:t>
      </w:r>
    </w:p>
    <w:p>
      <w:pPr>
        <w:pStyle w:val="FirstParagraph"/>
      </w:pPr>
      <w:r>
        <w:t xml:space="preserve">⚠️ Erreur n°1 — un déploiement manuel</w:t>
      </w:r>
      <w:r>
        <w:t xml:space="preserve"> </w:t>
      </w:r>
      <w:r>
        <w:t xml:space="preserve">“exceptionnel”</w:t>
      </w:r>
      <w:r>
        <w:t xml:space="preserve"> </w:t>
      </w:r>
      <w:r>
        <w:t xml:space="preserve">pour respecter un délai serré</w:t>
      </w:r>
      <w:r>
        <w:t xml:space="preserve"> </w:t>
      </w:r>
      <w:r>
        <w:t xml:space="preserve">Rappel du scénario d’ouverture : une exception ponctuelle recrée précisément le risque de dérive de configuration que l’automatisation avait pour but d’éliminer.</w:t>
      </w:r>
    </w:p>
    <w:p>
      <w:pPr>
        <w:pStyle w:val="BodyText"/>
      </w:pPr>
      <w:r>
        <w:t xml:space="preserve">⚠️ Erreur n°2 — un ordre de dépendance entre services non respecté dans le playbook</w:t>
      </w:r>
      <w:r>
        <w:t xml:space="preserve"> </w:t>
      </w:r>
      <w:r>
        <w:t xml:space="preserve">Rappel de la section 82.4 : un service déployé avant sa dépendance échoue généralement au démarrage, même avec une configuration par ailleurs correcte.</w:t>
      </w:r>
    </w:p>
    <w:p>
      <w:pPr>
        <w:pStyle w:val="BodyText"/>
      </w:pPr>
      <w:r>
        <w:t xml:space="preserve">⚠️ Erreur n°3 — aucune validation post-déploiement, un service supposé fonctionnel sans vérification réelle</w:t>
      </w:r>
      <w:r>
        <w:t xml:space="preserve"> </w:t>
      </w:r>
      <w:r>
        <w:t xml:space="preserve">Rappel de la section 82.6 : l’absence d’erreur durant l’exécution d’un playbook ne garantit pas nécessairement le bon fonctionnement réel du service déployé.</w:t>
      </w:r>
    </w:p>
    <w:bookmarkEnd w:id="1994"/>
    <w:bookmarkStart w:id="1995" w:name="Xca2c7906f73bfc8c6d11293508904d512f0b00d"/>
    <w:p>
      <w:pPr>
        <w:pStyle w:val="Heading2"/>
      </w:pPr>
      <w:r>
        <w:t xml:space="preserve">Diagnostiquer un service qui échoue au démarrage sur un nouveau site</w:t>
      </w:r>
    </w:p>
    <w:p>
      <w:pPr>
        <w:pStyle w:val="FirstParagraph"/>
      </w:pPr>
      <w:r>
        <w:t xml:space="preserve">🩺 Symptôme : un service échoue à démarrer correctement immédiatement après un déploiement automatisé sur un nouveau site</w:t>
      </w:r>
    </w:p>
    <w:p>
      <w:pPr>
        <w:pStyle w:val="Compact"/>
        <w:numPr>
          <w:ilvl w:val="0"/>
          <w:numId w:val="2885"/>
        </w:numPr>
      </w:pPr>
      <w:r>
        <w:rPr>
          <w:b/>
          <w:bCs/>
        </w:rPr>
        <w:t xml:space="preserve">Diagnostic</w:t>
      </w:r>
      <w:r>
        <w:t xml:space="preserve"> </w:t>
      </w:r>
      <w:r>
        <w:t xml:space="preserve">: vérifier si ce service dépend d’un autre service qui n’était pas encore pleinement opérationnel au moment de son propre démarrage — un problème d’ordre de dépendance (section 82.4) plutôt qu’une erreur de configuration du service lui-même.</w:t>
      </w:r>
    </w:p>
    <w:p>
      <w:pPr>
        <w:pStyle w:val="Compact"/>
        <w:numPr>
          <w:ilvl w:val="0"/>
          <w:numId w:val="2885"/>
        </w:numPr>
      </w:pPr>
      <w:r>
        <w:rPr>
          <w:b/>
          <w:bCs/>
        </w:rPr>
        <w:t xml:space="preserve">Comment vérifier</w:t>
      </w:r>
      <w:r>
        <w:t xml:space="preserve"> </w:t>
      </w:r>
      <w:r>
        <w:t xml:space="preserve">: consulter l’ordre d’exécution des rôles dans le playbook et le comparer à l’ordre de dépendance réel entre les services concernés.</w:t>
      </w:r>
    </w:p>
    <w:p>
      <w:pPr>
        <w:pStyle w:val="Compact"/>
        <w:numPr>
          <w:ilvl w:val="0"/>
          <w:numId w:val="2885"/>
        </w:numPr>
      </w:pPr>
      <w:r>
        <w:rPr>
          <w:b/>
          <w:bCs/>
        </w:rPr>
        <w:t xml:space="preserve">Résolution</w:t>
      </w:r>
      <w:r>
        <w:t xml:space="preserve"> </w:t>
      </w:r>
      <w:r>
        <w:t xml:space="preserve">: réordonner les rôles dans le playbook selon la dépendance réelle, ou ajouter une vérification explicite qu’un service prérequis est bien opérationnel avant de poursuivre le déploiement du service suivant.</w:t>
      </w:r>
    </w:p>
    <w:bookmarkEnd w:id="1995"/>
    <w:bookmarkStart w:id="1996" w:name="en-entreprise-81"/>
    <w:p>
      <w:pPr>
        <w:pStyle w:val="Heading2"/>
      </w:pPr>
      <w:r>
        <w:t xml:space="preserve">En entreprise</w:t>
      </w:r>
    </w:p>
    <w:p>
      <w:pPr>
        <w:pStyle w:val="Compact"/>
        <w:numPr>
          <w:ilvl w:val="0"/>
          <w:numId w:val="2886"/>
        </w:numPr>
      </w:pPr>
      <w:r>
        <w:rPr>
          <w:b/>
          <w:bCs/>
        </w:rPr>
        <w:t xml:space="preserve">Bonne pratique répandue</w:t>
      </w:r>
      <w:r>
        <w:t xml:space="preserve"> </w:t>
      </w:r>
      <w:r>
        <w:t xml:space="preserve">: traiter toute demande de</w:t>
      </w:r>
      <w:r>
        <w:t xml:space="preserve"> </w:t>
      </w:r>
      <w:r>
        <w:t xml:space="preserve">“déploiement manuel exceptionnel”</w:t>
      </w:r>
      <w:r>
        <w:t xml:space="preserve"> </w:t>
      </w:r>
      <w:r>
        <w:t xml:space="preserve">comme un signal d’alerte nécessitant une justification forte, plutôt qu’une simplicité acceptée par défaut sous la pression d’un délai.</w:t>
      </w:r>
    </w:p>
    <w:p>
      <w:pPr>
        <w:pStyle w:val="Compact"/>
        <w:numPr>
          <w:ilvl w:val="0"/>
          <w:numId w:val="2886"/>
        </w:numPr>
      </w:pPr>
      <w:r>
        <w:rPr>
          <w:b/>
          <w:bCs/>
        </w:rPr>
        <w:t xml:space="preserve">Bonne pratique répandue</w:t>
      </w:r>
      <w:r>
        <w:t xml:space="preserve"> </w:t>
      </w:r>
      <w:r>
        <w:t xml:space="preserve">: maintenir l’inventaire Ansible comme la source de vérité unique de l’ensemble des serveurs de l’organisation, tout nouveau serveur y étant ajouté avant tout déploiement, jamais après.</w:t>
      </w:r>
    </w:p>
    <w:p>
      <w:pPr>
        <w:pStyle w:val="Compact"/>
        <w:numPr>
          <w:ilvl w:val="0"/>
          <w:numId w:val="2886"/>
        </w:numPr>
      </w:pPr>
      <w:r>
        <w:rPr>
          <w:b/>
          <w:bCs/>
        </w:rPr>
        <w:t xml:space="preserve">Erreur classique observée</w:t>
      </w:r>
      <w:r>
        <w:t xml:space="preserve"> </w:t>
      </w:r>
      <w:r>
        <w:t xml:space="preserve">: un nouveau site déployé rapidement</w:t>
      </w:r>
      <w:r>
        <w:t xml:space="preserve"> </w:t>
      </w:r>
      <w:r>
        <w:t xml:space="preserve">“à la main”</w:t>
      </w:r>
      <w:r>
        <w:t xml:space="preserve"> </w:t>
      </w:r>
      <w:r>
        <w:t xml:space="preserve">pour respecter une échéance commerciale, avec la promesse de</w:t>
      </w:r>
      <w:r>
        <w:t xml:space="preserve"> </w:t>
      </w:r>
      <w:r>
        <w:t xml:space="preserve">“l’intégrer proprement à l’automatisation plus tard”</w:t>
      </w:r>
      <w:r>
        <w:t xml:space="preserve"> </w:t>
      </w:r>
      <w:r>
        <w:t xml:space="preserve">— une promesse rarement tenue une fois le site opérationnel et l’urgence apparente disparue, laissant une divergence de configuration permanente.</w:t>
      </w:r>
    </w:p>
    <w:bookmarkEnd w:id="1996"/>
    <w:bookmarkStart w:id="1997" w:name="entretien-technique-81"/>
    <w:p>
      <w:pPr>
        <w:pStyle w:val="Heading2"/>
      </w:pPr>
      <w:r>
        <w:t xml:space="preserve">Entretien technique</w:t>
      </w:r>
    </w:p>
    <w:p>
      <w:pPr>
        <w:pStyle w:val="FirstParagraph"/>
      </w:pPr>
      <w:r>
        <w:t xml:space="preserve">💼 Questions fréquemment posées en entretien</w:t>
      </w:r>
    </w:p>
    <w:p>
      <w:pPr>
        <w:pStyle w:val="BodyText"/>
      </w:pPr>
      <w:r>
        <w:rPr>
          <w:b/>
          <w:bCs/>
        </w:rPr>
        <w:t xml:space="preserve">Q1.</w:t>
      </w:r>
      <w:r>
        <w:rPr>
          <w:b/>
          <w:bCs/>
        </w:rPr>
        <w:t xml:space="preserve"> </w:t>
      </w:r>
      <w:r>
        <w:rPr>
          <w:b/>
          <w:bCs/>
        </w:rPr>
        <w:t xml:space="preserve">“Pourquoi est-il important de déployer un nouveau site avec exactement la même automatisation que les sites existants, plutôt qu’une configuration ad hoc plus rapide à mettre en place ?”</w:t>
      </w:r>
      <w:r>
        <w:t xml:space="preserve"> </w:t>
      </w:r>
      <w:r>
        <w:t xml:space="preserve">Réponse attendue : garantir une cohérence de configuration structurelle plutôt que dépendante de la discipline humaine, éliminant le risque de dérive déjà dénoncé pour toute administration manuelle répétée, et assurant que le nouveau site bénéficie du même niveau de durcissement et de supervision que les autres.</w:t>
      </w:r>
    </w:p>
    <w:p>
      <w:pPr>
        <w:pStyle w:val="BodyText"/>
      </w:pPr>
      <w:r>
        <w:rPr>
          <w:b/>
          <w:bCs/>
        </w:rPr>
        <w:t xml:space="preserve">Q2.</w:t>
      </w:r>
      <w:r>
        <w:rPr>
          <w:b/>
          <w:bCs/>
        </w:rPr>
        <w:t xml:space="preserve"> </w:t>
      </w:r>
      <w:r>
        <w:rPr>
          <w:b/>
          <w:bCs/>
        </w:rPr>
        <w:t xml:space="preserve">“Pourquoi l’ordre d’exécution des rôles dans un playbook de déploiement est-il important ?”</w:t>
      </w:r>
      <w:r>
        <w:t xml:space="preserve"> </w:t>
      </w:r>
      <w:r>
        <w:t xml:space="preserve">Réponse attendue : certains services dépendent d’autres services déjà opérationnels pour fonctionner correctement ; un déploiement qui ignore cet ordre de dépendance risque des échecs au démarrage, même avec une configuration individuellement correcte pour chaque service.</w:t>
      </w:r>
    </w:p>
    <w:p>
      <w:pPr>
        <w:pStyle w:val="BodyText"/>
      </w:pPr>
      <w:r>
        <w:rPr>
          <w:b/>
          <w:bCs/>
        </w:rPr>
        <w:t xml:space="preserve">Q3.</w:t>
      </w:r>
      <w:r>
        <w:rPr>
          <w:b/>
          <w:bCs/>
        </w:rPr>
        <w:t xml:space="preserve"> </w:t>
      </w:r>
      <w:r>
        <w:rPr>
          <w:b/>
          <w:bCs/>
        </w:rPr>
        <w:t xml:space="preserve">“Pourquoi une validation post-déploiement automatisée reste-t-elle nécessaire, même après une exécution de playbook sans erreur signalée ?”</w:t>
      </w:r>
      <w:r>
        <w:t xml:space="preserve"> </w:t>
      </w:r>
      <w:r>
        <w:t xml:space="preserve">Réponse attendue : l’absence d’erreur durant l’exécution confirme uniquement que les tâches se sont déroulées sans échec technique immédiat, pas nécessairement que le service fonctionne réellement comme attendu dans son usage concret ; une vérification fonctionnelle explicite reste nécessaire pour s’en assurer.</w:t>
      </w:r>
    </w:p>
    <w:bookmarkEnd w:id="1997"/>
    <w:bookmarkStart w:id="1998" w:name="X7a82bcb71bf066cc9171b50b88b260de462eb60"/>
    <w:p>
      <w:pPr>
        <w:pStyle w:val="Heading2"/>
      </w:pPr>
      <w:r>
        <w:t xml:space="preserve">Optimisation, sécurité et maintenabilité — les réflexes dès ce chapitre</w:t>
      </w:r>
    </w:p>
    <w:p>
      <w:pPr>
        <w:pStyle w:val="FirstParagraph"/>
      </w:pPr>
      <w:r>
        <w:t xml:space="preserve">🔒 Sécurité</w:t>
      </w:r>
      <w:r>
        <w:t xml:space="preserve"> </w:t>
      </w:r>
      <w:r>
        <w:t xml:space="preserve">N’accorde jamais d’exception à l’automatisation de déploiement, même sous la pression d’un délai serré — un déploiement manuel exceptionnel recrée systématiquement le risque de dérive de configuration que l’automatisation vise précisément à éliminer.</w:t>
      </w:r>
    </w:p>
    <w:p>
      <w:pPr>
        <w:pStyle w:val="BodyText"/>
      </w:pPr>
      <w:r>
        <w:t xml:space="preserve">✅ Maintenabilité</w:t>
      </w:r>
      <w:r>
        <w:t xml:space="preserve"> </w:t>
      </w:r>
      <w:r>
        <w:t xml:space="preserve">Maintiens l’inventaire Ansible comme source de vérité unique pour l’ensemble des serveurs de l’organisation, avec une documentation systématique de chaque déploiement réalisé.</w:t>
      </w:r>
    </w:p>
    <w:p>
      <w:pPr>
        <w:pStyle w:val="BodyText"/>
      </w:pPr>
      <w:r>
        <w:t xml:space="preserve">🚀 Performance</w:t>
      </w:r>
      <w:r>
        <w:t xml:space="preserve"> </w:t>
      </w:r>
      <w:r>
        <w:t xml:space="preserve">Un déploiement automatisé et validé reste significativement plus rapide, sur la durée, qu’un déploiement manuel répété pour chaque nouveau site — l’investissement initial dans l’automatisation se rentabilise dès le deuxième ou troisième déploiement similaire.</w:t>
      </w:r>
    </w:p>
    <w:bookmarkEnd w:id="1998"/>
    <w:bookmarkStart w:id="1999" w:name="résumé-du-chapitre-81"/>
    <w:p>
      <w:pPr>
        <w:pStyle w:val="Heading2"/>
      </w:pPr>
      <w:r>
        <w:t xml:space="preserve">Résumé du chapitre</w:t>
      </w:r>
    </w:p>
    <w:p>
      <w:pPr>
        <w:pStyle w:val="Compact"/>
        <w:numPr>
          <w:ilvl w:val="0"/>
          <w:numId w:val="2887"/>
        </w:numPr>
      </w:pPr>
      <w:r>
        <w:t xml:space="preserve">Un déploiement manuel, même exceptionnel et ponctuel, recrée le risque de dérive de configuration déjà résolu par l’automatisation Ansible.</w:t>
      </w:r>
    </w:p>
    <w:p>
      <w:pPr>
        <w:pStyle w:val="Compact"/>
        <w:numPr>
          <w:ilvl w:val="0"/>
          <w:numId w:val="2887"/>
        </w:numPr>
      </w:pPr>
      <w:r>
        <w:t xml:space="preserve">Les rôles Ansible déjà présentés au chapitre 53 structurent un déploiement standardisé, réutilisable pour tout nouveau site sans nouveau playbook.</w:t>
      </w:r>
    </w:p>
    <w:p>
      <w:pPr>
        <w:pStyle w:val="Compact"/>
        <w:numPr>
          <w:ilvl w:val="0"/>
          <w:numId w:val="2887"/>
        </w:numPr>
      </w:pPr>
      <w:r>
        <w:t xml:space="preserve">L’ordre de dépendance entre services doit être respecté dans le playbook, sous peine d’échecs au démarrage.</w:t>
      </w:r>
    </w:p>
    <w:p>
      <w:pPr>
        <w:pStyle w:val="Compact"/>
        <w:numPr>
          <w:ilvl w:val="0"/>
          <w:numId w:val="2887"/>
        </w:numPr>
      </w:pPr>
      <w:r>
        <w:t xml:space="preserve">Le durcissement CIS Benchmarks s’intègre dès le déploiement initial, garantissant un niveau de protection de base sur chaque nouveau serveur.</w:t>
      </w:r>
    </w:p>
    <w:p>
      <w:pPr>
        <w:pStyle w:val="Compact"/>
        <w:numPr>
          <w:ilvl w:val="0"/>
          <w:numId w:val="2887"/>
        </w:numPr>
      </w:pPr>
      <w:r>
        <w:t xml:space="preserve">Une validation post-déploiement automatisée confirme le bon fonctionnement réel des services, au-delà de la simple absence d’erreur d’exécution.</w:t>
      </w:r>
    </w:p>
    <w:p>
      <w:pPr>
        <w:pStyle w:val="Compact"/>
        <w:numPr>
          <w:ilvl w:val="0"/>
          <w:numId w:val="2887"/>
        </w:numPr>
      </w:pPr>
      <w:r>
        <w:t xml:space="preserve">Chaque déploiement doit être documenté, alimentant la documentation finale du projet qui sera consolidée au chapitre 86.</w:t>
      </w:r>
    </w:p>
    <w:bookmarkEnd w:id="1999"/>
    <w:bookmarkStart w:id="2000" w:name="quiz-81"/>
    <w:p>
      <w:pPr>
        <w:pStyle w:val="Heading2"/>
      </w:pPr>
      <w:r>
        <w:t xml:space="preserve">Quiz</w:t>
      </w:r>
    </w:p>
    <w:p>
      <w:pPr>
        <w:pStyle w:val="FirstParagraph"/>
      </w:pPr>
      <w:r>
        <w:t xml:space="preserve">📝 QCM (une seule bonne réponse par question)</w:t>
      </w:r>
    </w:p>
    <w:p>
      <w:pPr>
        <w:pStyle w:val="Compact"/>
        <w:numPr>
          <w:ilvl w:val="0"/>
          <w:numId w:val="2888"/>
        </w:numPr>
      </w:pPr>
      <w:r>
        <w:t xml:space="preserve">Déployer un nouveau site avec l’automatisation Ansible déjà existante, plutôt qu’une configuration manuelle exceptionnelle, permet principalement de :</w:t>
      </w:r>
    </w:p>
    <w:p>
      <w:pPr>
        <w:pStyle w:val="Compact"/>
        <w:numPr>
          <w:ilvl w:val="1"/>
          <w:numId w:val="2889"/>
        </w:numPr>
      </w:pPr>
    </w:p>
    <w:p>
      <w:pPr>
        <w:pStyle w:val="Compact"/>
        <w:numPr>
          <w:ilvl w:val="2"/>
          <w:numId w:val="2890"/>
        </w:numPr>
      </w:pPr>
      <w:r>
        <w:t xml:space="preserve">Réduire le nombre total de serveurs nécessaires</w:t>
      </w:r>
    </w:p>
    <w:p>
      <w:pPr>
        <w:pStyle w:val="Compact"/>
        <w:numPr>
          <w:ilvl w:val="1"/>
          <w:numId w:val="2889"/>
        </w:numPr>
      </w:pPr>
    </w:p>
    <w:p>
      <w:pPr>
        <w:pStyle w:val="Compact"/>
        <w:numPr>
          <w:ilvl w:val="2"/>
          <w:numId w:val="2891"/>
        </w:numPr>
      </w:pPr>
      <w:r>
        <w:t xml:space="preserve">Garantir une cohérence de configuration structurelle plutôt que dépendante de la discipline humaine</w:t>
      </w:r>
    </w:p>
    <w:p>
      <w:pPr>
        <w:pStyle w:val="Compact"/>
        <w:numPr>
          <w:ilvl w:val="1"/>
          <w:numId w:val="2889"/>
        </w:numPr>
      </w:pPr>
    </w:p>
    <w:p>
      <w:pPr>
        <w:pStyle w:val="Compact"/>
        <w:numPr>
          <w:ilvl w:val="2"/>
          <w:numId w:val="2892"/>
        </w:numPr>
      </w:pPr>
      <w:r>
        <w:t xml:space="preserve">Éliminer le besoin de tout playbook</w:t>
      </w:r>
    </w:p>
    <w:p>
      <w:pPr>
        <w:pStyle w:val="Compact"/>
        <w:numPr>
          <w:ilvl w:val="1"/>
          <w:numId w:val="2889"/>
        </w:numPr>
      </w:pPr>
    </w:p>
    <w:p>
      <w:pPr>
        <w:pStyle w:val="Compact"/>
        <w:numPr>
          <w:ilvl w:val="2"/>
          <w:numId w:val="2893"/>
        </w:numPr>
      </w:pPr>
      <w:r>
        <w:t xml:space="preserve">Remplacer le besoin d’une architecture définie au préalable</w:t>
      </w:r>
    </w:p>
    <w:p>
      <w:pPr>
        <w:pStyle w:val="Compact"/>
        <w:numPr>
          <w:ilvl w:val="0"/>
          <w:numId w:val="2888"/>
        </w:numPr>
      </w:pPr>
      <w:r>
        <w:t xml:space="preserve">Un service déployé avant sa dépendance requise risque de :</w:t>
      </w:r>
    </w:p>
    <w:p>
      <w:pPr>
        <w:pStyle w:val="Compact"/>
        <w:numPr>
          <w:ilvl w:val="1"/>
          <w:numId w:val="2894"/>
        </w:numPr>
      </w:pPr>
    </w:p>
    <w:p>
      <w:pPr>
        <w:pStyle w:val="Compact"/>
        <w:numPr>
          <w:ilvl w:val="2"/>
          <w:numId w:val="2895"/>
        </w:numPr>
      </w:pPr>
      <w:r>
        <w:t xml:space="preserve">Fonctionner normalement sans aucun impact</w:t>
      </w:r>
    </w:p>
    <w:p>
      <w:pPr>
        <w:pStyle w:val="Compact"/>
        <w:numPr>
          <w:ilvl w:val="1"/>
          <w:numId w:val="2894"/>
        </w:numPr>
      </w:pPr>
    </w:p>
    <w:p>
      <w:pPr>
        <w:pStyle w:val="Compact"/>
        <w:numPr>
          <w:ilvl w:val="2"/>
          <w:numId w:val="2896"/>
        </w:numPr>
      </w:pPr>
      <w:r>
        <w:t xml:space="preserve">Échouer au démarrage, même avec une configuration individuellement correcte</w:t>
      </w:r>
    </w:p>
    <w:p>
      <w:pPr>
        <w:pStyle w:val="Compact"/>
        <w:numPr>
          <w:ilvl w:val="1"/>
          <w:numId w:val="2894"/>
        </w:numPr>
      </w:pPr>
    </w:p>
    <w:p>
      <w:pPr>
        <w:pStyle w:val="Compact"/>
        <w:numPr>
          <w:ilvl w:val="2"/>
          <w:numId w:val="2897"/>
        </w:numPr>
      </w:pPr>
      <w:r>
        <w:t xml:space="preserve">Améliorer automatiquement les performances</w:t>
      </w:r>
    </w:p>
    <w:p>
      <w:pPr>
        <w:pStyle w:val="Compact"/>
        <w:numPr>
          <w:ilvl w:val="1"/>
          <w:numId w:val="2894"/>
        </w:numPr>
      </w:pPr>
    </w:p>
    <w:p>
      <w:pPr>
        <w:pStyle w:val="Compact"/>
        <w:numPr>
          <w:ilvl w:val="2"/>
          <w:numId w:val="2898"/>
        </w:numPr>
      </w:pPr>
      <w:r>
        <w:t xml:space="preserve">Remplacer le besoin de validation post-déploiement</w:t>
      </w:r>
    </w:p>
    <w:p>
      <w:pPr>
        <w:pStyle w:val="Compact"/>
        <w:numPr>
          <w:ilvl w:val="0"/>
          <w:numId w:val="2888"/>
        </w:numPr>
      </w:pPr>
      <w:r>
        <w:t xml:space="preserve">Une validation post-déploiement automatisée sert principalement à :</w:t>
      </w:r>
    </w:p>
    <w:p>
      <w:pPr>
        <w:pStyle w:val="Compact"/>
        <w:numPr>
          <w:ilvl w:val="1"/>
          <w:numId w:val="2899"/>
        </w:numPr>
      </w:pPr>
    </w:p>
    <w:p>
      <w:pPr>
        <w:pStyle w:val="Compact"/>
        <w:numPr>
          <w:ilvl w:val="2"/>
          <w:numId w:val="2900"/>
        </w:numPr>
      </w:pPr>
      <w:r>
        <w:t xml:space="preserve">Remplacer le besoin du playbook lui-même</w:t>
      </w:r>
    </w:p>
    <w:p>
      <w:pPr>
        <w:pStyle w:val="Compact"/>
        <w:numPr>
          <w:ilvl w:val="1"/>
          <w:numId w:val="2899"/>
        </w:numPr>
      </w:pPr>
    </w:p>
    <w:p>
      <w:pPr>
        <w:pStyle w:val="Compact"/>
        <w:numPr>
          <w:ilvl w:val="2"/>
          <w:numId w:val="2901"/>
        </w:numPr>
      </w:pPr>
      <w:r>
        <w:t xml:space="preserve">Confirmer le bon fonctionnement réel des services, au-delà de l’absence d’erreur d’exécution</w:t>
      </w:r>
    </w:p>
    <w:p>
      <w:pPr>
        <w:pStyle w:val="Compact"/>
        <w:numPr>
          <w:ilvl w:val="1"/>
          <w:numId w:val="2899"/>
        </w:numPr>
      </w:pPr>
    </w:p>
    <w:p>
      <w:pPr>
        <w:pStyle w:val="Compact"/>
        <w:numPr>
          <w:ilvl w:val="2"/>
          <w:numId w:val="2902"/>
        </w:numPr>
      </w:pPr>
      <w:r>
        <w:t xml:space="preserve">Documenter automatiquement l’architecture globale</w:t>
      </w:r>
    </w:p>
    <w:p>
      <w:pPr>
        <w:pStyle w:val="Compact"/>
        <w:numPr>
          <w:ilvl w:val="1"/>
          <w:numId w:val="2899"/>
        </w:numPr>
      </w:pPr>
    </w:p>
    <w:p>
      <w:pPr>
        <w:pStyle w:val="Compact"/>
        <w:numPr>
          <w:ilvl w:val="2"/>
          <w:numId w:val="2903"/>
        </w:numPr>
      </w:pPr>
      <w:r>
        <w:t xml:space="preserve">Réduire le temps d’exécution du playbook</w:t>
      </w:r>
    </w:p>
    <w:p>
      <w:pPr>
        <w:pStyle w:val="FirstParagraph"/>
      </w:pPr>
      <w:r>
        <w:rPr>
          <w:b/>
          <w:bCs/>
        </w:rPr>
        <w:t xml:space="preserve">Corrigé</w:t>
      </w:r>
      <w:r>
        <w:t xml:space="preserve"> </w:t>
      </w:r>
      <w:r>
        <w:t xml:space="preserve">: 1-b, 2-b, 3-b.</w:t>
      </w:r>
    </w:p>
    <w:p>
      <w:pPr>
        <w:pStyle w:val="BodyText"/>
      </w:pPr>
      <w:r>
        <w:t xml:space="preserve">📝 Vrai ou Faux</w:t>
      </w:r>
    </w:p>
    <w:p>
      <w:pPr>
        <w:pStyle w:val="Compact"/>
        <w:numPr>
          <w:ilvl w:val="0"/>
          <w:numId w:val="2904"/>
        </w:numPr>
      </w:pPr>
      <w:r>
        <w:t xml:space="preserve">Un déploiement manuel exceptionnel, réalisé pour respecter un délai serré, ne présente aucun risque particulier tant qu’il est bien documenté. —</w:t>
      </w:r>
      <w:r>
        <w:t xml:space="preserve"> </w:t>
      </w:r>
      <w:r>
        <w:rPr>
          <w:b/>
          <w:bCs/>
        </w:rPr>
        <w:t xml:space="preserve">Faux</w:t>
      </w:r>
      <w:r>
        <w:t xml:space="preserve"> </w:t>
      </w:r>
      <w:r>
        <w:t xml:space="preserve">(section</w:t>
      </w:r>
      <w:r>
        <w:t xml:space="preserve"> </w:t>
      </w:r>
      <w:r>
        <w:t xml:space="preserve">“Erreur n°1”</w:t>
      </w:r>
      <w:r>
        <w:t xml:space="preserve">).</w:t>
      </w:r>
    </w:p>
    <w:p>
      <w:pPr>
        <w:pStyle w:val="Compact"/>
        <w:numPr>
          <w:ilvl w:val="0"/>
          <w:numId w:val="2904"/>
        </w:numPr>
      </w:pPr>
      <w:r>
        <w:t xml:space="preserve">Le nouveau site peut être ajouté à l’inventaire Ansible existant sans nécessiter de nouveau playbook. —</w:t>
      </w:r>
      <w:r>
        <w:t xml:space="preserve"> </w:t>
      </w:r>
      <w:r>
        <w:rPr>
          <w:b/>
          <w:bCs/>
        </w:rPr>
        <w:t xml:space="preserve">Vrai</w:t>
      </w:r>
      <w:r>
        <w:t xml:space="preserve"> </w:t>
      </w:r>
      <w:r>
        <w:t xml:space="preserve">(section 82.3).</w:t>
      </w:r>
    </w:p>
    <w:p>
      <w:pPr>
        <w:pStyle w:val="Compact"/>
        <w:numPr>
          <w:ilvl w:val="0"/>
          <w:numId w:val="2904"/>
        </w:numPr>
      </w:pPr>
      <w:r>
        <w:t xml:space="preserve">L’absence d’erreur durant l’exécution d’un playbook garantit à elle seule le bon fonctionnement réel des services déployés. —</w:t>
      </w:r>
      <w:r>
        <w:t xml:space="preserve"> </w:t>
      </w:r>
      <w:r>
        <w:rPr>
          <w:b/>
          <w:bCs/>
        </w:rPr>
        <w:t xml:space="preserve">Faux</w:t>
      </w:r>
      <w:r>
        <w:t xml:space="preserve"> </w:t>
      </w:r>
      <w:r>
        <w:t xml:space="preserve">(section 82.6).</w:t>
      </w:r>
    </w:p>
    <w:p>
      <w:pPr>
        <w:pStyle w:val="Compact"/>
        <w:numPr>
          <w:ilvl w:val="0"/>
          <w:numId w:val="2904"/>
        </w:numPr>
      </w:pPr>
      <w:r>
        <w:t xml:space="preserve">Le durcissement CIS Benchmarks devrait être appliqué après le déploiement initial, plutôt qu’intégré dès le départ. —</w:t>
      </w:r>
      <w:r>
        <w:t xml:space="preserve"> </w:t>
      </w:r>
      <w:r>
        <w:rPr>
          <w:b/>
          <w:bCs/>
        </w:rPr>
        <w:t xml:space="preserve">Faux</w:t>
      </w:r>
      <w:r>
        <w:t xml:space="preserve"> </w:t>
      </w:r>
      <w:r>
        <w:t xml:space="preserve">(section 82.5).</w:t>
      </w:r>
    </w:p>
    <w:p>
      <w:pPr>
        <w:pStyle w:val="FirstParagraph"/>
      </w:pPr>
      <w:r>
        <w:t xml:space="preserve">📝 Questions ouvertes</w:t>
      </w:r>
    </w:p>
    <w:p>
      <w:pPr>
        <w:pStyle w:val="Compact"/>
        <w:numPr>
          <w:ilvl w:val="0"/>
          <w:numId w:val="2905"/>
        </w:numPr>
      </w:pPr>
      <w:r>
        <w:t xml:space="preserve">Explique pourquoi le DSI, dans le scénario d’ouverture, refuse la proposition de déploiement manuel exceptionnel malgré l’urgence réelle du délai d’ouverture du nouveau site.</w:t>
      </w:r>
    </w:p>
    <w:p>
      <w:pPr>
        <w:pStyle w:val="Compact"/>
        <w:numPr>
          <w:ilvl w:val="0"/>
          <w:numId w:val="2905"/>
        </w:numPr>
      </w:pPr>
      <w:r>
        <w:t xml:space="preserve">Un collègue propose de valider le succès du déploiement du nouveau site uniquement sur la base de l’absence d’erreur affichée par Ansible durant l’exécution du playbook. Explique pourquoi cette validation reste insuffisante.</w:t>
      </w:r>
    </w:p>
    <w:p>
      <w:pPr>
        <w:pStyle w:val="FirstParagraph"/>
      </w:pPr>
      <w:r>
        <w:rPr>
          <w:b/>
          <w:bCs/>
        </w:rPr>
        <w:t xml:space="preserve">Corrigé 1</w:t>
      </w:r>
      <w:r>
        <w:t xml:space="preserve"> </w:t>
      </w:r>
      <w:r>
        <w:t xml:space="preserve">: le DSI reconnaît que l’urgence du délai, bien que réelle, ne justifie pas de recréer un risque déjà identifié et résolu par l’automatisation existante — un déploiement manuel</w:t>
      </w:r>
      <w:r>
        <w:t xml:space="preserve"> </w:t>
      </w:r>
      <w:r>
        <w:t xml:space="preserve">“exceptionnel”</w:t>
      </w:r>
      <w:r>
        <w:t xml:space="preserve"> </w:t>
      </w:r>
      <w:r>
        <w:t xml:space="preserve">laisserait le nouveau site dans un état de configuration potentiellement divergent des trois autres, exactement le problème que l’adoption d’Ansible au chapitre 52 avait pour but d’éliminer structurellement. De plus, l’automatisation existante ne rend pas nécessairement le déploiement plus lent qu’une approche manuelle — au contraire, elle devrait accélérer un déploiement déjà éprouvé sur trois sites précédents, rendant l’argument de gain de temps par le contournement manuel discutable dans les faits, pas seulement risqué en principe.</w:t>
      </w:r>
    </w:p>
    <w:p>
      <w:pPr>
        <w:pStyle w:val="BodyText"/>
      </w:pPr>
      <w:r>
        <w:rPr>
          <w:b/>
          <w:bCs/>
        </w:rPr>
        <w:t xml:space="preserve">Corrigé 2</w:t>
      </w:r>
      <w:r>
        <w:t xml:space="preserve"> </w:t>
      </w:r>
      <w:r>
        <w:t xml:space="preserve">: l’exécution sans erreur d’un playbook Ansible confirme uniquement que chaque tâche technique s’est déroulée sans échec immédiat détecté par l’outil lui-même — elle ne garantit pas que le service configuré fonctionne réellement comme attendu dans son usage concret. Un service pourrait démarrer sans erreur technique tout en étant mal configuré fonctionnellement (une résolution DNS incorrecte, un agent de supervision démarré mais ne remontant aucune métrique réelle) — des problèmes invisibles à Ansible lui-même mais détectables par une validation fonctionnelle explicite (section 82.6), comme celle déjà pratiquée pour chaque étape critique d’un pipeline de déploiement tout au long de ce manuel.</w:t>
      </w:r>
    </w:p>
    <w:bookmarkEnd w:id="2000"/>
    <w:bookmarkStart w:id="2001" w:name="exercices-81"/>
    <w:p>
      <w:pPr>
        <w:pStyle w:val="Heading2"/>
      </w:pPr>
      <w:r>
        <w:t xml:space="preserve">Exercices</w:t>
      </w:r>
    </w:p>
    <w:p>
      <w:pPr>
        <w:pStyle w:val="FirstParagraph"/>
      </w:pPr>
      <w:r>
        <w:t xml:space="preserve">📝 Exercice 82.1</w:t>
      </w:r>
    </w:p>
    <w:p>
      <w:pPr>
        <w:pStyle w:val="BodyText"/>
      </w:pPr>
      <w:r>
        <w:t xml:space="preserve">Ordonne les tâches suivantes selon leurs dépendances logiques pour le déploiement d’un nouveau serveur applicatif sur le nouveau site : configuration de l’agent EDR, installation du système d’exploitation durci selon les CIS Benchmarks, connexion au VPN vers le siège, authentification contre le contrôleur de domaine du siège, configuration de l’agent de supervision.</w:t>
      </w:r>
    </w:p>
    <w:p>
      <w:pPr>
        <w:pStyle w:val="BodyText"/>
      </w:pPr>
      <w:r>
        <w:rPr>
          <w:b/>
          <w:bCs/>
        </w:rPr>
        <w:t xml:space="preserve">Corrigé :</w:t>
      </w:r>
      <w:r>
        <w:t xml:space="preserve"> </w:t>
      </w:r>
      <w:r>
        <w:t xml:space="preserve">L’ordre logique serait : 1) installation du système d’exploitation durci selon les CIS Benchmarks (la fondation du serveur lui-même, section 82.5) ; 2) connexion au VPN vers le siège (nécessaire pour toute communication ultérieure avec les services centralisés) ; 3) authentification contre le contrôleur de domaine du siège (dépend de la connectivité VPN établie à l’étape précédente, rappel de l’architecture du chapitre 81) ; 4) configuration de l’agent de supervision (peut nécessiter une identification du serveur, généralement liée à son intégration au domaine) ; 5) configuration de l’agent EDR (typiquement indépendant de l’authentification au domaine, mais placé en dernier pour confirmer que le serveur est pleinement intégré et fonctionnel avant l’activation de sa protection active). Cet ordre respecte le principe de dépendance déjà établi à la section 82.4 — chaque étape s’appuie sur la réussite effective de la précédente.</w:t>
      </w:r>
    </w:p>
    <w:p>
      <w:pPr>
        <w:pStyle w:val="BodyText"/>
      </w:pPr>
      <w:r>
        <w:t xml:space="preserve">📝 Exercice 82.2</w:t>
      </w:r>
    </w:p>
    <w:p>
      <w:pPr>
        <w:pStyle w:val="BodyText"/>
      </w:pPr>
      <w:r>
        <w:t xml:space="preserve">Rédige, en 3 à 5 phrases, une règle d’équipe interdisant tout déploiement manuel exceptionnel, même sous la pression d’un délai commercial urgent, en t’appuyant sur le scénario d’ouverture de ce chapitre.</w:t>
      </w:r>
    </w:p>
    <w:p>
      <w:pPr>
        <w:pStyle w:val="BodyText"/>
      </w:pPr>
      <w:r>
        <w:rPr>
          <w:b/>
          <w:bCs/>
        </w:rPr>
        <w:t xml:space="preserve">Corrigé (exemple de réponse) :</w:t>
      </w:r>
      <w:r>
        <w:t xml:space="preserve"> </w:t>
      </w:r>
      <w:r>
        <w:t xml:space="preserve">Aucun serveur ou service ne sera déployé en production en dehors de l’automatisation Ansible déjà établie, quelle que soit l’urgence commerciale invoquée pour justifier une exception ponctuelle. Toute contrainte de délai perçue comme incompatible avec le déploiement automatisé standard sera traitée comme un problème à résoudre au sein du processus d’automatisation lui-même (par exemple, en accélérant ou en parallélisant certaines étapes), plutôt que comme une justification pour le contourner. Cette règle s’applique en particulier à l’ouverture de tout nouveau site, garantissant que la cohérence structurelle de configuration entre tous les sites de l’organisation ne soit jamais compromise par une pression temporelle ponctuelle, aussi légitime soit-elle par ailleurs.</w:t>
      </w:r>
    </w:p>
    <w:bookmarkEnd w:id="2001"/>
    <w:bookmarkStart w:id="2002" w:name="checklist-de-fin-de-chapitre-81"/>
    <w:p>
      <w:pPr>
        <w:pStyle w:val="Heading2"/>
      </w:pPr>
      <w:r>
        <w:t xml:space="preserve">Checklist de fin de chapitre</w:t>
      </w:r>
    </w:p>
    <w:p>
      <w:pPr>
        <w:pStyle w:val="FirstParagraph"/>
      </w:pPr>
      <w:r>
        <w:t xml:space="preserve">☐ Je comprends pourquoi un déploiement automatisé reste préférable à un déploiement manuel, même exceptionnel.</w:t>
      </w:r>
    </w:p>
    <w:p>
      <w:pPr>
        <w:pStyle w:val="BodyText"/>
      </w:pPr>
      <w:r>
        <w:t xml:space="preserve">☐ Je sais structurer un déploiement multi-sites avec des rôles Ansible réutilisables.</w:t>
      </w:r>
    </w:p>
    <w:p>
      <w:pPr>
        <w:pStyle w:val="BodyText"/>
      </w:pPr>
      <w:r>
        <w:t xml:space="preserve">☐ Je sais respecter l’ordre de dépendance entre services dans un playbook de déploiement.</w:t>
      </w:r>
    </w:p>
    <w:p>
      <w:pPr>
        <w:pStyle w:val="BodyText"/>
      </w:pPr>
      <w:r>
        <w:t xml:space="preserve">☐ Je sais intégrer le durcissement CIS Benchmarks dès le déploiement initial d’un serveur.</w:t>
      </w:r>
    </w:p>
    <w:p>
      <w:pPr>
        <w:pStyle w:val="BodyText"/>
      </w:pPr>
      <w:r>
        <w:t xml:space="preserve">☐ Je sais concevoir une validation post-déploiement confirmant le bon fonctionnement réel des services.</w:t>
      </w:r>
    </w:p>
    <w:p>
      <w:pPr>
        <w:pStyle w:val="BodyText"/>
      </w:pPr>
      <w:r>
        <w:t xml:space="preserve">☐ Je comprends l’importance de documenter chaque déploiement réalisé.</w:t>
      </w:r>
    </w:p>
    <w:bookmarkEnd w:id="2002"/>
    <w:bookmarkStart w:id="2003" w:name="faq-81"/>
    <w:p>
      <w:pPr>
        <w:pStyle w:val="Heading2"/>
      </w:pPr>
      <w:r>
        <w:t xml:space="preserve">FAQ</w:t>
      </w:r>
    </w:p>
    <w:p>
      <w:pPr>
        <w:pStyle w:val="FirstParagraph"/>
      </w:pPr>
      <w:r>
        <w:t xml:space="preserve">Faut-il un playbook Ansible entièrement distinct pour chaque nouveau site ?</w:t>
      </w:r>
    </w:p>
    <w:p>
      <w:pPr>
        <w:pStyle w:val="BodyText"/>
      </w:pPr>
      <w:r>
        <w:t xml:space="preserve">Non, l’objectif même de l’automatisation par rôles réutilisables (chapitre 53) est de permettre l’ajout d’un nouveau site simplement en l’intégrant à l’inventaire existant avec les groupes appropriés, sans nécessiter de nouveau playbook dédié.</w:t>
      </w:r>
    </w:p>
    <w:p>
      <w:pPr>
        <w:pStyle w:val="BodyText"/>
      </w:pPr>
      <w:r>
        <w:t xml:space="preserve">Que faire si un besoin réellement spécifique à un site ne peut pas être couvert par les rôles génériques existants ?</w:t>
      </w:r>
    </w:p>
    <w:p>
      <w:pPr>
        <w:pStyle w:val="BodyText"/>
      </w:pPr>
      <w:r>
        <w:t xml:space="preserve">Un nouveau rôle spécifique peut être créé pour ce besoin particulier, tout en conservant les rôles génériques pour l’ensemble des besoins communs — l’objectif reste la réutilisation maximale, pas une uniformité absolue qui ignorerait un besoin légitimement distinct.</w:t>
      </w:r>
    </w:p>
    <w:p>
      <w:pPr>
        <w:pStyle w:val="BodyText"/>
      </w:pPr>
      <w:r>
        <w:t xml:space="preserve">Combien de temps devrait prendre le déploiement d’un nouveau site avec cette automatisation déjà en place ?</w:t>
      </w:r>
    </w:p>
    <w:p>
      <w:pPr>
        <w:pStyle w:val="BodyText"/>
      </w:pPr>
      <w:r>
        <w:t xml:space="preserve">Significativement moins de temps qu’un déploiement manuel équivalent, une fois l’inventaire mis à jour — la durée exacte dépend du nombre de serveurs et de rôles à appliquer, mais l’essentiel du travail de configuration a déjà été capitalisé dans l’automatisation existante lors des déploiements précédents.</w:t>
      </w:r>
    </w:p>
    <w:p>
      <w:pPr>
        <w:pStyle w:val="BodyText"/>
      </w:pPr>
      <w:r>
        <w:t xml:space="preserve">La validation post-déploiement doit-elle être manuelle ou peut-elle également être automatisée ?</w:t>
      </w:r>
    </w:p>
    <w:p>
      <w:pPr>
        <w:pStyle w:val="BodyText"/>
      </w:pPr>
      <w:r>
        <w:t xml:space="preserve">Une validation automatisée, intégrée directement au processus de déploiement, reste préférable à une vérification manuelle a posteriori — reproduisant le même principe déjà établi pour les vérifications automatisées du pipeline DevSecOps au chapitre 57.</w:t>
      </w:r>
    </w:p>
    <w:bookmarkEnd w:id="2003"/>
    <w:bookmarkStart w:id="2004" w:name="références-et-pour-aller-plus-loin-81"/>
    <w:p>
      <w:pPr>
        <w:pStyle w:val="Heading2"/>
      </w:pPr>
      <w:r>
        <w:t xml:space="preserve">Références et pour aller plus loin</w:t>
      </w:r>
    </w:p>
    <w:p>
      <w:pPr>
        <w:pStyle w:val="Compact"/>
        <w:numPr>
          <w:ilvl w:val="0"/>
          <w:numId w:val="2906"/>
        </w:numPr>
      </w:pPr>
      <w:r>
        <w:t xml:space="preserve">Documentation officielle Ansible — Roles : rappel du chapitre 53 de ce manuel.</w:t>
      </w:r>
    </w:p>
    <w:p>
      <w:pPr>
        <w:pStyle w:val="Compact"/>
        <w:numPr>
          <w:ilvl w:val="0"/>
          <w:numId w:val="2906"/>
        </w:numPr>
      </w:pPr>
      <w:r>
        <w:t xml:space="preserve">Microsoft Learn — Bonnes pratiques de déploiement Active Directory multi-sites : rappel des chapitres 5-6 de ce manuel.</w:t>
      </w:r>
    </w:p>
    <w:p>
      <w:pPr>
        <w:pStyle w:val="FirstParagraph"/>
      </w:pPr>
      <w:r>
        <w:rPr>
          <w:i/>
          <w:iCs/>
        </w:rPr>
        <w:t xml:space="preserve">Chapitre suivant : la conteneurisation et le CI/CD du projet — étendre l’automatisation de ce chapitre aux applications conteneurisées de l’entreprise, notamment pour le nouveau site s’il vient à héberger des services applicatifs propres.</w:t>
      </w:r>
    </w:p>
    <w:p>
      <w:pPr>
        <w:pStyle w:val="BodyText"/>
      </w:pPr>
      <w:r>
        <w:t xml:space="preserve">CHAPITRE 83</w:t>
      </w:r>
    </w:p>
    <w:bookmarkEnd w:id="2004"/>
    <w:bookmarkEnd w:id="2005"/>
    <w:bookmarkStart w:id="2025" w:name="conteneurisation-et-cicd-du-projet"/>
    <w:p>
      <w:pPr>
        <w:pStyle w:val="Heading1"/>
      </w:pPr>
      <w:r>
        <w:t xml:space="preserve">Conteneurisation et CI/CD du projet</w:t>
      </w:r>
    </w:p>
    <w:p>
      <w:pPr>
        <w:pStyle w:val="FirstParagraph"/>
      </w:pPr>
      <w:r>
        <w:t xml:space="preserve">🎯 Objectif du chapitre</w:t>
      </w:r>
      <w:r>
        <w:t xml:space="preserve"> </w:t>
      </w:r>
      <w:r>
        <w:t xml:space="preserve">Étendre l’automatisation du chapitre précédent aux applications conteneurisées de l’entreprise, en répondant à un nouveau besoin applicatif du site récemment ouvert. À la fin de ce chapitre, tu sauras déployer une nouvelle application sur le cluster Kubernetes existant plutôt que d’en construire un nouveau, isoler cette application via un namespace dédié, et construire un pipeline CI/CD complet reprenant les fondations déjà établies aux chapitres 56 et 57.</w:t>
      </w:r>
    </w:p>
    <w:p>
      <w:pPr>
        <w:pStyle w:val="BodyText"/>
      </w:pPr>
      <w:r>
        <w:t xml:space="preserve">🎬 Mise en situation</w:t>
      </w:r>
      <w:r>
        <w:t xml:space="preserve"> </w:t>
      </w:r>
      <w:r>
        <w:t xml:space="preserve">L’équipe commerciale du nouveau site demande un petit outil interne de suivi des prospects, distinct du portail client déjà en production. Un développeur propose de construire un nouveau cluster Kubernetes dédié à cette application,</w:t>
      </w:r>
      <w:r>
        <w:t xml:space="preserve"> </w:t>
      </w:r>
      <w:r>
        <w:t xml:space="preserve">“pour ne pas risquer d’interférer avec le portail existant”</w:t>
      </w:r>
      <w:r>
        <w:t xml:space="preserve">. Le DSI s’interroge :</w:t>
      </w:r>
      <w:r>
        <w:t xml:space="preserve"> </w:t>
      </w:r>
      <w:r>
        <w:t xml:space="preserve">“On a déjà un cluster Kubernetes opérationnel depuis la Partie 7, avec toute l’automatisation et la supervision qui vont avec. Pourquoi en construire un second, avec le double de maintenance, plutôt que d’isoler proprement cette nouvelle application sur celui qu’on a déjà ?”</w:t>
      </w:r>
      <w:r>
        <w:t xml:space="preserve"> </w:t>
      </w:r>
      <w:r>
        <w:t xml:space="preserve">Ce chapitre répond directement à cette question, en réutilisant systématiquement l’infrastructure conteneurisée déjà construite.</w:t>
      </w:r>
    </w:p>
    <w:bookmarkStart w:id="2006" w:name="X44b8bc23f2a2133df9d77362cbaf643193c71af"/>
    <w:p>
      <w:pPr>
        <w:pStyle w:val="Heading2"/>
      </w:pPr>
      <w:r>
        <w:t xml:space="preserve">83.1 Le problème : une nouvelle application, quelle approche choisir</w:t>
      </w:r>
    </w:p>
    <w:p>
      <w:pPr>
        <w:pStyle w:val="FirstParagraph"/>
      </w:pPr>
      <w:r>
        <w:t xml:space="preserve">📌 À retenir — rappel direct du chapitre 39</w:t>
      </w:r>
      <w:r>
        <w:t xml:space="preserve"> </w:t>
      </w:r>
      <w:r>
        <w:t xml:space="preserve">Exactement le même raisonnement déjà établi au chapitre 39 pour justifier la conteneurisation du portail client s’applique à ce nouvel outil interne — une application autonome, avec ses propres dépendances, bénéficie directement de la reproductibilité et de la portabilité déjà démontrées. La question posée par le DSI dans le scénario d’ouverture ne porte donc pas sur le choix de conteneuriser (déjà justifié), mais sur l’opportunité de dupliquer l’infrastructure Kubernetes plutôt que de réutiliser celle déjà en place.</w:t>
      </w:r>
    </w:p>
    <w:bookmarkEnd w:id="2006"/>
    <w:bookmarkStart w:id="2007" w:name="X8dc2a97b938ceee885cfa6d498392e0129b41aa"/>
    <w:p>
      <w:pPr>
        <w:pStyle w:val="Heading2"/>
      </w:pPr>
      <w:r>
        <w:t xml:space="preserve">83.2 Réutiliser le cluster existant plutôt qu’en construire un nouveau</w:t>
      </w:r>
    </w:p>
    <w:p>
      <w:pPr>
        <w:pStyle w:val="FirstParagraph"/>
      </w:pPr>
      <w:r>
        <w:t xml:space="preserve">✅ Répondre directement au scénario d’ouverture</w:t>
      </w:r>
      <w:r>
        <w:t xml:space="preserve"> </w:t>
      </w:r>
      <w:r>
        <w:t xml:space="preserve">Un cluster Kubernetes supplémentaire dédié à une seule application modeste représente une duplication de maintenance, de supervision et de coûts difficilement justifiable — exactement le même raisonnement d’évitement de duplication déjà établi pour la configuration Terraform au chapitre 55. Le cluster existant, déjà supervisé (Prometheus, chapitre 60) et sécurisé (RBAC, chapitre 44), peut accueillir cette nouvelle application dans un</w:t>
      </w:r>
      <w:r>
        <w:t xml:space="preserve"> </w:t>
      </w:r>
      <w:r>
        <w:rPr>
          <w:b/>
          <w:bCs/>
        </w:rPr>
        <w:t xml:space="preserve">namespace</w:t>
      </w:r>
      <w:r>
        <w:t xml:space="preserve"> </w:t>
      </w:r>
      <w:r>
        <w:t xml:space="preserve">dédié, isolant ses ressources sans nécessiter une infrastructure entièrement distincte.</w:t>
      </w:r>
    </w:p>
    <w:p>
      <w:pPr>
        <w:pStyle w:val="SourceCode"/>
      </w:pPr>
      <w:r>
        <w:rPr>
          <w:rStyle w:val="ExtensionTok"/>
        </w:rPr>
        <w:t xml:space="preserve">kubectl</w:t>
      </w:r>
      <w:r>
        <w:rPr>
          <w:rStyle w:val="NormalTok"/>
        </w:rPr>
        <w:t xml:space="preserve"> create namespace suivi-prospects</w:t>
      </w:r>
    </w:p>
    <w:bookmarkEnd w:id="2007"/>
    <w:bookmarkStart w:id="2008" w:name="X2797fe37370d3c2bd7ef666817521e8ac25a799"/>
    <w:p>
      <w:pPr>
        <w:pStyle w:val="Heading2"/>
      </w:pPr>
      <w:r>
        <w:t xml:space="preserve">83.3 Isoler la nouvelle application via RBAC et quotas de ressources</w:t>
      </w:r>
    </w:p>
    <w:p>
      <w:pPr>
        <w:pStyle w:val="FirstParagraph"/>
      </w:pPr>
      <w:r>
        <w:t xml:space="preserve">🔒 Sécurité — rappel direct du chapitre 44</w:t>
      </w:r>
      <w:r>
        <w:t xml:space="preserve"> </w:t>
      </w:r>
      <w:r>
        <w:t xml:space="preserve">Le namespace dédié, combiné à des règles RBAC restreignant l’accès des équipes à leur propre namespace (rappel direct du chapitre 44) et à des quotas de ressources limitant la consommation CPU et mémoire de cette nouvelle application, empêche toute interférence avec le portail client existant sur le même cluster — répondant directement à la préoccupation légitime soulevée par le développeur dans le scénario d’ouverture, sans nécessiter la duplication complète d’infrastructure qu’il proposait initialement.</w:t>
      </w:r>
    </w:p>
    <w:p>
      <w:pPr>
        <w:pStyle w:val="SourceCode"/>
      </w:pPr>
      <w:r>
        <w:rPr>
          <w:rStyle w:val="FunctionTok"/>
        </w:rPr>
        <w:t xml:space="preserve">apiVersion</w:t>
      </w:r>
      <w:r>
        <w:rPr>
          <w:rStyle w:val="KeywordTok"/>
        </w:rPr>
        <w:t xml:space="preserve">:</w:t>
      </w:r>
      <w:r>
        <w:rPr>
          <w:rStyle w:val="AttributeTok"/>
        </w:rPr>
        <w:t xml:space="preserve"> v1</w:t>
      </w:r>
      <w:r>
        <w:br/>
      </w:r>
      <w:r>
        <w:rPr>
          <w:rStyle w:val="FunctionTok"/>
        </w:rPr>
        <w:t xml:space="preserve">kind</w:t>
      </w:r>
      <w:r>
        <w:rPr>
          <w:rStyle w:val="KeywordTok"/>
        </w:rPr>
        <w:t xml:space="preserve">:</w:t>
      </w:r>
      <w:r>
        <w:rPr>
          <w:rStyle w:val="AttributeTok"/>
        </w:rPr>
        <w:t xml:space="preserve"> ResourceQuota</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quota-suivi-prospects</w:t>
      </w:r>
      <w:r>
        <w:br/>
      </w:r>
      <w:r>
        <w:rPr>
          <w:rStyle w:val="AttributeTok"/>
        </w:rPr>
        <w:t xml:space="preserve">  </w:t>
      </w:r>
      <w:r>
        <w:rPr>
          <w:rStyle w:val="FunctionTok"/>
        </w:rPr>
        <w:t xml:space="preserve">namespace</w:t>
      </w:r>
      <w:r>
        <w:rPr>
          <w:rStyle w:val="KeywordTok"/>
        </w:rPr>
        <w:t xml:space="preserve">:</w:t>
      </w:r>
      <w:r>
        <w:rPr>
          <w:rStyle w:val="AttributeTok"/>
        </w:rPr>
        <w:t xml:space="preserve"> suivi-prospects</w:t>
      </w:r>
      <w:r>
        <w:br/>
      </w:r>
      <w:r>
        <w:rPr>
          <w:rStyle w:val="FunctionTok"/>
        </w:rPr>
        <w:t xml:space="preserve">spec</w:t>
      </w:r>
      <w:r>
        <w:rPr>
          <w:rStyle w:val="KeywordTok"/>
        </w:rPr>
        <w:t xml:space="preserve">:</w:t>
      </w:r>
      <w:r>
        <w:br/>
      </w:r>
      <w:r>
        <w:rPr>
          <w:rStyle w:val="AttributeTok"/>
        </w:rPr>
        <w:t xml:space="preserve">  </w:t>
      </w:r>
      <w:r>
        <w:rPr>
          <w:rStyle w:val="FunctionTok"/>
        </w:rPr>
        <w:t xml:space="preserve">hard</w:t>
      </w:r>
      <w:r>
        <w:rPr>
          <w:rStyle w:val="KeywordTok"/>
        </w:rPr>
        <w:t xml:space="preserve">:</w:t>
      </w:r>
      <w:r>
        <w:br/>
      </w:r>
      <w:r>
        <w:rPr>
          <w:rStyle w:val="AttributeTok"/>
        </w:rPr>
        <w:t xml:space="preserve">    </w:t>
      </w:r>
      <w:r>
        <w:rPr>
          <w:rStyle w:val="FunctionTok"/>
        </w:rPr>
        <w:t xml:space="preserve">requests.cpu</w:t>
      </w:r>
      <w:r>
        <w:rPr>
          <w:rStyle w:val="KeywordTok"/>
        </w:rPr>
        <w:t xml:space="preserve">:</w:t>
      </w:r>
      <w:r>
        <w:rPr>
          <w:rStyle w:val="AttributeTok"/>
        </w:rPr>
        <w:t xml:space="preserve"> </w:t>
      </w:r>
      <w:r>
        <w:rPr>
          <w:rStyle w:val="StringTok"/>
        </w:rPr>
        <w:t xml:space="preserve">"2"</w:t>
      </w:r>
      <w:r>
        <w:br/>
      </w:r>
      <w:r>
        <w:rPr>
          <w:rStyle w:val="AttributeTok"/>
        </w:rPr>
        <w:t xml:space="preserve">    </w:t>
      </w:r>
      <w:r>
        <w:rPr>
          <w:rStyle w:val="FunctionTok"/>
        </w:rPr>
        <w:t xml:space="preserve">requests.memory</w:t>
      </w:r>
      <w:r>
        <w:rPr>
          <w:rStyle w:val="KeywordTok"/>
        </w:rPr>
        <w:t xml:space="preserve">:</w:t>
      </w:r>
      <w:r>
        <w:rPr>
          <w:rStyle w:val="AttributeTok"/>
        </w:rPr>
        <w:t xml:space="preserve"> 4Gi</w:t>
      </w:r>
      <w:r>
        <w:br/>
      </w:r>
      <w:r>
        <w:rPr>
          <w:rStyle w:val="AttributeTok"/>
        </w:rPr>
        <w:t xml:space="preserve">    </w:t>
      </w:r>
      <w:r>
        <w:rPr>
          <w:rStyle w:val="FunctionTok"/>
        </w:rPr>
        <w:t xml:space="preserve">limits.cpu</w:t>
      </w:r>
      <w:r>
        <w:rPr>
          <w:rStyle w:val="KeywordTok"/>
        </w:rPr>
        <w:t xml:space="preserve">:</w:t>
      </w:r>
      <w:r>
        <w:rPr>
          <w:rStyle w:val="AttributeTok"/>
        </w:rPr>
        <w:t xml:space="preserve"> </w:t>
      </w:r>
      <w:r>
        <w:rPr>
          <w:rStyle w:val="StringTok"/>
        </w:rPr>
        <w:t xml:space="preserve">"4"</w:t>
      </w:r>
      <w:r>
        <w:br/>
      </w:r>
      <w:r>
        <w:rPr>
          <w:rStyle w:val="AttributeTok"/>
        </w:rPr>
        <w:t xml:space="preserve">    </w:t>
      </w:r>
      <w:r>
        <w:rPr>
          <w:rStyle w:val="FunctionTok"/>
        </w:rPr>
        <w:t xml:space="preserve">limits.memory</w:t>
      </w:r>
      <w:r>
        <w:rPr>
          <w:rStyle w:val="KeywordTok"/>
        </w:rPr>
        <w:t xml:space="preserve">:</w:t>
      </w:r>
      <w:r>
        <w:rPr>
          <w:rStyle w:val="AttributeTok"/>
        </w:rPr>
        <w:t xml:space="preserve"> 8Gi</w:t>
      </w:r>
    </w:p>
    <w:bookmarkEnd w:id="2008"/>
    <w:bookmarkStart w:id="2009" w:name="X686a7b8652102b353676e0c83936064f707a1cc"/>
    <w:p>
      <w:pPr>
        <w:pStyle w:val="Heading2"/>
      </w:pPr>
      <w:r>
        <w:t xml:space="preserve">83.4 Le manifeste Kubernetes de la nouvelle application</w:t>
      </w:r>
    </w:p>
    <w:p>
      <w:pPr>
        <w:pStyle w:val="FirstParagraph"/>
      </w:pPr>
      <w:r>
        <w:t xml:space="preserve">💡 Rappel direct du chapitre 43</w:t>
      </w:r>
      <w:r>
        <w:t xml:space="preserve"> </w:t>
      </w:r>
      <w:r>
        <w:t xml:space="preserve">Le déploiement de cet outil de suivi des prospects reprend exactement la même structure de manifeste déjà établie pour le portail client au chapitre 43 — Deployment, Service, Ingress — appliquée simplement dans le nouveau namespace isolé, sans nécessiter de nouvelle méthodologie.</w:t>
      </w:r>
    </w:p>
    <w:p>
      <w:pPr>
        <w:pStyle w:val="SourceCode"/>
      </w:pPr>
      <w:r>
        <w:rPr>
          <w:rStyle w:val="FunctionTok"/>
        </w:rPr>
        <w:t xml:space="preserve">apiVersion</w:t>
      </w:r>
      <w:r>
        <w:rPr>
          <w:rStyle w:val="KeywordTok"/>
        </w:rPr>
        <w:t xml:space="preserve">:</w:t>
      </w:r>
      <w:r>
        <w:rPr>
          <w:rStyle w:val="AttributeTok"/>
        </w:rPr>
        <w:t xml:space="preserve"> apps/v1</w:t>
      </w:r>
      <w:r>
        <w:br/>
      </w:r>
      <w:r>
        <w:rPr>
          <w:rStyle w:val="FunctionTok"/>
        </w:rPr>
        <w:t xml:space="preserve">kind</w:t>
      </w:r>
      <w:r>
        <w:rPr>
          <w:rStyle w:val="KeywordTok"/>
        </w:rPr>
        <w:t xml:space="preserve">:</w:t>
      </w:r>
      <w:r>
        <w:rPr>
          <w:rStyle w:val="AttributeTok"/>
        </w:rPr>
        <w:t xml:space="preserve"> Deployment</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suivi-prospects</w:t>
      </w:r>
      <w:r>
        <w:br/>
      </w:r>
      <w:r>
        <w:rPr>
          <w:rStyle w:val="AttributeTok"/>
        </w:rPr>
        <w:t xml:space="preserve">  </w:t>
      </w:r>
      <w:r>
        <w:rPr>
          <w:rStyle w:val="FunctionTok"/>
        </w:rPr>
        <w:t xml:space="preserve">namespace</w:t>
      </w:r>
      <w:r>
        <w:rPr>
          <w:rStyle w:val="KeywordTok"/>
        </w:rPr>
        <w:t xml:space="preserve">:</w:t>
      </w:r>
      <w:r>
        <w:rPr>
          <w:rStyle w:val="AttributeTok"/>
        </w:rPr>
        <w:t xml:space="preserve"> suivi-prospects</w:t>
      </w:r>
      <w:r>
        <w:br/>
      </w:r>
      <w:r>
        <w:rPr>
          <w:rStyle w:val="FunctionTok"/>
        </w:rPr>
        <w:t xml:space="preserve">spec</w:t>
      </w:r>
      <w:r>
        <w:rPr>
          <w:rStyle w:val="KeywordTok"/>
        </w:rPr>
        <w:t xml:space="preserve">:</w:t>
      </w:r>
      <w:r>
        <w:br/>
      </w:r>
      <w:r>
        <w:rPr>
          <w:rStyle w:val="AttributeTok"/>
        </w:rPr>
        <w:t xml:space="preserve">  </w:t>
      </w:r>
      <w:r>
        <w:rPr>
          <w:rStyle w:val="FunctionTok"/>
        </w:rPr>
        <w:t xml:space="preserve">replicas</w:t>
      </w:r>
      <w:r>
        <w:rPr>
          <w:rStyle w:val="KeywordTok"/>
        </w:rPr>
        <w:t xml:space="preserve">:</w:t>
      </w:r>
      <w:r>
        <w:rPr>
          <w:rStyle w:val="AttributeTok"/>
        </w:rPr>
        <w:t xml:space="preserve"> </w:t>
      </w:r>
      <w:r>
        <w:rPr>
          <w:rStyle w:val="DecValTok"/>
        </w:rPr>
        <w:t xml:space="preserve">2</w:t>
      </w:r>
      <w:r>
        <w:br/>
      </w:r>
      <w:r>
        <w:rPr>
          <w:rStyle w:val="AttributeTok"/>
        </w:rPr>
        <w:t xml:space="preserve">  </w:t>
      </w:r>
      <w:r>
        <w:rPr>
          <w:rStyle w:val="FunctionTok"/>
        </w:rPr>
        <w:t xml:space="preserve">template</w:t>
      </w:r>
      <w:r>
        <w:rPr>
          <w:rStyle w:val="KeywordTok"/>
        </w:rPr>
        <w:t xml:space="preserve">:</w:t>
      </w:r>
      <w:r>
        <w:br/>
      </w:r>
      <w:r>
        <w:rPr>
          <w:rStyle w:val="AttributeTok"/>
        </w:rPr>
        <w:t xml:space="preserve">    </w:t>
      </w:r>
      <w:r>
        <w:rPr>
          <w:rStyle w:val="FunctionTok"/>
        </w:rPr>
        <w:t xml:space="preserve">spec</w:t>
      </w:r>
      <w:r>
        <w:rPr>
          <w:rStyle w:val="KeywordTok"/>
        </w:rPr>
        <w:t xml:space="preserve">:</w:t>
      </w:r>
      <w:r>
        <w:br/>
      </w:r>
      <w:r>
        <w:rPr>
          <w:rStyle w:val="AttributeTok"/>
        </w:rPr>
        <w:t xml:space="preserve">      </w:t>
      </w:r>
      <w:r>
        <w:rPr>
          <w:rStyle w:val="FunctionTok"/>
        </w:rPr>
        <w:t xml:space="preserve">containers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suivi-prospects</w:t>
      </w:r>
      <w:r>
        <w:br/>
      </w:r>
      <w:r>
        <w:rPr>
          <w:rStyle w:val="AttributeTok"/>
        </w:rPr>
        <w:t xml:space="preserve">          </w:t>
      </w:r>
      <w:r>
        <w:rPr>
          <w:rStyle w:val="FunctionTok"/>
        </w:rPr>
        <w:t xml:space="preserve">image</w:t>
      </w:r>
      <w:r>
        <w:rPr>
          <w:rStyle w:val="KeywordTok"/>
        </w:rPr>
        <w:t xml:space="preserve">:</w:t>
      </w:r>
      <w:r>
        <w:rPr>
          <w:rStyle w:val="AttributeTok"/>
        </w:rPr>
        <w:t xml:space="preserve"> registre-interne/suivi-prospects:1.0</w:t>
      </w:r>
      <w:r>
        <w:br/>
      </w:r>
      <w:r>
        <w:rPr>
          <w:rStyle w:val="AttributeTok"/>
        </w:rPr>
        <w:t xml:space="preserve">          </w:t>
      </w:r>
      <w:r>
        <w:rPr>
          <w:rStyle w:val="FunctionTok"/>
        </w:rPr>
        <w:t xml:space="preserve">resources</w:t>
      </w:r>
      <w:r>
        <w:rPr>
          <w:rStyle w:val="KeywordTok"/>
        </w:rPr>
        <w:t xml:space="preserve">:</w:t>
      </w:r>
      <w:r>
        <w:br/>
      </w:r>
      <w:r>
        <w:rPr>
          <w:rStyle w:val="AttributeTok"/>
        </w:rPr>
        <w:t xml:space="preserve">            </w:t>
      </w:r>
      <w:r>
        <w:rPr>
          <w:rStyle w:val="FunctionTok"/>
        </w:rPr>
        <w:t xml:space="preserve">requests</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cpu</w:t>
      </w:r>
      <w:r>
        <w:rPr>
          <w:rStyle w:val="KeywordTok"/>
        </w:rPr>
        <w:t xml:space="preserve">:</w:t>
      </w:r>
      <w:r>
        <w:rPr>
          <w:rStyle w:val="AttributeTok"/>
        </w:rPr>
        <w:t xml:space="preserve"> </w:t>
      </w:r>
      <w:r>
        <w:rPr>
          <w:rStyle w:val="StringTok"/>
        </w:rPr>
        <w:t xml:space="preserve">"200m"</w:t>
      </w:r>
      <w:r>
        <w:rPr>
          <w:rStyle w:val="KeywordTok"/>
        </w:rPr>
        <w:t xml:space="preserve">,</w:t>
      </w:r>
      <w:r>
        <w:rPr>
          <w:rStyle w:val="AttributeTok"/>
        </w:rPr>
        <w:t xml:space="preserve"> </w:t>
      </w:r>
      <w:r>
        <w:rPr>
          <w:rStyle w:val="FunctionTok"/>
        </w:rPr>
        <w:t xml:space="preserve">memory</w:t>
      </w:r>
      <w:r>
        <w:rPr>
          <w:rStyle w:val="KeywordTok"/>
        </w:rPr>
        <w:t xml:space="preserve">:</w:t>
      </w:r>
      <w:r>
        <w:rPr>
          <w:rStyle w:val="AttributeTok"/>
        </w:rPr>
        <w:t xml:space="preserve"> </w:t>
      </w:r>
      <w:r>
        <w:rPr>
          <w:rStyle w:val="StringTok"/>
        </w:rPr>
        <w:t xml:space="preserve">"256Mi"</w:t>
      </w:r>
      <w:r>
        <w:rPr>
          <w:rStyle w:val="AttributeTok"/>
        </w:rPr>
        <w:t xml:space="preserve"> </w:t>
      </w:r>
      <w:r>
        <w:rPr>
          <w:rStyle w:val="KeywordTok"/>
        </w:rPr>
        <w:t xml:space="preserve">}</w:t>
      </w:r>
    </w:p>
    <w:bookmarkEnd w:id="2009"/>
    <w:bookmarkStart w:id="2010" w:name="X6def4f0a92a56d623053af09dc0c9e32b0e6a30"/>
    <w:p>
      <w:pPr>
        <w:pStyle w:val="Heading2"/>
      </w:pPr>
      <w:r>
        <w:t xml:space="preserve">83.5 Un pipeline CI/CD réutilisant le Jenkinsfile déjà éprouvé</w:t>
      </w:r>
    </w:p>
    <w:p>
      <w:pPr>
        <w:pStyle w:val="FirstParagraph"/>
      </w:pPr>
      <w:r>
        <w:t xml:space="preserve">💡 Rappel direct du chapitre 56</w:t>
      </w:r>
      <w:r>
        <w:t xml:space="preserve"> </w:t>
      </w:r>
      <w:r>
        <w:t xml:space="preserve">Plutôt que de rédiger un nouveau Jenkinsfile depuis zéro, le pipeline de cette nouvelle application reprend la structure déjà éprouvée pour le portail client au chapitre 56 (checkout, build de l’image, scan de sécurité, déploiement) — seuls le nom de l’image et le namespace cible changent, exactement le même principe de réutilisation d’une configuration standard déjà rencontré à de nombreuses reprises dans ce manuel, du rôle Ansible au module Terraform.</w:t>
      </w:r>
    </w:p>
    <w:bookmarkEnd w:id="2010"/>
    <w:bookmarkStart w:id="2011" w:name="X15bdc8e49db437653a9e41a7ad76625a42ea1cf"/>
    <w:p>
      <w:pPr>
        <w:pStyle w:val="Heading2"/>
      </w:pPr>
      <w:r>
        <w:t xml:space="preserve">83.6 Intégrer les scans DevSecOps dès le premier déploiement</w:t>
      </w:r>
    </w:p>
    <w:p>
      <w:pPr>
        <w:pStyle w:val="FirstParagraph"/>
      </w:pPr>
      <w:r>
        <w:t xml:space="preserve">🔒 Sécurité — rappel direct du chapitre 57</w:t>
      </w:r>
      <w:r>
        <w:t xml:space="preserve"> </w:t>
      </w:r>
      <w:r>
        <w:t xml:space="preserve">Contrairement à une application historique qui aurait pu être déployée avant l’adoption du pipeline DevSecOps, cette nouvelle application bénéficie dès son premier déploiement de l’ensemble des vérifications de sécurité déjà établies au chapitre 57 — analyse statique, scan de vulnérabilités de l’image, seuils de sévérité calibrés — un avantage direct de la maturité déjà atteinte par l’organisation, évitant de reproduire la dette de sécurité qu’une application plus ancienne aurait pu accumuler avant l’adoption de ces pratiques.</w:t>
      </w:r>
    </w:p>
    <w:bookmarkEnd w:id="2011"/>
    <w:bookmarkStart w:id="2012" w:name="X1ffecf178ec65350ad072f1c644875b85df68d5"/>
    <w:p>
      <w:pPr>
        <w:pStyle w:val="Heading2"/>
      </w:pPr>
      <w:r>
        <w:t xml:space="preserve">83.7 Valider face au cahier des charges du chapitre 80</w:t>
      </w:r>
    </w:p>
    <w:p>
      <w:pPr>
        <w:pStyle w:val="FirstParagraph"/>
      </w:pPr>
      <w:r>
        <w:t xml:space="preserve">✅ Rappel direct des chapitres 80 et 81.7</w:t>
      </w:r>
      <w:r>
        <w:t xml:space="preserve"> </w:t>
      </w:r>
      <w:r>
        <w:t xml:space="preserve">Avant de considérer ce déploiement comme terminé, vérifie qu’il répond bien aux exigences pertinentes du cahier des charges initial — notamment la contrainte de compétences et de budget limitées (section 80.6), largement respectée ici puisqu’aucune nouvelle infrastructure ni compétence supplémentaire n’a été nécessaire, l’ensemble reposant sur des outils déjà maîtrisés par l’équipe.</w:t>
      </w:r>
    </w:p>
    <w:bookmarkEnd w:id="2012"/>
    <w:bookmarkStart w:id="2013" w:name="Xbdb8eaed940e66277e6067d23376d7e1a3ab4e7"/>
    <w:p>
      <w:pPr>
        <w:pStyle w:val="Heading2"/>
      </w:pPr>
      <w:r>
        <w:t xml:space="preserve">Atelier — Déployer l’outil de suivi des prospects</w:t>
      </w:r>
    </w:p>
    <w:p>
      <w:pPr>
        <w:pStyle w:val="FirstParagraph"/>
      </w:pPr>
      <w:r>
        <w:t xml:space="preserve">🛠️ Atelier 83 — Répondre concrètement à la question du DSI</w:t>
      </w:r>
    </w:p>
    <w:p>
      <w:pPr>
        <w:pStyle w:val="BodyText"/>
      </w:pPr>
      <w:r>
        <w:rPr>
          <w:b/>
          <w:bCs/>
        </w:rPr>
        <w:t xml:space="preserve">Objectif</w:t>
      </w:r>
      <w:r>
        <w:t xml:space="preserve"> </w:t>
      </w:r>
      <w:r>
        <w:t xml:space="preserve">: déployer le nouvel outil de suivi des prospects sur le cluster Kubernetes existant, isolé du portail client, via un pipeline CI/CD réutilisant les fondations déjà établies.</w:t>
      </w:r>
    </w:p>
    <w:p>
      <w:pPr>
        <w:pStyle w:val="BodyText"/>
      </w:pPr>
      <w:r>
        <w:rPr>
          <w:b/>
          <w:bCs/>
        </w:rPr>
        <w:t xml:space="preserve">Préparation</w:t>
      </w:r>
      <w:r>
        <w:t xml:space="preserve"> </w:t>
      </w:r>
      <w:r>
        <w:t xml:space="preserve">: le cluster Kubernetes et le pipeline Jenkins déjà opérationnels pour le portail client.</w:t>
      </w:r>
    </w:p>
    <w:p>
      <w:pPr>
        <w:pStyle w:val="BodyText"/>
      </w:pPr>
      <w:r>
        <w:rPr>
          <w:b/>
          <w:bCs/>
        </w:rPr>
        <w:t xml:space="preserve">Étapes détaillées</w:t>
      </w:r>
      <w:r>
        <w:t xml:space="preserve"> </w:t>
      </w:r>
      <w:r>
        <w:t xml:space="preserve">:</w:t>
      </w:r>
    </w:p>
    <w:p>
      <w:pPr>
        <w:pStyle w:val="Compact"/>
        <w:numPr>
          <w:ilvl w:val="0"/>
          <w:numId w:val="2907"/>
        </w:numPr>
      </w:pPr>
      <w:r>
        <w:t xml:space="preserve">Crée le namespace dédié et le quota de ressources associé (sections 83.2-83.3).</w:t>
      </w:r>
    </w:p>
    <w:p>
      <w:pPr>
        <w:pStyle w:val="Compact"/>
        <w:numPr>
          <w:ilvl w:val="0"/>
          <w:numId w:val="2907"/>
        </w:numPr>
      </w:pPr>
      <w:r>
        <w:t xml:space="preserve">Adapte le manifeste Kubernetes du portail client (chapitre 43) pour cette nouvelle application.</w:t>
      </w:r>
    </w:p>
    <w:p>
      <w:pPr>
        <w:pStyle w:val="Compact"/>
        <w:numPr>
          <w:ilvl w:val="0"/>
          <w:numId w:val="2907"/>
        </w:numPr>
      </w:pPr>
      <w:r>
        <w:t xml:space="preserve">Adapte le Jenkinsfile du chapitre 56 pour ce nouveau pipeline, en conservant l’ensemble des étapes de sécurité du chapitre 57.</w:t>
      </w:r>
    </w:p>
    <w:p>
      <w:pPr>
        <w:pStyle w:val="Compact"/>
        <w:numPr>
          <w:ilvl w:val="0"/>
          <w:numId w:val="2907"/>
        </w:numPr>
      </w:pPr>
      <w:r>
        <w:t xml:space="preserve">Vérifie que le namespace isolé empêche effectivement toute interférence de ressources avec le portail client existant.</w:t>
      </w:r>
    </w:p>
    <w:p>
      <w:pPr>
        <w:pStyle w:val="Compact"/>
        <w:numPr>
          <w:ilvl w:val="0"/>
          <w:numId w:val="2907"/>
        </w:numPr>
      </w:pPr>
      <w:r>
        <w:t xml:space="preserve">Compare ta démarche à la section</w:t>
      </w:r>
      <w:r>
        <w:t xml:space="preserve"> </w:t>
      </w:r>
      <w:r>
        <w:t xml:space="preserve">“Résultat attendu”</w:t>
      </w:r>
      <w:r>
        <w:t xml:space="preserve">.</w:t>
      </w:r>
    </w:p>
    <w:p>
      <w:pPr>
        <w:pStyle w:val="FirstParagraph"/>
      </w:pPr>
      <w:r>
        <w:rPr>
          <w:b/>
          <w:bCs/>
        </w:rPr>
        <w:t xml:space="preserve">Résultat attendu</w:t>
      </w:r>
      <w:r>
        <w:t xml:space="preserve"> </w:t>
      </w:r>
      <w:r>
        <w:t xml:space="preserve">: la nouvelle application est déployée sur le cluster existant, isolée par un namespace dédié avec des quotas de ressources empêchant toute interférence avec le portail client, et protégée dès son premier déploiement par l’ensemble des vérifications de sécurité du pipeline DevSecOps. Aucune infrastructure supplémentaire n’a été nécessaire, répondant directement à la préoccupation du DSI dans le scénario d’ouverture — la réutilisation de l’existant, plutôt que la duplication, permet de répondre au nouveau besoin sans alourdir la charge de maintenance de l’équipe.</w:t>
      </w:r>
    </w:p>
    <w:p>
      <w:pPr>
        <w:pStyle w:val="BodyText"/>
      </w:pPr>
      <w:r>
        <w:rPr>
          <w:b/>
          <w:bCs/>
        </w:rPr>
        <w:t xml:space="preserve">Dépannage</w:t>
      </w:r>
      <w:r>
        <w:t xml:space="preserve"> </w:t>
      </w:r>
      <w:r>
        <w:t xml:space="preserve">: si l’application consomme davantage de ressources que prévu et approche la limite du quota configuré, ajuste le quota après analyse du besoin réel plutôt que de le supprimer entièrement — un quota généreux mais toujours présent reste préférable à une absence totale de limite, qui recréerait le risque d’interférence que ce chapitre cherche précisément à éviter.</w:t>
      </w:r>
    </w:p>
    <w:bookmarkEnd w:id="2013"/>
    <w:bookmarkStart w:id="2014" w:name="erreurs-fréquentes-82"/>
    <w:p>
      <w:pPr>
        <w:pStyle w:val="Heading2"/>
      </w:pPr>
      <w:r>
        <w:t xml:space="preserve">Erreurs fréquentes</w:t>
      </w:r>
    </w:p>
    <w:p>
      <w:pPr>
        <w:pStyle w:val="FirstParagraph"/>
      </w:pPr>
      <w:r>
        <w:t xml:space="preserve">⚠️ Erreur n°1 — construire un cluster Kubernetes séparé pour chaque nouvelle application</w:t>
      </w:r>
      <w:r>
        <w:t xml:space="preserve"> </w:t>
      </w:r>
      <w:r>
        <w:t xml:space="preserve">Rappel du scénario d’ouverture : une duplication de maintenance et de coûts rarement justifiée pour une application de taille modeste, alors qu’un namespace isolé répond généralement au même besoin d’isolation.</w:t>
      </w:r>
    </w:p>
    <w:p>
      <w:pPr>
        <w:pStyle w:val="BodyText"/>
      </w:pPr>
      <w:r>
        <w:t xml:space="preserve">⚠️ Erreur n°2 — un déploiement sans namespace dédié ni quota de ressources</w:t>
      </w:r>
      <w:r>
        <w:t xml:space="preserve"> </w:t>
      </w:r>
      <w:r>
        <w:t xml:space="preserve">Rappel de la section 83.3 : une application partageant le même namespace que le portail client sans isolation appropriée risque de consommer des ressources au détriment du service critique existant.</w:t>
      </w:r>
    </w:p>
    <w:p>
      <w:pPr>
        <w:pStyle w:val="BodyText"/>
      </w:pPr>
      <w:r>
        <w:t xml:space="preserve">⚠️ Erreur n°3 — un pipeline CI/CD copié-collé sans reprendre les étapes de sécurité déjà établies</w:t>
      </w:r>
      <w:r>
        <w:t xml:space="preserve"> </w:t>
      </w:r>
      <w:r>
        <w:t xml:space="preserve">Rappel de la section 83.6 : une nouvelle application déployée sans les vérifications DevSecOps déjà maîtrisées par l’organisation reproduirait volontairement une lacune de sécurité pourtant déjà résolue pour les autres applications.</w:t>
      </w:r>
    </w:p>
    <w:bookmarkEnd w:id="2014"/>
    <w:bookmarkStart w:id="2015" w:name="X802b7f0c42ca5e4618dc54e33838b96ab9f6898"/>
    <w:p>
      <w:pPr>
        <w:pStyle w:val="Heading2"/>
      </w:pPr>
      <w:r>
        <w:t xml:space="preserve">Diagnostiquer une nouvelle application qui interfère avec le portail client</w:t>
      </w:r>
    </w:p>
    <w:p>
      <w:pPr>
        <w:pStyle w:val="FirstParagraph"/>
      </w:pPr>
      <w:r>
        <w:t xml:space="preserve">🩺 Symptôme : les performances du portail client se dégradent après le déploiement d’une nouvelle application sur le même cluster Kubernetes</w:t>
      </w:r>
    </w:p>
    <w:p>
      <w:pPr>
        <w:pStyle w:val="Compact"/>
        <w:numPr>
          <w:ilvl w:val="0"/>
          <w:numId w:val="2908"/>
        </w:numPr>
      </w:pPr>
      <w:r>
        <w:rPr>
          <w:b/>
          <w:bCs/>
        </w:rPr>
        <w:t xml:space="preserve">Diagnostic</w:t>
      </w:r>
      <w:r>
        <w:t xml:space="preserve"> </w:t>
      </w:r>
      <w:r>
        <w:t xml:space="preserve">: vérifier si la nouvelle application dispose bien d’un namespace dédié avec des quotas de ressources appropriés, ou si elle consomme des ressources sans limite définie, au détriment des autres charges de travail du cluster.</w:t>
      </w:r>
    </w:p>
    <w:p>
      <w:pPr>
        <w:pStyle w:val="Compact"/>
        <w:numPr>
          <w:ilvl w:val="0"/>
          <w:numId w:val="2908"/>
        </w:numPr>
      </w:pPr>
      <w:r>
        <w:rPr>
          <w:b/>
          <w:bCs/>
        </w:rPr>
        <w:t xml:space="preserve">Comment vérifier</w:t>
      </w:r>
      <w:r>
        <w:t xml:space="preserve"> </w:t>
      </w:r>
      <w:r>
        <w:t xml:space="preserve">: consulter les métriques Prometheus déjà en place (chapitre 60) pour comparer la consommation réelle de ressources de chaque namespace du cluster.</w:t>
      </w:r>
    </w:p>
    <w:p>
      <w:pPr>
        <w:pStyle w:val="Compact"/>
        <w:numPr>
          <w:ilvl w:val="0"/>
          <w:numId w:val="2908"/>
        </w:numPr>
      </w:pPr>
      <w:r>
        <w:rPr>
          <w:b/>
          <w:bCs/>
        </w:rPr>
        <w:t xml:space="preserve">Résolution</w:t>
      </w:r>
      <w:r>
        <w:t xml:space="preserve"> </w:t>
      </w:r>
      <w:r>
        <w:t xml:space="preserve">: définir ou ajuster un quota de ressources approprié pour la nouvelle application, contenant sa consommation dans des limites raisonnables sans affecter les autres charges de travail critiques du cluster.</w:t>
      </w:r>
    </w:p>
    <w:bookmarkEnd w:id="2015"/>
    <w:bookmarkStart w:id="2016" w:name="en-entreprise-82"/>
    <w:p>
      <w:pPr>
        <w:pStyle w:val="Heading2"/>
      </w:pPr>
      <w:r>
        <w:t xml:space="preserve">En entreprise</w:t>
      </w:r>
    </w:p>
    <w:p>
      <w:pPr>
        <w:pStyle w:val="Compact"/>
        <w:numPr>
          <w:ilvl w:val="0"/>
          <w:numId w:val="2909"/>
        </w:numPr>
      </w:pPr>
      <w:r>
        <w:rPr>
          <w:b/>
          <w:bCs/>
        </w:rPr>
        <w:t xml:space="preserve">Bonne pratique répandue</w:t>
      </w:r>
      <w:r>
        <w:t xml:space="preserve"> </w:t>
      </w:r>
      <w:r>
        <w:t xml:space="preserve">: évaluer systématiquement, pour tout nouveau besoin applicatif, si l’infrastructure conteneurisée existante peut l’accueillir avant d’envisager une nouvelle infrastructure dédiée, réservant cette dernière option aux cas où un besoin d’isolation radicale (réglementaire ou technique) le justifie réellement.</w:t>
      </w:r>
    </w:p>
    <w:p>
      <w:pPr>
        <w:pStyle w:val="Compact"/>
        <w:numPr>
          <w:ilvl w:val="0"/>
          <w:numId w:val="2909"/>
        </w:numPr>
      </w:pPr>
      <w:r>
        <w:rPr>
          <w:b/>
          <w:bCs/>
        </w:rPr>
        <w:t xml:space="preserve">Bonne pratique répandue</w:t>
      </w:r>
      <w:r>
        <w:t xml:space="preserve"> </w:t>
      </w:r>
      <w:r>
        <w:t xml:space="preserve">: maintenir un modèle de pipeline CI/CD réutilisable et documenté, réduisant le temps de mise en place pour toute nouvelle application plutôt que de repartir de zéro à chaque fois.</w:t>
      </w:r>
    </w:p>
    <w:p>
      <w:pPr>
        <w:pStyle w:val="Compact"/>
        <w:numPr>
          <w:ilvl w:val="0"/>
          <w:numId w:val="2909"/>
        </w:numPr>
      </w:pPr>
      <w:r>
        <w:rPr>
          <w:b/>
          <w:bCs/>
        </w:rPr>
        <w:t xml:space="preserve">Erreur classique observée</w:t>
      </w:r>
      <w:r>
        <w:t xml:space="preserve"> </w:t>
      </w:r>
      <w:r>
        <w:t xml:space="preserve">: une prolifération de petits clusters Kubernetes dédiés, chacun pour une application unique, résultant d’une succession de décisions individuellement raisonnables mais collectivement coûteuses en maintenance — un piège que la réutilisation systématique de l’infrastructure existante permet d’éviter dès le départ.</w:t>
      </w:r>
    </w:p>
    <w:bookmarkEnd w:id="2016"/>
    <w:bookmarkStart w:id="2017" w:name="entretien-technique-82"/>
    <w:p>
      <w:pPr>
        <w:pStyle w:val="Heading2"/>
      </w:pPr>
      <w:r>
        <w:t xml:space="preserve">Entretien technique</w:t>
      </w:r>
    </w:p>
    <w:p>
      <w:pPr>
        <w:pStyle w:val="FirstParagraph"/>
      </w:pPr>
      <w:r>
        <w:t xml:space="preserve">💼 Questions fréquemment posées en entretien</w:t>
      </w:r>
    </w:p>
    <w:p>
      <w:pPr>
        <w:pStyle w:val="BodyText"/>
      </w:pPr>
      <w:r>
        <w:rPr>
          <w:b/>
          <w:bCs/>
        </w:rPr>
        <w:t xml:space="preserve">Q1.</w:t>
      </w:r>
      <w:r>
        <w:rPr>
          <w:b/>
          <w:bCs/>
        </w:rPr>
        <w:t xml:space="preserve"> </w:t>
      </w:r>
      <w:r>
        <w:rPr>
          <w:b/>
          <w:bCs/>
        </w:rPr>
        <w:t xml:space="preserve">“Pourquoi privilégier un namespace dédié sur un cluster Kubernetes existant plutôt que de construire un nouveau cluster pour chaque nouvelle application ?”</w:t>
      </w:r>
      <w:r>
        <w:t xml:space="preserve"> </w:t>
      </w:r>
      <w:r>
        <w:t xml:space="preserve">Réponse attendue : un namespace, combiné à des règles RBAC et des quotas de ressources appropriés, offre une isolation suffisante pour la plupart des besoins sans dupliquer la maintenance, la supervision et les coûts d’une infrastructure Kubernetes entièrement distincte.</w:t>
      </w:r>
    </w:p>
    <w:p>
      <w:pPr>
        <w:pStyle w:val="BodyText"/>
      </w:pPr>
      <w:r>
        <w:rPr>
          <w:b/>
          <w:bCs/>
        </w:rPr>
        <w:t xml:space="preserve">Q2.</w:t>
      </w:r>
      <w:r>
        <w:rPr>
          <w:b/>
          <w:bCs/>
        </w:rPr>
        <w:t xml:space="preserve"> </w:t>
      </w:r>
      <w:r>
        <w:rPr>
          <w:b/>
          <w:bCs/>
        </w:rPr>
        <w:t xml:space="preserve">“Quel est l’avantage de réutiliser un Jenkinsfile déjà éprouvé plutôt que d’en écrire un nouveau pour chaque application ?”</w:t>
      </w:r>
      <w:r>
        <w:t xml:space="preserve"> </w:t>
      </w:r>
      <w:r>
        <w:t xml:space="preserve">Réponse attendue : garantir que la nouvelle application bénéficie directement des mêmes étapes de sécurité et de qualité déjà validées pour d’autres applications, tout en réduisant le temps de mise en place, exactement le même principe de réutilisation déjà établi pour les rôles Ansible et les modules Terraform.</w:t>
      </w:r>
    </w:p>
    <w:p>
      <w:pPr>
        <w:pStyle w:val="BodyText"/>
      </w:pPr>
      <w:r>
        <w:rPr>
          <w:b/>
          <w:bCs/>
        </w:rPr>
        <w:t xml:space="preserve">Q3.</w:t>
      </w:r>
      <w:r>
        <w:rPr>
          <w:b/>
          <w:bCs/>
        </w:rPr>
        <w:t xml:space="preserve"> </w:t>
      </w:r>
      <w:r>
        <w:rPr>
          <w:b/>
          <w:bCs/>
        </w:rPr>
        <w:t xml:space="preserve">“Pourquoi un quota de ressources reste-t-il nécessaire même lorsqu’une application est isolée dans son propre namespace ?”</w:t>
      </w:r>
      <w:r>
        <w:t xml:space="preserve"> </w:t>
      </w:r>
      <w:r>
        <w:t xml:space="preserve">Réponse attendue : le namespace isole les ressources logiquement, mais sans quota explicite, une application peut toujours consommer une part disproportionnée des ressources physiques partagées du cluster, affectant potentiellement d’autres charges de travail critiques comme le portail client.</w:t>
      </w:r>
    </w:p>
    <w:bookmarkEnd w:id="2017"/>
    <w:bookmarkStart w:id="2018" w:name="Xdecc6658d91485d5eee3280f8d8a9b31ee8c6da"/>
    <w:p>
      <w:pPr>
        <w:pStyle w:val="Heading2"/>
      </w:pPr>
      <w:r>
        <w:t xml:space="preserve">Optimisation, sécurité et maintenabilité — les réflexes dès ce chapitre</w:t>
      </w:r>
    </w:p>
    <w:p>
      <w:pPr>
        <w:pStyle w:val="FirstParagraph"/>
      </w:pPr>
      <w:r>
        <w:t xml:space="preserve">🔒 Sécurité</w:t>
      </w:r>
      <w:r>
        <w:t xml:space="preserve"> </w:t>
      </w:r>
      <w:r>
        <w:t xml:space="preserve">Applique systématiquement le pipeline DevSecOps déjà établi à toute nouvelle application déployée, dès son premier déploiement — évitant l’accumulation d’une dette de sécurité qu’une application plus ancienne, déployée avant l’adoption de ces pratiques, pourrait avoir accumulée.</w:t>
      </w:r>
    </w:p>
    <w:p>
      <w:pPr>
        <w:pStyle w:val="BodyText"/>
      </w:pPr>
      <w:r>
        <w:t xml:space="preserve">✅ Maintenabilité</w:t>
      </w:r>
      <w:r>
        <w:t xml:space="preserve"> </w:t>
      </w:r>
      <w:r>
        <w:t xml:space="preserve">Documente et maintiens un modèle de manifeste Kubernetes et de Jenkinsfile réutilisable, réduisant le temps de mise en place et garantissant une cohérence de configuration entre toutes les applications de l’organisation.</w:t>
      </w:r>
    </w:p>
    <w:p>
      <w:pPr>
        <w:pStyle w:val="BodyText"/>
      </w:pPr>
      <w:r>
        <w:t xml:space="preserve">🚀 Performance</w:t>
      </w:r>
      <w:r>
        <w:t xml:space="preserve"> </w:t>
      </w:r>
      <w:r>
        <w:t xml:space="preserve">Dimensionne les quotas de ressources selon le besoin réel de chaque application, évitant à la fois une contrainte trop stricte limitant inutilement les performances et une absence de limite risquant d’affecter les autres charges de travail du cluster partagé.</w:t>
      </w:r>
    </w:p>
    <w:bookmarkEnd w:id="2018"/>
    <w:bookmarkStart w:id="2019" w:name="résumé-du-chapitre-82"/>
    <w:p>
      <w:pPr>
        <w:pStyle w:val="Heading2"/>
      </w:pPr>
      <w:r>
        <w:t xml:space="preserve">Résumé du chapitre</w:t>
      </w:r>
    </w:p>
    <w:p>
      <w:pPr>
        <w:pStyle w:val="Compact"/>
        <w:numPr>
          <w:ilvl w:val="0"/>
          <w:numId w:val="2910"/>
        </w:numPr>
      </w:pPr>
      <w:r>
        <w:t xml:space="preserve">Une nouvelle application bénéficie généralement de la conteneurisation, exactement pour les mêmes raisons déjà établies pour le portail client au chapitre 39.</w:t>
      </w:r>
    </w:p>
    <w:p>
      <w:pPr>
        <w:pStyle w:val="Compact"/>
        <w:numPr>
          <w:ilvl w:val="0"/>
          <w:numId w:val="2910"/>
        </w:numPr>
      </w:pPr>
      <w:r>
        <w:t xml:space="preserve">Réutiliser le cluster Kubernetes existant, via un namespace dédié, évite la duplication de maintenance qu’impliquerait un nouveau cluster séparé.</w:t>
      </w:r>
    </w:p>
    <w:p>
      <w:pPr>
        <w:pStyle w:val="Compact"/>
        <w:numPr>
          <w:ilvl w:val="0"/>
          <w:numId w:val="2910"/>
        </w:numPr>
      </w:pPr>
      <w:r>
        <w:t xml:space="preserve">Le RBAC et les quotas de ressources isolent efficacement une nouvelle application, empêchant toute interférence avec les charges de travail existantes.</w:t>
      </w:r>
    </w:p>
    <w:p>
      <w:pPr>
        <w:pStyle w:val="Compact"/>
        <w:numPr>
          <w:ilvl w:val="0"/>
          <w:numId w:val="2910"/>
        </w:numPr>
      </w:pPr>
      <w:r>
        <w:t xml:space="preserve">Le manifeste Kubernetes et le pipeline CI/CD réutilisent directement les structures déjà établies aux chapitres 43 et 56.</w:t>
      </w:r>
    </w:p>
    <w:p>
      <w:pPr>
        <w:pStyle w:val="Compact"/>
        <w:numPr>
          <w:ilvl w:val="0"/>
          <w:numId w:val="2910"/>
        </w:numPr>
      </w:pPr>
      <w:r>
        <w:t xml:space="preserve">Le pipeline DevSecOps s’applique dès le premier déploiement de toute nouvelle application, évitant l’accumulation d’une dette de sécurité.</w:t>
      </w:r>
    </w:p>
    <w:p>
      <w:pPr>
        <w:pStyle w:val="Compact"/>
        <w:numPr>
          <w:ilvl w:val="0"/>
          <w:numId w:val="2910"/>
        </w:numPr>
      </w:pPr>
      <w:r>
        <w:t xml:space="preserve">Chaque nouveau déploiement doit être vérifié par rapport au cahier des charges initial du projet, notamment ses contraintes de ressources et de compétences.</w:t>
      </w:r>
    </w:p>
    <w:bookmarkEnd w:id="2019"/>
    <w:bookmarkStart w:id="2020" w:name="quiz-82"/>
    <w:p>
      <w:pPr>
        <w:pStyle w:val="Heading2"/>
      </w:pPr>
      <w:r>
        <w:t xml:space="preserve">Quiz</w:t>
      </w:r>
    </w:p>
    <w:p>
      <w:pPr>
        <w:pStyle w:val="FirstParagraph"/>
      </w:pPr>
      <w:r>
        <w:t xml:space="preserve">📝 QCM (une seule bonne réponse par question)</w:t>
      </w:r>
    </w:p>
    <w:p>
      <w:pPr>
        <w:pStyle w:val="Compact"/>
        <w:numPr>
          <w:ilvl w:val="0"/>
          <w:numId w:val="2911"/>
        </w:numPr>
      </w:pPr>
      <w:r>
        <w:t xml:space="preserve">Pour une nouvelle application de taille modeste, la recommandation générale est de :</w:t>
      </w:r>
    </w:p>
    <w:p>
      <w:pPr>
        <w:pStyle w:val="Compact"/>
        <w:numPr>
          <w:ilvl w:val="1"/>
          <w:numId w:val="2912"/>
        </w:numPr>
      </w:pPr>
    </w:p>
    <w:p>
      <w:pPr>
        <w:pStyle w:val="Compact"/>
        <w:numPr>
          <w:ilvl w:val="2"/>
          <w:numId w:val="2913"/>
        </w:numPr>
      </w:pPr>
      <w:r>
        <w:t xml:space="preserve">Toujours construire un nouveau cluster Kubernetes dédié</w:t>
      </w:r>
    </w:p>
    <w:p>
      <w:pPr>
        <w:pStyle w:val="Compact"/>
        <w:numPr>
          <w:ilvl w:val="1"/>
          <w:numId w:val="2912"/>
        </w:numPr>
      </w:pPr>
    </w:p>
    <w:p>
      <w:pPr>
        <w:pStyle w:val="Compact"/>
        <w:numPr>
          <w:ilvl w:val="2"/>
          <w:numId w:val="2914"/>
        </w:numPr>
      </w:pPr>
      <w:r>
        <w:t xml:space="preserve">Réutiliser le cluster existant via un namespace isolé, sauf besoin d’isolation radicale</w:t>
      </w:r>
    </w:p>
    <w:p>
      <w:pPr>
        <w:pStyle w:val="Compact"/>
        <w:numPr>
          <w:ilvl w:val="1"/>
          <w:numId w:val="2912"/>
        </w:numPr>
      </w:pPr>
    </w:p>
    <w:p>
      <w:pPr>
        <w:pStyle w:val="Compact"/>
        <w:numPr>
          <w:ilvl w:val="2"/>
          <w:numId w:val="2915"/>
        </w:numPr>
      </w:pPr>
      <w:r>
        <w:t xml:space="preserve">Éviter systématiquement la conteneurisation</w:t>
      </w:r>
    </w:p>
    <w:p>
      <w:pPr>
        <w:pStyle w:val="Compact"/>
        <w:numPr>
          <w:ilvl w:val="1"/>
          <w:numId w:val="2912"/>
        </w:numPr>
      </w:pPr>
    </w:p>
    <w:p>
      <w:pPr>
        <w:pStyle w:val="Compact"/>
        <w:numPr>
          <w:ilvl w:val="2"/>
          <w:numId w:val="2916"/>
        </w:numPr>
      </w:pPr>
      <w:r>
        <w:t xml:space="preserve">Déployer sans aucune vérification de sécurité pour accélérer la mise en production</w:t>
      </w:r>
    </w:p>
    <w:p>
      <w:pPr>
        <w:pStyle w:val="Compact"/>
        <w:numPr>
          <w:ilvl w:val="0"/>
          <w:numId w:val="2911"/>
        </w:numPr>
      </w:pPr>
      <w:r>
        <w:t xml:space="preserve">Un quota de ressources sur un namespace Kubernetes sert principalement à :</w:t>
      </w:r>
    </w:p>
    <w:p>
      <w:pPr>
        <w:pStyle w:val="Compact"/>
        <w:numPr>
          <w:ilvl w:val="1"/>
          <w:numId w:val="2917"/>
        </w:numPr>
      </w:pPr>
    </w:p>
    <w:p>
      <w:pPr>
        <w:pStyle w:val="Compact"/>
        <w:numPr>
          <w:ilvl w:val="2"/>
          <w:numId w:val="2918"/>
        </w:numPr>
      </w:pPr>
      <w:r>
        <w:t xml:space="preserve">Chiffrer les données de l’application</w:t>
      </w:r>
    </w:p>
    <w:p>
      <w:pPr>
        <w:pStyle w:val="Compact"/>
        <w:numPr>
          <w:ilvl w:val="1"/>
          <w:numId w:val="2917"/>
        </w:numPr>
      </w:pPr>
    </w:p>
    <w:p>
      <w:pPr>
        <w:pStyle w:val="Compact"/>
        <w:numPr>
          <w:ilvl w:val="2"/>
          <w:numId w:val="2919"/>
        </w:numPr>
      </w:pPr>
      <w:r>
        <w:t xml:space="preserve">Empêcher une application de consommer une part disproportionnée des ressources partagées du cluster</w:t>
      </w:r>
    </w:p>
    <w:p>
      <w:pPr>
        <w:pStyle w:val="Compact"/>
        <w:numPr>
          <w:ilvl w:val="1"/>
          <w:numId w:val="2917"/>
        </w:numPr>
      </w:pPr>
    </w:p>
    <w:p>
      <w:pPr>
        <w:pStyle w:val="Compact"/>
        <w:numPr>
          <w:ilvl w:val="2"/>
          <w:numId w:val="2920"/>
        </w:numPr>
      </w:pPr>
      <w:r>
        <w:t xml:space="preserve">Remplacer le besoin de RBAC</w:t>
      </w:r>
    </w:p>
    <w:p>
      <w:pPr>
        <w:pStyle w:val="Compact"/>
        <w:numPr>
          <w:ilvl w:val="1"/>
          <w:numId w:val="2917"/>
        </w:numPr>
      </w:pPr>
    </w:p>
    <w:p>
      <w:pPr>
        <w:pStyle w:val="Compact"/>
        <w:numPr>
          <w:ilvl w:val="2"/>
          <w:numId w:val="2921"/>
        </w:numPr>
      </w:pPr>
      <w:r>
        <w:t xml:space="preserve">Accélérer automatiquement le démarrage des pods</w:t>
      </w:r>
    </w:p>
    <w:p>
      <w:pPr>
        <w:pStyle w:val="Compact"/>
        <w:numPr>
          <w:ilvl w:val="0"/>
          <w:numId w:val="2911"/>
        </w:numPr>
      </w:pPr>
      <w:r>
        <w:t xml:space="preserve">Réutiliser un Jenkinsfile déjà éprouvé pour une nouvelle application permet principalement de :</w:t>
      </w:r>
    </w:p>
    <w:p>
      <w:pPr>
        <w:pStyle w:val="Compact"/>
        <w:numPr>
          <w:ilvl w:val="1"/>
          <w:numId w:val="2922"/>
        </w:numPr>
      </w:pPr>
    </w:p>
    <w:p>
      <w:pPr>
        <w:pStyle w:val="Compact"/>
        <w:numPr>
          <w:ilvl w:val="2"/>
          <w:numId w:val="2923"/>
        </w:numPr>
      </w:pPr>
      <w:r>
        <w:t xml:space="preserve">Éliminer le besoin de toute vérification de sécurité</w:t>
      </w:r>
    </w:p>
    <w:p>
      <w:pPr>
        <w:pStyle w:val="Compact"/>
        <w:numPr>
          <w:ilvl w:val="1"/>
          <w:numId w:val="2922"/>
        </w:numPr>
      </w:pPr>
    </w:p>
    <w:p>
      <w:pPr>
        <w:pStyle w:val="Compact"/>
        <w:numPr>
          <w:ilvl w:val="2"/>
          <w:numId w:val="2924"/>
        </w:numPr>
      </w:pPr>
      <w:r>
        <w:t xml:space="preserve">Garantir une cohérence de qualité et de sécurité, tout en réduisant le temps de mise en place</w:t>
      </w:r>
    </w:p>
    <w:p>
      <w:pPr>
        <w:pStyle w:val="Compact"/>
        <w:numPr>
          <w:ilvl w:val="1"/>
          <w:numId w:val="2922"/>
        </w:numPr>
      </w:pPr>
    </w:p>
    <w:p>
      <w:pPr>
        <w:pStyle w:val="Compact"/>
        <w:numPr>
          <w:ilvl w:val="2"/>
          <w:numId w:val="2925"/>
        </w:numPr>
      </w:pPr>
      <w:r>
        <w:t xml:space="preserve">Remplacer le besoin d’un manifeste Kubernetes</w:t>
      </w:r>
    </w:p>
    <w:p>
      <w:pPr>
        <w:pStyle w:val="Compact"/>
        <w:numPr>
          <w:ilvl w:val="1"/>
          <w:numId w:val="2922"/>
        </w:numPr>
      </w:pPr>
    </w:p>
    <w:p>
      <w:pPr>
        <w:pStyle w:val="Compact"/>
        <w:numPr>
          <w:ilvl w:val="2"/>
          <w:numId w:val="2926"/>
        </w:numPr>
      </w:pPr>
      <w:r>
        <w:t xml:space="preserve">Réduire automatiquement la consommation de ressources de l’application</w:t>
      </w:r>
    </w:p>
    <w:p>
      <w:pPr>
        <w:pStyle w:val="FirstParagraph"/>
      </w:pPr>
      <w:r>
        <w:rPr>
          <w:b/>
          <w:bCs/>
        </w:rPr>
        <w:t xml:space="preserve">Corrigé</w:t>
      </w:r>
      <w:r>
        <w:t xml:space="preserve"> </w:t>
      </w:r>
      <w:r>
        <w:t xml:space="preserve">: 1-b, 2-b, 3-b.</w:t>
      </w:r>
    </w:p>
    <w:p>
      <w:pPr>
        <w:pStyle w:val="BodyText"/>
      </w:pPr>
      <w:r>
        <w:t xml:space="preserve">📝 Vrai ou Faux</w:t>
      </w:r>
    </w:p>
    <w:p>
      <w:pPr>
        <w:pStyle w:val="Compact"/>
        <w:numPr>
          <w:ilvl w:val="0"/>
          <w:numId w:val="2927"/>
        </w:numPr>
      </w:pPr>
      <w:r>
        <w:t xml:space="preserve">Un nouveau cluster Kubernetes dédié est systématiquement la meilleure approche pour toute nouvelle application. —</w:t>
      </w:r>
      <w:r>
        <w:t xml:space="preserve"> </w:t>
      </w:r>
      <w:r>
        <w:rPr>
          <w:b/>
          <w:bCs/>
        </w:rPr>
        <w:t xml:space="preserve">Faux</w:t>
      </w:r>
      <w:r>
        <w:t xml:space="preserve"> </w:t>
      </w:r>
      <w:r>
        <w:t xml:space="preserve">(section 83.2).</w:t>
      </w:r>
    </w:p>
    <w:p>
      <w:pPr>
        <w:pStyle w:val="Compact"/>
        <w:numPr>
          <w:ilvl w:val="0"/>
          <w:numId w:val="2927"/>
        </w:numPr>
      </w:pPr>
      <w:r>
        <w:t xml:space="preserve">Un namespace isolé suffit à lui seul, sans quota de ressources, à empêcher toute interférence entre applications sur un cluster partagé. —</w:t>
      </w:r>
      <w:r>
        <w:t xml:space="preserve"> </w:t>
      </w:r>
      <w:r>
        <w:rPr>
          <w:b/>
          <w:bCs/>
        </w:rPr>
        <w:t xml:space="preserve">Faux</w:t>
      </w:r>
      <w:r>
        <w:t xml:space="preserve"> </w:t>
      </w:r>
      <w:r>
        <w:t xml:space="preserve">(section</w:t>
      </w:r>
      <w:r>
        <w:t xml:space="preserve"> </w:t>
      </w:r>
      <w:r>
        <w:t xml:space="preserve">“Diagnostiquer”</w:t>
      </w:r>
      <w:r>
        <w:t xml:space="preserve">).</w:t>
      </w:r>
    </w:p>
    <w:p>
      <w:pPr>
        <w:pStyle w:val="Compact"/>
        <w:numPr>
          <w:ilvl w:val="0"/>
          <w:numId w:val="2927"/>
        </w:numPr>
      </w:pPr>
      <w:r>
        <w:t xml:space="preserve">Une nouvelle application déployée pour la première fois peut bénéficier dès le départ de l’ensemble des vérifications de sécurité du pipeline DevSecOps déjà établies. —</w:t>
      </w:r>
      <w:r>
        <w:t xml:space="preserve"> </w:t>
      </w:r>
      <w:r>
        <w:rPr>
          <w:b/>
          <w:bCs/>
        </w:rPr>
        <w:t xml:space="preserve">Vrai</w:t>
      </w:r>
      <w:r>
        <w:t xml:space="preserve"> </w:t>
      </w:r>
      <w:r>
        <w:t xml:space="preserve">(section 83.6).</w:t>
      </w:r>
    </w:p>
    <w:p>
      <w:pPr>
        <w:pStyle w:val="Compact"/>
        <w:numPr>
          <w:ilvl w:val="0"/>
          <w:numId w:val="2927"/>
        </w:numPr>
      </w:pPr>
      <w:r>
        <w:t xml:space="preserve">Le manifeste Kubernetes d’une nouvelle application nécessite une méthodologie entièrement différente de celle du portail client. —</w:t>
      </w:r>
      <w:r>
        <w:t xml:space="preserve"> </w:t>
      </w:r>
      <w:r>
        <w:rPr>
          <w:b/>
          <w:bCs/>
        </w:rPr>
        <w:t xml:space="preserve">Faux</w:t>
      </w:r>
      <w:r>
        <w:t xml:space="preserve"> </w:t>
      </w:r>
      <w:r>
        <w:t xml:space="preserve">(section 83.4).</w:t>
      </w:r>
    </w:p>
    <w:p>
      <w:pPr>
        <w:pStyle w:val="FirstParagraph"/>
      </w:pPr>
      <w:r>
        <w:t xml:space="preserve">📝 Questions ouvertes</w:t>
      </w:r>
    </w:p>
    <w:p>
      <w:pPr>
        <w:pStyle w:val="Compact"/>
        <w:numPr>
          <w:ilvl w:val="0"/>
          <w:numId w:val="2928"/>
        </w:numPr>
      </w:pPr>
      <w:r>
        <w:t xml:space="preserve">Explique pourquoi la proposition initiale du développeur, dans le scénario d’ouverture, de construire un nouveau cluster Kubernetes séparé, part d’une préoccupation légitime mais aboutit à une solution disproportionnée.</w:t>
      </w:r>
    </w:p>
    <w:p>
      <w:pPr>
        <w:pStyle w:val="Compact"/>
        <w:numPr>
          <w:ilvl w:val="0"/>
          <w:numId w:val="2928"/>
        </w:numPr>
      </w:pPr>
      <w:r>
        <w:t xml:space="preserve">Un collègue affirme qu’une fois le namespace et le quota de ressources correctement configurés, aucune autre mesure de sécurité n’est nécessaire pour cette nouvelle application. Discute cette affirmation.</w:t>
      </w:r>
    </w:p>
    <w:p>
      <w:pPr>
        <w:pStyle w:val="FirstParagraph"/>
      </w:pPr>
      <w:r>
        <w:rPr>
          <w:b/>
          <w:bCs/>
        </w:rPr>
        <w:t xml:space="preserve">Corrigé 1</w:t>
      </w:r>
      <w:r>
        <w:t xml:space="preserve"> </w:t>
      </w:r>
      <w:r>
        <w:t xml:space="preserve">: la préoccupation du développeur — éviter toute interférence avec le portail client, un service critique de l’entreprise — est parfaitement légitime et rejoint directement les principes de sécurité et de stabilité déjà établis dans ce manuel. Cependant, sa solution proposée (un cluster entièrement séparé) répond à ce besoin d’isolation de façon disproportionnée, ignorant que Kubernetes offre déjà des mécanismes natifs d’isolation (namespace, RBAC, quotas de ressources) suffisants pour la grande majorité des cas, sans nécessiter la duplication complète de l’infrastructure. Le DSI ne rejette pas la préoccupation de fond, mais oriente vers une solution proportionnée au besoin réel — exactement le même type d’arbitrage pragmatique déjà rencontré à de nombreuses reprises dans ce manuel entre sophistication technique et besoin réel du contexte.</w:t>
      </w:r>
    </w:p>
    <w:p>
      <w:pPr>
        <w:pStyle w:val="BodyText"/>
      </w:pPr>
      <w:r>
        <w:rPr>
          <w:b/>
          <w:bCs/>
        </w:rPr>
        <w:t xml:space="preserve">Corrigé 2</w:t>
      </w:r>
      <w:r>
        <w:t xml:space="preserve"> </w:t>
      </w:r>
      <w:r>
        <w:t xml:space="preserve">: cette affirmation est incorrecte — le namespace et le quota de ressources isolent la consommation de ressources et les accès administratifs, mais ne couvrent en rien la sécurité du contenu de l’application elle-même (vulnérabilités du code, de ses dépendances, de l’image Docker utilisée). Ces aspects restent couverts par le pipeline DevSecOps du chapitre 57 (section 83.6) — analyse statique du code, scan de vulnérabilités de l’image — une couche de protection distincte et complémentaire à l’isolation Kubernetes, pas remplacée par elle. Une application isolée dans son namespace mais construite à partir d’une image contenant une vulnérabilité critique connue resterait tout aussi exposée à une exploitation que si elle n’était pas isolée du tout, l’isolation Kubernetes ne protégeant pas contre une faille exploitée directement au sein de l’application elle-même.</w:t>
      </w:r>
    </w:p>
    <w:bookmarkEnd w:id="2020"/>
    <w:bookmarkStart w:id="2021" w:name="exercices-82"/>
    <w:p>
      <w:pPr>
        <w:pStyle w:val="Heading2"/>
      </w:pPr>
      <w:r>
        <w:t xml:space="preserve">Exercices</w:t>
      </w:r>
    </w:p>
    <w:p>
      <w:pPr>
        <w:pStyle w:val="FirstParagraph"/>
      </w:pPr>
      <w:r>
        <w:t xml:space="preserve">📝 Exercice 83.1</w:t>
      </w:r>
    </w:p>
    <w:p>
      <w:pPr>
        <w:pStyle w:val="BodyText"/>
      </w:pPr>
      <w:r>
        <w:t xml:space="preserve">Propose une checklist de trois vérifications à effectuer avant de considérer qu’une nouvelle application est prête à être déployée sur le cluster Kubernetes existant, en synthétisant les principes de ce chapitre.</w:t>
      </w:r>
    </w:p>
    <w:p>
      <w:pPr>
        <w:pStyle w:val="BodyText"/>
      </w:pPr>
      <w:r>
        <w:rPr>
          <w:b/>
          <w:bCs/>
        </w:rPr>
        <w:t xml:space="preserve">Corrigé :</w:t>
      </w:r>
      <w:r>
        <w:t xml:space="preserve"> </w:t>
      </w:r>
      <w:r>
        <w:t xml:space="preserve">1) Un namespace dédié a été créé avec un quota de ressources approprié, évitant toute interférence avec les autres charges de travail du cluster (sections 83.2-83.3). 2) Le pipeline CI/CD réutilise la structure déjà éprouvée du Jenkinsfile existant, incluant l’ensemble des étapes de sécurité du pipeline DevSecOps du chapitre 57 (sections 83.5-83.6). 3) Le déploiement a été explicitement vérifié par rapport aux exigences pertinentes du cahier des charges initial du chapitre 80, notamment ses contraintes de ressources et de compétences (section 83.7). Cette checklist synthétise les trois dimensions couvertes dans ce chapitre — isolation technique, sécurité du pipeline, et conformité au cadre de référence du projet — avant tout déploiement définitif.</w:t>
      </w:r>
    </w:p>
    <w:p>
      <w:pPr>
        <w:pStyle w:val="BodyText"/>
      </w:pPr>
      <w:r>
        <w:t xml:space="preserve">📝 Exercice 83.2</w:t>
      </w:r>
    </w:p>
    <w:p>
      <w:pPr>
        <w:pStyle w:val="BodyText"/>
      </w:pPr>
      <w:r>
        <w:t xml:space="preserve">Rédige, en 3 à 5 phrases, une règle d’équipe garantissant qu’aucune nouvelle application n’entraîne la création d’un cluster Kubernetes séparé sans justification explicite, en t’appuyant sur le risque décrit à la section</w:t>
      </w:r>
      <w:r>
        <w:t xml:space="preserve"> </w:t>
      </w:r>
      <w:r>
        <w:t xml:space="preserve">“En entreprise”</w:t>
      </w:r>
      <w:r>
        <w:t xml:space="preserve">.</w:t>
      </w:r>
    </w:p>
    <w:p>
      <w:pPr>
        <w:pStyle w:val="BodyText"/>
      </w:pPr>
      <w:r>
        <w:rPr>
          <w:b/>
          <w:bCs/>
        </w:rPr>
        <w:t xml:space="preserve">Corrigé (exemple de réponse) :</w:t>
      </w:r>
      <w:r>
        <w:t xml:space="preserve"> </w:t>
      </w:r>
      <w:r>
        <w:t xml:space="preserve">Toute proposition de création d’un nouveau cluster Kubernetes dédié à une application spécifique devra être justifiée explicitement par un besoin d’isolation ne pouvant pas être satisfait par un namespace dédié avec RBAC et quotas de ressources appropriés sur le cluster existant. Cette justification sera soumise à validation du DSI ou d’un responsable technique équivalent avant tout engagement de ressources pour une nouvelle infrastructure. Par défaut, toute nouvelle application de taille modeste sera déployée sur le cluster existant via un namespace isolé, évitant la prolifération de petits clusters dédiés qui, cumulés au fil du temps, représenteraient une charge de maintenance disproportionnée par rapport aux besoins réels de l’organisation.</w:t>
      </w:r>
    </w:p>
    <w:bookmarkEnd w:id="2021"/>
    <w:bookmarkStart w:id="2022" w:name="checklist-de-fin-de-chapitre-82"/>
    <w:p>
      <w:pPr>
        <w:pStyle w:val="Heading2"/>
      </w:pPr>
      <w:r>
        <w:t xml:space="preserve">Checklist de fin de chapitre</w:t>
      </w:r>
    </w:p>
    <w:p>
      <w:pPr>
        <w:pStyle w:val="FirstParagraph"/>
      </w:pPr>
      <w:r>
        <w:t xml:space="preserve">☐ Je comprends pourquoi réutiliser un cluster Kubernetes existant est généralement préférable à en construire un nouveau.</w:t>
      </w:r>
    </w:p>
    <w:p>
      <w:pPr>
        <w:pStyle w:val="BodyText"/>
      </w:pPr>
      <w:r>
        <w:t xml:space="preserve">☐ Je sais isoler une nouvelle application via un namespace dédié, RBAC et des quotas de ressources.</w:t>
      </w:r>
    </w:p>
    <w:p>
      <w:pPr>
        <w:pStyle w:val="BodyText"/>
      </w:pPr>
      <w:r>
        <w:t xml:space="preserve">☐ Je sais adapter un manifeste Kubernetes déjà éprouvé pour une nouvelle application.</w:t>
      </w:r>
    </w:p>
    <w:p>
      <w:pPr>
        <w:pStyle w:val="BodyText"/>
      </w:pPr>
      <w:r>
        <w:t xml:space="preserve">☐ Je sais réutiliser un Jenkinsfile existant pour un nouveau pipeline CI/CD.</w:t>
      </w:r>
    </w:p>
    <w:p>
      <w:pPr>
        <w:pStyle w:val="BodyText"/>
      </w:pPr>
      <w:r>
        <w:t xml:space="preserve">☐ Je comprends pourquoi le pipeline DevSecOps doit s’appliquer dès le premier déploiement d’une nouvelle application.</w:t>
      </w:r>
    </w:p>
    <w:p>
      <w:pPr>
        <w:pStyle w:val="BodyText"/>
      </w:pPr>
      <w:r>
        <w:t xml:space="preserve">☐ Je sais vérifier un nouveau déploiement par rapport au cahier des charges initial du projet.</w:t>
      </w:r>
    </w:p>
    <w:bookmarkEnd w:id="2022"/>
    <w:bookmarkStart w:id="2023" w:name="faq-82"/>
    <w:p>
      <w:pPr>
        <w:pStyle w:val="Heading2"/>
      </w:pPr>
      <w:r>
        <w:t xml:space="preserve">FAQ</w:t>
      </w:r>
    </w:p>
    <w:p>
      <w:pPr>
        <w:pStyle w:val="FirstParagraph"/>
      </w:pPr>
      <w:r>
        <w:t xml:space="preserve">Dans quels cas un cluster Kubernetes séparé reste-t-il réellement justifié ?</w:t>
      </w:r>
    </w:p>
    <w:p>
      <w:pPr>
        <w:pStyle w:val="BodyText"/>
      </w:pPr>
      <w:r>
        <w:t xml:space="preserve">Un besoin d’isolation réglementaire stricte, une exigence de résilience totalement indépendante du cluster principal, ou une différence radicale de cycle de vie ou de criticité entre applications peuvent justifier un cluster séparé — des cas réels mais nettement moins fréquents que ce que suggère une réaction instinctive à un nouveau besoin applicatif.</w:t>
      </w:r>
    </w:p>
    <w:p>
      <w:pPr>
        <w:pStyle w:val="BodyText"/>
      </w:pPr>
      <w:r>
        <w:t xml:space="preserve">Faut-il un pipeline CI/CD distinct pour chaque environnement (développement, test, production) de cette nouvelle application ?</w:t>
      </w:r>
    </w:p>
    <w:p>
      <w:pPr>
        <w:pStyle w:val="BodyText"/>
      </w:pPr>
      <w:r>
        <w:t xml:space="preserve">Oui, généralement, rejoignant le même principe de séparation par environnement déjà établi pour Terraform au chapitre 55 — un déploiement en production ne devrait jamais partager exactement le même pipeline sans étape de validation qu’un déploiement en développement.</w:t>
      </w:r>
    </w:p>
    <w:p>
      <w:pPr>
        <w:pStyle w:val="BodyText"/>
      </w:pPr>
      <w:r>
        <w:t xml:space="preserve">Comment estimer les quotas de ressources appropriés pour une nouvelle application avant son déploiement réel ?</w:t>
      </w:r>
    </w:p>
    <w:p>
      <w:pPr>
        <w:pStyle w:val="BodyText"/>
      </w:pPr>
      <w:r>
        <w:t xml:space="preserve">Une estimation initiale prudente, ajustée ensuite sur la base des métriques réelles observées après déploiement (rappel du chapitre 60), reste plus réaliste qu’une tentative de dimensionnement parfait dès le départ sans données réelles d’usage.</w:t>
      </w:r>
    </w:p>
    <w:p>
      <w:pPr>
        <w:pStyle w:val="BodyText"/>
      </w:pPr>
      <w:r>
        <w:t xml:space="preserve">Cette nouvelle application nécessite-t-elle sa propre entrée dans le SIEM déjà établi au chapitre 74 ?</w:t>
      </w:r>
    </w:p>
    <w:p>
      <w:pPr>
        <w:pStyle w:val="BodyText"/>
      </w:pPr>
      <w:r>
        <w:t xml:space="preserve">Oui, ses journaux et événements de sécurité devraient être intégrés au SIEM existant au même titre que les autres applications de l’organisation, un point qui sera approfondi au chapitre 85 consacré à la supervision et la sécurisation de bout en bout de l’ensemble du projet.</w:t>
      </w:r>
    </w:p>
    <w:bookmarkEnd w:id="2023"/>
    <w:bookmarkStart w:id="2024" w:name="références-et-pour-aller-plus-loin-82"/>
    <w:p>
      <w:pPr>
        <w:pStyle w:val="Heading2"/>
      </w:pPr>
      <w:r>
        <w:t xml:space="preserve">Références et pour aller plus loin</w:t>
      </w:r>
    </w:p>
    <w:p>
      <w:pPr>
        <w:pStyle w:val="Compact"/>
        <w:numPr>
          <w:ilvl w:val="0"/>
          <w:numId w:val="2929"/>
        </w:numPr>
      </w:pPr>
      <w:r>
        <w:t xml:space="preserve">Documentation officielle Kubernetes — Resource Quotas : rappel des chapitres 43-44 de ce manuel.</w:t>
      </w:r>
    </w:p>
    <w:p>
      <w:pPr>
        <w:pStyle w:val="Compact"/>
        <w:numPr>
          <w:ilvl w:val="0"/>
          <w:numId w:val="2929"/>
        </w:numPr>
      </w:pPr>
      <w:r>
        <w:t xml:space="preserve">Documentation officielle Jenkins — Pipeline as Code : rappel du chapitre 56 de ce manuel.</w:t>
      </w:r>
    </w:p>
    <w:p>
      <w:pPr>
        <w:pStyle w:val="FirstParagraph"/>
      </w:pPr>
      <w:r>
        <w:rPr>
          <w:i/>
          <w:iCs/>
        </w:rPr>
        <w:t xml:space="preserve">Chapitre suivant : le composant cloud hybride — étendre l’infrastructure du projet vers le cloud public, en s’appuyant sur les principes multi-cloud déjà établis à la Partie 8 de ce manuel.</w:t>
      </w:r>
    </w:p>
    <w:p>
      <w:pPr>
        <w:pStyle w:val="BodyText"/>
      </w:pPr>
      <w:r>
        <w:t xml:space="preserve">CHAPITRE 84</w:t>
      </w:r>
    </w:p>
    <w:bookmarkEnd w:id="2024"/>
    <w:bookmarkEnd w:id="2025"/>
    <w:bookmarkStart w:id="2045" w:name="composant-cloud-hybride"/>
    <w:p>
      <w:pPr>
        <w:pStyle w:val="Heading1"/>
      </w:pPr>
      <w:r>
        <w:t xml:space="preserve">Composant cloud hybride</w:t>
      </w:r>
    </w:p>
    <w:p>
      <w:pPr>
        <w:pStyle w:val="FirstParagraph"/>
      </w:pPr>
      <w:r>
        <w:t xml:space="preserve">🎯 Objectif du chapitre</w:t>
      </w:r>
      <w:r>
        <w:t xml:space="preserve"> </w:t>
      </w:r>
      <w:r>
        <w:t xml:space="preserve">Étendre délibérément l’infrastructure du projet vers le cloud public, en s’appuyant sur les principes multi-cloud déjà établis à la Partie 8 de ce manuel. À la fin de ce chapitre, tu sauras formaliser une stratégie cloud gouvernée pour l’ensemble du projet, concevoir une sauvegarde hors site dans le cloud comme composant du plan de reprise d’activité, et intégrer les événements cloud à la gouvernance de sécurité déjà établie.</w:t>
      </w:r>
    </w:p>
    <w:p>
      <w:pPr>
        <w:pStyle w:val="BodyText"/>
      </w:pPr>
      <w:r>
        <w:t xml:space="preserve">🎬 Mise en situation</w:t>
      </w:r>
      <w:r>
        <w:t xml:space="preserve"> </w:t>
      </w:r>
      <w:r>
        <w:t xml:space="preserve">Rappel du chapitre 49 : l’entreprise s’était retrouvée</w:t>
      </w:r>
      <w:r>
        <w:t xml:space="preserve"> </w:t>
      </w:r>
      <w:r>
        <w:t xml:space="preserve">“hybride multi-cloud par accident”</w:t>
      </w:r>
      <w:r>
        <w:t xml:space="preserve">, chaque décision cloud prise isolément sans gouvernance d’ensemble. Pour le projet final, le DSI refuse de reproduire ce schéma :</w:t>
      </w:r>
      <w:r>
        <w:t xml:space="preserve"> </w:t>
      </w:r>
      <w:r>
        <w:t xml:space="preserve">“Cette fois, on formalise notre stratégie cloud dès le départ — quels services y vont, pourquoi, avec quelle gouvernance — plutôt que de laisser chaque équipe décider au coup par coup comme on l’a fait par le passé.”</w:t>
      </w:r>
      <w:r>
        <w:t xml:space="preserve"> </w:t>
      </w:r>
      <w:r>
        <w:t xml:space="preserve">Ce chapitre construit ce composant cloud de façon délibérée, en synthétisant l’ensemble des principes déjà établis à la Partie 8.</w:t>
      </w:r>
    </w:p>
    <w:bookmarkStart w:id="2026" w:name="X0c89f44316e1bdddd437279cfbd54a66a74ce15"/>
    <w:p>
      <w:pPr>
        <w:pStyle w:val="Heading2"/>
      </w:pPr>
      <w:r>
        <w:t xml:space="preserve">84.1 Le problème : formaliser ce qui s’était construit par accident</w:t>
      </w:r>
    </w:p>
    <w:p>
      <w:pPr>
        <w:pStyle w:val="FirstParagraph"/>
      </w:pPr>
      <w:r>
        <w:t xml:space="preserve">📌 À retenir — rappel direct des chapitres 49 et 50</w:t>
      </w:r>
      <w:r>
        <w:t xml:space="preserve"> </w:t>
      </w:r>
      <w:r>
        <w:t xml:space="preserve">L’entreprise dispose déjà d’une présence cloud réelle — AWS pour le portail client (chapitre 46), Entra ID hybride pour l’identité (chapitre 8) — mais ces décisions, prises isolément à des moments différents, n’avaient jamais été consolidées dans une stratégie cohérente avant le travail de gouvernance du chapitre 49. Le projet final formalise explicitement cette stratégie, exactement le même exercice de structuration déjà appliqué au cahier des charges global du chapitre 80, appliqué ici spécifiquement au périmètre cloud.</w:t>
      </w:r>
    </w:p>
    <w:bookmarkEnd w:id="2026"/>
    <w:bookmarkStart w:id="2027" w:name="Xb2de9e86df6655b0ae55e46d993353c450cac5c"/>
    <w:p>
      <w:pPr>
        <w:pStyle w:val="Heading2"/>
      </w:pPr>
      <w:r>
        <w:t xml:space="preserve">84.2 Synthèse des choix cloud motivés par service</w:t>
      </w:r>
    </w:p>
    <w:p>
      <w:pPr>
        <w:pStyle w:val="FirstParagraph"/>
      </w:pPr>
      <w:r>
        <w:t xml:space="preserve">💡 Rappel direct des chapitres 46-49</w:t>
      </w:r>
      <w:r>
        <w:t xml:space="preserve"> </w:t>
      </w:r>
      <w:r>
        <w:t xml:space="preserve">La stratégie cloud du projet final réaffirme les choix déjà justifiés dans ce manuel : AWS pour le portail client, choisi pour sa popularité et sa documentation abondante (chapitre 46) ; Azure pour tout service nécessitant une intégration native à Entra ID, comme évalué pour le serveur de gestion documentaire (chapitre 47) ; l’absence délibérée de GCP, pour éviter une dispersion technologique inutile (chapitre 48) — chaque choix reste motivé par le service concerné, jamais par une préférence générale pour un fournisseur unique ni par une accumulation history-driven de décisions non coordonnées.</w:t>
      </w:r>
    </w:p>
    <w:bookmarkEnd w:id="2027"/>
    <w:bookmarkStart w:id="2028" w:name="Xa2a97f549f61b2be566e6354d92abb17b16e9f4"/>
    <w:p>
      <w:pPr>
        <w:pStyle w:val="Heading2"/>
      </w:pPr>
      <w:r>
        <w:t xml:space="preserve">84.3 Modules Terraform pour un déploiement cloud cohérent</w:t>
      </w:r>
    </w:p>
    <w:p>
      <w:pPr>
        <w:pStyle w:val="FirstParagraph"/>
      </w:pPr>
      <w:r>
        <w:t xml:space="preserve">✅ Rappel direct du chapitre 55</w:t>
      </w:r>
      <w:r>
        <w:t xml:space="preserve"> </w:t>
      </w:r>
      <w:r>
        <w:t xml:space="preserve">L’ensemble de l’infrastructure cloud du projet, y compris pour le nouveau site qui pourrait s’appuyer sur des services cloud plutôt qu’une infrastructure locale (rappel de la section 81.5), s’appuie sur les modules Terraform réutilisables déjà établis au chapitre 55 — garantissant une configuration cohérente entre les différents environnements et évitant la duplication de code déjà dénoncée pour une configuration cloud répétée manuellement à chaque nouveau besoin.</w:t>
      </w:r>
    </w:p>
    <w:bookmarkEnd w:id="2028"/>
    <w:bookmarkStart w:id="2029" w:name="X7c469f201e8a8a23cd525fef60ad6b5a7b193c4"/>
    <w:p>
      <w:pPr>
        <w:pStyle w:val="Heading2"/>
      </w:pPr>
      <w:r>
        <w:t xml:space="preserve">84.4 La sauvegarde hors site dans le cloud comme composant du PRA</w:t>
      </w:r>
    </w:p>
    <w:p>
      <w:pPr>
        <w:pStyle w:val="FirstParagraph"/>
      </w:pPr>
      <w:r>
        <w:t xml:space="preserve">📌 À retenir — préparer directement le chapitre 86</w:t>
      </w:r>
      <w:r>
        <w:t xml:space="preserve"> </w:t>
      </w:r>
      <w:r>
        <w:t xml:space="preserve">Le cloud public offre un emplacement de sauvegarde hors site naturel, géographiquement distinct de l’ensemble des sites physiques de l’entreprise — un composant précieux pour le plan de reprise d’activité déjà établi au chapitre 31, protégeant contre un scénario où un sinistre affecterait simultanément un site physique et ses sauvegardes locales (rappel du chapitre 32, exercice de simulation d’ouragan). Ce composant sera directement repris et détaillé au chapitre 86, consacré à la consolidation finale du PRA et du PCA du projet.</w:t>
      </w:r>
    </w:p>
    <w:p>
      <w:pPr>
        <w:pStyle w:val="SourceCode"/>
      </w:pPr>
      <w:r>
        <w:rPr>
          <w:rStyle w:val="VerbatimChar"/>
        </w:rPr>
        <w:t xml:space="preserve">Politique de sauvegarde hors site :</w:t>
      </w:r>
      <w:r>
        <w:br/>
      </w:r>
      <w:r>
        <w:rPr>
          <w:rStyle w:val="VerbatimChar"/>
        </w:rPr>
        <w:t xml:space="preserve">  - Sauvegardes locales quotidiennes (regle 3-2-1, chapitre 30)</w:t>
      </w:r>
      <w:r>
        <w:br/>
      </w:r>
      <w:r>
        <w:rPr>
          <w:rStyle w:val="VerbatimChar"/>
        </w:rPr>
        <w:t xml:space="preserve">  - Copie chiffree vers stockage cloud (AWS S3, classe de stockage froide)</w:t>
      </w:r>
      <w:r>
        <w:br/>
      </w:r>
      <w:r>
        <w:rPr>
          <w:rStyle w:val="VerbatimChar"/>
        </w:rPr>
        <w:t xml:space="preserve">  - Retention : 90 jours, conforme a la politique de conformite deja etablie (chapitre 72)</w:t>
      </w:r>
      <w:r>
        <w:br/>
      </w:r>
      <w:r>
        <w:rPr>
          <w:rStyle w:val="VerbatimChar"/>
        </w:rPr>
        <w:t xml:space="preserve">  - Test de restauration trimestriel (rappel direct chapitre 27)</w:t>
      </w:r>
    </w:p>
    <w:bookmarkEnd w:id="2029"/>
    <w:bookmarkStart w:id="2030" w:name="X7263da4009b5c4c96d0f91f16cc49052f148f9a"/>
    <w:p>
      <w:pPr>
        <w:pStyle w:val="Heading2"/>
      </w:pPr>
      <w:r>
        <w:t xml:space="preserve">84.5 Gouvernance multi-cloud à l’échelle du projet complet</w:t>
      </w:r>
    </w:p>
    <w:p>
      <w:pPr>
        <w:pStyle w:val="FirstParagraph"/>
      </w:pPr>
      <w:r>
        <w:t xml:space="preserve">💡 Rappel direct du chapitre 50</w:t>
      </w:r>
      <w:r>
        <w:t xml:space="preserve"> </w:t>
      </w:r>
      <w:r>
        <w:t xml:space="preserve">La gouvernance FinOps déjà établie au chapitre 50 (étiquetage systématique des ressources, budgets et alertes de dépassement, cycle Informer-Optimiser-Opérer) s’applique à l’échelle complète du projet, couvrant désormais l’ensemble des services cloud utilisés par les quatre sites de l’entreprise — évitant la surprise de facturation déjà vécue au chapitre 50, cette fois à une échelle où l’impact financier d’un dérapage non maîtrisé serait proportionnellement plus important.</w:t>
      </w:r>
    </w:p>
    <w:bookmarkEnd w:id="2030"/>
    <w:bookmarkStart w:id="2031" w:name="Xe4ab4af690e9c039240707fb53d692583403c3a"/>
    <w:p>
      <w:pPr>
        <w:pStyle w:val="Heading2"/>
      </w:pPr>
      <w:r>
        <w:t xml:space="preserve">84.6 Sécuriser le composant cloud et l’intégrer au SIEM</w:t>
      </w:r>
    </w:p>
    <w:p>
      <w:pPr>
        <w:pStyle w:val="FirstParagraph"/>
      </w:pPr>
      <w:r>
        <w:t xml:space="preserve">🔒 Sécurité — rappel direct des chapitres 46 et 74</w:t>
      </w:r>
      <w:r>
        <w:t xml:space="preserve"> </w:t>
      </w:r>
      <w:r>
        <w:t xml:space="preserve">Les principes IAM de moindre privilège déjà établis pour AWS au chapitre 46 s’appliquent à l’ensemble des ressources cloud du projet, avec un chiffrement systématique des données sensibles (rappel de la section 84.4). Les journaux d’activité cloud (connexions, modifications de configuration, accès aux ressources) sont intégrés au SIEM déjà construit au chapitre 74, comme une source supplémentaire enrichissant les règles de corrélation existantes — un événement d’accès cloud inhabituel, corrélé avec une authentification Active Directory suspecte, révélant potentiellement une compromission s’étendant au-delà de l’infrastructure locale.</w:t>
      </w:r>
    </w:p>
    <w:bookmarkEnd w:id="2031"/>
    <w:bookmarkStart w:id="2032" w:name="X9289da09b265e1cc6d6eac12c77e59e34869672"/>
    <w:p>
      <w:pPr>
        <w:pStyle w:val="Heading2"/>
      </w:pPr>
      <w:r>
        <w:t xml:space="preserve">84.7 Valider face au cahier des charges du chapitre 80</w:t>
      </w:r>
    </w:p>
    <w:p>
      <w:pPr>
        <w:pStyle w:val="FirstParagraph"/>
      </w:pPr>
      <w:r>
        <w:t xml:space="preserve">✅ Rappel direct de la boucle déjà établie aux chapitres 81 et 83</w:t>
      </w:r>
      <w:r>
        <w:t xml:space="preserve"> </w:t>
      </w:r>
      <w:r>
        <w:t xml:space="preserve">Vérifie explicitement que ce composant cloud répond aux exigences pertinentes du cahier des charges — la disponibilité du portail client (déjà couverte par l’architecture cloud existante), la conformité aux référentiels de sécurité déjà adoptés (section 84.6), et les contraintes budgétaires (section 84.5) — avant de considérer ce composant comme validé pour le projet final.</w:t>
      </w:r>
    </w:p>
    <w:bookmarkEnd w:id="2032"/>
    <w:bookmarkStart w:id="2033" w:name="X492cc314f7b58d44546ee8277e107e719ed3539"/>
    <w:p>
      <w:pPr>
        <w:pStyle w:val="Heading2"/>
      </w:pPr>
      <w:r>
        <w:t xml:space="preserve">Atelier — Formaliser la stratégie cloud complète du projet</w:t>
      </w:r>
    </w:p>
    <w:p>
      <w:pPr>
        <w:pStyle w:val="FirstParagraph"/>
      </w:pPr>
      <w:r>
        <w:t xml:space="preserve">🛠️ Atelier 84 — Répondre à l’exigence de gouvernance du DSI</w:t>
      </w:r>
    </w:p>
    <w:p>
      <w:pPr>
        <w:pStyle w:val="BodyText"/>
      </w:pPr>
      <w:r>
        <w:rPr>
          <w:b/>
          <w:bCs/>
        </w:rPr>
        <w:t xml:space="preserve">Objectif</w:t>
      </w:r>
      <w:r>
        <w:t xml:space="preserve"> </w:t>
      </w:r>
      <w:r>
        <w:t xml:space="preserve">: rédiger une stratégie cloud formalisée pour le projet, couvrant les choix de services, la sauvegarde hors site, et la gouvernance financière et de sécurité.</w:t>
      </w:r>
    </w:p>
    <w:p>
      <w:pPr>
        <w:pStyle w:val="BodyText"/>
      </w:pPr>
      <w:r>
        <w:rPr>
          <w:b/>
          <w:bCs/>
        </w:rPr>
        <w:t xml:space="preserve">Préparation</w:t>
      </w:r>
      <w:r>
        <w:t xml:space="preserve"> </w:t>
      </w:r>
      <w:r>
        <w:t xml:space="preserve">: une relecture des chapitres 46 à 50 pour synthétiser les décisions cloud déjà justifiées.</w:t>
      </w:r>
    </w:p>
    <w:p>
      <w:pPr>
        <w:pStyle w:val="BodyText"/>
      </w:pPr>
      <w:r>
        <w:rPr>
          <w:b/>
          <w:bCs/>
        </w:rPr>
        <w:t xml:space="preserve">Étapes détaillées</w:t>
      </w:r>
      <w:r>
        <w:t xml:space="preserve"> </w:t>
      </w:r>
      <w:r>
        <w:t xml:space="preserve">:</w:t>
      </w:r>
    </w:p>
    <w:p>
      <w:pPr>
        <w:pStyle w:val="Compact"/>
        <w:numPr>
          <w:ilvl w:val="0"/>
          <w:numId w:val="2930"/>
        </w:numPr>
      </w:pPr>
      <w:r>
        <w:t xml:space="preserve">Récapitule, pour chaque service cloud déjà utilisé (portail client sur AWS, considérations Azure), la justification motivée par le service plutôt que par une préférence générale.</w:t>
      </w:r>
    </w:p>
    <w:p>
      <w:pPr>
        <w:pStyle w:val="Compact"/>
        <w:numPr>
          <w:ilvl w:val="0"/>
          <w:numId w:val="2930"/>
        </w:numPr>
      </w:pPr>
      <w:r>
        <w:t xml:space="preserve">Conçois une politique de sauvegarde hors site dans le cloud pour l’ensemble des sites de l’entreprise, en t’appuyant sur la section 84.4.</w:t>
      </w:r>
    </w:p>
    <w:p>
      <w:pPr>
        <w:pStyle w:val="Compact"/>
        <w:numPr>
          <w:ilvl w:val="0"/>
          <w:numId w:val="2930"/>
        </w:numPr>
      </w:pPr>
      <w:r>
        <w:t xml:space="preserve">Définis un budget cloud cible et un mécanisme d’alerte de dépassement, rappelant la section 84.5.</w:t>
      </w:r>
    </w:p>
    <w:p>
      <w:pPr>
        <w:pStyle w:val="Compact"/>
        <w:numPr>
          <w:ilvl w:val="0"/>
          <w:numId w:val="2930"/>
        </w:numPr>
      </w:pPr>
      <w:r>
        <w:t xml:space="preserve">Identifie les journaux cloud à intégrer en priorité au SIEM, en justifiant ce choix par leur valeur pour la détection d’incident.</w:t>
      </w:r>
    </w:p>
    <w:p>
      <w:pPr>
        <w:pStyle w:val="Compact"/>
        <w:numPr>
          <w:ilvl w:val="0"/>
          <w:numId w:val="2930"/>
        </w:numPr>
      </w:pPr>
      <w:r>
        <w:t xml:space="preserve">Compare ta démarche à la section</w:t>
      </w:r>
      <w:r>
        <w:t xml:space="preserve"> </w:t>
      </w:r>
      <w:r>
        <w:t xml:space="preserve">“Résultat attendu”</w:t>
      </w:r>
      <w:r>
        <w:t xml:space="preserve">.</w:t>
      </w:r>
    </w:p>
    <w:p>
      <w:pPr>
        <w:pStyle w:val="FirstParagraph"/>
      </w:pPr>
      <w:r>
        <w:rPr>
          <w:b/>
          <w:bCs/>
        </w:rPr>
        <w:t xml:space="preserve">Résultat attendu</w:t>
      </w:r>
      <w:r>
        <w:t xml:space="preserve"> </w:t>
      </w:r>
      <w:r>
        <w:t xml:space="preserve">: la stratégie cloud reste cohérente avec les choix déjà justifiés dans ce manuel, sans introduire de nouveau fournisseur sans justification explicite. La politique de sauvegarde hors site applique la règle 3-2-1 déjà établie au chapitre 30, avec une copie chiffrée dans le cloud testée trimestriellement. Le budget et les alertes de dépassement reprennent directement le cycle FinOps du chapitre 50, désormais appliqué à l’échelle complète du projet. Les journaux d’authentification et de modification de configuration cloud constituent généralement la priorité d’intégration au SIEM, ces événements étant les plus révélateurs d’une activité potentiellement malveillante.</w:t>
      </w:r>
    </w:p>
    <w:p>
      <w:pPr>
        <w:pStyle w:val="BodyText"/>
      </w:pPr>
      <w:r>
        <w:rPr>
          <w:b/>
          <w:bCs/>
        </w:rPr>
        <w:t xml:space="preserve">Dépannage</w:t>
      </w:r>
      <w:r>
        <w:t xml:space="preserve"> </w:t>
      </w:r>
      <w:r>
        <w:t xml:space="preserve">: si le budget cloud cible semble difficile à estimer sans données historiques suffisantes, base l’estimation initiale sur le coût observé du portail client déjà en production (chapitre 50), ajusté proportionnellement aux nouveaux services envisagés, plutôt que de partir d’une estimation arbitraire sans ancrage dans l’usage réel déjà observé.</w:t>
      </w:r>
    </w:p>
    <w:bookmarkEnd w:id="2033"/>
    <w:bookmarkStart w:id="2034" w:name="erreurs-fréquentes-83"/>
    <w:p>
      <w:pPr>
        <w:pStyle w:val="Heading2"/>
      </w:pPr>
      <w:r>
        <w:t xml:space="preserve">Erreurs fréquentes</w:t>
      </w:r>
    </w:p>
    <w:p>
      <w:pPr>
        <w:pStyle w:val="FirstParagraph"/>
      </w:pPr>
      <w:r>
        <w:t xml:space="preserve">⚠️ Erreur n°1 — de nouveaux services cloud adoptés sans revenir à la gouvernance déjà établie</w:t>
      </w:r>
      <w:r>
        <w:t xml:space="preserve"> </w:t>
      </w:r>
      <w:r>
        <w:t xml:space="preserve">Rappel des chapitres 49-50 : reproduire, pour le projet final, exactement le schéma</w:t>
      </w:r>
      <w:r>
        <w:t xml:space="preserve"> </w:t>
      </w:r>
      <w:r>
        <w:t xml:space="preserve">“hybride par accident”</w:t>
      </w:r>
      <w:r>
        <w:t xml:space="preserve"> </w:t>
      </w:r>
      <w:r>
        <w:t xml:space="preserve">que l’entreprise avait déjà corrigé.</w:t>
      </w:r>
    </w:p>
    <w:p>
      <w:pPr>
        <w:pStyle w:val="BodyText"/>
      </w:pPr>
      <w:r>
        <w:t xml:space="preserve">⚠️ Erreur n°2 — une sauvegarde cloud jamais testée en restauration</w:t>
      </w:r>
      <w:r>
        <w:t xml:space="preserve"> </w:t>
      </w:r>
      <w:r>
        <w:t xml:space="preserve">Rappel direct du chapitre 27 : une sauvegarde hors site non vérifiée offre une fausse impression de protection, un risque particulièrement critique pour le composant spécifiquement destiné au plan de reprise d’activité.</w:t>
      </w:r>
    </w:p>
    <w:p>
      <w:pPr>
        <w:pStyle w:val="BodyText"/>
      </w:pPr>
      <w:r>
        <w:t xml:space="preserve">⚠️ Erreur n°3 — des journaux d’activité cloud jamais intégrés au SIEM</w:t>
      </w:r>
      <w:r>
        <w:t xml:space="preserve"> </w:t>
      </w:r>
      <w:r>
        <w:t xml:space="preserve">Rappel direct du chapitre 74 : une source d’événements cloud non intégrée crée un angle mort, exactement le même risque déjà dénoncé pour toute source de sécurité critique non couverte.</w:t>
      </w:r>
    </w:p>
    <w:bookmarkEnd w:id="2034"/>
    <w:bookmarkStart w:id="2035" w:name="Xcb7d3fa63454987c288e82e01726673e634f754"/>
    <w:p>
      <w:pPr>
        <w:pStyle w:val="Heading2"/>
      </w:pPr>
      <w:r>
        <w:t xml:space="preserve">Diagnostiquer une dérive de gouvernance cloud sur le projet final</w:t>
      </w:r>
    </w:p>
    <w:p>
      <w:pPr>
        <w:pStyle w:val="FirstParagraph"/>
      </w:pPr>
      <w:r>
        <w:t xml:space="preserve">🩺 Symptôme : une facture cloud dépasse significativement le budget cible défini pour le projet, sans alerte préalable</w:t>
      </w:r>
    </w:p>
    <w:p>
      <w:pPr>
        <w:pStyle w:val="Compact"/>
        <w:numPr>
          <w:ilvl w:val="0"/>
          <w:numId w:val="2931"/>
        </w:numPr>
      </w:pPr>
      <w:r>
        <w:rPr>
          <w:b/>
          <w:bCs/>
        </w:rPr>
        <w:t xml:space="preserve">Diagnostic</w:t>
      </w:r>
      <w:r>
        <w:t xml:space="preserve"> </w:t>
      </w:r>
      <w:r>
        <w:t xml:space="preserve">: ce symptôme, rappel direct du même incident déjà rencontré au chapitre 50, indique généralement une absence d’étiquetage systématique des ressources ou un mécanisme d’alerte de budget mal configuré ou inexistant.</w:t>
      </w:r>
    </w:p>
    <w:p>
      <w:pPr>
        <w:pStyle w:val="Compact"/>
        <w:numPr>
          <w:ilvl w:val="0"/>
          <w:numId w:val="2931"/>
        </w:numPr>
      </w:pPr>
      <w:r>
        <w:rPr>
          <w:b/>
          <w:bCs/>
        </w:rPr>
        <w:t xml:space="preserve">Comment vérifier</w:t>
      </w:r>
      <w:r>
        <w:t xml:space="preserve"> </w:t>
      </w:r>
      <w:r>
        <w:t xml:space="preserve">: consulter la répartition des coûts par étiquette et par service, identifiant les ressources responsables du dépassement — une répartition impossible à établir révèle elle-même l’absence d’étiquetage systématique.</w:t>
      </w:r>
    </w:p>
    <w:p>
      <w:pPr>
        <w:pStyle w:val="Compact"/>
        <w:numPr>
          <w:ilvl w:val="0"/>
          <w:numId w:val="2931"/>
        </w:numPr>
      </w:pPr>
      <w:r>
        <w:rPr>
          <w:b/>
          <w:bCs/>
        </w:rPr>
        <w:t xml:space="preserve">Résolution</w:t>
      </w:r>
      <w:r>
        <w:t xml:space="preserve"> </w:t>
      </w:r>
      <w:r>
        <w:t xml:space="preserve">: appliquer rétroactivement l’étiquetage manquant, configurer les alertes de budget appropriées, et reprendre le cycle Informer-Optimiser-Opérer déjà établi au chapitre 50 pour l’ensemble du périmètre du projet.</w:t>
      </w:r>
    </w:p>
    <w:bookmarkEnd w:id="2035"/>
    <w:bookmarkStart w:id="2036" w:name="en-entreprise-83"/>
    <w:p>
      <w:pPr>
        <w:pStyle w:val="Heading2"/>
      </w:pPr>
      <w:r>
        <w:t xml:space="preserve">En entreprise</w:t>
      </w:r>
    </w:p>
    <w:p>
      <w:pPr>
        <w:pStyle w:val="Compact"/>
        <w:numPr>
          <w:ilvl w:val="0"/>
          <w:numId w:val="2932"/>
        </w:numPr>
      </w:pPr>
      <w:r>
        <w:rPr>
          <w:b/>
          <w:bCs/>
        </w:rPr>
        <w:t xml:space="preserve">Bonne pratique répandue</w:t>
      </w:r>
      <w:r>
        <w:t xml:space="preserve"> </w:t>
      </w:r>
      <w:r>
        <w:t xml:space="preserve">: formaliser la stratégie cloud dès la phase de conception d’un projet d’infrastructure, plutôt que de la reconstruire après coup une fois plusieurs décisions déjà prises isolément.</w:t>
      </w:r>
    </w:p>
    <w:p>
      <w:pPr>
        <w:pStyle w:val="Compact"/>
        <w:numPr>
          <w:ilvl w:val="0"/>
          <w:numId w:val="2932"/>
        </w:numPr>
      </w:pPr>
      <w:r>
        <w:rPr>
          <w:b/>
          <w:bCs/>
        </w:rPr>
        <w:t xml:space="preserve">Bonne pratique répandue</w:t>
      </w:r>
      <w:r>
        <w:t xml:space="preserve"> </w:t>
      </w:r>
      <w:r>
        <w:t xml:space="preserve">: intégrer systématiquement les journaux cloud au SIEM dès l’adoption de tout nouveau service cloud, sans attendre un exercice de consolidation ultérieur.</w:t>
      </w:r>
    </w:p>
    <w:p>
      <w:pPr>
        <w:pStyle w:val="Compact"/>
        <w:numPr>
          <w:ilvl w:val="0"/>
          <w:numId w:val="2932"/>
        </w:numPr>
      </w:pPr>
      <w:r>
        <w:rPr>
          <w:b/>
          <w:bCs/>
        </w:rPr>
        <w:t xml:space="preserve">Erreur classique observée</w:t>
      </w:r>
      <w:r>
        <w:t xml:space="preserve"> </w:t>
      </w:r>
      <w:r>
        <w:t xml:space="preserve">: une organisation qui investit dans une gouvernance cloud rigoureuse pour son infrastructure existante, mais qui néglige d’appliquer cette même rigueur à chaque nouveau projet, reproduisant progressivement le même problème de dispersion déjà résolu ailleurs dans l’organisation.</w:t>
      </w:r>
    </w:p>
    <w:bookmarkEnd w:id="2036"/>
    <w:bookmarkStart w:id="2037" w:name="entretien-technique-83"/>
    <w:p>
      <w:pPr>
        <w:pStyle w:val="Heading2"/>
      </w:pPr>
      <w:r>
        <w:t xml:space="preserve">Entretien technique</w:t>
      </w:r>
    </w:p>
    <w:p>
      <w:pPr>
        <w:pStyle w:val="FirstParagraph"/>
      </w:pPr>
      <w:r>
        <w:t xml:space="preserve">💼 Questions fréquemment posées en entretien</w:t>
      </w:r>
    </w:p>
    <w:p>
      <w:pPr>
        <w:pStyle w:val="BodyText"/>
      </w:pPr>
      <w:r>
        <w:rPr>
          <w:b/>
          <w:bCs/>
        </w:rPr>
        <w:t xml:space="preserve">Q1.</w:t>
      </w:r>
      <w:r>
        <w:rPr>
          <w:b/>
          <w:bCs/>
        </w:rPr>
        <w:t xml:space="preserve"> </w:t>
      </w:r>
      <w:r>
        <w:rPr>
          <w:b/>
          <w:bCs/>
        </w:rPr>
        <w:t xml:space="preserve">“Pourquoi est-il important de formaliser une stratégie cloud dès le départ d’un projet, plutôt que de laisser chaque décision se prendre isolément ?”</w:t>
      </w:r>
      <w:r>
        <w:t xml:space="preserve"> </w:t>
      </w:r>
      <w:r>
        <w:t xml:space="preserve">Réponse attendue : une gouvernance formalisée évite la dispersion technologique, le risque de facturation inattendue, et les lacunes de sécurité qui résultent typiquement de décisions cloud non coordonnées, exactement le problème déjà rencontré et corrigé aux chapitres 49-50.</w:t>
      </w:r>
    </w:p>
    <w:p>
      <w:pPr>
        <w:pStyle w:val="BodyText"/>
      </w:pPr>
      <w:r>
        <w:rPr>
          <w:b/>
          <w:bCs/>
        </w:rPr>
        <w:t xml:space="preserve">Q2.</w:t>
      </w:r>
      <w:r>
        <w:rPr>
          <w:b/>
          <w:bCs/>
        </w:rPr>
        <w:t xml:space="preserve"> </w:t>
      </w:r>
      <w:r>
        <w:rPr>
          <w:b/>
          <w:bCs/>
        </w:rPr>
        <w:t xml:space="preserve">“Pourquoi le cloud public constitue-t-il un emplacement particulièrement adapté pour une sauvegarde hors site dans le cadre d’un plan de reprise d’activité ?”</w:t>
      </w:r>
      <w:r>
        <w:t xml:space="preserve"> </w:t>
      </w:r>
      <w:r>
        <w:t xml:space="preserve">Réponse attendue : il offre une séparation géographique naturelle par rapport à l’ensemble des sites physiques de l’entreprise, protégeant contre un scénario où un sinistre affecterait simultanément un site et ses sauvegardes locales.</w:t>
      </w:r>
    </w:p>
    <w:p>
      <w:pPr>
        <w:pStyle w:val="BodyText"/>
      </w:pPr>
      <w:r>
        <w:rPr>
          <w:b/>
          <w:bCs/>
        </w:rPr>
        <w:t xml:space="preserve">Q3.</w:t>
      </w:r>
      <w:r>
        <w:rPr>
          <w:b/>
          <w:bCs/>
        </w:rPr>
        <w:t xml:space="preserve"> </w:t>
      </w:r>
      <w:r>
        <w:rPr>
          <w:b/>
          <w:bCs/>
        </w:rPr>
        <w:t xml:space="preserve">“Pourquoi intégrer les journaux d’activité cloud au SIEM plutôt que de les laisser consultables uniquement dans la console du fournisseur cloud ?”</w:t>
      </w:r>
      <w:r>
        <w:t xml:space="preserve"> </w:t>
      </w:r>
      <w:r>
        <w:t xml:space="preserve">Réponse attendue : cette intégration permet de corréler un événement cloud avec d’autres sources déjà en place (Active Directory, pare-feu, EDR), révélant potentiellement une compromission s’étendant au-delà de l’infrastructure locale, une capacité qu’une consultation isolée de la console cloud ne permettrait pas.</w:t>
      </w:r>
    </w:p>
    <w:bookmarkEnd w:id="2037"/>
    <w:bookmarkStart w:id="2038" w:name="X13b33079003392b5e7d39bafc846b36e11a5f50"/>
    <w:p>
      <w:pPr>
        <w:pStyle w:val="Heading2"/>
      </w:pPr>
      <w:r>
        <w:t xml:space="preserve">Optimisation, sécurité et maintenabilité — les réflexes dès ce chapitre</w:t>
      </w:r>
    </w:p>
    <w:p>
      <w:pPr>
        <w:pStyle w:val="FirstParagraph"/>
      </w:pPr>
      <w:r>
        <w:t xml:space="preserve">🔒 Sécurité</w:t>
      </w:r>
      <w:r>
        <w:t xml:space="preserve"> </w:t>
      </w:r>
      <w:r>
        <w:t xml:space="preserve">Chiffre systématiquement toute donnée sensible stockée dans le cloud, en particulier les sauvegardes hors site destinées au plan de reprise d’activité, appliquant le principe de moindre privilège à l’ensemble des accès IAM correspondants.</w:t>
      </w:r>
    </w:p>
    <w:p>
      <w:pPr>
        <w:pStyle w:val="BodyText"/>
      </w:pPr>
      <w:r>
        <w:t xml:space="preserve">✅ Maintenabilité</w:t>
      </w:r>
      <w:r>
        <w:t xml:space="preserve"> </w:t>
      </w:r>
      <w:r>
        <w:t xml:space="preserve">Documente explicitement la justification de chaque service cloud adopté pour le projet, évitant la reconstitution laborieuse d’une gouvernance a posteriori déjà nécessaire une fois par le passé au chapitre 49.</w:t>
      </w:r>
    </w:p>
    <w:p>
      <w:pPr>
        <w:pStyle w:val="BodyText"/>
      </w:pPr>
      <w:r>
        <w:t xml:space="preserve">🚀 Performance</w:t>
      </w:r>
      <w:r>
        <w:t xml:space="preserve"> </w:t>
      </w:r>
      <w:r>
        <w:t xml:space="preserve">Adapte la classe de stockage cloud utilisée pour la sauvegarde hors site à la fréquence réelle d’accès attendue (stockage froid pour une sauvegarde rarement consultée), optimisant le coût sans compromettre la disponibilité en cas de besoin réel de restauration.</w:t>
      </w:r>
    </w:p>
    <w:bookmarkEnd w:id="2038"/>
    <w:bookmarkStart w:id="2039" w:name="résumé-du-chapitre-83"/>
    <w:p>
      <w:pPr>
        <w:pStyle w:val="Heading2"/>
      </w:pPr>
      <w:r>
        <w:t xml:space="preserve">Résumé du chapitre</w:t>
      </w:r>
    </w:p>
    <w:p>
      <w:pPr>
        <w:pStyle w:val="Compact"/>
        <w:numPr>
          <w:ilvl w:val="0"/>
          <w:numId w:val="2933"/>
        </w:numPr>
      </w:pPr>
      <w:r>
        <w:t xml:space="preserve">La stratégie cloud du projet final formalise délibérément ce qui s’était construit par accident aux chapitres 46-50, plutôt que de reproduire ce schéma.</w:t>
      </w:r>
    </w:p>
    <w:p>
      <w:pPr>
        <w:pStyle w:val="Compact"/>
        <w:numPr>
          <w:ilvl w:val="0"/>
          <w:numId w:val="2933"/>
        </w:numPr>
      </w:pPr>
      <w:r>
        <w:t xml:space="preserve">Chaque service cloud reste choisi selon sa pertinence spécifique, jamais par préférence générale pour un fournisseur unique.</w:t>
      </w:r>
    </w:p>
    <w:p>
      <w:pPr>
        <w:pStyle w:val="Compact"/>
        <w:numPr>
          <w:ilvl w:val="0"/>
          <w:numId w:val="2933"/>
        </w:numPr>
      </w:pPr>
      <w:r>
        <w:t xml:space="preserve">Les modules Terraform réutilisables du chapitre 55 garantissent une configuration cloud cohérente à travers le projet.</w:t>
      </w:r>
    </w:p>
    <w:p>
      <w:pPr>
        <w:pStyle w:val="Compact"/>
        <w:numPr>
          <w:ilvl w:val="0"/>
          <w:numId w:val="2933"/>
        </w:numPr>
      </w:pPr>
      <w:r>
        <w:t xml:space="preserve">Le cloud public constitue un composant naturel de sauvegarde hors site pour le plan de reprise d’activité, à intégrer directement au chapitre 86.</w:t>
      </w:r>
    </w:p>
    <w:p>
      <w:pPr>
        <w:pStyle w:val="Compact"/>
        <w:numPr>
          <w:ilvl w:val="0"/>
          <w:numId w:val="2933"/>
        </w:numPr>
      </w:pPr>
      <w:r>
        <w:t xml:space="preserve">La gouvernance FinOps du chapitre 50 s’applique à l’échelle complète du projet, incluant étiquetage et alertes de budget.</w:t>
      </w:r>
    </w:p>
    <w:p>
      <w:pPr>
        <w:pStyle w:val="Compact"/>
        <w:numPr>
          <w:ilvl w:val="0"/>
          <w:numId w:val="2933"/>
        </w:numPr>
      </w:pPr>
      <w:r>
        <w:t xml:space="preserve">Les journaux d’activité cloud doivent être intégrés au SIEM comme toute autre source de sécurité critique.</w:t>
      </w:r>
    </w:p>
    <w:bookmarkEnd w:id="2039"/>
    <w:bookmarkStart w:id="2040" w:name="quiz-83"/>
    <w:p>
      <w:pPr>
        <w:pStyle w:val="Heading2"/>
      </w:pPr>
      <w:r>
        <w:t xml:space="preserve">Quiz</w:t>
      </w:r>
    </w:p>
    <w:p>
      <w:pPr>
        <w:pStyle w:val="FirstParagraph"/>
      </w:pPr>
      <w:r>
        <w:t xml:space="preserve">📝 QCM (une seule bonne réponse par question)</w:t>
      </w:r>
    </w:p>
    <w:p>
      <w:pPr>
        <w:pStyle w:val="Compact"/>
        <w:numPr>
          <w:ilvl w:val="0"/>
          <w:numId w:val="2934"/>
        </w:numPr>
      </w:pPr>
      <w:r>
        <w:t xml:space="preserve">La stratégie cloud du projet final vise principalement à :</w:t>
      </w:r>
    </w:p>
    <w:p>
      <w:pPr>
        <w:pStyle w:val="Compact"/>
        <w:numPr>
          <w:ilvl w:val="1"/>
          <w:numId w:val="2935"/>
        </w:numPr>
      </w:pPr>
    </w:p>
    <w:p>
      <w:pPr>
        <w:pStyle w:val="Compact"/>
        <w:numPr>
          <w:ilvl w:val="2"/>
          <w:numId w:val="2936"/>
        </w:numPr>
      </w:pPr>
      <w:r>
        <w:t xml:space="preserve">Adopter systématiquement le fournisseur cloud le moins cher disponible</w:t>
      </w:r>
    </w:p>
    <w:p>
      <w:pPr>
        <w:pStyle w:val="Compact"/>
        <w:numPr>
          <w:ilvl w:val="1"/>
          <w:numId w:val="2935"/>
        </w:numPr>
      </w:pPr>
    </w:p>
    <w:p>
      <w:pPr>
        <w:pStyle w:val="Compact"/>
        <w:numPr>
          <w:ilvl w:val="2"/>
          <w:numId w:val="2937"/>
        </w:numPr>
      </w:pPr>
      <w:r>
        <w:t xml:space="preserve">Formaliser délibérément les choix cloud, évitant la dispersion déjà rencontrée aux chapitres 49-50</w:t>
      </w:r>
    </w:p>
    <w:p>
      <w:pPr>
        <w:pStyle w:val="Compact"/>
        <w:numPr>
          <w:ilvl w:val="1"/>
          <w:numId w:val="2935"/>
        </w:numPr>
      </w:pPr>
    </w:p>
    <w:p>
      <w:pPr>
        <w:pStyle w:val="Compact"/>
        <w:numPr>
          <w:ilvl w:val="2"/>
          <w:numId w:val="2938"/>
        </w:numPr>
      </w:pPr>
      <w:r>
        <w:t xml:space="preserve">Éliminer complètement le besoin d’infrastructure cloud</w:t>
      </w:r>
    </w:p>
    <w:p>
      <w:pPr>
        <w:pStyle w:val="Compact"/>
        <w:numPr>
          <w:ilvl w:val="1"/>
          <w:numId w:val="2935"/>
        </w:numPr>
      </w:pPr>
    </w:p>
    <w:p>
      <w:pPr>
        <w:pStyle w:val="Compact"/>
        <w:numPr>
          <w:ilvl w:val="2"/>
          <w:numId w:val="2939"/>
        </w:numPr>
      </w:pPr>
      <w:r>
        <w:t xml:space="preserve">Remplacer entièrement l’infrastructure locale existante</w:t>
      </w:r>
    </w:p>
    <w:p>
      <w:pPr>
        <w:pStyle w:val="Compact"/>
        <w:numPr>
          <w:ilvl w:val="0"/>
          <w:numId w:val="2934"/>
        </w:numPr>
      </w:pPr>
      <w:r>
        <w:t xml:space="preserve">Le cloud public est particulièrement adapté à la sauvegarde hors site car il offre :</w:t>
      </w:r>
    </w:p>
    <w:p>
      <w:pPr>
        <w:pStyle w:val="Compact"/>
        <w:numPr>
          <w:ilvl w:val="1"/>
          <w:numId w:val="2940"/>
        </w:numPr>
      </w:pPr>
    </w:p>
    <w:p>
      <w:pPr>
        <w:pStyle w:val="Compact"/>
        <w:numPr>
          <w:ilvl w:val="2"/>
          <w:numId w:val="2941"/>
        </w:numPr>
      </w:pPr>
      <w:r>
        <w:t xml:space="preserve">Une garantie automatique contre toute perte de données</w:t>
      </w:r>
    </w:p>
    <w:p>
      <w:pPr>
        <w:pStyle w:val="Compact"/>
        <w:numPr>
          <w:ilvl w:val="1"/>
          <w:numId w:val="2940"/>
        </w:numPr>
      </w:pPr>
    </w:p>
    <w:p>
      <w:pPr>
        <w:pStyle w:val="Compact"/>
        <w:numPr>
          <w:ilvl w:val="2"/>
          <w:numId w:val="2942"/>
        </w:numPr>
      </w:pPr>
      <w:r>
        <w:t xml:space="preserve">Une séparation géographique naturelle par rapport aux sites physiques de l’entreprise</w:t>
      </w:r>
    </w:p>
    <w:p>
      <w:pPr>
        <w:pStyle w:val="Compact"/>
        <w:numPr>
          <w:ilvl w:val="1"/>
          <w:numId w:val="2940"/>
        </w:numPr>
      </w:pPr>
    </w:p>
    <w:p>
      <w:pPr>
        <w:pStyle w:val="Compact"/>
        <w:numPr>
          <w:ilvl w:val="2"/>
          <w:numId w:val="2943"/>
        </w:numPr>
      </w:pPr>
      <w:r>
        <w:t xml:space="preserve">Un coût toujours inférieur au stockage local</w:t>
      </w:r>
    </w:p>
    <w:p>
      <w:pPr>
        <w:pStyle w:val="Compact"/>
        <w:numPr>
          <w:ilvl w:val="1"/>
          <w:numId w:val="2940"/>
        </w:numPr>
      </w:pPr>
    </w:p>
    <w:p>
      <w:pPr>
        <w:pStyle w:val="Compact"/>
        <w:numPr>
          <w:ilvl w:val="2"/>
          <w:numId w:val="2944"/>
        </w:numPr>
      </w:pPr>
      <w:r>
        <w:t xml:space="preserve">Une dispense de tout test de restauration</w:t>
      </w:r>
    </w:p>
    <w:p>
      <w:pPr>
        <w:pStyle w:val="Compact"/>
        <w:numPr>
          <w:ilvl w:val="0"/>
          <w:numId w:val="2934"/>
        </w:numPr>
      </w:pPr>
      <w:r>
        <w:t xml:space="preserve">Intégrer les journaux d’activité cloud au SIEM permet principalement de :</w:t>
      </w:r>
    </w:p>
    <w:p>
      <w:pPr>
        <w:pStyle w:val="Compact"/>
        <w:numPr>
          <w:ilvl w:val="1"/>
          <w:numId w:val="2945"/>
        </w:numPr>
      </w:pPr>
    </w:p>
    <w:p>
      <w:pPr>
        <w:pStyle w:val="Compact"/>
        <w:numPr>
          <w:ilvl w:val="2"/>
          <w:numId w:val="2946"/>
        </w:numPr>
      </w:pPr>
      <w:r>
        <w:t xml:space="preserve">Réduire le coût des services cloud utilisés</w:t>
      </w:r>
    </w:p>
    <w:p>
      <w:pPr>
        <w:pStyle w:val="Compact"/>
        <w:numPr>
          <w:ilvl w:val="1"/>
          <w:numId w:val="2945"/>
        </w:numPr>
      </w:pPr>
    </w:p>
    <w:p>
      <w:pPr>
        <w:pStyle w:val="Compact"/>
        <w:numPr>
          <w:ilvl w:val="2"/>
          <w:numId w:val="2947"/>
        </w:numPr>
      </w:pPr>
      <w:r>
        <w:t xml:space="preserve">Corréler un événement cloud avec d’autres sources pour révéler une compromission plus large</w:t>
      </w:r>
    </w:p>
    <w:p>
      <w:pPr>
        <w:pStyle w:val="Compact"/>
        <w:numPr>
          <w:ilvl w:val="1"/>
          <w:numId w:val="2945"/>
        </w:numPr>
      </w:pPr>
    </w:p>
    <w:p>
      <w:pPr>
        <w:pStyle w:val="Compact"/>
        <w:numPr>
          <w:ilvl w:val="2"/>
          <w:numId w:val="2948"/>
        </w:numPr>
      </w:pPr>
      <w:r>
        <w:t xml:space="preserve">Remplacer le besoin d’IAM et de moindre privilège</w:t>
      </w:r>
    </w:p>
    <w:p>
      <w:pPr>
        <w:pStyle w:val="Compact"/>
        <w:numPr>
          <w:ilvl w:val="1"/>
          <w:numId w:val="2945"/>
        </w:numPr>
      </w:pPr>
    </w:p>
    <w:p>
      <w:pPr>
        <w:pStyle w:val="Compact"/>
        <w:numPr>
          <w:ilvl w:val="2"/>
          <w:numId w:val="2949"/>
        </w:numPr>
      </w:pPr>
      <w:r>
        <w:t xml:space="preserve">Éliminer le besoin de gouvernance FinOps</w:t>
      </w:r>
    </w:p>
    <w:p>
      <w:pPr>
        <w:pStyle w:val="FirstParagraph"/>
      </w:pPr>
      <w:r>
        <w:rPr>
          <w:b/>
          <w:bCs/>
        </w:rPr>
        <w:t xml:space="preserve">Corrigé</w:t>
      </w:r>
      <w:r>
        <w:t xml:space="preserve"> </w:t>
      </w:r>
      <w:r>
        <w:t xml:space="preserve">: 1-b, 2-b, 3-b.</w:t>
      </w:r>
    </w:p>
    <w:p>
      <w:pPr>
        <w:pStyle w:val="BodyText"/>
      </w:pPr>
      <w:r>
        <w:t xml:space="preserve">📝 Vrai ou Faux</w:t>
      </w:r>
    </w:p>
    <w:p>
      <w:pPr>
        <w:pStyle w:val="Compact"/>
        <w:numPr>
          <w:ilvl w:val="0"/>
          <w:numId w:val="2950"/>
        </w:numPr>
      </w:pPr>
      <w:r>
        <w:t xml:space="preserve">Chaque service cloud du projet final devrait être choisi selon sa pertinence spécifique, jamais par préférence générale pour un fournisseur unique. —</w:t>
      </w:r>
      <w:r>
        <w:t xml:space="preserve"> </w:t>
      </w:r>
      <w:r>
        <w:rPr>
          <w:b/>
          <w:bCs/>
        </w:rPr>
        <w:t xml:space="preserve">Vrai</w:t>
      </w:r>
      <w:r>
        <w:t xml:space="preserve"> </w:t>
      </w:r>
      <w:r>
        <w:t xml:space="preserve">(section 84.2).</w:t>
      </w:r>
    </w:p>
    <w:p>
      <w:pPr>
        <w:pStyle w:val="Compact"/>
        <w:numPr>
          <w:ilvl w:val="0"/>
          <w:numId w:val="2950"/>
        </w:numPr>
      </w:pPr>
      <w:r>
        <w:t xml:space="preserve">Une sauvegarde cloud jamais testée en restauration offre la même garantie qu’une sauvegarde régulièrement vérifiée. —</w:t>
      </w:r>
      <w:r>
        <w:t xml:space="preserve"> </w:t>
      </w:r>
      <w:r>
        <w:rPr>
          <w:b/>
          <w:bCs/>
        </w:rPr>
        <w:t xml:space="preserve">Faux</w:t>
      </w:r>
      <w:r>
        <w:t xml:space="preserve"> </w:t>
      </w:r>
      <w:r>
        <w:t xml:space="preserve">(section</w:t>
      </w:r>
      <w:r>
        <w:t xml:space="preserve"> </w:t>
      </w:r>
      <w:r>
        <w:t xml:space="preserve">“Erreur n°2”</w:t>
      </w:r>
      <w:r>
        <w:t xml:space="preserve">).</w:t>
      </w:r>
    </w:p>
    <w:p>
      <w:pPr>
        <w:pStyle w:val="Compact"/>
        <w:numPr>
          <w:ilvl w:val="0"/>
          <w:numId w:val="2950"/>
        </w:numPr>
      </w:pPr>
      <w:r>
        <w:t xml:space="preserve">La gouvernance FinOps établie au chapitre 50 ne s’applique qu’au portail client, pas aux nouveaux services cloud du projet final. —</w:t>
      </w:r>
      <w:r>
        <w:t xml:space="preserve"> </w:t>
      </w:r>
      <w:r>
        <w:rPr>
          <w:b/>
          <w:bCs/>
        </w:rPr>
        <w:t xml:space="preserve">Faux</w:t>
      </w:r>
      <w:r>
        <w:t xml:space="preserve"> </w:t>
      </w:r>
      <w:r>
        <w:t xml:space="preserve">(section 84.5).</w:t>
      </w:r>
    </w:p>
    <w:p>
      <w:pPr>
        <w:pStyle w:val="Compact"/>
        <w:numPr>
          <w:ilvl w:val="0"/>
          <w:numId w:val="2950"/>
        </w:numPr>
      </w:pPr>
      <w:r>
        <w:t xml:space="preserve">Les journaux cloud consultables uniquement dans la console du fournisseur offrent la même valeur de détection qu’une intégration au SIEM. —</w:t>
      </w:r>
      <w:r>
        <w:t xml:space="preserve"> </w:t>
      </w:r>
      <w:r>
        <w:rPr>
          <w:b/>
          <w:bCs/>
        </w:rPr>
        <w:t xml:space="preserve">Faux</w:t>
      </w:r>
      <w:r>
        <w:t xml:space="preserve"> </w:t>
      </w:r>
      <w:r>
        <w:t xml:space="preserve">(section</w:t>
      </w:r>
      <w:r>
        <w:t xml:space="preserve"> </w:t>
      </w:r>
      <w:r>
        <w:t xml:space="preserve">“Entretien technique”</w:t>
      </w:r>
      <w:r>
        <w:t xml:space="preserve">, Q3).</w:t>
      </w:r>
    </w:p>
    <w:p>
      <w:pPr>
        <w:pStyle w:val="FirstParagraph"/>
      </w:pPr>
      <w:r>
        <w:t xml:space="preserve">📝 Questions ouvertes</w:t>
      </w:r>
    </w:p>
    <w:p>
      <w:pPr>
        <w:pStyle w:val="Compact"/>
        <w:numPr>
          <w:ilvl w:val="0"/>
          <w:numId w:val="2951"/>
        </w:numPr>
      </w:pPr>
      <w:r>
        <w:t xml:space="preserve">Explique pourquoi le DSI, dans le scénario d’ouverture, insiste pour formaliser la stratégie cloud du projet final dès le départ, plutôt que de laisser chaque équipe décider au fil des besoins comme cela s’est produit par le passé.</w:t>
      </w:r>
    </w:p>
    <w:p>
      <w:pPr>
        <w:pStyle w:val="Compact"/>
        <w:numPr>
          <w:ilvl w:val="0"/>
          <w:numId w:val="2951"/>
        </w:numPr>
      </w:pPr>
      <w:r>
        <w:t xml:space="preserve">Un collègue propose d’adopter GCP pour le nouveau composant de sauvegarde hors site,</w:t>
      </w:r>
      <w:r>
        <w:t xml:space="preserve"> </w:t>
      </w:r>
      <w:r>
        <w:t xml:space="preserve">“pour diversifier les fournisseurs et réduire la dépendance à un seul acteur”</w:t>
      </w:r>
      <w:r>
        <w:t xml:space="preserve">. Discute cette proposition à la lumière du choix déjà justifié au chapitre 48.</w:t>
      </w:r>
    </w:p>
    <w:p>
      <w:pPr>
        <w:pStyle w:val="FirstParagraph"/>
      </w:pPr>
      <w:r>
        <w:rPr>
          <w:b/>
          <w:bCs/>
        </w:rPr>
        <w:t xml:space="preserve">Corrigé 1</w:t>
      </w:r>
      <w:r>
        <w:t xml:space="preserve"> </w:t>
      </w:r>
      <w:r>
        <w:t xml:space="preserve">: le DSI a directement vécu, aux chapitres 49-50, les conséquences d’une adoption cloud non gouvernée — une dispersion technologique découverte tardivement et une facturation inattendue. Formaliser la stratégie dès le départ du projet final permet d’éviter de reproduire ces mêmes conséquences à une échelle plus large (300 employés, quatre sites), où l’impact d’une dérive non maîtrisée serait proportionnellement plus significatif. Cette insistance illustre directement le principe du retour d’expérience déjà établi au chapitre 79 — une leçon apprise d’un incident passé (ici, une dérive de gouvernance plutôt qu’un incident de sécurité) alimentant une amélioration structurelle pour l’avenir, plutôt qu’un oubli qui laisserait le même problème se reproduire.</w:t>
      </w:r>
    </w:p>
    <w:p>
      <w:pPr>
        <w:pStyle w:val="BodyText"/>
      </w:pPr>
      <w:r>
        <w:rPr>
          <w:b/>
          <w:bCs/>
        </w:rPr>
        <w:t xml:space="preserve">Corrigé 2</w:t>
      </w:r>
      <w:r>
        <w:t xml:space="preserve"> </w:t>
      </w:r>
      <w:r>
        <w:t xml:space="preserve">: la proposition de diversifier les fournisseurs part d’une préoccupation légitime (éviter une dépendance excessive à un seul acteur), mais le chapitre 48 avait déjà explicitement écarté GCP pour cette même entreprise, précisément pour éviter la dispersion technologique qu’une multiplication de fournisseurs impliquerait — chaque fournisseur supplémentaire ajoutant une charge de compétence et de gouvernance distincte à maintenir. La diversification des risques pour la sauvegarde hors site peut être obtenue autrement, par exemple via plusieurs régions géographiques distinctes au sein du même fournisseur déjà maîtrisé (AWS), plutôt que par l’introduction d’un troisième fournisseur cloud entièrement nouveau pour l’équipe — un compromis répondant à la préoccupation de résilience sans reproduire la dispersion déjà écartée au chapitre 48.</w:t>
      </w:r>
    </w:p>
    <w:bookmarkEnd w:id="2040"/>
    <w:bookmarkStart w:id="2041" w:name="exercices-83"/>
    <w:p>
      <w:pPr>
        <w:pStyle w:val="Heading2"/>
      </w:pPr>
      <w:r>
        <w:t xml:space="preserve">Exercices</w:t>
      </w:r>
    </w:p>
    <w:p>
      <w:pPr>
        <w:pStyle w:val="FirstParagraph"/>
      </w:pPr>
      <w:r>
        <w:t xml:space="preserve">📝 Exercice 84.1</w:t>
      </w:r>
    </w:p>
    <w:p>
      <w:pPr>
        <w:pStyle w:val="BodyText"/>
      </w:pPr>
      <w:r>
        <w:t xml:space="preserve">Propose une politique de retention et de test pour la sauvegarde hors site cloud du projet final, en distinguant les données du siège et celles du nouveau site, en t’appuyant sur les principes de criticité différenciée déjà établis dans ce manuel.</w:t>
      </w:r>
    </w:p>
    <w:p>
      <w:pPr>
        <w:pStyle w:val="BodyText"/>
      </w:pPr>
      <w:r>
        <w:rPr>
          <w:b/>
          <w:bCs/>
        </w:rPr>
        <w:t xml:space="preserve">Corrigé :</w:t>
      </w:r>
      <w:r>
        <w:t xml:space="preserve"> </w:t>
      </w:r>
      <w:r>
        <w:t xml:space="preserve">Les données du siège, hébergeant les services les plus critiques (portail client, contrôleur de domaine principal), justifient une rétention étendue de 90 jours minimum avec un test de restauration trimestriel rigoureux, incluant une vérification complète de l’intégrité des données restaurées. Les données du nouveau site, de criticité moindre compte tenu de sa taille modeste et de sa dépendance déjà établie aux services centralisés du siège (section 81.5), pourraient justifier une rétention plus courte (30 à 60 jours) avec un test semestriel plutôt que trimestriel — un dimensionnement proportionné à la criticité réelle de ce site, reproduisant le même principe de proportionnalité déjà appliqué au choix de virtualisation par site au chapitre 81, appliqué ici à la politique de sauvegarde.</w:t>
      </w:r>
    </w:p>
    <w:p>
      <w:pPr>
        <w:pStyle w:val="BodyText"/>
      </w:pPr>
      <w:r>
        <w:t xml:space="preserve">📝 Exercice 84.2</w:t>
      </w:r>
    </w:p>
    <w:p>
      <w:pPr>
        <w:pStyle w:val="BodyText"/>
      </w:pPr>
      <w:r>
        <w:t xml:space="preserve">Rédige, en 3 à 5 phrases, une règle d’équipe garantissant qu’aucun nouveau service cloud n’est adopté pour le projet sans étiquetage systématique et intégration au SIEM dès son activation, en t’appuyant sur les erreurs décrites dans ce chapitre.</w:t>
      </w:r>
    </w:p>
    <w:p>
      <w:pPr>
        <w:pStyle w:val="BodyText"/>
      </w:pPr>
      <w:r>
        <w:rPr>
          <w:b/>
          <w:bCs/>
        </w:rPr>
        <w:t xml:space="preserve">Corrigé (exemple de réponse) :</w:t>
      </w:r>
      <w:r>
        <w:t xml:space="preserve"> </w:t>
      </w:r>
      <w:r>
        <w:t xml:space="preserve">Tout nouveau service cloud adopté dans le cadre du projet devra être étiqueté conformément à la convention déjà établie au chapitre 50 dès sa création, avant toute utilisation en production, sans exception pour un usage jugé temporaire ou expérimental. L’intégration des journaux d’activité de ce service au SIEM sera réalisée dans le même mouvement que son activation, plutôt que reportée à une phase de consolidation ultérieure. Toute demande d’adoption d’un nouveau service cloud ne respectant pas ces deux exigences sera refusée par défaut jusqu’à leur mise en conformité, garantissant que la gouvernance formalisée dans ce chapitre reste appliquée de façon systématique plutôt que ponctuelle.</w:t>
      </w:r>
    </w:p>
    <w:bookmarkEnd w:id="2041"/>
    <w:bookmarkStart w:id="2042" w:name="checklist-de-fin-de-chapitre-83"/>
    <w:p>
      <w:pPr>
        <w:pStyle w:val="Heading2"/>
      </w:pPr>
      <w:r>
        <w:t xml:space="preserve">Checklist de fin de chapitre</w:t>
      </w:r>
    </w:p>
    <w:p>
      <w:pPr>
        <w:pStyle w:val="FirstParagraph"/>
      </w:pPr>
      <w:r>
        <w:t xml:space="preserve">☐ Je comprends pourquoi la stratégie cloud du projet final doit être formalisée dès le départ.</w:t>
      </w:r>
    </w:p>
    <w:p>
      <w:pPr>
        <w:pStyle w:val="BodyText"/>
      </w:pPr>
      <w:r>
        <w:t xml:space="preserve">☐ Je sais synthétiser les choix cloud déjà justifiés dans ce manuel selon leur pertinence par service.</w:t>
      </w:r>
    </w:p>
    <w:p>
      <w:pPr>
        <w:pStyle w:val="BodyText"/>
      </w:pPr>
      <w:r>
        <w:t xml:space="preserve">☐ Je sais concevoir une politique de sauvegarde hors site dans le cloud comme composant du PRA.</w:t>
      </w:r>
    </w:p>
    <w:p>
      <w:pPr>
        <w:pStyle w:val="BodyText"/>
      </w:pPr>
      <w:r>
        <w:t xml:space="preserve">☐ Je sais appliquer la gouvernance FinOps à l’échelle complète d’un projet.</w:t>
      </w:r>
    </w:p>
    <w:p>
      <w:pPr>
        <w:pStyle w:val="BodyText"/>
      </w:pPr>
      <w:r>
        <w:t xml:space="preserve">☐ Je comprends pourquoi les journaux cloud doivent être intégrés au SIEM.</w:t>
      </w:r>
    </w:p>
    <w:p>
      <w:pPr>
        <w:pStyle w:val="BodyText"/>
      </w:pPr>
      <w:r>
        <w:t xml:space="preserve">☐ Je sais vérifier un composant cloud par rapport aux exigences du cahier des charges initial.</w:t>
      </w:r>
    </w:p>
    <w:bookmarkEnd w:id="2042"/>
    <w:bookmarkStart w:id="2043" w:name="faq-83"/>
    <w:p>
      <w:pPr>
        <w:pStyle w:val="Heading2"/>
      </w:pPr>
      <w:r>
        <w:t xml:space="preserve">FAQ</w:t>
      </w:r>
    </w:p>
    <w:p>
      <w:pPr>
        <w:pStyle w:val="FirstParagraph"/>
      </w:pPr>
      <w:r>
        <w:t xml:space="preserve">Le nouveau site du projet final doit-il nécessairement s’appuyer sur le cloud, ou peut-il rester entièrement dépendant du siège ?</w:t>
      </w:r>
    </w:p>
    <w:p>
      <w:pPr>
        <w:pStyle w:val="BodyText"/>
      </w:pPr>
      <w:r>
        <w:t xml:space="preserve">Le choix dépend du contexte réel de ce site, comme déjà établi à la section 81.5 — s’appuyer sur le VPN et les services du siège reste une option parfaitement valide, le cloud n’étant qu’une option supplémentaire à considérer selon les besoins réels qui se préciseront avec la croissance du site.</w:t>
      </w:r>
    </w:p>
    <w:p>
      <w:pPr>
        <w:pStyle w:val="BodyText"/>
      </w:pPr>
      <w:r>
        <w:t xml:space="preserve">Faut-il tester la restauration de la sauvegarde cloud aussi fréquemment que les sauvegardes locales ?</w:t>
      </w:r>
    </w:p>
    <w:p>
      <w:pPr>
        <w:pStyle w:val="BodyText"/>
      </w:pPr>
      <w:r>
        <w:t xml:space="preserve">Un test régulier reste nécessaire pour les deux, mais la fréquence peut être adaptée à la criticité relative — une sauvegarde hors site destinée spécifiquement à un scénario de sinistre majeur peut justifier un test moins fréquent qu’une sauvegarde locale utilisée pour des restaurations plus courantes, tout en restant testée au minimum une fois par trimestre pour les données critiques.</w:t>
      </w:r>
    </w:p>
    <w:p>
      <w:pPr>
        <w:pStyle w:val="BodyText"/>
      </w:pPr>
      <w:r>
        <w:t xml:space="preserve">La gouvernance cloud formalisée dans ce chapitre remplace-t-elle le besoin d’ISO 27001 déjà établi au chapitre 72 ?</w:t>
      </w:r>
    </w:p>
    <w:p>
      <w:pPr>
        <w:pStyle w:val="BodyText"/>
      </w:pPr>
      <w:r>
        <w:t xml:space="preserve">Non, elle s’inscrit dans le même cadre de gouvernance globale déjà établi — le composant cloud devrait être intégré à la déclaration d’applicabilité ISO 27001 existante, plutôt que traité comme un périmètre de conformité séparé.</w:t>
      </w:r>
    </w:p>
    <w:p>
      <w:pPr>
        <w:pStyle w:val="BodyText"/>
      </w:pPr>
      <w:r>
        <w:t xml:space="preserve">Comment savoir si le budget cloud cible défini pour le projet reste réaliste dans la durée ?</w:t>
      </w:r>
    </w:p>
    <w:p>
      <w:pPr>
        <w:pStyle w:val="BodyText"/>
      </w:pPr>
      <w:r>
        <w:t xml:space="preserve">Une révision périodique du budget, alimentée par les données réelles de consommation observées via le cycle FinOps déjà établi (chapitre 50), permet d’ajuster ce budget de façon informée plutôt que de le fixer une fois pour toutes sans jamais le revoir.</w:t>
      </w:r>
    </w:p>
    <w:bookmarkEnd w:id="2043"/>
    <w:bookmarkStart w:id="2044" w:name="références-et-pour-aller-plus-loin-83"/>
    <w:p>
      <w:pPr>
        <w:pStyle w:val="Heading2"/>
      </w:pPr>
      <w:r>
        <w:t xml:space="preserve">Références et pour aller plus loin</w:t>
      </w:r>
    </w:p>
    <w:p>
      <w:pPr>
        <w:pStyle w:val="Compact"/>
        <w:numPr>
          <w:ilvl w:val="0"/>
          <w:numId w:val="2952"/>
        </w:numPr>
      </w:pPr>
      <w:r>
        <w:t xml:space="preserve">AWS — Bonnes pratiques de sauvegarde et de reprise d’activité : rappel des chapitres 30-31 de ce manuel.</w:t>
      </w:r>
    </w:p>
    <w:p>
      <w:pPr>
        <w:pStyle w:val="Compact"/>
        <w:numPr>
          <w:ilvl w:val="0"/>
          <w:numId w:val="2952"/>
        </w:numPr>
      </w:pPr>
      <w:r>
        <w:t xml:space="preserve">FinOps Foundation — Framework FinOps : rappel du chapitre 50 de ce manuel.</w:t>
      </w:r>
    </w:p>
    <w:p>
      <w:pPr>
        <w:pStyle w:val="FirstParagraph"/>
      </w:pPr>
      <w:r>
        <w:rPr>
          <w:i/>
          <w:iCs/>
        </w:rPr>
        <w:t xml:space="preserve">Chapitre suivant : la supervision et la sécurisation de bout en bout — consolider l’ensemble des outils de supervision et de sécurité déjà construits dans ce manuel en une vision cohérente couvrant l’intégralité de l’infrastructure du projet, des quatre sites physiques jusqu’au composant cloud de ce chapitre.</w:t>
      </w:r>
    </w:p>
    <w:p>
      <w:pPr>
        <w:pStyle w:val="BodyText"/>
      </w:pPr>
      <w:r>
        <w:t xml:space="preserve">CHAPITRE 85</w:t>
      </w:r>
    </w:p>
    <w:bookmarkEnd w:id="2044"/>
    <w:bookmarkEnd w:id="2045"/>
    <w:bookmarkStart w:id="2065" w:name="X7e8b9c6fca3e696609840d4385da5b451c335e1"/>
    <w:p>
      <w:pPr>
        <w:pStyle w:val="Heading1"/>
      </w:pPr>
      <w:r>
        <w:t xml:space="preserve">Supervision et sécurisation de bout en bout</w:t>
      </w:r>
    </w:p>
    <w:p>
      <w:pPr>
        <w:pStyle w:val="FirstParagraph"/>
      </w:pPr>
      <w:r>
        <w:t xml:space="preserve">🎯 Objectif du chapitre</w:t>
      </w:r>
      <w:r>
        <w:t xml:space="preserve"> </w:t>
      </w:r>
      <w:r>
        <w:t xml:space="preserve">Consolider l’ensemble des outils de supervision et de sécurité déjà construits dans ce manuel en une vision cohérente couvrant l’intégralité de l’infrastructure du projet — les quatre sites physiques et le composant cloud du chapitre précédent. À la fin de ce chapitre, tu sauras vérifier qu’aucune partie de l’infrastructure ne reste hors de portée de la supervision et de la détection, et tu disposeras d’un tableau de couverture NIST CSF complet pour l’ensemble du projet.</w:t>
      </w:r>
    </w:p>
    <w:p>
      <w:pPr>
        <w:pStyle w:val="BodyText"/>
      </w:pPr>
      <w:r>
        <w:t xml:space="preserve">🎬 Mise en situation</w:t>
      </w:r>
      <w:r>
        <w:t xml:space="preserve"> </w:t>
      </w:r>
      <w:r>
        <w:t xml:space="preserve">Avec l’architecture conçue (chapitre 81), les services déployés (chapitre 82), les applications conteneurisées (chapitre 83) et le composant cloud (chapitre 84) désormais en place, la RSSI pose une question de clôture avant la remise finale du projet :</w:t>
      </w:r>
      <w:r>
        <w:t xml:space="preserve"> </w:t>
      </w:r>
      <w:r>
        <w:t xml:space="preserve">“On a construit énormément d’outils de supervision et de sécurité tout au long de ce manuel — Zabbix, Prometheus, ELK, SIEM, IDS/IPS, EDR. Mais est-ce que chacun de ces outils couvre bien l’intégralité de notre infrastructure actuelle, y compris le nouveau site et le cloud ? Ou est-ce qu’il reste des angles morts qu’on découvrirait seulement lors d’un incident réel ?”</w:t>
      </w:r>
      <w:r>
        <w:t xml:space="preserve"> </w:t>
      </w:r>
      <w:r>
        <w:t xml:space="preserve">Ce chapitre répond méthodiquement à cette question.</w:t>
      </w:r>
    </w:p>
    <w:bookmarkStart w:id="2046" w:name="Xf98abe4bf72ca38c3cd1b5644f5cd9cbbd3dd01"/>
    <w:p>
      <w:pPr>
        <w:pStyle w:val="Heading2"/>
      </w:pPr>
      <w:r>
        <w:t xml:space="preserve">85.1 Le problème : vérifier une couverture, pas simplement l’existence d’outils</w:t>
      </w:r>
    </w:p>
    <w:p>
      <w:pPr>
        <w:pStyle w:val="FirstParagraph"/>
      </w:pPr>
      <w:r>
        <w:t xml:space="preserve">📌 À retenir — rappel direct du chapitre 71</w:t>
      </w:r>
      <w:r>
        <w:t xml:space="preserve"> </w:t>
      </w:r>
      <w:r>
        <w:t xml:space="preserve">Disposer d’un outil de supervision ou de sécurité ne garantit pas automatiquement sa couverture complète de l’infrastructure — exactement le même exercice de cartographie déjà pratiqué au chapitre 71 pour le NIST CSF, appliqué ici concrètement à chaque outil technique individuellement plutôt qu’aux cinq fonctions générales du cadre. Un angle mort découvert lors d’un incident réel, plutôt que lors d’une vérification proactive, reste toujours le scénario le moins favorable.</w:t>
      </w:r>
    </w:p>
    <w:bookmarkEnd w:id="2046"/>
    <w:bookmarkStart w:id="2047" w:name="Xe39585dfa5aaae8e9ba2d66a9ff05cd14b8a773"/>
    <w:p>
      <w:pPr>
        <w:pStyle w:val="Heading2"/>
      </w:pPr>
      <w:r>
        <w:t xml:space="preserve">85.2 Supervision unifiée : vérifier la couverture des quatre sites et du cluster</w:t>
      </w:r>
    </w:p>
    <w:p>
      <w:pPr>
        <w:pStyle w:val="FirstParagraph"/>
      </w:pPr>
      <w:r>
        <w:t xml:space="preserve">💡 Rappel direct des chapitres 59-61</w:t>
      </w:r>
      <w:r>
        <w:t xml:space="preserve"> </w:t>
      </w:r>
      <w:r>
        <w:t xml:space="preserve">Zabbix devrait couvrir l’ensemble des serveurs classiques des quatre sites, y compris ceux du nouveau site (rappel de la section 82.6 sur la validation post-déploiement) ; Prometheus devrait couvrir l’intégralité du cluster Kubernetes, y compris le namespace de la nouvelle application du chapitre 83 ; Grafana combine ces deux sources en une vue unique. Une vérification explicite — chaque site apparaît-il bien dans Zabbix, chaque namespace apparaît-il bien dans Prometheus — reste nécessaire plutôt que de présumer une couverture automatique.</w:t>
      </w:r>
    </w:p>
    <w:bookmarkEnd w:id="2047"/>
    <w:bookmarkStart w:id="2048" w:name="X2c41326cbc61e04514006cda592e684c243e942"/>
    <w:p>
      <w:pPr>
        <w:pStyle w:val="Heading2"/>
      </w:pPr>
      <w:r>
        <w:t xml:space="preserve">85.3 Centralisation des logs : couvrir les quatre sites et le cloud</w:t>
      </w:r>
    </w:p>
    <w:p>
      <w:pPr>
        <w:pStyle w:val="FirstParagraph"/>
      </w:pPr>
      <w:r>
        <w:t xml:space="preserve">💡 Rappel direct des chapitres 62-63 et 84</w:t>
      </w:r>
      <w:r>
        <w:t xml:space="preserve"> </w:t>
      </w:r>
      <w:r>
        <w:t xml:space="preserve">La pile ELK ou Graylog devrait recevoir les journaux de l’ensemble des serveurs des quatre sites, ainsi que les journaux d’activité cloud désormais intégrés depuis le chapitre 84 (section 84.6) — une vérification particulière pour le nouveau site, dont les serveurs plus récents pourraient avoir été ajoutés sans que l’agent de centralisation des logs n’ait été systématiquement inclus dans le playbook de déploiement standard (rappel du chapitre 82).</w:t>
      </w:r>
    </w:p>
    <w:bookmarkEnd w:id="2048"/>
    <w:bookmarkStart w:id="2049" w:name="X9f931e73ac63efd351a487014ca691d71c8b8cd"/>
    <w:p>
      <w:pPr>
        <w:pStyle w:val="Heading2"/>
      </w:pPr>
      <w:r>
        <w:t xml:space="preserve">85.4 Sécurité de bout en bout : vérifier chaque couche sur chaque site</w:t>
      </w:r>
    </w:p>
    <w:p>
      <w:pPr>
        <w:pStyle w:val="FirstParagraph"/>
      </w:pPr>
      <w:r>
        <w:t xml:space="preserve">🔒 Sécurité — rappel direct des chapitres 66, 75, 76 et 74</w:t>
      </w:r>
      <w:r>
        <w:t xml:space="preserve"> </w:t>
      </w:r>
      <w:r>
        <w:t xml:space="preserve">Le pare-feu nouvelle génération protège-t-il l’accès de chaque site, y compris le nouveau ? L’IDS/IPS couvre-t-il le trafic réseau du site récemment ouvert, ou uniquement les sites historiques ? L’EDR est-il déployé sur l’intégralité des postes et serveurs, y compris ceux ajoutés le plus récemment (rappel direct de l’erreur déjà dénoncée à la section</w:t>
      </w:r>
      <w:r>
        <w:t xml:space="preserve"> </w:t>
      </w:r>
      <w:r>
        <w:t xml:space="preserve">“Erreur n°1”</w:t>
      </w:r>
      <w:r>
        <w:t xml:space="preserve"> </w:t>
      </w:r>
      <w:r>
        <w:t xml:space="preserve">du chapitre 76) ? Le SIEM reçoit-il bien l’ensemble de ces sources pour chaque site et pour le cloud ? Chacune de ces questions mérite une vérification explicite, pas une présomption de couverture automatique.</w:t>
      </w:r>
    </w:p>
    <w:bookmarkEnd w:id="2049"/>
    <w:bookmarkStart w:id="2050" w:name="X55e7c69cd8f07e9e28978885b50b8d836c7dff6"/>
    <w:p>
      <w:pPr>
        <w:pStyle w:val="Heading2"/>
      </w:pPr>
      <w:r>
        <w:t xml:space="preserve">85.5 Le nouveau site et le cloud : les angles morts les plus probables</w:t>
      </w:r>
    </w:p>
    <w:p>
      <w:pPr>
        <w:pStyle w:val="FirstParagraph"/>
      </w:pPr>
      <w:r>
        <w:t xml:space="preserve">📌 À retenir — un pattern récurrent dans ce manuel</w:t>
      </w:r>
      <w:r>
        <w:t xml:space="preserve"> </w:t>
      </w:r>
      <w:r>
        <w:t xml:space="preserve">À de multiples reprises dans cette partie du manuel, le même risque a été identifié : une source récemment ajoutée à l’infrastructure (un nouveau serveur, une nouvelle application, un nouveau service cloud) échappe à la couverture de supervision ou de sécurité, non par négligence délibérée mais simplement parce que son ajout n’a pas été systématiquement accompagné de son intégration à chaque outil concerné. Le nouveau site et le composant cloud du chapitre 84, étant les ajouts les plus récents à l’infrastructure du projet, constituent statistiquement les angles morts les plus probables à vérifier en priorité.</w:t>
      </w:r>
    </w:p>
    <w:bookmarkEnd w:id="2050"/>
    <w:bookmarkStart w:id="2051" w:name="Xb25f0591b2eaa0d35d5a729f74876568a61d405"/>
    <w:p>
      <w:pPr>
        <w:pStyle w:val="Heading2"/>
      </w:pPr>
      <w:r>
        <w:t xml:space="preserve">85.6 Le tableau de couverture NIST CSF final du projet</w:t>
      </w:r>
    </w:p>
    <w:p>
      <w:pPr>
        <w:pStyle w:val="FirstParagraph"/>
      </w:pPr>
      <w:r>
        <w:t xml:space="preserve">✅ Rappel direct de l’atelier du chapitre 71, désormais à l’échelle complète</w:t>
      </w:r>
      <w:r>
        <w:t xml:space="preserve"> </w:t>
      </w:r>
      <w:r>
        <w:t xml:space="preserve">Reprends l’exercice de cartographie déjà pratiqué au chapitre 71, cette fois pour l’ensemble de l’infrastructure du projet final — chaque fonction du NIST CSF (Identifier, Protéger, Détecter, Répondre, Récupérer) devrait pouvoir citer des mesures concrètes couvrant les quatre sites et le cloud, sans exception. Une fonction ou un site sans mesure clairement identifiée à ce stade révèle une lacune à combler avant la clôture du projet, pas après.</w:t>
      </w:r>
    </w:p>
    <w:bookmarkEnd w:id="2051"/>
    <w:bookmarkStart w:id="2052" w:name="X8945f7eda1cdafe28b613e6e0771e458761d62d"/>
    <w:p>
      <w:pPr>
        <w:pStyle w:val="Heading2"/>
      </w:pPr>
      <w:r>
        <w:t xml:space="preserve">85.7 Dernière validation face au cahier des charges</w:t>
      </w:r>
    </w:p>
    <w:p>
      <w:pPr>
        <w:pStyle w:val="FirstParagraph"/>
      </w:pPr>
      <w:r>
        <w:t xml:space="preserve">✅ Rappel direct de la boucle établie depuis le chapitre 80</w:t>
      </w:r>
      <w:r>
        <w:t xml:space="preserve"> </w:t>
      </w:r>
      <w:r>
        <w:t xml:space="preserve">Cette vérification de couverture constitue la dernière étape avant la consolidation finale du chapitre 86 — vérifie explicitement que les exigences non-fonctionnelles de sécurité et de disponibilité du cahier des charges initial (chapitre 80) sont effectivement satisfaites par cette couverture de bout en bout, complétant le cycle de validation déjà pratiqué aux chapitres 81, 83 et 84.</w:t>
      </w:r>
    </w:p>
    <w:bookmarkEnd w:id="2052"/>
    <w:bookmarkStart w:id="2053" w:name="X44804610e85ba912274ed80cab01a1e06e829cf"/>
    <w:p>
      <w:pPr>
        <w:pStyle w:val="Heading2"/>
      </w:pPr>
      <w:r>
        <w:t xml:space="preserve">Atelier — Construire le tableau de couverture final</w:t>
      </w:r>
    </w:p>
    <w:p>
      <w:pPr>
        <w:pStyle w:val="FirstParagraph"/>
      </w:pPr>
      <w:r>
        <w:t xml:space="preserve">🛠️ Atelier 85 — Répondre à la question de clôture de la RSSI</w:t>
      </w:r>
    </w:p>
    <w:p>
      <w:pPr>
        <w:pStyle w:val="BodyText"/>
      </w:pPr>
      <w:r>
        <w:rPr>
          <w:b/>
          <w:bCs/>
        </w:rPr>
        <w:t xml:space="preserve">Objectif</w:t>
      </w:r>
      <w:r>
        <w:t xml:space="preserve"> </w:t>
      </w:r>
      <w:r>
        <w:t xml:space="preserve">: construire un tableau de couverture croisant les cinq fonctions du NIST CSF et les quatre sites plus le cloud, identifiant toute lacune restante avant la remise finale du projet.</w:t>
      </w:r>
    </w:p>
    <w:p>
      <w:pPr>
        <w:pStyle w:val="BodyText"/>
      </w:pPr>
      <w:r>
        <w:rPr>
          <w:b/>
          <w:bCs/>
        </w:rPr>
        <w:t xml:space="preserve">Préparation</w:t>
      </w:r>
      <w:r>
        <w:t xml:space="preserve"> </w:t>
      </w:r>
      <w:r>
        <w:t xml:space="preserve">: une relecture des chapitres 81 à 84 pour recenser les outils et mesures effectivement déployés.</w:t>
      </w:r>
    </w:p>
    <w:p>
      <w:pPr>
        <w:pStyle w:val="BodyText"/>
      </w:pPr>
      <w:r>
        <w:rPr>
          <w:b/>
          <w:bCs/>
        </w:rPr>
        <w:t xml:space="preserve">Étapes détaillées</w:t>
      </w:r>
      <w:r>
        <w:t xml:space="preserve"> </w:t>
      </w:r>
      <w:r>
        <w:t xml:space="preserve">:</w:t>
      </w:r>
    </w:p>
    <w:p>
      <w:pPr>
        <w:pStyle w:val="Compact"/>
        <w:numPr>
          <w:ilvl w:val="0"/>
          <w:numId w:val="2953"/>
        </w:numPr>
      </w:pPr>
      <w:r>
        <w:t xml:space="preserve">Construis un tableau à cinq lignes (les fonctions NIST CSF) et cinq colonnes (les quatre sites et le cloud).</w:t>
      </w:r>
    </w:p>
    <w:p>
      <w:pPr>
        <w:pStyle w:val="Compact"/>
        <w:numPr>
          <w:ilvl w:val="0"/>
          <w:numId w:val="2953"/>
        </w:numPr>
      </w:pPr>
      <w:r>
        <w:t xml:space="preserve">Pour chaque cellule, identifie une mesure concrète couvrant cette fonction pour ce site ou le cloud, en te basant sur les chapitres précédents.</w:t>
      </w:r>
    </w:p>
    <w:p>
      <w:pPr>
        <w:pStyle w:val="Compact"/>
        <w:numPr>
          <w:ilvl w:val="0"/>
          <w:numId w:val="2953"/>
        </w:numPr>
      </w:pPr>
      <w:r>
        <w:t xml:space="preserve">Identifie explicitement toute cellule vide ou incertaine, révélant une lacune potentielle.</w:t>
      </w:r>
    </w:p>
    <w:p>
      <w:pPr>
        <w:pStyle w:val="Compact"/>
        <w:numPr>
          <w:ilvl w:val="0"/>
          <w:numId w:val="2953"/>
        </w:numPr>
      </w:pPr>
      <w:r>
        <w:t xml:space="preserve">Propose une action corrective pour chaque lacune identifiée.</w:t>
      </w:r>
    </w:p>
    <w:p>
      <w:pPr>
        <w:pStyle w:val="Compact"/>
        <w:numPr>
          <w:ilvl w:val="0"/>
          <w:numId w:val="2953"/>
        </w:numPr>
      </w:pPr>
      <w:r>
        <w:t xml:space="preserve">Compare ta démarche à la section</w:t>
      </w:r>
      <w:r>
        <w:t xml:space="preserve"> </w:t>
      </w:r>
      <w:r>
        <w:t xml:space="preserve">“Résultat attendu”</w:t>
      </w:r>
      <w:r>
        <w:t xml:space="preserve">.</w:t>
      </w:r>
    </w:p>
    <w:p>
      <w:pPr>
        <w:pStyle w:val="FirstParagraph"/>
      </w:pPr>
      <w:r>
        <w:rPr>
          <w:b/>
          <w:bCs/>
        </w:rPr>
        <w:t xml:space="preserve">Résultat attendu</w:t>
      </w:r>
      <w:r>
        <w:t xml:space="preserve"> </w:t>
      </w:r>
      <w:r>
        <w:t xml:space="preserve">: la fonction Protéger devrait apparaître largement couverte pour l’ensemble des sites (pare-feu, EDR, moindre privilège), le siège et l’agence de Cap-Haïtien bénéficiant probablement de la couverture la plus mature, ayant été déployés en premier. Le nouveau site et le cloud constituent les cellules les plus susceptibles de révéler une lacune, conformément au pattern identifié à la section 85.5 — par exemple, un IDS/IPS peut-être pas encore déployé sur le lien du nouveau site, ou des journaux cloud pas encore pleinement intégrés au SIEM. Chaque lacune identifiée devrait faire l’objet d’une action corrective précise et assignée, plutôt que d’être notée sans suite, exactement le même principe de suivi formel déjà établi pour les rapports de test d’intrusion au chapitre 77.</w:t>
      </w:r>
    </w:p>
    <w:p>
      <w:pPr>
        <w:pStyle w:val="BodyText"/>
      </w:pPr>
      <w:r>
        <w:rPr>
          <w:b/>
          <w:bCs/>
        </w:rPr>
        <w:t xml:space="preserve">Dépannage</w:t>
      </w:r>
      <w:r>
        <w:t xml:space="preserve"> </w:t>
      </w:r>
      <w:r>
        <w:t xml:space="preserve">: si le tableau révèle un nombre de lacunes plus important que prévu, ne considère pas cela comme un échec du projet — révèle plutôt exactement la valeur de cet exercice de vérification explicite, qui aurait autrement laissé ces lacunes invisibles jusqu’à leur découverte lors d’un incident réel, un résultat nettement moins favorable.</w:t>
      </w:r>
    </w:p>
    <w:bookmarkEnd w:id="2053"/>
    <w:bookmarkStart w:id="2054" w:name="erreurs-fréquentes-84"/>
    <w:p>
      <w:pPr>
        <w:pStyle w:val="Heading2"/>
      </w:pPr>
      <w:r>
        <w:t xml:space="preserve">Erreurs fréquentes</w:t>
      </w:r>
    </w:p>
    <w:p>
      <w:pPr>
        <w:pStyle w:val="FirstParagraph"/>
      </w:pPr>
      <w:r>
        <w:t xml:space="preserve">⚠️ Erreur n°1 — présumer une couverture complète sans vérification explicite</w:t>
      </w:r>
      <w:r>
        <w:t xml:space="preserve"> </w:t>
      </w:r>
      <w:r>
        <w:t xml:space="preserve">Rappel de la section 85.1 : disposer d’un outil ne garantit pas sa couverture complète, une vérification explicite reste toujours nécessaire.</w:t>
      </w:r>
    </w:p>
    <w:p>
      <w:pPr>
        <w:pStyle w:val="BodyText"/>
      </w:pPr>
      <w:r>
        <w:t xml:space="preserve">⚠️ Erreur n°2 — négliger systématiquement le nouveau site et le cloud dans les vérifications</w:t>
      </w:r>
      <w:r>
        <w:t xml:space="preserve"> </w:t>
      </w:r>
      <w:r>
        <w:t xml:space="preserve">Rappel de la section 85.5 : les ajouts les plus récents à l’infrastructure constituent statistiquement les angles morts les plus probables, méritant une attention particulière plutôt qu’une vérification superficielle.</w:t>
      </w:r>
    </w:p>
    <w:p>
      <w:pPr>
        <w:pStyle w:val="BodyText"/>
      </w:pPr>
      <w:r>
        <w:t xml:space="preserve">⚠️ Erreur n°3 — des outils déployés mais jamais intégrés entre eux, fonctionnant en silos</w:t>
      </w:r>
      <w:r>
        <w:t xml:space="preserve"> </w:t>
      </w:r>
      <w:r>
        <w:t xml:space="preserve">Un IDS/IPS et un EDR pleinement fonctionnels mais dont les événements n’atteignent jamais le SIEM reproduisent le même risque de silos déjà dénoncé pour toute source non intégrée dans cette partie du manuel.</w:t>
      </w:r>
    </w:p>
    <w:bookmarkEnd w:id="2054"/>
    <w:bookmarkStart w:id="2055" w:name="X8e5de684ed6fd86a520b2e0ddfee4467078196e"/>
    <w:p>
      <w:pPr>
        <w:pStyle w:val="Heading2"/>
      </w:pPr>
      <w:r>
        <w:t xml:space="preserve">Diagnostiquer un incident non détecté sur le nouveau site ou le cloud</w:t>
      </w:r>
    </w:p>
    <w:p>
      <w:pPr>
        <w:pStyle w:val="FirstParagraph"/>
      </w:pPr>
      <w:r>
        <w:t xml:space="preserve">🩺 Symptôme : un incident affectant le nouveau site ou le composant cloud est découvert tardivement, sans avoir déclenché d’alerte préalable</w:t>
      </w:r>
    </w:p>
    <w:p>
      <w:pPr>
        <w:pStyle w:val="Compact"/>
        <w:numPr>
          <w:ilvl w:val="0"/>
          <w:numId w:val="2954"/>
        </w:numPr>
      </w:pPr>
      <w:r>
        <w:rPr>
          <w:b/>
          <w:bCs/>
        </w:rPr>
        <w:t xml:space="preserve">Diagnostic</w:t>
      </w:r>
      <w:r>
        <w:t xml:space="preserve"> </w:t>
      </w:r>
      <w:r>
        <w:t xml:space="preserve">: ce symptôme, rappel direct du pattern déjà rencontré à plusieurs reprises dans cette partie du manuel, révèle généralement que la source concernée (ce site, ce service cloud) n’était pas pleinement intégrée à l’un des outils de détection existants.</w:t>
      </w:r>
    </w:p>
    <w:p>
      <w:pPr>
        <w:pStyle w:val="Compact"/>
        <w:numPr>
          <w:ilvl w:val="0"/>
          <w:numId w:val="2954"/>
        </w:numPr>
      </w:pPr>
      <w:r>
        <w:rPr>
          <w:b/>
          <w:bCs/>
        </w:rPr>
        <w:t xml:space="preserve">Comment vérifier</w:t>
      </w:r>
      <w:r>
        <w:t xml:space="preserve"> </w:t>
      </w:r>
      <w:r>
        <w:t xml:space="preserve">: reprendre le tableau de couverture de l’atelier 85 et vérifier précisément quelle cellule, pour ce site ou ce service, restait vide ou incertaine.</w:t>
      </w:r>
    </w:p>
    <w:p>
      <w:pPr>
        <w:pStyle w:val="Compact"/>
        <w:numPr>
          <w:ilvl w:val="0"/>
          <w:numId w:val="2954"/>
        </w:numPr>
      </w:pPr>
      <w:r>
        <w:rPr>
          <w:b/>
          <w:bCs/>
        </w:rPr>
        <w:t xml:space="preserve">Résolution</w:t>
      </w:r>
      <w:r>
        <w:t xml:space="preserve"> </w:t>
      </w:r>
      <w:r>
        <w:t xml:space="preserve">: combler la lacune identifiée en intégrant la source manquante à l’outil concerné, puis vérifier explicitement, via un test contrôlé, que cette intégration fonctionne réellement avant de considérer le problème résolu.</w:t>
      </w:r>
    </w:p>
    <w:bookmarkEnd w:id="2055"/>
    <w:bookmarkStart w:id="2056" w:name="en-entreprise-84"/>
    <w:p>
      <w:pPr>
        <w:pStyle w:val="Heading2"/>
      </w:pPr>
      <w:r>
        <w:t xml:space="preserve">En entreprise</w:t>
      </w:r>
    </w:p>
    <w:p>
      <w:pPr>
        <w:pStyle w:val="Compact"/>
        <w:numPr>
          <w:ilvl w:val="0"/>
          <w:numId w:val="2955"/>
        </w:numPr>
      </w:pPr>
      <w:r>
        <w:rPr>
          <w:b/>
          <w:bCs/>
        </w:rPr>
        <w:t xml:space="preserve">Bonne pratique répandue</w:t>
      </w:r>
      <w:r>
        <w:t xml:space="preserve"> </w:t>
      </w:r>
      <w:r>
        <w:t xml:space="preserve">: intégrer systématiquement la vérification de couverture de supervision et de sécurité à la checklist de mise en service de tout nouveau site ou service, plutôt que de la traiter comme un exercice ponctuel réalisé occasionnellement.</w:t>
      </w:r>
    </w:p>
    <w:p>
      <w:pPr>
        <w:pStyle w:val="Compact"/>
        <w:numPr>
          <w:ilvl w:val="0"/>
          <w:numId w:val="2955"/>
        </w:numPr>
      </w:pPr>
      <w:r>
        <w:rPr>
          <w:b/>
          <w:bCs/>
        </w:rPr>
        <w:t xml:space="preserve">Bonne pratique répandue</w:t>
      </w:r>
      <w:r>
        <w:t xml:space="preserve"> </w:t>
      </w:r>
      <w:r>
        <w:t xml:space="preserve">: réviser le tableau de couverture NIST CSF à chaque changement significatif d’infrastructure, pas uniquement lors d’une clôture de projet.</w:t>
      </w:r>
    </w:p>
    <w:p>
      <w:pPr>
        <w:pStyle w:val="Compact"/>
        <w:numPr>
          <w:ilvl w:val="0"/>
          <w:numId w:val="2955"/>
        </w:numPr>
      </w:pPr>
      <w:r>
        <w:rPr>
          <w:b/>
          <w:bCs/>
        </w:rPr>
        <w:t xml:space="preserve">Erreur classique observée</w:t>
      </w:r>
      <w:r>
        <w:t xml:space="preserve"> </w:t>
      </w:r>
      <w:r>
        <w:t xml:space="preserve">: une organisation qui investit massivement dans des outils de supervision et de sécurité sophistiqués pour son infrastructure historique, tout en négligeant systématiquement d’étendre cette même rigueur à chaque nouvelle expansion — créant une infrastructure à deux vitesses où les composants les plus récents restent les moins protégés.</w:t>
      </w:r>
    </w:p>
    <w:bookmarkEnd w:id="2056"/>
    <w:bookmarkStart w:id="2057" w:name="entretien-technique-84"/>
    <w:p>
      <w:pPr>
        <w:pStyle w:val="Heading2"/>
      </w:pPr>
      <w:r>
        <w:t xml:space="preserve">Entretien technique</w:t>
      </w:r>
    </w:p>
    <w:p>
      <w:pPr>
        <w:pStyle w:val="FirstParagraph"/>
      </w:pPr>
      <w:r>
        <w:t xml:space="preserve">💼 Questions fréquemment posées en entretien</w:t>
      </w:r>
    </w:p>
    <w:p>
      <w:pPr>
        <w:pStyle w:val="BodyText"/>
      </w:pPr>
      <w:r>
        <w:rPr>
          <w:b/>
          <w:bCs/>
        </w:rPr>
        <w:t xml:space="preserve">Q1.</w:t>
      </w:r>
      <w:r>
        <w:rPr>
          <w:b/>
          <w:bCs/>
        </w:rPr>
        <w:t xml:space="preserve"> </w:t>
      </w:r>
      <w:r>
        <w:rPr>
          <w:b/>
          <w:bCs/>
        </w:rPr>
        <w:t xml:space="preserve">“Pourquoi disposer d’un outil de supervision ou de sécurité ne garantit-il pas automatiquement une couverture complète de l’infrastructure ?”</w:t>
      </w:r>
      <w:r>
        <w:t xml:space="preserve"> </w:t>
      </w:r>
      <w:r>
        <w:t xml:space="preserve">Réponse attendue : l’outil couvre uniquement les sources qui lui ont été explicitement intégrées ; une nouvelle source (serveur, site, service cloud) non systématiquement ajoutée à cette intégration reste invisible pour l’outil, malgré son existence par ailleurs fonctionnelle.</w:t>
      </w:r>
    </w:p>
    <w:p>
      <w:pPr>
        <w:pStyle w:val="BodyText"/>
      </w:pPr>
      <w:r>
        <w:rPr>
          <w:b/>
          <w:bCs/>
        </w:rPr>
        <w:t xml:space="preserve">Q2.</w:t>
      </w:r>
      <w:r>
        <w:rPr>
          <w:b/>
          <w:bCs/>
        </w:rPr>
        <w:t xml:space="preserve"> </w:t>
      </w:r>
      <w:r>
        <w:rPr>
          <w:b/>
          <w:bCs/>
        </w:rPr>
        <w:t xml:space="preserve">“Pourquoi les ajouts les plus récents à une infrastructure constituent-ils statistiquement les angles morts les plus probables ?”</w:t>
      </w:r>
      <w:r>
        <w:t xml:space="preserve"> </w:t>
      </w:r>
      <w:r>
        <w:t xml:space="preserve">Réponse attendue : l’infrastructure historique bénéficie généralement d’un processus d’intégration déjà éprouvé et systématisé au fil du temps, tandis qu’un ajout récent risque davantage d’avoir échappé, au moins partiellement, à cette systématisation encore en cours de maturation.</w:t>
      </w:r>
    </w:p>
    <w:p>
      <w:pPr>
        <w:pStyle w:val="BodyText"/>
      </w:pPr>
      <w:r>
        <w:rPr>
          <w:b/>
          <w:bCs/>
        </w:rPr>
        <w:t xml:space="preserve">Q3.</w:t>
      </w:r>
      <w:r>
        <w:rPr>
          <w:b/>
          <w:bCs/>
        </w:rPr>
        <w:t xml:space="preserve"> </w:t>
      </w:r>
      <w:r>
        <w:rPr>
          <w:b/>
          <w:bCs/>
        </w:rPr>
        <w:t xml:space="preserve">“Quelle est la valeur d’un tableau de couverture croisant les fonctions NIST CSF et les composants d’une infrastructure ?”</w:t>
      </w:r>
      <w:r>
        <w:t xml:space="preserve"> </w:t>
      </w:r>
      <w:r>
        <w:t xml:space="preserve">Réponse attendue : il rend visible, de façon structurée et exhaustive, chaque lacune potentielle de couverture, permettant une correction proactive avant qu’un incident réel ne révèle cette même lacune dans des conditions bien moins favorables.</w:t>
      </w:r>
    </w:p>
    <w:bookmarkEnd w:id="2057"/>
    <w:bookmarkStart w:id="2058" w:name="X317d12217dba895c7b410f642b2833dc47c9d0f"/>
    <w:p>
      <w:pPr>
        <w:pStyle w:val="Heading2"/>
      </w:pPr>
      <w:r>
        <w:t xml:space="preserve">Optimisation, sécurité et maintenabilité — les réflexes dès ce chapitre</w:t>
      </w:r>
    </w:p>
    <w:p>
      <w:pPr>
        <w:pStyle w:val="FirstParagraph"/>
      </w:pPr>
      <w:r>
        <w:t xml:space="preserve">🔒 Sécurité</w:t>
      </w:r>
      <w:r>
        <w:t xml:space="preserve"> </w:t>
      </w:r>
      <w:r>
        <w:t xml:space="preserve">Intègre systématiquement toute nouvelle source (serveur, site, service cloud) à l’ensemble des outils de supervision et de sécurité concernés dès sa mise en service, plutôt que de traiter cette intégration comme une amélioration différée.</w:t>
      </w:r>
    </w:p>
    <w:p>
      <w:pPr>
        <w:pStyle w:val="BodyText"/>
      </w:pPr>
      <w:r>
        <w:t xml:space="preserve">✅ Maintenabilité</w:t>
      </w:r>
      <w:r>
        <w:t xml:space="preserve"> </w:t>
      </w:r>
      <w:r>
        <w:t xml:space="preserve">Maintiens le tableau de couverture NIST CSF comme un document vivant, révisé à chaque changement significatif d’infrastructure plutôt qu’une fois pour toutes lors de la clôture d’un projet.</w:t>
      </w:r>
    </w:p>
    <w:p>
      <w:pPr>
        <w:pStyle w:val="BodyText"/>
      </w:pPr>
      <w:r>
        <w:t xml:space="preserve">🚀 Performance</w:t>
      </w:r>
      <w:r>
        <w:t xml:space="preserve"> </w:t>
      </w:r>
      <w:r>
        <w:t xml:space="preserve">Une vérification systématique et régulière de la couverture reste nettement moins coûteuse, en temps et en impact, qu’une découverte tardive d’une lacune lors d’un incident réel affectant un composant non supervisé.</w:t>
      </w:r>
    </w:p>
    <w:bookmarkEnd w:id="2058"/>
    <w:bookmarkStart w:id="2059" w:name="résumé-du-chapitre-84"/>
    <w:p>
      <w:pPr>
        <w:pStyle w:val="Heading2"/>
      </w:pPr>
      <w:r>
        <w:t xml:space="preserve">Résumé du chapitre</w:t>
      </w:r>
    </w:p>
    <w:p>
      <w:pPr>
        <w:pStyle w:val="Compact"/>
        <w:numPr>
          <w:ilvl w:val="0"/>
          <w:numId w:val="2956"/>
        </w:numPr>
      </w:pPr>
      <w:r>
        <w:t xml:space="preserve">Disposer d’un outil de supervision ou de sécurité ne garantit pas automatiquement sa couverture complète de l’infrastructure, une vérification explicite reste toujours nécessaire.</w:t>
      </w:r>
    </w:p>
    <w:p>
      <w:pPr>
        <w:pStyle w:val="Compact"/>
        <w:numPr>
          <w:ilvl w:val="0"/>
          <w:numId w:val="2956"/>
        </w:numPr>
      </w:pPr>
      <w:r>
        <w:t xml:space="preserve">La supervision (Zabbix, Prometheus, Grafana) et la centralisation des logs (ELK, Graylog) doivent être vérifiées pour couvrir explicitement les quatre sites et le cloud.</w:t>
      </w:r>
    </w:p>
    <w:p>
      <w:pPr>
        <w:pStyle w:val="Compact"/>
        <w:numPr>
          <w:ilvl w:val="0"/>
          <w:numId w:val="2956"/>
        </w:numPr>
      </w:pPr>
      <w:r>
        <w:t xml:space="preserve">Chaque couche de sécurité (pare-feu, IDS/IPS, EDR, SIEM) doit être vérifiée site par site, y compris pour le nouveau site et le composant cloud.</w:t>
      </w:r>
    </w:p>
    <w:p>
      <w:pPr>
        <w:pStyle w:val="Compact"/>
        <w:numPr>
          <w:ilvl w:val="0"/>
          <w:numId w:val="2956"/>
        </w:numPr>
      </w:pPr>
      <w:r>
        <w:t xml:space="preserve">Le nouveau site et le cloud constituent statistiquement les angles morts les plus probables, méritant une attention prioritaire.</w:t>
      </w:r>
    </w:p>
    <w:p>
      <w:pPr>
        <w:pStyle w:val="Compact"/>
        <w:numPr>
          <w:ilvl w:val="0"/>
          <w:numId w:val="2956"/>
        </w:numPr>
      </w:pPr>
      <w:r>
        <w:t xml:space="preserve">Un tableau de couverture NIST CSF, croisant les cinq fonctions et l’ensemble des composants de l’infrastructure, révèle méthodiquement toute lacune restante.</w:t>
      </w:r>
    </w:p>
    <w:p>
      <w:pPr>
        <w:pStyle w:val="Compact"/>
        <w:numPr>
          <w:ilvl w:val="0"/>
          <w:numId w:val="2956"/>
        </w:numPr>
      </w:pPr>
      <w:r>
        <w:t xml:space="preserve">Cette vérification constitue la dernière étape de validation avant la consolidation finale du projet au chapitre 86.</w:t>
      </w:r>
    </w:p>
    <w:bookmarkEnd w:id="2059"/>
    <w:bookmarkStart w:id="2060" w:name="quiz-84"/>
    <w:p>
      <w:pPr>
        <w:pStyle w:val="Heading2"/>
      </w:pPr>
      <w:r>
        <w:t xml:space="preserve">Quiz</w:t>
      </w:r>
    </w:p>
    <w:p>
      <w:pPr>
        <w:pStyle w:val="FirstParagraph"/>
      </w:pPr>
      <w:r>
        <w:t xml:space="preserve">📝 QCM (une seule bonne réponse par question)</w:t>
      </w:r>
    </w:p>
    <w:p>
      <w:pPr>
        <w:pStyle w:val="Compact"/>
        <w:numPr>
          <w:ilvl w:val="0"/>
          <w:numId w:val="2957"/>
        </w:numPr>
      </w:pPr>
      <w:r>
        <w:t xml:space="preserve">Disposer d’un outil de supervision fonctionnel garantit-il automatiquement sa couverture complète de l’infrastructure ?</w:t>
      </w:r>
    </w:p>
    <w:p>
      <w:pPr>
        <w:pStyle w:val="Compact"/>
        <w:numPr>
          <w:ilvl w:val="1"/>
          <w:numId w:val="2958"/>
        </w:numPr>
      </w:pPr>
    </w:p>
    <w:p>
      <w:pPr>
        <w:pStyle w:val="Compact"/>
        <w:numPr>
          <w:ilvl w:val="2"/>
          <w:numId w:val="2959"/>
        </w:numPr>
      </w:pPr>
      <w:r>
        <w:t xml:space="preserve">Oui, systématiquement</w:t>
      </w:r>
    </w:p>
    <w:p>
      <w:pPr>
        <w:pStyle w:val="Compact"/>
        <w:numPr>
          <w:ilvl w:val="1"/>
          <w:numId w:val="2958"/>
        </w:numPr>
      </w:pPr>
    </w:p>
    <w:p>
      <w:pPr>
        <w:pStyle w:val="Compact"/>
        <w:numPr>
          <w:ilvl w:val="2"/>
          <w:numId w:val="2960"/>
        </w:numPr>
      </w:pPr>
      <w:r>
        <w:t xml:space="preserve">Non, seules les sources explicitement intégrées à l’outil sont couvertes</w:t>
      </w:r>
    </w:p>
    <w:p>
      <w:pPr>
        <w:pStyle w:val="Compact"/>
        <w:numPr>
          <w:ilvl w:val="1"/>
          <w:numId w:val="2958"/>
        </w:numPr>
      </w:pPr>
    </w:p>
    <w:p>
      <w:pPr>
        <w:pStyle w:val="Compact"/>
        <w:numPr>
          <w:ilvl w:val="2"/>
          <w:numId w:val="2961"/>
        </w:numPr>
      </w:pPr>
      <w:r>
        <w:t xml:space="preserve">Uniquement si l’outil est open source</w:t>
      </w:r>
    </w:p>
    <w:p>
      <w:pPr>
        <w:pStyle w:val="Compact"/>
        <w:numPr>
          <w:ilvl w:val="1"/>
          <w:numId w:val="2958"/>
        </w:numPr>
      </w:pPr>
    </w:p>
    <w:p>
      <w:pPr>
        <w:pStyle w:val="Compact"/>
        <w:numPr>
          <w:ilvl w:val="2"/>
          <w:numId w:val="2962"/>
        </w:numPr>
      </w:pPr>
      <w:r>
        <w:t xml:space="preserve">Uniquement pour les sites historiques, jamais pour les nouveaux sites</w:t>
      </w:r>
    </w:p>
    <w:p>
      <w:pPr>
        <w:pStyle w:val="Compact"/>
        <w:numPr>
          <w:ilvl w:val="0"/>
          <w:numId w:val="2957"/>
        </w:numPr>
      </w:pPr>
      <w:r>
        <w:t xml:space="preserve">Pourquoi le nouveau site et le composant cloud constituent-ils les angles morts les plus probables ?</w:t>
      </w:r>
    </w:p>
    <w:p>
      <w:pPr>
        <w:pStyle w:val="Compact"/>
        <w:numPr>
          <w:ilvl w:val="1"/>
          <w:numId w:val="2963"/>
        </w:numPr>
      </w:pPr>
    </w:p>
    <w:p>
      <w:pPr>
        <w:pStyle w:val="Compact"/>
        <w:numPr>
          <w:ilvl w:val="2"/>
          <w:numId w:val="2964"/>
        </w:numPr>
      </w:pPr>
      <w:r>
        <w:t xml:space="preserve">Ils sont techniquement incompatibles avec les outils existants</w:t>
      </w:r>
    </w:p>
    <w:p>
      <w:pPr>
        <w:pStyle w:val="Compact"/>
        <w:numPr>
          <w:ilvl w:val="1"/>
          <w:numId w:val="2963"/>
        </w:numPr>
      </w:pPr>
    </w:p>
    <w:p>
      <w:pPr>
        <w:pStyle w:val="Compact"/>
        <w:numPr>
          <w:ilvl w:val="2"/>
          <w:numId w:val="2965"/>
        </w:numPr>
      </w:pPr>
      <w:r>
        <w:t xml:space="preserve">Ce sont les ajouts les plus récents, potentiellement moins systématiquement intégrés</w:t>
      </w:r>
    </w:p>
    <w:p>
      <w:pPr>
        <w:pStyle w:val="Compact"/>
        <w:numPr>
          <w:ilvl w:val="1"/>
          <w:numId w:val="2963"/>
        </w:numPr>
      </w:pPr>
    </w:p>
    <w:p>
      <w:pPr>
        <w:pStyle w:val="Compact"/>
        <w:numPr>
          <w:ilvl w:val="2"/>
          <w:numId w:val="2966"/>
        </w:numPr>
      </w:pPr>
      <w:r>
        <w:t xml:space="preserve">Ils ne génèrent jamais aucun événement de sécurité</w:t>
      </w:r>
    </w:p>
    <w:p>
      <w:pPr>
        <w:pStyle w:val="Compact"/>
        <w:numPr>
          <w:ilvl w:val="1"/>
          <w:numId w:val="2963"/>
        </w:numPr>
      </w:pPr>
    </w:p>
    <w:p>
      <w:pPr>
        <w:pStyle w:val="Compact"/>
        <w:numPr>
          <w:ilvl w:val="2"/>
          <w:numId w:val="2967"/>
        </w:numPr>
      </w:pPr>
      <w:r>
        <w:t xml:space="preserve">Le cahier des charges les exclut explicitement de toute supervision</w:t>
      </w:r>
    </w:p>
    <w:p>
      <w:pPr>
        <w:pStyle w:val="Compact"/>
        <w:numPr>
          <w:ilvl w:val="0"/>
          <w:numId w:val="2957"/>
        </w:numPr>
      </w:pPr>
      <w:r>
        <w:t xml:space="preserve">Un tableau de couverture croisant les fonctions NIST CSF et les composants de l’infrastructure sert principalement à :</w:t>
      </w:r>
    </w:p>
    <w:p>
      <w:pPr>
        <w:pStyle w:val="Compact"/>
        <w:numPr>
          <w:ilvl w:val="1"/>
          <w:numId w:val="2968"/>
        </w:numPr>
      </w:pPr>
    </w:p>
    <w:p>
      <w:pPr>
        <w:pStyle w:val="Compact"/>
        <w:numPr>
          <w:ilvl w:val="2"/>
          <w:numId w:val="2969"/>
        </w:numPr>
      </w:pPr>
      <w:r>
        <w:t xml:space="preserve">Remplacer le besoin de tout outil technique</w:t>
      </w:r>
    </w:p>
    <w:p>
      <w:pPr>
        <w:pStyle w:val="Compact"/>
        <w:numPr>
          <w:ilvl w:val="1"/>
          <w:numId w:val="2968"/>
        </w:numPr>
      </w:pPr>
    </w:p>
    <w:p>
      <w:pPr>
        <w:pStyle w:val="Compact"/>
        <w:numPr>
          <w:ilvl w:val="2"/>
          <w:numId w:val="2970"/>
        </w:numPr>
      </w:pPr>
      <w:r>
        <w:t xml:space="preserve">Rendre visible méthodiquement toute lacune de couverture avant qu’un incident ne la révèle</w:t>
      </w:r>
    </w:p>
    <w:p>
      <w:pPr>
        <w:pStyle w:val="Compact"/>
        <w:numPr>
          <w:ilvl w:val="1"/>
          <w:numId w:val="2968"/>
        </w:numPr>
      </w:pPr>
    </w:p>
    <w:p>
      <w:pPr>
        <w:pStyle w:val="Compact"/>
        <w:numPr>
          <w:ilvl w:val="2"/>
          <w:numId w:val="2971"/>
        </w:numPr>
      </w:pPr>
      <w:r>
        <w:t xml:space="preserve">Réduire automatiquement le coût de l’infrastructure</w:t>
      </w:r>
    </w:p>
    <w:p>
      <w:pPr>
        <w:pStyle w:val="Compact"/>
        <w:numPr>
          <w:ilvl w:val="1"/>
          <w:numId w:val="2968"/>
        </w:numPr>
      </w:pPr>
    </w:p>
    <w:p>
      <w:pPr>
        <w:pStyle w:val="Compact"/>
        <w:numPr>
          <w:ilvl w:val="2"/>
          <w:numId w:val="2972"/>
        </w:numPr>
      </w:pPr>
      <w:r>
        <w:t xml:space="preserve">Éliminer le besoin du cahier des charges initial</w:t>
      </w:r>
    </w:p>
    <w:p>
      <w:pPr>
        <w:pStyle w:val="FirstParagraph"/>
      </w:pPr>
      <w:r>
        <w:rPr>
          <w:b/>
          <w:bCs/>
        </w:rPr>
        <w:t xml:space="preserve">Corrigé</w:t>
      </w:r>
      <w:r>
        <w:t xml:space="preserve"> </w:t>
      </w:r>
      <w:r>
        <w:t xml:space="preserve">: 1-b, 2-b, 3-b.</w:t>
      </w:r>
    </w:p>
    <w:p>
      <w:pPr>
        <w:pStyle w:val="BodyText"/>
      </w:pPr>
      <w:r>
        <w:t xml:space="preserve">📝 Vrai ou Faux</w:t>
      </w:r>
    </w:p>
    <w:p>
      <w:pPr>
        <w:pStyle w:val="Compact"/>
        <w:numPr>
          <w:ilvl w:val="0"/>
          <w:numId w:val="2973"/>
        </w:numPr>
      </w:pPr>
      <w:r>
        <w:t xml:space="preserve">Un outil de sécurité déployé mais jamais intégré au SIEM reproduit le même risque de silo déjà dénoncé pour toute source non intégrée. —</w:t>
      </w:r>
      <w:r>
        <w:t xml:space="preserve"> </w:t>
      </w:r>
      <w:r>
        <w:rPr>
          <w:b/>
          <w:bCs/>
        </w:rPr>
        <w:t xml:space="preserve">Vrai</w:t>
      </w:r>
      <w:r>
        <w:t xml:space="preserve"> </w:t>
      </w:r>
      <w:r>
        <w:t xml:space="preserve">(section</w:t>
      </w:r>
      <w:r>
        <w:t xml:space="preserve"> </w:t>
      </w:r>
      <w:r>
        <w:t xml:space="preserve">“Erreur n°3”</w:t>
      </w:r>
      <w:r>
        <w:t xml:space="preserve">).</w:t>
      </w:r>
    </w:p>
    <w:p>
      <w:pPr>
        <w:pStyle w:val="Compact"/>
        <w:numPr>
          <w:ilvl w:val="0"/>
          <w:numId w:val="2973"/>
        </w:numPr>
      </w:pPr>
      <w:r>
        <w:t xml:space="preserve">L’infrastructure historique d’une organisation bénéficie généralement d’une intégration mieux systématisée que ses ajouts les plus récents. —</w:t>
      </w:r>
      <w:r>
        <w:t xml:space="preserve"> </w:t>
      </w:r>
      <w:r>
        <w:rPr>
          <w:b/>
          <w:bCs/>
        </w:rPr>
        <w:t xml:space="preserve">Vrai</w:t>
      </w:r>
      <w:r>
        <w:t xml:space="preserve"> </w:t>
      </w:r>
      <w:r>
        <w:t xml:space="preserve">(section</w:t>
      </w:r>
      <w:r>
        <w:t xml:space="preserve"> </w:t>
      </w:r>
      <w:r>
        <w:t xml:space="preserve">“Entretien technique”</w:t>
      </w:r>
      <w:r>
        <w:t xml:space="preserve">, Q2).</w:t>
      </w:r>
    </w:p>
    <w:p>
      <w:pPr>
        <w:pStyle w:val="Compact"/>
        <w:numPr>
          <w:ilvl w:val="0"/>
          <w:numId w:val="2973"/>
        </w:numPr>
      </w:pPr>
      <w:r>
        <w:t xml:space="preserve">Un nombre élevé de lacunes révélées par le tableau de couverture indique nécessairement un échec du projet. —</w:t>
      </w:r>
      <w:r>
        <w:t xml:space="preserve"> </w:t>
      </w:r>
      <w:r>
        <w:rPr>
          <w:b/>
          <w:bCs/>
        </w:rPr>
        <w:t xml:space="preserve">Faux</w:t>
      </w:r>
      <w:r>
        <w:t xml:space="preserve"> </w:t>
      </w:r>
      <w:r>
        <w:t xml:space="preserve">(section</w:t>
      </w:r>
      <w:r>
        <w:t xml:space="preserve"> </w:t>
      </w:r>
      <w:r>
        <w:t xml:space="preserve">“Dépannage”</w:t>
      </w:r>
      <w:r>
        <w:t xml:space="preserve"> </w:t>
      </w:r>
      <w:r>
        <w:t xml:space="preserve">de l’atelier).</w:t>
      </w:r>
    </w:p>
    <w:p>
      <w:pPr>
        <w:pStyle w:val="Compact"/>
        <w:numPr>
          <w:ilvl w:val="0"/>
          <w:numId w:val="2973"/>
        </w:numPr>
      </w:pPr>
      <w:r>
        <w:t xml:space="preserve">La vérification de couverture devrait être réalisée une seule fois, lors de la clôture définitive du projet. —</w:t>
      </w:r>
      <w:r>
        <w:t xml:space="preserve"> </w:t>
      </w:r>
      <w:r>
        <w:rPr>
          <w:b/>
          <w:bCs/>
        </w:rPr>
        <w:t xml:space="preserve">Faux</w:t>
      </w:r>
      <w:r>
        <w:t xml:space="preserve"> </w:t>
      </w:r>
      <w:r>
        <w:t xml:space="preserve">(section</w:t>
      </w:r>
      <w:r>
        <w:t xml:space="preserve"> </w:t>
      </w:r>
      <w:r>
        <w:t xml:space="preserve">“Maintenabilité”</w:t>
      </w:r>
      <w:r>
        <w:t xml:space="preserve">).</w:t>
      </w:r>
    </w:p>
    <w:p>
      <w:pPr>
        <w:pStyle w:val="FirstParagraph"/>
      </w:pPr>
      <w:r>
        <w:t xml:space="preserve">📝 Questions ouvertes</w:t>
      </w:r>
    </w:p>
    <w:p>
      <w:pPr>
        <w:pStyle w:val="Compact"/>
        <w:numPr>
          <w:ilvl w:val="0"/>
          <w:numId w:val="2974"/>
        </w:numPr>
      </w:pPr>
      <w:r>
        <w:t xml:space="preserve">Explique pourquoi la question de la RSSI dans le scénario d’ouverture —</w:t>
      </w:r>
      <w:r>
        <w:t xml:space="preserve"> </w:t>
      </w:r>
      <w:r>
        <w:t xml:space="preserve">“est-ce que chaque outil couvre bien l’intégralité de notre infrastructure”</w:t>
      </w:r>
      <w:r>
        <w:t xml:space="preserve"> </w:t>
      </w:r>
      <w:r>
        <w:t xml:space="preserve">— ne pouvait pas être présumée positivement, malgré la construction rigoureuse de chaque outil individuel tout au long de ce manuel.</w:t>
      </w:r>
    </w:p>
    <w:p>
      <w:pPr>
        <w:pStyle w:val="Compact"/>
        <w:numPr>
          <w:ilvl w:val="0"/>
          <w:numId w:val="2974"/>
        </w:numPr>
      </w:pPr>
      <w:r>
        <w:t xml:space="preserve">Un collègue affirme qu’une fois le tableau de couverture NIST CSF construit et toutes les lacunes identifiées corrigées, aucune vérification future ne sera plus jamais nécessaire. Discute cette affirmation.</w:t>
      </w:r>
    </w:p>
    <w:p>
      <w:pPr>
        <w:pStyle w:val="FirstParagraph"/>
      </w:pPr>
      <w:r>
        <w:rPr>
          <w:b/>
          <w:bCs/>
        </w:rPr>
        <w:t xml:space="preserve">Corrigé 1</w:t>
      </w:r>
      <w:r>
        <w:t xml:space="preserve"> </w:t>
      </w:r>
      <w:r>
        <w:t xml:space="preserve">: chaque outil de supervision et de sécurité présenté dans ce manuel a effectivement été construit et validé rigoureusement au moment de son chapitre respectif — mais cette validation portait généralement sur le fonctionnement de l’outil lui-même, pas nécessairement sur sa couverture exhaustive et continue de l’ensemble de l’infrastructure au fil de son évolution ultérieure. Entre le moment où un outil comme Zabbix a été déployé (chapitre 59) et la situation actuelle du projet, l’infrastructure a considérablement évolué — nouveau site, nouvelles applications conteneurisées, composant cloud — sans qu’aucune garantie automatique n’existe que chacun de ces ajouts ait été systématiquement intégré à chaque outil existant. La question de la RSSI reste donc légitime et nécessite une vérification active plutôt qu’une présomption, exactement le même principe déjà établi pour la vérification post-déploiement au chapitre 82.</w:t>
      </w:r>
    </w:p>
    <w:p>
      <w:pPr>
        <w:pStyle w:val="BodyText"/>
      </w:pPr>
      <w:r>
        <w:rPr>
          <w:b/>
          <w:bCs/>
        </w:rPr>
        <w:t xml:space="preserve">Corrigé 2</w:t>
      </w:r>
      <w:r>
        <w:t xml:space="preserve"> </w:t>
      </w:r>
      <w:r>
        <w:t xml:space="preserve">: cette affirmation sous-estime la nature évolutive de toute infrastructure réelle — un nouveau service, un nouveau site, une nouvelle application future introduira à nouveau le même risque d’angle mort déjà rencontré à de multiples reprises dans cette partie du manuel, indépendamment du soin apporté à la vérification actuelle. La couverture de supervision et de sécurité n’est jamais un état définitivement acquis, mais un processus continu nécessitant une vigilance renouvelée à chaque évolution de l’infrastructure, exactement le même principe déjà établi pour la révision périodique du profil de maturité NIST CSF au chapitre 71 et pour la gestion continue des vulnérabilités au chapitre 78 — la sécurité et la supervision restent des processus vivants, jamais des projets ponctuels définitivement clos.</w:t>
      </w:r>
    </w:p>
    <w:bookmarkEnd w:id="2060"/>
    <w:bookmarkStart w:id="2061" w:name="exercices-84"/>
    <w:p>
      <w:pPr>
        <w:pStyle w:val="Heading2"/>
      </w:pPr>
      <w:r>
        <w:t xml:space="preserve">Exercices</w:t>
      </w:r>
    </w:p>
    <w:p>
      <w:pPr>
        <w:pStyle w:val="FirstParagraph"/>
      </w:pPr>
      <w:r>
        <w:t xml:space="preserve">📝 Exercice 85.1</w:t>
      </w:r>
    </w:p>
    <w:p>
      <w:pPr>
        <w:pStyle w:val="BodyText"/>
      </w:pPr>
      <w:r>
        <w:t xml:space="preserve">Pour chacune des trois sources suivantes ajoutées récemment à l’infrastructure du projet — le nouveau site (chapitre 81), la nouvelle application conteneurisée (chapitre 83), le composant cloud (chapitre 84) — identifie un outil de supervision ou de sécurité potentiellement oublié lors de son intégration, et l’action corrective correspondante.</w:t>
      </w:r>
    </w:p>
    <w:p>
      <w:pPr>
        <w:pStyle w:val="BodyText"/>
      </w:pPr>
      <w:r>
        <w:rPr>
          <w:b/>
          <w:bCs/>
        </w:rPr>
        <w:t xml:space="preserve">Corrigé :</w:t>
      </w:r>
      <w:r>
        <w:t xml:space="preserve"> </w:t>
      </w:r>
      <w:r>
        <w:t xml:space="preserve">Pour le nouveau site, l’IDS/IPS pourrait ne pas encore être positionné sur son lien VPN vers le siège, contrairement aux liens WAN redondants des sites historiques déjà couverts depuis le chapitre 75 — l’action corrective consisterait à étendre la couverture IDS/IPS à ce nouveau lien réseau. Pour la nouvelle application conteneurisée, ses journaux applicatifs pourraient ne pas encore être centralisés dans la pile ELK ou Graylog, contrairement au portail client historique — l’action corrective consisterait à intégrer Filebeat ou un mécanisme équivalent au manifeste Kubernetes de cette application. Pour le composant cloud, l’intégration IAM au principe de moindre privilège pourrait ne pas avoir été aussi rigoureusement appliquée que pour les ressources cloud historiques du portail client — l’action corrective consisterait à réviser les permissions IAM accordées selon le même standard déjà établi au chapitre 46.</w:t>
      </w:r>
    </w:p>
    <w:p>
      <w:pPr>
        <w:pStyle w:val="BodyText"/>
      </w:pPr>
      <w:r>
        <w:t xml:space="preserve">📝 Exercice 85.2</w:t>
      </w:r>
    </w:p>
    <w:p>
      <w:pPr>
        <w:pStyle w:val="BodyText"/>
      </w:pPr>
      <w:r>
        <w:t xml:space="preserve">Rédige, en 3 à 5 phrases, une règle d’équipe garantissant que la vérification de couverture de supervision et de sécurité est intégrée systématiquement à la checklist de mise en service de tout nouveau composant d’infrastructure, en t’appuyant sur le pattern décrit à la section 85.5.</w:t>
      </w:r>
    </w:p>
    <w:p>
      <w:pPr>
        <w:pStyle w:val="BodyText"/>
      </w:pPr>
      <w:r>
        <w:rPr>
          <w:b/>
          <w:bCs/>
        </w:rPr>
        <w:t xml:space="preserve">Corrigé (exemple de réponse) :</w:t>
      </w:r>
      <w:r>
        <w:t xml:space="preserve"> </w:t>
      </w:r>
      <w:r>
        <w:t xml:space="preserve">Toute checklist de mise en service d’un nouveau site, d’une nouvelle application, ou d’un nouveau service cloud devra inclure une vérification explicite de son intégration à l’ensemble des outils de supervision et de sécurité existants — Zabbix ou Prometheus selon le type de ressource, la centralisation des logs, le SIEM, et le cas échéant l’IDS/IPS et l’EDR. Cette vérification sera réalisée avant que le composant ne soit considéré comme pleinement en production, et non comme une amélioration à réaliser ultérieurement une fois l’urgence de mise en service passée. Cette règle s’appuie directement sur le constat déjà établi dans ce chapitre : les composants les plus récents d’une infrastructure constituent statistiquement les angles morts les plus probables, et seule une vérification systématique intégrée au processus de mise en service permet d’éviter leur découverte tardive lors d’un incident réel.</w:t>
      </w:r>
    </w:p>
    <w:bookmarkEnd w:id="2061"/>
    <w:bookmarkStart w:id="2062" w:name="checklist-de-fin-de-chapitre-84"/>
    <w:p>
      <w:pPr>
        <w:pStyle w:val="Heading2"/>
      </w:pPr>
      <w:r>
        <w:t xml:space="preserve">Checklist de fin de chapitre</w:t>
      </w:r>
    </w:p>
    <w:p>
      <w:pPr>
        <w:pStyle w:val="FirstParagraph"/>
      </w:pPr>
      <w:r>
        <w:t xml:space="preserve">☐ Je comprends pourquoi l’existence d’un outil ne garantit pas automatiquement sa couverture complète de l’infrastructure.</w:t>
      </w:r>
    </w:p>
    <w:p>
      <w:pPr>
        <w:pStyle w:val="BodyText"/>
      </w:pPr>
      <w:r>
        <w:t xml:space="preserve">☐ Je sais vérifier la couverture de supervision (Zabbix, Prometheus, Grafana) pour l’ensemble des sites et du cloud.</w:t>
      </w:r>
    </w:p>
    <w:p>
      <w:pPr>
        <w:pStyle w:val="BodyText"/>
      </w:pPr>
      <w:r>
        <w:t xml:space="preserve">☐ Je sais vérifier la couverture de sécurité (pare-feu, IDS/IPS, EDR, SIEM) pour l’ensemble des sites et du cloud.</w:t>
      </w:r>
    </w:p>
    <w:p>
      <w:pPr>
        <w:pStyle w:val="BodyText"/>
      </w:pPr>
      <w:r>
        <w:t xml:space="preserve">☐ Je comprends pourquoi les composants les plus récents constituent les angles morts les plus probables.</w:t>
      </w:r>
    </w:p>
    <w:p>
      <w:pPr>
        <w:pStyle w:val="BodyText"/>
      </w:pPr>
      <w:r>
        <w:t xml:space="preserve">☐ Je sais construire un tableau de couverture croisant les fonctions NIST CSF et les composants d’une infrastructure.</w:t>
      </w:r>
    </w:p>
    <w:p>
      <w:pPr>
        <w:pStyle w:val="BodyText"/>
      </w:pPr>
      <w:r>
        <w:t xml:space="preserve">☐ Je sais vérifier une infrastructure complète par rapport aux exigences non-fonctionnelles du cahier des charges initial.</w:t>
      </w:r>
    </w:p>
    <w:bookmarkEnd w:id="2062"/>
    <w:bookmarkStart w:id="2063" w:name="faq-84"/>
    <w:p>
      <w:pPr>
        <w:pStyle w:val="Heading2"/>
      </w:pPr>
      <w:r>
        <w:t xml:space="preserve">FAQ</w:t>
      </w:r>
    </w:p>
    <w:p>
      <w:pPr>
        <w:pStyle w:val="FirstParagraph"/>
      </w:pPr>
      <w:r>
        <w:t xml:space="preserve">Faut-il refaire cet exercice de vérification à chaque petit changement d’infrastructure ?</w:t>
      </w:r>
    </w:p>
    <w:p>
      <w:pPr>
        <w:pStyle w:val="BodyText"/>
      </w:pPr>
      <w:r>
        <w:t xml:space="preserve">Le niveau de rigueur peut être proportionné à l’ampleur du changement — un changement mineur peut se contenter d’une vérification ciblée, tandis qu’un changement significatif (nouveau site, nouvelle architecture) justifie une révision plus complète du tableau de couverture, comme celle réalisée dans ce chapitre.</w:t>
      </w:r>
    </w:p>
    <w:p>
      <w:pPr>
        <w:pStyle w:val="BodyText"/>
      </w:pPr>
      <w:r>
        <w:t xml:space="preserve">Cette vérification de couverture remplace-t-elle le besoin d’un test d’intrusion périodique déjà établi au chapitre 77 ?</w:t>
      </w:r>
    </w:p>
    <w:p>
      <w:pPr>
        <w:pStyle w:val="BodyText"/>
      </w:pPr>
      <w:r>
        <w:t xml:space="preserve">Non, les deux restent complémentaires — cette vérification confirme que les outils de détection existent et couvrent l’infrastructure attendue, tandis qu’un test d’intrusion évalue activement l’efficacité réelle de cette couverture face à un scénario d’attaque simulé.</w:t>
      </w:r>
    </w:p>
    <w:p>
      <w:pPr>
        <w:pStyle w:val="BodyText"/>
      </w:pPr>
      <w:r>
        <w:t xml:space="preserve">Que faire si une lacune identifiée nécessite un investissement significatif pour être corrigée ?</w:t>
      </w:r>
    </w:p>
    <w:p>
      <w:pPr>
        <w:pStyle w:val="BodyText"/>
      </w:pPr>
      <w:r>
        <w:t xml:space="preserve">Prioriser la correction selon la criticité réelle du composant concerné, en documentant explicitement toute lacune non encore corrigée comme un risque accepté temporairement, plutôt que de la laisser silencieusement non traitée sans decision explicite.</w:t>
      </w:r>
    </w:p>
    <w:p>
      <w:pPr>
        <w:pStyle w:val="BodyText"/>
      </w:pPr>
      <w:r>
        <w:t xml:space="preserve">Ce tableau de couverture sera-t-il repris dans la documentation finale du projet ?</w:t>
      </w:r>
    </w:p>
    <w:p>
      <w:pPr>
        <w:pStyle w:val="BodyText"/>
      </w:pPr>
      <w:r>
        <w:t xml:space="preserve">Oui, il constitue un élément clé de la documentation finale qui sera consolidée au chapitre 86, aux côtés du plan de reprise d’activité et du plan de continuité, formant ensemble le dossier complet de remise du projet.</w:t>
      </w:r>
    </w:p>
    <w:bookmarkEnd w:id="2063"/>
    <w:bookmarkStart w:id="2064" w:name="références-et-pour-aller-plus-loin-84"/>
    <w:p>
      <w:pPr>
        <w:pStyle w:val="Heading2"/>
      </w:pPr>
      <w:r>
        <w:t xml:space="preserve">Références et pour aller plus loin</w:t>
      </w:r>
    </w:p>
    <w:p>
      <w:pPr>
        <w:pStyle w:val="Compact"/>
        <w:numPr>
          <w:ilvl w:val="0"/>
          <w:numId w:val="2975"/>
        </w:numPr>
      </w:pPr>
      <w:r>
        <w:t xml:space="preserve">NIST — Cybersecurity Framework (CSF) 2.0 : rappel du chapitre 71 de ce manuel.</w:t>
      </w:r>
    </w:p>
    <w:p>
      <w:pPr>
        <w:pStyle w:val="Compact"/>
        <w:numPr>
          <w:ilvl w:val="0"/>
          <w:numId w:val="2975"/>
        </w:numPr>
      </w:pPr>
      <w:r>
        <w:t xml:space="preserve">CIS Controls — Implementation Groups : rappel du chapitre 73 de ce manuel.</w:t>
      </w:r>
    </w:p>
    <w:p>
      <w:pPr>
        <w:pStyle w:val="FirstParagraph"/>
      </w:pPr>
      <w:r>
        <w:rPr>
          <w:i/>
          <w:iCs/>
        </w:rPr>
        <w:t xml:space="preserve">Chapitre suivant et dernier de ce manuel : la documentation, le PRA/PCA et la remise du projet — consolider l’ensemble du travail réalisé dans cette partie en un dossier complet et cohérent, prêt à être remis et exploité par l’organisation.</w:t>
      </w:r>
    </w:p>
    <w:p>
      <w:pPr>
        <w:pStyle w:val="BodyText"/>
      </w:pPr>
      <w:r>
        <w:t xml:space="preserve">CHAPITRE 86</w:t>
      </w:r>
    </w:p>
    <w:bookmarkEnd w:id="2064"/>
    <w:bookmarkEnd w:id="2065"/>
    <w:bookmarkStart w:id="2085" w:name="documentation-prapca-et-remise-du-projet"/>
    <w:p>
      <w:pPr>
        <w:pStyle w:val="Heading1"/>
      </w:pPr>
      <w:r>
        <w:t xml:space="preserve">Documentation, PRA/PCA et remise du projet</w:t>
      </w:r>
    </w:p>
    <w:p>
      <w:pPr>
        <w:pStyle w:val="FirstParagraph"/>
      </w:pPr>
      <w:r>
        <w:t xml:space="preserve">🎯 Objectif du chapitre</w:t>
      </w:r>
      <w:r>
        <w:t xml:space="preserve"> </w:t>
      </w:r>
      <w:r>
        <w:t xml:space="preserve">Consolider l’ensemble du travail réalisé dans cette partie en un dossier complet et cohérent, prêt à être remis et exploité par l’organisation — le dernier chapitre de ce manuel. À la fin de ce chapitre, tu sauras structurer une documentation technique consolidée, formaliser un plan de reprise d’activité et un plan de continuité d’activité couvrant l’ensemble du projet, et vérifier méthodiquement chaque critère de réussite défini dans le cahier des charges initial avant la remise finale.</w:t>
      </w:r>
    </w:p>
    <w:p>
      <w:pPr>
        <w:pStyle w:val="BodyText"/>
      </w:pPr>
      <w:r>
        <w:t xml:space="preserve">🎬 Mise en situation</w:t>
      </w:r>
      <w:r>
        <w:t xml:space="preserve"> </w:t>
      </w:r>
      <w:r>
        <w:t xml:space="preserve">Le projet touche à sa fin. L’architecture est conçue, les services déployés, les applications conteneurisées, le composant cloud intégré, la supervision et la sécurité vérifiées de bout en bout. Le conseil d’administration, qui avait mandaté ce projet au chapitre 80, demande une dernière chose avant la remise officielle :</w:t>
      </w:r>
      <w:r>
        <w:t xml:space="preserve"> </w:t>
      </w:r>
      <w:r>
        <w:t xml:space="preserve">“Montrez-nous que ce que vous avez construit répond réellement au cahier des charges initial, que quelqu’un d’autre que vous pourrait reprendre cette infrastructure en cas de besoin, et que l’entreprise survivrait à un sinistre majeur.”</w:t>
      </w:r>
      <w:r>
        <w:t xml:space="preserve"> </w:t>
      </w:r>
      <w:r>
        <w:t xml:space="preserve">Ce chapitre clôt ce manuel en répondant précisément à ces trois exigences.</w:t>
      </w:r>
    </w:p>
    <w:bookmarkStart w:id="2066" w:name="Xfacd32b940b6bf178ddce3f0f94a10db55d7765"/>
    <w:p>
      <w:pPr>
        <w:pStyle w:val="Heading2"/>
      </w:pPr>
      <w:r>
        <w:t xml:space="preserve">86.1 Le problème : consolider un travail dispersé en un dossier cohérent</w:t>
      </w:r>
    </w:p>
    <w:p>
      <w:pPr>
        <w:pStyle w:val="FirstParagraph"/>
      </w:pPr>
      <w:r>
        <w:t xml:space="preserve">📌 À retenir — rappel direct des chapitres 2 et 80</w:t>
      </w:r>
      <w:r>
        <w:t xml:space="preserve"> </w:t>
      </w:r>
      <w:r>
        <w:t xml:space="preserve">Chaque chapitre de la Partie 13 a produit sa propre documentation partielle — l’architecture (chapitre 81), les procédures de déploiement (chapitre 82), la stratégie cloud (chapitre 84), le tableau de couverture (chapitre 85). Sans consolidation finale, cette documentation reste dispersée, difficile à exploiter pour quiconque n’a pas suivi l’ensemble du projet — exactement le risque déjà identifié comme fondation du métier d’administrateur système dès le chapitre 2 de ce manuel, appliqué ici à l’échelle complète du projet final.</w:t>
      </w:r>
    </w:p>
    <w:bookmarkEnd w:id="2066"/>
    <w:bookmarkStart w:id="2067" w:name="X464ed1dda9274cfc8d0abb1f54b8d6e1674e848"/>
    <w:p>
      <w:pPr>
        <w:pStyle w:val="Heading2"/>
      </w:pPr>
      <w:r>
        <w:t xml:space="preserve">86.2 Documentation technique consolidée : des runbooks par service</w:t>
      </w:r>
    </w:p>
    <w:p>
      <w:pPr>
        <w:pStyle w:val="FirstParagraph"/>
      </w:pPr>
      <w:r>
        <w:t xml:space="preserve">💡 Rappel indirect de l’ensemble de ce manuel</w:t>
      </w:r>
      <w:r>
        <w:t xml:space="preserve"> </w:t>
      </w:r>
      <w:r>
        <w:t xml:space="preserve">Un</w:t>
      </w:r>
      <w:r>
        <w:t xml:space="preserve"> </w:t>
      </w:r>
      <w:r>
        <w:rPr>
          <w:b/>
          <w:bCs/>
        </w:rPr>
        <w:t xml:space="preserve">runbook</w:t>
      </w:r>
      <w:r>
        <w:t xml:space="preserve"> </w:t>
      </w:r>
      <w:r>
        <w:t xml:space="preserve">consolide, pour chaque service critique de l’infrastructure, les procédures opérationnelles essentielles — comment redémarrer le service, où trouver ses journaux, qui contacter en cas de problème, quelles métriques surveiller. Cette documentation, reprenant et synthétisant les informations déjà produites tout au long de ce manuel pour chaque technologie (Active Directory, portail Kubernetes, composant cloud), devient la référence opérationnelle quotidienne pour toute personne intervenant sur l’infrastructure, y compris une personne rejoignant l’équipe après la remise du projet.</w:t>
      </w:r>
    </w:p>
    <w:bookmarkEnd w:id="2067"/>
    <w:bookmarkStart w:id="2068" w:name="Xc91a08f34f15be32974e36fcad8fb3a1c70de5e"/>
    <w:p>
      <w:pPr>
        <w:pStyle w:val="Heading2"/>
      </w:pPr>
      <w:r>
        <w:t xml:space="preserve">86.3 Le plan de reprise d’activité consolidé du projet</w:t>
      </w:r>
    </w:p>
    <w:p>
      <w:pPr>
        <w:pStyle w:val="FirstParagraph"/>
      </w:pPr>
      <w:r>
        <w:t xml:space="preserve">🔒 Sécurité — tenir la promesse de la section 84.4</w:t>
      </w:r>
      <w:r>
        <w:t xml:space="preserve"> </w:t>
      </w:r>
      <w:r>
        <w:t xml:space="preserve">Le plan de reprise d’activité consolidé couvre désormais l’ensemble des quatre sites et le composant cloud — reprenant les principes déjà établis au chapitre 31, mais appliqués à l’échelle complète du projet final. La sauvegarde hors site dans le cloud, conçue au chapitre 84 comme composant du PRA, y trouve sa place définitive : en cas de sinistre affectant un site physique entier, cette sauvegarde hors site permet une restauration des services critiques, avec un temps de reprise cible conforme à l’exigence non-fonctionnelle déjà définie dans le cahier des charges du chapitre 80.</w:t>
      </w:r>
    </w:p>
    <w:p>
      <w:pPr>
        <w:pStyle w:val="SourceCode"/>
      </w:pPr>
      <w:r>
        <w:rPr>
          <w:rStyle w:val="VerbatimChar"/>
        </w:rPr>
        <w:t xml:space="preserve">Plan de reprise d'activite - synthese</w:t>
      </w:r>
      <w:r>
        <w:br/>
      </w:r>
      <w:r>
        <w:rPr>
          <w:rStyle w:val="VerbatimChar"/>
        </w:rPr>
        <w:t xml:space="preserve">  Siege (Port-au-Prince) :</w:t>
      </w:r>
      <w:r>
        <w:br/>
      </w:r>
      <w:r>
        <w:rPr>
          <w:rStyle w:val="VerbatimChar"/>
        </w:rPr>
        <w:t xml:space="preserve">    - Services critiques : portail client, controleur de domaine principal</w:t>
      </w:r>
      <w:r>
        <w:br/>
      </w:r>
      <w:r>
        <w:rPr>
          <w:rStyle w:val="VerbatimChar"/>
        </w:rPr>
        <w:t xml:space="preserve">    - Sauvegarde locale + copie chiffree cloud (chapitre 84)</w:t>
      </w:r>
      <w:r>
        <w:br/>
      </w:r>
      <w:r>
        <w:rPr>
          <w:rStyle w:val="VerbatimChar"/>
        </w:rPr>
        <w:t xml:space="preserve">    - Temps de reprise cible : 4h (conforme au cahier des charges, chapitre 80)</w:t>
      </w:r>
      <w:r>
        <w:br/>
      </w:r>
      <w:r>
        <w:rPr>
          <w:rStyle w:val="VerbatimChar"/>
        </w:rPr>
        <w:t xml:space="preserve">  Cap-Haitien :</w:t>
      </w:r>
      <w:r>
        <w:br/>
      </w:r>
      <w:r>
        <w:rPr>
          <w:rStyle w:val="VerbatimChar"/>
        </w:rPr>
        <w:t xml:space="preserve">    - Services : controleur de domaine local, serveur de gestion documentaire</w:t>
      </w:r>
      <w:r>
        <w:br/>
      </w:r>
      <w:r>
        <w:rPr>
          <w:rStyle w:val="VerbatimChar"/>
        </w:rPr>
        <w:t xml:space="preserve">    - Sauvegarde locale + copie chiffree cloud</w:t>
      </w:r>
      <w:r>
        <w:br/>
      </w:r>
      <w:r>
        <w:rPr>
          <w:rStyle w:val="VerbatimChar"/>
        </w:rPr>
        <w:t xml:space="preserve">    - Temps de reprise cible : 8h</w:t>
      </w:r>
      <w:r>
        <w:br/>
      </w:r>
      <w:r>
        <w:rPr>
          <w:rStyle w:val="VerbatimChar"/>
        </w:rPr>
        <w:t xml:space="preserve">  Bureau satellite et nouveau site :</w:t>
      </w:r>
      <w:r>
        <w:br/>
      </w:r>
      <w:r>
        <w:rPr>
          <w:rStyle w:val="VerbatimChar"/>
        </w:rPr>
        <w:t xml:space="preserve">    - Dependance au siege via VPN (chapitre 81)</w:t>
      </w:r>
      <w:r>
        <w:br/>
      </w:r>
      <w:r>
        <w:rPr>
          <w:rStyle w:val="VerbatimChar"/>
        </w:rPr>
        <w:t xml:space="preserve">    - Reprise conditionnee a la disponibilite du siege</w:t>
      </w:r>
    </w:p>
    <w:bookmarkEnd w:id="2068"/>
    <w:bookmarkStart w:id="2069" w:name="X66fec7aa6bcf9438ff10735f62e24e90f24d3fc"/>
    <w:p>
      <w:pPr>
        <w:pStyle w:val="Heading2"/>
      </w:pPr>
      <w:r>
        <w:t xml:space="preserve">86.4 Le plan de continuité d’activité : des scénarios couvrant l’ensemble du projet</w:t>
      </w:r>
    </w:p>
    <w:p>
      <w:pPr>
        <w:pStyle w:val="FirstParagraph"/>
      </w:pPr>
      <w:r>
        <w:t xml:space="preserve">💡 Rappel direct du chapitre 32</w:t>
      </w:r>
      <w:r>
        <w:t xml:space="preserve"> </w:t>
      </w:r>
      <w:r>
        <w:t xml:space="preserve">Le plan de continuité d’activité, déjà établi au chapitre 32 pour un scénario d’ouragan affectant un site, s’étend désormais à l’ensemble des quatre sites et du composant cloud — quels scénarios de sinistre affecteraient simultanément plusieurs sites, comment l’entreprise continuerait-elle à fonctionner si le siège devenait temporairement inaccessible, quel rôle jouerait le nouveau site (dépendant du VPN vers le siège) dans un tel scénario. Cette réflexion élargie révèle parfois des dépendances critiques non identifiées lorsque chaque site était considéré isolément.</w:t>
      </w:r>
    </w:p>
    <w:bookmarkEnd w:id="2069"/>
    <w:bookmarkStart w:id="2070" w:name="X54c03548025142c83810e2753f1a95edc45ec10"/>
    <w:p>
      <w:pPr>
        <w:pStyle w:val="Heading2"/>
      </w:pPr>
      <w:r>
        <w:t xml:space="preserve">86.5 Le test final : une simulation grandeur nature avant remise</w:t>
      </w:r>
    </w:p>
    <w:p>
      <w:pPr>
        <w:pStyle w:val="FirstParagraph"/>
      </w:pPr>
      <w:r>
        <w:t xml:space="preserve">✅ Rappel direct des chapitres 27, 32 et 77</w:t>
      </w:r>
      <w:r>
        <w:t xml:space="preserve"> </w:t>
      </w:r>
      <w:r>
        <w:t xml:space="preserve">Avant toute remise officielle, un exercice de simulation grandeur nature — reprenant l’esprit des tests de restauration (chapitre 27), de l’exercice de simulation d’ouragan (chapitre 32), et des tabletop exercises déjà recommandés au chapitre 79 — vérifie concrètement que le plan de reprise d’activité et le plan de continuité fonctionnent réellement, plutôt que de se fier à leur seule existence documentaire. Un plan jamais testé reste, comme établi à de multiples reprises dans ce manuel, une simple hypothèse non vérifiée.</w:t>
      </w:r>
    </w:p>
    <w:bookmarkEnd w:id="2070"/>
    <w:bookmarkStart w:id="2071" w:name="Xffbe95810af496f1be8c45978957c6999a451f8"/>
    <w:p>
      <w:pPr>
        <w:pStyle w:val="Heading2"/>
      </w:pPr>
      <w:r>
        <w:t xml:space="preserve">86.6 Vérifier chaque critère de réussite du cahier des charges</w:t>
      </w:r>
    </w:p>
    <w:p>
      <w:pPr>
        <w:pStyle w:val="FirstParagraph"/>
      </w:pPr>
      <w:r>
        <w:t xml:space="preserve">✅ Fermer la boucle ouverte au chapitre 80</w:t>
      </w:r>
      <w:r>
        <w:t xml:space="preserve"> </w:t>
      </w:r>
      <w:r>
        <w:t xml:space="preserve">Reprends explicitement chaque critère de réussite défini à la section 80.7 du cahier des charges initial, et vérifie sa satisfaction réelle par le projet tel qu’il a été construit à travers les chapitres 81 à 85 — une disponibilité de 99,5 % effectivement mesurée par la supervision (chapitre 85), un temps de reprise de quatre heures effectivement validé par le test de la section 86.5, une conformité au NIST CSF effectivement démontrée par le tableau de couverture du chapitre 85. Cette vérification systématique, plutôt qu’une simple affirmation de réussite, constitue la réponse rigoureuse à la demande du conseil d’administration dans le scénario d’ouverture.</w:t>
      </w:r>
    </w:p>
    <w:bookmarkEnd w:id="2071"/>
    <w:bookmarkStart w:id="2072" w:name="X18e3e918f35e5db687e6380f6fec79f7551023f"/>
    <w:p>
      <w:pPr>
        <w:pStyle w:val="Heading2"/>
      </w:pPr>
      <w:r>
        <w:t xml:space="preserve">86.7 Clôture : un cycle qui continue au-delà de ce manuel</w:t>
      </w:r>
    </w:p>
    <w:p>
      <w:pPr>
        <w:pStyle w:val="FirstParagraph"/>
      </w:pPr>
      <w:r>
        <w:t xml:space="preserve">📌 À retenir — rappel direct du diagramme du chapitre 71</w:t>
      </w:r>
      <w:r>
        <w:t xml:space="preserve"> </w:t>
      </w:r>
      <w:r>
        <w:t xml:space="preserve">La remise de ce projet ne marque pas la fin du travail de l’administrateur système, mais un jalon dans un cycle continu — exactement la boucle déjà représentée au chapitre 71, où la fonction Récupérer alimente à nouveau la fonction Identifier. Chaque nouveau site, chaque nouvelle application, chaque nouvelle menace continuera d’exiger la même rigueur méthodique déjà pratiquée tout au long de ce manuel — cahier des charges, conception justifiée, automatisation plutôt que répétition manuelle, vérification plutôt que présomption, documentation plutôt qu’improvisation.</w:t>
      </w:r>
    </w:p>
    <w:bookmarkEnd w:id="2072"/>
    <w:bookmarkStart w:id="2073" w:name="X417136708e0695cd932cfe1a27fa421223bf40f"/>
    <w:p>
      <w:pPr>
        <w:pStyle w:val="Heading2"/>
      </w:pPr>
      <w:r>
        <w:t xml:space="preserve">Atelier — Consolider le dossier de remise final</w:t>
      </w:r>
    </w:p>
    <w:p>
      <w:pPr>
        <w:pStyle w:val="FirstParagraph"/>
      </w:pPr>
      <w:r>
        <w:t xml:space="preserve">🛠️ Atelier 86 — L’atelier de clôture de ce manuel</w:t>
      </w:r>
    </w:p>
    <w:p>
      <w:pPr>
        <w:pStyle w:val="BodyText"/>
      </w:pPr>
      <w:r>
        <w:rPr>
          <w:b/>
          <w:bCs/>
        </w:rPr>
        <w:t xml:space="preserve">Objectif</w:t>
      </w:r>
      <w:r>
        <w:t xml:space="preserve"> </w:t>
      </w:r>
      <w:r>
        <w:t xml:space="preserve">: consolider le dossier de remise complet du projet, répondant aux trois exigences du conseil d’administration dans le scénario d’ouverture.</w:t>
      </w:r>
    </w:p>
    <w:p>
      <w:pPr>
        <w:pStyle w:val="BodyText"/>
      </w:pPr>
      <w:r>
        <w:rPr>
          <w:b/>
          <w:bCs/>
        </w:rPr>
        <w:t xml:space="preserve">Préparation</w:t>
      </w:r>
      <w:r>
        <w:t xml:space="preserve"> </w:t>
      </w:r>
      <w:r>
        <w:t xml:space="preserve">: l’ensemble des livrables produits aux chapitres 80 à 85.</w:t>
      </w:r>
    </w:p>
    <w:p>
      <w:pPr>
        <w:pStyle w:val="BodyText"/>
      </w:pPr>
      <w:r>
        <w:rPr>
          <w:b/>
          <w:bCs/>
        </w:rPr>
        <w:t xml:space="preserve">Étapes détaillées</w:t>
      </w:r>
      <w:r>
        <w:t xml:space="preserve"> </w:t>
      </w:r>
      <w:r>
        <w:t xml:space="preserve">:</w:t>
      </w:r>
    </w:p>
    <w:p>
      <w:pPr>
        <w:pStyle w:val="Compact"/>
        <w:numPr>
          <w:ilvl w:val="0"/>
          <w:numId w:val="2976"/>
        </w:numPr>
      </w:pPr>
      <w:r>
        <w:t xml:space="preserve">Structure un sommaire du dossier de remise, reprenant le cahier des charges (chapitre 80), l’architecture (chapitre 81), et une synthèse du déploiement, de la conteneurisation, du cloud et de la supervision.</w:t>
      </w:r>
    </w:p>
    <w:p>
      <w:pPr>
        <w:pStyle w:val="Compact"/>
        <w:numPr>
          <w:ilvl w:val="0"/>
          <w:numId w:val="2976"/>
        </w:numPr>
      </w:pPr>
      <w:r>
        <w:t xml:space="preserve">Rédige un runbook synthétique pour le service le plus critique du projet (le portail client), reprenant les informations essentielles déjà dispersées dans les chapitres précédents.</w:t>
      </w:r>
    </w:p>
    <w:p>
      <w:pPr>
        <w:pStyle w:val="Compact"/>
        <w:numPr>
          <w:ilvl w:val="0"/>
          <w:numId w:val="2976"/>
        </w:numPr>
      </w:pPr>
      <w:r>
        <w:t xml:space="preserve">Consolide le plan de reprise d’activité et le plan de continuité selon les sections 86.3-86.4.</w:t>
      </w:r>
    </w:p>
    <w:p>
      <w:pPr>
        <w:pStyle w:val="Compact"/>
        <w:numPr>
          <w:ilvl w:val="0"/>
          <w:numId w:val="2976"/>
        </w:numPr>
      </w:pPr>
      <w:r>
        <w:t xml:space="preserve">Vérifie explicitement, un par un, chaque critère de réussite défini à l’exercice 80.1.</w:t>
      </w:r>
    </w:p>
    <w:p>
      <w:pPr>
        <w:pStyle w:val="Compact"/>
        <w:numPr>
          <w:ilvl w:val="0"/>
          <w:numId w:val="2976"/>
        </w:numPr>
      </w:pPr>
      <w:r>
        <w:t xml:space="preserve">Compare ta démarche à la section</w:t>
      </w:r>
      <w:r>
        <w:t xml:space="preserve"> </w:t>
      </w:r>
      <w:r>
        <w:t xml:space="preserve">“Résultat attendu”</w:t>
      </w:r>
      <w:r>
        <w:t xml:space="preserve">.</w:t>
      </w:r>
    </w:p>
    <w:p>
      <w:pPr>
        <w:pStyle w:val="FirstParagraph"/>
      </w:pPr>
      <w:r>
        <w:rPr>
          <w:b/>
          <w:bCs/>
        </w:rPr>
        <w:t xml:space="preserve">Résultat attendu</w:t>
      </w:r>
      <w:r>
        <w:t xml:space="preserve"> </w:t>
      </w:r>
      <w:r>
        <w:t xml:space="preserve">: le dossier de remise répond directement aux trois exigences du conseil d’administration — la vérification des critères de réussite démontre la conformité au cahier des charges, le runbook démontre que l’infrastructure peut être reprise par une personne extérieure au projet, et le plan de reprise d’activité consolidé, idéalement déjà testé selon la section 86.5, démontre la capacité de l’entreprise à survivre à un sinistre majeur. Ce dossier synthétise ainsi, en un document cohérent, l’ensemble du travail réalisé tout au long de la Partie 13 — et, plus largement, l’application concrète de la quasi-totalité des connaissances construites depuis le chapitre 1 de ce manuel.</w:t>
      </w:r>
    </w:p>
    <w:p>
      <w:pPr>
        <w:pStyle w:val="BodyText"/>
      </w:pPr>
      <w:r>
        <w:rPr>
          <w:b/>
          <w:bCs/>
        </w:rPr>
        <w:t xml:space="preserve">Dépannage</w:t>
      </w:r>
      <w:r>
        <w:t xml:space="preserve"> </w:t>
      </w:r>
      <w:r>
        <w:t xml:space="preserve">: si la vérification des critères de réussite révèle qu’un critère reste partiellement satisfait malgré l’ensemble du travail réalisé, documente honnêtement cet écart plutôt que de le dissimuler dans le dossier de remise — exactement le même principe déjà établi pour une déclaration d’applicabilité honnête au chapitre 72, où une lacune assumée et accompagnée d’un plan de remédiation reste préférable à une affirmation de conformité non vérifiée.</w:t>
      </w:r>
    </w:p>
    <w:bookmarkEnd w:id="2073"/>
    <w:bookmarkStart w:id="2074" w:name="erreurs-fréquentes-85"/>
    <w:p>
      <w:pPr>
        <w:pStyle w:val="Heading2"/>
      </w:pPr>
      <w:r>
        <w:t xml:space="preserve">Erreurs fréquentes</w:t>
      </w:r>
    </w:p>
    <w:p>
      <w:pPr>
        <w:pStyle w:val="FirstParagraph"/>
      </w:pPr>
      <w:r>
        <w:t xml:space="preserve">⚠️ Erreur n°1 — une documentation dispersée à travers de multiples fichiers, jamais consolidée en un dossier cohérent</w:t>
      </w:r>
      <w:r>
        <w:t xml:space="preserve"> </w:t>
      </w:r>
      <w:r>
        <w:t xml:space="preserve">Rappel de la section 86.1 : une documentation techniquement complète mais dispersée reste difficile à exploiter pour quiconque n’a pas suivi l’ensemble du projet.</w:t>
      </w:r>
    </w:p>
    <w:p>
      <w:pPr>
        <w:pStyle w:val="BodyText"/>
      </w:pPr>
      <w:r>
        <w:t xml:space="preserve">⚠️ Erreur n°2 — un PRA et un PCA jamais testés avant la remise officielle du projet</w:t>
      </w:r>
      <w:r>
        <w:t xml:space="preserve"> </w:t>
      </w:r>
      <w:r>
        <w:t xml:space="preserve">Rappel direct des chapitres 27 et 32 : un plan jamais vérifié en conditions réalistes offre une fausse impression de préparation, un risque particulièrement grave pour le tout dernier livrable d’un projet d’infrastructure complet.</w:t>
      </w:r>
    </w:p>
    <w:p>
      <w:pPr>
        <w:pStyle w:val="BodyText"/>
      </w:pPr>
      <w:r>
        <w:t xml:space="preserve">⚠️ Erreur n°3 — un projet remis sans vérification explicite face aux critères de réussite du cahier des charges initial</w:t>
      </w:r>
      <w:r>
        <w:t xml:space="preserve"> </w:t>
      </w:r>
      <w:r>
        <w:t xml:space="preserve">Rappel de la section 86.6 : une remise fondée sur une impression générale de succès, plutôt qu’une vérification méthodique critère par critère, risque de dissimuler des écarts significatifs entre l’ambition initiale et la réalisation effective.</w:t>
      </w:r>
    </w:p>
    <w:bookmarkEnd w:id="2074"/>
    <w:bookmarkStart w:id="2075" w:name="X6a4458916e00f2af0269e3fab92db5e0ad0dadc"/>
    <w:p>
      <w:pPr>
        <w:pStyle w:val="Heading2"/>
      </w:pPr>
      <w:r>
        <w:t xml:space="preserve">Diagnostiquer un projet remis mais difficilement exploitable</w:t>
      </w:r>
    </w:p>
    <w:p>
      <w:pPr>
        <w:pStyle w:val="FirstParagraph"/>
      </w:pPr>
      <w:r>
        <w:t xml:space="preserve">🩺 Symptôme : après la remise du projet, une nouvelle personne rejoignant l’équipe peine à comprendre comment intervenir sur l’infrastructure en cas d’incident</w:t>
      </w:r>
    </w:p>
    <w:p>
      <w:pPr>
        <w:pStyle w:val="Compact"/>
        <w:numPr>
          <w:ilvl w:val="0"/>
          <w:numId w:val="2977"/>
        </w:numPr>
      </w:pPr>
      <w:r>
        <w:rPr>
          <w:b/>
          <w:bCs/>
        </w:rPr>
        <w:t xml:space="preserve">Diagnostic</w:t>
      </w:r>
      <w:r>
        <w:t xml:space="preserve"> </w:t>
      </w:r>
      <w:r>
        <w:t xml:space="preserve">: ce symptôme révèle généralement une documentation techniquement présente mais insuffisamment consolidée et accessible — l’information existe quelque part dans les nombreux artefacts du projet, mais sans synthèse opérationnelle claire comme un runbook.</w:t>
      </w:r>
    </w:p>
    <w:p>
      <w:pPr>
        <w:pStyle w:val="Compact"/>
        <w:numPr>
          <w:ilvl w:val="0"/>
          <w:numId w:val="2977"/>
        </w:numPr>
      </w:pPr>
      <w:r>
        <w:rPr>
          <w:b/>
          <w:bCs/>
        </w:rPr>
        <w:t xml:space="preserve">Comment vérifier</w:t>
      </w:r>
      <w:r>
        <w:t xml:space="preserve"> </w:t>
      </w:r>
      <w:r>
        <w:t xml:space="preserve">: demander à une personne n’ayant pas participé au projet de tenter de résoudre un incident simulé simple en s’appuyant uniquement sur la documentation remise — sa difficulté ou sa facilité à s’orienter révèle directement la qualité réelle de cette documentation.</w:t>
      </w:r>
    </w:p>
    <w:p>
      <w:pPr>
        <w:pStyle w:val="Compact"/>
        <w:numPr>
          <w:ilvl w:val="0"/>
          <w:numId w:val="2977"/>
        </w:numPr>
      </w:pPr>
      <w:r>
        <w:rPr>
          <w:b/>
          <w:bCs/>
        </w:rPr>
        <w:t xml:space="preserve">Résolution</w:t>
      </w:r>
      <w:r>
        <w:t xml:space="preserve"> </w:t>
      </w:r>
      <w:r>
        <w:t xml:space="preserve">: consolider ou compléter les runbooks manquants, en priorisant les services les plus critiques identifiés dans le cahier des charges initial.</w:t>
      </w:r>
    </w:p>
    <w:bookmarkEnd w:id="2075"/>
    <w:bookmarkStart w:id="2076" w:name="en-entreprise-85"/>
    <w:p>
      <w:pPr>
        <w:pStyle w:val="Heading2"/>
      </w:pPr>
      <w:r>
        <w:t xml:space="preserve">En entreprise</w:t>
      </w:r>
    </w:p>
    <w:p>
      <w:pPr>
        <w:pStyle w:val="Compact"/>
        <w:numPr>
          <w:ilvl w:val="0"/>
          <w:numId w:val="2978"/>
        </w:numPr>
      </w:pPr>
      <w:r>
        <w:rPr>
          <w:b/>
          <w:bCs/>
        </w:rPr>
        <w:t xml:space="preserve">Bonne pratique répandue</w:t>
      </w:r>
      <w:r>
        <w:t xml:space="preserve"> </w:t>
      </w:r>
      <w:r>
        <w:t xml:space="preserve">: réaliser systématiquement un exercice de simulation grandeur nature avant toute remise officielle d’un projet d’infrastructure, plutôt que de se fier à la seule existence documentaire des plans de continuité.</w:t>
      </w:r>
    </w:p>
    <w:p>
      <w:pPr>
        <w:pStyle w:val="Compact"/>
        <w:numPr>
          <w:ilvl w:val="0"/>
          <w:numId w:val="2978"/>
        </w:numPr>
      </w:pPr>
      <w:r>
        <w:rPr>
          <w:b/>
          <w:bCs/>
        </w:rPr>
        <w:t xml:space="preserve">Bonne pratique répandue</w:t>
      </w:r>
      <w:r>
        <w:t xml:space="preserve"> </w:t>
      </w:r>
      <w:r>
        <w:t xml:space="preserve">: structurer le dossier de remise final autour du cahier des charges initial, section par section, plutôt qu’autour de l’ordre chronologique de réalisation du projet, facilitant la vérification de conformité par les parties prenantes.</w:t>
      </w:r>
    </w:p>
    <w:p>
      <w:pPr>
        <w:pStyle w:val="Compact"/>
        <w:numPr>
          <w:ilvl w:val="0"/>
          <w:numId w:val="2978"/>
        </w:numPr>
      </w:pPr>
      <w:r>
        <w:rPr>
          <w:b/>
          <w:bCs/>
        </w:rPr>
        <w:t xml:space="preserve">Erreur classique observée</w:t>
      </w:r>
      <w:r>
        <w:t xml:space="preserve"> </w:t>
      </w:r>
      <w:r>
        <w:t xml:space="preserve">: un projet techniquement réussi mais dont la documentation de remise se limite à une présentation générale, sans les détails opérationnels nécessaires à une reprise effective par une équipe qui n’a pas participé à sa construction — un problème découvert seulement lors du premier incident survenant après la remise.</w:t>
      </w:r>
    </w:p>
    <w:bookmarkEnd w:id="2076"/>
    <w:bookmarkStart w:id="2077" w:name="entretien-technique-85"/>
    <w:p>
      <w:pPr>
        <w:pStyle w:val="Heading2"/>
      </w:pPr>
      <w:r>
        <w:t xml:space="preserve">Entretien technique</w:t>
      </w:r>
    </w:p>
    <w:p>
      <w:pPr>
        <w:pStyle w:val="FirstParagraph"/>
      </w:pPr>
      <w:r>
        <w:t xml:space="preserve">💼 Questions fréquemment posées en entretien</w:t>
      </w:r>
    </w:p>
    <w:p>
      <w:pPr>
        <w:pStyle w:val="BodyText"/>
      </w:pPr>
      <w:r>
        <w:rPr>
          <w:b/>
          <w:bCs/>
        </w:rPr>
        <w:t xml:space="preserve">Q1.</w:t>
      </w:r>
      <w:r>
        <w:rPr>
          <w:b/>
          <w:bCs/>
        </w:rPr>
        <w:t xml:space="preserve"> </w:t>
      </w:r>
      <w:r>
        <w:rPr>
          <w:b/>
          <w:bCs/>
        </w:rPr>
        <w:t xml:space="preserve">“Qu’est-ce qu’un runbook, et pourquoi constitue-t-il un livrable essentiel à la clôture d’un projet d’infrastructure ?”</w:t>
      </w:r>
      <w:r>
        <w:t xml:space="preserve"> </w:t>
      </w:r>
      <w:r>
        <w:t xml:space="preserve">Réponse attendue : un document consolidant les procédures opérationnelles essentielles d’un service (redémarrage, journaux, contacts, métriques à surveiller), essentiel pour permettre à quiconque n’a pas participé au projet de reprendre effectivement l’infrastructure.</w:t>
      </w:r>
    </w:p>
    <w:p>
      <w:pPr>
        <w:pStyle w:val="BodyText"/>
      </w:pPr>
      <w:r>
        <w:rPr>
          <w:b/>
          <w:bCs/>
        </w:rPr>
        <w:t xml:space="preserve">Q2.</w:t>
      </w:r>
      <w:r>
        <w:rPr>
          <w:b/>
          <w:bCs/>
        </w:rPr>
        <w:t xml:space="preserve"> </w:t>
      </w:r>
      <w:r>
        <w:rPr>
          <w:b/>
          <w:bCs/>
        </w:rPr>
        <w:t xml:space="preserve">“Pourquoi un exercice de simulation grandeur nature reste-t-il nécessaire avant la remise finale d’un projet, même après une conception rigoureuse du PRA et du PCA ?”</w:t>
      </w:r>
      <w:r>
        <w:t xml:space="preserve"> </w:t>
      </w:r>
      <w:r>
        <w:t xml:space="preserve">Réponse attendue : un plan documenté mais jamais testé en conditions réalistes reste une hypothèse non vérifiée ; seul un test concret confirme que la reprise et la continuité fonctionnent réellement comme prévu, le même principe déjà établi pour tout test de restauration de sauvegarde.</w:t>
      </w:r>
    </w:p>
    <w:p>
      <w:pPr>
        <w:pStyle w:val="BodyText"/>
      </w:pPr>
      <w:r>
        <w:rPr>
          <w:b/>
          <w:bCs/>
        </w:rPr>
        <w:t xml:space="preserve">Q3.</w:t>
      </w:r>
      <w:r>
        <w:rPr>
          <w:b/>
          <w:bCs/>
        </w:rPr>
        <w:t xml:space="preserve"> </w:t>
      </w:r>
      <w:r>
        <w:rPr>
          <w:b/>
          <w:bCs/>
        </w:rPr>
        <w:t xml:space="preserve">“Pourquoi vérifier explicitement chaque critère de réussite du cahier des charges, plutôt que de se fier à une impression générale de succès du projet ?”</w:t>
      </w:r>
      <w:r>
        <w:t xml:space="preserve"> </w:t>
      </w:r>
      <w:r>
        <w:t xml:space="preserve">Réponse attendue : une vérification méthodique révèle les écarts précis entre l’ambition initiale et la réalisation effective, permettant une remédiation ciblée avant la remise, plutôt qu’une découverte tardive d’un critère non satisfait après la clôture officielle du projet.</w:t>
      </w:r>
    </w:p>
    <w:bookmarkEnd w:id="2077"/>
    <w:bookmarkStart w:id="2078" w:name="Xb02db862d14be8fc80a6cd977f475838f9edd6f"/>
    <w:p>
      <w:pPr>
        <w:pStyle w:val="Heading2"/>
      </w:pPr>
      <w:r>
        <w:t xml:space="preserve">Optimisation, sécurité et maintenabilité — les réflexes dès ce chapitre</w:t>
      </w:r>
    </w:p>
    <w:p>
      <w:pPr>
        <w:pStyle w:val="FirstParagraph"/>
      </w:pPr>
      <w:r>
        <w:t xml:space="preserve">🔒 Sécurité</w:t>
      </w:r>
      <w:r>
        <w:t xml:space="preserve"> </w:t>
      </w:r>
      <w:r>
        <w:t xml:space="preserve">Ne remets jamais un plan de reprise d’activité ou un plan de continuité d’activité sans l’avoir préalablement testé — un plan non vérifié représente une fausse assurance, potentiellement plus dangereuse qu’une absence de plan clairement identifiée comme telle.</w:t>
      </w:r>
    </w:p>
    <w:p>
      <w:pPr>
        <w:pStyle w:val="BodyText"/>
      </w:pPr>
      <w:r>
        <w:t xml:space="preserve">✅ Maintenabilité</w:t>
      </w:r>
      <w:r>
        <w:t xml:space="preserve"> </w:t>
      </w:r>
      <w:r>
        <w:t xml:space="preserve">Structure le dossier de remise autour du cahier des charges initial, facilitant la vérification de conformité et la compréhension du projet par toute partie prenante, technique ou non technique.</w:t>
      </w:r>
    </w:p>
    <w:p>
      <w:pPr>
        <w:pStyle w:val="BodyText"/>
      </w:pPr>
      <w:r>
        <w:t xml:space="preserve">🚀 Performance</w:t>
      </w:r>
      <w:r>
        <w:t xml:space="preserve"> </w:t>
      </w:r>
      <w:r>
        <w:t xml:space="preserve">Une documentation consolidée et un runbook clair réduisent significativement le temps de résolution d’un incident futur, comparé à une documentation dispersée nécessitant une reconstitution laborieuse de l’information au moment critique.</w:t>
      </w:r>
    </w:p>
    <w:bookmarkEnd w:id="2078"/>
    <w:bookmarkStart w:id="2079" w:name="résumé-du-chapitre-85"/>
    <w:p>
      <w:pPr>
        <w:pStyle w:val="Heading2"/>
      </w:pPr>
      <w:r>
        <w:t xml:space="preserve">Résumé du chapitre</w:t>
      </w:r>
    </w:p>
    <w:p>
      <w:pPr>
        <w:pStyle w:val="Compact"/>
        <w:numPr>
          <w:ilvl w:val="0"/>
          <w:numId w:val="2979"/>
        </w:numPr>
      </w:pPr>
      <w:r>
        <w:t xml:space="preserve">La documentation produite à travers la Partie 13 doit être consolidée en un dossier de remise cohérent, plutôt que laissée dispersée à travers de multiples artefacts.</w:t>
      </w:r>
    </w:p>
    <w:p>
      <w:pPr>
        <w:pStyle w:val="Compact"/>
        <w:numPr>
          <w:ilvl w:val="0"/>
          <w:numId w:val="2979"/>
        </w:numPr>
      </w:pPr>
      <w:r>
        <w:t xml:space="preserve">Un runbook synthétise les procédures opérationnelles essentielles de chaque service critique, permettant une reprise effective par une équipe extérieure au projet.</w:t>
      </w:r>
    </w:p>
    <w:p>
      <w:pPr>
        <w:pStyle w:val="Compact"/>
        <w:numPr>
          <w:ilvl w:val="0"/>
          <w:numId w:val="2979"/>
        </w:numPr>
      </w:pPr>
      <w:r>
        <w:t xml:space="preserve">Le plan de reprise d’activité consolidé du projet final tient la promesse faite au chapitre 84, intégrant la sauvegarde hors site cloud comme composant à part entière.</w:t>
      </w:r>
    </w:p>
    <w:p>
      <w:pPr>
        <w:pStyle w:val="Compact"/>
        <w:numPr>
          <w:ilvl w:val="0"/>
          <w:numId w:val="2979"/>
        </w:numPr>
      </w:pPr>
      <w:r>
        <w:t xml:space="preserve">Le plan de continuité d’activité s’étend désormais à l’ensemble des quatre sites et du composant cloud, révélant des dépendances critiques invisibles site par site.</w:t>
      </w:r>
    </w:p>
    <w:p>
      <w:pPr>
        <w:pStyle w:val="Compact"/>
        <w:numPr>
          <w:ilvl w:val="0"/>
          <w:numId w:val="2979"/>
        </w:numPr>
      </w:pPr>
      <w:r>
        <w:t xml:space="preserve">Un test final grandeur nature vérifie concrètement le fonctionnement du PRA et du PCA avant toute remise officielle.</w:t>
      </w:r>
    </w:p>
    <w:p>
      <w:pPr>
        <w:pStyle w:val="Compact"/>
        <w:numPr>
          <w:ilvl w:val="0"/>
          <w:numId w:val="2979"/>
        </w:numPr>
      </w:pPr>
      <w:r>
        <w:t xml:space="preserve">Chaque critère de réussite du cahier des charges initial doit être vérifié explicitement, fermant la boucle ouverte dès le chapitre 80 de ce manuel.</w:t>
      </w:r>
    </w:p>
    <w:bookmarkEnd w:id="2079"/>
    <w:bookmarkStart w:id="2080" w:name="quiz-85"/>
    <w:p>
      <w:pPr>
        <w:pStyle w:val="Heading2"/>
      </w:pPr>
      <w:r>
        <w:t xml:space="preserve">Quiz</w:t>
      </w:r>
    </w:p>
    <w:p>
      <w:pPr>
        <w:pStyle w:val="FirstParagraph"/>
      </w:pPr>
      <w:r>
        <w:t xml:space="preserve">📝 QCM (une seule bonne réponse par question)</w:t>
      </w:r>
    </w:p>
    <w:p>
      <w:pPr>
        <w:pStyle w:val="Compact"/>
        <w:numPr>
          <w:ilvl w:val="0"/>
          <w:numId w:val="2980"/>
        </w:numPr>
      </w:pPr>
      <w:r>
        <w:t xml:space="preserve">Un runbook consolide principalement :</w:t>
      </w:r>
    </w:p>
    <w:p>
      <w:pPr>
        <w:pStyle w:val="Compact"/>
        <w:numPr>
          <w:ilvl w:val="1"/>
          <w:numId w:val="2981"/>
        </w:numPr>
      </w:pPr>
    </w:p>
    <w:p>
      <w:pPr>
        <w:pStyle w:val="Compact"/>
        <w:numPr>
          <w:ilvl w:val="2"/>
          <w:numId w:val="2982"/>
        </w:numPr>
      </w:pPr>
      <w:r>
        <w:t xml:space="preserve">Le code source complet d’une application</w:t>
      </w:r>
    </w:p>
    <w:p>
      <w:pPr>
        <w:pStyle w:val="Compact"/>
        <w:numPr>
          <w:ilvl w:val="1"/>
          <w:numId w:val="2981"/>
        </w:numPr>
      </w:pPr>
    </w:p>
    <w:p>
      <w:pPr>
        <w:pStyle w:val="Compact"/>
        <w:numPr>
          <w:ilvl w:val="2"/>
          <w:numId w:val="2983"/>
        </w:numPr>
      </w:pPr>
      <w:r>
        <w:t xml:space="preserve">Les procédures opérationnelles essentielles d’un service pour une reprise par une équipe externe</w:t>
      </w:r>
    </w:p>
    <w:p>
      <w:pPr>
        <w:pStyle w:val="Compact"/>
        <w:numPr>
          <w:ilvl w:val="1"/>
          <w:numId w:val="2981"/>
        </w:numPr>
      </w:pPr>
    </w:p>
    <w:p>
      <w:pPr>
        <w:pStyle w:val="Compact"/>
        <w:numPr>
          <w:ilvl w:val="2"/>
          <w:numId w:val="2984"/>
        </w:numPr>
      </w:pPr>
      <w:r>
        <w:t xml:space="preserve">Uniquement la facturation cloud du projet</w:t>
      </w:r>
    </w:p>
    <w:p>
      <w:pPr>
        <w:pStyle w:val="Compact"/>
        <w:numPr>
          <w:ilvl w:val="1"/>
          <w:numId w:val="2981"/>
        </w:numPr>
      </w:pPr>
    </w:p>
    <w:p>
      <w:pPr>
        <w:pStyle w:val="Compact"/>
        <w:numPr>
          <w:ilvl w:val="2"/>
          <w:numId w:val="2985"/>
        </w:numPr>
      </w:pPr>
      <w:r>
        <w:t xml:space="preserve">Le cahier des charges initial dans son intégralité</w:t>
      </w:r>
    </w:p>
    <w:p>
      <w:pPr>
        <w:pStyle w:val="Compact"/>
        <w:numPr>
          <w:ilvl w:val="0"/>
          <w:numId w:val="2980"/>
        </w:numPr>
      </w:pPr>
      <w:r>
        <w:t xml:space="preserve">Pourquoi un test de simulation grandeur nature reste-t-il nécessaire avant la remise finale d’un projet ?</w:t>
      </w:r>
    </w:p>
    <w:p>
      <w:pPr>
        <w:pStyle w:val="Compact"/>
        <w:numPr>
          <w:ilvl w:val="1"/>
          <w:numId w:val="2986"/>
        </w:numPr>
      </w:pPr>
    </w:p>
    <w:p>
      <w:pPr>
        <w:pStyle w:val="Compact"/>
        <w:numPr>
          <w:ilvl w:val="2"/>
          <w:numId w:val="2987"/>
        </w:numPr>
      </w:pPr>
      <w:r>
        <w:t xml:space="preserve">Un plan documenté suffit toujours à garantir son bon fonctionnement réel</w:t>
      </w:r>
    </w:p>
    <w:p>
      <w:pPr>
        <w:pStyle w:val="Compact"/>
        <w:numPr>
          <w:ilvl w:val="1"/>
          <w:numId w:val="2986"/>
        </w:numPr>
      </w:pPr>
    </w:p>
    <w:p>
      <w:pPr>
        <w:pStyle w:val="Compact"/>
        <w:numPr>
          <w:ilvl w:val="2"/>
          <w:numId w:val="2988"/>
        </w:numPr>
      </w:pPr>
      <w:r>
        <w:t xml:space="preserve">Seul un test concret confirme que le PRA et le PCA fonctionnent réellement comme prévu</w:t>
      </w:r>
    </w:p>
    <w:p>
      <w:pPr>
        <w:pStyle w:val="Compact"/>
        <w:numPr>
          <w:ilvl w:val="1"/>
          <w:numId w:val="2986"/>
        </w:numPr>
      </w:pPr>
    </w:p>
    <w:p>
      <w:pPr>
        <w:pStyle w:val="Compact"/>
        <w:numPr>
          <w:ilvl w:val="2"/>
          <w:numId w:val="2989"/>
        </w:numPr>
      </w:pPr>
      <w:r>
        <w:t xml:space="preserve">Cette étape est purement administrative sans valeur pratique</w:t>
      </w:r>
    </w:p>
    <w:p>
      <w:pPr>
        <w:pStyle w:val="Compact"/>
        <w:numPr>
          <w:ilvl w:val="1"/>
          <w:numId w:val="2986"/>
        </w:numPr>
      </w:pPr>
    </w:p>
    <w:p>
      <w:pPr>
        <w:pStyle w:val="Compact"/>
        <w:numPr>
          <w:ilvl w:val="2"/>
          <w:numId w:val="2990"/>
        </w:numPr>
      </w:pPr>
      <w:r>
        <w:t xml:space="preserve">Elle remplace le besoin de toute documentation</w:t>
      </w:r>
    </w:p>
    <w:p>
      <w:pPr>
        <w:pStyle w:val="Compact"/>
        <w:numPr>
          <w:ilvl w:val="0"/>
          <w:numId w:val="2980"/>
        </w:numPr>
      </w:pPr>
      <w:r>
        <w:t xml:space="preserve">La vérification des critères de réussite du cahier des charges à la clôture du projet sert principalement à :</w:t>
      </w:r>
    </w:p>
    <w:p>
      <w:pPr>
        <w:pStyle w:val="Compact"/>
        <w:numPr>
          <w:ilvl w:val="1"/>
          <w:numId w:val="2991"/>
        </w:numPr>
      </w:pPr>
    </w:p>
    <w:p>
      <w:pPr>
        <w:pStyle w:val="Compact"/>
        <w:numPr>
          <w:ilvl w:val="2"/>
          <w:numId w:val="2992"/>
        </w:numPr>
      </w:pPr>
      <w:r>
        <w:t xml:space="preserve">Remplacer le besoin du dossier de remise</w:t>
      </w:r>
    </w:p>
    <w:p>
      <w:pPr>
        <w:pStyle w:val="Compact"/>
        <w:numPr>
          <w:ilvl w:val="1"/>
          <w:numId w:val="2991"/>
        </w:numPr>
      </w:pPr>
    </w:p>
    <w:p>
      <w:pPr>
        <w:pStyle w:val="Compact"/>
        <w:numPr>
          <w:ilvl w:val="2"/>
          <w:numId w:val="2993"/>
        </w:numPr>
      </w:pPr>
      <w:r>
        <w:t xml:space="preserve">Révéler les écarts précis entre l’ambition initiale et la réalisation effective</w:t>
      </w:r>
    </w:p>
    <w:p>
      <w:pPr>
        <w:pStyle w:val="Compact"/>
        <w:numPr>
          <w:ilvl w:val="1"/>
          <w:numId w:val="2991"/>
        </w:numPr>
      </w:pPr>
    </w:p>
    <w:p>
      <w:pPr>
        <w:pStyle w:val="Compact"/>
        <w:numPr>
          <w:ilvl w:val="2"/>
          <w:numId w:val="2994"/>
        </w:numPr>
      </w:pPr>
      <w:r>
        <w:t xml:space="preserve">Réduire automatiquement le coût du projet</w:t>
      </w:r>
    </w:p>
    <w:p>
      <w:pPr>
        <w:pStyle w:val="Compact"/>
        <w:numPr>
          <w:ilvl w:val="1"/>
          <w:numId w:val="2991"/>
        </w:numPr>
      </w:pPr>
    </w:p>
    <w:p>
      <w:pPr>
        <w:pStyle w:val="Compact"/>
        <w:numPr>
          <w:ilvl w:val="2"/>
          <w:numId w:val="2995"/>
        </w:numPr>
      </w:pPr>
      <w:r>
        <w:t xml:space="preserve">Éliminer le besoin du plan de continuité d’activité</w:t>
      </w:r>
    </w:p>
    <w:p>
      <w:pPr>
        <w:pStyle w:val="FirstParagraph"/>
      </w:pPr>
      <w:r>
        <w:rPr>
          <w:b/>
          <w:bCs/>
        </w:rPr>
        <w:t xml:space="preserve">Corrigé</w:t>
      </w:r>
      <w:r>
        <w:t xml:space="preserve"> </w:t>
      </w:r>
      <w:r>
        <w:t xml:space="preserve">: 1-b, 2-b, 3-b.</w:t>
      </w:r>
    </w:p>
    <w:p>
      <w:pPr>
        <w:pStyle w:val="BodyText"/>
      </w:pPr>
      <w:r>
        <w:t xml:space="preserve">📝 Vrai ou Faux</w:t>
      </w:r>
    </w:p>
    <w:p>
      <w:pPr>
        <w:pStyle w:val="Compact"/>
        <w:numPr>
          <w:ilvl w:val="0"/>
          <w:numId w:val="2996"/>
        </w:numPr>
      </w:pPr>
      <w:r>
        <w:t xml:space="preserve">Une documentation techniquement complète mais dispersée à travers de multiples fichiers reste facilement exploitable par une nouvelle équipe. —</w:t>
      </w:r>
      <w:r>
        <w:t xml:space="preserve"> </w:t>
      </w:r>
      <w:r>
        <w:rPr>
          <w:b/>
          <w:bCs/>
        </w:rPr>
        <w:t xml:space="preserve">Faux</w:t>
      </w:r>
      <w:r>
        <w:t xml:space="preserve"> </w:t>
      </w:r>
      <w:r>
        <w:t xml:space="preserve">(section</w:t>
      </w:r>
      <w:r>
        <w:t xml:space="preserve"> </w:t>
      </w:r>
      <w:r>
        <w:t xml:space="preserve">“Diagnostiquer”</w:t>
      </w:r>
      <w:r>
        <w:t xml:space="preserve">).</w:t>
      </w:r>
    </w:p>
    <w:p>
      <w:pPr>
        <w:pStyle w:val="Compact"/>
        <w:numPr>
          <w:ilvl w:val="0"/>
          <w:numId w:val="2996"/>
        </w:numPr>
      </w:pPr>
      <w:r>
        <w:t xml:space="preserve">Un plan de reprise d’activité jamais testé offre la même garantie qu’un plan régulièrement vérifié. —</w:t>
      </w:r>
      <w:r>
        <w:t xml:space="preserve"> </w:t>
      </w:r>
      <w:r>
        <w:rPr>
          <w:b/>
          <w:bCs/>
        </w:rPr>
        <w:t xml:space="preserve">Faux</w:t>
      </w:r>
      <w:r>
        <w:t xml:space="preserve"> </w:t>
      </w:r>
      <w:r>
        <w:t xml:space="preserve">(section 86.5).</w:t>
      </w:r>
    </w:p>
    <w:p>
      <w:pPr>
        <w:pStyle w:val="Compact"/>
        <w:numPr>
          <w:ilvl w:val="0"/>
          <w:numId w:val="2996"/>
        </w:numPr>
      </w:pPr>
      <w:r>
        <w:t xml:space="preserve">La remise d’un projet d’infrastructure marque généralement la fin définitive du besoin de vigilance continue. —</w:t>
      </w:r>
      <w:r>
        <w:t xml:space="preserve"> </w:t>
      </w:r>
      <w:r>
        <w:rPr>
          <w:b/>
          <w:bCs/>
        </w:rPr>
        <w:t xml:space="preserve">Faux</w:t>
      </w:r>
      <w:r>
        <w:t xml:space="preserve"> </w:t>
      </w:r>
      <w:r>
        <w:t xml:space="preserve">(section 86.7).</w:t>
      </w:r>
    </w:p>
    <w:p>
      <w:pPr>
        <w:pStyle w:val="Compact"/>
        <w:numPr>
          <w:ilvl w:val="0"/>
          <w:numId w:val="2996"/>
        </w:numPr>
      </w:pPr>
      <w:r>
        <w:t xml:space="preserve">Un écart identifié entre un critère de réussite et la réalisation effective du projet devrait être documenté honnêtement plutôt que dissimulé. —</w:t>
      </w:r>
      <w:r>
        <w:t xml:space="preserve"> </w:t>
      </w:r>
      <w:r>
        <w:rPr>
          <w:b/>
          <w:bCs/>
        </w:rPr>
        <w:t xml:space="preserve">Vrai</w:t>
      </w:r>
      <w:r>
        <w:t xml:space="preserve"> </w:t>
      </w:r>
      <w:r>
        <w:t xml:space="preserve">(section</w:t>
      </w:r>
      <w:r>
        <w:t xml:space="preserve"> </w:t>
      </w:r>
      <w:r>
        <w:t xml:space="preserve">“Dépannage”</w:t>
      </w:r>
      <w:r>
        <w:t xml:space="preserve"> </w:t>
      </w:r>
      <w:r>
        <w:t xml:space="preserve">de l’atelier).</w:t>
      </w:r>
    </w:p>
    <w:p>
      <w:pPr>
        <w:pStyle w:val="FirstParagraph"/>
      </w:pPr>
      <w:r>
        <w:t xml:space="preserve">📝 Questions ouvertes</w:t>
      </w:r>
    </w:p>
    <w:p>
      <w:pPr>
        <w:pStyle w:val="Compact"/>
        <w:numPr>
          <w:ilvl w:val="0"/>
          <w:numId w:val="2997"/>
        </w:numPr>
      </w:pPr>
      <w:r>
        <w:t xml:space="preserve">Explique en quoi les trois exigences du conseil d’administration dans le scénario d’ouverture (conformité au cahier des charges, transférabilité de l’infrastructure, résilience face à un sinistre) correspondent respectivement aux sections 86.6, 86.2 et 86.3-86.5 de ce chapitre.</w:t>
      </w:r>
    </w:p>
    <w:p>
      <w:pPr>
        <w:pStyle w:val="Compact"/>
        <w:numPr>
          <w:ilvl w:val="0"/>
          <w:numId w:val="2997"/>
        </w:numPr>
      </w:pPr>
      <w:r>
        <w:t xml:space="preserve">En te basant sur l’ensemble du parcours de ce manuel, explique pourquoi la clôture de ce projet, au chapitre 86, ne représente pas réellement une fin, mais un point de départ pour la suite de l’évolution de l’infrastructure de l’entreprise.</w:t>
      </w:r>
    </w:p>
    <w:p>
      <w:pPr>
        <w:pStyle w:val="FirstParagraph"/>
      </w:pPr>
      <w:r>
        <w:rPr>
          <w:b/>
          <w:bCs/>
        </w:rPr>
        <w:t xml:space="preserve">Corrigé 1</w:t>
      </w:r>
      <w:r>
        <w:t xml:space="preserve"> </w:t>
      </w:r>
      <w:r>
        <w:t xml:space="preserve">: la vérification des critères de réussite du cahier des charges (section 86.6) répond directement à la demande de démonstration de conformité — chaque exigence fonctionnelle et non-fonctionnelle du chapitre 80 y est explicitement confrontée à la réalisation effective du projet. La documentation technique consolidée et les runbooks (section 86.2) répondent à l’exigence de transférabilité — permettant à une personne extérieure au projet de reprendre effectivement l’infrastructure sans dépendre de la mémoire des personnes ayant participé à sa construction. Le plan de reprise d’activité, le plan de continuité et leur test final (sections 86.3 à 86.5) répondent directement à l’exigence de résilience face à un sinistre majeur, avec une vérification concrète plutôt qu’une simple affirmation théorique de préparation.</w:t>
      </w:r>
    </w:p>
    <w:p>
      <w:pPr>
        <w:pStyle w:val="BodyText"/>
      </w:pPr>
      <w:r>
        <w:rPr>
          <w:b/>
          <w:bCs/>
        </w:rPr>
        <w:t xml:space="preserve">Corrigé 2</w:t>
      </w:r>
      <w:r>
        <w:t xml:space="preserve"> </w:t>
      </w:r>
      <w:r>
        <w:t xml:space="preserve">: tout au long de ce manuel, chaque solution mise en place a fini par révéler de nouveaux besoins — l’adoption d’Active Directory a mené à la nécessité de sa haute disponibilité, la conteneurisation du portail a mené au besoin de sa supervision, l’adoption du cloud a mené au besoin de sa gouvernance. Cette dynamique, loin d’être un signe d’échec, reflète la nature réelle et continue de l’administration système, formalisée explicitement par le cycle du NIST CSF au chapitre 71 : la fonction Récupérer alimente la fonction Identifier, qui alimente à nouveau Protéger, Détecter, Répondre. Le projet remis à ce chapitre représente donc une photographie rigoureuse et vérifiée de l’infrastructure à un instant précis — mais l’entreprise continuera de grandir, de nouveaux sites s’ouvriront, de nouvelles menaces émergeront, et la même rigueur méthodique déjà pratiquée à travers ce manuel entier restera nécessaire pour y répondre, encore et encore.</w:t>
      </w:r>
    </w:p>
    <w:bookmarkEnd w:id="2080"/>
    <w:bookmarkStart w:id="2081" w:name="exercices-85"/>
    <w:p>
      <w:pPr>
        <w:pStyle w:val="Heading2"/>
      </w:pPr>
      <w:r>
        <w:t xml:space="preserve">Exercices</w:t>
      </w:r>
    </w:p>
    <w:p>
      <w:pPr>
        <w:pStyle w:val="FirstParagraph"/>
      </w:pPr>
      <w:r>
        <w:t xml:space="preserve">📝 Exercice 86.1</w:t>
      </w:r>
    </w:p>
    <w:p>
      <w:pPr>
        <w:pStyle w:val="BodyText"/>
      </w:pPr>
      <w:r>
        <w:t xml:space="preserve">Rédige la table des matières complète du dossier de remise final du projet, structurée autour du cahier des charges du chapitre 80, couvrant l’ensemble du travail réalisé aux chapitres 81 à 86.</w:t>
      </w:r>
    </w:p>
    <w:p>
      <w:pPr>
        <w:pStyle w:val="BodyText"/>
      </w:pPr>
      <w:r>
        <w:rPr>
          <w:b/>
          <w:bCs/>
        </w:rPr>
        <w:t xml:space="preserve">Corrigé :</w:t>
      </w:r>
      <w:r>
        <w:t xml:space="preserve"> </w:t>
      </w:r>
      <w:r>
        <w:t xml:space="preserve">1) Cahier des charges initial (chapitre 80) — exigences fonctionnelles, non-fonctionnelles, contraintes et critères de réussite. 2) Architecture technique (chapitre 81) — topologie Active Directory, réseau et virtualisation des quatre sites. 3) Déploiement des services (chapitre 82) — playbooks Ansible, ordre de dépendance, validation post-déploiement. 4) Conteneurisation et CI/CD (chapitre 83) — applications déployées sur le cluster Kubernetes, pipelines associés. 5) Composant cloud (chapitre 84) — stratégie multi-cloud, gouvernance FinOps, sauvegarde hors site. 6) Supervision et sécurisation de bout en bout (chapitre 85) — tableau de couverture NIST CSF complet. 7) Runbooks opérationnels (section 86.2) — un par service critique. 8) Plan de reprise d’activité et plan de continuité consolidés (sections 86.3-86.4), incluant les résultats du test de simulation final (section 86.5). 9) Vérification des critères de réussite (section 86.6) — chaque exigence initiale confrontée à sa réalisation effective. Cette structure garantit qu’un lecteur du dossier de remise peut suivre exactement le même chemin que celui parcouru par l’équipe projet, du besoin initial jusqu’à la vérification finale.</w:t>
      </w:r>
    </w:p>
    <w:p>
      <w:pPr>
        <w:pStyle w:val="BodyText"/>
      </w:pPr>
      <w:r>
        <w:t xml:space="preserve">📝 Exercice 86.2</w:t>
      </w:r>
    </w:p>
    <w:p>
      <w:pPr>
        <w:pStyle w:val="BodyText"/>
      </w:pPr>
      <w:r>
        <w:t xml:space="preserve">Rédige, en 3 à 5 phrases, un message de clôture destiné à l’équipe technique de l’entreprise, résumant l’esprit avec lequel elle devrait continuer à faire évoluer cette infrastructure au-delà de la remise de ce projet.</w:t>
      </w:r>
    </w:p>
    <w:p>
      <w:pPr>
        <w:pStyle w:val="BodyText"/>
      </w:pPr>
      <w:r>
        <w:rPr>
          <w:b/>
          <w:bCs/>
        </w:rPr>
        <w:t xml:space="preserve">Corrigé (exemple de réponse) :</w:t>
      </w:r>
      <w:r>
        <w:t xml:space="preserve"> </w:t>
      </w:r>
      <w:r>
        <w:t xml:space="preserve">Ce projet ne représente pas un aboutissement figé, mais une fondation solide construite avec la même rigueur méthodique qui devra continuer à guider chaque évolution future de cette infrastructure — chaque nouveau besoin mérite un cahier des charges clair, chaque nouvelle architecture mérite d’être justifiée et vérifiée, chaque nouveau composant mérite d’être intégré à l’automatisation, à la supervision et à la sécurité déjà en place plutôt que traité comme une exception ponctuelle. La documentation et les runbooks remis avec ce projet doivent rester des documents vivants, révisés à chaque changement significatif, jamais figés une fois pour toutes. Cette infrastructure continuera d’évoluer avec l’entreprise elle-même, et c’est précisément cette discipline continue, plus que n’importe quelle technologie particulière déployée aujourd’hui, qui garantira sa fiabilité dans la durée.</w:t>
      </w:r>
    </w:p>
    <w:bookmarkEnd w:id="2081"/>
    <w:bookmarkStart w:id="2082" w:name="checklist-de-fin-de-chapitre-85"/>
    <w:p>
      <w:pPr>
        <w:pStyle w:val="Heading2"/>
      </w:pPr>
      <w:r>
        <w:t xml:space="preserve">Checklist de fin de chapitre</w:t>
      </w:r>
    </w:p>
    <w:p>
      <w:pPr>
        <w:pStyle w:val="FirstParagraph"/>
      </w:pPr>
      <w:r>
        <w:t xml:space="preserve">☐ Je sais consolider une documentation technique dispersée en un dossier de remise cohérent.</w:t>
      </w:r>
    </w:p>
    <w:p>
      <w:pPr>
        <w:pStyle w:val="BodyText"/>
      </w:pPr>
      <w:r>
        <w:t xml:space="preserve">☐ Je sais rédiger un runbook opérationnel pour un service critique.</w:t>
      </w:r>
    </w:p>
    <w:p>
      <w:pPr>
        <w:pStyle w:val="BodyText"/>
      </w:pPr>
      <w:r>
        <w:t xml:space="preserve">☐ Je sais consolider un plan de reprise d’activité et un plan de continuité couvrant une infrastructure multi-sites et cloud.</w:t>
      </w:r>
    </w:p>
    <w:p>
      <w:pPr>
        <w:pStyle w:val="BodyText"/>
      </w:pPr>
      <w:r>
        <w:t xml:space="preserve">☐ Je comprends pourquoi un test final grandeur nature reste indispensable avant toute remise officielle.</w:t>
      </w:r>
    </w:p>
    <w:p>
      <w:pPr>
        <w:pStyle w:val="BodyText"/>
      </w:pPr>
      <w:r>
        <w:t xml:space="preserve">☐ Je sais vérifier méthodiquement chaque critère de réussite d’un cahier des charges avant la clôture d’un projet.</w:t>
      </w:r>
    </w:p>
    <w:p>
      <w:pPr>
        <w:pStyle w:val="BodyText"/>
      </w:pPr>
      <w:r>
        <w:t xml:space="preserve">☐ Je comprends pourquoi la clôture d’un projet d’infrastructure représente un jalon dans un cycle continu, jamais une fin définitive.</w:t>
      </w:r>
    </w:p>
    <w:bookmarkEnd w:id="2082"/>
    <w:bookmarkStart w:id="2083" w:name="faq-85"/>
    <w:p>
      <w:pPr>
        <w:pStyle w:val="Heading2"/>
      </w:pPr>
      <w:r>
        <w:t xml:space="preserve">FAQ</w:t>
      </w:r>
    </w:p>
    <w:p>
      <w:pPr>
        <w:pStyle w:val="FirstParagraph"/>
      </w:pPr>
      <w:r>
        <w:t xml:space="preserve">Faut-il un runbook distinct pour chaque service, ou un document unique suffit-il ?</w:t>
      </w:r>
    </w:p>
    <w:p>
      <w:pPr>
        <w:pStyle w:val="BodyText"/>
      </w:pPr>
      <w:r>
        <w:t xml:space="preserve">Un runbook distinct par service critique reste généralement préférable, chaque service ayant ses propres procédures et contacts spécifiques — un document unique pour l’ensemble de l’infrastructure deviendrait rapidement difficile à naviguer efficacement en situation d’urgence.</w:t>
      </w:r>
    </w:p>
    <w:p>
      <w:pPr>
        <w:pStyle w:val="BodyText"/>
      </w:pPr>
      <w:r>
        <w:t xml:space="preserve">Combien de temps après la remise officielle faut-il revoir le PRA et le PCA consolidés dans ce chapitre ?</w:t>
      </w:r>
    </w:p>
    <w:p>
      <w:pPr>
        <w:pStyle w:val="BodyText"/>
      </w:pPr>
      <w:r>
        <w:t xml:space="preserve">Une révision au moins annuelle reste recommandée, au même rythme que les autres révisions périodiques déjà établies dans ce manuel (profil de maturité NIST CSF, politiques de sécurité), en plus de toute révision déclenchée par un changement significatif de l’infrastructure.</w:t>
      </w:r>
    </w:p>
    <w:p>
      <w:pPr>
        <w:pStyle w:val="BodyText"/>
      </w:pPr>
      <w:r>
        <w:t xml:space="preserve">Ce chapitre clôt-il définitivement l’apprentissage de l’administration système ?</w:t>
      </w:r>
    </w:p>
    <w:p>
      <w:pPr>
        <w:pStyle w:val="BodyText"/>
      </w:pPr>
      <w:r>
        <w:t xml:space="preserve">Non — ce manuel a construit une fondation méthodique et des compétences transférables à de nombreuses situations futures, mais les technologies spécifiques continueront d’évoluer ; les annexes qui suivent (aide-mémoire, glossaire, comparatif de certifications, modèles de documents, erreurs fréquentes récapitulées, ressources officielles) offrent des points de référence pour poursuivre cet apprentissage au-delà de ce manuel.</w:t>
      </w:r>
    </w:p>
    <w:p>
      <w:pPr>
        <w:pStyle w:val="BodyText"/>
      </w:pPr>
      <w:r>
        <w:t xml:space="preserve">Que faire si, après la remise, un critère de réussite du cahier des charges s’avère finalement non satisfait en conditions réelles ?</w:t>
      </w:r>
    </w:p>
    <w:p>
      <w:pPr>
        <w:pStyle w:val="BodyText"/>
      </w:pPr>
      <w:r>
        <w:t xml:space="preserve">Traiter cet écart avec la même rigueur que toute autre lacune découverte dans ce manuel — le documenter honnêtement, l’assigner à un responsable, et le corriger selon une échéance proportionnée à sa criticité, plutôt que de le considérer comme un échec définitif du projet dans son ensemble.</w:t>
      </w:r>
    </w:p>
    <w:bookmarkEnd w:id="2083"/>
    <w:bookmarkStart w:id="2084" w:name="références-et-pour-aller-plus-loin-85"/>
    <w:p>
      <w:pPr>
        <w:pStyle w:val="Heading2"/>
      </w:pPr>
      <w:r>
        <w:t xml:space="preserve">Références et pour aller plus loin</w:t>
      </w:r>
    </w:p>
    <w:p>
      <w:pPr>
        <w:pStyle w:val="Compact"/>
        <w:numPr>
          <w:ilvl w:val="0"/>
          <w:numId w:val="2998"/>
        </w:numPr>
      </w:pPr>
      <w:r>
        <w:t xml:space="preserve">ITIL — Gestion des mises en production et des déploiements : rappel du chapitre 2 de ce manuel.</w:t>
      </w:r>
    </w:p>
    <w:p>
      <w:pPr>
        <w:pStyle w:val="Compact"/>
        <w:numPr>
          <w:ilvl w:val="0"/>
          <w:numId w:val="2998"/>
        </w:numPr>
      </w:pPr>
      <w:r>
        <w:t xml:space="preserve">NIST — Contingency Planning Guide for Federal Information Systems (SP 800-34) : rappel des chapitres 31-32 de ce manuel.</w:t>
      </w:r>
    </w:p>
    <w:p>
      <w:pPr>
        <w:pStyle w:val="FirstParagraph"/>
      </w:pPr>
      <w:r>
        <w:rPr>
          <w:i/>
          <w:iCs/>
        </w:rPr>
        <w:t xml:space="preserve">Ce chapitre clôt les 86 chapitres de ce manuel. Les annexes qui suivent (A. aide-mémoire des commandes, B. glossaire technique, C. comparatif des certifications, D. modèles de documents, E. erreurs fréquentes récapitulées, F. ressources officielles) offrent des points de référence complémentaires pour accompagner la pratique quotidienne de l’administration système bien au-delà de la lecture de ce manuel.</w:t>
      </w:r>
    </w:p>
    <w:p>
      <w:pPr>
        <w:pStyle w:val="BodyText"/>
      </w:pPr>
      <w:r>
        <w:t xml:space="preserve">ANNEXE A</w:t>
      </w:r>
    </w:p>
    <w:bookmarkEnd w:id="2084"/>
    <w:bookmarkEnd w:id="2085"/>
    <w:bookmarkStart w:id="2096" w:name="aide-mémoire-des-commandes-windowslinux"/>
    <w:p>
      <w:pPr>
        <w:pStyle w:val="Heading1"/>
      </w:pPr>
      <w:r>
        <w:t xml:space="preserve">Aide-mémoire des commandes Windows/Linux</w:t>
      </w:r>
    </w:p>
    <w:p>
      <w:pPr>
        <w:pStyle w:val="FirstParagraph"/>
      </w:pPr>
      <w:r>
        <w:t xml:space="preserve">🎯 Objectif de l’annexe</w:t>
      </w:r>
      <w:r>
        <w:t xml:space="preserve"> </w:t>
      </w:r>
      <w:r>
        <w:t xml:space="preserve">Rassembler, par thème et par chapitre de référence, les commandes natives Windows et Linux utilisées tout au long de ce manuel — hors PowerShell, CMD et scripts d’automatisation, déjà couverts en profondeur par le manuel dédié</w:t>
      </w:r>
      <w:r>
        <w:t xml:space="preserve"> </w:t>
      </w:r>
      <w:r>
        <w:t xml:space="preserve">manuel-windows-terminal</w:t>
      </w:r>
      <w:r>
        <w:t xml:space="preserve">. Cette annexe sert de pense-bête rapide pour un administrateur en intervention, pas de substitut à la compréhension conceptuelle déjà développée dans les chapitres correspondants.</w:t>
      </w:r>
    </w:p>
    <w:p>
      <w:pPr>
        <w:pStyle w:val="BodyText"/>
      </w:pPr>
      <w:r>
        <w:t xml:space="preserve">⚠️ Portée de cette annexe</w:t>
      </w:r>
      <w:r>
        <w:t xml:space="preserve"> </w:t>
      </w:r>
      <w:r>
        <w:t xml:space="preserve">Les commandes ci-dessous sont classées par domaine fonctionnel plutôt que par ordre alphabétique, pour rester utilisables comme un pense-bête de travail. Chaque section renvoie au chapitre où le concept sous-jacent est expliqué en détail — cette annexe ne remplace jamais cette explication, elle en facilite seulement le rappel rapide une fois la notion déjà comprise.</w:t>
      </w:r>
    </w:p>
    <w:bookmarkStart w:id="2086" w:name="Xf2558648df5e480800ce327bfe3b36855d52ee6"/>
    <w:p>
      <w:pPr>
        <w:pStyle w:val="Heading2"/>
      </w:pPr>
      <w:r>
        <w:t xml:space="preserve">A.1 Active Directory et identité (chapitres 5-8, 22-26)</w:t>
      </w:r>
    </w:p>
    <w:p>
      <w:pPr>
        <w:pStyle w:val="SourceCode"/>
      </w:pPr>
      <w:r>
        <w:rPr>
          <w:rStyle w:val="VerbatimChar"/>
        </w:rPr>
        <w:t xml:space="preserve">dsquery user -name "*"                    # Rechercher des comptes utilisateurs</w:t>
      </w:r>
      <w:r>
        <w:br/>
      </w:r>
      <w:r>
        <w:rPr>
          <w:rStyle w:val="VerbatimChar"/>
        </w:rPr>
        <w:t xml:space="preserve">dsget user "&lt;DN&gt;" -memberof               # Lister les groupes d'un utilisateur</w:t>
      </w:r>
      <w:r>
        <w:br/>
      </w:r>
      <w:r>
        <w:rPr>
          <w:rStyle w:val="VerbatimChar"/>
        </w:rPr>
        <w:t xml:space="preserve">gpupdate /force                           # Forcer l'application des GPO</w:t>
      </w:r>
      <w:r>
        <w:br/>
      </w:r>
      <w:r>
        <w:rPr>
          <w:rStyle w:val="VerbatimChar"/>
        </w:rPr>
        <w:t xml:space="preserve">gpresult /r                               # Afficher les GPO appliquees a la session</w:t>
      </w:r>
      <w:r>
        <w:br/>
      </w:r>
      <w:r>
        <w:rPr>
          <w:rStyle w:val="VerbatimChar"/>
        </w:rPr>
        <w:t xml:space="preserve">repadmin /replsummary                     # Etat de la replication AD (chapitre 6)</w:t>
      </w:r>
      <w:r>
        <w:br/>
      </w:r>
      <w:r>
        <w:rPr>
          <w:rStyle w:val="VerbatimChar"/>
        </w:rPr>
        <w:t xml:space="preserve">repadmin /showrepl                        # Detail des partenaires de replication</w:t>
      </w:r>
      <w:r>
        <w:br/>
      </w:r>
      <w:r>
        <w:rPr>
          <w:rStyle w:val="VerbatimChar"/>
        </w:rPr>
        <w:t xml:space="preserve">nltest /dsgetdc:domaine.local             # Localiser un controleur de domaine</w:t>
      </w:r>
      <w:r>
        <w:br/>
      </w:r>
      <w:r>
        <w:rPr>
          <w:rStyle w:val="VerbatimChar"/>
        </w:rPr>
        <w:t xml:space="preserve">klist                                     # Afficher les tickets Kerberos en cache (chapitre 23)</w:t>
      </w:r>
      <w:r>
        <w:br/>
      </w:r>
      <w:r>
        <w:rPr>
          <w:rStyle w:val="VerbatimChar"/>
        </w:rPr>
        <w:t xml:space="preserve">klist purge                               # Purger les tickets Kerberos (depannage "clock skew")</w:t>
      </w:r>
      <w:r>
        <w:br/>
      </w:r>
      <w:r>
        <w:rPr>
          <w:rStyle w:val="VerbatimChar"/>
        </w:rPr>
        <w:t xml:space="preserve">w32tm /query /status                      # Etat de synchronisation horaire (chapitre 23)</w:t>
      </w:r>
      <w:r>
        <w:br/>
      </w:r>
      <w:r>
        <w:rPr>
          <w:rStyle w:val="VerbatimChar"/>
        </w:rPr>
        <w:t xml:space="preserve">certutil -verify -urlfetch cert.cer       # Verifier une chaine de certificats (chapitre 24)</w:t>
      </w:r>
    </w:p>
    <w:bookmarkEnd w:id="2086"/>
    <w:bookmarkStart w:id="2087" w:name="Xc1135b483189f31ee045c3e4559db1f26d945e4"/>
    <w:p>
      <w:pPr>
        <w:pStyle w:val="Heading2"/>
      </w:pPr>
      <w:r>
        <w:t xml:space="preserve">A.2 DNS et DHCP Windows Server (chapitres 9-10)</w:t>
      </w:r>
    </w:p>
    <w:p>
      <w:pPr>
        <w:pStyle w:val="SourceCode"/>
      </w:pPr>
      <w:r>
        <w:rPr>
          <w:rStyle w:val="VerbatimChar"/>
        </w:rPr>
        <w:t xml:space="preserve">dnscmd /enumzones                         # Lister les zones DNS</w:t>
      </w:r>
      <w:r>
        <w:br/>
      </w:r>
      <w:r>
        <w:rPr>
          <w:rStyle w:val="VerbatimChar"/>
        </w:rPr>
        <w:t xml:space="preserve">dnscmd /zoneprint domaine.local           # Afficher les enregistrements d'une zone</w:t>
      </w:r>
      <w:r>
        <w:br/>
      </w:r>
      <w:r>
        <w:rPr>
          <w:rStyle w:val="VerbatimChar"/>
        </w:rPr>
        <w:t xml:space="preserve">ipconfig /flushdns                        # Vider le cache DNS local</w:t>
      </w:r>
      <w:r>
        <w:br/>
      </w:r>
      <w:r>
        <w:rPr>
          <w:rStyle w:val="VerbatimChar"/>
        </w:rPr>
        <w:t xml:space="preserve">ipconfig /registerdns                     # Forcer le reenregistrement DNS dynamique</w:t>
      </w:r>
      <w:r>
        <w:br/>
      </w:r>
      <w:r>
        <w:rPr>
          <w:rStyle w:val="VerbatimChar"/>
        </w:rPr>
        <w:t xml:space="preserve">netsh dhcp show scope                     # Lister les etendues DHCP</w:t>
      </w:r>
    </w:p>
    <w:bookmarkEnd w:id="2087"/>
    <w:bookmarkStart w:id="2088" w:name="Xe95e63e2ca9f347910c2fde7a9f7bca54a4fe5e"/>
    <w:p>
      <w:pPr>
        <w:pStyle w:val="Heading2"/>
      </w:pPr>
      <w:r>
        <w:t xml:space="preserve">A.3 Stockage, fichiers et clustering Windows (chapitres 11-13, 27)</w:t>
      </w:r>
    </w:p>
    <w:p>
      <w:pPr>
        <w:pStyle w:val="SourceCode"/>
      </w:pPr>
      <w:r>
        <w:rPr>
          <w:rStyle w:val="VerbatimChar"/>
        </w:rPr>
        <w:t xml:space="preserve">wbadmin start backup -backupTarget:E:     # Sauvegarde Windows Server (chapitre 30)</w:t>
      </w:r>
      <w:r>
        <w:br/>
      </w:r>
      <w:r>
        <w:rPr>
          <w:rStyle w:val="VerbatimChar"/>
        </w:rPr>
        <w:t xml:space="preserve">wbadmin get versions                      # Lister les points de sauvegarde disponibles</w:t>
      </w:r>
      <w:r>
        <w:br/>
      </w:r>
      <w:r>
        <w:rPr>
          <w:rStyle w:val="VerbatimChar"/>
        </w:rPr>
        <w:t xml:space="preserve">diskpart                                  # Gestion interactive des disques</w:t>
      </w:r>
      <w:r>
        <w:br/>
      </w:r>
      <w:r>
        <w:rPr>
          <w:rStyle w:val="VerbatimChar"/>
        </w:rPr>
        <w:t xml:space="preserve">Get-ClusterNode  # (rappel : sortie PowerShell, mais commande generalement lancee via cluster.exe)</w:t>
      </w:r>
      <w:r>
        <w:br/>
      </w:r>
      <w:r>
        <w:rPr>
          <w:rStyle w:val="VerbatimChar"/>
        </w:rPr>
        <w:t xml:space="preserve">cluster.exe /prop                         # Etat du cluster de basculement (chapitre 13)</w:t>
      </w:r>
    </w:p>
    <w:bookmarkEnd w:id="2088"/>
    <w:bookmarkStart w:id="2089" w:name="Xa40a13dd98f2b128278712989a4c19e2c6ab8f0"/>
    <w:p>
      <w:pPr>
        <w:pStyle w:val="Heading2"/>
      </w:pPr>
      <w:r>
        <w:t xml:space="preserve">A.4 Distributions Linux : paquets et services (chapitres 14-16)</w:t>
      </w:r>
    </w:p>
    <w:p>
      <w:pPr>
        <w:pStyle w:val="SourceCode"/>
      </w:pPr>
      <w:r>
        <w:rPr>
          <w:rStyle w:val="VerbatimChar"/>
        </w:rPr>
        <w:t xml:space="preserve"># Debian/Ubuntu</w:t>
      </w:r>
      <w:r>
        <w:br/>
      </w:r>
      <w:r>
        <w:rPr>
          <w:rStyle w:val="VerbatimChar"/>
        </w:rPr>
        <w:t xml:space="preserve">apt update &amp;&amp; apt upgrade                 # Mettre a jour le systeme</w:t>
      </w:r>
      <w:r>
        <w:br/>
      </w:r>
      <w:r>
        <w:rPr>
          <w:rStyle w:val="VerbatimChar"/>
        </w:rPr>
        <w:t xml:space="preserve">apt install &lt;paquet&gt;                      # Installer un paquet</w:t>
      </w:r>
      <w:r>
        <w:br/>
      </w:r>
      <w:r>
        <w:rPr>
          <w:rStyle w:val="VerbatimChar"/>
        </w:rPr>
        <w:t xml:space="preserve">dpkg -l | grep &lt;paquet&gt;                   # Verifier un paquet installe</w:t>
      </w:r>
      <w:r>
        <w:br/>
      </w:r>
      <w:r>
        <w:br/>
      </w:r>
      <w:r>
        <w:rPr>
          <w:rStyle w:val="VerbatimChar"/>
        </w:rPr>
        <w:t xml:space="preserve"># Rocky Linux/RHEL</w:t>
      </w:r>
      <w:r>
        <w:br/>
      </w:r>
      <w:r>
        <w:rPr>
          <w:rStyle w:val="VerbatimChar"/>
        </w:rPr>
        <w:t xml:space="preserve">dnf update                                # Mettre a jour le systeme</w:t>
      </w:r>
      <w:r>
        <w:br/>
      </w:r>
      <w:r>
        <w:rPr>
          <w:rStyle w:val="VerbatimChar"/>
        </w:rPr>
        <w:t xml:space="preserve">dnf install &lt;paquet&gt;                      # Installer un paquet</w:t>
      </w:r>
      <w:r>
        <w:br/>
      </w:r>
      <w:r>
        <w:rPr>
          <w:rStyle w:val="VerbatimChar"/>
        </w:rPr>
        <w:t xml:space="preserve">rpm -qa | grep &lt;paquet&gt;                   # Verifier un paquet installe</w:t>
      </w:r>
      <w:r>
        <w:br/>
      </w:r>
      <w:r>
        <w:br/>
      </w:r>
      <w:r>
        <w:rPr>
          <w:rStyle w:val="VerbatimChar"/>
        </w:rPr>
        <w:t xml:space="preserve"># systemd (les deux familles, chapitre 16)</w:t>
      </w:r>
      <w:r>
        <w:br/>
      </w:r>
      <w:r>
        <w:rPr>
          <w:rStyle w:val="VerbatimChar"/>
        </w:rPr>
        <w:t xml:space="preserve">systemctl status &lt;service&gt;                # Etat d'un service</w:t>
      </w:r>
      <w:r>
        <w:br/>
      </w:r>
      <w:r>
        <w:rPr>
          <w:rStyle w:val="VerbatimChar"/>
        </w:rPr>
        <w:t xml:space="preserve">systemctl enable --now &lt;service&gt;          # Activer et demarrer un service</w:t>
      </w:r>
      <w:r>
        <w:br/>
      </w:r>
      <w:r>
        <w:rPr>
          <w:rStyle w:val="VerbatimChar"/>
        </w:rPr>
        <w:t xml:space="preserve">journalctl -u &lt;service&gt; -f                # Suivre les journaux d'un service en direct</w:t>
      </w:r>
      <w:r>
        <w:br/>
      </w:r>
      <w:r>
        <w:rPr>
          <w:rStyle w:val="VerbatimChar"/>
        </w:rPr>
        <w:t xml:space="preserve">journalctl --since "1 hour ago"           # Journaux des dernieres 60 minutes</w:t>
      </w:r>
    </w:p>
    <w:bookmarkEnd w:id="2089"/>
    <w:bookmarkStart w:id="2090" w:name="X7164e387f88591cb73bdb6f28f88e6c068d0503"/>
    <w:p>
      <w:pPr>
        <w:pStyle w:val="Heading2"/>
      </w:pPr>
      <w:r>
        <w:t xml:space="preserve">A.5 Stockage Linux : LVM et RAID (chapitre 17)</w:t>
      </w:r>
    </w:p>
    <w:p>
      <w:pPr>
        <w:pStyle w:val="SourceCode"/>
      </w:pPr>
      <w:r>
        <w:rPr>
          <w:rStyle w:val="VerbatimChar"/>
        </w:rPr>
        <w:t xml:space="preserve">lsblk                                     # Lister les blocs de peripheriques</w:t>
      </w:r>
      <w:r>
        <w:br/>
      </w:r>
      <w:r>
        <w:rPr>
          <w:rStyle w:val="VerbatimChar"/>
        </w:rPr>
        <w:t xml:space="preserve">pvcreate /dev/sdb                         # Creer un volume physique LVM</w:t>
      </w:r>
      <w:r>
        <w:br/>
      </w:r>
      <w:r>
        <w:rPr>
          <w:rStyle w:val="VerbatimChar"/>
        </w:rPr>
        <w:t xml:space="preserve">vgcreate vg_data /dev/sdb                 # Creer un groupe de volumes</w:t>
      </w:r>
      <w:r>
        <w:br/>
      </w:r>
      <w:r>
        <w:rPr>
          <w:rStyle w:val="VerbatimChar"/>
        </w:rPr>
        <w:t xml:space="preserve">lvcreate -L 50G -n lv_app vg_data         # Creer un volume logique</w:t>
      </w:r>
      <w:r>
        <w:br/>
      </w:r>
      <w:r>
        <w:rPr>
          <w:rStyle w:val="VerbatimChar"/>
        </w:rPr>
        <w:t xml:space="preserve">mdadm --detail /dev/md0                   # Detail d'un volume RAID logiciel</w:t>
      </w:r>
      <w:r>
        <w:br/>
      </w:r>
      <w:r>
        <w:rPr>
          <w:rStyle w:val="VerbatimChar"/>
        </w:rPr>
        <w:t xml:space="preserve">df -hT                                    # Espace disque et types de systemes de fichiers</w:t>
      </w:r>
    </w:p>
    <w:bookmarkEnd w:id="2090"/>
    <w:bookmarkStart w:id="2091" w:name="X105e2ab95aea7e63d2191ed0145ab12bf50b88d"/>
    <w:p>
      <w:pPr>
        <w:pStyle w:val="Heading2"/>
      </w:pPr>
      <w:r>
        <w:t xml:space="preserve">A.6 Utilisateurs, permissions et durcissement Linux (chapitres 18-19, 73)</w:t>
      </w:r>
    </w:p>
    <w:p>
      <w:pPr>
        <w:pStyle w:val="SourceCode"/>
      </w:pPr>
      <w:r>
        <w:rPr>
          <w:rStyle w:val="VerbatimChar"/>
        </w:rPr>
        <w:t xml:space="preserve">useradd -m -s /bin/bash &lt;utilisateur&gt;     # Creer un utilisateur</w:t>
      </w:r>
      <w:r>
        <w:br/>
      </w:r>
      <w:r>
        <w:rPr>
          <w:rStyle w:val="VerbatimChar"/>
        </w:rPr>
        <w:t xml:space="preserve">usermod -aG &lt;groupe&gt; &lt;utilisateur&gt;        # Ajouter un utilisateur a un groupe</w:t>
      </w:r>
      <w:r>
        <w:br/>
      </w:r>
      <w:r>
        <w:rPr>
          <w:rStyle w:val="VerbatimChar"/>
        </w:rPr>
        <w:t xml:space="preserve">chmod 750 &lt;fichier&gt;                       # Modifier les permissions</w:t>
      </w:r>
      <w:r>
        <w:br/>
      </w:r>
      <w:r>
        <w:rPr>
          <w:rStyle w:val="VerbatimChar"/>
        </w:rPr>
        <w:t xml:space="preserve">setfacl -m u:&lt;utilisateur&gt;:rx &lt;fichier&gt;   # ACL etendue (chapitre 18)</w:t>
      </w:r>
      <w:r>
        <w:br/>
      </w:r>
      <w:r>
        <w:rPr>
          <w:rStyle w:val="VerbatimChar"/>
        </w:rPr>
        <w:t xml:space="preserve">getenforce                                # Etat de SELinux (chapitre 19)</w:t>
      </w:r>
      <w:r>
        <w:br/>
      </w:r>
      <w:r>
        <w:rPr>
          <w:rStyle w:val="VerbatimChar"/>
        </w:rPr>
        <w:t xml:space="preserve">semanage fcontext -l                      # Lister les contextes SELinux</w:t>
      </w:r>
      <w:r>
        <w:br/>
      </w:r>
      <w:r>
        <w:rPr>
          <w:rStyle w:val="VerbatimChar"/>
        </w:rPr>
        <w:t xml:space="preserve">setsebool -P httpd_can_network_connect on # Modifier un booleen SELinux persistant</w:t>
      </w:r>
      <w:r>
        <w:br/>
      </w:r>
      <w:r>
        <w:rPr>
          <w:rStyle w:val="VerbatimChar"/>
        </w:rPr>
        <w:t xml:space="preserve">sudo -l                                   # Lister les privileges sudo de l'utilisateur courant</w:t>
      </w:r>
    </w:p>
    <w:bookmarkEnd w:id="2091"/>
    <w:bookmarkStart w:id="2092" w:name="a.7-réseau-et-diagnostic-chapitres-65-70"/>
    <w:p>
      <w:pPr>
        <w:pStyle w:val="Heading2"/>
      </w:pPr>
      <w:r>
        <w:t xml:space="preserve">A.7 Réseau et diagnostic (chapitres 65-70)</w:t>
      </w:r>
    </w:p>
    <w:p>
      <w:pPr>
        <w:pStyle w:val="SourceCode"/>
      </w:pPr>
      <w:r>
        <w:rPr>
          <w:rStyle w:val="VerbatimChar"/>
        </w:rPr>
        <w:t xml:space="preserve">ip addr show                              # Adressage IP (Linux)</w:t>
      </w:r>
      <w:r>
        <w:br/>
      </w:r>
      <w:r>
        <w:rPr>
          <w:rStyle w:val="VerbatimChar"/>
        </w:rPr>
        <w:t xml:space="preserve">ip route show                             # Table de routage (Linux)</w:t>
      </w:r>
      <w:r>
        <w:br/>
      </w:r>
      <w:r>
        <w:rPr>
          <w:rStyle w:val="VerbatimChar"/>
        </w:rPr>
        <w:t xml:space="preserve">ss -tulnp                                 # Ports en ecoute (Linux, remplace netstat)</w:t>
      </w:r>
      <w:r>
        <w:br/>
      </w:r>
      <w:r>
        <w:rPr>
          <w:rStyle w:val="VerbatimChar"/>
        </w:rPr>
        <w:t xml:space="preserve">firewall-cmd --list-all                   # Regles firewalld actives (Rocky Linux)</w:t>
      </w:r>
      <w:r>
        <w:br/>
      </w:r>
      <w:r>
        <w:rPr>
          <w:rStyle w:val="VerbatimChar"/>
        </w:rPr>
        <w:t xml:space="preserve">nft list ruleset                          # Regles nftables</w:t>
      </w:r>
      <w:r>
        <w:br/>
      </w:r>
      <w:r>
        <w:rPr>
          <w:rStyle w:val="VerbatimChar"/>
        </w:rPr>
        <w:t xml:space="preserve">traceroute &lt;hote&gt;                         # Tracer le chemin reseau (Linux)</w:t>
      </w:r>
      <w:r>
        <w:br/>
      </w:r>
      <w:r>
        <w:rPr>
          <w:rStyle w:val="VerbatimChar"/>
        </w:rPr>
        <w:t xml:space="preserve">tracert &lt;hote&gt;                            # Tracer le chemin reseau (Windows)</w:t>
      </w:r>
      <w:r>
        <w:br/>
      </w:r>
      <w:r>
        <w:rPr>
          <w:rStyle w:val="VerbatimChar"/>
        </w:rPr>
        <w:t xml:space="preserve">nslookup &lt;hote&gt;                           # Resolution DNS manuelle</w:t>
      </w:r>
      <w:r>
        <w:br/>
      </w:r>
      <w:r>
        <w:rPr>
          <w:rStyle w:val="VerbatimChar"/>
        </w:rPr>
        <w:t xml:space="preserve">tcpdump -i eth0 port 514                  # Capture reseau ciblee (rappel chapitre 64, en ligne de commande)</w:t>
      </w:r>
    </w:p>
    <w:bookmarkEnd w:id="2092"/>
    <w:bookmarkStart w:id="2093" w:name="Xc6f68478dc4bf528daaab8d57c5c19cfedf562d"/>
    <w:p>
      <w:pPr>
        <w:pStyle w:val="Heading2"/>
      </w:pPr>
      <w:r>
        <w:t xml:space="preserve">A.8 Virtualisation et conteneurs (chapitres 33-44)</w:t>
      </w:r>
    </w:p>
    <w:p>
      <w:pPr>
        <w:pStyle w:val="SourceCode"/>
      </w:pPr>
      <w:r>
        <w:rPr>
          <w:rStyle w:val="VerbatimChar"/>
        </w:rPr>
        <w:t xml:space="preserve">qm list                                   # Lister les VM Proxmox (chapitre 36)</w:t>
      </w:r>
      <w:r>
        <w:br/>
      </w:r>
      <w:r>
        <w:rPr>
          <w:rStyle w:val="VerbatimChar"/>
        </w:rPr>
        <w:t xml:space="preserve">qm start &lt;id&gt;                             # Demarrer une VM Proxmox</w:t>
      </w:r>
      <w:r>
        <w:br/>
      </w:r>
      <w:r>
        <w:rPr>
          <w:rStyle w:val="VerbatimChar"/>
        </w:rPr>
        <w:t xml:space="preserve">docker ps                                 # Conteneurs en cours d'execution (chapitre 40)</w:t>
      </w:r>
      <w:r>
        <w:br/>
      </w:r>
      <w:r>
        <w:rPr>
          <w:rStyle w:val="VerbatimChar"/>
        </w:rPr>
        <w:t xml:space="preserve">docker logs -f &lt;conteneur&gt;                # Suivre les journaux d'un conteneur</w:t>
      </w:r>
      <w:r>
        <w:br/>
      </w:r>
      <w:r>
        <w:rPr>
          <w:rStyle w:val="VerbatimChar"/>
        </w:rPr>
        <w:t xml:space="preserve">docker compose up -d                      # Demarrer une stack Compose (chapitre 41)</w:t>
      </w:r>
      <w:r>
        <w:br/>
      </w:r>
      <w:r>
        <w:rPr>
          <w:rStyle w:val="VerbatimChar"/>
        </w:rPr>
        <w:t xml:space="preserve">kubectl get pods -n &lt;namespace&gt;           # Lister les pods d'un namespace (chapitre 43)</w:t>
      </w:r>
      <w:r>
        <w:br/>
      </w:r>
      <w:r>
        <w:rPr>
          <w:rStyle w:val="VerbatimChar"/>
        </w:rPr>
        <w:t xml:space="preserve">kubectl describe pod &lt;pod&gt; -n &lt;namespace&gt; # Detail et evenements d'un pod</w:t>
      </w:r>
      <w:r>
        <w:br/>
      </w:r>
      <w:r>
        <w:rPr>
          <w:rStyle w:val="VerbatimChar"/>
        </w:rPr>
        <w:t xml:space="preserve">kubectl logs &lt;pod&gt; -n &lt;namespace&gt;         # Journaux d'un pod</w:t>
      </w:r>
      <w:r>
        <w:br/>
      </w:r>
      <w:r>
        <w:rPr>
          <w:rStyle w:val="VerbatimChar"/>
        </w:rPr>
        <w:t xml:space="preserve">kubectl rollout status deployment/&lt;nom&gt;   # Etat d'un deploiement en cours</w:t>
      </w:r>
    </w:p>
    <w:bookmarkEnd w:id="2093"/>
    <w:bookmarkStart w:id="2094" w:name="X11a42c8685433d0de2541e19f34ff9ea73cd290"/>
    <w:p>
      <w:pPr>
        <w:pStyle w:val="Heading2"/>
      </w:pPr>
      <w:r>
        <w:t xml:space="preserve">A.9 Automatisation et infrastructure as code (chapitres 51-57)</w:t>
      </w:r>
    </w:p>
    <w:p>
      <w:pPr>
        <w:pStyle w:val="SourceCode"/>
      </w:pPr>
      <w:r>
        <w:rPr>
          <w:rStyle w:val="VerbatimChar"/>
        </w:rPr>
        <w:t xml:space="preserve">ansible-inventory --list                  # Afficher l'inventaire Ansible (chapitre 52)</w:t>
      </w:r>
      <w:r>
        <w:br/>
      </w:r>
      <w:r>
        <w:rPr>
          <w:rStyle w:val="VerbatimChar"/>
        </w:rPr>
        <w:t xml:space="preserve">ansible-playbook site.yml --check         # Simulation sans application reelle</w:t>
      </w:r>
      <w:r>
        <w:br/>
      </w:r>
      <w:r>
        <w:rPr>
          <w:rStyle w:val="VerbatimChar"/>
        </w:rPr>
        <w:t xml:space="preserve">ansible-vault edit secrets.yml            # Editer un fichier chiffre (chapitre 53)</w:t>
      </w:r>
      <w:r>
        <w:br/>
      </w:r>
      <w:r>
        <w:rPr>
          <w:rStyle w:val="VerbatimChar"/>
        </w:rPr>
        <w:t xml:space="preserve">terraform plan                            # Previsualiser un changement (chapitre 54)</w:t>
      </w:r>
      <w:r>
        <w:br/>
      </w:r>
      <w:r>
        <w:rPr>
          <w:rStyle w:val="VerbatimChar"/>
        </w:rPr>
        <w:t xml:space="preserve">terraform apply                           # Appliquer un changement</w:t>
      </w:r>
      <w:r>
        <w:br/>
      </w:r>
      <w:r>
        <w:rPr>
          <w:rStyle w:val="VerbatimChar"/>
        </w:rPr>
        <w:t xml:space="preserve">terraform state list                      # Lister les ressources gerees par l'etat</w:t>
      </w:r>
      <w:r>
        <w:br/>
      </w:r>
      <w:r>
        <w:rPr>
          <w:rStyle w:val="VerbatimChar"/>
        </w:rPr>
        <w:t xml:space="preserve">git log --oneline --graph                 # Historique condense (chapitre 51)</w:t>
      </w:r>
      <w:r>
        <w:br/>
      </w:r>
      <w:r>
        <w:rPr>
          <w:rStyle w:val="VerbatimChar"/>
        </w:rPr>
        <w:t xml:space="preserve">git diff --staged                         # Differences des changements indexes</w:t>
      </w:r>
    </w:p>
    <w:bookmarkEnd w:id="2094"/>
    <w:bookmarkStart w:id="2095" w:name="X3314748e8c63f7ad3dff8dc5a6a1e84235bc12e"/>
    <w:p>
      <w:pPr>
        <w:pStyle w:val="Heading2"/>
      </w:pPr>
      <w:r>
        <w:t xml:space="preserve">A.10 Supervision et sécurité (chapitres 58-79)</w:t>
      </w:r>
    </w:p>
    <w:p>
      <w:pPr>
        <w:pStyle w:val="SourceCode"/>
      </w:pPr>
      <w:r>
        <w:rPr>
          <w:rStyle w:val="VerbatimChar"/>
        </w:rPr>
        <w:t xml:space="preserve">zabbix_agent2 -t agent.ping               # Tester un item Zabbix localement (chapitre 59)</w:t>
      </w:r>
      <w:r>
        <w:br/>
      </w:r>
      <w:r>
        <w:rPr>
          <w:rStyle w:val="VerbatimChar"/>
        </w:rPr>
        <w:t xml:space="preserve">curl localhost:9100/metrics               # Verifier un exporter Prometheus (chapitre 60)</w:t>
      </w:r>
      <w:r>
        <w:br/>
      </w:r>
      <w:r>
        <w:rPr>
          <w:rStyle w:val="VerbatimChar"/>
        </w:rPr>
        <w:t xml:space="preserve">tail -f /var/log/secure                   # Suivre les journaux d'authentification (Rocky Linux)</w:t>
      </w:r>
      <w:r>
        <w:br/>
      </w:r>
      <w:r>
        <w:rPr>
          <w:rStyle w:val="VerbatimChar"/>
        </w:rPr>
        <w:t xml:space="preserve">fail2ban-client status                    # Etat de la protection anti-brute-force</w:t>
      </w:r>
      <w:r>
        <w:br/>
      </w:r>
      <w:r>
        <w:rPr>
          <w:rStyle w:val="VerbatimChar"/>
        </w:rPr>
        <w:t xml:space="preserve">openssl s_client -connect hote:443        # Verifier un certificat TLS (chapitre 24)</w:t>
      </w:r>
    </w:p>
    <w:p>
      <w:pPr>
        <w:pStyle w:val="FirstParagraph"/>
      </w:pPr>
      <w:r>
        <w:t xml:space="preserve">✅ Comment utiliser cette annexe</w:t>
      </w:r>
      <w:r>
        <w:t xml:space="preserve"> </w:t>
      </w:r>
      <w:r>
        <w:t xml:space="preserve">Ne mémorise pas cette liste par cœur — reviens-y ponctuellement lors d’une intervention réelle, une fois que le concept sous-jacent a déjà été compris via le chapitre correspondant. Une commande copiée sans comprendre son effet reproduit exactement le risque déjà dénoncé au chapitre 20 pour tout script exécuté sans en comprendre le contenu.</w:t>
      </w:r>
    </w:p>
    <w:p>
      <w:pPr>
        <w:pStyle w:val="BodyText"/>
      </w:pPr>
      <w:r>
        <w:rPr>
          <w:i/>
          <w:iCs/>
        </w:rPr>
        <w:t xml:space="preserve">Annexe suivante : le glossaire technique complet, définissant chaque terme clé rencontré tout au long de ce manuel.</w:t>
      </w:r>
    </w:p>
    <w:p>
      <w:pPr>
        <w:pStyle w:val="BodyText"/>
      </w:pPr>
      <w:r>
        <w:t xml:space="preserve">ANNEXE B</w:t>
      </w:r>
    </w:p>
    <w:bookmarkEnd w:id="2095"/>
    <w:bookmarkEnd w:id="2096"/>
    <w:bookmarkStart w:id="2097" w:name="glossaire-technique-complet"/>
    <w:p>
      <w:pPr>
        <w:pStyle w:val="Heading1"/>
      </w:pPr>
      <w:r>
        <w:t xml:space="preserve">Glossaire technique complet</w:t>
      </w:r>
    </w:p>
    <w:p>
      <w:pPr>
        <w:pStyle w:val="FirstParagraph"/>
      </w:pPr>
      <w:r>
        <w:t xml:space="preserve">🎯 Objectif de l’annexe</w:t>
      </w:r>
      <w:r>
        <w:t xml:space="preserve"> </w:t>
      </w:r>
      <w:r>
        <w:t xml:space="preserve">Définir, en une phrase ou deux, chaque terme technique clé rencontré tout au long de ce manuel, classé par ordre alphabétique. Chaque entrée renvoie au chapitre où le concept est expliqué en profondeur — ce glossaire sert de rappel rapide, pas de substitut à la lecture du chapitre correspondant pour une compréhension réelle.</w:t>
      </w:r>
    </w:p>
    <w:p>
      <w:pPr>
        <w:pStyle w:val="BodyText"/>
      </w:pPr>
      <w:r>
        <w:t xml:space="preserve">Active Directory (AD)</w:t>
      </w:r>
    </w:p>
    <w:p>
      <w:pPr>
        <w:pStyle w:val="BodyText"/>
      </w:pPr>
      <w:r>
        <w:t xml:space="preserve">Service d’annuaire Microsoft centralisant l’identité, l’authentification et les stratégies de groupe d’un réseau Windows. Chapitres 5-8.</w:t>
      </w:r>
    </w:p>
    <w:p>
      <w:pPr>
        <w:pStyle w:val="BodyText"/>
      </w:pPr>
      <w:r>
        <w:t xml:space="preserve">Ansible</w:t>
      </w:r>
    </w:p>
    <w:p>
      <w:pPr>
        <w:pStyle w:val="BodyText"/>
      </w:pPr>
      <w:r>
        <w:t xml:space="preserve">Outil d’automatisation sans agent, exécutant des playbooks déclaratifs pour configurer des systèmes de façon idempotente. Chapitres 52-53.</w:t>
      </w:r>
    </w:p>
    <w:p>
      <w:pPr>
        <w:pStyle w:val="BodyText"/>
      </w:pPr>
      <w:r>
        <w:t xml:space="preserve">Alertmanager</w:t>
      </w:r>
    </w:p>
    <w:p>
      <w:pPr>
        <w:pStyle w:val="BodyText"/>
      </w:pPr>
      <w:r>
        <w:t xml:space="preserve">Composant de l’écosystème Prometheus acheminant les alertes déclenchées vers les bons destinataires. Chapitre 60.</w:t>
      </w:r>
    </w:p>
    <w:p>
      <w:pPr>
        <w:pStyle w:val="BodyText"/>
      </w:pPr>
      <w:r>
        <w:t xml:space="preserve">Annexe A (Contrôles, ISO 27001)</w:t>
      </w:r>
    </w:p>
    <w:p>
      <w:pPr>
        <w:pStyle w:val="BodyText"/>
      </w:pPr>
      <w:r>
        <w:t xml:space="preserve">Catalogue de mesures de sécurité de référence de la norme ISO/IEC 27001, dont l’application est justifiée dans une déclaration d’applicabilité. Chapitre 72.</w:t>
      </w:r>
    </w:p>
    <w:p>
      <w:pPr>
        <w:pStyle w:val="BodyText"/>
      </w:pPr>
      <w:r>
        <w:t xml:space="preserve">Ansible Vault</w:t>
      </w:r>
    </w:p>
    <w:p>
      <w:pPr>
        <w:pStyle w:val="BodyText"/>
      </w:pPr>
      <w:r>
        <w:t xml:space="preserve">Mécanisme de chiffrement intégré à Ansible protégeant les données sensibles (mots de passe, clés) dans un playbook. Chapitre 53.</w:t>
      </w:r>
    </w:p>
    <w:p>
      <w:pPr>
        <w:pStyle w:val="BodyText"/>
      </w:pPr>
      <w:r>
        <w:t xml:space="preserve">API (Application Programming Interface)</w:t>
      </w:r>
    </w:p>
    <w:p>
      <w:pPr>
        <w:pStyle w:val="BodyText"/>
      </w:pPr>
      <w:r>
        <w:t xml:space="preserve">Interface de programmation permettant à un logiciel d’interagir avec un autre, notamment pour interroger ou piloter Kubernetes, un fournisseur cloud, ou un outil de supervision.</w:t>
      </w:r>
    </w:p>
    <w:p>
      <w:pPr>
        <w:pStyle w:val="BodyText"/>
      </w:pPr>
      <w:r>
        <w:t xml:space="preserve">Bastion (hôte)</w:t>
      </w:r>
    </w:p>
    <w:p>
      <w:pPr>
        <w:pStyle w:val="BodyText"/>
      </w:pPr>
      <w:r>
        <w:t xml:space="preserve">Serveur intermédiaire sécurisé, seul point d’entrée autorisé pour l’administration distante d’un réseau segmenté. Rappel des chapitres 22 et 70.</w:t>
      </w:r>
    </w:p>
    <w:p>
      <w:pPr>
        <w:pStyle w:val="BodyText"/>
      </w:pPr>
      <w:r>
        <w:t xml:space="preserve">CI/CD (Intégration et déploiement continus)</w:t>
      </w:r>
    </w:p>
    <w:p>
      <w:pPr>
        <w:pStyle w:val="BodyText"/>
      </w:pPr>
      <w:r>
        <w:t xml:space="preserve">Pratique consistant à automatiser la construction, le test et le déploiement d’un logiciel à chaque changement de code. Chapitres 56-57.</w:t>
      </w:r>
    </w:p>
    <w:p>
      <w:pPr>
        <w:pStyle w:val="BodyText"/>
      </w:pPr>
      <w:r>
        <w:t xml:space="preserve">CIS Benchmarks</w:t>
      </w:r>
    </w:p>
    <w:p>
      <w:pPr>
        <w:pStyle w:val="BodyText"/>
      </w:pPr>
      <w:r>
        <w:t xml:space="preserve">Guides de configuration sécurisée détaillés et gratuits, publiés par le Center for Internet Security, pour un large éventail de technologies. Chapitre 73.</w:t>
      </w:r>
    </w:p>
    <w:p>
      <w:pPr>
        <w:pStyle w:val="BodyText"/>
      </w:pPr>
      <w:r>
        <w:t xml:space="preserve">Cluster (informatique)</w:t>
      </w:r>
    </w:p>
    <w:p>
      <w:pPr>
        <w:pStyle w:val="BodyText"/>
      </w:pPr>
      <w:r>
        <w:t xml:space="preserve">Ensemble de plusieurs machines physiques ou virtuelles fonctionnant ensemble pour offrir un service unique, résilient et à charge répartie. Chapitres 13, 41-44.</w:t>
      </w:r>
    </w:p>
    <w:p>
      <w:pPr>
        <w:pStyle w:val="BodyText"/>
      </w:pPr>
      <w:r>
        <w:t xml:space="preserve">CVSS (Common Vulnerability Scoring System)</w:t>
      </w:r>
    </w:p>
    <w:p>
      <w:pPr>
        <w:pStyle w:val="BodyText"/>
      </w:pPr>
      <w:r>
        <w:t xml:space="preserve">Système standardisé attribuant un score de gravité objectif à une vulnérabilité connue, utilisé pour prioriser sa remédiation. Chapitre 78.</w:t>
      </w:r>
    </w:p>
    <w:p>
      <w:pPr>
        <w:pStyle w:val="BodyText"/>
      </w:pPr>
      <w:r>
        <w:t xml:space="preserve">Deployment (Kubernetes)</w:t>
      </w:r>
    </w:p>
    <w:p>
      <w:pPr>
        <w:pStyle w:val="BodyText"/>
      </w:pPr>
      <w:r>
        <w:t xml:space="preserve">Objet Kubernetes décrivant l’état désiré d’une application (nombre de réplicas, image, ressources), maintenu automatiquement par le contrôleur. Chapitre 43.</w:t>
      </w:r>
    </w:p>
    <w:p>
      <w:pPr>
        <w:pStyle w:val="BodyText"/>
      </w:pPr>
      <w:r>
        <w:t xml:space="preserve">DevSecOps</w:t>
      </w:r>
    </w:p>
    <w:p>
      <w:pPr>
        <w:pStyle w:val="BodyText"/>
      </w:pPr>
      <w:r>
        <w:t xml:space="preserve">Pratique intégrant les vérifications de sécurité directement dans le pipeline CI/CD, à chaque changement plutôt qu’en fin de projet. Chapitre 57.</w:t>
      </w:r>
    </w:p>
    <w:p>
      <w:pPr>
        <w:pStyle w:val="BodyText"/>
      </w:pPr>
      <w:r>
        <w:t xml:space="preserve">DFS (Distributed File System)</w:t>
      </w:r>
    </w:p>
    <w:p>
      <w:pPr>
        <w:pStyle w:val="BodyText"/>
      </w:pPr>
      <w:r>
        <w:t xml:space="preserve">Technologie Windows Server répliquant et unifiant l’accès à des partages de fichiers distribués sur plusieurs serveurs. Chapitre 11.</w:t>
      </w:r>
    </w:p>
    <w:p>
      <w:pPr>
        <w:pStyle w:val="BodyText"/>
      </w:pPr>
      <w:r>
        <w:t xml:space="preserve">DHCP (Dynamic Host Configuration Protocol)</w:t>
      </w:r>
    </w:p>
    <w:p>
      <w:pPr>
        <w:pStyle w:val="BodyText"/>
      </w:pPr>
      <w:r>
        <w:t xml:space="preserve">Protocole attribuant automatiquement une configuration réseau (adresse IP, passerelle, DNS) à un poste client. Chapitre 10.</w:t>
      </w:r>
    </w:p>
    <w:p>
      <w:pPr>
        <w:pStyle w:val="BodyText"/>
      </w:pPr>
      <w:r>
        <w:t xml:space="preserve">DNS (Domain Name System)</w:t>
      </w:r>
    </w:p>
    <w:p>
      <w:pPr>
        <w:pStyle w:val="BodyText"/>
      </w:pPr>
      <w:r>
        <w:t xml:space="preserve">Système traduisant un nom de domaine en adresse IP, fondation de la résolution de noms sur un réseau. Chapitre 9.</w:t>
      </w:r>
    </w:p>
    <w:p>
      <w:pPr>
        <w:pStyle w:val="BodyText"/>
      </w:pPr>
      <w:r>
        <w:t xml:space="preserve">Docker</w:t>
      </w:r>
    </w:p>
    <w:p>
      <w:pPr>
        <w:pStyle w:val="BodyText"/>
      </w:pPr>
      <w:r>
        <w:t xml:space="preserve">Plateforme de conteneurisation permettant d’empaqueter une application avec ses dépendances dans une image portable et reproductible. Chapitres 39-41.</w:t>
      </w:r>
    </w:p>
    <w:p>
      <w:pPr>
        <w:pStyle w:val="BodyText"/>
      </w:pPr>
      <w:r>
        <w:t xml:space="preserve">EDR (Endpoint Detection and Response)</w:t>
      </w:r>
    </w:p>
    <w:p>
      <w:pPr>
        <w:pStyle w:val="BodyText"/>
      </w:pPr>
      <w:r>
        <w:t xml:space="preserve">Outil de sécurité observant le comportement des processus sur un poste ou un serveur, détectant une menace par son comportement plutôt que par signature. Chapitre 76.</w:t>
      </w:r>
    </w:p>
    <w:p>
      <w:pPr>
        <w:pStyle w:val="BodyText"/>
      </w:pPr>
      <w:r>
        <w:t xml:space="preserve">ELK (Elasticsearch, Logstash, Kibana)</w:t>
      </w:r>
    </w:p>
    <w:p>
      <w:pPr>
        <w:pStyle w:val="BodyText"/>
      </w:pPr>
      <w:r>
        <w:t xml:space="preserve">Pile logicielle centralisant, transformant et rendant recherchables les journaux d’événements d’une infrastructure. Chapitre 62.</w:t>
      </w:r>
    </w:p>
    <w:p>
      <w:pPr>
        <w:pStyle w:val="BodyText"/>
      </w:pPr>
      <w:r>
        <w:t xml:space="preserve">Entra ID</w:t>
      </w:r>
    </w:p>
    <w:p>
      <w:pPr>
        <w:pStyle w:val="BodyText"/>
      </w:pPr>
      <w:r>
        <w:t xml:space="preserve">Service d’identité cloud de Microsoft (anciennement Azure AD), pouvant fonctionner en synchronisation hybride avec un Active Directory local. Chapitre 8.</w:t>
      </w:r>
    </w:p>
    <w:p>
      <w:pPr>
        <w:pStyle w:val="BodyText"/>
      </w:pPr>
      <w:r>
        <w:t xml:space="preserve">EtherChannel</w:t>
      </w:r>
    </w:p>
    <w:p>
      <w:pPr>
        <w:pStyle w:val="BodyText"/>
      </w:pPr>
      <w:r>
        <w:t xml:space="preserve">Agrégation de plusieurs liens physiques entre deux équipements réseau en un seul lien logique, combinant bande passante et tolérance de panne. Chapitre 65.</w:t>
      </w:r>
    </w:p>
    <w:p>
      <w:pPr>
        <w:pStyle w:val="BodyText"/>
      </w:pPr>
      <w:r>
        <w:t xml:space="preserve">FinOps</w:t>
      </w:r>
    </w:p>
    <w:p>
      <w:pPr>
        <w:pStyle w:val="BodyText"/>
      </w:pPr>
      <w:r>
        <w:t xml:space="preserve">Discipline de gestion financière du cloud, combinant étiquetage, budgets et optimisation continue des coûts. Chapitre 50.</w:t>
      </w:r>
    </w:p>
    <w:p>
      <w:pPr>
        <w:pStyle w:val="BodyText"/>
      </w:pPr>
      <w:r>
        <w:t xml:space="preserve">Forensic (numérique)</w:t>
      </w:r>
    </w:p>
    <w:p>
      <w:pPr>
        <w:pStyle w:val="BodyText"/>
      </w:pPr>
      <w:r>
        <w:t xml:space="preserve">Discipline consistant à préserver et analyser méthodiquement les preuves d’un incident de sécurité, en maintenant une chaîne de custody rigoureuse. Chapitre 79.</w:t>
      </w:r>
    </w:p>
    <w:p>
      <w:pPr>
        <w:pStyle w:val="BodyText"/>
      </w:pPr>
      <w:r>
        <w:t xml:space="preserve">GPO (Group Policy Object)</w:t>
      </w:r>
    </w:p>
    <w:p>
      <w:pPr>
        <w:pStyle w:val="BodyText"/>
      </w:pPr>
      <w:r>
        <w:t xml:space="preserve">Objet de stratégie de groupe Active Directory appliquant une configuration centralisée aux postes et utilisateurs d’un domaine. Chapitre 7.</w:t>
      </w:r>
    </w:p>
    <w:p>
      <w:pPr>
        <w:pStyle w:val="BodyText"/>
      </w:pPr>
      <w:r>
        <w:t xml:space="preserve">Grafana</w:t>
      </w:r>
    </w:p>
    <w:p>
      <w:pPr>
        <w:pStyle w:val="BodyText"/>
      </w:pPr>
      <w:r>
        <w:t xml:space="preserve">Outil de visualisation combinant des données de plusieurs sources de supervision (Zabbix, Prometheus) en tableaux de bord unifiés. Chapitre 61.</w:t>
      </w:r>
    </w:p>
    <w:p>
      <w:pPr>
        <w:pStyle w:val="BodyText"/>
      </w:pPr>
      <w:r>
        <w:t xml:space="preserve">Graylog</w:t>
      </w:r>
    </w:p>
    <w:p>
      <w:pPr>
        <w:pStyle w:val="BodyText"/>
      </w:pPr>
      <w:r>
        <w:t xml:space="preserve">Plateforme de centralisation de logs, alternative plus légère à opérer que la pile ELK, avec un support natif mature de Syslog. Chapitre 63.</w:t>
      </w:r>
    </w:p>
    <w:p>
      <w:pPr>
        <w:pStyle w:val="BodyText"/>
      </w:pPr>
      <w:r>
        <w:t xml:space="preserve">HPA (Horizontal Pod Autoscaler)</w:t>
      </w:r>
    </w:p>
    <w:p>
      <w:pPr>
        <w:pStyle w:val="BodyText"/>
      </w:pPr>
      <w:r>
        <w:t xml:space="preserve">Contrôleur Kubernetes ajustant automatiquement le nombre de répliques d’une application selon sa charge réelle. Chapitre 44.</w:t>
      </w:r>
    </w:p>
    <w:p>
      <w:pPr>
        <w:pStyle w:val="BodyText"/>
      </w:pPr>
      <w:r>
        <w:t xml:space="preserve">HSRP/VRRP</w:t>
      </w:r>
    </w:p>
    <w:p>
      <w:pPr>
        <w:pStyle w:val="BodyText"/>
      </w:pPr>
      <w:r>
        <w:t xml:space="preserve">Protocoles permettant à deux routeurs de partager une adresse IP virtuelle de passerelle, avec bascule automatique en cas de panne. Chapitre 65.</w:t>
      </w:r>
    </w:p>
    <w:p>
      <w:pPr>
        <w:pStyle w:val="BodyText"/>
      </w:pPr>
      <w:r>
        <w:t xml:space="preserve">Hyperviseur</w:t>
      </w:r>
    </w:p>
    <w:p>
      <w:pPr>
        <w:pStyle w:val="BodyText"/>
      </w:pPr>
      <w:r>
        <w:t xml:space="preserve">Logiciel permettant d’exécuter plusieurs machines virtuelles isolées sur un même serveur physique. Chapitres 33-38.</w:t>
      </w:r>
    </w:p>
    <w:p>
      <w:pPr>
        <w:pStyle w:val="BodyText"/>
      </w:pPr>
      <w:r>
        <w:t xml:space="preserve">IAM (Identity and Access Management)</w:t>
      </w:r>
    </w:p>
    <w:p>
      <w:pPr>
        <w:pStyle w:val="BodyText"/>
      </w:pPr>
      <w:r>
        <w:t xml:space="preserve">Système de gestion des identités et des permissions d’accès, notamment dans un contexte cloud (AWS IAM, Azure AD). Chapitre 46.</w:t>
      </w:r>
    </w:p>
    <w:p>
      <w:pPr>
        <w:pStyle w:val="BodyText"/>
      </w:pPr>
      <w:r>
        <w:t xml:space="preserve">IDS/IPS (Intrusion Detection/Prevention System)</w:t>
      </w:r>
    </w:p>
    <w:p>
      <w:pPr>
        <w:pStyle w:val="BodyText"/>
      </w:pPr>
      <w:r>
        <w:t xml:space="preserve">Outils inspectant le trafic réseau pour détecter (IDS) ou détecter et bloquer activement (IPS) une activité malveillante. Chapitre 75.</w:t>
      </w:r>
    </w:p>
    <w:p>
      <w:pPr>
        <w:pStyle w:val="BodyText"/>
      </w:pPr>
      <w:r>
        <w:t xml:space="preserve">Infrastructure as Code (IaC)</w:t>
      </w:r>
    </w:p>
    <w:p>
      <w:pPr>
        <w:pStyle w:val="BodyText"/>
      </w:pPr>
      <w:r>
        <w:t xml:space="preserve">Pratique consistant à décrire et gérer une infrastructure via du code versionné plutôt que par une configuration manuelle. Chapitres 51-55.</w:t>
      </w:r>
    </w:p>
    <w:p>
      <w:pPr>
        <w:pStyle w:val="BodyText"/>
      </w:pPr>
      <w:r>
        <w:t xml:space="preserve">Ingress (Kubernetes)</w:t>
      </w:r>
    </w:p>
    <w:p>
      <w:pPr>
        <w:pStyle w:val="BodyText"/>
      </w:pPr>
      <w:r>
        <w:t xml:space="preserve">Objet Kubernetes exposant un service HTTP/HTTPS à l’extérieur du cluster, avec routage selon le nom d’hôte ou le chemin. Chapitre 43.</w:t>
      </w:r>
    </w:p>
    <w:p>
      <w:pPr>
        <w:pStyle w:val="BodyText"/>
      </w:pPr>
      <w:r>
        <w:t xml:space="preserve">ISO/IEC 27001</w:t>
      </w:r>
    </w:p>
    <w:p>
      <w:pPr>
        <w:pStyle w:val="BodyText"/>
      </w:pPr>
      <w:r>
        <w:t xml:space="preserve">Norme internationale certifiable de management de la sécurité de l’information, auditée par un organisme accrédité externe. Chapitre 72.</w:t>
      </w:r>
    </w:p>
    <w:p>
      <w:pPr>
        <w:pStyle w:val="BodyText"/>
      </w:pPr>
      <w:r>
        <w:t xml:space="preserve">ITIL</w:t>
      </w:r>
    </w:p>
    <w:p>
      <w:pPr>
        <w:pStyle w:val="BodyText"/>
      </w:pPr>
      <w:r>
        <w:t xml:space="preserve">Cadre de référence de bonnes pratiques pour la gestion des services informatiques, notamment la gestion des changements et des incidents. Chapitre 2.</w:t>
      </w:r>
    </w:p>
    <w:p>
      <w:pPr>
        <w:pStyle w:val="BodyText"/>
      </w:pPr>
      <w:r>
        <w:t xml:space="preserve">Jenkins</w:t>
      </w:r>
    </w:p>
    <w:p>
      <w:pPr>
        <w:pStyle w:val="BodyText"/>
      </w:pPr>
      <w:r>
        <w:t xml:space="preserve">Serveur d’intégration continue open source exécutant des pipelines automatisés déclenchés notamment par un changement Git. Chapitre 56.</w:t>
      </w:r>
    </w:p>
    <w:p>
      <w:pPr>
        <w:pStyle w:val="BodyText"/>
      </w:pPr>
      <w:r>
        <w:t xml:space="preserve">Kerberos</w:t>
      </w:r>
    </w:p>
    <w:p>
      <w:pPr>
        <w:pStyle w:val="BodyText"/>
      </w:pPr>
      <w:r>
        <w:t xml:space="preserve">Protocole d’authentification réseau utilisé par Active Directory, reposant sur des tickets à durée de vie limitée. Chapitre 23.</w:t>
      </w:r>
    </w:p>
    <w:p>
      <w:pPr>
        <w:pStyle w:val="BodyText"/>
      </w:pPr>
      <w:r>
        <w:t xml:space="preserve">Kubernetes (K8s)</w:t>
      </w:r>
    </w:p>
    <w:p>
      <w:pPr>
        <w:pStyle w:val="BodyText"/>
      </w:pPr>
      <w:r>
        <w:t xml:space="preserve">Plateforme d’orchestration de conteneurs automatisant leur déploiement, leur mise à l’échelle et leur gestion. Chapitres 42-44.</w:t>
      </w:r>
    </w:p>
    <w:p>
      <w:pPr>
        <w:pStyle w:val="BodyText"/>
      </w:pPr>
      <w:r>
        <w:t xml:space="preserve">LDAP (Lightweight Directory Access Protocol)</w:t>
      </w:r>
    </w:p>
    <w:p>
      <w:pPr>
        <w:pStyle w:val="BodyText"/>
      </w:pPr>
      <w:r>
        <w:t xml:space="preserve">Protocole standard d’interrogation et de modification d’un annuaire, sous-jacent à Active Directory. Chapitre 22.</w:t>
      </w:r>
    </w:p>
    <w:p>
      <w:pPr>
        <w:pStyle w:val="BodyText"/>
      </w:pPr>
      <w:r>
        <w:t xml:space="preserve">LVM (Logical Volume Manager)</w:t>
      </w:r>
    </w:p>
    <w:p>
      <w:pPr>
        <w:pStyle w:val="BodyText"/>
      </w:pPr>
      <w:r>
        <w:t xml:space="preserve">Système de gestion de volumes Linux permettant de redimensionner et de gérer le stockage de façon flexible. Chapitre 17.</w:t>
      </w:r>
    </w:p>
    <w:p>
      <w:pPr>
        <w:pStyle w:val="BodyText"/>
      </w:pPr>
      <w:r>
        <w:t xml:space="preserve">Mikrotik / RouterOS</w:t>
      </w:r>
    </w:p>
    <w:p>
      <w:pPr>
        <w:pStyle w:val="BodyText"/>
      </w:pPr>
      <w:r>
        <w:t xml:space="preserve">Fabricant d’équipements réseau et système d’exploitation associé, choix pragmatique pour des sites de taille modeste. Chapitre 67.</w:t>
      </w:r>
    </w:p>
    <w:p>
      <w:pPr>
        <w:pStyle w:val="BodyText"/>
      </w:pPr>
      <w:r>
        <w:t xml:space="preserve">NAS (Network Attached Storage)</w:t>
      </w:r>
    </w:p>
    <w:p>
      <w:pPr>
        <w:pStyle w:val="BodyText"/>
      </w:pPr>
      <w:r>
        <w:t xml:space="preserve">Serveur de stockage dédié accessible via le réseau, généralement via des protocoles de partage de fichiers. Chapitre 28.</w:t>
      </w:r>
    </w:p>
    <w:p>
      <w:pPr>
        <w:pStyle w:val="BodyText"/>
      </w:pPr>
      <w:r>
        <w:t xml:space="preserve">NAT (Network Address Translation)</w:t>
      </w:r>
    </w:p>
    <w:p>
      <w:pPr>
        <w:pStyle w:val="BodyText"/>
      </w:pPr>
      <w:r>
        <w:t xml:space="preserve">Technique traduisant une adresse IP privée en adresse publique, permettant à un réseau interne d’accéder à Internet via une adresse partagée.</w:t>
      </w:r>
    </w:p>
    <w:p>
      <w:pPr>
        <w:pStyle w:val="BodyText"/>
      </w:pPr>
      <w:r>
        <w:t xml:space="preserve">NGFW (Next-Generation Firewall)</w:t>
      </w:r>
    </w:p>
    <w:p>
      <w:pPr>
        <w:pStyle w:val="BodyText"/>
      </w:pPr>
      <w:r>
        <w:t xml:space="preserve">Pare-feu nouvelle génération inspectant le trafic au niveau applicatif, au-delà du simple filtrage par port et adresse IP. Chapitre 66.</w:t>
      </w:r>
    </w:p>
    <w:p>
      <w:pPr>
        <w:pStyle w:val="BodyText"/>
      </w:pPr>
      <w:r>
        <w:t xml:space="preserve">NIST Cybersecurity Framework (CSF)</w:t>
      </w:r>
    </w:p>
    <w:p>
      <w:pPr>
        <w:pStyle w:val="BodyText"/>
      </w:pPr>
      <w:r>
        <w:t xml:space="preserve">Cadre de référence volontaire structurant la cybersécurité en cinq fonctions continues : Identifier, Protéger, Détecter, Répondre, Récupérer. Chapitre 71.</w:t>
      </w:r>
    </w:p>
    <w:p>
      <w:pPr>
        <w:pStyle w:val="BodyText"/>
      </w:pPr>
      <w:r>
        <w:t xml:space="preserve">OSPF (Open Shortest Path First)</w:t>
      </w:r>
    </w:p>
    <w:p>
      <w:pPr>
        <w:pStyle w:val="BodyText"/>
      </w:pPr>
      <w:r>
        <w:t xml:space="preserve">Protocole de routage dynamique où les routeurs échangent l’état de leurs liens et recalculent automatiquement le meilleur chemin. Chapitre 65.</w:t>
      </w:r>
    </w:p>
    <w:p>
      <w:pPr>
        <w:pStyle w:val="BodyText"/>
      </w:pPr>
      <w:r>
        <w:t xml:space="preserve">PCA (Plan de Continuité d’Activité)</w:t>
      </w:r>
    </w:p>
    <w:p>
      <w:pPr>
        <w:pStyle w:val="BodyText"/>
      </w:pPr>
      <w:r>
        <w:t xml:space="preserve">Ensemble de mesures garantissant la poursuite des activités critiques d’une organisation pendant et après un sinistre majeur. Chapitre 32.</w:t>
      </w:r>
    </w:p>
    <w:p>
      <w:pPr>
        <w:pStyle w:val="BodyText"/>
      </w:pPr>
      <w:r>
        <w:t xml:space="preserve">PKI (Public Key Infrastructure)</w:t>
      </w:r>
    </w:p>
    <w:p>
      <w:pPr>
        <w:pStyle w:val="BodyText"/>
      </w:pPr>
      <w:r>
        <w:t xml:space="preserve">Infrastructure à clés publiques gérant l’émission, la validation et la révocation de certificats numériques. Chapitre 24.</w:t>
      </w:r>
    </w:p>
    <w:p>
      <w:pPr>
        <w:pStyle w:val="BodyText"/>
      </w:pPr>
      <w:r>
        <w:t xml:space="preserve">PRA (Plan de Reprise d’Activité)</w:t>
      </w:r>
    </w:p>
    <w:p>
      <w:pPr>
        <w:pStyle w:val="BodyText"/>
      </w:pPr>
      <w:r>
        <w:t xml:space="preserve">Ensemble de procédures permettant de restaurer les systèmes informatiques après un sinistre, avec des objectifs de temps et de perte de données définis. Chapitre 31.</w:t>
      </w:r>
    </w:p>
    <w:p>
      <w:pPr>
        <w:pStyle w:val="BodyText"/>
      </w:pPr>
      <w:r>
        <w:t xml:space="preserve">Prometheus</w:t>
      </w:r>
    </w:p>
    <w:p>
      <w:pPr>
        <w:pStyle w:val="BodyText"/>
      </w:pPr>
      <w:r>
        <w:t xml:space="preserve">Système de supervision par interrogation (pull), particulièrement adapté aux environnements dynamiques comme Kubernetes via la découverte automatique de cibles. Chapitre 60.</w:t>
      </w:r>
    </w:p>
    <w:p>
      <w:pPr>
        <w:pStyle w:val="BodyText"/>
      </w:pPr>
      <w:r>
        <w:t xml:space="preserve">Proxmox VE</w:t>
      </w:r>
    </w:p>
    <w:p>
      <w:pPr>
        <w:pStyle w:val="BodyText"/>
      </w:pPr>
      <w:r>
        <w:t xml:space="preserve">Plateforme de virtualisation open source, compromis pragmatique entre fonctionnalité et coût de licence. Chapitre 36.</w:t>
      </w:r>
    </w:p>
    <w:p>
      <w:pPr>
        <w:pStyle w:val="BodyText"/>
      </w:pPr>
      <w:r>
        <w:t xml:space="preserve">RAID (Redundant Array of Independent Disks)</w:t>
      </w:r>
    </w:p>
    <w:p>
      <w:pPr>
        <w:pStyle w:val="BodyText"/>
      </w:pPr>
      <w:r>
        <w:t xml:space="preserve">Technique combinant plusieurs disques physiques pour améliorer la performance et/ou la tolérance de panne du stockage. Chapitre 27.</w:t>
      </w:r>
    </w:p>
    <w:p>
      <w:pPr>
        <w:pStyle w:val="BodyText"/>
      </w:pPr>
      <w:r>
        <w:t xml:space="preserve">RBAC (Role-Based Access Control)</w:t>
      </w:r>
    </w:p>
    <w:p>
      <w:pPr>
        <w:pStyle w:val="BodyText"/>
      </w:pPr>
      <w:r>
        <w:t xml:space="preserve">Modèle de contrôle d’accès attribuant des permissions selon un rôle plutôt qu’individuellement, utilisé notamment dans Kubernetes. Chapitre 44.</w:t>
      </w:r>
    </w:p>
    <w:p>
      <w:pPr>
        <w:pStyle w:val="BodyText"/>
      </w:pPr>
      <w:r>
        <w:t xml:space="preserve">Reverse proxy</w:t>
      </w:r>
    </w:p>
    <w:p>
      <w:pPr>
        <w:pStyle w:val="BodyText"/>
      </w:pPr>
      <w:r>
        <w:t xml:space="preserve">Serveur intermédiaire recevant les requêtes destinées à un ou plusieurs serveurs backend, qu’il masque et protège. Chapitre 68.</w:t>
      </w:r>
    </w:p>
    <w:p>
      <w:pPr>
        <w:pStyle w:val="BodyText"/>
      </w:pPr>
      <w:r>
        <w:t xml:space="preserve">RTO / RPO (Recovery Time/Point Objective)</w:t>
      </w:r>
    </w:p>
    <w:p>
      <w:pPr>
        <w:pStyle w:val="BodyText"/>
      </w:pPr>
      <w:r>
        <w:t xml:space="preserve">Métriques du plan de reprise d’activité : le délai maximal acceptable de restauration (RTO) et la perte de données maximale acceptable (RPO). Chapitre 31.</w:t>
      </w:r>
    </w:p>
    <w:p>
      <w:pPr>
        <w:pStyle w:val="BodyText"/>
      </w:pPr>
      <w:r>
        <w:t xml:space="preserve">Runbook</w:t>
      </w:r>
    </w:p>
    <w:p>
      <w:pPr>
        <w:pStyle w:val="BodyText"/>
      </w:pPr>
      <w:r>
        <w:t xml:space="preserve">Document consolidant les procédures opérationnelles essentielles d’un service (redémarrage, journaux, contacts) pour une reprise par une équipe externe. Chapitre 86.</w:t>
      </w:r>
    </w:p>
    <w:p>
      <w:pPr>
        <w:pStyle w:val="BodyText"/>
      </w:pPr>
      <w:r>
        <w:t xml:space="preserve">SAN (Storage Area Network)</w:t>
      </w:r>
    </w:p>
    <w:p>
      <w:pPr>
        <w:pStyle w:val="BodyText"/>
      </w:pPr>
      <w:r>
        <w:t xml:space="preserve">Réseau dédié au stockage en bloc, offrant des performances et une flexibilité supérieures à un NAS pour des besoins intensifs. Chapitre 29.</w:t>
      </w:r>
    </w:p>
    <w:p>
      <w:pPr>
        <w:pStyle w:val="BodyText"/>
      </w:pPr>
      <w:r>
        <w:t xml:space="preserve">SELinux / AppArmor</w:t>
      </w:r>
    </w:p>
    <w:p>
      <w:pPr>
        <w:pStyle w:val="BodyText"/>
      </w:pPr>
      <w:r>
        <w:t xml:space="preserve">Modules de sécurité Linux imposant un contrôle d’accès obligatoire, restreignant les actions possibles d’un processus même compromis. Chapitre 19.</w:t>
      </w:r>
    </w:p>
    <w:p>
      <w:pPr>
        <w:pStyle w:val="BodyText"/>
      </w:pPr>
      <w:r>
        <w:t xml:space="preserve">Service (Kubernetes)</w:t>
      </w:r>
    </w:p>
    <w:p>
      <w:pPr>
        <w:pStyle w:val="BodyText"/>
      </w:pPr>
      <w:r>
        <w:t xml:space="preserve">Objet Kubernetes exposant un ensemble de pods sous une adresse réseau stable, indépendamment de leur cycle de vie individuel. Chapitre 43.</w:t>
      </w:r>
    </w:p>
    <w:p>
      <w:pPr>
        <w:pStyle w:val="BodyText"/>
      </w:pPr>
      <w:r>
        <w:t xml:space="preserve">SIEM (Security Information and Event Management)</w:t>
      </w:r>
    </w:p>
    <w:p>
      <w:pPr>
        <w:pStyle w:val="BodyText"/>
      </w:pPr>
      <w:r>
        <w:t xml:space="preserve">Système corrélant des événements de sécurité provenant de plusieurs sources pour révéler un scénario d’attaque qu’aucun événement isolé ne suffirait à démontrer. Chapitre 74.</w:t>
      </w:r>
    </w:p>
    <w:p>
      <w:pPr>
        <w:pStyle w:val="BodyText"/>
      </w:pPr>
      <w:r>
        <w:t xml:space="preserve">Spanning Tree Protocol (STP)</w:t>
      </w:r>
    </w:p>
    <w:p>
      <w:pPr>
        <w:pStyle w:val="BodyText"/>
      </w:pPr>
      <w:r>
        <w:t xml:space="preserve">Protocole évitant les boucles réseau lorsque des liens redondants existent entre commutateurs. Chapitre 65.</w:t>
      </w:r>
    </w:p>
    <w:p>
      <w:pPr>
        <w:pStyle w:val="BodyText"/>
      </w:pPr>
      <w:r>
        <w:t xml:space="preserve">Syslog</w:t>
      </w:r>
    </w:p>
    <w:p>
      <w:pPr>
        <w:pStyle w:val="BodyText"/>
      </w:pPr>
      <w:r>
        <w:t xml:space="preserve">Protocole standard de journalisation réseau, largement supporté par les équipements réseau incapables d’exécuter un agent moderne. Chapitre 63.</w:t>
      </w:r>
    </w:p>
    <w:p>
      <w:pPr>
        <w:pStyle w:val="BodyText"/>
      </w:pPr>
      <w:r>
        <w:t xml:space="preserve">Terraform</w:t>
      </w:r>
    </w:p>
    <w:p>
      <w:pPr>
        <w:pStyle w:val="BodyText"/>
      </w:pPr>
      <w:r>
        <w:t xml:space="preserve">Outil d’Infrastructure as Code déclaratif, gérant le cycle de vie complet de ressources cloud ou on-premise via un fichier d’état. Chapitres 54-55.</w:t>
      </w:r>
    </w:p>
    <w:p>
      <w:pPr>
        <w:pStyle w:val="BodyText"/>
      </w:pPr>
      <w:r>
        <w:t xml:space="preserve">Test d’intrusion (pentest)</w:t>
      </w:r>
    </w:p>
    <w:p>
      <w:pPr>
        <w:pStyle w:val="BodyText"/>
      </w:pPr>
      <w:r>
        <w:t xml:space="preserve">Simulation active d’une attaque réelle, mandatée par écrit, évaluant l’exploitabilité concrète des vulnérabilités et l’efficacité des défenses en place. Chapitre 77.</w:t>
      </w:r>
    </w:p>
    <w:p>
      <w:pPr>
        <w:pStyle w:val="BodyText"/>
      </w:pPr>
      <w:r>
        <w:t xml:space="preserve">TLS (Transport Layer Security)</w:t>
      </w:r>
    </w:p>
    <w:p>
      <w:pPr>
        <w:pStyle w:val="BodyText"/>
      </w:pPr>
      <w:r>
        <w:t xml:space="preserve">Protocole cryptographique chiffrant les communications réseau, fondation du HTTPS. Chapitre 24.</w:t>
      </w:r>
    </w:p>
    <w:p>
      <w:pPr>
        <w:pStyle w:val="BodyText"/>
      </w:pPr>
      <w:r>
        <w:t xml:space="preserve">VLAN (Virtual Local Area Network)</w:t>
      </w:r>
    </w:p>
    <w:p>
      <w:pPr>
        <w:pStyle w:val="BodyText"/>
      </w:pPr>
      <w:r>
        <w:t xml:space="preserve">Segmentation logique d’un réseau physique en plusieurs réseaux isolés, appliquant le principe de moindre exposition. Chapitres 11, 70.</w:t>
      </w:r>
    </w:p>
    <w:p>
      <w:pPr>
        <w:pStyle w:val="BodyText"/>
      </w:pPr>
      <w:r>
        <w:t xml:space="preserve">VPN (Virtual Private Network)</w:t>
      </w:r>
    </w:p>
    <w:p>
      <w:pPr>
        <w:pStyle w:val="BodyText"/>
      </w:pPr>
      <w:r>
        <w:t xml:space="preserve">Tunnel chiffré reliant deux réseaux ou un poste distant à un réseau, à travers un réseau non fiable comme Internet. Chapitre 69.</w:t>
      </w:r>
    </w:p>
    <w:p>
      <w:pPr>
        <w:pStyle w:val="BodyText"/>
      </w:pPr>
      <w:r>
        <w:t xml:space="preserve">WSUS (Windows Server Update Services)</w:t>
      </w:r>
    </w:p>
    <w:p>
      <w:pPr>
        <w:pStyle w:val="BodyText"/>
      </w:pPr>
      <w:r>
        <w:t xml:space="preserve">Service centralisant la distribution et l’approbation des mises à jour Windows au sein d’une organisation. Chapitre 12.</w:t>
      </w:r>
    </w:p>
    <w:p>
      <w:pPr>
        <w:pStyle w:val="BodyText"/>
      </w:pPr>
      <w:r>
        <w:t xml:space="preserve">Zabbix</w:t>
      </w:r>
    </w:p>
    <w:p>
      <w:pPr>
        <w:pStyle w:val="BodyText"/>
      </w:pPr>
      <w:r>
        <w:t xml:space="preserve">Solution de supervision open source complète (métriques, alertes, tableaux de bord), particulièrement adaptée à un parc hétérogène de serveurs classiques. Chapitre 59.</w:t>
      </w:r>
    </w:p>
    <w:p>
      <w:pPr>
        <w:pStyle w:val="BodyText"/>
      </w:pPr>
      <w:r>
        <w:t xml:space="preserve">Zero Trust</w:t>
      </w:r>
    </w:p>
    <w:p>
      <w:pPr>
        <w:pStyle w:val="BodyText"/>
      </w:pPr>
      <w:r>
        <w:t xml:space="preserve">Modèle de sécurité n’accordant jamais de confiance implicite, vérifiant systématiquement chaque accès indépendamment de son origine réseau. Chapitre 26.</w:t>
      </w:r>
    </w:p>
    <w:p>
      <w:pPr>
        <w:pStyle w:val="BodyText"/>
      </w:pPr>
      <w:r>
        <w:t xml:space="preserve">💡 Comment utiliser ce glossaire</w:t>
      </w:r>
      <w:r>
        <w:t xml:space="preserve"> </w:t>
      </w:r>
      <w:r>
        <w:t xml:space="preserve">Chaque entrée reste volontairement concise — pour une compréhension réelle du concept, de son contexte d’usage et de ses pièges courants, reporte-toi systématiquement au chapitre indiqué plutôt que de t’arrêter à cette définition condensée.</w:t>
      </w:r>
    </w:p>
    <w:p>
      <w:pPr>
        <w:pStyle w:val="BodyText"/>
      </w:pPr>
      <w:r>
        <w:rPr>
          <w:i/>
          <w:iCs/>
        </w:rPr>
        <w:t xml:space="preserve">Annexe suivante : le comparatif des certifications professionnelles, pour situer les compétences développées dans ce manuel par rapport aux parcours de certification reconnus du secteur.</w:t>
      </w:r>
    </w:p>
    <w:p>
      <w:pPr>
        <w:pStyle w:val="BodyText"/>
      </w:pPr>
      <w:r>
        <w:t xml:space="preserve">ANNEXE C</w:t>
      </w:r>
    </w:p>
    <w:bookmarkEnd w:id="2097"/>
    <w:bookmarkStart w:id="2105" w:name="X49b5fd2e2935d540335e0b53743ccc1c7e3697f"/>
    <w:p>
      <w:pPr>
        <w:pStyle w:val="Heading1"/>
      </w:pPr>
      <w:r>
        <w:t xml:space="preserve">Comparatif des certifications professionnelles</w:t>
      </w:r>
    </w:p>
    <w:p>
      <w:pPr>
        <w:pStyle w:val="FirstParagraph"/>
      </w:pPr>
      <w:r>
        <w:t xml:space="preserve">🎯 Objectif de l’annexe</w:t>
      </w:r>
      <w:r>
        <w:t xml:space="preserve"> </w:t>
      </w:r>
      <w:r>
        <w:t xml:space="preserve">Situer les compétences développées dans ce manuel par rapport aux parcours de certification professionnelle reconnus du secteur, pour orienter une éventuelle démarche de certification complémentaire à cette formation. Ce comparatif reste informatif — ce manuel ne prépare pas spécifiquement à un examen de certification donné, mais couvre en profondeur les concepts qui en constituent le socle commun.</w:t>
      </w:r>
    </w:p>
    <w:p>
      <w:pPr>
        <w:pStyle w:val="BodyText"/>
      </w:pPr>
      <w:r>
        <w:t xml:space="preserve">⚠️ Un paysage de certifications en évolution constante</w:t>
      </w:r>
      <w:r>
        <w:t xml:space="preserve"> </w:t>
      </w:r>
      <w:r>
        <w:t xml:space="preserve">Les certifications informatiques évoluent régulièrement — certaines sont retirées, remplacées ou restructurées par leur éditeur. Les informations ci-dessous reflètent l’état du paysage au moment de la rédaction de ce manuel ; vérifie systématiquement l’état actuel d’une certification directement auprès de l’éditeur avant tout engagement dans une démarche de préparation.</w:t>
      </w:r>
    </w:p>
    <w:bookmarkStart w:id="2098" w:name="X0a5965a8ab9398d53e0119ecb8d533339274c6a"/>
    <w:p>
      <w:pPr>
        <w:pStyle w:val="Heading2"/>
      </w:pPr>
      <w:r>
        <w:t xml:space="preserve">C.1 Microsoft : de MCSA/MCSE aux certifications par rôle</w:t>
      </w:r>
    </w:p>
    <w:p>
      <w:pPr>
        <w:pStyle w:val="FirstParagraph"/>
      </w:pPr>
      <w:r>
        <w:t xml:space="preserve">📌 À retenir</w:t>
      </w:r>
      <w:r>
        <w:t xml:space="preserve"> </w:t>
      </w:r>
      <w:r>
        <w:t xml:space="preserve">Les certifications</w:t>
      </w:r>
      <w:r>
        <w:t xml:space="preserve"> </w:t>
      </w:r>
      <w:r>
        <w:rPr>
          <w:b/>
          <w:bCs/>
        </w:rPr>
        <w:t xml:space="preserve">MCSA</w:t>
      </w:r>
      <w:r>
        <w:t xml:space="preserve"> </w:t>
      </w:r>
      <w:r>
        <w:t xml:space="preserve">(Microsoft Certified Solutions Associate) et</w:t>
      </w:r>
      <w:r>
        <w:t xml:space="preserve"> </w:t>
      </w:r>
      <w:r>
        <w:rPr>
          <w:b/>
          <w:bCs/>
        </w:rPr>
        <w:t xml:space="preserve">MCSE</w:t>
      </w:r>
      <w:r>
        <w:t xml:space="preserve"> </w:t>
      </w:r>
      <w:r>
        <w:t xml:space="preserve">(Microsoft Certified Solutions Expert), historiquement associées à l’administration Windows Server et Active Directory (chapitres 5-13), ont été retirées par Microsoft au profit de certifications organisées par rôle et par plateforme (souvent centrées sur Azure et Microsoft 365) plutôt que par produit on-premise isolé. Les compétences Active Directory, GPO et infrastructure Windows Server de ce manuel restent néanmoins directement pertinentes pour les certifications actuelles couvrant l’administration hybride (rappel du chapitre 8, Entra ID hybride).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Certification actuelle</w:t>
            </w:r>
          </w:p>
        </w:tc>
        <w:tc>
          <w:tcPr/>
          <w:p>
            <w:pPr>
              <w:pStyle w:val="Compact"/>
            </w:pPr>
            <w:r>
              <w:t xml:space="preserve">Niveau</w:t>
            </w:r>
          </w:p>
        </w:tc>
        <w:tc>
          <w:tcPr/>
          <w:p>
            <w:pPr>
              <w:pStyle w:val="Compact"/>
            </w:pPr>
            <w:r>
              <w:t xml:space="preserve">Domaine couvert</w:t>
            </w:r>
          </w:p>
        </w:tc>
        <w:tc>
          <w:tcPr/>
          <w:p>
            <w:pPr>
              <w:pStyle w:val="Compact"/>
            </w:pPr>
            <w:r>
              <w:t xml:space="preserve">Chapitres pertinents de ce manuel</w:t>
            </w:r>
          </w:p>
        </w:tc>
      </w:tr>
      <w:tr>
        <w:tc>
          <w:tcPr/>
          <w:p>
            <w:pPr>
              <w:pStyle w:val="Compact"/>
            </w:pPr>
            <w:r>
              <w:t xml:space="preserve">Microsoft Certified: Azure Administrator Associate</w:t>
            </w:r>
          </w:p>
        </w:tc>
        <w:tc>
          <w:tcPr/>
          <w:p>
            <w:pPr>
              <w:pStyle w:val="Compact"/>
            </w:pPr>
            <w:r>
              <w:t xml:space="preserve">Intermédiaire</w:t>
            </w:r>
          </w:p>
        </w:tc>
        <w:tc>
          <w:tcPr/>
          <w:p>
            <w:pPr>
              <w:pStyle w:val="Compact"/>
            </w:pPr>
            <w:r>
              <w:t xml:space="preserve">Administration Azure, identité hybride</w:t>
            </w:r>
          </w:p>
        </w:tc>
        <w:tc>
          <w:tcPr/>
          <w:p>
            <w:pPr>
              <w:pStyle w:val="Compact"/>
            </w:pPr>
            <w:r>
              <w:t xml:space="preserve">8, 47</w:t>
            </w:r>
          </w:p>
        </w:tc>
      </w:tr>
      <w:tr>
        <w:tc>
          <w:tcPr/>
          <w:p>
            <w:pPr>
              <w:pStyle w:val="Compact"/>
            </w:pPr>
            <w:r>
              <w:t xml:space="preserve">Microsoft Certified: Identity and Access Administrator Associate</w:t>
            </w:r>
          </w:p>
        </w:tc>
        <w:tc>
          <w:tcPr/>
          <w:p>
            <w:pPr>
              <w:pStyle w:val="Compact"/>
            </w:pPr>
            <w:r>
              <w:t xml:space="preserve">Intermédiaire</w:t>
            </w:r>
          </w:p>
        </w:tc>
        <w:tc>
          <w:tcPr/>
          <w:p>
            <w:pPr>
              <w:pStyle w:val="Compact"/>
            </w:pPr>
            <w:r>
              <w:t xml:space="preserve">Entra ID, gestion des accès</w:t>
            </w:r>
          </w:p>
        </w:tc>
        <w:tc>
          <w:tcPr/>
          <w:p>
            <w:pPr>
              <w:pStyle w:val="Compact"/>
            </w:pPr>
            <w:r>
              <w:t xml:space="preserve">8, 22-26</w:t>
            </w:r>
          </w:p>
        </w:tc>
      </w:tr>
      <w:tr>
        <w:tc>
          <w:tcPr/>
          <w:p>
            <w:pPr>
              <w:pStyle w:val="Compact"/>
            </w:pPr>
            <w:r>
              <w:t xml:space="preserve">Microsoft Certified: Windows Server Hybrid Administrator Associate</w:t>
            </w:r>
          </w:p>
        </w:tc>
        <w:tc>
          <w:tcPr/>
          <w:p>
            <w:pPr>
              <w:pStyle w:val="Compact"/>
            </w:pPr>
            <w:r>
              <w:t xml:space="preserve">Intermédiaire</w:t>
            </w:r>
          </w:p>
        </w:tc>
        <w:tc>
          <w:tcPr/>
          <w:p>
            <w:pPr>
              <w:pStyle w:val="Compact"/>
            </w:pPr>
            <w:r>
              <w:t xml:space="preserve">Windows Server, hybride cloud</w:t>
            </w:r>
          </w:p>
        </w:tc>
        <w:tc>
          <w:tcPr/>
          <w:p>
            <w:pPr>
              <w:pStyle w:val="Compact"/>
            </w:pPr>
            <w:r>
              <w:t xml:space="preserve">5-13</w:t>
            </w:r>
          </w:p>
        </w:tc>
      </w:tr>
      <w:tr>
        <w:tc>
          <w:tcPr/>
          <w:p>
            <w:pPr>
              <w:pStyle w:val="Compact"/>
            </w:pPr>
            <w:r>
              <w:t xml:space="preserve">Microsoft Certified: Cybersecurity Architect Expert</w:t>
            </w:r>
          </w:p>
        </w:tc>
        <w:tc>
          <w:tcPr/>
          <w:p>
            <w:pPr>
              <w:pStyle w:val="Compact"/>
            </w:pPr>
            <w:r>
              <w:t xml:space="preserve">Avancé</w:t>
            </w:r>
          </w:p>
        </w:tc>
        <w:tc>
          <w:tcPr/>
          <w:p>
            <w:pPr>
              <w:pStyle w:val="Compact"/>
            </w:pPr>
            <w:r>
              <w:t xml:space="preserve">Architecture de sécurité globale</w:t>
            </w:r>
          </w:p>
        </w:tc>
        <w:tc>
          <w:tcPr/>
          <w:p>
            <w:pPr>
              <w:pStyle w:val="Compact"/>
            </w:pPr>
            <w:r>
              <w:t xml:space="preserve">71-79</w:t>
            </w:r>
          </w:p>
        </w:tc>
      </w:tr>
    </w:tbl>
    <w:bookmarkEnd w:id="2098"/>
    <w:bookmarkStart w:id="2099" w:name="c.2-red-hat-rhcsa-et-rhca"/>
    <w:p>
      <w:pPr>
        <w:pStyle w:val="Heading2"/>
      </w:pPr>
      <w:r>
        <w:t xml:space="preserve">C.2 Red Hat : RHCSA et RHCA</w:t>
      </w:r>
    </w:p>
    <w:p>
      <w:pPr>
        <w:pStyle w:val="FirstParagraph"/>
      </w:pPr>
      <w:r>
        <w:t xml:space="preserve">📌 À retenir</w:t>
      </w:r>
      <w:r>
        <w:t xml:space="preserve"> </w:t>
      </w:r>
      <w:r>
        <w:t xml:space="preserve">Le parcours Red Hat reste structuré et stable :</w:t>
      </w:r>
      <w:r>
        <w:t xml:space="preserve"> </w:t>
      </w:r>
      <w:r>
        <w:rPr>
          <w:b/>
          <w:bCs/>
        </w:rPr>
        <w:t xml:space="preserve">RHCSA</w:t>
      </w:r>
      <w:r>
        <w:t xml:space="preserve"> </w:t>
      </w:r>
      <w:r>
        <w:t xml:space="preserve">(Red Hat Certified System Administrator) valide les compétences fondamentales d’administration Linux (chapitres 14-21), tandis que</w:t>
      </w:r>
      <w:r>
        <w:t xml:space="preserve"> </w:t>
      </w:r>
      <w:r>
        <w:rPr>
          <w:b/>
          <w:bCs/>
        </w:rPr>
        <w:t xml:space="preserve">RHCA</w:t>
      </w:r>
      <w:r>
        <w:t xml:space="preserve"> </w:t>
      </w:r>
      <w:r>
        <w:t xml:space="preserve">(Red Hat Certified Architect) certifie une expertise avancée sur plusieurs domaines spécialisés (virtualisation, automatisation Ansible, sécurité).</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Certification</w:t>
            </w:r>
          </w:p>
        </w:tc>
        <w:tc>
          <w:tcPr/>
          <w:p>
            <w:pPr>
              <w:pStyle w:val="Compact"/>
            </w:pPr>
            <w:r>
              <w:t xml:space="preserve">Niveau</w:t>
            </w:r>
          </w:p>
        </w:tc>
        <w:tc>
          <w:tcPr/>
          <w:p>
            <w:pPr>
              <w:pStyle w:val="Compact"/>
            </w:pPr>
            <w:r>
              <w:t xml:space="preserve">Domaine couvert</w:t>
            </w:r>
          </w:p>
        </w:tc>
        <w:tc>
          <w:tcPr/>
          <w:p>
            <w:pPr>
              <w:pStyle w:val="Compact"/>
            </w:pPr>
            <w:r>
              <w:t xml:space="preserve">Chapitres pertinents de ce manuel</w:t>
            </w:r>
          </w:p>
        </w:tc>
      </w:tr>
      <w:tr>
        <w:tc>
          <w:tcPr/>
          <w:p>
            <w:pPr>
              <w:pStyle w:val="Compact"/>
            </w:pPr>
            <w:r>
              <w:t xml:space="preserve">RHCSA</w:t>
            </w:r>
          </w:p>
        </w:tc>
        <w:tc>
          <w:tcPr/>
          <w:p>
            <w:pPr>
              <w:pStyle w:val="Compact"/>
            </w:pPr>
            <w:r>
              <w:t xml:space="preserve">Fondamental</w:t>
            </w:r>
          </w:p>
        </w:tc>
        <w:tc>
          <w:tcPr/>
          <w:p>
            <w:pPr>
              <w:pStyle w:val="Compact"/>
            </w:pPr>
            <w:r>
              <w:t xml:space="preserve">Administration Linux de base (Rocky Linux/RHEL)</w:t>
            </w:r>
          </w:p>
        </w:tc>
        <w:tc>
          <w:tcPr/>
          <w:p>
            <w:pPr>
              <w:pStyle w:val="Compact"/>
            </w:pPr>
            <w:r>
              <w:t xml:space="preserve">14-21</w:t>
            </w:r>
          </w:p>
        </w:tc>
      </w:tr>
      <w:tr>
        <w:tc>
          <w:tcPr/>
          <w:p>
            <w:pPr>
              <w:pStyle w:val="Compact"/>
            </w:pPr>
            <w:r>
              <w:t xml:space="preserve">RHCE (Red Hat Certified Engineer)</w:t>
            </w:r>
          </w:p>
        </w:tc>
        <w:tc>
          <w:tcPr/>
          <w:p>
            <w:pPr>
              <w:pStyle w:val="Compact"/>
            </w:pPr>
            <w:r>
              <w:t xml:space="preserve">Intermédiaire</w:t>
            </w:r>
          </w:p>
        </w:tc>
        <w:tc>
          <w:tcPr/>
          <w:p>
            <w:pPr>
              <w:pStyle w:val="Compact"/>
            </w:pPr>
            <w:r>
              <w:t xml:space="preserve">Automatisation Ansible sur Linux</w:t>
            </w:r>
          </w:p>
        </w:tc>
        <w:tc>
          <w:tcPr/>
          <w:p>
            <w:pPr>
              <w:pStyle w:val="Compact"/>
            </w:pPr>
            <w:r>
              <w:t xml:space="preserve">52-53</w:t>
            </w:r>
          </w:p>
        </w:tc>
      </w:tr>
      <w:tr>
        <w:tc>
          <w:tcPr/>
          <w:p>
            <w:pPr>
              <w:pStyle w:val="Compact"/>
            </w:pPr>
            <w:r>
              <w:t xml:space="preserve">RHCA</w:t>
            </w:r>
          </w:p>
        </w:tc>
        <w:tc>
          <w:tcPr/>
          <w:p>
            <w:pPr>
              <w:pStyle w:val="Compact"/>
            </w:pPr>
            <w:r>
              <w:t xml:space="preserve">Avancé</w:t>
            </w:r>
          </w:p>
        </w:tc>
        <w:tc>
          <w:tcPr/>
          <w:p>
            <w:pPr>
              <w:pStyle w:val="Compact"/>
            </w:pPr>
            <w:r>
              <w:t xml:space="preserve">Spécialisation multi-domaines (virtualisation, sécurité, cloud)</w:t>
            </w:r>
          </w:p>
        </w:tc>
        <w:tc>
          <w:tcPr/>
          <w:p>
            <w:pPr>
              <w:pStyle w:val="Compact"/>
            </w:pPr>
            <w:r>
              <w:t xml:space="preserve">33-38, 71-79</w:t>
            </w:r>
          </w:p>
        </w:tc>
      </w:tr>
    </w:tbl>
    <w:p>
      <w:pPr>
        <w:pStyle w:val="BodyText"/>
      </w:pPr>
      <w:r>
        <w:t xml:space="preserve">💡 Note de contexte</w:t>
      </w:r>
      <w:r>
        <w:t xml:space="preserve"> </w:t>
      </w:r>
      <w:r>
        <w:t xml:space="preserve">Ce manuel utilise Rocky Linux comme distribution de référence (chapitre 19) précisément en raison de sa compatibilité binaire avec RHEL — les compétences développées restent directement transférables à un environnement RHEL et à la préparation RHCSA/RHCE.</w:t>
      </w:r>
    </w:p>
    <w:bookmarkEnd w:id="2099"/>
    <w:bookmarkStart w:id="2100" w:name="c.3-cisco-ccna-et-ccie"/>
    <w:p>
      <w:pPr>
        <w:pStyle w:val="Heading2"/>
      </w:pPr>
      <w:r>
        <w:t xml:space="preserve">C.3 Cisco : CCNA et CCIE</w:t>
      </w:r>
    </w:p>
    <w:p>
      <w:pPr>
        <w:pStyle w:val="FirstParagraph"/>
      </w:pPr>
      <w:r>
        <w:t xml:space="preserve">📌 À retenir</w:t>
      </w:r>
      <w:r>
        <w:t xml:space="preserve"> </w:t>
      </w:r>
      <w:r>
        <w:rPr>
          <w:b/>
          <w:bCs/>
        </w:rPr>
        <w:t xml:space="preserve">CCNA</w:t>
      </w:r>
      <w:r>
        <w:t xml:space="preserve"> </w:t>
      </w:r>
      <w:r>
        <w:t xml:space="preserve">(Cisco Certified Network Associate) couvre les fondations du réseau d’entreprise, tandis que</w:t>
      </w:r>
      <w:r>
        <w:t xml:space="preserve"> </w:t>
      </w:r>
      <w:r>
        <w:rPr>
          <w:b/>
          <w:bCs/>
        </w:rPr>
        <w:t xml:space="preserve">CCIE</w:t>
      </w:r>
      <w:r>
        <w:t xml:space="preserve"> </w:t>
      </w:r>
      <w:r>
        <w:t xml:space="preserve">(Cisco Certified Internetwork Expert) représente l’un des niveaux de certification réseau les plus exigeants du secteur, avec un examen pratique en laboratoire. Le chapitre 65 de ce manuel, explicitement titré</w:t>
      </w:r>
      <w:r>
        <w:t xml:space="preserve"> </w:t>
      </w:r>
      <w:r>
        <w:t xml:space="preserve">“niveau CCIE”</w:t>
      </w:r>
      <w:r>
        <w:t xml:space="preserve">, introduit les concepts de résilience réseau avancée (STP, EtherChannel, HSRP, OSPF) qui constituent une base pertinente pour ce parcours, sans prétendre à elle seule préparer à l’examen pratique exigeant de ce niveau.</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Certification</w:t>
            </w:r>
          </w:p>
        </w:tc>
        <w:tc>
          <w:tcPr/>
          <w:p>
            <w:pPr>
              <w:pStyle w:val="Compact"/>
            </w:pPr>
            <w:r>
              <w:t xml:space="preserve">Niveau</w:t>
            </w:r>
          </w:p>
        </w:tc>
        <w:tc>
          <w:tcPr/>
          <w:p>
            <w:pPr>
              <w:pStyle w:val="Compact"/>
            </w:pPr>
            <w:r>
              <w:t xml:space="preserve">Domaine couvert</w:t>
            </w:r>
          </w:p>
        </w:tc>
        <w:tc>
          <w:tcPr/>
          <w:p>
            <w:pPr>
              <w:pStyle w:val="Compact"/>
            </w:pPr>
            <w:r>
              <w:t xml:space="preserve">Chapitres pertinents de ce manuel</w:t>
            </w:r>
          </w:p>
        </w:tc>
      </w:tr>
      <w:tr>
        <w:tc>
          <w:tcPr/>
          <w:p>
            <w:pPr>
              <w:pStyle w:val="Compact"/>
            </w:pPr>
            <w:r>
              <w:t xml:space="preserve">CCNA</w:t>
            </w:r>
          </w:p>
        </w:tc>
        <w:tc>
          <w:tcPr/>
          <w:p>
            <w:pPr>
              <w:pStyle w:val="Compact"/>
            </w:pPr>
            <w:r>
              <w:t xml:space="preserve">Fondamental</w:t>
            </w:r>
          </w:p>
        </w:tc>
        <w:tc>
          <w:tcPr/>
          <w:p>
            <w:pPr>
              <w:pStyle w:val="Compact"/>
            </w:pPr>
            <w:r>
              <w:t xml:space="preserve">Réseau d’entreprise de base</w:t>
            </w:r>
          </w:p>
        </w:tc>
        <w:tc>
          <w:tcPr/>
          <w:p>
            <w:pPr>
              <w:pStyle w:val="Compact"/>
            </w:pPr>
            <w:r>
              <w:t xml:space="preserve">Rappel de</w:t>
            </w:r>
            <w:r>
              <w:t xml:space="preserve"> </w:t>
            </w:r>
            <w:r>
              <w:rPr>
                <w:rStyle w:val="VerbatimChar"/>
              </w:rPr>
              <w:t xml:space="preserve">manuel-reseau-entreprise</w:t>
            </w:r>
            <w:r>
              <w:t xml:space="preserve"> </w:t>
            </w:r>
            <w:r>
              <w:t xml:space="preserve">+ 65</w:t>
            </w:r>
          </w:p>
        </w:tc>
      </w:tr>
      <w:tr>
        <w:tc>
          <w:tcPr/>
          <w:p>
            <w:pPr>
              <w:pStyle w:val="Compact"/>
            </w:pPr>
            <w:r>
              <w:t xml:space="preserve">CCNP (Cisco Certified Network Professional)</w:t>
            </w:r>
          </w:p>
        </w:tc>
        <w:tc>
          <w:tcPr/>
          <w:p>
            <w:pPr>
              <w:pStyle w:val="Compact"/>
            </w:pPr>
            <w:r>
              <w:t xml:space="preserve">Intermédiaire</w:t>
            </w:r>
          </w:p>
        </w:tc>
        <w:tc>
          <w:tcPr/>
          <w:p>
            <w:pPr>
              <w:pStyle w:val="Compact"/>
            </w:pPr>
            <w:r>
              <w:t xml:space="preserve">Spécialisation routage/switching, sécurité</w:t>
            </w:r>
          </w:p>
        </w:tc>
        <w:tc>
          <w:tcPr/>
          <w:p>
            <w:pPr>
              <w:pStyle w:val="Compact"/>
            </w:pPr>
            <w:r>
              <w:t xml:space="preserve">65-70</w:t>
            </w:r>
          </w:p>
        </w:tc>
      </w:tr>
      <w:tr>
        <w:tc>
          <w:tcPr/>
          <w:p>
            <w:pPr>
              <w:pStyle w:val="Compact"/>
            </w:pPr>
            <w:r>
              <w:t xml:space="preserve">CCIE</w:t>
            </w:r>
          </w:p>
        </w:tc>
        <w:tc>
          <w:tcPr/>
          <w:p>
            <w:pPr>
              <w:pStyle w:val="Compact"/>
            </w:pPr>
            <w:r>
              <w:t xml:space="preserve">Expert</w:t>
            </w:r>
          </w:p>
        </w:tc>
        <w:tc>
          <w:tcPr/>
          <w:p>
            <w:pPr>
              <w:pStyle w:val="Compact"/>
            </w:pPr>
            <w:r>
              <w:t xml:space="preserve">Expertise réseau approfondie, examen pratique</w:t>
            </w:r>
          </w:p>
        </w:tc>
        <w:tc>
          <w:tcPr/>
          <w:p>
            <w:pPr>
              <w:pStyle w:val="Compact"/>
            </w:pPr>
            <w:r>
              <w:t xml:space="preserve">65-70</w:t>
            </w:r>
          </w:p>
        </w:tc>
      </w:tr>
    </w:tbl>
    <w:bookmarkEnd w:id="2100"/>
    <w:bookmarkStart w:id="2101" w:name="c.4-vmware-vcp-et-vcdx"/>
    <w:p>
      <w:pPr>
        <w:pStyle w:val="Heading2"/>
      </w:pPr>
      <w:r>
        <w:t xml:space="preserve">C.4 VMware : VCP et VCDX</w:t>
      </w:r>
    </w:p>
    <w:p>
      <w:pPr>
        <w:pStyle w:val="FirstParagraph"/>
      </w:pPr>
      <w:r>
        <w:t xml:space="preserve">📌 À retenir</w:t>
      </w:r>
      <w:r>
        <w:t xml:space="preserve"> </w:t>
      </w:r>
      <w:r>
        <w:rPr>
          <w:b/>
          <w:bCs/>
        </w:rPr>
        <w:t xml:space="preserve">VCP</w:t>
      </w:r>
      <w:r>
        <w:t xml:space="preserve"> </w:t>
      </w:r>
      <w:r>
        <w:t xml:space="preserve">(VMware Certified Professional) valide les compétences opérationnelles sur vSphere (chapitre 34), tandis que</w:t>
      </w:r>
      <w:r>
        <w:t xml:space="preserve"> </w:t>
      </w:r>
      <w:r>
        <w:rPr>
          <w:b/>
          <w:bCs/>
        </w:rPr>
        <w:t xml:space="preserve">VCDX</w:t>
      </w:r>
      <w:r>
        <w:t xml:space="preserve"> </w:t>
      </w:r>
      <w:r>
        <w:t xml:space="preserve">(VMware Certified Design Expert) certifie la capacité à concevoir une architecture de virtualisation complexe et à la défendre devant un panel d’experts — l’un des parcours de certification les plus exigeants du secteur de la virtualisation.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Certification</w:t>
            </w:r>
          </w:p>
        </w:tc>
        <w:tc>
          <w:tcPr/>
          <w:p>
            <w:pPr>
              <w:pStyle w:val="Compact"/>
            </w:pPr>
            <w:r>
              <w:t xml:space="preserve">Niveau</w:t>
            </w:r>
          </w:p>
        </w:tc>
        <w:tc>
          <w:tcPr/>
          <w:p>
            <w:pPr>
              <w:pStyle w:val="Compact"/>
            </w:pPr>
            <w:r>
              <w:t xml:space="preserve">Domaine couvert</w:t>
            </w:r>
          </w:p>
        </w:tc>
        <w:tc>
          <w:tcPr/>
          <w:p>
            <w:pPr>
              <w:pStyle w:val="Compact"/>
            </w:pPr>
            <w:r>
              <w:t xml:space="preserve">Chapitres pertinents de ce manuel</w:t>
            </w:r>
          </w:p>
        </w:tc>
      </w:tr>
      <w:tr>
        <w:tc>
          <w:tcPr/>
          <w:p>
            <w:pPr>
              <w:pStyle w:val="Compact"/>
            </w:pPr>
            <w:r>
              <w:t xml:space="preserve">VCP-DCV (Data Center Virtualization)</w:t>
            </w:r>
          </w:p>
        </w:tc>
        <w:tc>
          <w:tcPr/>
          <w:p>
            <w:pPr>
              <w:pStyle w:val="Compact"/>
            </w:pPr>
            <w:r>
              <w:t xml:space="preserve">Intermédiaire</w:t>
            </w:r>
          </w:p>
        </w:tc>
        <w:tc>
          <w:tcPr/>
          <w:p>
            <w:pPr>
              <w:pStyle w:val="Compact"/>
            </w:pPr>
            <w:r>
              <w:t xml:space="preserve">Administration vSphere</w:t>
            </w:r>
          </w:p>
        </w:tc>
        <w:tc>
          <w:tcPr/>
          <w:p>
            <w:pPr>
              <w:pStyle w:val="Compact"/>
            </w:pPr>
            <w:r>
              <w:t xml:space="preserve">33-34</w:t>
            </w:r>
          </w:p>
        </w:tc>
      </w:tr>
      <w:tr>
        <w:tc>
          <w:tcPr/>
          <w:p>
            <w:pPr>
              <w:pStyle w:val="Compact"/>
            </w:pPr>
            <w:r>
              <w:t xml:space="preserve">VCAP (Advanced Professional)</w:t>
            </w:r>
          </w:p>
        </w:tc>
        <w:tc>
          <w:tcPr/>
          <w:p>
            <w:pPr>
              <w:pStyle w:val="Compact"/>
            </w:pPr>
            <w:r>
              <w:t xml:space="preserve">Avancé</w:t>
            </w:r>
          </w:p>
        </w:tc>
        <w:tc>
          <w:tcPr/>
          <w:p>
            <w:pPr>
              <w:pStyle w:val="Compact"/>
            </w:pPr>
            <w:r>
              <w:t xml:space="preserve">Conception et déploiement avancés</w:t>
            </w:r>
          </w:p>
        </w:tc>
        <w:tc>
          <w:tcPr/>
          <w:p>
            <w:pPr>
              <w:pStyle w:val="Compact"/>
            </w:pPr>
            <w:r>
              <w:t xml:space="preserve">33-38, 81</w:t>
            </w:r>
          </w:p>
        </w:tc>
      </w:tr>
      <w:tr>
        <w:tc>
          <w:tcPr/>
          <w:p>
            <w:pPr>
              <w:pStyle w:val="Compact"/>
            </w:pPr>
            <w:r>
              <w:t xml:space="preserve">VCDX</w:t>
            </w:r>
          </w:p>
        </w:tc>
        <w:tc>
          <w:tcPr/>
          <w:p>
            <w:pPr>
              <w:pStyle w:val="Compact"/>
            </w:pPr>
            <w:r>
              <w:t xml:space="preserve">Expert</w:t>
            </w:r>
          </w:p>
        </w:tc>
        <w:tc>
          <w:tcPr/>
          <w:p>
            <w:pPr>
              <w:pStyle w:val="Compact"/>
            </w:pPr>
            <w:r>
              <w:t xml:space="preserve">Conception d’architecture, défense devant panel</w:t>
            </w:r>
          </w:p>
        </w:tc>
        <w:tc>
          <w:tcPr/>
          <w:p>
            <w:pPr>
              <w:pStyle w:val="Compact"/>
            </w:pPr>
            <w:r>
              <w:t xml:space="preserve">81</w:t>
            </w:r>
          </w:p>
        </w:tc>
      </w:tr>
    </w:tbl>
    <w:bookmarkEnd w:id="2101"/>
    <w:bookmarkStart w:id="2102" w:name="Xd26f80a5d91e549a5f54b9f61bc3099616dba50"/>
    <w:p>
      <w:pPr>
        <w:pStyle w:val="Heading2"/>
      </w:pPr>
      <w:r>
        <w:t xml:space="preserve">C.5 Kubernetes : CKA et certifications associées</w:t>
      </w:r>
    </w:p>
    <w:p>
      <w:pPr>
        <w:pStyle w:val="FirstParagraph"/>
      </w:pPr>
      <w:r>
        <w:t xml:space="preserve">📌 À retenir</w:t>
      </w:r>
      <w:r>
        <w:t xml:space="preserve"> </w:t>
      </w:r>
      <w:r>
        <w:rPr>
          <w:b/>
          <w:bCs/>
        </w:rPr>
        <w:t xml:space="preserve">CKA</w:t>
      </w:r>
      <w:r>
        <w:t xml:space="preserve"> </w:t>
      </w:r>
      <w:r>
        <w:t xml:space="preserve">(Certified Kubernetes Administrator), délivrée par la Cloud Native Computing Foundation, valide les compétences opérationnelles de gestion d’un cluster Kubernetes (chapitres 42-44) via un examen pratique en environnement réel plutôt qu’un questionnaire à choix multiples — reflétant directement l’approche pratique déjà privilégiée dans ce manuel.</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Certification</w:t>
            </w:r>
          </w:p>
        </w:tc>
        <w:tc>
          <w:tcPr/>
          <w:p>
            <w:pPr>
              <w:pStyle w:val="Compact"/>
            </w:pPr>
            <w:r>
              <w:t xml:space="preserve">Niveau</w:t>
            </w:r>
          </w:p>
        </w:tc>
        <w:tc>
          <w:tcPr/>
          <w:p>
            <w:pPr>
              <w:pStyle w:val="Compact"/>
            </w:pPr>
            <w:r>
              <w:t xml:space="preserve">Domaine couvert</w:t>
            </w:r>
          </w:p>
        </w:tc>
        <w:tc>
          <w:tcPr/>
          <w:p>
            <w:pPr>
              <w:pStyle w:val="Compact"/>
            </w:pPr>
            <w:r>
              <w:t xml:space="preserve">Chapitres pertinents de ce manuel</w:t>
            </w:r>
          </w:p>
        </w:tc>
      </w:tr>
      <w:tr>
        <w:tc>
          <w:tcPr/>
          <w:p>
            <w:pPr>
              <w:pStyle w:val="Compact"/>
            </w:pPr>
            <w:r>
              <w:t xml:space="preserve">CKA (Certified Kubernetes Administrator)</w:t>
            </w:r>
          </w:p>
        </w:tc>
        <w:tc>
          <w:tcPr/>
          <w:p>
            <w:pPr>
              <w:pStyle w:val="Compact"/>
            </w:pPr>
            <w:r>
              <w:t xml:space="preserve">Intermédiaire</w:t>
            </w:r>
          </w:p>
        </w:tc>
        <w:tc>
          <w:tcPr/>
          <w:p>
            <w:pPr>
              <w:pStyle w:val="Compact"/>
            </w:pPr>
            <w:r>
              <w:t xml:space="preserve">Administration opérationnelle d’un cluster</w:t>
            </w:r>
          </w:p>
        </w:tc>
        <w:tc>
          <w:tcPr/>
          <w:p>
            <w:pPr>
              <w:pStyle w:val="Compact"/>
            </w:pPr>
            <w:r>
              <w:t xml:space="preserve">42-44</w:t>
            </w:r>
          </w:p>
        </w:tc>
      </w:tr>
      <w:tr>
        <w:tc>
          <w:tcPr/>
          <w:p>
            <w:pPr>
              <w:pStyle w:val="Compact"/>
            </w:pPr>
            <w:r>
              <w:t xml:space="preserve">CKAD (Certified Kubernetes Application Developer)</w:t>
            </w:r>
          </w:p>
        </w:tc>
        <w:tc>
          <w:tcPr/>
          <w:p>
            <w:pPr>
              <w:pStyle w:val="Compact"/>
            </w:pPr>
            <w:r>
              <w:t xml:space="preserve">Intermédiaire</w:t>
            </w:r>
          </w:p>
        </w:tc>
        <w:tc>
          <w:tcPr/>
          <w:p>
            <w:pPr>
              <w:pStyle w:val="Compact"/>
            </w:pPr>
            <w:r>
              <w:t xml:space="preserve">Déploiement d’applications sur Kubernetes</w:t>
            </w:r>
          </w:p>
        </w:tc>
        <w:tc>
          <w:tcPr/>
          <w:p>
            <w:pPr>
              <w:pStyle w:val="Compact"/>
            </w:pPr>
            <w:r>
              <w:t xml:space="preserve">43, 83</w:t>
            </w:r>
          </w:p>
        </w:tc>
      </w:tr>
      <w:tr>
        <w:tc>
          <w:tcPr/>
          <w:p>
            <w:pPr>
              <w:pStyle w:val="Compact"/>
            </w:pPr>
            <w:r>
              <w:t xml:space="preserve">CKS (Certified Kubernetes Security Specialist)</w:t>
            </w:r>
          </w:p>
        </w:tc>
        <w:tc>
          <w:tcPr/>
          <w:p>
            <w:pPr>
              <w:pStyle w:val="Compact"/>
            </w:pPr>
            <w:r>
              <w:t xml:space="preserve">Avancé</w:t>
            </w:r>
          </w:p>
        </w:tc>
        <w:tc>
          <w:tcPr/>
          <w:p>
            <w:pPr>
              <w:pStyle w:val="Compact"/>
            </w:pPr>
            <w:r>
              <w:t xml:space="preserve">Sécurité spécifique à Kubernetes</w:t>
            </w:r>
          </w:p>
        </w:tc>
        <w:tc>
          <w:tcPr/>
          <w:p>
            <w:pPr>
              <w:pStyle w:val="Compact"/>
            </w:pPr>
            <w:r>
              <w:t xml:space="preserve">44, 57</w:t>
            </w:r>
          </w:p>
        </w:tc>
      </w:tr>
    </w:tbl>
    <w:bookmarkEnd w:id="2102"/>
    <w:bookmarkStart w:id="2103" w:name="c.6-cloud-public-aws-azure-gcp"/>
    <w:p>
      <w:pPr>
        <w:pStyle w:val="Heading2"/>
      </w:pPr>
      <w:r>
        <w:t xml:space="preserve">C.6 Cloud public : AWS, Azure, GCP</w:t>
      </w:r>
    </w:p>
    <w:p>
      <w:pPr>
        <w:pStyle w:val="FirstParagraph"/>
      </w:pPr>
      <w:r>
        <w:t xml:space="preserve">📌 À retenir</w:t>
      </w:r>
      <w:r>
        <w:t xml:space="preserve"> </w:t>
      </w:r>
      <w:r>
        <w:t xml:space="preserve">Chacun des trois grands fournisseurs cloud propose un parcours de certification structuré en trois niveaux généraux — fondamental (sensibilisation), associé (compétences opérationnelles), professionnel/expert (architecture avancée) — reflétant directement la progression déjà suivie dans ce manuel de la Partie 8 (fondamentaux du cloud) au chapitre 84 (composant cloud hybride du projet final).</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Fournisseur</w:t>
            </w:r>
          </w:p>
        </w:tc>
        <w:tc>
          <w:tcPr/>
          <w:p>
            <w:pPr>
              <w:pStyle w:val="Compact"/>
            </w:pPr>
            <w:r>
              <w:t xml:space="preserve">Certification fondamentale</w:t>
            </w:r>
          </w:p>
        </w:tc>
        <w:tc>
          <w:tcPr/>
          <w:p>
            <w:pPr>
              <w:pStyle w:val="Compact"/>
            </w:pPr>
            <w:r>
              <w:t xml:space="preserve">Certification intermédiaire</w:t>
            </w:r>
          </w:p>
        </w:tc>
        <w:tc>
          <w:tcPr/>
          <w:p>
            <w:pPr>
              <w:pStyle w:val="Compact"/>
            </w:pPr>
            <w:r>
              <w:t xml:space="preserve">Certification avancée</w:t>
            </w:r>
          </w:p>
        </w:tc>
        <w:tc>
          <w:tcPr/>
          <w:p>
            <w:pPr>
              <w:pStyle w:val="Compact"/>
            </w:pPr>
            <w:r>
              <w:t xml:space="preserve">Chapitres pertinents</w:t>
            </w:r>
          </w:p>
        </w:tc>
      </w:tr>
      <w:tr>
        <w:tc>
          <w:tcPr/>
          <w:p>
            <w:pPr>
              <w:pStyle w:val="Compact"/>
            </w:pPr>
            <w:r>
              <w:t xml:space="preserve">AWS</w:t>
            </w:r>
          </w:p>
        </w:tc>
        <w:tc>
          <w:tcPr/>
          <w:p>
            <w:pPr>
              <w:pStyle w:val="Compact"/>
            </w:pPr>
            <w:r>
              <w:t xml:space="preserve">AWS Certified Cloud Practitioner</w:t>
            </w:r>
          </w:p>
        </w:tc>
        <w:tc>
          <w:tcPr/>
          <w:p>
            <w:pPr>
              <w:pStyle w:val="Compact"/>
            </w:pPr>
            <w:r>
              <w:t xml:space="preserve">AWS Certified Solutions Architect – Associate</w:t>
            </w:r>
          </w:p>
        </w:tc>
        <w:tc>
          <w:tcPr/>
          <w:p>
            <w:pPr>
              <w:pStyle w:val="Compact"/>
            </w:pPr>
            <w:r>
              <w:t xml:space="preserve">AWS Certified Solutions Architect – Professional</w:t>
            </w:r>
          </w:p>
        </w:tc>
        <w:tc>
          <w:tcPr/>
          <w:p>
            <w:pPr>
              <w:pStyle w:val="Compact"/>
            </w:pPr>
            <w:r>
              <w:t xml:space="preserve">45-46, 49-50</w:t>
            </w:r>
          </w:p>
        </w:tc>
      </w:tr>
      <w:tr>
        <w:tc>
          <w:tcPr/>
          <w:p>
            <w:pPr>
              <w:pStyle w:val="Compact"/>
            </w:pPr>
            <w:r>
              <w:t xml:space="preserve">Azure</w:t>
            </w:r>
          </w:p>
        </w:tc>
        <w:tc>
          <w:tcPr/>
          <w:p>
            <w:pPr>
              <w:pStyle w:val="Compact"/>
            </w:pPr>
            <w:r>
              <w:t xml:space="preserve">Microsoft Certified: Azure Fundamentals</w:t>
            </w:r>
          </w:p>
        </w:tc>
        <w:tc>
          <w:tcPr/>
          <w:p>
            <w:pPr>
              <w:pStyle w:val="Compact"/>
            </w:pPr>
            <w:r>
              <w:t xml:space="preserve">Microsoft Certified: Azure Administrator Associate</w:t>
            </w:r>
          </w:p>
        </w:tc>
        <w:tc>
          <w:tcPr/>
          <w:p>
            <w:pPr>
              <w:pStyle w:val="Compact"/>
            </w:pPr>
            <w:r>
              <w:t xml:space="preserve">Microsoft Certified: Azure Solutions Architect Expert</w:t>
            </w:r>
          </w:p>
        </w:tc>
        <w:tc>
          <w:tcPr/>
          <w:p>
            <w:pPr>
              <w:pStyle w:val="Compact"/>
            </w:pPr>
            <w:r>
              <w:t xml:space="preserve">45, 47, 49-50</w:t>
            </w:r>
          </w:p>
        </w:tc>
      </w:tr>
      <w:tr>
        <w:tc>
          <w:tcPr/>
          <w:p>
            <w:pPr>
              <w:pStyle w:val="Compact"/>
            </w:pPr>
            <w:r>
              <w:t xml:space="preserve">GCP</w:t>
            </w:r>
          </w:p>
        </w:tc>
        <w:tc>
          <w:tcPr/>
          <w:p>
            <w:pPr>
              <w:pStyle w:val="Compact"/>
            </w:pPr>
            <w:r>
              <w:t xml:space="preserve">Google Cloud Digital Leader</w:t>
            </w:r>
          </w:p>
        </w:tc>
        <w:tc>
          <w:tcPr/>
          <w:p>
            <w:pPr>
              <w:pStyle w:val="Compact"/>
            </w:pPr>
            <w:r>
              <w:t xml:space="preserve">Google Associate Cloud Engineer</w:t>
            </w:r>
          </w:p>
        </w:tc>
        <w:tc>
          <w:tcPr/>
          <w:p>
            <w:pPr>
              <w:pStyle w:val="Compact"/>
            </w:pPr>
            <w:r>
              <w:t xml:space="preserve">Google Professional Cloud Architect</w:t>
            </w:r>
          </w:p>
        </w:tc>
        <w:tc>
          <w:tcPr/>
          <w:p>
            <w:pPr>
              <w:pStyle w:val="Compact"/>
            </w:pPr>
            <w:r>
              <w:t xml:space="preserve">45, 48</w:t>
            </w:r>
          </w:p>
        </w:tc>
      </w:tr>
    </w:tbl>
    <w:bookmarkEnd w:id="2103"/>
    <w:bookmarkStart w:id="2104" w:name="X3fe8a87c4a9d6c3cca0699603e0eca4cd19158f"/>
    <w:p>
      <w:pPr>
        <w:pStyle w:val="Heading2"/>
      </w:pPr>
      <w:r>
        <w:t xml:space="preserve">C.7 Choisir un parcours de certification adapté à son contexte</w:t>
      </w:r>
    </w:p>
    <w:p>
      <w:pPr>
        <w:pStyle w:val="FirstParagraph"/>
      </w:pPr>
      <w:r>
        <w:t xml:space="preserve">✅ Rappel du même raisonnement pragmatique déjà établi tout au long de ce manuel</w:t>
      </w:r>
      <w:r>
        <w:t xml:space="preserve"> </w:t>
      </w:r>
      <w:r>
        <w:t xml:space="preserve">Le meilleur parcours de certification dépend du contexte professionnel réel — les opportunités du marché local, le type d’infrastructure déjà rencontrée dans un poste actuel ou visé, et les technologies effectivement déployées dans l’organisation. Exactement le même raisonnement pragmatique déjà appliqué à de nombreux choix techniques tout au long de ce manuel (Ubuntu Server au chapitre 14, Zabbix au chapitre 59) s’applique au choix d’un parcours de certification : la certification la plus reconnue dans l’absolu n’est pas nécessairement la plus utile dans un contexte professionnel donné.</w:t>
      </w:r>
    </w:p>
    <w:p>
      <w:pPr>
        <w:pStyle w:val="BodyText"/>
      </w:pPr>
      <w:r>
        <w:rPr>
          <w:i/>
          <w:iCs/>
        </w:rPr>
        <w:t xml:space="preserve">Annexe suivante : les modèles de documents (runbook, plan de reprise d’activité, politique de sécurité), des gabarits directement réutilisables pour la pratique quotidienne de l’administration système.</w:t>
      </w:r>
    </w:p>
    <w:p>
      <w:pPr>
        <w:pStyle w:val="BodyText"/>
      </w:pPr>
      <w:r>
        <w:t xml:space="preserve">ANNEXE D</w:t>
      </w:r>
    </w:p>
    <w:bookmarkEnd w:id="2104"/>
    <w:bookmarkEnd w:id="2105"/>
    <w:bookmarkStart w:id="2109" w:name="modèles-de-documents"/>
    <w:p>
      <w:pPr>
        <w:pStyle w:val="Heading1"/>
      </w:pPr>
      <w:r>
        <w:t xml:space="preserve">Modèles de documents</w:t>
      </w:r>
    </w:p>
    <w:p>
      <w:pPr>
        <w:pStyle w:val="FirstParagraph"/>
      </w:pPr>
      <w:r>
        <w:t xml:space="preserve">🎯 Objectif de l’annexe</w:t>
      </w:r>
      <w:r>
        <w:t xml:space="preserve"> </w:t>
      </w:r>
      <w:r>
        <w:t xml:space="preserve">Fournir des gabarits directement réutilisables pour trois documents fondamentaux de la pratique quotidienne de l’administration système : le runbook opérationnel (chapitre 86), le plan de reprise d’activité (chapitre 31), et la politique de sécurité (Partie 12). Chaque gabarit reste volontairement générique — à adapter au contexte réel de chaque organisation, jamais à copier tel quel sans réflexion.</w:t>
      </w:r>
    </w:p>
    <w:bookmarkStart w:id="2106" w:name="d.1-modèle-de-runbook-opérationnel"/>
    <w:p>
      <w:pPr>
        <w:pStyle w:val="Heading2"/>
      </w:pPr>
      <w:r>
        <w:t xml:space="preserve">D.1 Modèle de runbook opérationnel</w:t>
      </w:r>
    </w:p>
    <w:p>
      <w:pPr>
        <w:pStyle w:val="FirstParagraph"/>
      </w:pPr>
      <w:r>
        <w:t xml:space="preserve">📌 À retenir — rappel direct de la section 86.2</w:t>
      </w:r>
      <w:r>
        <w:t xml:space="preserve"> </w:t>
      </w:r>
      <w:r>
        <w:t xml:space="preserve">Un runbook consolide les procédures opérationnelles essentielles d’un service, permettant à toute personne — y compris une personne extérieure au projet initial — d’intervenir efficacement en cas de besoin.</w:t>
      </w:r>
    </w:p>
    <w:p>
      <w:pPr>
        <w:pStyle w:val="SourceCode"/>
      </w:pPr>
      <w:r>
        <w:rPr>
          <w:rStyle w:val="VerbatimChar"/>
        </w:rPr>
        <w:t xml:space="preserve">RUNBOOK — [Nom du service]</w:t>
      </w:r>
      <w:r>
        <w:br/>
      </w:r>
      <w:r>
        <w:rPr>
          <w:rStyle w:val="VerbatimChar"/>
        </w:rPr>
        <w:t xml:space="preserve">================================</w:t>
      </w:r>
      <w:r>
        <w:br/>
      </w:r>
      <w:r>
        <w:br/>
      </w:r>
      <w:r>
        <w:rPr>
          <w:rStyle w:val="VerbatimChar"/>
        </w:rPr>
        <w:t xml:space="preserve">1. DESCRIPTION DU SERVICE</w:t>
      </w:r>
      <w:r>
        <w:br/>
      </w:r>
      <w:r>
        <w:rPr>
          <w:rStyle w:val="VerbatimChar"/>
        </w:rPr>
        <w:t xml:space="preserve">   - Fonction : [ce que fait ce service]</w:t>
      </w:r>
      <w:r>
        <w:br/>
      </w:r>
      <w:r>
        <w:rPr>
          <w:rStyle w:val="VerbatimChar"/>
        </w:rPr>
        <w:t xml:space="preserve">   - Criticite : [critique / important / secondaire]</w:t>
      </w:r>
      <w:r>
        <w:br/>
      </w:r>
      <w:r>
        <w:rPr>
          <w:rStyle w:val="VerbatimChar"/>
        </w:rPr>
        <w:t xml:space="preserve">   - Proprietaire : [equipe ou personne responsable]</w:t>
      </w:r>
      <w:r>
        <w:br/>
      </w:r>
      <w:r>
        <w:br/>
      </w:r>
      <w:r>
        <w:rPr>
          <w:rStyle w:val="VerbatimChar"/>
        </w:rPr>
        <w:t xml:space="preserve">2. ARCHITECTURE</w:t>
      </w:r>
      <w:r>
        <w:br/>
      </w:r>
      <w:r>
        <w:rPr>
          <w:rStyle w:val="VerbatimChar"/>
        </w:rPr>
        <w:t xml:space="preserve">   - Serveurs/composants impliques : [liste]</w:t>
      </w:r>
      <w:r>
        <w:br/>
      </w:r>
      <w:r>
        <w:rPr>
          <w:rStyle w:val="VerbatimChar"/>
        </w:rPr>
        <w:t xml:space="preserve">   - Dependances (services dont celui-ci depend) : [liste]</w:t>
      </w:r>
      <w:r>
        <w:br/>
      </w:r>
      <w:r>
        <w:rPr>
          <w:rStyle w:val="VerbatimChar"/>
        </w:rPr>
        <w:t xml:space="preserve">   - Services dependants (qui depend de celui-ci) : [liste]</w:t>
      </w:r>
      <w:r>
        <w:br/>
      </w:r>
      <w:r>
        <w:br/>
      </w:r>
      <w:r>
        <w:rPr>
          <w:rStyle w:val="VerbatimChar"/>
        </w:rPr>
        <w:t xml:space="preserve">3. ACCES ET AUTHENTIFICATION</w:t>
      </w:r>
      <w:r>
        <w:br/>
      </w:r>
      <w:r>
        <w:rPr>
          <w:rStyle w:val="VerbatimChar"/>
        </w:rPr>
        <w:t xml:space="preserve">   - Console/interface d'administration : [URL, methode d'acces]</w:t>
      </w:r>
      <w:r>
        <w:br/>
      </w:r>
      <w:r>
        <w:rPr>
          <w:rStyle w:val="VerbatimChar"/>
        </w:rPr>
        <w:t xml:space="preserve">   - Comptes autorises : [reference au groupe AD ou IAM concerne]</w:t>
      </w:r>
      <w:r>
        <w:br/>
      </w:r>
      <w:r>
        <w:br/>
      </w:r>
      <w:r>
        <w:rPr>
          <w:rStyle w:val="VerbatimChar"/>
        </w:rPr>
        <w:t xml:space="preserve">4. DEMARRAGE / ARRET / REDEMARRAGE</w:t>
      </w:r>
      <w:r>
        <w:br/>
      </w:r>
      <w:r>
        <w:rPr>
          <w:rStyle w:val="VerbatimChar"/>
        </w:rPr>
        <w:t xml:space="preserve">   - Commande de demarrage : [commande exacte]</w:t>
      </w:r>
      <w:r>
        <w:br/>
      </w:r>
      <w:r>
        <w:rPr>
          <w:rStyle w:val="VerbatimChar"/>
        </w:rPr>
        <w:t xml:space="preserve">   - Commande d'arret : [commande exacte]</w:t>
      </w:r>
      <w:r>
        <w:br/>
      </w:r>
      <w:r>
        <w:rPr>
          <w:rStyle w:val="VerbatimChar"/>
        </w:rPr>
        <w:t xml:space="preserve">   - Ordre de dependance a respecter : [le cas echeant]</w:t>
      </w:r>
      <w:r>
        <w:br/>
      </w:r>
      <w:r>
        <w:br/>
      </w:r>
      <w:r>
        <w:rPr>
          <w:rStyle w:val="VerbatimChar"/>
        </w:rPr>
        <w:t xml:space="preserve">5. JOURNAUX ET SUPERVISION</w:t>
      </w:r>
      <w:r>
        <w:br/>
      </w:r>
      <w:r>
        <w:rPr>
          <w:rStyle w:val="VerbatimChar"/>
        </w:rPr>
        <w:t xml:space="preserve">   - Emplacement des journaux locaux : [chemin]</w:t>
      </w:r>
      <w:r>
        <w:br/>
      </w:r>
      <w:r>
        <w:rPr>
          <w:rStyle w:val="VerbatimChar"/>
        </w:rPr>
        <w:t xml:space="preserve">   - Tableau de bord de supervision : [lien Grafana/Zabbix]</w:t>
      </w:r>
      <w:r>
        <w:br/>
      </w:r>
      <w:r>
        <w:rPr>
          <w:rStyle w:val="VerbatimChar"/>
        </w:rPr>
        <w:t xml:space="preserve">   - Alertes configurees : [liste des seuils critiques]</w:t>
      </w:r>
      <w:r>
        <w:br/>
      </w:r>
      <w:r>
        <w:br/>
      </w:r>
      <w:r>
        <w:rPr>
          <w:rStyle w:val="VerbatimChar"/>
        </w:rPr>
        <w:t xml:space="preserve">6. PROCEDURES COURANTES</w:t>
      </w:r>
      <w:r>
        <w:br/>
      </w:r>
      <w:r>
        <w:rPr>
          <w:rStyle w:val="VerbatimChar"/>
        </w:rPr>
        <w:t xml:space="preserve">   - [Procedure 1, ex : renouveler un certificat]</w:t>
      </w:r>
      <w:r>
        <w:br/>
      </w:r>
      <w:r>
        <w:rPr>
          <w:rStyle w:val="VerbatimChar"/>
        </w:rPr>
        <w:t xml:space="preserve">   - [Procedure 2, ex : ajouter une nouvelle instance]</w:t>
      </w:r>
      <w:r>
        <w:br/>
      </w:r>
      <w:r>
        <w:br/>
      </w:r>
      <w:r>
        <w:rPr>
          <w:rStyle w:val="VerbatimChar"/>
        </w:rPr>
        <w:t xml:space="preserve">7. DIAGNOSTIC DES PROBLEMES FREQUENTS</w:t>
      </w:r>
      <w:r>
        <w:br/>
      </w:r>
      <w:r>
        <w:rPr>
          <w:rStyle w:val="VerbatimChar"/>
        </w:rPr>
        <w:t xml:space="preserve">   | Symptome | Cause probable | Action |</w:t>
      </w:r>
      <w:r>
        <w:br/>
      </w:r>
      <w:r>
        <w:rPr>
          <w:rStyle w:val="VerbatimChar"/>
        </w:rPr>
        <w:t xml:space="preserve">   |---|---|---|</w:t>
      </w:r>
      <w:r>
        <w:br/>
      </w:r>
      <w:r>
        <w:rPr>
          <w:rStyle w:val="VerbatimChar"/>
        </w:rPr>
        <w:t xml:space="preserve">   | [symptome] | [cause] | [action corrective] |</w:t>
      </w:r>
      <w:r>
        <w:br/>
      </w:r>
      <w:r>
        <w:br/>
      </w:r>
      <w:r>
        <w:rPr>
          <w:rStyle w:val="VerbatimChar"/>
        </w:rPr>
        <w:t xml:space="preserve">8. CONTACTS D'ESCALADE</w:t>
      </w:r>
      <w:r>
        <w:br/>
      </w:r>
      <w:r>
        <w:rPr>
          <w:rStyle w:val="VerbatimChar"/>
        </w:rPr>
        <w:t xml:space="preserve">   - Niveau 1 : [contact]</w:t>
      </w:r>
      <w:r>
        <w:br/>
      </w:r>
      <w:r>
        <w:rPr>
          <w:rStyle w:val="VerbatimChar"/>
        </w:rPr>
        <w:t xml:space="preserve">   - Niveau 2 : [contact]</w:t>
      </w:r>
      <w:r>
        <w:br/>
      </w:r>
      <w:r>
        <w:rPr>
          <w:rStyle w:val="VerbatimChar"/>
        </w:rPr>
        <w:t xml:space="preserve">   - Astreinte : [contact]</w:t>
      </w:r>
      <w:r>
        <w:br/>
      </w:r>
      <w:r>
        <w:br/>
      </w:r>
      <w:r>
        <w:rPr>
          <w:rStyle w:val="VerbatimChar"/>
        </w:rPr>
        <w:t xml:space="preserve">9. DERNIERE MISE A JOUR : [date] — [auteur]</w:t>
      </w:r>
    </w:p>
    <w:bookmarkEnd w:id="2106"/>
    <w:bookmarkStart w:id="2107" w:name="Xa044b6560444d845c9c97e66141a5091916d9a2"/>
    <w:p>
      <w:pPr>
        <w:pStyle w:val="Heading2"/>
      </w:pPr>
      <w:r>
        <w:t xml:space="preserve">D.2 Modèle de plan de reprise d’activité (PRA)</w:t>
      </w:r>
    </w:p>
    <w:p>
      <w:pPr>
        <w:pStyle w:val="FirstParagraph"/>
      </w:pPr>
      <w:r>
        <w:t xml:space="preserve">📌 À retenir — rappel direct du chapitre 31</w:t>
      </w:r>
      <w:r>
        <w:t xml:space="preserve"> </w:t>
      </w:r>
      <w:r>
        <w:t xml:space="preserve">Le PRA formalise comment restaurer un système après un sinistre, avec des objectifs de temps (RTO) et de perte de données (RPO) explicites.</w:t>
      </w:r>
    </w:p>
    <w:p>
      <w:pPr>
        <w:pStyle w:val="SourceCode"/>
      </w:pPr>
      <w:r>
        <w:rPr>
          <w:rStyle w:val="VerbatimChar"/>
        </w:rPr>
        <w:t xml:space="preserve">PLAN DE REPRISE D'ACTIVITE — [Systeme/Service]</w:t>
      </w:r>
      <w:r>
        <w:br/>
      </w:r>
      <w:r>
        <w:rPr>
          <w:rStyle w:val="VerbatimChar"/>
        </w:rPr>
        <w:t xml:space="preserve">================================================</w:t>
      </w:r>
      <w:r>
        <w:br/>
      </w:r>
      <w:r>
        <w:br/>
      </w:r>
      <w:r>
        <w:rPr>
          <w:rStyle w:val="VerbatimChar"/>
        </w:rPr>
        <w:t xml:space="preserve">1. OBJECTIFS</w:t>
      </w:r>
      <w:r>
        <w:br/>
      </w:r>
      <w:r>
        <w:rPr>
          <w:rStyle w:val="VerbatimChar"/>
        </w:rPr>
        <w:t xml:space="preserve">   - RTO (temps de reprise cible) : [ex. 4 heures]</w:t>
      </w:r>
      <w:r>
        <w:br/>
      </w:r>
      <w:r>
        <w:rPr>
          <w:rStyle w:val="VerbatimChar"/>
        </w:rPr>
        <w:t xml:space="preserve">   - RPO (perte de donnees maximale acceptable) : [ex. 1 heure]</w:t>
      </w:r>
      <w:r>
        <w:br/>
      </w:r>
      <w:r>
        <w:br/>
      </w:r>
      <w:r>
        <w:rPr>
          <w:rStyle w:val="VerbatimChar"/>
        </w:rPr>
        <w:t xml:space="preserve">2. SCENARIOS DE SINISTRE COUVERTS</w:t>
      </w:r>
      <w:r>
        <w:br/>
      </w:r>
      <w:r>
        <w:rPr>
          <w:rStyle w:val="VerbatimChar"/>
        </w:rPr>
        <w:t xml:space="preserve">   - [Scenario 1 : panne materielle du serveur]</w:t>
      </w:r>
      <w:r>
        <w:br/>
      </w:r>
      <w:r>
        <w:rPr>
          <w:rStyle w:val="VerbatimChar"/>
        </w:rPr>
        <w:t xml:space="preserve">   - [Scenario 2 : perte du site physique]</w:t>
      </w:r>
      <w:r>
        <w:br/>
      </w:r>
      <w:r>
        <w:rPr>
          <w:rStyle w:val="VerbatimChar"/>
        </w:rPr>
        <w:t xml:space="preserve">   - [Scenario 3 : compromission de securite majeure]</w:t>
      </w:r>
      <w:r>
        <w:br/>
      </w:r>
      <w:r>
        <w:br/>
      </w:r>
      <w:r>
        <w:rPr>
          <w:rStyle w:val="VerbatimChar"/>
        </w:rPr>
        <w:t xml:space="preserve">3. SAUVEGARDES</w:t>
      </w:r>
      <w:r>
        <w:br/>
      </w:r>
      <w:r>
        <w:rPr>
          <w:rStyle w:val="VerbatimChar"/>
        </w:rPr>
        <w:t xml:space="preserve">   - Frequence : [ex. quotidienne]</w:t>
      </w:r>
      <w:r>
        <w:br/>
      </w:r>
      <w:r>
        <w:rPr>
          <w:rStyle w:val="VerbatimChar"/>
        </w:rPr>
        <w:t xml:space="preserve">   - Emplacement(s) : [local + hors site, rappel regle 3-2-1, chapitre 30]</w:t>
      </w:r>
      <w:r>
        <w:br/>
      </w:r>
      <w:r>
        <w:rPr>
          <w:rStyle w:val="VerbatimChar"/>
        </w:rPr>
        <w:t xml:space="preserve">   - Retention : [duree]</w:t>
      </w:r>
      <w:r>
        <w:br/>
      </w:r>
      <w:r>
        <w:rPr>
          <w:rStyle w:val="VerbatimChar"/>
        </w:rPr>
        <w:t xml:space="preserve">   - Chiffrement : [oui/non, methode]</w:t>
      </w:r>
      <w:r>
        <w:br/>
      </w:r>
      <w:r>
        <w:br/>
      </w:r>
      <w:r>
        <w:rPr>
          <w:rStyle w:val="VerbatimChar"/>
        </w:rPr>
        <w:t xml:space="preserve">4. PROCEDURE DE RESTAURATION</w:t>
      </w:r>
      <w:r>
        <w:br/>
      </w:r>
      <w:r>
        <w:rPr>
          <w:rStyle w:val="VerbatimChar"/>
        </w:rPr>
        <w:t xml:space="preserve">   Etape 1 : [ex. provisionner un nouveau serveur / instance]</w:t>
      </w:r>
      <w:r>
        <w:br/>
      </w:r>
      <w:r>
        <w:rPr>
          <w:rStyle w:val="VerbatimChar"/>
        </w:rPr>
        <w:t xml:space="preserve">   Etape 2 : [ex. restaurer la derniere sauvegarde valide]</w:t>
      </w:r>
      <w:r>
        <w:br/>
      </w:r>
      <w:r>
        <w:rPr>
          <w:rStyle w:val="VerbatimChar"/>
        </w:rPr>
        <w:t xml:space="preserve">   Etape 3 : [ex. verifier l'integrite des donnees restaurees]</w:t>
      </w:r>
      <w:r>
        <w:br/>
      </w:r>
      <w:r>
        <w:rPr>
          <w:rStyle w:val="VerbatimChar"/>
        </w:rPr>
        <w:t xml:space="preserve">   Etape 4 : [ex. reconfigurer le reseau / DNS]</w:t>
      </w:r>
      <w:r>
        <w:br/>
      </w:r>
      <w:r>
        <w:rPr>
          <w:rStyle w:val="VerbatimChar"/>
        </w:rPr>
        <w:t xml:space="preserve">   Etape 5 : [ex. valider le fonctionnement avec les utilisateurs cles]</w:t>
      </w:r>
      <w:r>
        <w:br/>
      </w:r>
      <w:r>
        <w:br/>
      </w:r>
      <w:r>
        <w:rPr>
          <w:rStyle w:val="VerbatimChar"/>
        </w:rPr>
        <w:t xml:space="preserve">5. ROLES ET RESPONSABILITES</w:t>
      </w:r>
      <w:r>
        <w:br/>
      </w:r>
      <w:r>
        <w:rPr>
          <w:rStyle w:val="VerbatimChar"/>
        </w:rPr>
        <w:t xml:space="preserve">   - Decideur de declenchement du PRA : [role]</w:t>
      </w:r>
      <w:r>
        <w:br/>
      </w:r>
      <w:r>
        <w:rPr>
          <w:rStyle w:val="VerbatimChar"/>
        </w:rPr>
        <w:t xml:space="preserve">   - Executant technique : [role]</w:t>
      </w:r>
      <w:r>
        <w:br/>
      </w:r>
      <w:r>
        <w:rPr>
          <w:rStyle w:val="VerbatimChar"/>
        </w:rPr>
        <w:t xml:space="preserve">   - Communication aux parties prenantes : [role]</w:t>
      </w:r>
      <w:r>
        <w:br/>
      </w:r>
      <w:r>
        <w:br/>
      </w:r>
      <w:r>
        <w:rPr>
          <w:rStyle w:val="VerbatimChar"/>
        </w:rPr>
        <w:t xml:space="preserve">6. TESTS DE VALIDATION</w:t>
      </w:r>
      <w:r>
        <w:br/>
      </w:r>
      <w:r>
        <w:rPr>
          <w:rStyle w:val="VerbatimChar"/>
        </w:rPr>
        <w:t xml:space="preserve">   - Frequence des tests : [ex. trimestrielle, rappel chapitre 27]</w:t>
      </w:r>
      <w:r>
        <w:br/>
      </w:r>
      <w:r>
        <w:rPr>
          <w:rStyle w:val="VerbatimChar"/>
        </w:rPr>
        <w:t xml:space="preserve">   - Date du dernier test reussi : [date]</w:t>
      </w:r>
      <w:r>
        <w:br/>
      </w:r>
      <w:r>
        <w:rPr>
          <w:rStyle w:val="VerbatimChar"/>
        </w:rPr>
        <w:t xml:space="preserve">   - Resultat du dernier test : [conforme / ecarts constates]</w:t>
      </w:r>
      <w:r>
        <w:br/>
      </w:r>
      <w:r>
        <w:br/>
      </w:r>
      <w:r>
        <w:rPr>
          <w:rStyle w:val="VerbatimChar"/>
        </w:rPr>
        <w:t xml:space="preserve">7. DERNIERE MISE A JOUR : [date] — [auteur]</w:t>
      </w:r>
    </w:p>
    <w:bookmarkEnd w:id="2107"/>
    <w:bookmarkStart w:id="2108" w:name="d.3-modèle-de-politique-de-sécurité"/>
    <w:p>
      <w:pPr>
        <w:pStyle w:val="Heading2"/>
      </w:pPr>
      <w:r>
        <w:t xml:space="preserve">D.3 Modèle de politique de sécurité</w:t>
      </w:r>
    </w:p>
    <w:p>
      <w:pPr>
        <w:pStyle w:val="FirstParagraph"/>
      </w:pPr>
      <w:r>
        <w:t xml:space="preserve">📌 À retenir — rappel direct de la Partie 12</w:t>
      </w:r>
      <w:r>
        <w:t xml:space="preserve"> </w:t>
      </w:r>
      <w:r>
        <w:t xml:space="preserve">Une politique de sécurité formalise les règles et attentes de l’organisation, servant de référence pour les décisions techniques et les audits de conformité (chapitres 71-72).</w:t>
      </w:r>
    </w:p>
    <w:p>
      <w:pPr>
        <w:pStyle w:val="SourceCode"/>
      </w:pPr>
      <w:r>
        <w:rPr>
          <w:rStyle w:val="VerbatimChar"/>
        </w:rPr>
        <w:t xml:space="preserve">POLITIQUE DE SECURITE — [Organisation]</w:t>
      </w:r>
      <w:r>
        <w:br/>
      </w:r>
      <w:r>
        <w:rPr>
          <w:rStyle w:val="VerbatimChar"/>
        </w:rPr>
        <w:t xml:space="preserve">========================================</w:t>
      </w:r>
      <w:r>
        <w:br/>
      </w:r>
      <w:r>
        <w:br/>
      </w:r>
      <w:r>
        <w:rPr>
          <w:rStyle w:val="VerbatimChar"/>
        </w:rPr>
        <w:t xml:space="preserve">1. PORTEE</w:t>
      </w:r>
      <w:r>
        <w:br/>
      </w:r>
      <w:r>
        <w:rPr>
          <w:rStyle w:val="VerbatimChar"/>
        </w:rPr>
        <w:t xml:space="preserve">   - Systemes couverts : [ensemble de l'infrastructure / perimetre specifique]</w:t>
      </w:r>
      <w:r>
        <w:br/>
      </w:r>
      <w:r>
        <w:rPr>
          <w:rStyle w:val="VerbatimChar"/>
        </w:rPr>
        <w:t xml:space="preserve">   - Personnes concernees : [tous les employes / equipe technique uniquement]</w:t>
      </w:r>
      <w:r>
        <w:br/>
      </w:r>
      <w:r>
        <w:br/>
      </w:r>
      <w:r>
        <w:rPr>
          <w:rStyle w:val="VerbatimChar"/>
        </w:rPr>
        <w:t xml:space="preserve">2. GESTION DES IDENTITES ET DES ACCES</w:t>
      </w:r>
      <w:r>
        <w:br/>
      </w:r>
      <w:r>
        <w:rPr>
          <w:rStyle w:val="VerbatimChar"/>
        </w:rPr>
        <w:t xml:space="preserve">   - Principe de moindre privilege applique (chapitre 22)</w:t>
      </w:r>
      <w:r>
        <w:br/>
      </w:r>
      <w:r>
        <w:rPr>
          <w:rStyle w:val="VerbatimChar"/>
        </w:rPr>
        <w:t xml:space="preserve">   - Authentification multifacteur obligatoire pour : [liste des cas]</w:t>
      </w:r>
      <w:r>
        <w:br/>
      </w:r>
      <w:r>
        <w:rPr>
          <w:rStyle w:val="VerbatimChar"/>
        </w:rPr>
        <w:t xml:space="preserve">   - Revue des acces : [frequence]</w:t>
      </w:r>
      <w:r>
        <w:br/>
      </w:r>
      <w:r>
        <w:br/>
      </w:r>
      <w:r>
        <w:rPr>
          <w:rStyle w:val="VerbatimChar"/>
        </w:rPr>
        <w:t xml:space="preserve">3. DURCISSEMENT DES SYSTEMES</w:t>
      </w:r>
      <w:r>
        <w:br/>
      </w:r>
      <w:r>
        <w:rPr>
          <w:rStyle w:val="VerbatimChar"/>
        </w:rPr>
        <w:t xml:space="preserve">   - Reference technique : CIS Benchmarks Level [1/2] (chapitre 73)</w:t>
      </w:r>
      <w:r>
        <w:br/>
      </w:r>
      <w:r>
        <w:rPr>
          <w:rStyle w:val="VerbatimChar"/>
        </w:rPr>
        <w:t xml:space="preserve">   - Delai d'application des correctifs critiques : [ex. 48h]</w:t>
      </w:r>
      <w:r>
        <w:br/>
      </w:r>
      <w:r>
        <w:br/>
      </w:r>
      <w:r>
        <w:rPr>
          <w:rStyle w:val="VerbatimChar"/>
        </w:rPr>
        <w:t xml:space="preserve">4. SUPERVISION ET DETECTION</w:t>
      </w:r>
      <w:r>
        <w:br/>
      </w:r>
      <w:r>
        <w:rPr>
          <w:rStyle w:val="VerbatimChar"/>
        </w:rPr>
        <w:t xml:space="preserve">   - Outils en place : [Zabbix/Prometheus/SIEM/IDS-IPS/EDR]</w:t>
      </w:r>
      <w:r>
        <w:br/>
      </w:r>
      <w:r>
        <w:rPr>
          <w:rStyle w:val="VerbatimChar"/>
        </w:rPr>
        <w:t xml:space="preserve">   - Retention des journaux de securite : [duree]</w:t>
      </w:r>
      <w:r>
        <w:br/>
      </w:r>
      <w:r>
        <w:br/>
      </w:r>
      <w:r>
        <w:rPr>
          <w:rStyle w:val="VerbatimChar"/>
        </w:rPr>
        <w:t xml:space="preserve">5. REPONSE A INCIDENT</w:t>
      </w:r>
      <w:r>
        <w:br/>
      </w:r>
      <w:r>
        <w:rPr>
          <w:rStyle w:val="VerbatimChar"/>
        </w:rPr>
        <w:t xml:space="preserve">   - Reference : procedure de reponse a incident (chapitre 79)</w:t>
      </w:r>
      <w:r>
        <w:br/>
      </w:r>
      <w:r>
        <w:rPr>
          <w:rStyle w:val="VerbatimChar"/>
        </w:rPr>
        <w:t xml:space="preserve">   - Contact d'urgence : [contact]</w:t>
      </w:r>
      <w:r>
        <w:br/>
      </w:r>
      <w:r>
        <w:br/>
      </w:r>
      <w:r>
        <w:rPr>
          <w:rStyle w:val="VerbatimChar"/>
        </w:rPr>
        <w:t xml:space="preserve">6. TESTS ET AUDITS</w:t>
      </w:r>
      <w:r>
        <w:br/>
      </w:r>
      <w:r>
        <w:rPr>
          <w:rStyle w:val="VerbatimChar"/>
        </w:rPr>
        <w:t xml:space="preserve">   - Test d'intrusion : [frequence, chapitre 77]</w:t>
      </w:r>
      <w:r>
        <w:br/>
      </w:r>
      <w:r>
        <w:rPr>
          <w:rStyle w:val="VerbatimChar"/>
        </w:rPr>
        <w:t xml:space="preserve">   - Audit de conformite : [reference NIST CSF/ISO 27001, chapitres 71-72]</w:t>
      </w:r>
      <w:r>
        <w:br/>
      </w:r>
      <w:r>
        <w:br/>
      </w:r>
      <w:r>
        <w:rPr>
          <w:rStyle w:val="VerbatimChar"/>
        </w:rPr>
        <w:t xml:space="preserve">7. FORMATION ET SENSIBILISATION</w:t>
      </w:r>
      <w:r>
        <w:br/>
      </w:r>
      <w:r>
        <w:rPr>
          <w:rStyle w:val="VerbatimChar"/>
        </w:rPr>
        <w:t xml:space="preserve">   - Frequence de sensibilisation des employes : [ex. annuelle]</w:t>
      </w:r>
      <w:r>
        <w:br/>
      </w:r>
      <w:r>
        <w:br/>
      </w:r>
      <w:r>
        <w:rPr>
          <w:rStyle w:val="VerbatimChar"/>
        </w:rPr>
        <w:t xml:space="preserve">8. REVISION DE CETTE POLITIQUE</w:t>
      </w:r>
      <w:r>
        <w:br/>
      </w:r>
      <w:r>
        <w:rPr>
          <w:rStyle w:val="VerbatimChar"/>
        </w:rPr>
        <w:t xml:space="preserve">   - Frequence de revision : [ex. annuelle]</w:t>
      </w:r>
      <w:r>
        <w:br/>
      </w:r>
      <w:r>
        <w:rPr>
          <w:rStyle w:val="VerbatimChar"/>
        </w:rPr>
        <w:t xml:space="preserve">   - Derniere revision : [date] — [auteur]</w:t>
      </w:r>
    </w:p>
    <w:p>
      <w:pPr>
        <w:pStyle w:val="FirstParagraph"/>
      </w:pPr>
      <w:r>
        <w:t xml:space="preserve">✅ Comment utiliser ces modèles</w:t>
      </w:r>
      <w:r>
        <w:t xml:space="preserve"> </w:t>
      </w:r>
      <w:r>
        <w:t xml:space="preserve">Chaque gabarit reste un point de départ, jamais un document définitif — adapte-le au contexte réel de l’organisation, en t’appuyant sur les principes déjà détaillés dans les chapitres référencés. Un modèle rempli mécaniquement, sans réflexion sur sa pertinence réelle, reproduit exactement le risque déjà dénoncé pour une déclaration d’applicabilité artificiellement complète au chapitre 72.</w:t>
      </w:r>
    </w:p>
    <w:p>
      <w:pPr>
        <w:pStyle w:val="BodyText"/>
      </w:pPr>
      <w:r>
        <w:rPr>
          <w:i/>
          <w:iCs/>
        </w:rPr>
        <w:t xml:space="preserve">Annexe suivante : les erreurs fréquentes récapitulées, un rappel condensé des pièges les plus courants rencontrés tout au long de ce manuel.</w:t>
      </w:r>
    </w:p>
    <w:p>
      <w:pPr>
        <w:pStyle w:val="BodyText"/>
      </w:pPr>
      <w:r>
        <w:t xml:space="preserve">ANNEXE E</w:t>
      </w:r>
    </w:p>
    <w:bookmarkEnd w:id="2108"/>
    <w:bookmarkEnd w:id="2109"/>
    <w:bookmarkStart w:id="2122" w:name="erreurs-fréquentes-récapitulées"/>
    <w:p>
      <w:pPr>
        <w:pStyle w:val="Heading1"/>
      </w:pPr>
      <w:r>
        <w:t xml:space="preserve">Erreurs fréquentes récapitulées</w:t>
      </w:r>
    </w:p>
    <w:p>
      <w:pPr>
        <w:pStyle w:val="FirstParagraph"/>
      </w:pPr>
      <w:r>
        <w:t xml:space="preserve">🎯 Objectif de l’annexe</w:t>
      </w:r>
      <w:r>
        <w:t xml:space="preserve"> </w:t>
      </w:r>
      <w:r>
        <w:t xml:space="preserve">Rassembler, par partie du manuel, les erreurs les plus significatives et les plus récurrentes déjà détaillées dans les encadrés</w:t>
      </w:r>
      <w:r>
        <w:t xml:space="preserve"> </w:t>
      </w:r>
      <w:r>
        <w:t xml:space="preserve">“Erreurs fréquentes”</w:t>
      </w:r>
      <w:r>
        <w:t xml:space="preserve"> </w:t>
      </w:r>
      <w:r>
        <w:t xml:space="preserve">de chaque chapitre. Cette annexe ne remplace pas la lecture des chapitres correspondants — elle sert de rappel condensé, utile pour une révision rapide ou pour repérer un pattern qui traverse plusieurs parties du manuel.</w:t>
      </w:r>
    </w:p>
    <w:p>
      <w:pPr>
        <w:pStyle w:val="BodyText"/>
      </w:pPr>
      <w:r>
        <w:t xml:space="preserve">⚠️ Un pattern qui traverse tout ce manuel</w:t>
      </w:r>
      <w:r>
        <w:t xml:space="preserve"> </w:t>
      </w:r>
      <w:r>
        <w:t xml:space="preserve">Plusieurs erreurs listées ci-dessous se répètent, sous une forme adaptée, dans de nombreux chapitres : la fatigue d’alerte (seuils mal calibrés), la dérive de configuration (répétition manuelle sans automatisation), le point de défaillance unique, et l’angle mort (une source ou un composant oublié d’une couverture par ailleurs solide). Reconnaître ces patterns récurrents, plutôt que de traiter chaque chapitre comme un domaine isolé, constitue l’une des compétences transversales les plus utiles développées par ce manuel.</w:t>
      </w:r>
    </w:p>
    <w:bookmarkStart w:id="2110" w:name="Xdc363dd79e9a2bfd80a6e85bc3f23dedd90385e"/>
    <w:p>
      <w:pPr>
        <w:pStyle w:val="Heading2"/>
      </w:pPr>
      <w:r>
        <w:t xml:space="preserve">E.1 Partie 1 — Métier, ITIL, documentation, environnements (chapitres 1-4)</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Erreur</w:t>
            </w:r>
          </w:p>
        </w:tc>
        <w:tc>
          <w:tcPr/>
          <w:p>
            <w:pPr>
              <w:pStyle w:val="Compact"/>
            </w:pPr>
            <w:r>
              <w:t xml:space="preserve">Chapitre</w:t>
            </w:r>
          </w:p>
        </w:tc>
        <w:tc>
          <w:tcPr/>
          <w:p>
            <w:pPr>
              <w:pStyle w:val="Compact"/>
            </w:pPr>
            <w:r>
              <w:t xml:space="preserve">Risque</w:t>
            </w:r>
          </w:p>
        </w:tc>
      </w:tr>
      <w:tr>
        <w:tc>
          <w:tcPr/>
          <w:p>
            <w:pPr>
              <w:pStyle w:val="Compact"/>
            </w:pPr>
            <w:r>
              <w:t xml:space="preserve">Aucune documentation à jour de l’infrastructure</w:t>
            </w:r>
          </w:p>
        </w:tc>
        <w:tc>
          <w:tcPr/>
          <w:p>
            <w:pPr>
              <w:pStyle w:val="Compact"/>
            </w:pPr>
            <w:r>
              <w:t xml:space="preserve">2-3</w:t>
            </w:r>
          </w:p>
        </w:tc>
        <w:tc>
          <w:tcPr/>
          <w:p>
            <w:pPr>
              <w:pStyle w:val="Compact"/>
            </w:pPr>
            <w:r>
              <w:t xml:space="preserve">Dépendance totale à la mémoire d’une seule personne</w:t>
            </w:r>
          </w:p>
        </w:tc>
      </w:tr>
      <w:tr>
        <w:tc>
          <w:tcPr/>
          <w:p>
            <w:pPr>
              <w:pStyle w:val="Compact"/>
            </w:pPr>
            <w:r>
              <w:t xml:space="preserve">Aucun inventaire des actifs maintenu</w:t>
            </w:r>
          </w:p>
        </w:tc>
        <w:tc>
          <w:tcPr/>
          <w:p>
            <w:pPr>
              <w:pStyle w:val="Compact"/>
            </w:pPr>
            <w:r>
              <w:t xml:space="preserve">3</w:t>
            </w:r>
          </w:p>
        </w:tc>
        <w:tc>
          <w:tcPr/>
          <w:p>
            <w:pPr>
              <w:pStyle w:val="Compact"/>
            </w:pPr>
            <w:r>
              <w:t xml:space="preserve">Impossible de savoir ce qu’il faut réellement protéger</w:t>
            </w:r>
          </w:p>
        </w:tc>
      </w:tr>
      <w:tr>
        <w:tc>
          <w:tcPr/>
          <w:p>
            <w:pPr>
              <w:pStyle w:val="Compact"/>
            </w:pPr>
            <w:r>
              <w:t xml:space="preserve">Un service exposé directement à Internet sans protection (RDP)</w:t>
            </w:r>
          </w:p>
        </w:tc>
        <w:tc>
          <w:tcPr/>
          <w:p>
            <w:pPr>
              <w:pStyle w:val="Compact"/>
            </w:pPr>
            <w:r>
              <w:t xml:space="preserve">4</w:t>
            </w:r>
          </w:p>
        </w:tc>
        <w:tc>
          <w:tcPr/>
          <w:p>
            <w:pPr>
              <w:pStyle w:val="Compact"/>
            </w:pPr>
            <w:r>
              <w:t xml:space="preserve">Exploitation directe, incident fondateur du fil rouge de ce manuel</w:t>
            </w:r>
          </w:p>
        </w:tc>
      </w:tr>
      <w:tr>
        <w:tc>
          <w:tcPr/>
          <w:p>
            <w:pPr>
              <w:pStyle w:val="Compact"/>
            </w:pPr>
            <w:r>
              <w:t xml:space="preserve">Aucun environnement de test distinct de la production</w:t>
            </w:r>
          </w:p>
        </w:tc>
        <w:tc>
          <w:tcPr/>
          <w:p>
            <w:pPr>
              <w:pStyle w:val="Compact"/>
            </w:pPr>
            <w:r>
              <w:t xml:space="preserve">4</w:t>
            </w:r>
          </w:p>
        </w:tc>
        <w:tc>
          <w:tcPr/>
          <w:p>
            <w:pPr>
              <w:pStyle w:val="Compact"/>
            </w:pPr>
            <w:r>
              <w:t xml:space="preserve">Un changement risqué testé directement en production</w:t>
            </w:r>
          </w:p>
        </w:tc>
      </w:tr>
    </w:tbl>
    <w:bookmarkEnd w:id="2110"/>
    <w:bookmarkStart w:id="2111" w:name="Xd0327a87771bc4b4d9188c652b886a1cf0c06f1"/>
    <w:p>
      <w:pPr>
        <w:pStyle w:val="Heading2"/>
      </w:pPr>
      <w:r>
        <w:t xml:space="preserve">E.2 Partie 2-3 — Windows Server et Linux avancés (chapitres 5-21)</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Erreur</w:t>
            </w:r>
          </w:p>
        </w:tc>
        <w:tc>
          <w:tcPr/>
          <w:p>
            <w:pPr>
              <w:pStyle w:val="Compact"/>
            </w:pPr>
            <w:r>
              <w:t xml:space="preserve">Chapitre</w:t>
            </w:r>
          </w:p>
        </w:tc>
        <w:tc>
          <w:tcPr/>
          <w:p>
            <w:pPr>
              <w:pStyle w:val="Compact"/>
            </w:pPr>
            <w:r>
              <w:t xml:space="preserve">Risque</w:t>
            </w:r>
          </w:p>
        </w:tc>
      </w:tr>
      <w:tr>
        <w:tc>
          <w:tcPr/>
          <w:p>
            <w:pPr>
              <w:pStyle w:val="Compact"/>
            </w:pPr>
            <w:r>
              <w:t xml:space="preserve">Un seul contrôleur de domaine, sans réplication</w:t>
            </w:r>
          </w:p>
        </w:tc>
        <w:tc>
          <w:tcPr/>
          <w:p>
            <w:pPr>
              <w:pStyle w:val="Compact"/>
            </w:pPr>
            <w:r>
              <w:t xml:space="preserve">5-6</w:t>
            </w:r>
          </w:p>
        </w:tc>
        <w:tc>
          <w:tcPr/>
          <w:p>
            <w:pPr>
              <w:pStyle w:val="Compact"/>
            </w:pPr>
            <w:r>
              <w:t xml:space="preserve">Point de défaillance unique pour toute l’authentification</w:t>
            </w:r>
          </w:p>
        </w:tc>
      </w:tr>
      <w:tr>
        <w:tc>
          <w:tcPr/>
          <w:p>
            <w:pPr>
              <w:pStyle w:val="Compact"/>
            </w:pPr>
            <w:r>
              <w:t xml:space="preserve">Des GPO en conflit ou mal testées avant application large</w:t>
            </w:r>
          </w:p>
        </w:tc>
        <w:tc>
          <w:tcPr/>
          <w:p>
            <w:pPr>
              <w:pStyle w:val="Compact"/>
            </w:pPr>
            <w:r>
              <w:t xml:space="preserve">7</w:t>
            </w:r>
          </w:p>
        </w:tc>
        <w:tc>
          <w:tcPr/>
          <w:p>
            <w:pPr>
              <w:pStyle w:val="Compact"/>
            </w:pPr>
            <w:r>
              <w:t xml:space="preserve">Dysfonctionnement massif et difficile à diagnostiquer</w:t>
            </w:r>
          </w:p>
        </w:tc>
      </w:tr>
      <w:tr>
        <w:tc>
          <w:tcPr/>
          <w:p>
            <w:pPr>
              <w:pStyle w:val="Compact"/>
            </w:pPr>
            <w:r>
              <w:t xml:space="preserve">Aucune tolérance de panne sur les services DNS/DHCP</w:t>
            </w:r>
          </w:p>
        </w:tc>
        <w:tc>
          <w:tcPr/>
          <w:p>
            <w:pPr>
              <w:pStyle w:val="Compact"/>
            </w:pPr>
            <w:r>
              <w:t xml:space="preserve">9-10</w:t>
            </w:r>
          </w:p>
        </w:tc>
        <w:tc>
          <w:tcPr/>
          <w:p>
            <w:pPr>
              <w:pStyle w:val="Compact"/>
            </w:pPr>
            <w:r>
              <w:t xml:space="preserve">Interruption réseau complète en cas de panne</w:t>
            </w:r>
          </w:p>
        </w:tc>
      </w:tr>
      <w:tr>
        <w:tc>
          <w:tcPr/>
          <w:p>
            <w:pPr>
              <w:pStyle w:val="Compact"/>
            </w:pPr>
            <w:r>
              <w:t xml:space="preserve">Un script exécuté sans en comprendre le contenu</w:t>
            </w:r>
          </w:p>
        </w:tc>
        <w:tc>
          <w:tcPr/>
          <w:p>
            <w:pPr>
              <w:pStyle w:val="Compact"/>
            </w:pPr>
            <w:r>
              <w:t xml:space="preserve">20-21</w:t>
            </w:r>
          </w:p>
        </w:tc>
        <w:tc>
          <w:tcPr/>
          <w:p>
            <w:pPr>
              <w:pStyle w:val="Compact"/>
            </w:pPr>
            <w:r>
              <w:t xml:space="preserve">Exécution d’une action destructrice non anticipée</w:t>
            </w:r>
          </w:p>
        </w:tc>
      </w:tr>
    </w:tbl>
    <w:bookmarkEnd w:id="2111"/>
    <w:bookmarkStart w:id="2112" w:name="Xfc610ae67ce1959614e37fbce40107ed32a9170"/>
    <w:p>
      <w:pPr>
        <w:pStyle w:val="Heading2"/>
      </w:pPr>
      <w:r>
        <w:t xml:space="preserve">E.3 Partie 4 — Identité et sécurité des accès (chapitres 22-26)</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Erreur</w:t>
            </w:r>
          </w:p>
        </w:tc>
        <w:tc>
          <w:tcPr/>
          <w:p>
            <w:pPr>
              <w:pStyle w:val="Compact"/>
            </w:pPr>
            <w:r>
              <w:t xml:space="preserve">Chapitre</w:t>
            </w:r>
          </w:p>
        </w:tc>
        <w:tc>
          <w:tcPr/>
          <w:p>
            <w:pPr>
              <w:pStyle w:val="Compact"/>
            </w:pPr>
            <w:r>
              <w:t xml:space="preserve">Risque</w:t>
            </w:r>
          </w:p>
        </w:tc>
      </w:tr>
      <w:tr>
        <w:tc>
          <w:tcPr/>
          <w:p>
            <w:pPr>
              <w:pStyle w:val="Compact"/>
            </w:pPr>
            <w:r>
              <w:t xml:space="preserve">Un compte à privilèges élevés sans MFA</w:t>
            </w:r>
          </w:p>
        </w:tc>
        <w:tc>
          <w:tcPr/>
          <w:p>
            <w:pPr>
              <w:pStyle w:val="Compact"/>
            </w:pPr>
            <w:r>
              <w:t xml:space="preserve">25</w:t>
            </w:r>
          </w:p>
        </w:tc>
        <w:tc>
          <w:tcPr/>
          <w:p>
            <w:pPr>
              <w:pStyle w:val="Compact"/>
            </w:pPr>
            <w:r>
              <w:t xml:space="preserve">Compromission par phishing d’un compte critique</w:t>
            </w:r>
          </w:p>
        </w:tc>
      </w:tr>
      <w:tr>
        <w:tc>
          <w:tcPr/>
          <w:p>
            <w:pPr>
              <w:pStyle w:val="Compact"/>
            </w:pPr>
            <w:r>
              <w:t xml:space="preserve">Une horloge désynchronisée entre systèmes</w:t>
            </w:r>
          </w:p>
        </w:tc>
        <w:tc>
          <w:tcPr/>
          <w:p>
            <w:pPr>
              <w:pStyle w:val="Compact"/>
            </w:pPr>
            <w:r>
              <w:t xml:space="preserve">23</w:t>
            </w:r>
          </w:p>
        </w:tc>
        <w:tc>
          <w:tcPr/>
          <w:p>
            <w:pPr>
              <w:pStyle w:val="Compact"/>
            </w:pPr>
            <w:r>
              <w:t xml:space="preserve">Échecs Kerberos (</w:t>
            </w:r>
            <w:r>
              <w:t xml:space="preserve">“clock skew too great”</w:t>
            </w:r>
            <w:r>
              <w:t xml:space="preserve">)</w:t>
            </w:r>
          </w:p>
        </w:tc>
      </w:tr>
      <w:tr>
        <w:tc>
          <w:tcPr/>
          <w:p>
            <w:pPr>
              <w:pStyle w:val="Compact"/>
            </w:pPr>
            <w:r>
              <w:t xml:space="preserve">Un certificat TLS jamais renouvelé avant expiration</w:t>
            </w:r>
          </w:p>
        </w:tc>
        <w:tc>
          <w:tcPr/>
          <w:p>
            <w:pPr>
              <w:pStyle w:val="Compact"/>
            </w:pPr>
            <w:r>
              <w:t xml:space="preserve">24</w:t>
            </w:r>
          </w:p>
        </w:tc>
        <w:tc>
          <w:tcPr/>
          <w:p>
            <w:pPr>
              <w:pStyle w:val="Compact"/>
            </w:pPr>
            <w:r>
              <w:t xml:space="preserve">Interruption de service et alerte navigateur</w:t>
            </w:r>
          </w:p>
        </w:tc>
      </w:tr>
      <w:tr>
        <w:tc>
          <w:tcPr/>
          <w:p>
            <w:pPr>
              <w:pStyle w:val="Compact"/>
            </w:pPr>
            <w:r>
              <w:t xml:space="preserve">Une confiance implicite accordée au seul réseau interne</w:t>
            </w:r>
          </w:p>
        </w:tc>
        <w:tc>
          <w:tcPr/>
          <w:p>
            <w:pPr>
              <w:pStyle w:val="Compact"/>
            </w:pPr>
            <w:r>
              <w:t xml:space="preserve">26</w:t>
            </w:r>
          </w:p>
        </w:tc>
        <w:tc>
          <w:tcPr/>
          <w:p>
            <w:pPr>
              <w:pStyle w:val="Compact"/>
            </w:pPr>
            <w:r>
              <w:t xml:space="preserve">Absence de vérification si un attaquant est déjà à l’intérieur</w:t>
            </w:r>
          </w:p>
        </w:tc>
      </w:tr>
    </w:tbl>
    <w:bookmarkEnd w:id="2112"/>
    <w:bookmarkStart w:id="2113" w:name="Xd873765ec4a56007494ccd9a197557e0502f240"/>
    <w:p>
      <w:pPr>
        <w:pStyle w:val="Heading2"/>
      </w:pPr>
      <w:r>
        <w:t xml:space="preserve">E.4 Partie 5 — Stockage et continuité (chapitres 27-32)</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Erreur</w:t>
            </w:r>
          </w:p>
        </w:tc>
        <w:tc>
          <w:tcPr/>
          <w:p>
            <w:pPr>
              <w:pStyle w:val="Compact"/>
            </w:pPr>
            <w:r>
              <w:t xml:space="preserve">Chapitre</w:t>
            </w:r>
          </w:p>
        </w:tc>
        <w:tc>
          <w:tcPr/>
          <w:p>
            <w:pPr>
              <w:pStyle w:val="Compact"/>
            </w:pPr>
            <w:r>
              <w:t xml:space="preserve">Risque</w:t>
            </w:r>
          </w:p>
        </w:tc>
      </w:tr>
      <w:tr>
        <w:tc>
          <w:tcPr/>
          <w:p>
            <w:pPr>
              <w:pStyle w:val="Compact"/>
            </w:pPr>
            <w:r>
              <w:t xml:space="preserve">Une sauvegarde jamais testée en restauration</w:t>
            </w:r>
          </w:p>
        </w:tc>
        <w:tc>
          <w:tcPr/>
          <w:p>
            <w:pPr>
              <w:pStyle w:val="Compact"/>
            </w:pPr>
            <w:r>
              <w:t xml:space="preserve">27, 30</w:t>
            </w:r>
          </w:p>
        </w:tc>
        <w:tc>
          <w:tcPr/>
          <w:p>
            <w:pPr>
              <w:pStyle w:val="Compact"/>
            </w:pPr>
            <w:r>
              <w:t xml:space="preserve">Fausse impression de protection, découverte tardive d’un échec</w:t>
            </w:r>
          </w:p>
        </w:tc>
      </w:tr>
      <w:tr>
        <w:tc>
          <w:tcPr/>
          <w:p>
            <w:pPr>
              <w:pStyle w:val="Compact"/>
            </w:pPr>
            <w:r>
              <w:t xml:space="preserve">Une seule copie de sauvegarde, sur le même site que la production</w:t>
            </w:r>
          </w:p>
        </w:tc>
        <w:tc>
          <w:tcPr/>
          <w:p>
            <w:pPr>
              <w:pStyle w:val="Compact"/>
            </w:pPr>
            <w:r>
              <w:t xml:space="preserve">30</w:t>
            </w:r>
          </w:p>
        </w:tc>
        <w:tc>
          <w:tcPr/>
          <w:p>
            <w:pPr>
              <w:pStyle w:val="Compact"/>
            </w:pPr>
            <w:r>
              <w:t xml:space="preserve">Perte simultanée des données et de leur sauvegarde</w:t>
            </w:r>
          </w:p>
        </w:tc>
      </w:tr>
      <w:tr>
        <w:tc>
          <w:tcPr/>
          <w:p>
            <w:pPr>
              <w:pStyle w:val="Compact"/>
            </w:pPr>
            <w:r>
              <w:t xml:space="preserve">Un PRA documenté mais jamais testé en conditions réelles</w:t>
            </w:r>
          </w:p>
        </w:tc>
        <w:tc>
          <w:tcPr/>
          <w:p>
            <w:pPr>
              <w:pStyle w:val="Compact"/>
            </w:pPr>
            <w:r>
              <w:t xml:space="preserve">31</w:t>
            </w:r>
          </w:p>
        </w:tc>
        <w:tc>
          <w:tcPr/>
          <w:p>
            <w:pPr>
              <w:pStyle w:val="Compact"/>
            </w:pPr>
            <w:r>
              <w:t xml:space="preserve">Procédure théorique inapplicable lors d’un sinistre réel</w:t>
            </w:r>
          </w:p>
        </w:tc>
      </w:tr>
      <w:tr>
        <w:tc>
          <w:tcPr/>
          <w:p>
            <w:pPr>
              <w:pStyle w:val="Compact"/>
            </w:pPr>
            <w:r>
              <w:t xml:space="preserve">Un PCA ignorant les scénarios affectant plusieurs sites simultanément</w:t>
            </w:r>
          </w:p>
        </w:tc>
        <w:tc>
          <w:tcPr/>
          <w:p>
            <w:pPr>
              <w:pStyle w:val="Compact"/>
            </w:pPr>
            <w:r>
              <w:t xml:space="preserve">32</w:t>
            </w:r>
          </w:p>
        </w:tc>
        <w:tc>
          <w:tcPr/>
          <w:p>
            <w:pPr>
              <w:pStyle w:val="Compact"/>
            </w:pPr>
            <w:r>
              <w:t xml:space="preserve">Continuité d’activité non couverte pour le pire scénario</w:t>
            </w:r>
          </w:p>
        </w:tc>
      </w:tr>
    </w:tbl>
    <w:bookmarkEnd w:id="2113"/>
    <w:bookmarkStart w:id="2114" w:name="X688bdad39d9564d0c946fc6d9538bc18a5eee83"/>
    <w:p>
      <w:pPr>
        <w:pStyle w:val="Heading2"/>
      </w:pPr>
      <w:r>
        <w:t xml:space="preserve">E.5 Partie 6 — Virtualisation (chapitres 33-38)</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Erreur</w:t>
            </w:r>
          </w:p>
        </w:tc>
        <w:tc>
          <w:tcPr/>
          <w:p>
            <w:pPr>
              <w:pStyle w:val="Compact"/>
            </w:pPr>
            <w:r>
              <w:t xml:space="preserve">Chapitre</w:t>
            </w:r>
          </w:p>
        </w:tc>
        <w:tc>
          <w:tcPr/>
          <w:p>
            <w:pPr>
              <w:pStyle w:val="Compact"/>
            </w:pPr>
            <w:r>
              <w:t xml:space="preserve">Risque</w:t>
            </w:r>
          </w:p>
        </w:tc>
      </w:tr>
      <w:tr>
        <w:tc>
          <w:tcPr/>
          <w:p>
            <w:pPr>
              <w:pStyle w:val="Compact"/>
            </w:pPr>
            <w:r>
              <w:t xml:space="preserve">Un hyperviseur unique sans cluster de haute disponibilité</w:t>
            </w:r>
          </w:p>
        </w:tc>
        <w:tc>
          <w:tcPr/>
          <w:p>
            <w:pPr>
              <w:pStyle w:val="Compact"/>
            </w:pPr>
            <w:r>
              <w:t xml:space="preserve">34-35</w:t>
            </w:r>
          </w:p>
        </w:tc>
        <w:tc>
          <w:tcPr/>
          <w:p>
            <w:pPr>
              <w:pStyle w:val="Compact"/>
            </w:pPr>
            <w:r>
              <w:t xml:space="preserve">Panne matérielle interrompant toutes les VM hébergées</w:t>
            </w:r>
          </w:p>
        </w:tc>
      </w:tr>
      <w:tr>
        <w:tc>
          <w:tcPr/>
          <w:p>
            <w:pPr>
              <w:pStyle w:val="Compact"/>
            </w:pPr>
            <w:r>
              <w:t xml:space="preserve">Une migration entre hyperviseurs jamais testée avant bascule réelle</w:t>
            </w:r>
          </w:p>
        </w:tc>
        <w:tc>
          <w:tcPr/>
          <w:p>
            <w:pPr>
              <w:pStyle w:val="Compact"/>
            </w:pPr>
            <w:r>
              <w:t xml:space="preserve">38</w:t>
            </w:r>
          </w:p>
        </w:tc>
        <w:tc>
          <w:tcPr/>
          <w:p>
            <w:pPr>
              <w:pStyle w:val="Compact"/>
            </w:pPr>
            <w:r>
              <w:t xml:space="preserve">Incompatibilités découvertes en pleine migration critique</w:t>
            </w:r>
          </w:p>
        </w:tc>
      </w:tr>
    </w:tbl>
    <w:bookmarkEnd w:id="2114"/>
    <w:bookmarkStart w:id="2115" w:name="Xd0c9941b7f77c8914da00a444c5fd28d4b0fcf7"/>
    <w:p>
      <w:pPr>
        <w:pStyle w:val="Heading2"/>
      </w:pPr>
      <w:r>
        <w:t xml:space="preserve">E.6 Partie 7 — Conteneurs et orchestration (chapitres 39-44)</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Erreur</w:t>
            </w:r>
          </w:p>
        </w:tc>
        <w:tc>
          <w:tcPr/>
          <w:p>
            <w:pPr>
              <w:pStyle w:val="Compact"/>
            </w:pPr>
            <w:r>
              <w:t xml:space="preserve">Chapitre</w:t>
            </w:r>
          </w:p>
        </w:tc>
        <w:tc>
          <w:tcPr/>
          <w:p>
            <w:pPr>
              <w:pStyle w:val="Compact"/>
            </w:pPr>
            <w:r>
              <w:t xml:space="preserve">Risque</w:t>
            </w:r>
          </w:p>
        </w:tc>
      </w:tr>
      <w:tr>
        <w:tc>
          <w:tcPr/>
          <w:p>
            <w:pPr>
              <w:pStyle w:val="Compact"/>
            </w:pPr>
            <w:r>
              <w:t xml:space="preserve">Une image Docker construite sur une base obsolète (tag</w:t>
            </w:r>
            <w:r>
              <w:t xml:space="preserve"> </w:t>
            </w:r>
            <w:r>
              <w:rPr>
                <w:rStyle w:val="VerbatimChar"/>
              </w:rPr>
              <w:t xml:space="preserve">latest</w:t>
            </w:r>
            <w:r>
              <w:t xml:space="preserve">)</w:t>
            </w:r>
          </w:p>
        </w:tc>
        <w:tc>
          <w:tcPr/>
          <w:p>
            <w:pPr>
              <w:pStyle w:val="Compact"/>
            </w:pPr>
            <w:r>
              <w:t xml:space="preserve">39-40</w:t>
            </w:r>
          </w:p>
        </w:tc>
        <w:tc>
          <w:tcPr/>
          <w:p>
            <w:pPr>
              <w:pStyle w:val="Compact"/>
            </w:pPr>
            <w:r>
              <w:t xml:space="preserve">Vulnérabilités connues silencieusement présentes</w:t>
            </w:r>
          </w:p>
        </w:tc>
      </w:tr>
      <w:tr>
        <w:tc>
          <w:tcPr/>
          <w:p>
            <w:pPr>
              <w:pStyle w:val="Compact"/>
            </w:pPr>
            <w:r>
              <w:t xml:space="preserve">Aucune limite de ressources définie sur un pod Kubernetes</w:t>
            </w:r>
          </w:p>
        </w:tc>
        <w:tc>
          <w:tcPr/>
          <w:p>
            <w:pPr>
              <w:pStyle w:val="Compact"/>
            </w:pPr>
            <w:r>
              <w:t xml:space="preserve">43-44</w:t>
            </w:r>
          </w:p>
        </w:tc>
        <w:tc>
          <w:tcPr/>
          <w:p>
            <w:pPr>
              <w:pStyle w:val="Compact"/>
            </w:pPr>
            <w:r>
              <w:t xml:space="preserve">Une application peut monopoliser les ressources du cluster</w:t>
            </w:r>
          </w:p>
        </w:tc>
      </w:tr>
      <w:tr>
        <w:tc>
          <w:tcPr/>
          <w:p>
            <w:pPr>
              <w:pStyle w:val="Compact"/>
            </w:pPr>
            <w:r>
              <w:t xml:space="preserve">Un manifeste Kubernetes modifié directement en production (</w:t>
            </w:r>
            <w:r>
              <w:rPr>
                <w:rStyle w:val="VerbatimChar"/>
              </w:rPr>
              <w:t xml:space="preserve">kubectl edit</w:t>
            </w:r>
            <w:r>
              <w:t xml:space="preserve">)</w:t>
            </w:r>
          </w:p>
        </w:tc>
        <w:tc>
          <w:tcPr/>
          <w:p>
            <w:pPr>
              <w:pStyle w:val="Compact"/>
            </w:pPr>
            <w:r>
              <w:t xml:space="preserve">43</w:t>
            </w:r>
          </w:p>
        </w:tc>
        <w:tc>
          <w:tcPr/>
          <w:p>
            <w:pPr>
              <w:pStyle w:val="Compact"/>
            </w:pPr>
            <w:r>
              <w:t xml:space="preserve">Changement non versionné, perdu au prochain déploiement</w:t>
            </w:r>
          </w:p>
        </w:tc>
      </w:tr>
    </w:tbl>
    <w:bookmarkEnd w:id="2115"/>
    <w:bookmarkStart w:id="2116" w:name="e.7-partie-8-cloud-chapitres-45-50"/>
    <w:p>
      <w:pPr>
        <w:pStyle w:val="Heading2"/>
      </w:pPr>
      <w:r>
        <w:t xml:space="preserve">E.7 Partie 8 — Cloud (chapitres 45-50)</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Erreur</w:t>
            </w:r>
          </w:p>
        </w:tc>
        <w:tc>
          <w:tcPr/>
          <w:p>
            <w:pPr>
              <w:pStyle w:val="Compact"/>
            </w:pPr>
            <w:r>
              <w:t xml:space="preserve">Chapitre</w:t>
            </w:r>
          </w:p>
        </w:tc>
        <w:tc>
          <w:tcPr/>
          <w:p>
            <w:pPr>
              <w:pStyle w:val="Compact"/>
            </w:pPr>
            <w:r>
              <w:t xml:space="preserve">Risque</w:t>
            </w:r>
          </w:p>
        </w:tc>
      </w:tr>
      <w:tr>
        <w:tc>
          <w:tcPr/>
          <w:p>
            <w:pPr>
              <w:pStyle w:val="Compact"/>
            </w:pPr>
            <w:r>
              <w:t xml:space="preserve">Un groupe de sécurité cloud ouvert sur Internet</w:t>
            </w:r>
          </w:p>
        </w:tc>
        <w:tc>
          <w:tcPr/>
          <w:p>
            <w:pPr>
              <w:pStyle w:val="Compact"/>
            </w:pPr>
            <w:r>
              <w:t xml:space="preserve">46</w:t>
            </w:r>
          </w:p>
        </w:tc>
        <w:tc>
          <w:tcPr/>
          <w:p>
            <w:pPr>
              <w:pStyle w:val="Compact"/>
            </w:pPr>
            <w:r>
              <w:t xml:space="preserve">Exposition directe à une exploitation externe</w:t>
            </w:r>
          </w:p>
        </w:tc>
      </w:tr>
      <w:tr>
        <w:tc>
          <w:tcPr/>
          <w:p>
            <w:pPr>
              <w:pStyle w:val="Compact"/>
            </w:pPr>
            <w:r>
              <w:t xml:space="preserve">Une adoption multi-cloud sans gouvernance ni justification</w:t>
            </w:r>
          </w:p>
        </w:tc>
        <w:tc>
          <w:tcPr/>
          <w:p>
            <w:pPr>
              <w:pStyle w:val="Compact"/>
            </w:pPr>
            <w:r>
              <w:t xml:space="preserve">49</w:t>
            </w:r>
          </w:p>
        </w:tc>
        <w:tc>
          <w:tcPr/>
          <w:p>
            <w:pPr>
              <w:pStyle w:val="Compact"/>
            </w:pPr>
            <w:r>
              <w:t xml:space="preserve">Dispersion technologique et charge de maintenance excessive</w:t>
            </w:r>
          </w:p>
        </w:tc>
      </w:tr>
      <w:tr>
        <w:tc>
          <w:tcPr/>
          <w:p>
            <w:pPr>
              <w:pStyle w:val="Compact"/>
            </w:pPr>
            <w:r>
              <w:t xml:space="preserve">Aucun étiquetage des ressources cloud ni budget d’alerte</w:t>
            </w:r>
          </w:p>
        </w:tc>
        <w:tc>
          <w:tcPr/>
          <w:p>
            <w:pPr>
              <w:pStyle w:val="Compact"/>
            </w:pPr>
            <w:r>
              <w:t xml:space="preserve">50</w:t>
            </w:r>
          </w:p>
        </w:tc>
        <w:tc>
          <w:tcPr/>
          <w:p>
            <w:pPr>
              <w:pStyle w:val="Compact"/>
            </w:pPr>
            <w:r>
              <w:t xml:space="preserve">Facturation inattendue découverte trop tard</w:t>
            </w:r>
          </w:p>
        </w:tc>
      </w:tr>
    </w:tbl>
    <w:bookmarkEnd w:id="2116"/>
    <w:bookmarkStart w:id="2117" w:name="X52f40c300ff0e2686bacf1869de8c5bd097f91b"/>
    <w:p>
      <w:pPr>
        <w:pStyle w:val="Heading2"/>
      </w:pPr>
      <w:r>
        <w:t xml:space="preserve">E.8 Partie 9 — Automatisation et Infrastructure as Code (chapitres 51-57)</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Erreur</w:t>
            </w:r>
          </w:p>
        </w:tc>
        <w:tc>
          <w:tcPr/>
          <w:p>
            <w:pPr>
              <w:pStyle w:val="Compact"/>
            </w:pPr>
            <w:r>
              <w:t xml:space="preserve">Chapitre</w:t>
            </w:r>
          </w:p>
        </w:tc>
        <w:tc>
          <w:tcPr/>
          <w:p>
            <w:pPr>
              <w:pStyle w:val="Compact"/>
            </w:pPr>
            <w:r>
              <w:t xml:space="preserve">Risque</w:t>
            </w:r>
          </w:p>
        </w:tc>
      </w:tr>
      <w:tr>
        <w:tc>
          <w:tcPr/>
          <w:p>
            <w:pPr>
              <w:pStyle w:val="Compact"/>
            </w:pPr>
            <w:r>
              <w:t xml:space="preserve">Une configuration serveur modifiée manuellement, hors Ansible</w:t>
            </w:r>
          </w:p>
        </w:tc>
        <w:tc>
          <w:tcPr/>
          <w:p>
            <w:pPr>
              <w:pStyle w:val="Compact"/>
            </w:pPr>
            <w:r>
              <w:t xml:space="preserve">52</w:t>
            </w:r>
          </w:p>
        </w:tc>
        <w:tc>
          <w:tcPr/>
          <w:p>
            <w:pPr>
              <w:pStyle w:val="Compact"/>
            </w:pPr>
            <w:r>
              <w:t xml:space="preserve">Dérive de configuration invisible et cumulative</w:t>
            </w:r>
          </w:p>
        </w:tc>
      </w:tr>
      <w:tr>
        <w:tc>
          <w:tcPr/>
          <w:p>
            <w:pPr>
              <w:pStyle w:val="Compact"/>
            </w:pPr>
            <w:r>
              <w:t xml:space="preserve">Un mot de passe en clair dans un playbook ou un Jenkinsfile</w:t>
            </w:r>
          </w:p>
        </w:tc>
        <w:tc>
          <w:tcPr/>
          <w:p>
            <w:pPr>
              <w:pStyle w:val="Compact"/>
            </w:pPr>
            <w:r>
              <w:t xml:space="preserve">53, 56</w:t>
            </w:r>
          </w:p>
        </w:tc>
        <w:tc>
          <w:tcPr/>
          <w:p>
            <w:pPr>
              <w:pStyle w:val="Compact"/>
            </w:pPr>
            <w:r>
              <w:t xml:space="preserve">Exposition d’un secret dans un historique versionné</w:t>
            </w:r>
          </w:p>
        </w:tc>
      </w:tr>
      <w:tr>
        <w:tc>
          <w:tcPr/>
          <w:p>
            <w:pPr>
              <w:pStyle w:val="Compact"/>
            </w:pPr>
            <w:r>
              <w:t xml:space="preserve">Un pipeline appliquant un changement sans étape d’approbation</w:t>
            </w:r>
          </w:p>
        </w:tc>
        <w:tc>
          <w:tcPr/>
          <w:p>
            <w:pPr>
              <w:pStyle w:val="Compact"/>
            </w:pPr>
            <w:r>
              <w:t xml:space="preserve">56-57</w:t>
            </w:r>
          </w:p>
        </w:tc>
        <w:tc>
          <w:tcPr/>
          <w:p>
            <w:pPr>
              <w:pStyle w:val="Compact"/>
            </w:pPr>
            <w:r>
              <w:t xml:space="preserve">Changement critique appliqué sans revue humaine</w:t>
            </w:r>
          </w:p>
        </w:tc>
      </w:tr>
      <w:tr>
        <w:tc>
          <w:tcPr/>
          <w:p>
            <w:pPr>
              <w:pStyle w:val="Compact"/>
            </w:pPr>
            <w:r>
              <w:t xml:space="preserve">Des seuils de sécurité DevSecOps bloquant sur toute vulnérabilité mineure</w:t>
            </w:r>
          </w:p>
        </w:tc>
        <w:tc>
          <w:tcPr/>
          <w:p>
            <w:pPr>
              <w:pStyle w:val="Compact"/>
            </w:pPr>
            <w:r>
              <w:t xml:space="preserve">57</w:t>
            </w:r>
          </w:p>
        </w:tc>
        <w:tc>
          <w:tcPr/>
          <w:p>
            <w:pPr>
              <w:pStyle w:val="Compact"/>
            </w:pPr>
            <w:r>
              <w:t xml:space="preserve">Fatigue d’alerte, contournement du pipeline par l’équipe</w:t>
            </w:r>
          </w:p>
        </w:tc>
      </w:tr>
    </w:tbl>
    <w:bookmarkEnd w:id="2117"/>
    <w:bookmarkStart w:id="2118" w:name="Xabbc6087a7f83572e9ddb03359edc6873f98f8e"/>
    <w:p>
      <w:pPr>
        <w:pStyle w:val="Heading2"/>
      </w:pPr>
      <w:r>
        <w:t xml:space="preserve">E.9 Partie 10 — Supervision et observabilité (chapitres 58-64)</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Erreur</w:t>
            </w:r>
          </w:p>
        </w:tc>
        <w:tc>
          <w:tcPr/>
          <w:p>
            <w:pPr>
              <w:pStyle w:val="Compact"/>
            </w:pPr>
            <w:r>
              <w:t xml:space="preserve">Chapitre</w:t>
            </w:r>
          </w:p>
        </w:tc>
        <w:tc>
          <w:tcPr/>
          <w:p>
            <w:pPr>
              <w:pStyle w:val="Compact"/>
            </w:pPr>
            <w:r>
              <w:t xml:space="preserve">Risque</w:t>
            </w:r>
          </w:p>
        </w:tc>
      </w:tr>
      <w:tr>
        <w:tc>
          <w:tcPr/>
          <w:p>
            <w:pPr>
              <w:pStyle w:val="Compact"/>
            </w:pPr>
            <w:r>
              <w:t xml:space="preserve">Aucune supervision active, découverte d’incident par les utilisateurs</w:t>
            </w:r>
          </w:p>
        </w:tc>
        <w:tc>
          <w:tcPr/>
          <w:p>
            <w:pPr>
              <w:pStyle w:val="Compact"/>
            </w:pPr>
            <w:r>
              <w:t xml:space="preserve">58</w:t>
            </w:r>
          </w:p>
        </w:tc>
        <w:tc>
          <w:tcPr/>
          <w:p>
            <w:pPr>
              <w:pStyle w:val="Compact"/>
            </w:pPr>
            <w:r>
              <w:t xml:space="preserve">Délai de détection dépendant de la patience des utilisateurs</w:t>
            </w:r>
          </w:p>
        </w:tc>
      </w:tr>
      <w:tr>
        <w:tc>
          <w:tcPr/>
          <w:p>
            <w:pPr>
              <w:pStyle w:val="Compact"/>
            </w:pPr>
            <w:r>
              <w:t xml:space="preserve">Un trigger sans maintien du seuil dans le temps</w:t>
            </w:r>
          </w:p>
        </w:tc>
        <w:tc>
          <w:tcPr/>
          <w:p>
            <w:pPr>
              <w:pStyle w:val="Compact"/>
            </w:pPr>
            <w:r>
              <w:t xml:space="preserve">59-61</w:t>
            </w:r>
          </w:p>
        </w:tc>
        <w:tc>
          <w:tcPr/>
          <w:p>
            <w:pPr>
              <w:pStyle w:val="Compact"/>
            </w:pPr>
            <w:r>
              <w:t xml:space="preserve">Fatigue d’alerte sur des pics normaux et temporaires</w:t>
            </w:r>
          </w:p>
        </w:tc>
      </w:tr>
      <w:tr>
        <w:tc>
          <w:tcPr/>
          <w:p>
            <w:pPr>
              <w:pStyle w:val="Compact"/>
            </w:pPr>
            <w:r>
              <w:t xml:space="preserve">Une configuration de cibles statique dans un environnement Kubernetes dynamique</w:t>
            </w:r>
          </w:p>
        </w:tc>
        <w:tc>
          <w:tcPr/>
          <w:p>
            <w:pPr>
              <w:pStyle w:val="Compact"/>
            </w:pPr>
            <w:r>
              <w:t xml:space="preserve">60</w:t>
            </w:r>
          </w:p>
        </w:tc>
        <w:tc>
          <w:tcPr/>
          <w:p>
            <w:pPr>
              <w:pStyle w:val="Compact"/>
            </w:pPr>
            <w:r>
              <w:t xml:space="preserve">Cibles obsolètes dès le premier cycle de mise à l’échelle</w:t>
            </w:r>
          </w:p>
        </w:tc>
      </w:tr>
      <w:tr>
        <w:tc>
          <w:tcPr/>
          <w:p>
            <w:pPr>
              <w:pStyle w:val="Compact"/>
            </w:pPr>
            <w:r>
              <w:t xml:space="preserve">Un flux Syslog non chiffré sur un segment réseau non protégé</w:t>
            </w:r>
          </w:p>
        </w:tc>
        <w:tc>
          <w:tcPr/>
          <w:p>
            <w:pPr>
              <w:pStyle w:val="Compact"/>
            </w:pPr>
            <w:r>
              <w:t xml:space="preserve">63</w:t>
            </w:r>
          </w:p>
        </w:tc>
        <w:tc>
          <w:tcPr/>
          <w:p>
            <w:pPr>
              <w:pStyle w:val="Compact"/>
            </w:pPr>
            <w:r>
              <w:t xml:space="preserve">Interception possible de données sensibles en clair</w:t>
            </w:r>
          </w:p>
        </w:tc>
      </w:tr>
    </w:tbl>
    <w:bookmarkEnd w:id="2118"/>
    <w:bookmarkStart w:id="2119" w:name="Xbd3c827160ab24494ed8081340d6b8769fce6fd"/>
    <w:p>
      <w:pPr>
        <w:pStyle w:val="Heading2"/>
      </w:pPr>
      <w:r>
        <w:t xml:space="preserve">E.10 Partie 11 — Réseau d’entreprise avancé (chapitres 65-70)</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Erreur</w:t>
            </w:r>
          </w:p>
        </w:tc>
        <w:tc>
          <w:tcPr/>
          <w:p>
            <w:pPr>
              <w:pStyle w:val="Compact"/>
            </w:pPr>
            <w:r>
              <w:t xml:space="preserve">Chapitre</w:t>
            </w:r>
          </w:p>
        </w:tc>
        <w:tc>
          <w:tcPr/>
          <w:p>
            <w:pPr>
              <w:pStyle w:val="Compact"/>
            </w:pPr>
            <w:r>
              <w:t xml:space="preserve">Risque</w:t>
            </w:r>
          </w:p>
        </w:tc>
      </w:tr>
      <w:tr>
        <w:tc>
          <w:tcPr/>
          <w:p>
            <w:pPr>
              <w:pStyle w:val="Compact"/>
            </w:pPr>
            <w:r>
              <w:t xml:space="preserve">Un lien redondant ajouté sans Spanning Tree Protocol</w:t>
            </w:r>
          </w:p>
        </w:tc>
        <w:tc>
          <w:tcPr/>
          <w:p>
            <w:pPr>
              <w:pStyle w:val="Compact"/>
            </w:pPr>
            <w:r>
              <w:t xml:space="preserve">65</w:t>
            </w:r>
          </w:p>
        </w:tc>
        <w:tc>
          <w:tcPr/>
          <w:p>
            <w:pPr>
              <w:pStyle w:val="Compact"/>
            </w:pPr>
            <w:r>
              <w:t xml:space="preserve">Tempête de broadcast rendant le réseau inutilisable</w:t>
            </w:r>
          </w:p>
        </w:tc>
      </w:tr>
      <w:tr>
        <w:tc>
          <w:tcPr/>
          <w:p>
            <w:pPr>
              <w:pStyle w:val="Compact"/>
            </w:pPr>
            <w:r>
              <w:t xml:space="preserve">Un pare-feu utilisé uniquement comme un équipement traditionnel</w:t>
            </w:r>
          </w:p>
        </w:tc>
        <w:tc>
          <w:tcPr/>
          <w:p>
            <w:pPr>
              <w:pStyle w:val="Compact"/>
            </w:pPr>
            <w:r>
              <w:t xml:space="preserve">66</w:t>
            </w:r>
          </w:p>
        </w:tc>
        <w:tc>
          <w:tcPr/>
          <w:p>
            <w:pPr>
              <w:pStyle w:val="Compact"/>
            </w:pPr>
            <w:r>
              <w:t xml:space="preserve">Capacités d’inspection applicative avancées inexploitées</w:t>
            </w:r>
          </w:p>
        </w:tc>
      </w:tr>
      <w:tr>
        <w:tc>
          <w:tcPr/>
          <w:p>
            <w:pPr>
              <w:pStyle w:val="Compact"/>
            </w:pPr>
            <w:r>
              <w:t xml:space="preserve">L’interface d’administration Winbox exposée directement sur Internet</w:t>
            </w:r>
          </w:p>
        </w:tc>
        <w:tc>
          <w:tcPr/>
          <w:p>
            <w:pPr>
              <w:pStyle w:val="Compact"/>
            </w:pPr>
            <w:r>
              <w:t xml:space="preserve">67</w:t>
            </w:r>
          </w:p>
        </w:tc>
        <w:tc>
          <w:tcPr/>
          <w:p>
            <w:pPr>
              <w:pStyle w:val="Compact"/>
            </w:pPr>
            <w:r>
              <w:t xml:space="preserve">Cible réelle de campagnes de compromission automatisées</w:t>
            </w:r>
          </w:p>
        </w:tc>
      </w:tr>
      <w:tr>
        <w:tc>
          <w:tcPr/>
          <w:p>
            <w:pPr>
              <w:pStyle w:val="Compact"/>
            </w:pPr>
            <w:r>
              <w:t xml:space="preserve">Une règle de pare-feu</w:t>
            </w:r>
            <w:r>
              <w:t xml:space="preserve"> </w:t>
            </w:r>
            <w:r>
              <w:t xml:space="preserve">“tout vers tout”</w:t>
            </w:r>
            <w:r>
              <w:t xml:space="preserve"> </w:t>
            </w:r>
            <w:r>
              <w:t xml:space="preserve">par simplicité</w:t>
            </w:r>
          </w:p>
        </w:tc>
        <w:tc>
          <w:tcPr/>
          <w:p>
            <w:pPr>
              <w:pStyle w:val="Compact"/>
            </w:pPr>
            <w:r>
              <w:t xml:space="preserve">66, 70</w:t>
            </w:r>
          </w:p>
        </w:tc>
        <w:tc>
          <w:tcPr/>
          <w:p>
            <w:pPr>
              <w:pStyle w:val="Compact"/>
            </w:pPr>
            <w:r>
              <w:t xml:space="preserve">Absence de segmentation, propagation facilitée d’un incident</w:t>
            </w:r>
          </w:p>
        </w:tc>
      </w:tr>
    </w:tbl>
    <w:bookmarkEnd w:id="2119"/>
    <w:bookmarkStart w:id="2120" w:name="Xa82d6ea1b8afb74f56af0a42125559d0d06f511"/>
    <w:p>
      <w:pPr>
        <w:pStyle w:val="Heading2"/>
      </w:pPr>
      <w:r>
        <w:t xml:space="preserve">E.11 Partie 12 — Cybersécurité et gouvernance (chapitres 71-79)</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Erreur</w:t>
            </w:r>
          </w:p>
        </w:tc>
        <w:tc>
          <w:tcPr/>
          <w:p>
            <w:pPr>
              <w:pStyle w:val="Compact"/>
            </w:pPr>
            <w:r>
              <w:t xml:space="preserve">Chapitre</w:t>
            </w:r>
          </w:p>
        </w:tc>
        <w:tc>
          <w:tcPr/>
          <w:p>
            <w:pPr>
              <w:pStyle w:val="Compact"/>
            </w:pPr>
            <w:r>
              <w:t xml:space="preserve">Risque</w:t>
            </w:r>
          </w:p>
        </w:tc>
      </w:tr>
      <w:tr>
        <w:tc>
          <w:tcPr/>
          <w:p>
            <w:pPr>
              <w:pStyle w:val="Compact"/>
            </w:pPr>
            <w:r>
              <w:t xml:space="preserve">Une sécurité construite uniquement en réaction aux incidents passés</w:t>
            </w:r>
          </w:p>
        </w:tc>
        <w:tc>
          <w:tcPr/>
          <w:p>
            <w:pPr>
              <w:pStyle w:val="Compact"/>
            </w:pPr>
            <w:r>
              <w:t xml:space="preserve">71</w:t>
            </w:r>
          </w:p>
        </w:tc>
        <w:tc>
          <w:tcPr/>
          <w:p>
            <w:pPr>
              <w:pStyle w:val="Compact"/>
            </w:pPr>
            <w:r>
              <w:t xml:space="preserve">Aucune garantie de couverture face aux risques non encore rencontrés</w:t>
            </w:r>
          </w:p>
        </w:tc>
      </w:tr>
      <w:tr>
        <w:tc>
          <w:tcPr/>
          <w:p>
            <w:pPr>
              <w:pStyle w:val="Compact"/>
            </w:pPr>
            <w:r>
              <w:t xml:space="preserve">Une déclaration d’applicabilité artificiellement complète</w:t>
            </w:r>
          </w:p>
        </w:tc>
        <w:tc>
          <w:tcPr/>
          <w:p>
            <w:pPr>
              <w:pStyle w:val="Compact"/>
            </w:pPr>
            <w:r>
              <w:t xml:space="preserve">72</w:t>
            </w:r>
          </w:p>
        </w:tc>
        <w:tc>
          <w:tcPr/>
          <w:p>
            <w:pPr>
              <w:pStyle w:val="Compact"/>
            </w:pPr>
            <w:r>
              <w:t xml:space="preserve">Écart découvert lors de l’audit externe, crédibilité compromise</w:t>
            </w:r>
          </w:p>
        </w:tc>
      </w:tr>
      <w:tr>
        <w:tc>
          <w:tcPr/>
          <w:p>
            <w:pPr>
              <w:pStyle w:val="Compact"/>
            </w:pPr>
            <w:r>
              <w:t xml:space="preserve">Un test d’intrusion mené sans mandat écrit</w:t>
            </w:r>
          </w:p>
        </w:tc>
        <w:tc>
          <w:tcPr/>
          <w:p>
            <w:pPr>
              <w:pStyle w:val="Compact"/>
            </w:pPr>
            <w:r>
              <w:t xml:space="preserve">77</w:t>
            </w:r>
          </w:p>
        </w:tc>
        <w:tc>
          <w:tcPr/>
          <w:p>
            <w:pPr>
              <w:pStyle w:val="Compact"/>
            </w:pPr>
            <w:r>
              <w:t xml:space="preserve">Activité légalement indiscernable d’une cyberattaque</w:t>
            </w:r>
          </w:p>
        </w:tc>
      </w:tr>
      <w:tr>
        <w:tc>
          <w:tcPr/>
          <w:p>
            <w:pPr>
              <w:pStyle w:val="Compact"/>
            </w:pPr>
            <w:r>
              <w:t xml:space="preserve">Un système compromis éteint immédiatement, sans capture forensic</w:t>
            </w:r>
          </w:p>
        </w:tc>
        <w:tc>
          <w:tcPr/>
          <w:p>
            <w:pPr>
              <w:pStyle w:val="Compact"/>
            </w:pPr>
            <w:r>
              <w:t xml:space="preserve">79</w:t>
            </w:r>
          </w:p>
        </w:tc>
        <w:tc>
          <w:tcPr/>
          <w:p>
            <w:pPr>
              <w:pStyle w:val="Compact"/>
            </w:pPr>
            <w:r>
              <w:t xml:space="preserve">Perte de preuves présentes uniquement en mémoire vive</w:t>
            </w:r>
          </w:p>
        </w:tc>
      </w:tr>
    </w:tbl>
    <w:bookmarkEnd w:id="2120"/>
    <w:bookmarkStart w:id="2121" w:name="X9653a93e54a374446854846c1d3eb260146d2d7"/>
    <w:p>
      <w:pPr>
        <w:pStyle w:val="Heading2"/>
      </w:pPr>
      <w:r>
        <w:t xml:space="preserve">E.12 Partie 13 — Projet final (chapitres 80-86)</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Erreur</w:t>
            </w:r>
          </w:p>
        </w:tc>
        <w:tc>
          <w:tcPr/>
          <w:p>
            <w:pPr>
              <w:pStyle w:val="Compact"/>
            </w:pPr>
            <w:r>
              <w:t xml:space="preserve">Chapitre</w:t>
            </w:r>
          </w:p>
        </w:tc>
        <w:tc>
          <w:tcPr/>
          <w:p>
            <w:pPr>
              <w:pStyle w:val="Compact"/>
            </w:pPr>
            <w:r>
              <w:t xml:space="preserve">Risque</w:t>
            </w:r>
          </w:p>
        </w:tc>
      </w:tr>
      <w:tr>
        <w:tc>
          <w:tcPr/>
          <w:p>
            <w:pPr>
              <w:pStyle w:val="Compact"/>
            </w:pPr>
            <w:r>
              <w:t xml:space="preserve">Des exigences formulées comme des solutions techniques prédéterminées</w:t>
            </w:r>
          </w:p>
        </w:tc>
        <w:tc>
          <w:tcPr/>
          <w:p>
            <w:pPr>
              <w:pStyle w:val="Compact"/>
            </w:pPr>
            <w:r>
              <w:t xml:space="preserve">80</w:t>
            </w:r>
          </w:p>
        </w:tc>
        <w:tc>
          <w:tcPr/>
          <w:p>
            <w:pPr>
              <w:pStyle w:val="Compact"/>
            </w:pPr>
            <w:r>
              <w:t xml:space="preserve">Espace des choix d’architecture limité inutilement</w:t>
            </w:r>
          </w:p>
        </w:tc>
      </w:tr>
      <w:tr>
        <w:tc>
          <w:tcPr/>
          <w:p>
            <w:pPr>
              <w:pStyle w:val="Compact"/>
            </w:pPr>
            <w:r>
              <w:t xml:space="preserve">Un déploiement manuel</w:t>
            </w:r>
            <w:r>
              <w:t xml:space="preserve"> </w:t>
            </w:r>
            <w:r>
              <w:t xml:space="preserve">“exceptionnel”</w:t>
            </w:r>
            <w:r>
              <w:t xml:space="preserve"> </w:t>
            </w:r>
            <w:r>
              <w:t xml:space="preserve">pour respecter un délai</w:t>
            </w:r>
          </w:p>
        </w:tc>
        <w:tc>
          <w:tcPr/>
          <w:p>
            <w:pPr>
              <w:pStyle w:val="Compact"/>
            </w:pPr>
            <w:r>
              <w:t xml:space="preserve">82</w:t>
            </w:r>
          </w:p>
        </w:tc>
        <w:tc>
          <w:tcPr/>
          <w:p>
            <w:pPr>
              <w:pStyle w:val="Compact"/>
            </w:pPr>
            <w:r>
              <w:t xml:space="preserve">Recréation du risque de dérive déjà résolu par l’automatisation</w:t>
            </w:r>
          </w:p>
        </w:tc>
      </w:tr>
      <w:tr>
        <w:tc>
          <w:tcPr/>
          <w:p>
            <w:pPr>
              <w:pStyle w:val="Compact"/>
            </w:pPr>
            <w:r>
              <w:t xml:space="preserve">Une couverture de supervision/sécurité présumée sans vérification explicite</w:t>
            </w:r>
          </w:p>
        </w:tc>
        <w:tc>
          <w:tcPr/>
          <w:p>
            <w:pPr>
              <w:pStyle w:val="Compact"/>
            </w:pPr>
            <w:r>
              <w:t xml:space="preserve">85</w:t>
            </w:r>
          </w:p>
        </w:tc>
        <w:tc>
          <w:tcPr/>
          <w:p>
            <w:pPr>
              <w:pStyle w:val="Compact"/>
            </w:pPr>
            <w:r>
              <w:t xml:space="preserve">Angle mort découvert lors d’un incident plutôt qu’en amont</w:t>
            </w:r>
          </w:p>
        </w:tc>
      </w:tr>
      <w:tr>
        <w:tc>
          <w:tcPr/>
          <w:p>
            <w:pPr>
              <w:pStyle w:val="Compact"/>
            </w:pPr>
            <w:r>
              <w:t xml:space="preserve">Un PRA/PCA remis sans test final grandeur nature</w:t>
            </w:r>
          </w:p>
        </w:tc>
        <w:tc>
          <w:tcPr/>
          <w:p>
            <w:pPr>
              <w:pStyle w:val="Compact"/>
            </w:pPr>
            <w:r>
              <w:t xml:space="preserve">86</w:t>
            </w:r>
          </w:p>
        </w:tc>
        <w:tc>
          <w:tcPr/>
          <w:p>
            <w:pPr>
              <w:pStyle w:val="Compact"/>
            </w:pPr>
            <w:r>
              <w:t xml:space="preserve">Fausse assurance de résilience non vérifiée</w:t>
            </w:r>
          </w:p>
        </w:tc>
      </w:tr>
    </w:tbl>
    <w:p>
      <w:pPr>
        <w:pStyle w:val="BodyText"/>
      </w:pPr>
      <w:r>
        <w:t xml:space="preserve">✅ Comment utiliser cette annexe</w:t>
      </w:r>
      <w:r>
        <w:t xml:space="preserve"> </w:t>
      </w:r>
      <w:r>
        <w:t xml:space="preserve">Utilise ce récapitulatif comme un outil de revue rapide avant un audit, une mise en production, ou simplement une relecture périodique de tes pratiques — mais reviens toujours au chapitre correspondant pour comprendre le raisonnement complet derrière chaque erreur, ses causes profondes et sa solution détaillée, plutôt que de mémoriser cette liste de façon isolée.</w:t>
      </w:r>
    </w:p>
    <w:p>
      <w:pPr>
        <w:pStyle w:val="BodyText"/>
      </w:pPr>
      <w:r>
        <w:rPr>
          <w:i/>
          <w:iCs/>
        </w:rPr>
        <w:t xml:space="preserve">Annexe suivante et dernière : les ressources officielles, consolidant l’ensemble des références citées tout au long de ce manuel.</w:t>
      </w:r>
    </w:p>
    <w:p>
      <w:pPr>
        <w:pStyle w:val="BodyText"/>
      </w:pPr>
      <w:r>
        <w:t xml:space="preserve">ANNEXE F</w:t>
      </w:r>
    </w:p>
    <w:bookmarkEnd w:id="2121"/>
    <w:bookmarkEnd w:id="2122"/>
    <w:bookmarkStart w:id="2148" w:name="ressources-officielles"/>
    <w:p>
      <w:pPr>
        <w:pStyle w:val="Heading1"/>
      </w:pPr>
      <w:r>
        <w:t xml:space="preserve">Ressources officielles</w:t>
      </w:r>
    </w:p>
    <w:p>
      <w:pPr>
        <w:pStyle w:val="FirstParagraph"/>
      </w:pPr>
      <w:r>
        <w:t xml:space="preserve">🎯 Objectif de l’annexe</w:t>
      </w:r>
      <w:r>
        <w:t xml:space="preserve"> </w:t>
      </w:r>
      <w:r>
        <w:t xml:space="preserve">Consolider, par catégorie, l’ensemble des références officielles déjà citées dans les sections</w:t>
      </w:r>
      <w:r>
        <w:t xml:space="preserve"> </w:t>
      </w:r>
      <w:r>
        <w:t xml:space="preserve">“Références et pour aller plus loin”</w:t>
      </w:r>
      <w:r>
        <w:t xml:space="preserve"> </w:t>
      </w:r>
      <w:r>
        <w:t xml:space="preserve">de chaque chapitre de ce manuel. Cette annexe, la dernière de ce manuel, offre un point d’entrée unique vers la documentation faisant autorité pour chaque technologie abordée — la lecture de ce manuel constitue une fondation solide, ces ressources officielles permettent d’approfondir chaque sujet aussi loin que le besoin professionnel l’exigera.</w:t>
      </w:r>
    </w:p>
    <w:bookmarkStart w:id="2127" w:name="f.1-microsoft-et-windows-server"/>
    <w:p>
      <w:pPr>
        <w:pStyle w:val="Heading2"/>
      </w:pPr>
      <w:r>
        <w:t xml:space="preserve">F.1 Microsoft et Windows Server</w:t>
      </w:r>
    </w:p>
    <w:p>
      <w:pPr>
        <w:pStyle w:val="Compact"/>
        <w:numPr>
          <w:ilvl w:val="0"/>
          <w:numId w:val="2999"/>
        </w:numPr>
      </w:pPr>
      <w:r>
        <w:t xml:space="preserve">Microsoft Learn — Documentation Windows Server :</w:t>
      </w:r>
      <w:r>
        <w:t xml:space="preserve"> </w:t>
      </w:r>
      <w:hyperlink r:id="rId2123">
        <w:r>
          <w:rPr>
            <w:rStyle w:val="Hyperlink"/>
          </w:rPr>
          <w:t xml:space="preserve">https://learn.microsoft.com/windows-server/</w:t>
        </w:r>
      </w:hyperlink>
    </w:p>
    <w:p>
      <w:pPr>
        <w:pStyle w:val="Compact"/>
        <w:numPr>
          <w:ilvl w:val="0"/>
          <w:numId w:val="2999"/>
        </w:numPr>
      </w:pPr>
      <w:r>
        <w:t xml:space="preserve">Microsoft Learn — Active Directory Domain Services :</w:t>
      </w:r>
      <w:r>
        <w:t xml:space="preserve"> </w:t>
      </w:r>
      <w:hyperlink r:id="rId2124">
        <w:r>
          <w:rPr>
            <w:rStyle w:val="Hyperlink"/>
          </w:rPr>
          <w:t xml:space="preserve">https://learn.microsoft.com/windows-server/identity/ad-ds/</w:t>
        </w:r>
      </w:hyperlink>
    </w:p>
    <w:p>
      <w:pPr>
        <w:pStyle w:val="Compact"/>
        <w:numPr>
          <w:ilvl w:val="0"/>
          <w:numId w:val="2999"/>
        </w:numPr>
      </w:pPr>
      <w:r>
        <w:t xml:space="preserve">Microsoft Learn — Entra ID (identité hybride) :</w:t>
      </w:r>
      <w:r>
        <w:t xml:space="preserve"> </w:t>
      </w:r>
      <w:hyperlink r:id="rId2125">
        <w:r>
          <w:rPr>
            <w:rStyle w:val="Hyperlink"/>
          </w:rPr>
          <w:t xml:space="preserve">https://learn.microsoft.com/entra/</w:t>
        </w:r>
      </w:hyperlink>
    </w:p>
    <w:p>
      <w:pPr>
        <w:pStyle w:val="Compact"/>
        <w:numPr>
          <w:ilvl w:val="0"/>
          <w:numId w:val="2999"/>
        </w:numPr>
      </w:pPr>
      <w:r>
        <w:t xml:space="preserve">Microsoft Learn — Hyper-V :</w:t>
      </w:r>
      <w:r>
        <w:t xml:space="preserve"> </w:t>
      </w:r>
      <w:hyperlink r:id="rId2126">
        <w:r>
          <w:rPr>
            <w:rStyle w:val="Hyperlink"/>
          </w:rPr>
          <w:t xml:space="preserve">https://learn.microsoft.com/windows-server/virtualization/hyper-v/</w:t>
        </w:r>
      </w:hyperlink>
    </w:p>
    <w:bookmarkEnd w:id="2127"/>
    <w:bookmarkStart w:id="2131" w:name="f.2-linux-et-red-hat"/>
    <w:p>
      <w:pPr>
        <w:pStyle w:val="Heading2"/>
      </w:pPr>
      <w:r>
        <w:t xml:space="preserve">F.2 Linux et Red Hat</w:t>
      </w:r>
    </w:p>
    <w:p>
      <w:pPr>
        <w:pStyle w:val="Compact"/>
        <w:numPr>
          <w:ilvl w:val="0"/>
          <w:numId w:val="3000"/>
        </w:numPr>
      </w:pPr>
      <w:r>
        <w:t xml:space="preserve">Red Hat Enterprise Linux — Documentation officielle :</w:t>
      </w:r>
      <w:r>
        <w:t xml:space="preserve"> </w:t>
      </w:r>
      <w:hyperlink r:id="rId2128">
        <w:r>
          <w:rPr>
            <w:rStyle w:val="Hyperlink"/>
          </w:rPr>
          <w:t xml:space="preserve">https://access.redhat.com/documentation/</w:t>
        </w:r>
      </w:hyperlink>
    </w:p>
    <w:p>
      <w:pPr>
        <w:pStyle w:val="Compact"/>
        <w:numPr>
          <w:ilvl w:val="0"/>
          <w:numId w:val="3000"/>
        </w:numPr>
      </w:pPr>
      <w:r>
        <w:t xml:space="preserve">Rocky Linux — Documentation :</w:t>
      </w:r>
      <w:r>
        <w:t xml:space="preserve"> </w:t>
      </w:r>
      <w:hyperlink r:id="rId372">
        <w:r>
          <w:rPr>
            <w:rStyle w:val="Hyperlink"/>
          </w:rPr>
          <w:t xml:space="preserve">https://docs.rockylinux.org/</w:t>
        </w:r>
      </w:hyperlink>
    </w:p>
    <w:p>
      <w:pPr>
        <w:pStyle w:val="Compact"/>
        <w:numPr>
          <w:ilvl w:val="0"/>
          <w:numId w:val="3000"/>
        </w:numPr>
      </w:pPr>
      <w:r>
        <w:t xml:space="preserve">SELinux Project — Documentation :</w:t>
      </w:r>
      <w:r>
        <w:t xml:space="preserve"> </w:t>
      </w:r>
      <w:hyperlink r:id="rId2129">
        <w:r>
          <w:rPr>
            <w:rStyle w:val="Hyperlink"/>
          </w:rPr>
          <w:t xml:space="preserve">https://selinuxproject.org/</w:t>
        </w:r>
      </w:hyperlink>
    </w:p>
    <w:p>
      <w:pPr>
        <w:pStyle w:val="Compact"/>
        <w:numPr>
          <w:ilvl w:val="0"/>
          <w:numId w:val="3000"/>
        </w:numPr>
      </w:pPr>
      <w:r>
        <w:t xml:space="preserve">systemd — Documentation officielle :</w:t>
      </w:r>
      <w:r>
        <w:t xml:space="preserve"> </w:t>
      </w:r>
      <w:hyperlink r:id="rId2130">
        <w:r>
          <w:rPr>
            <w:rStyle w:val="Hyperlink"/>
          </w:rPr>
          <w:t xml:space="preserve">https://www.freedesktop.org/software/systemd/man/</w:t>
        </w:r>
      </w:hyperlink>
    </w:p>
    <w:bookmarkEnd w:id="2131"/>
    <w:bookmarkStart w:id="2133" w:name="f.3-réseau-dentreprise"/>
    <w:p>
      <w:pPr>
        <w:pStyle w:val="Heading2"/>
      </w:pPr>
      <w:r>
        <w:t xml:space="preserve">F.3 Réseau d’entreprise</w:t>
      </w:r>
    </w:p>
    <w:p>
      <w:pPr>
        <w:pStyle w:val="Compact"/>
        <w:numPr>
          <w:ilvl w:val="0"/>
          <w:numId w:val="3001"/>
        </w:numPr>
      </w:pPr>
      <w:r>
        <w:t xml:space="preserve">Cisco — Documentation technique (Spanning Tree, HSRP, OSPF) :</w:t>
      </w:r>
      <w:r>
        <w:t xml:space="preserve"> </w:t>
      </w:r>
      <w:hyperlink r:id="rId2132">
        <w:r>
          <w:rPr>
            <w:rStyle w:val="Hyperlink"/>
          </w:rPr>
          <w:t xml:space="preserve">https://www.cisco.com/c/en/us/support/index.html</w:t>
        </w:r>
      </w:hyperlink>
    </w:p>
    <w:p>
      <w:pPr>
        <w:pStyle w:val="Compact"/>
        <w:numPr>
          <w:ilvl w:val="0"/>
          <w:numId w:val="3001"/>
        </w:numPr>
      </w:pPr>
      <w:r>
        <w:t xml:space="preserve">Fortinet — Documentation FortiGate :</w:t>
      </w:r>
      <w:r>
        <w:t xml:space="preserve"> </w:t>
      </w:r>
      <w:hyperlink r:id="rId1626">
        <w:r>
          <w:rPr>
            <w:rStyle w:val="Hyperlink"/>
          </w:rPr>
          <w:t xml:space="preserve">https://docs.fortinet.com/product/fortigate</w:t>
        </w:r>
      </w:hyperlink>
    </w:p>
    <w:p>
      <w:pPr>
        <w:pStyle w:val="Compact"/>
        <w:numPr>
          <w:ilvl w:val="0"/>
          <w:numId w:val="3001"/>
        </w:numPr>
      </w:pPr>
      <w:r>
        <w:t xml:space="preserve">Mikrotik — Documentation RouterOS :</w:t>
      </w:r>
      <w:r>
        <w:t xml:space="preserve"> </w:t>
      </w:r>
      <w:hyperlink r:id="rId1648">
        <w:r>
          <w:rPr>
            <w:rStyle w:val="Hyperlink"/>
          </w:rPr>
          <w:t xml:space="preserve">https://help.mikrotik.com/docs/</w:t>
        </w:r>
      </w:hyperlink>
    </w:p>
    <w:p>
      <w:pPr>
        <w:pStyle w:val="Compact"/>
        <w:numPr>
          <w:ilvl w:val="0"/>
          <w:numId w:val="3001"/>
        </w:numPr>
      </w:pPr>
      <w:r>
        <w:t xml:space="preserve">Nginx — Documentation officielle :</w:t>
      </w:r>
      <w:r>
        <w:t xml:space="preserve"> </w:t>
      </w:r>
      <w:hyperlink r:id="rId1673">
        <w:r>
          <w:rPr>
            <w:rStyle w:val="Hyperlink"/>
          </w:rPr>
          <w:t xml:space="preserve">https://nginx.org/en/docs/</w:t>
        </w:r>
      </w:hyperlink>
    </w:p>
    <w:p>
      <w:pPr>
        <w:pStyle w:val="Compact"/>
        <w:numPr>
          <w:ilvl w:val="0"/>
          <w:numId w:val="3001"/>
        </w:numPr>
      </w:pPr>
      <w:r>
        <w:t xml:space="preserve">RFC 5424 — The Syslog Protocol :</w:t>
      </w:r>
      <w:r>
        <w:t xml:space="preserve"> </w:t>
      </w:r>
      <w:hyperlink r:id="rId1554">
        <w:r>
          <w:rPr>
            <w:rStyle w:val="Hyperlink"/>
          </w:rPr>
          <w:t xml:space="preserve">https://www.rfc-editor.org/rfc/rfc5424</w:t>
        </w:r>
      </w:hyperlink>
    </w:p>
    <w:bookmarkEnd w:id="2133"/>
    <w:bookmarkStart w:id="2135" w:name="f.4-virtualisation"/>
    <w:p>
      <w:pPr>
        <w:pStyle w:val="Heading2"/>
      </w:pPr>
      <w:r>
        <w:t xml:space="preserve">F.4 Virtualisation</w:t>
      </w:r>
    </w:p>
    <w:p>
      <w:pPr>
        <w:pStyle w:val="Compact"/>
        <w:numPr>
          <w:ilvl w:val="0"/>
          <w:numId w:val="3002"/>
        </w:numPr>
      </w:pPr>
      <w:r>
        <w:t xml:space="preserve">VMware vSphere — Documentation officielle :</w:t>
      </w:r>
      <w:r>
        <w:t xml:space="preserve"> </w:t>
      </w:r>
      <w:hyperlink r:id="rId2134">
        <w:r>
          <w:rPr>
            <w:rStyle w:val="Hyperlink"/>
          </w:rPr>
          <w:t xml:space="preserve">https://docs.vmware.com/en/VMware-vSphere/</w:t>
        </w:r>
      </w:hyperlink>
    </w:p>
    <w:p>
      <w:pPr>
        <w:pStyle w:val="Compact"/>
        <w:numPr>
          <w:ilvl w:val="0"/>
          <w:numId w:val="3002"/>
        </w:numPr>
      </w:pPr>
      <w:r>
        <w:t xml:space="preserve">Proxmox VE — Documentation officielle :</w:t>
      </w:r>
      <w:r>
        <w:t xml:space="preserve"> </w:t>
      </w:r>
      <w:hyperlink r:id="rId838">
        <w:r>
          <w:rPr>
            <w:rStyle w:val="Hyperlink"/>
          </w:rPr>
          <w:t xml:space="preserve">https://pve.proxmox.com/pve-docs/</w:t>
        </w:r>
      </w:hyperlink>
    </w:p>
    <w:p>
      <w:pPr>
        <w:pStyle w:val="Compact"/>
        <w:numPr>
          <w:ilvl w:val="0"/>
          <w:numId w:val="3002"/>
        </w:numPr>
      </w:pPr>
      <w:r>
        <w:t xml:space="preserve">Oracle VirtualBox — Documentation officielle :</w:t>
      </w:r>
      <w:r>
        <w:t xml:space="preserve"> </w:t>
      </w:r>
      <w:hyperlink r:id="rId933">
        <w:r>
          <w:rPr>
            <w:rStyle w:val="Hyperlink"/>
          </w:rPr>
          <w:t xml:space="preserve">https://www.virtualbox.org/manual/</w:t>
        </w:r>
      </w:hyperlink>
    </w:p>
    <w:bookmarkEnd w:id="2135"/>
    <w:bookmarkStart w:id="2137" w:name="f.5-conteneurs-et-orchestration"/>
    <w:p>
      <w:pPr>
        <w:pStyle w:val="Heading2"/>
      </w:pPr>
      <w:r>
        <w:t xml:space="preserve">F.5 Conteneurs et orchestration</w:t>
      </w:r>
    </w:p>
    <w:p>
      <w:pPr>
        <w:pStyle w:val="Compact"/>
        <w:numPr>
          <w:ilvl w:val="0"/>
          <w:numId w:val="3003"/>
        </w:numPr>
      </w:pPr>
      <w:r>
        <w:t xml:space="preserve">Docker — Documentation officielle :</w:t>
      </w:r>
      <w:r>
        <w:t xml:space="preserve"> </w:t>
      </w:r>
      <w:hyperlink r:id="rId981">
        <w:r>
          <w:rPr>
            <w:rStyle w:val="Hyperlink"/>
          </w:rPr>
          <w:t xml:space="preserve">https://docs.docker.com/</w:t>
        </w:r>
      </w:hyperlink>
    </w:p>
    <w:p>
      <w:pPr>
        <w:pStyle w:val="Compact"/>
        <w:numPr>
          <w:ilvl w:val="0"/>
          <w:numId w:val="3003"/>
        </w:numPr>
      </w:pPr>
      <w:r>
        <w:t xml:space="preserve">Kubernetes — Documentation officielle :</w:t>
      </w:r>
      <w:r>
        <w:t xml:space="preserve"> </w:t>
      </w:r>
      <w:hyperlink r:id="rId2136">
        <w:r>
          <w:rPr>
            <w:rStyle w:val="Hyperlink"/>
          </w:rPr>
          <w:t xml:space="preserve">https://kubernetes.io/docs/</w:t>
        </w:r>
      </w:hyperlink>
    </w:p>
    <w:p>
      <w:pPr>
        <w:pStyle w:val="Compact"/>
        <w:numPr>
          <w:ilvl w:val="0"/>
          <w:numId w:val="3003"/>
        </w:numPr>
      </w:pPr>
      <w:r>
        <w:t xml:space="preserve">Docker Compose — Documentation officielle :</w:t>
      </w:r>
      <w:r>
        <w:t xml:space="preserve"> </w:t>
      </w:r>
      <w:hyperlink r:id="rId1024">
        <w:r>
          <w:rPr>
            <w:rStyle w:val="Hyperlink"/>
          </w:rPr>
          <w:t xml:space="preserve">https://docs.docker.com/compose/</w:t>
        </w:r>
      </w:hyperlink>
    </w:p>
    <w:bookmarkEnd w:id="2137"/>
    <w:bookmarkStart w:id="2140" w:name="f.6-cloud-public"/>
    <w:p>
      <w:pPr>
        <w:pStyle w:val="Heading2"/>
      </w:pPr>
      <w:r>
        <w:t xml:space="preserve">F.6 Cloud public</w:t>
      </w:r>
    </w:p>
    <w:p>
      <w:pPr>
        <w:pStyle w:val="Compact"/>
        <w:numPr>
          <w:ilvl w:val="0"/>
          <w:numId w:val="3004"/>
        </w:numPr>
      </w:pPr>
      <w:r>
        <w:t xml:space="preserve">AWS — Documentation officielle :</w:t>
      </w:r>
      <w:r>
        <w:t xml:space="preserve"> </w:t>
      </w:r>
      <w:hyperlink r:id="rId1151">
        <w:r>
          <w:rPr>
            <w:rStyle w:val="Hyperlink"/>
          </w:rPr>
          <w:t xml:space="preserve">https://docs.aws.amazon.com/</w:t>
        </w:r>
      </w:hyperlink>
    </w:p>
    <w:p>
      <w:pPr>
        <w:pStyle w:val="Compact"/>
        <w:numPr>
          <w:ilvl w:val="0"/>
          <w:numId w:val="3004"/>
        </w:numPr>
      </w:pPr>
      <w:r>
        <w:t xml:space="preserve">Microsoft Azure — Documentation officielle :</w:t>
      </w:r>
      <w:r>
        <w:t xml:space="preserve"> </w:t>
      </w:r>
      <w:hyperlink r:id="rId2138">
        <w:r>
          <w:rPr>
            <w:rStyle w:val="Hyperlink"/>
          </w:rPr>
          <w:t xml:space="preserve">https://learn.microsoft.com/azure/</w:t>
        </w:r>
      </w:hyperlink>
    </w:p>
    <w:p>
      <w:pPr>
        <w:pStyle w:val="Compact"/>
        <w:numPr>
          <w:ilvl w:val="0"/>
          <w:numId w:val="3004"/>
        </w:numPr>
      </w:pPr>
      <w:r>
        <w:t xml:space="preserve">Google Cloud Platform — Documentation officielle :</w:t>
      </w:r>
      <w:r>
        <w:t xml:space="preserve"> </w:t>
      </w:r>
      <w:hyperlink r:id="rId1198">
        <w:r>
          <w:rPr>
            <w:rStyle w:val="Hyperlink"/>
          </w:rPr>
          <w:t xml:space="preserve">https://cloud.google.com/docs</w:t>
        </w:r>
      </w:hyperlink>
    </w:p>
    <w:p>
      <w:pPr>
        <w:pStyle w:val="Compact"/>
        <w:numPr>
          <w:ilvl w:val="0"/>
          <w:numId w:val="3004"/>
        </w:numPr>
      </w:pPr>
      <w:r>
        <w:t xml:space="preserve">FinOps Foundation — Framework FinOps :</w:t>
      </w:r>
      <w:r>
        <w:t xml:space="preserve"> </w:t>
      </w:r>
      <w:hyperlink r:id="rId2139">
        <w:r>
          <w:rPr>
            <w:rStyle w:val="Hyperlink"/>
          </w:rPr>
          <w:t xml:space="preserve">https://www.finops.org/framework/</w:t>
        </w:r>
      </w:hyperlink>
    </w:p>
    <w:bookmarkEnd w:id="2140"/>
    <w:bookmarkStart w:id="2142" w:name="X1134a9b4cc1f7854ad71914916d0e43482f11a7"/>
    <w:p>
      <w:pPr>
        <w:pStyle w:val="Heading2"/>
      </w:pPr>
      <w:r>
        <w:t xml:space="preserve">F.7 Automatisation et Infrastructure as Code</w:t>
      </w:r>
    </w:p>
    <w:p>
      <w:pPr>
        <w:pStyle w:val="Compact"/>
        <w:numPr>
          <w:ilvl w:val="0"/>
          <w:numId w:val="3005"/>
        </w:numPr>
      </w:pPr>
      <w:r>
        <w:t xml:space="preserve">Git — Documentation officielle :</w:t>
      </w:r>
      <w:r>
        <w:t xml:space="preserve"> </w:t>
      </w:r>
      <w:hyperlink r:id="rId2141">
        <w:r>
          <w:rPr>
            <w:rStyle w:val="Hyperlink"/>
          </w:rPr>
          <w:t xml:space="preserve">https://git-scm.com/doc</w:t>
        </w:r>
      </w:hyperlink>
    </w:p>
    <w:p>
      <w:pPr>
        <w:pStyle w:val="Compact"/>
        <w:numPr>
          <w:ilvl w:val="0"/>
          <w:numId w:val="3005"/>
        </w:numPr>
      </w:pPr>
      <w:r>
        <w:t xml:space="preserve">Ansible — Documentation officielle :</w:t>
      </w:r>
      <w:r>
        <w:t xml:space="preserve"> </w:t>
      </w:r>
      <w:hyperlink r:id="rId1294">
        <w:r>
          <w:rPr>
            <w:rStyle w:val="Hyperlink"/>
          </w:rPr>
          <w:t xml:space="preserve">https://docs.ansible.com/</w:t>
        </w:r>
      </w:hyperlink>
    </w:p>
    <w:p>
      <w:pPr>
        <w:pStyle w:val="Compact"/>
        <w:numPr>
          <w:ilvl w:val="0"/>
          <w:numId w:val="3005"/>
        </w:numPr>
      </w:pPr>
      <w:r>
        <w:t xml:space="preserve">Terraform — Documentation officielle :</w:t>
      </w:r>
      <w:r>
        <w:t xml:space="preserve"> </w:t>
      </w:r>
      <w:hyperlink r:id="rId1339">
        <w:r>
          <w:rPr>
            <w:rStyle w:val="Hyperlink"/>
          </w:rPr>
          <w:t xml:space="preserve">https://developer.hashicorp.com/terraform/docs</w:t>
        </w:r>
      </w:hyperlink>
    </w:p>
    <w:p>
      <w:pPr>
        <w:pStyle w:val="Compact"/>
        <w:numPr>
          <w:ilvl w:val="0"/>
          <w:numId w:val="3005"/>
        </w:numPr>
      </w:pPr>
      <w:r>
        <w:t xml:space="preserve">Jenkins — Documentation officielle :</w:t>
      </w:r>
      <w:r>
        <w:t xml:space="preserve"> </w:t>
      </w:r>
      <w:hyperlink r:id="rId1385">
        <w:r>
          <w:rPr>
            <w:rStyle w:val="Hyperlink"/>
          </w:rPr>
          <w:t xml:space="preserve">https://www.jenkins.io/doc/</w:t>
        </w:r>
      </w:hyperlink>
    </w:p>
    <w:p>
      <w:pPr>
        <w:pStyle w:val="Compact"/>
        <w:numPr>
          <w:ilvl w:val="0"/>
          <w:numId w:val="3005"/>
        </w:numPr>
      </w:pPr>
      <w:r>
        <w:t xml:space="preserve">OWASP — DevSecOps Guideline :</w:t>
      </w:r>
      <w:r>
        <w:t xml:space="preserve"> </w:t>
      </w:r>
      <w:hyperlink r:id="rId1408">
        <w:r>
          <w:rPr>
            <w:rStyle w:val="Hyperlink"/>
          </w:rPr>
          <w:t xml:space="preserve">https://owasp.org/www-project-devsecops-guideline/</w:t>
        </w:r>
      </w:hyperlink>
    </w:p>
    <w:bookmarkEnd w:id="2142"/>
    <w:bookmarkStart w:id="2144" w:name="f.8-supervision-et-observabilité"/>
    <w:p>
      <w:pPr>
        <w:pStyle w:val="Heading2"/>
      </w:pPr>
      <w:r>
        <w:t xml:space="preserve">F.8 Supervision et observabilité</w:t>
      </w:r>
    </w:p>
    <w:p>
      <w:pPr>
        <w:pStyle w:val="Compact"/>
        <w:numPr>
          <w:ilvl w:val="0"/>
          <w:numId w:val="3006"/>
        </w:numPr>
      </w:pPr>
      <w:r>
        <w:t xml:space="preserve">Zabbix — Documentation officielle :</w:t>
      </w:r>
      <w:r>
        <w:t xml:space="preserve"> </w:t>
      </w:r>
      <w:hyperlink r:id="rId1457">
        <w:r>
          <w:rPr>
            <w:rStyle w:val="Hyperlink"/>
          </w:rPr>
          <w:t xml:space="preserve">https://www.zabbix.com/documentation/current/en/manual</w:t>
        </w:r>
      </w:hyperlink>
    </w:p>
    <w:p>
      <w:pPr>
        <w:pStyle w:val="Compact"/>
        <w:numPr>
          <w:ilvl w:val="0"/>
          <w:numId w:val="3006"/>
        </w:numPr>
      </w:pPr>
      <w:r>
        <w:t xml:space="preserve">Prometheus — Documentation officielle :</w:t>
      </w:r>
      <w:r>
        <w:t xml:space="preserve"> </w:t>
      </w:r>
      <w:hyperlink r:id="rId1478">
        <w:r>
          <w:rPr>
            <w:rStyle w:val="Hyperlink"/>
          </w:rPr>
          <w:t xml:space="preserve">https://prometheus.io/docs/introduction/overview/</w:t>
        </w:r>
      </w:hyperlink>
    </w:p>
    <w:p>
      <w:pPr>
        <w:pStyle w:val="Compact"/>
        <w:numPr>
          <w:ilvl w:val="0"/>
          <w:numId w:val="3006"/>
        </w:numPr>
      </w:pPr>
      <w:r>
        <w:t xml:space="preserve">Grafana — Documentation officielle :</w:t>
      </w:r>
      <w:r>
        <w:t xml:space="preserve"> </w:t>
      </w:r>
      <w:hyperlink r:id="rId1504">
        <w:r>
          <w:rPr>
            <w:rStyle w:val="Hyperlink"/>
          </w:rPr>
          <w:t xml:space="preserve">https://grafana.com/docs/grafana/latest/</w:t>
        </w:r>
      </w:hyperlink>
    </w:p>
    <w:p>
      <w:pPr>
        <w:pStyle w:val="Compact"/>
        <w:numPr>
          <w:ilvl w:val="0"/>
          <w:numId w:val="3006"/>
        </w:numPr>
      </w:pPr>
      <w:r>
        <w:t xml:space="preserve">Elastic (Elasticsearch, Logstash, Kibana, Filebeat) — Documentation officielle :</w:t>
      </w:r>
      <w:r>
        <w:t xml:space="preserve"> </w:t>
      </w:r>
      <w:hyperlink r:id="rId1529">
        <w:r>
          <w:rPr>
            <w:rStyle w:val="Hyperlink"/>
          </w:rPr>
          <w:t xml:space="preserve">https://www.elastic.co/guide/index.html</w:t>
        </w:r>
      </w:hyperlink>
    </w:p>
    <w:p>
      <w:pPr>
        <w:pStyle w:val="Compact"/>
        <w:numPr>
          <w:ilvl w:val="0"/>
          <w:numId w:val="3006"/>
        </w:numPr>
      </w:pPr>
      <w:r>
        <w:t xml:space="preserve">Graylog — Documentation officielle :</w:t>
      </w:r>
      <w:r>
        <w:t xml:space="preserve"> </w:t>
      </w:r>
      <w:hyperlink r:id="rId1553">
        <w:r>
          <w:rPr>
            <w:rStyle w:val="Hyperlink"/>
          </w:rPr>
          <w:t xml:space="preserve">https://go2docs.graylog.org/</w:t>
        </w:r>
      </w:hyperlink>
    </w:p>
    <w:p>
      <w:pPr>
        <w:pStyle w:val="Compact"/>
        <w:numPr>
          <w:ilvl w:val="0"/>
          <w:numId w:val="3006"/>
        </w:numPr>
      </w:pPr>
      <w:r>
        <w:t xml:space="preserve">Wireshark — Documentation officielle :</w:t>
      </w:r>
      <w:r>
        <w:t xml:space="preserve"> </w:t>
      </w:r>
      <w:hyperlink r:id="rId1575">
        <w:r>
          <w:rPr>
            <w:rStyle w:val="Hyperlink"/>
          </w:rPr>
          <w:t xml:space="preserve">https://www.wireshark.org/docs/</w:t>
        </w:r>
      </w:hyperlink>
    </w:p>
    <w:p>
      <w:pPr>
        <w:pStyle w:val="Compact"/>
        <w:numPr>
          <w:ilvl w:val="0"/>
          <w:numId w:val="3006"/>
        </w:numPr>
      </w:pPr>
      <w:r>
        <w:t xml:space="preserve">Google — Site Reliability Engineering (livre en ligne) :</w:t>
      </w:r>
      <w:r>
        <w:t xml:space="preserve"> </w:t>
      </w:r>
      <w:hyperlink r:id="rId2143">
        <w:r>
          <w:rPr>
            <w:rStyle w:val="Hyperlink"/>
          </w:rPr>
          <w:t xml:space="preserve">https://sre.google/sre-book/table-of-contents/</w:t>
        </w:r>
      </w:hyperlink>
    </w:p>
    <w:bookmarkEnd w:id="2144"/>
    <w:bookmarkStart w:id="2146" w:name="f.9-cybersécurité-et-gouvernance"/>
    <w:p>
      <w:pPr>
        <w:pStyle w:val="Heading2"/>
      </w:pPr>
      <w:r>
        <w:t xml:space="preserve">F.9 Cybersécurité et gouvernance</w:t>
      </w:r>
    </w:p>
    <w:p>
      <w:pPr>
        <w:pStyle w:val="Compact"/>
        <w:numPr>
          <w:ilvl w:val="0"/>
          <w:numId w:val="3007"/>
        </w:numPr>
      </w:pPr>
      <w:r>
        <w:t xml:space="preserve">NIST — Cybersecurity Framework (CSF) 2.0 :</w:t>
      </w:r>
      <w:r>
        <w:t xml:space="preserve"> </w:t>
      </w:r>
      <w:hyperlink r:id="rId36">
        <w:r>
          <w:rPr>
            <w:rStyle w:val="Hyperlink"/>
          </w:rPr>
          <w:t xml:space="preserve">https://www.nist.gov/cyberframework</w:t>
        </w:r>
      </w:hyperlink>
    </w:p>
    <w:p>
      <w:pPr>
        <w:pStyle w:val="Compact"/>
        <w:numPr>
          <w:ilvl w:val="0"/>
          <w:numId w:val="3007"/>
        </w:numPr>
      </w:pPr>
      <w:r>
        <w:t xml:space="preserve">NIST — National Vulnerability Database :</w:t>
      </w:r>
      <w:r>
        <w:t xml:space="preserve"> </w:t>
      </w:r>
      <w:hyperlink r:id="rId1911">
        <w:r>
          <w:rPr>
            <w:rStyle w:val="Hyperlink"/>
          </w:rPr>
          <w:t xml:space="preserve">https://nvd.nist.gov/</w:t>
        </w:r>
      </w:hyperlink>
    </w:p>
    <w:p>
      <w:pPr>
        <w:pStyle w:val="Compact"/>
        <w:numPr>
          <w:ilvl w:val="0"/>
          <w:numId w:val="3007"/>
        </w:numPr>
      </w:pPr>
      <w:r>
        <w:t xml:space="preserve">NIST — Computer Security Incident Handling Guide (SP 800-61) :</w:t>
      </w:r>
      <w:r>
        <w:t xml:space="preserve"> </w:t>
      </w:r>
      <w:hyperlink r:id="rId1937">
        <w:r>
          <w:rPr>
            <w:rStyle w:val="Hyperlink"/>
          </w:rPr>
          <w:t xml:space="preserve">https://csrc.nist.gov/publications/detail/sp/800-61/rev-2/final</w:t>
        </w:r>
      </w:hyperlink>
    </w:p>
    <w:p>
      <w:pPr>
        <w:pStyle w:val="Compact"/>
        <w:numPr>
          <w:ilvl w:val="0"/>
          <w:numId w:val="3007"/>
        </w:numPr>
      </w:pPr>
      <w:r>
        <w:t xml:space="preserve">ISO — ISO/IEC 27001 Information security management :</w:t>
      </w:r>
      <w:r>
        <w:t xml:space="preserve"> </w:t>
      </w:r>
      <w:hyperlink r:id="rId1773">
        <w:r>
          <w:rPr>
            <w:rStyle w:val="Hyperlink"/>
          </w:rPr>
          <w:t xml:space="preserve">https://www.iso.org/standard/27001</w:t>
        </w:r>
      </w:hyperlink>
    </w:p>
    <w:p>
      <w:pPr>
        <w:pStyle w:val="Compact"/>
        <w:numPr>
          <w:ilvl w:val="0"/>
          <w:numId w:val="3007"/>
        </w:numPr>
      </w:pPr>
      <w:r>
        <w:t xml:space="preserve">Center for Internet Security — CIS Benchmarks et CIS Controls :</w:t>
      </w:r>
      <w:r>
        <w:t xml:space="preserve"> </w:t>
      </w:r>
      <w:hyperlink r:id="rId2145">
        <w:r>
          <w:rPr>
            <w:rStyle w:val="Hyperlink"/>
          </w:rPr>
          <w:t xml:space="preserve">https://www.cisecurity.org/</w:t>
        </w:r>
      </w:hyperlink>
    </w:p>
    <w:p>
      <w:pPr>
        <w:pStyle w:val="Compact"/>
        <w:numPr>
          <w:ilvl w:val="0"/>
          <w:numId w:val="3007"/>
        </w:numPr>
      </w:pPr>
      <w:r>
        <w:t xml:space="preserve">MITRE ATT&amp;CK — Base de connaissance des tactiques et techniques d’attaque :</w:t>
      </w:r>
      <w:r>
        <w:t xml:space="preserve"> </w:t>
      </w:r>
      <w:hyperlink r:id="rId1816">
        <w:r>
          <w:rPr>
            <w:rStyle w:val="Hyperlink"/>
          </w:rPr>
          <w:t xml:space="preserve">https://attack.mitre.org/</w:t>
        </w:r>
      </w:hyperlink>
    </w:p>
    <w:p>
      <w:pPr>
        <w:pStyle w:val="Compact"/>
        <w:numPr>
          <w:ilvl w:val="0"/>
          <w:numId w:val="3007"/>
        </w:numPr>
      </w:pPr>
      <w:r>
        <w:t xml:space="preserve">OWASP — Testing Guide :</w:t>
      </w:r>
      <w:r>
        <w:t xml:space="preserve"> </w:t>
      </w:r>
      <w:hyperlink r:id="rId1884">
        <w:r>
          <w:rPr>
            <w:rStyle w:val="Hyperlink"/>
          </w:rPr>
          <w:t xml:space="preserve">https://owasp.org/www-project-web-security-testing-guide/</w:t>
        </w:r>
      </w:hyperlink>
    </w:p>
    <w:p>
      <w:pPr>
        <w:pStyle w:val="Compact"/>
        <w:numPr>
          <w:ilvl w:val="0"/>
          <w:numId w:val="3007"/>
        </w:numPr>
      </w:pPr>
      <w:r>
        <w:t xml:space="preserve">SANS Institute — Incident Handler’s Handbook :</w:t>
      </w:r>
      <w:r>
        <w:t xml:space="preserve"> </w:t>
      </w:r>
      <w:hyperlink r:id="rId1938">
        <w:r>
          <w:rPr>
            <w:rStyle w:val="Hyperlink"/>
          </w:rPr>
          <w:t xml:space="preserve">https://www.sans.org/white-papers/33901/</w:t>
        </w:r>
      </w:hyperlink>
    </w:p>
    <w:p>
      <w:pPr>
        <w:pStyle w:val="Compact"/>
        <w:numPr>
          <w:ilvl w:val="0"/>
          <w:numId w:val="3007"/>
        </w:numPr>
      </w:pPr>
      <w:r>
        <w:t xml:space="preserve">FIRST — Common Vulnerability Scoring System (CVSS) :</w:t>
      </w:r>
      <w:r>
        <w:t xml:space="preserve"> </w:t>
      </w:r>
      <w:hyperlink r:id="rId1910">
        <w:r>
          <w:rPr>
            <w:rStyle w:val="Hyperlink"/>
          </w:rPr>
          <w:t xml:space="preserve">https://www.first.org/cvss/</w:t>
        </w:r>
      </w:hyperlink>
    </w:p>
    <w:bookmarkEnd w:id="2146"/>
    <w:bookmarkStart w:id="2147" w:name="f.10-gestion-de-projet-et-gouvernance-it"/>
    <w:p>
      <w:pPr>
        <w:pStyle w:val="Heading2"/>
      </w:pPr>
      <w:r>
        <w:t xml:space="preserve">F.10 Gestion de projet et gouvernance IT</w:t>
      </w:r>
    </w:p>
    <w:p>
      <w:pPr>
        <w:pStyle w:val="Compact"/>
        <w:numPr>
          <w:ilvl w:val="0"/>
          <w:numId w:val="3008"/>
        </w:numPr>
      </w:pPr>
      <w:r>
        <w:t xml:space="preserve">ITIL — Cadre de référence de gestion des services : rappel du chapitre 2 de ce manuel.</w:t>
      </w:r>
    </w:p>
    <w:p>
      <w:pPr>
        <w:pStyle w:val="Compact"/>
        <w:numPr>
          <w:ilvl w:val="0"/>
          <w:numId w:val="3008"/>
        </w:numPr>
      </w:pPr>
      <w:r>
        <w:t xml:space="preserve">PMI — A Guide to the Project Management Body of Knowledge (PMBOK Guide) :</w:t>
      </w:r>
      <w:r>
        <w:t xml:space="preserve"> </w:t>
      </w:r>
      <w:hyperlink r:id="rId1959">
        <w:r>
          <w:rPr>
            <w:rStyle w:val="Hyperlink"/>
          </w:rPr>
          <w:t xml:space="preserve">https://www.pmi.org/pmbok-guide-standards</w:t>
        </w:r>
      </w:hyperlink>
    </w:p>
    <w:p>
      <w:pPr>
        <w:pStyle w:val="Compact"/>
        <w:numPr>
          <w:ilvl w:val="0"/>
          <w:numId w:val="3008"/>
        </w:numPr>
      </w:pPr>
      <w:r>
        <w:t xml:space="preserve">TOGAF — The Open Group Architecture Framework :</w:t>
      </w:r>
      <w:r>
        <w:t xml:space="preserve"> </w:t>
      </w:r>
      <w:hyperlink r:id="rId1983">
        <w:r>
          <w:rPr>
            <w:rStyle w:val="Hyperlink"/>
          </w:rPr>
          <w:t xml:space="preserve">https://www.opengroup.org/togaf</w:t>
        </w:r>
      </w:hyperlink>
    </w:p>
    <w:p>
      <w:pPr>
        <w:pStyle w:val="FirstParagraph"/>
      </w:pPr>
      <w:r>
        <w:t xml:space="preserve">✅ La documentation officielle reste la source de vérité</w:t>
      </w:r>
      <w:r>
        <w:t xml:space="preserve"> </w:t>
      </w:r>
      <w:r>
        <w:t xml:space="preserve">Ce manuel synthétise, explique et met en contexte des technologies dont la documentation officielle évolue en continu. En cas de doute, de version obsolète, ou de comportement différent de celui décrit dans ce manuel, la documentation officielle du fournisseur reste toujours la référence faisant autorité — un réflexe à conserver bien après la lecture de ce manuel.</w:t>
      </w:r>
    </w:p>
    <w:p>
      <w:pPr>
        <w:pStyle w:val="BodyText"/>
      </w:pPr>
      <w:r>
        <w:t xml:space="preserve">💡 Mot de clôture</w:t>
      </w:r>
      <w:r>
        <w:t xml:space="preserve"> </w:t>
      </w:r>
      <w:r>
        <w:t xml:space="preserve">Ce manuel s’ouvrait au chapitre 1 sur le métier d’administrateur système, et se referme ici après 86 chapitres et six annexes, ayant accompagné une entreprise fictive depuis un incident de rançongiciel jusqu’à une infrastructure hybride complète, gouvernée et résiliente pour 300 employés répartis sur quatre sites. Les technologies continueront d’évoluer — la rigueur méthodique développée à travers ce parcours, elle, reste directement transférable à toute technologie future : comprendre le problème avant la solution, tester avant de faire confiance, documenter avant d’oublier, et ne jamais confondre l’existence d’un outil avec sa couverture réelle.</w:t>
      </w:r>
    </w:p>
    <w:bookmarkEnd w:id="2147"/>
    <w:bookmarkEnd w:id="214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721">
    <w:nsid w:val="00A9972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22">
    <w:nsid w:val="00A9972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723">
    <w:nsid w:val="00A9972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abstractNum w:abstractNumId="99724">
    <w:nsid w:val="00A99724"/>
    <w:multiLevelType w:val="multilevel"/>
    <w:lvl w:ilvl="0">
      <w:start w:val="4"/>
      <w:numFmt w:val="lowerLetter"/>
      <w:lvlText w:val="%1)"/>
      <w:lvlJc w:val="left"/>
      <w:pPr>
        <w:ind w:left="720" w:hanging="360"/>
      </w:pPr>
    </w:lvl>
    <w:lvl w:ilvl="1">
      <w:start w:val="4"/>
      <w:numFmt w:val="lowerLetter"/>
      <w:lvlText w:val="%2)"/>
      <w:lvlJc w:val="left"/>
      <w:pPr>
        <w:ind w:left="1440" w:hanging="360"/>
      </w:pPr>
    </w:lvl>
    <w:lvl w:ilvl="2">
      <w:start w:val="4"/>
      <w:numFmt w:val="lowerLetter"/>
      <w:lvlText w:val="%3)"/>
      <w:lvlJc w:val="left"/>
      <w:pPr>
        <w:ind w:left="2160" w:hanging="360"/>
      </w:pPr>
    </w:lvl>
    <w:lvl w:ilvl="3">
      <w:start w:val="4"/>
      <w:numFmt w:val="lowerLetter"/>
      <w:lvlText w:val="%4)"/>
      <w:lvlJc w:val="left"/>
      <w:pPr>
        <w:ind w:left="2880" w:hanging="360"/>
      </w:pPr>
    </w:lvl>
    <w:lvl w:ilvl="4">
      <w:start w:val="4"/>
      <w:numFmt w:val="lowerLetter"/>
      <w:lvlText w:val="%5)"/>
      <w:lvlJc w:val="left"/>
      <w:pPr>
        <w:ind w:left="3600" w:hanging="360"/>
      </w:pPr>
    </w:lvl>
    <w:lvl w:ilvl="5">
      <w:start w:val="4"/>
      <w:numFmt w:val="lowerLetter"/>
      <w:lvlText w:val="%6)"/>
      <w:lvlJc w:val="left"/>
      <w:pPr>
        <w:ind w:left="4320" w:hanging="360"/>
      </w:pPr>
    </w:lvl>
    <w:lvl w:ilvl="6">
      <w:start w:val="4"/>
      <w:numFmt w:val="lowerLetter"/>
      <w:lvlText w:val="%7)"/>
      <w:lvlJc w:val="left"/>
      <w:pPr>
        <w:ind w:left="5040" w:hanging="360"/>
      </w:pPr>
    </w:lvl>
    <w:lvl w:ilvl="7">
      <w:start w:val="4"/>
      <w:numFmt w:val="lowerLetter"/>
      <w:lvlText w:val="%8)"/>
      <w:lvlJc w:val="left"/>
      <w:pPr>
        <w:ind w:left="5760" w:hanging="360"/>
      </w:pPr>
    </w:lvl>
    <w:lvl w:ilvl="8">
      <w:start w:val="4"/>
      <w:numFmt w:val="lowerLetter"/>
      <w:lvlText w:val="%9)"/>
      <w:lvlJc w:val="left"/>
      <w:pPr>
        <w:ind w:left="6480" w:hanging="360"/>
      </w:pPr>
    </w:lvl>
  </w:abstractNum>
  <w:abstractNum w:abstractNumId="99725">
    <w:nsid w:val="00A99725"/>
    <w:multiLevelType w:val="multilevel"/>
    <w:lvl w:ilvl="0">
      <w:start w:val="5"/>
      <w:numFmt w:val="lowerLetter"/>
      <w:lvlText w:val="%1)"/>
      <w:lvlJc w:val="left"/>
      <w:pPr>
        <w:ind w:left="720" w:hanging="360"/>
      </w:pPr>
    </w:lvl>
    <w:lvl w:ilvl="1">
      <w:start w:val="5"/>
      <w:numFmt w:val="lowerLetter"/>
      <w:lvlText w:val="%2)"/>
      <w:lvlJc w:val="left"/>
      <w:pPr>
        <w:ind w:left="1440" w:hanging="360"/>
      </w:pPr>
    </w:lvl>
    <w:lvl w:ilvl="2">
      <w:start w:val="5"/>
      <w:numFmt w:val="lowerLetter"/>
      <w:lvlText w:val="%3)"/>
      <w:lvlJc w:val="left"/>
      <w:pPr>
        <w:ind w:left="2160" w:hanging="360"/>
      </w:pPr>
    </w:lvl>
    <w:lvl w:ilvl="3">
      <w:start w:val="5"/>
      <w:numFmt w:val="lowerLetter"/>
      <w:lvlText w:val="%4)"/>
      <w:lvlJc w:val="left"/>
      <w:pPr>
        <w:ind w:left="2880" w:hanging="360"/>
      </w:pPr>
    </w:lvl>
    <w:lvl w:ilvl="4">
      <w:start w:val="5"/>
      <w:numFmt w:val="lowerLetter"/>
      <w:lvlText w:val="%5)"/>
      <w:lvlJc w:val="left"/>
      <w:pPr>
        <w:ind w:left="3600" w:hanging="360"/>
      </w:pPr>
    </w:lvl>
    <w:lvl w:ilvl="5">
      <w:start w:val="5"/>
      <w:numFmt w:val="lowerLetter"/>
      <w:lvlText w:val="%6)"/>
      <w:lvlJc w:val="left"/>
      <w:pPr>
        <w:ind w:left="4320" w:hanging="360"/>
      </w:pPr>
    </w:lvl>
    <w:lvl w:ilvl="6">
      <w:start w:val="5"/>
      <w:numFmt w:val="lowerLetter"/>
      <w:lvlText w:val="%7)"/>
      <w:lvlJc w:val="left"/>
      <w:pPr>
        <w:ind w:left="5040" w:hanging="360"/>
      </w:pPr>
    </w:lvl>
    <w:lvl w:ilvl="7">
      <w:start w:val="5"/>
      <w:numFmt w:val="lowerLetter"/>
      <w:lvlText w:val="%8)"/>
      <w:lvlJc w:val="left"/>
      <w:pPr>
        <w:ind w:left="5760" w:hanging="360"/>
      </w:pPr>
    </w:lvl>
    <w:lvl w:ilvl="8">
      <w:start w:val="5"/>
      <w:numFmt w:val="lowerLetter"/>
      <w:lvlText w:val="%9)"/>
      <w:lvlJc w:val="left"/>
      <w:pPr>
        <w:ind w:left="6480" w:hanging="360"/>
      </w:pPr>
    </w:lvl>
  </w:abstractNum>
  <w:abstractNum w:abstractNumId="99726">
    <w:nsid w:val="00A99726"/>
    <w:multiLevelType w:val="multilevel"/>
    <w:lvl w:ilvl="0">
      <w:start w:val="6"/>
      <w:numFmt w:val="lowerLetter"/>
      <w:lvlText w:val="%1)"/>
      <w:lvlJc w:val="left"/>
      <w:pPr>
        <w:ind w:left="720" w:hanging="360"/>
      </w:pPr>
    </w:lvl>
    <w:lvl w:ilvl="1">
      <w:start w:val="6"/>
      <w:numFmt w:val="lowerLetter"/>
      <w:lvlText w:val="%2)"/>
      <w:lvlJc w:val="left"/>
      <w:pPr>
        <w:ind w:left="1440" w:hanging="360"/>
      </w:pPr>
    </w:lvl>
    <w:lvl w:ilvl="2">
      <w:start w:val="6"/>
      <w:numFmt w:val="lowerLetter"/>
      <w:lvlText w:val="%3)"/>
      <w:lvlJc w:val="left"/>
      <w:pPr>
        <w:ind w:left="2160" w:hanging="360"/>
      </w:pPr>
    </w:lvl>
    <w:lvl w:ilvl="3">
      <w:start w:val="6"/>
      <w:numFmt w:val="lowerLetter"/>
      <w:lvlText w:val="%4)"/>
      <w:lvlJc w:val="left"/>
      <w:pPr>
        <w:ind w:left="2880" w:hanging="360"/>
      </w:pPr>
    </w:lvl>
    <w:lvl w:ilvl="4">
      <w:start w:val="6"/>
      <w:numFmt w:val="lowerLetter"/>
      <w:lvlText w:val="%5)"/>
      <w:lvlJc w:val="left"/>
      <w:pPr>
        <w:ind w:left="3600" w:hanging="360"/>
      </w:pPr>
    </w:lvl>
    <w:lvl w:ilvl="5">
      <w:start w:val="6"/>
      <w:numFmt w:val="lowerLetter"/>
      <w:lvlText w:val="%6)"/>
      <w:lvlJc w:val="left"/>
      <w:pPr>
        <w:ind w:left="4320" w:hanging="360"/>
      </w:pPr>
    </w:lvl>
    <w:lvl w:ilvl="6">
      <w:start w:val="6"/>
      <w:numFmt w:val="lowerLetter"/>
      <w:lvlText w:val="%7)"/>
      <w:lvlJc w:val="left"/>
      <w:pPr>
        <w:ind w:left="5040" w:hanging="360"/>
      </w:pPr>
    </w:lvl>
    <w:lvl w:ilvl="7">
      <w:start w:val="6"/>
      <w:numFmt w:val="lowerLetter"/>
      <w:lvlText w:val="%8)"/>
      <w:lvlJc w:val="left"/>
      <w:pPr>
        <w:ind w:left="5760" w:hanging="360"/>
      </w:pPr>
    </w:lvl>
    <w:lvl w:ilvl="8">
      <w:start w:val="6"/>
      <w:numFmt w:val="lowerLetter"/>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5">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6">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7">
    <w:abstractNumId w:val="9972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8">
    <w:abstractNumId w:val="9972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7">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8">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9">
    <w:abstractNumId w:val="991"/>
  </w:num>
  <w:num w:numId="1020">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2">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3">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4">
    <w:abstractNumId w:val="991"/>
  </w:num>
  <w:num w:numId="1025">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7">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8">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6">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7">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8">
    <w:abstractNumId w:val="9972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39">
    <w:abstractNumId w:val="9972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40">
    <w:abstractNumId w:val="991"/>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8">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9">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50">
    <w:abstractNumId w:val="991"/>
  </w:num>
  <w:num w:numId="105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3">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4">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55">
    <w:abstractNumId w:val="991"/>
  </w:num>
  <w:num w:numId="1056">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8">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9">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1"/>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1"/>
  </w:num>
  <w:num w:numId="1065">
    <w:abstractNumId w:val="991"/>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1">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72">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73">
    <w:abstractNumId w:val="991"/>
  </w:num>
  <w:num w:numId="107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6">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77">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78">
    <w:abstractNumId w:val="991"/>
  </w:num>
  <w:num w:numId="1079">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1">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82">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1"/>
  </w:num>
  <w:num w:numId="1086">
    <w:abstractNumId w:val="991"/>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1"/>
  </w:num>
  <w:num w:numId="1089">
    <w:abstractNumId w:val="991"/>
  </w:num>
  <w:num w:numId="1090">
    <w:abstractNumId w:val="991"/>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1"/>
  </w:num>
  <w:num w:numId="109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5">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96">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97">
    <w:abstractNumId w:val="991"/>
  </w:num>
  <w:num w:numId="1098">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00">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01">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02">
    <w:abstractNumId w:val="991"/>
  </w:num>
  <w:num w:numId="110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05">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06">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1"/>
  </w:num>
  <w:num w:numId="1110">
    <w:abstractNumId w:val="991"/>
  </w:num>
  <w:num w:numId="11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1"/>
  </w:num>
  <w:num w:numId="1113">
    <w:abstractNumId w:val="991"/>
  </w:num>
  <w:num w:numId="1114">
    <w:abstractNumId w:val="991"/>
  </w:num>
  <w:num w:numId="11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1"/>
  </w:num>
  <w:num w:numId="1117">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8">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19">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20">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21">
    <w:abstractNumId w:val="991"/>
  </w:num>
  <w:num w:numId="112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3">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24">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25">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26">
    <w:abstractNumId w:val="991"/>
  </w:num>
  <w:num w:numId="1127">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29">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30">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3">
    <w:abstractNumId w:val="991"/>
  </w:num>
  <w:num w:numId="11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6">
    <w:abstractNumId w:val="991"/>
  </w:num>
  <w:num w:numId="1137">
    <w:abstractNumId w:val="991"/>
  </w:num>
  <w:num w:numId="1138">
    <w:abstractNumId w:val="991"/>
  </w:num>
  <w:num w:numId="11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0">
    <w:abstractNumId w:val="991"/>
  </w:num>
  <w:num w:numId="114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2">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43">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44">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45">
    <w:abstractNumId w:val="991"/>
  </w:num>
  <w:num w:numId="1146">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7">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48">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49">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50">
    <w:abstractNumId w:val="991"/>
  </w:num>
  <w:num w:numId="115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2">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53">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54">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7">
    <w:abstractNumId w:val="991"/>
  </w:num>
  <w:num w:numId="1158">
    <w:abstractNumId w:val="991"/>
  </w:num>
  <w:num w:numId="11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0">
    <w:abstractNumId w:val="991"/>
  </w:num>
  <w:num w:numId="1161">
    <w:abstractNumId w:val="991"/>
  </w:num>
  <w:num w:numId="11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3">
    <w:abstractNumId w:val="991"/>
  </w:num>
  <w:num w:numId="116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5">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66">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67">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68">
    <w:abstractNumId w:val="991"/>
  </w:num>
  <w:num w:numId="1169">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0">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71">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72">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73">
    <w:abstractNumId w:val="991"/>
  </w:num>
  <w:num w:numId="117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5">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76">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77">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0">
    <w:abstractNumId w:val="991"/>
  </w:num>
  <w:num w:numId="11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2">
    <w:abstractNumId w:val="991"/>
  </w:num>
  <w:num w:numId="1183">
    <w:abstractNumId w:val="991"/>
  </w:num>
  <w:num w:numId="11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5">
    <w:abstractNumId w:val="991"/>
  </w:num>
  <w:num w:numId="1186">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7">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88">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89">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90">
    <w:abstractNumId w:val="991"/>
  </w:num>
  <w:num w:numId="119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2">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93">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94">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95">
    <w:abstractNumId w:val="991"/>
  </w:num>
  <w:num w:numId="1196">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7">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98">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99">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2">
    <w:abstractNumId w:val="991"/>
  </w:num>
  <w:num w:numId="1203">
    <w:abstractNumId w:val="991"/>
  </w:num>
  <w:num w:numId="12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5">
    <w:abstractNumId w:val="991"/>
  </w:num>
  <w:num w:numId="1206">
    <w:abstractNumId w:val="991"/>
  </w:num>
  <w:num w:numId="12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8">
    <w:abstractNumId w:val="991"/>
  </w:num>
  <w:num w:numId="1209">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0">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11">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12">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13">
    <w:abstractNumId w:val="991"/>
  </w:num>
  <w:num w:numId="121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5">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16">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17">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18">
    <w:abstractNumId w:val="991"/>
  </w:num>
  <w:num w:numId="1219">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0">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21">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22">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5">
    <w:abstractNumId w:val="991"/>
  </w:num>
  <w:num w:numId="1226">
    <w:abstractNumId w:val="991"/>
  </w:num>
  <w:num w:numId="12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8">
    <w:abstractNumId w:val="991"/>
  </w:num>
  <w:num w:numId="1229">
    <w:abstractNumId w:val="991"/>
  </w:num>
  <w:num w:numId="12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1">
    <w:abstractNumId w:val="991"/>
  </w:num>
  <w:num w:numId="123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3">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34">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35">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36">
    <w:abstractNumId w:val="991"/>
  </w:num>
  <w:num w:numId="1237">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8">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39">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40">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41">
    <w:abstractNumId w:val="991"/>
  </w:num>
  <w:num w:numId="124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3">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44">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45">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8">
    <w:abstractNumId w:val="991"/>
  </w:num>
  <w:num w:numId="1249">
    <w:abstractNumId w:val="991"/>
  </w:num>
  <w:num w:numId="12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2">
    <w:abstractNumId w:val="991"/>
  </w:num>
  <w:num w:numId="1253">
    <w:abstractNumId w:val="991"/>
  </w:num>
  <w:num w:numId="12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5">
    <w:abstractNumId w:val="991"/>
  </w:num>
  <w:num w:numId="1256">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7">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58">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59">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60">
    <w:abstractNumId w:val="991"/>
  </w:num>
  <w:num w:numId="126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2">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63">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64">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65">
    <w:abstractNumId w:val="991"/>
  </w:num>
  <w:num w:numId="1266">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7">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68">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69">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2">
    <w:abstractNumId w:val="991"/>
  </w:num>
  <w:num w:numId="1273">
    <w:abstractNumId w:val="991"/>
  </w:num>
  <w:num w:numId="12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5">
    <w:abstractNumId w:val="991"/>
  </w:num>
  <w:num w:numId="1276">
    <w:abstractNumId w:val="991"/>
  </w:num>
  <w:num w:numId="12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8">
    <w:abstractNumId w:val="991"/>
  </w:num>
  <w:num w:numId="1279">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0">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81">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82">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83">
    <w:abstractNumId w:val="991"/>
  </w:num>
  <w:num w:numId="128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5">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86">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87">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88">
    <w:abstractNumId w:val="991"/>
  </w:num>
  <w:num w:numId="1289">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0">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91">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92">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5">
    <w:abstractNumId w:val="991"/>
  </w:num>
  <w:num w:numId="12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7">
    <w:abstractNumId w:val="991"/>
  </w:num>
  <w:num w:numId="1298">
    <w:abstractNumId w:val="991"/>
  </w:num>
  <w:num w:numId="12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0">
    <w:abstractNumId w:val="991"/>
  </w:num>
  <w:num w:numId="130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2">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03">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04">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305">
    <w:abstractNumId w:val="991"/>
  </w:num>
  <w:num w:numId="1306">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7">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08">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09">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310">
    <w:abstractNumId w:val="991"/>
  </w:num>
  <w:num w:numId="131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2">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13">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14">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3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7">
    <w:abstractNumId w:val="991"/>
  </w:num>
  <w:num w:numId="13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9">
    <w:abstractNumId w:val="991"/>
  </w:num>
  <w:num w:numId="1320">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1">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22">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23">
    <w:abstractNumId w:val="991"/>
  </w:num>
  <w:num w:numId="1324">
    <w:abstractNumId w:val="991"/>
  </w:num>
  <w:num w:numId="1325">
    <w:abstractNumId w:val="991"/>
  </w:num>
  <w:num w:numId="13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7">
    <w:abstractNumId w:val="991"/>
  </w:num>
  <w:num w:numId="1328">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9">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30">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31">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332">
    <w:abstractNumId w:val="991"/>
  </w:num>
  <w:num w:numId="133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4">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35">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36">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337">
    <w:abstractNumId w:val="991"/>
  </w:num>
  <w:num w:numId="1338">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9">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40">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41">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3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4">
    <w:abstractNumId w:val="991"/>
  </w:num>
  <w:num w:numId="1345">
    <w:abstractNumId w:val="991"/>
  </w:num>
  <w:num w:numId="13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7">
    <w:abstractNumId w:val="991"/>
  </w:num>
  <w:num w:numId="1348">
    <w:abstractNumId w:val="991"/>
  </w:num>
  <w:num w:numId="13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0">
    <w:abstractNumId w:val="991"/>
  </w:num>
  <w:num w:numId="135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2">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53">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54">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355">
    <w:abstractNumId w:val="991"/>
  </w:num>
  <w:num w:numId="1356">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7">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58">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59">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360">
    <w:abstractNumId w:val="991"/>
  </w:num>
  <w:num w:numId="136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2">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63">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64">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3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7">
    <w:abstractNumId w:val="991"/>
  </w:num>
  <w:num w:numId="1368">
    <w:abstractNumId w:val="991"/>
  </w:num>
  <w:num w:numId="13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0">
    <w:abstractNumId w:val="991"/>
  </w:num>
  <w:num w:numId="1371">
    <w:abstractNumId w:val="991"/>
  </w:num>
  <w:num w:numId="13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3">
    <w:abstractNumId w:val="991"/>
  </w:num>
  <w:num w:numId="137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5">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76">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77">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378">
    <w:abstractNumId w:val="991"/>
  </w:num>
  <w:num w:numId="1379">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0">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81">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82">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383">
    <w:abstractNumId w:val="991"/>
  </w:num>
  <w:num w:numId="138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5">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86">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87">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3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0">
    <w:abstractNumId w:val="991"/>
  </w:num>
  <w:num w:numId="13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2">
    <w:abstractNumId w:val="991"/>
  </w:num>
  <w:num w:numId="1393">
    <w:abstractNumId w:val="991"/>
  </w:num>
  <w:num w:numId="13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5">
    <w:abstractNumId w:val="991"/>
  </w:num>
  <w:num w:numId="1396">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7">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98">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99">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400">
    <w:abstractNumId w:val="991"/>
  </w:num>
  <w:num w:numId="140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2">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03">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404">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405">
    <w:abstractNumId w:val="991"/>
  </w:num>
  <w:num w:numId="1406">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7">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08">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409">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4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2">
    <w:abstractNumId w:val="991"/>
  </w:num>
  <w:num w:numId="14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4">
    <w:abstractNumId w:val="991"/>
  </w:num>
  <w:num w:numId="1415">
    <w:abstractNumId w:val="991"/>
  </w:num>
  <w:num w:numId="1416">
    <w:abstractNumId w:val="991"/>
  </w:num>
  <w:num w:numId="14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8">
    <w:abstractNumId w:val="991"/>
  </w:num>
  <w:num w:numId="1419">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0">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21">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422">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423">
    <w:abstractNumId w:val="991"/>
  </w:num>
  <w:num w:numId="142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5">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26">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427">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428">
    <w:abstractNumId w:val="991"/>
  </w:num>
  <w:num w:numId="1429">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0">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31">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432">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4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5">
    <w:abstractNumId w:val="991"/>
  </w:num>
  <w:num w:numId="1436">
    <w:abstractNumId w:val="991"/>
  </w:num>
  <w:num w:numId="14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8">
    <w:abstractNumId w:val="991"/>
  </w:num>
  <w:num w:numId="1439">
    <w:abstractNumId w:val="991"/>
  </w:num>
  <w:num w:numId="14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1">
    <w:abstractNumId w:val="991"/>
  </w:num>
  <w:num w:numId="144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3">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44">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445">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446">
    <w:abstractNumId w:val="991"/>
  </w:num>
  <w:num w:numId="1447">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8">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49">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450">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451">
    <w:abstractNumId w:val="991"/>
  </w:num>
  <w:num w:numId="145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3">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54">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455">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4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8">
    <w:abstractNumId w:val="991"/>
  </w:num>
  <w:num w:numId="14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0">
    <w:abstractNumId w:val="991"/>
  </w:num>
  <w:num w:numId="1461">
    <w:abstractNumId w:val="991"/>
  </w:num>
  <w:num w:numId="1462">
    <w:abstractNumId w:val="991"/>
  </w:num>
  <w:num w:numId="14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4">
    <w:abstractNumId w:val="991"/>
  </w:num>
  <w:num w:numId="1465">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6">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67">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468">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469">
    <w:abstractNumId w:val="991"/>
  </w:num>
  <w:num w:numId="1470">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1">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72">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473">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474">
    <w:abstractNumId w:val="991"/>
  </w:num>
  <w:num w:numId="1475">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6">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77">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478">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4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1">
    <w:abstractNumId w:val="991"/>
  </w:num>
  <w:num w:numId="14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3">
    <w:abstractNumId w:val="991"/>
  </w:num>
  <w:num w:numId="1484">
    <w:abstractNumId w:val="991"/>
  </w:num>
  <w:num w:numId="1485">
    <w:abstractNumId w:val="991"/>
  </w:num>
  <w:num w:numId="14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7">
    <w:abstractNumId w:val="991"/>
  </w:num>
  <w:num w:numId="1488">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9">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90">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491">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492">
    <w:abstractNumId w:val="991"/>
  </w:num>
  <w:num w:numId="149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4">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95">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496">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497">
    <w:abstractNumId w:val="991"/>
  </w:num>
  <w:num w:numId="1498">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9">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500">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501">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5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4">
    <w:abstractNumId w:val="991"/>
  </w:num>
  <w:num w:numId="1505">
    <w:abstractNumId w:val="991"/>
  </w:num>
  <w:num w:numId="15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7">
    <w:abstractNumId w:val="991"/>
  </w:num>
  <w:num w:numId="1508">
    <w:abstractNumId w:val="991"/>
  </w:num>
  <w:num w:numId="15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0">
    <w:abstractNumId w:val="991"/>
  </w:num>
  <w:num w:numId="151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2">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513">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514">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515">
    <w:abstractNumId w:val="991"/>
  </w:num>
  <w:num w:numId="1516">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7">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518">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519">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520">
    <w:abstractNumId w:val="991"/>
  </w:num>
  <w:num w:numId="152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2">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523">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524">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5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7">
    <w:abstractNumId w:val="991"/>
  </w:num>
  <w:num w:numId="15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9">
    <w:abstractNumId w:val="991"/>
  </w:num>
  <w:num w:numId="1530">
    <w:abstractNumId w:val="991"/>
  </w:num>
  <w:num w:numId="1531">
    <w:abstractNumId w:val="991"/>
  </w:num>
  <w:num w:numId="15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3">
    <w:abstractNumId w:val="991"/>
  </w:num>
  <w:num w:numId="153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5">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536">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537">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538">
    <w:abstractNumId w:val="991"/>
  </w:num>
  <w:num w:numId="1539">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0">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541">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542">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543">
    <w:abstractNumId w:val="991"/>
  </w:num>
  <w:num w:numId="154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5">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546">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547">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5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0">
    <w:abstractNumId w:val="991"/>
  </w:num>
  <w:num w:numId="1551">
    <w:abstractNumId w:val="991"/>
  </w:num>
  <w:num w:numId="15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3">
    <w:abstractNumId w:val="991"/>
  </w:num>
  <w:num w:numId="1554">
    <w:abstractNumId w:val="991"/>
  </w:num>
  <w:num w:numId="15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6">
    <w:abstractNumId w:val="991"/>
  </w:num>
  <w:num w:numId="1557">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8">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559">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560">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561">
    <w:abstractNumId w:val="991"/>
  </w:num>
  <w:num w:numId="156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3">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564">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565">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566">
    <w:abstractNumId w:val="991"/>
  </w:num>
  <w:num w:numId="1567">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8">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569">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570">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5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73">
    <w:abstractNumId w:val="991"/>
  </w:num>
  <w:num w:numId="15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75">
    <w:abstractNumId w:val="991"/>
  </w:num>
  <w:num w:numId="1576">
    <w:abstractNumId w:val="991"/>
  </w:num>
  <w:num w:numId="1577">
    <w:abstractNumId w:val="991"/>
  </w:num>
  <w:num w:numId="15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79">
    <w:abstractNumId w:val="991"/>
  </w:num>
  <w:num w:numId="1580">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1">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582">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583">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584">
    <w:abstractNumId w:val="991"/>
  </w:num>
  <w:num w:numId="1585">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6">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587">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588">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589">
    <w:abstractNumId w:val="991"/>
  </w:num>
  <w:num w:numId="1590">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91">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592">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593">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5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96">
    <w:abstractNumId w:val="991"/>
  </w:num>
  <w:num w:numId="15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98">
    <w:abstractNumId w:val="991"/>
  </w:num>
  <w:num w:numId="1599">
    <w:abstractNumId w:val="991"/>
  </w:num>
  <w:num w:numId="1600">
    <w:abstractNumId w:val="991"/>
  </w:num>
  <w:num w:numId="16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02">
    <w:abstractNumId w:val="991"/>
  </w:num>
  <w:num w:numId="160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04">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605">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606">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607">
    <w:abstractNumId w:val="991"/>
  </w:num>
  <w:num w:numId="1608">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09">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610">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611">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612">
    <w:abstractNumId w:val="991"/>
  </w:num>
  <w:num w:numId="161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14">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615">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616">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6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19">
    <w:abstractNumId w:val="991"/>
  </w:num>
  <w:num w:numId="16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21">
    <w:abstractNumId w:val="991"/>
  </w:num>
  <w:num w:numId="1622">
    <w:abstractNumId w:val="991"/>
  </w:num>
  <w:num w:numId="1623">
    <w:abstractNumId w:val="991"/>
  </w:num>
  <w:num w:numId="16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25">
    <w:abstractNumId w:val="991"/>
  </w:num>
  <w:num w:numId="1626">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27">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628">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629">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630">
    <w:abstractNumId w:val="991"/>
  </w:num>
  <w:num w:numId="163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2">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633">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634">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635">
    <w:abstractNumId w:val="991"/>
  </w:num>
  <w:num w:numId="1636">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7">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638">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639">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6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42">
    <w:abstractNumId w:val="991"/>
  </w:num>
  <w:num w:numId="16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44">
    <w:abstractNumId w:val="991"/>
  </w:num>
  <w:num w:numId="1645">
    <w:abstractNumId w:val="991"/>
  </w:num>
  <w:num w:numId="1646">
    <w:abstractNumId w:val="991"/>
  </w:num>
  <w:num w:numId="16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48">
    <w:abstractNumId w:val="991"/>
  </w:num>
  <w:num w:numId="1649">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50">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651">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652">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653">
    <w:abstractNumId w:val="991"/>
  </w:num>
  <w:num w:numId="165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55">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656">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657">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658">
    <w:abstractNumId w:val="991"/>
  </w:num>
  <w:num w:numId="1659">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60">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661">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662">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6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65">
    <w:abstractNumId w:val="991"/>
  </w:num>
  <w:num w:numId="16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67">
    <w:abstractNumId w:val="991"/>
  </w:num>
  <w:num w:numId="1668">
    <w:abstractNumId w:val="991"/>
  </w:num>
  <w:num w:numId="1669">
    <w:abstractNumId w:val="991"/>
  </w:num>
  <w:num w:numId="16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71">
    <w:abstractNumId w:val="991"/>
  </w:num>
  <w:num w:numId="167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73">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674">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675">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676">
    <w:abstractNumId w:val="991"/>
  </w:num>
  <w:num w:numId="1677">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78">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679">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680">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681">
    <w:abstractNumId w:val="991"/>
  </w:num>
  <w:num w:numId="168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83">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684">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685">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6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88">
    <w:abstractNumId w:val="991"/>
  </w:num>
  <w:num w:numId="16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90">
    <w:abstractNumId w:val="991"/>
  </w:num>
  <w:num w:numId="1691">
    <w:abstractNumId w:val="991"/>
  </w:num>
  <w:num w:numId="1692">
    <w:abstractNumId w:val="991"/>
  </w:num>
  <w:num w:numId="16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94">
    <w:abstractNumId w:val="991"/>
  </w:num>
  <w:num w:numId="1695">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96">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697">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698">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699">
    <w:abstractNumId w:val="991"/>
  </w:num>
  <w:num w:numId="1700">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01">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702">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703">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704">
    <w:abstractNumId w:val="991"/>
  </w:num>
  <w:num w:numId="1705">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06">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707">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708">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7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11">
    <w:abstractNumId w:val="991"/>
  </w:num>
  <w:num w:numId="17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13">
    <w:abstractNumId w:val="991"/>
  </w:num>
  <w:num w:numId="1714">
    <w:abstractNumId w:val="991"/>
  </w:num>
  <w:num w:numId="1715">
    <w:abstractNumId w:val="991"/>
  </w:num>
  <w:num w:numId="17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17">
    <w:abstractNumId w:val="991"/>
  </w:num>
  <w:num w:numId="1718">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19">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720">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721">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722">
    <w:abstractNumId w:val="991"/>
  </w:num>
  <w:num w:numId="172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24">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725">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726">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727">
    <w:abstractNumId w:val="991"/>
  </w:num>
  <w:num w:numId="1728">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29">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730">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731">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7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34">
    <w:abstractNumId w:val="991"/>
  </w:num>
  <w:num w:numId="1735">
    <w:abstractNumId w:val="991"/>
  </w:num>
  <w:num w:numId="17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37">
    <w:abstractNumId w:val="991"/>
  </w:num>
  <w:num w:numId="1738">
    <w:abstractNumId w:val="991"/>
  </w:num>
  <w:num w:numId="1739">
    <w:abstractNumId w:val="991"/>
  </w:num>
  <w:num w:numId="17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41">
    <w:abstractNumId w:val="991"/>
  </w:num>
  <w:num w:numId="174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43">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744">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745">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746">
    <w:abstractNumId w:val="991"/>
  </w:num>
  <w:num w:numId="1747">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48">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749">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750">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751">
    <w:abstractNumId w:val="991"/>
  </w:num>
  <w:num w:numId="175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53">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754">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755">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7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58">
    <w:abstractNumId w:val="991"/>
  </w:num>
  <w:num w:numId="17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60">
    <w:abstractNumId w:val="991"/>
  </w:num>
  <w:num w:numId="1761">
    <w:abstractNumId w:val="991"/>
  </w:num>
  <w:num w:numId="1762">
    <w:abstractNumId w:val="991"/>
  </w:num>
  <w:num w:numId="17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64">
    <w:abstractNumId w:val="991"/>
  </w:num>
  <w:num w:numId="1765">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66">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767">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768">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769">
    <w:abstractNumId w:val="991"/>
  </w:num>
  <w:num w:numId="1770">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71">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772">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773">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774">
    <w:abstractNumId w:val="991"/>
  </w:num>
  <w:num w:numId="1775">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76">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777">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778">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7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81">
    <w:abstractNumId w:val="991"/>
  </w:num>
  <w:num w:numId="17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83">
    <w:abstractNumId w:val="991"/>
  </w:num>
  <w:num w:numId="1784">
    <w:abstractNumId w:val="991"/>
  </w:num>
  <w:num w:numId="1785">
    <w:abstractNumId w:val="991"/>
  </w:num>
  <w:num w:numId="17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87">
    <w:abstractNumId w:val="991"/>
  </w:num>
  <w:num w:numId="1788">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89">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790">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791">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792">
    <w:abstractNumId w:val="991"/>
  </w:num>
  <w:num w:numId="179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94">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795">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796">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797">
    <w:abstractNumId w:val="991"/>
  </w:num>
  <w:num w:numId="1798">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99">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800">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801">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8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04">
    <w:abstractNumId w:val="991"/>
  </w:num>
  <w:num w:numId="18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06">
    <w:abstractNumId w:val="991"/>
  </w:num>
  <w:num w:numId="1807">
    <w:abstractNumId w:val="991"/>
  </w:num>
  <w:num w:numId="1808">
    <w:abstractNumId w:val="991"/>
  </w:num>
  <w:num w:numId="18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10">
    <w:abstractNumId w:val="991"/>
  </w:num>
  <w:num w:numId="181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12">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813">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814">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815">
    <w:abstractNumId w:val="991"/>
  </w:num>
  <w:num w:numId="1816">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17">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818">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819">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820">
    <w:abstractNumId w:val="991"/>
  </w:num>
  <w:num w:numId="182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2">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823">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824">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8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7">
    <w:abstractNumId w:val="991"/>
  </w:num>
  <w:num w:numId="18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9">
    <w:abstractNumId w:val="991"/>
  </w:num>
  <w:num w:numId="1830">
    <w:abstractNumId w:val="991"/>
  </w:num>
  <w:num w:numId="1831">
    <w:abstractNumId w:val="991"/>
  </w:num>
  <w:num w:numId="18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33">
    <w:abstractNumId w:val="991"/>
  </w:num>
  <w:num w:numId="183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35">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836">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837">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838">
    <w:abstractNumId w:val="991"/>
  </w:num>
  <w:num w:numId="1839">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40">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841">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842">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843">
    <w:abstractNumId w:val="991"/>
  </w:num>
  <w:num w:numId="184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45">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846">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847">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8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50">
    <w:abstractNumId w:val="991"/>
  </w:num>
  <w:num w:numId="18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52">
    <w:abstractNumId w:val="991"/>
  </w:num>
  <w:num w:numId="1853">
    <w:abstractNumId w:val="991"/>
  </w:num>
  <w:num w:numId="1854">
    <w:abstractNumId w:val="991"/>
  </w:num>
  <w:num w:numId="18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56">
    <w:abstractNumId w:val="991"/>
  </w:num>
  <w:num w:numId="1857">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58">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859">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860">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861">
    <w:abstractNumId w:val="991"/>
  </w:num>
  <w:num w:numId="186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63">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864">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865">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866">
    <w:abstractNumId w:val="991"/>
  </w:num>
  <w:num w:numId="1867">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68">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869">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870">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8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73">
    <w:abstractNumId w:val="991"/>
  </w:num>
  <w:num w:numId="18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75">
    <w:abstractNumId w:val="991"/>
  </w:num>
  <w:num w:numId="1876">
    <w:abstractNumId w:val="991"/>
  </w:num>
  <w:num w:numId="1877">
    <w:abstractNumId w:val="991"/>
  </w:num>
  <w:num w:numId="18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79">
    <w:abstractNumId w:val="991"/>
  </w:num>
  <w:num w:numId="1880">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81">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882">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883">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884">
    <w:abstractNumId w:val="991"/>
  </w:num>
  <w:num w:numId="1885">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86">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887">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888">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889">
    <w:abstractNumId w:val="991"/>
  </w:num>
  <w:num w:numId="1890">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1">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892">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893">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8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6">
    <w:abstractNumId w:val="991"/>
  </w:num>
  <w:num w:numId="18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8">
    <w:abstractNumId w:val="991"/>
  </w:num>
  <w:num w:numId="1899">
    <w:abstractNumId w:val="991"/>
  </w:num>
  <w:num w:numId="1900">
    <w:abstractNumId w:val="991"/>
  </w:num>
  <w:num w:numId="19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2">
    <w:abstractNumId w:val="991"/>
  </w:num>
  <w:num w:numId="190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4">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905">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906">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907">
    <w:abstractNumId w:val="991"/>
  </w:num>
  <w:num w:numId="1908">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9">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910">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911">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912">
    <w:abstractNumId w:val="991"/>
  </w:num>
  <w:num w:numId="191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4">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915">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916">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9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9">
    <w:abstractNumId w:val="991"/>
  </w:num>
  <w:num w:numId="19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21">
    <w:abstractNumId w:val="991"/>
  </w:num>
  <w:num w:numId="1922">
    <w:abstractNumId w:val="991"/>
  </w:num>
  <w:num w:numId="1923">
    <w:abstractNumId w:val="991"/>
  </w:num>
  <w:num w:numId="19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25">
    <w:abstractNumId w:val="991"/>
  </w:num>
  <w:num w:numId="1926">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27">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928">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929">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930">
    <w:abstractNumId w:val="991"/>
  </w:num>
  <w:num w:numId="193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32">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933">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934">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935">
    <w:abstractNumId w:val="991"/>
  </w:num>
  <w:num w:numId="1936">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37">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938">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939">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9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42">
    <w:abstractNumId w:val="991"/>
  </w:num>
  <w:num w:numId="19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44">
    <w:abstractNumId w:val="991"/>
  </w:num>
  <w:num w:numId="1945">
    <w:abstractNumId w:val="991"/>
  </w:num>
  <w:num w:numId="1946">
    <w:abstractNumId w:val="991"/>
  </w:num>
  <w:num w:numId="19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48">
    <w:abstractNumId w:val="991"/>
  </w:num>
  <w:num w:numId="1949">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50">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951">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952">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953">
    <w:abstractNumId w:val="991"/>
  </w:num>
  <w:num w:numId="195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55">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956">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957">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958">
    <w:abstractNumId w:val="991"/>
  </w:num>
  <w:num w:numId="1959">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0">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961">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962">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9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5">
    <w:abstractNumId w:val="991"/>
  </w:num>
  <w:num w:numId="19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7">
    <w:abstractNumId w:val="991"/>
  </w:num>
  <w:num w:numId="1968">
    <w:abstractNumId w:val="991"/>
  </w:num>
  <w:num w:numId="1969">
    <w:abstractNumId w:val="991"/>
  </w:num>
  <w:num w:numId="19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1">
    <w:abstractNumId w:val="991"/>
  </w:num>
  <w:num w:numId="197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3">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974">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975">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976">
    <w:abstractNumId w:val="991"/>
  </w:num>
  <w:num w:numId="1977">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8">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979">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980">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981">
    <w:abstractNumId w:val="991"/>
  </w:num>
  <w:num w:numId="198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3">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984">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985">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9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8">
    <w:abstractNumId w:val="991"/>
  </w:num>
  <w:num w:numId="19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90">
    <w:abstractNumId w:val="991"/>
  </w:num>
  <w:num w:numId="1991">
    <w:abstractNumId w:val="991"/>
  </w:num>
  <w:num w:numId="1992">
    <w:abstractNumId w:val="991"/>
  </w:num>
  <w:num w:numId="19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94">
    <w:abstractNumId w:val="991"/>
  </w:num>
  <w:num w:numId="1995">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96">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997">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998">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999">
    <w:abstractNumId w:val="991"/>
  </w:num>
  <w:num w:numId="2000">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01">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002">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003">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004">
    <w:abstractNumId w:val="991"/>
  </w:num>
  <w:num w:numId="2005">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06">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007">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008">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11">
    <w:abstractNumId w:val="991"/>
  </w:num>
  <w:num w:numId="2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13">
    <w:abstractNumId w:val="991"/>
  </w:num>
  <w:num w:numId="2014">
    <w:abstractNumId w:val="991"/>
  </w:num>
  <w:num w:numId="2015">
    <w:abstractNumId w:val="991"/>
  </w:num>
  <w:num w:numId="2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17">
    <w:abstractNumId w:val="991"/>
  </w:num>
  <w:num w:numId="2018">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19">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020">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021">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022">
    <w:abstractNumId w:val="991"/>
  </w:num>
  <w:num w:numId="202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24">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025">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026">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027">
    <w:abstractNumId w:val="991"/>
  </w:num>
  <w:num w:numId="2028">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29">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030">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031">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34">
    <w:abstractNumId w:val="991"/>
  </w:num>
  <w:num w:numId="2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36">
    <w:abstractNumId w:val="991"/>
  </w:num>
  <w:num w:numId="2037">
    <w:abstractNumId w:val="991"/>
  </w:num>
  <w:num w:numId="2038">
    <w:abstractNumId w:val="991"/>
  </w:num>
  <w:num w:numId="2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40">
    <w:abstractNumId w:val="991"/>
  </w:num>
  <w:num w:numId="204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42">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043">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044">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045">
    <w:abstractNumId w:val="991"/>
  </w:num>
  <w:num w:numId="2046">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47">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048">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049">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050">
    <w:abstractNumId w:val="991"/>
  </w:num>
  <w:num w:numId="205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52">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053">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054">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57">
    <w:abstractNumId w:val="991"/>
  </w:num>
  <w:num w:numId="2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59">
    <w:abstractNumId w:val="991"/>
  </w:num>
  <w:num w:numId="2060">
    <w:abstractNumId w:val="991"/>
  </w:num>
  <w:num w:numId="2061">
    <w:abstractNumId w:val="991"/>
  </w:num>
  <w:num w:numId="2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63">
    <w:abstractNumId w:val="991"/>
  </w:num>
  <w:num w:numId="206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65">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066">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067">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068">
    <w:abstractNumId w:val="991"/>
  </w:num>
  <w:num w:numId="2069">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70">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071">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072">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073">
    <w:abstractNumId w:val="991"/>
  </w:num>
  <w:num w:numId="207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75">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076">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077">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80">
    <w:abstractNumId w:val="991"/>
  </w:num>
  <w:num w:numId="2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82">
    <w:abstractNumId w:val="991"/>
  </w:num>
  <w:num w:numId="2083">
    <w:abstractNumId w:val="991"/>
  </w:num>
  <w:num w:numId="2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85">
    <w:abstractNumId w:val="991"/>
  </w:num>
  <w:num w:numId="2086">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87">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088">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089">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090">
    <w:abstractNumId w:val="991"/>
  </w:num>
  <w:num w:numId="209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92">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093">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094">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095">
    <w:abstractNumId w:val="991"/>
  </w:num>
  <w:num w:numId="2096">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97">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098">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099">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1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2">
    <w:abstractNumId w:val="991"/>
  </w:num>
  <w:num w:numId="2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4">
    <w:abstractNumId w:val="991"/>
  </w:num>
  <w:num w:numId="2105">
    <w:abstractNumId w:val="991"/>
  </w:num>
  <w:num w:numId="21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7">
    <w:abstractNumId w:val="991"/>
  </w:num>
  <w:num w:numId="2108">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9">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110">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111">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112">
    <w:abstractNumId w:val="991"/>
  </w:num>
  <w:num w:numId="211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14">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115">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116">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117">
    <w:abstractNumId w:val="991"/>
  </w:num>
  <w:num w:numId="2118">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19">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120">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121">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1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24">
    <w:abstractNumId w:val="991"/>
  </w:num>
  <w:num w:numId="21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26">
    <w:abstractNumId w:val="991"/>
  </w:num>
  <w:num w:numId="2127">
    <w:abstractNumId w:val="991"/>
  </w:num>
  <w:num w:numId="2128">
    <w:abstractNumId w:val="991"/>
  </w:num>
  <w:num w:numId="21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30">
    <w:abstractNumId w:val="991"/>
  </w:num>
  <w:num w:numId="213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32">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133">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134">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135">
    <w:abstractNumId w:val="991"/>
  </w:num>
  <w:num w:numId="2136">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37">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138">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139">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140">
    <w:abstractNumId w:val="991"/>
  </w:num>
  <w:num w:numId="214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42">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143">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144">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1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47">
    <w:abstractNumId w:val="991"/>
  </w:num>
  <w:num w:numId="21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49">
    <w:abstractNumId w:val="991"/>
  </w:num>
  <w:num w:numId="2150">
    <w:abstractNumId w:val="991"/>
  </w:num>
  <w:num w:numId="2151">
    <w:abstractNumId w:val="991"/>
  </w:num>
  <w:num w:numId="21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53">
    <w:abstractNumId w:val="991"/>
  </w:num>
  <w:num w:numId="215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55">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156">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157">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158">
    <w:abstractNumId w:val="991"/>
  </w:num>
  <w:num w:numId="2159">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60">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161">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162">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163">
    <w:abstractNumId w:val="991"/>
  </w:num>
  <w:num w:numId="216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65">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166">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167">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1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70">
    <w:abstractNumId w:val="991"/>
  </w:num>
  <w:num w:numId="21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72">
    <w:abstractNumId w:val="991"/>
  </w:num>
  <w:num w:numId="2173">
    <w:abstractNumId w:val="991"/>
  </w:num>
  <w:num w:numId="2174">
    <w:abstractNumId w:val="991"/>
  </w:num>
  <w:num w:numId="21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76">
    <w:abstractNumId w:val="991"/>
  </w:num>
  <w:num w:numId="2177">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78">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179">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180">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181">
    <w:abstractNumId w:val="991"/>
  </w:num>
  <w:num w:numId="218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83">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184">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185">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186">
    <w:abstractNumId w:val="991"/>
  </w:num>
  <w:num w:numId="2187">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88">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189">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190">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1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93">
    <w:abstractNumId w:val="991"/>
  </w:num>
  <w:num w:numId="21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95">
    <w:abstractNumId w:val="991"/>
  </w:num>
  <w:num w:numId="2196">
    <w:abstractNumId w:val="991"/>
  </w:num>
  <w:num w:numId="2197">
    <w:abstractNumId w:val="991"/>
  </w:num>
  <w:num w:numId="21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99">
    <w:abstractNumId w:val="991"/>
  </w:num>
  <w:num w:numId="2200">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01">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202">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203">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204">
    <w:abstractNumId w:val="991"/>
  </w:num>
  <w:num w:numId="2205">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06">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207">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208">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209">
    <w:abstractNumId w:val="991"/>
  </w:num>
  <w:num w:numId="2210">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11">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212">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213">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2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16">
    <w:abstractNumId w:val="991"/>
  </w:num>
  <w:num w:numId="22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18">
    <w:abstractNumId w:val="991"/>
  </w:num>
  <w:num w:numId="2219">
    <w:abstractNumId w:val="991"/>
  </w:num>
  <w:num w:numId="2220">
    <w:abstractNumId w:val="991"/>
  </w:num>
  <w:num w:numId="22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22">
    <w:abstractNumId w:val="991"/>
  </w:num>
  <w:num w:numId="222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24">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225">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226">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227">
    <w:abstractNumId w:val="991"/>
  </w:num>
  <w:num w:numId="2228">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29">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230">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231">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232">
    <w:abstractNumId w:val="991"/>
  </w:num>
  <w:num w:numId="223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34">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235">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236">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2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39">
    <w:abstractNumId w:val="991"/>
  </w:num>
  <w:num w:numId="22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41">
    <w:abstractNumId w:val="991"/>
  </w:num>
  <w:num w:numId="2242">
    <w:abstractNumId w:val="991"/>
  </w:num>
  <w:num w:numId="2243">
    <w:abstractNumId w:val="991"/>
  </w:num>
  <w:num w:numId="22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45">
    <w:abstractNumId w:val="991"/>
  </w:num>
  <w:num w:numId="2246">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47">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248">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249">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250">
    <w:abstractNumId w:val="991"/>
  </w:num>
  <w:num w:numId="225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52">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253">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254">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255">
    <w:abstractNumId w:val="991"/>
  </w:num>
  <w:num w:numId="2256">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57">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258">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259">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2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62">
    <w:abstractNumId w:val="991"/>
  </w:num>
  <w:num w:numId="22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64">
    <w:abstractNumId w:val="991"/>
  </w:num>
  <w:num w:numId="2265">
    <w:abstractNumId w:val="991"/>
  </w:num>
  <w:num w:numId="2266">
    <w:abstractNumId w:val="991"/>
  </w:num>
  <w:num w:numId="22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68">
    <w:abstractNumId w:val="991"/>
  </w:num>
  <w:num w:numId="2269">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70">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271">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272">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273">
    <w:abstractNumId w:val="991"/>
  </w:num>
  <w:num w:numId="227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75">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276">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277">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278">
    <w:abstractNumId w:val="991"/>
  </w:num>
  <w:num w:numId="2279">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80">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281">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282">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2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85">
    <w:abstractNumId w:val="991"/>
  </w:num>
  <w:num w:numId="22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87">
    <w:abstractNumId w:val="991"/>
  </w:num>
  <w:num w:numId="2288">
    <w:abstractNumId w:val="991"/>
  </w:num>
  <w:num w:numId="2289">
    <w:abstractNumId w:val="991"/>
  </w:num>
  <w:num w:numId="22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91">
    <w:abstractNumId w:val="991"/>
  </w:num>
  <w:num w:numId="229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93">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294">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295">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296">
    <w:abstractNumId w:val="991"/>
  </w:num>
  <w:num w:numId="2297">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98">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299">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300">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301">
    <w:abstractNumId w:val="991"/>
  </w:num>
  <w:num w:numId="230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03">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304">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305">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3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08">
    <w:abstractNumId w:val="991"/>
  </w:num>
  <w:num w:numId="23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10">
    <w:abstractNumId w:val="991"/>
  </w:num>
  <w:num w:numId="2311">
    <w:abstractNumId w:val="991"/>
  </w:num>
  <w:num w:numId="2312">
    <w:abstractNumId w:val="991"/>
  </w:num>
  <w:num w:numId="23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14">
    <w:abstractNumId w:val="991"/>
  </w:num>
  <w:num w:numId="2315">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16">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317">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318">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319">
    <w:abstractNumId w:val="991"/>
  </w:num>
  <w:num w:numId="2320">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21">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322">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323">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324">
    <w:abstractNumId w:val="991"/>
  </w:num>
  <w:num w:numId="2325">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26">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327">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328">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3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31">
    <w:abstractNumId w:val="991"/>
  </w:num>
  <w:num w:numId="23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33">
    <w:abstractNumId w:val="991"/>
  </w:num>
  <w:num w:numId="2334">
    <w:abstractNumId w:val="991"/>
  </w:num>
  <w:num w:numId="2335">
    <w:abstractNumId w:val="991"/>
  </w:num>
  <w:num w:numId="23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37">
    <w:abstractNumId w:val="991"/>
  </w:num>
  <w:num w:numId="2338">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39">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340">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341">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342">
    <w:abstractNumId w:val="991"/>
  </w:num>
  <w:num w:numId="234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44">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345">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346">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347">
    <w:abstractNumId w:val="991"/>
  </w:num>
  <w:num w:numId="2348">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49">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350">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351">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3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54">
    <w:abstractNumId w:val="991"/>
  </w:num>
  <w:num w:numId="23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56">
    <w:abstractNumId w:val="991"/>
  </w:num>
  <w:num w:numId="2357">
    <w:abstractNumId w:val="991"/>
  </w:num>
  <w:num w:numId="2358">
    <w:abstractNumId w:val="991"/>
  </w:num>
  <w:num w:numId="23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60">
    <w:abstractNumId w:val="991"/>
  </w:num>
  <w:num w:numId="236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62">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363">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364">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365">
    <w:abstractNumId w:val="991"/>
  </w:num>
  <w:num w:numId="2366">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67">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368">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369">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370">
    <w:abstractNumId w:val="991"/>
  </w:num>
  <w:num w:numId="237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72">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373">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374">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3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77">
    <w:abstractNumId w:val="991"/>
  </w:num>
  <w:num w:numId="23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79">
    <w:abstractNumId w:val="991"/>
  </w:num>
  <w:num w:numId="2380">
    <w:abstractNumId w:val="991"/>
  </w:num>
  <w:num w:numId="2381">
    <w:abstractNumId w:val="991"/>
  </w:num>
  <w:num w:numId="23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83">
    <w:abstractNumId w:val="991"/>
  </w:num>
  <w:num w:numId="238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85">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386">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387">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388">
    <w:abstractNumId w:val="991"/>
  </w:num>
  <w:num w:numId="2389">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90">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391">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392">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393">
    <w:abstractNumId w:val="991"/>
  </w:num>
  <w:num w:numId="239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95">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396">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397">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3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00">
    <w:abstractNumId w:val="991"/>
  </w:num>
  <w:num w:numId="24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02">
    <w:abstractNumId w:val="991"/>
  </w:num>
  <w:num w:numId="2403">
    <w:abstractNumId w:val="991"/>
  </w:num>
  <w:num w:numId="2404">
    <w:abstractNumId w:val="991"/>
  </w:num>
  <w:num w:numId="24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06">
    <w:abstractNumId w:val="991"/>
  </w:num>
  <w:num w:numId="2407">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08">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409">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410">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411">
    <w:abstractNumId w:val="991"/>
  </w:num>
  <w:num w:numId="241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13">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414">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415">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416">
    <w:abstractNumId w:val="991"/>
  </w:num>
  <w:num w:numId="2417">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18">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419">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420">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4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23">
    <w:abstractNumId w:val="991"/>
  </w:num>
  <w:num w:numId="24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25">
    <w:abstractNumId w:val="991"/>
  </w:num>
  <w:num w:numId="2426">
    <w:abstractNumId w:val="991"/>
  </w:num>
  <w:num w:numId="2427">
    <w:abstractNumId w:val="991"/>
  </w:num>
  <w:num w:numId="24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29">
    <w:abstractNumId w:val="991"/>
  </w:num>
  <w:num w:numId="2430">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31">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432">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433">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434">
    <w:abstractNumId w:val="991"/>
  </w:num>
  <w:num w:numId="2435">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36">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437">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438">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439">
    <w:abstractNumId w:val="991"/>
  </w:num>
  <w:num w:numId="2440">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41">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442">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443">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4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46">
    <w:abstractNumId w:val="991"/>
  </w:num>
  <w:num w:numId="24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48">
    <w:abstractNumId w:val="991"/>
  </w:num>
  <w:num w:numId="2449">
    <w:abstractNumId w:val="991"/>
  </w:num>
  <w:num w:numId="2450">
    <w:abstractNumId w:val="991"/>
  </w:num>
  <w:num w:numId="24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52">
    <w:abstractNumId w:val="991"/>
  </w:num>
  <w:num w:numId="245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54">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455">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456">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457">
    <w:abstractNumId w:val="991"/>
  </w:num>
  <w:num w:numId="2458">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59">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460">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461">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462">
    <w:abstractNumId w:val="991"/>
  </w:num>
  <w:num w:numId="246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64">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465">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466">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4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69">
    <w:abstractNumId w:val="991"/>
  </w:num>
  <w:num w:numId="24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71">
    <w:abstractNumId w:val="991"/>
  </w:num>
  <w:num w:numId="2472">
    <w:abstractNumId w:val="991"/>
  </w:num>
  <w:num w:numId="2473">
    <w:abstractNumId w:val="991"/>
  </w:num>
  <w:num w:numId="24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75">
    <w:abstractNumId w:val="991"/>
  </w:num>
  <w:num w:numId="2476">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77">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478">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479">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480">
    <w:abstractNumId w:val="991"/>
  </w:num>
  <w:num w:numId="248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82">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483">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484">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485">
    <w:abstractNumId w:val="991"/>
  </w:num>
  <w:num w:numId="2486">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87">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488">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489">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4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92">
    <w:abstractNumId w:val="991"/>
  </w:num>
  <w:num w:numId="24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94">
    <w:abstractNumId w:val="991"/>
  </w:num>
  <w:num w:numId="2495">
    <w:abstractNumId w:val="991"/>
  </w:num>
  <w:num w:numId="2496">
    <w:abstractNumId w:val="991"/>
  </w:num>
  <w:num w:numId="24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98">
    <w:abstractNumId w:val="991"/>
  </w:num>
  <w:num w:numId="2499">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00">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501">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502">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503">
    <w:abstractNumId w:val="991"/>
  </w:num>
  <w:num w:numId="250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05">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506">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507">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508">
    <w:abstractNumId w:val="991"/>
  </w:num>
  <w:num w:numId="2509">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10">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511">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512">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5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15">
    <w:abstractNumId w:val="991"/>
  </w:num>
  <w:num w:numId="25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17">
    <w:abstractNumId w:val="991"/>
  </w:num>
  <w:num w:numId="2518">
    <w:abstractNumId w:val="991"/>
  </w:num>
  <w:num w:numId="2519">
    <w:abstractNumId w:val="991"/>
  </w:num>
  <w:num w:numId="25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21">
    <w:abstractNumId w:val="991"/>
  </w:num>
  <w:num w:numId="252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23">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524">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525">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526">
    <w:abstractNumId w:val="991"/>
  </w:num>
  <w:num w:numId="2527">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28">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529">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530">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531">
    <w:abstractNumId w:val="991"/>
  </w:num>
  <w:num w:numId="253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33">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534">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535">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5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38">
    <w:abstractNumId w:val="991"/>
  </w:num>
  <w:num w:numId="25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40">
    <w:abstractNumId w:val="991"/>
  </w:num>
  <w:num w:numId="2541">
    <w:abstractNumId w:val="991"/>
  </w:num>
  <w:num w:numId="2542">
    <w:abstractNumId w:val="991"/>
  </w:num>
  <w:num w:numId="25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44">
    <w:abstractNumId w:val="991"/>
  </w:num>
  <w:num w:numId="2545">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46">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547">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548">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549">
    <w:abstractNumId w:val="991"/>
  </w:num>
  <w:num w:numId="2550">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51">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552">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553">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554">
    <w:abstractNumId w:val="991"/>
  </w:num>
  <w:num w:numId="2555">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56">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557">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558">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5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61">
    <w:abstractNumId w:val="991"/>
  </w:num>
  <w:num w:numId="25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63">
    <w:abstractNumId w:val="991"/>
  </w:num>
  <w:num w:numId="2564">
    <w:abstractNumId w:val="991"/>
  </w:num>
  <w:num w:numId="2565">
    <w:abstractNumId w:val="991"/>
  </w:num>
  <w:num w:numId="25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67">
    <w:abstractNumId w:val="991"/>
  </w:num>
  <w:num w:numId="2568">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69">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570">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571">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572">
    <w:abstractNumId w:val="991"/>
  </w:num>
  <w:num w:numId="257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74">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575">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576">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577">
    <w:abstractNumId w:val="991"/>
  </w:num>
  <w:num w:numId="2578">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79">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580">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581">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5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84">
    <w:abstractNumId w:val="991"/>
  </w:num>
  <w:num w:numId="25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86">
    <w:abstractNumId w:val="991"/>
  </w:num>
  <w:num w:numId="2587">
    <w:abstractNumId w:val="991"/>
  </w:num>
  <w:num w:numId="2588">
    <w:abstractNumId w:val="991"/>
  </w:num>
  <w:num w:numId="25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90">
    <w:abstractNumId w:val="991"/>
  </w:num>
  <w:num w:numId="259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92">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593">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594">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595">
    <w:abstractNumId w:val="991"/>
  </w:num>
  <w:num w:numId="2596">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97">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598">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599">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600">
    <w:abstractNumId w:val="991"/>
  </w:num>
  <w:num w:numId="260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02">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603">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604">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6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07">
    <w:abstractNumId w:val="991"/>
  </w:num>
  <w:num w:numId="26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09">
    <w:abstractNumId w:val="991"/>
  </w:num>
  <w:num w:numId="2610">
    <w:abstractNumId w:val="991"/>
  </w:num>
  <w:num w:numId="2611">
    <w:abstractNumId w:val="991"/>
  </w:num>
  <w:num w:numId="26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13">
    <w:abstractNumId w:val="991"/>
  </w:num>
  <w:num w:numId="261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15">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616">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617">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618">
    <w:abstractNumId w:val="991"/>
  </w:num>
  <w:num w:numId="2619">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20">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621">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622">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623">
    <w:abstractNumId w:val="991"/>
  </w:num>
  <w:num w:numId="262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25">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626">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627">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6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30">
    <w:abstractNumId w:val="991"/>
  </w:num>
  <w:num w:numId="26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32">
    <w:abstractNumId w:val="991"/>
  </w:num>
  <w:num w:numId="2633">
    <w:abstractNumId w:val="991"/>
  </w:num>
  <w:num w:numId="2634">
    <w:abstractNumId w:val="991"/>
  </w:num>
  <w:num w:numId="26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36">
    <w:abstractNumId w:val="991"/>
  </w:num>
  <w:num w:numId="2637">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38">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639">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640">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641">
    <w:abstractNumId w:val="991"/>
  </w:num>
  <w:num w:numId="264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43">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644">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645">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646">
    <w:abstractNumId w:val="991"/>
  </w:num>
  <w:num w:numId="2647">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48">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649">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650">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6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53">
    <w:abstractNumId w:val="991"/>
  </w:num>
  <w:num w:numId="26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55">
    <w:abstractNumId w:val="991"/>
  </w:num>
  <w:num w:numId="2656">
    <w:abstractNumId w:val="991"/>
  </w:num>
  <w:num w:numId="2657">
    <w:abstractNumId w:val="991"/>
  </w:num>
  <w:num w:numId="26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59">
    <w:abstractNumId w:val="991"/>
  </w:num>
  <w:num w:numId="2660">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61">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662">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663">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664">
    <w:abstractNumId w:val="991"/>
  </w:num>
  <w:num w:numId="2665">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66">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667">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668">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669">
    <w:abstractNumId w:val="991"/>
  </w:num>
  <w:num w:numId="2670">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71">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672">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673">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6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76">
    <w:abstractNumId w:val="991"/>
  </w:num>
  <w:num w:numId="26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78">
    <w:abstractNumId w:val="991"/>
  </w:num>
  <w:num w:numId="2679">
    <w:abstractNumId w:val="991"/>
  </w:num>
  <w:num w:numId="2680">
    <w:abstractNumId w:val="991"/>
  </w:num>
  <w:num w:numId="26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82">
    <w:abstractNumId w:val="991"/>
  </w:num>
  <w:num w:numId="268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84">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685">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686">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687">
    <w:abstractNumId w:val="991"/>
  </w:num>
  <w:num w:numId="2688">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89">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690">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691">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692">
    <w:abstractNumId w:val="991"/>
  </w:num>
  <w:num w:numId="269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94">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695">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696">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6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99">
    <w:abstractNumId w:val="991"/>
  </w:num>
  <w:num w:numId="27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01">
    <w:abstractNumId w:val="991"/>
  </w:num>
  <w:num w:numId="2702">
    <w:abstractNumId w:val="991"/>
  </w:num>
  <w:num w:numId="2703">
    <w:abstractNumId w:val="991"/>
  </w:num>
  <w:num w:numId="27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05">
    <w:abstractNumId w:val="991"/>
  </w:num>
  <w:num w:numId="2706">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07">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708">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709">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710">
    <w:abstractNumId w:val="991"/>
  </w:num>
  <w:num w:numId="271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12">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713">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714">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715">
    <w:abstractNumId w:val="991"/>
  </w:num>
  <w:num w:numId="2716">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17">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718">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719">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7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22">
    <w:abstractNumId w:val="991"/>
  </w:num>
  <w:num w:numId="27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24">
    <w:abstractNumId w:val="991"/>
  </w:num>
  <w:num w:numId="2725">
    <w:abstractNumId w:val="991"/>
  </w:num>
  <w:num w:numId="2726">
    <w:abstractNumId w:val="991"/>
  </w:num>
  <w:num w:numId="27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28">
    <w:abstractNumId w:val="991"/>
  </w:num>
  <w:num w:numId="2729">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30">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731">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732">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733">
    <w:abstractNumId w:val="991"/>
  </w:num>
  <w:num w:numId="273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35">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736">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737">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738">
    <w:abstractNumId w:val="991"/>
  </w:num>
  <w:num w:numId="2739">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40">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741">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742">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7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45">
    <w:abstractNumId w:val="991"/>
  </w:num>
  <w:num w:numId="27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47">
    <w:abstractNumId w:val="991"/>
  </w:num>
  <w:num w:numId="2748">
    <w:abstractNumId w:val="991"/>
  </w:num>
  <w:num w:numId="2749">
    <w:abstractNumId w:val="991"/>
  </w:num>
  <w:num w:numId="27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51">
    <w:abstractNumId w:val="991"/>
  </w:num>
  <w:num w:numId="275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53">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754">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755">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756">
    <w:abstractNumId w:val="991"/>
  </w:num>
  <w:num w:numId="2757">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58">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759">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760">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761">
    <w:abstractNumId w:val="991"/>
  </w:num>
  <w:num w:numId="276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63">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764">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765">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7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68">
    <w:abstractNumId w:val="991"/>
  </w:num>
  <w:num w:numId="27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70">
    <w:abstractNumId w:val="991"/>
  </w:num>
  <w:num w:numId="2771">
    <w:abstractNumId w:val="991"/>
  </w:num>
  <w:num w:numId="2772">
    <w:abstractNumId w:val="991"/>
  </w:num>
  <w:num w:numId="27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74">
    <w:abstractNumId w:val="991"/>
  </w:num>
  <w:num w:numId="2775">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76">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777">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778">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779">
    <w:abstractNumId w:val="991"/>
  </w:num>
  <w:num w:numId="2780">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81">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782">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783">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784">
    <w:abstractNumId w:val="991"/>
  </w:num>
  <w:num w:numId="2785">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86">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787">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788">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7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91">
    <w:abstractNumId w:val="991"/>
  </w:num>
  <w:num w:numId="27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93">
    <w:abstractNumId w:val="991"/>
  </w:num>
  <w:num w:numId="2794">
    <w:abstractNumId w:val="991"/>
  </w:num>
  <w:num w:numId="2795">
    <w:abstractNumId w:val="991"/>
  </w:num>
  <w:num w:numId="27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97">
    <w:abstractNumId w:val="991"/>
  </w:num>
  <w:num w:numId="2798">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99">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800">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801">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802">
    <w:abstractNumId w:val="991"/>
  </w:num>
  <w:num w:numId="280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04">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805">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806">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807">
    <w:abstractNumId w:val="991"/>
  </w:num>
  <w:num w:numId="2808">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09">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810">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811">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8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14">
    <w:abstractNumId w:val="991"/>
  </w:num>
  <w:num w:numId="28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16">
    <w:abstractNumId w:val="991"/>
  </w:num>
  <w:num w:numId="2817">
    <w:abstractNumId w:val="991"/>
  </w:num>
  <w:num w:numId="2818">
    <w:abstractNumId w:val="991"/>
  </w:num>
  <w:num w:numId="28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20">
    <w:abstractNumId w:val="991"/>
  </w:num>
  <w:num w:numId="282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22">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823">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824">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825">
    <w:abstractNumId w:val="991"/>
  </w:num>
  <w:num w:numId="2826">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27">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828">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829">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830">
    <w:abstractNumId w:val="991"/>
  </w:num>
  <w:num w:numId="283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32">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833">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834">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8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37">
    <w:abstractNumId w:val="991"/>
  </w:num>
  <w:num w:numId="28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39">
    <w:abstractNumId w:val="991"/>
  </w:num>
  <w:num w:numId="2840">
    <w:abstractNumId w:val="991"/>
  </w:num>
  <w:num w:numId="2841">
    <w:abstractNumId w:val="991"/>
  </w:num>
  <w:num w:numId="28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43">
    <w:abstractNumId w:val="991"/>
  </w:num>
  <w:num w:numId="284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45">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846">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847">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848">
    <w:abstractNumId w:val="991"/>
  </w:num>
  <w:num w:numId="2849">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50">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851">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852">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853">
    <w:abstractNumId w:val="991"/>
  </w:num>
  <w:num w:numId="285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55">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856">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857">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8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60">
    <w:abstractNumId w:val="991"/>
  </w:num>
  <w:num w:numId="28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62">
    <w:abstractNumId w:val="991"/>
  </w:num>
  <w:num w:numId="2863">
    <w:abstractNumId w:val="991"/>
  </w:num>
  <w:num w:numId="2864">
    <w:abstractNumId w:val="991"/>
  </w:num>
  <w:num w:numId="28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66">
    <w:abstractNumId w:val="991"/>
  </w:num>
  <w:num w:numId="2867">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68">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869">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870">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871">
    <w:abstractNumId w:val="991"/>
  </w:num>
  <w:num w:numId="287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73">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874">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875">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876">
    <w:abstractNumId w:val="991"/>
  </w:num>
  <w:num w:numId="2877">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78">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879">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880">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8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83">
    <w:abstractNumId w:val="991"/>
  </w:num>
  <w:num w:numId="28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85">
    <w:abstractNumId w:val="991"/>
  </w:num>
  <w:num w:numId="2886">
    <w:abstractNumId w:val="991"/>
  </w:num>
  <w:num w:numId="2887">
    <w:abstractNumId w:val="991"/>
  </w:num>
  <w:num w:numId="28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89">
    <w:abstractNumId w:val="991"/>
  </w:num>
  <w:num w:numId="2890">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91">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892">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893">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894">
    <w:abstractNumId w:val="991"/>
  </w:num>
  <w:num w:numId="2895">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96">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897">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898">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899">
    <w:abstractNumId w:val="991"/>
  </w:num>
  <w:num w:numId="2900">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01">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902">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903">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9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06">
    <w:abstractNumId w:val="991"/>
  </w:num>
  <w:num w:numId="29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08">
    <w:abstractNumId w:val="991"/>
  </w:num>
  <w:num w:numId="2909">
    <w:abstractNumId w:val="991"/>
  </w:num>
  <w:num w:numId="2910">
    <w:abstractNumId w:val="991"/>
  </w:num>
  <w:num w:numId="29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12">
    <w:abstractNumId w:val="991"/>
  </w:num>
  <w:num w:numId="291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14">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915">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916">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917">
    <w:abstractNumId w:val="991"/>
  </w:num>
  <w:num w:numId="2918">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19">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920">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921">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922">
    <w:abstractNumId w:val="991"/>
  </w:num>
  <w:num w:numId="292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24">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925">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926">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9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29">
    <w:abstractNumId w:val="991"/>
  </w:num>
  <w:num w:numId="29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31">
    <w:abstractNumId w:val="991"/>
  </w:num>
  <w:num w:numId="2932">
    <w:abstractNumId w:val="991"/>
  </w:num>
  <w:num w:numId="2933">
    <w:abstractNumId w:val="991"/>
  </w:num>
  <w:num w:numId="29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35">
    <w:abstractNumId w:val="991"/>
  </w:num>
  <w:num w:numId="2936">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37">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938">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939">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940">
    <w:abstractNumId w:val="991"/>
  </w:num>
  <w:num w:numId="294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42">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943">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944">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945">
    <w:abstractNumId w:val="991"/>
  </w:num>
  <w:num w:numId="2946">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47">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948">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949">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9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52">
    <w:abstractNumId w:val="991"/>
  </w:num>
  <w:num w:numId="29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54">
    <w:abstractNumId w:val="991"/>
  </w:num>
  <w:num w:numId="2955">
    <w:abstractNumId w:val="991"/>
  </w:num>
  <w:num w:numId="2956">
    <w:abstractNumId w:val="991"/>
  </w:num>
  <w:num w:numId="29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58">
    <w:abstractNumId w:val="991"/>
  </w:num>
  <w:num w:numId="2959">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60">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961">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962">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963">
    <w:abstractNumId w:val="991"/>
  </w:num>
  <w:num w:numId="296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65">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966">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967">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968">
    <w:abstractNumId w:val="991"/>
  </w:num>
  <w:num w:numId="2969">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70">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971">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972">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9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75">
    <w:abstractNumId w:val="991"/>
  </w:num>
  <w:num w:numId="29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77">
    <w:abstractNumId w:val="991"/>
  </w:num>
  <w:num w:numId="2978">
    <w:abstractNumId w:val="991"/>
  </w:num>
  <w:num w:numId="2979">
    <w:abstractNumId w:val="991"/>
  </w:num>
  <w:num w:numId="29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81">
    <w:abstractNumId w:val="991"/>
  </w:num>
  <w:num w:numId="298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83">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984">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985">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986">
    <w:abstractNumId w:val="991"/>
  </w:num>
  <w:num w:numId="2987">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88">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989">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990">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991">
    <w:abstractNumId w:val="991"/>
  </w:num>
  <w:num w:numId="299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93">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994">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995">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9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98">
    <w:abstractNumId w:val="991"/>
  </w:num>
  <w:num w:numId="2999">
    <w:abstractNumId w:val="991"/>
  </w:num>
  <w:num w:numId="3000">
    <w:abstractNumId w:val="991"/>
  </w:num>
  <w:num w:numId="3001">
    <w:abstractNumId w:val="991"/>
  </w:num>
  <w:num w:numId="3002">
    <w:abstractNumId w:val="991"/>
  </w:num>
  <w:num w:numId="3003">
    <w:abstractNumId w:val="991"/>
  </w:num>
  <w:num w:numId="3004">
    <w:abstractNumId w:val="991"/>
  </w:num>
  <w:num w:numId="3005">
    <w:abstractNumId w:val="991"/>
  </w:num>
  <w:num w:numId="3006">
    <w:abstractNumId w:val="991"/>
  </w:num>
  <w:num w:numId="3007">
    <w:abstractNumId w:val="991"/>
  </w:num>
  <w:num w:numId="3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3" Target="media/rId13.png" /><Relationship Type="http://schemas.openxmlformats.org/officeDocument/2006/relationships/image" Id="rId42" Target="media/rId42.png" /><Relationship Type="http://schemas.openxmlformats.org/officeDocument/2006/relationships/image" Id="rId47" Target="media/rId47.png" /><Relationship Type="http://schemas.openxmlformats.org/officeDocument/2006/relationships/image" Id="rId71" Target="media/rId71.png" /><Relationship Type="http://schemas.openxmlformats.org/officeDocument/2006/relationships/image" Id="rId75" Target="media/rId75.png" /><Relationship Type="http://schemas.openxmlformats.org/officeDocument/2006/relationships/image" Id="rId101" Target="media/rId101.png" /><Relationship Type="http://schemas.openxmlformats.org/officeDocument/2006/relationships/image" Id="rId126" Target="media/rId126.png" /><Relationship Type="http://schemas.openxmlformats.org/officeDocument/2006/relationships/image" Id="rId130" Target="media/rId130.png" /><Relationship Type="http://schemas.openxmlformats.org/officeDocument/2006/relationships/image" Id="rId152" Target="media/rId152.png" /><Relationship Type="http://schemas.openxmlformats.org/officeDocument/2006/relationships/image" Id="rId158" Target="media/rId158.png" /><Relationship Type="http://schemas.openxmlformats.org/officeDocument/2006/relationships/image" Id="rId179" Target="media/rId179.png" /><Relationship Type="http://schemas.openxmlformats.org/officeDocument/2006/relationships/image" Id="rId203" Target="media/rId203.png" /><Relationship Type="http://schemas.openxmlformats.org/officeDocument/2006/relationships/image" Id="rId226" Target="media/rId226.png" /><Relationship Type="http://schemas.openxmlformats.org/officeDocument/2006/relationships/image" Id="rId231" Target="media/rId231.png" /><Relationship Type="http://schemas.openxmlformats.org/officeDocument/2006/relationships/image" Id="rId252" Target="media/rId252.png" /><Relationship Type="http://schemas.openxmlformats.org/officeDocument/2006/relationships/image" Id="rId258" Target="media/rId258.png" /><Relationship Type="http://schemas.openxmlformats.org/officeDocument/2006/relationships/image" Id="rId279" Target="media/rId279.png" /><Relationship Type="http://schemas.openxmlformats.org/officeDocument/2006/relationships/image" Id="rId284" Target="media/rId284.png" /><Relationship Type="http://schemas.openxmlformats.org/officeDocument/2006/relationships/image" Id="rId304" Target="media/rId304.png" /><Relationship Type="http://schemas.openxmlformats.org/officeDocument/2006/relationships/image" Id="rId326" Target="media/rId326.png" /><Relationship Type="http://schemas.openxmlformats.org/officeDocument/2006/relationships/image" Id="rId330" Target="media/rId330.png" /><Relationship Type="http://schemas.openxmlformats.org/officeDocument/2006/relationships/image" Id="rId419" Target="media/rId419.png" /><Relationship Type="http://schemas.openxmlformats.org/officeDocument/2006/relationships/image" Id="rId425" Target="media/rId425.png" /><Relationship Type="http://schemas.openxmlformats.org/officeDocument/2006/relationships/image" Id="rId538" Target="media/rId538.png" /><Relationship Type="http://schemas.openxmlformats.org/officeDocument/2006/relationships/image" Id="rId562" Target="media/rId562.png" /><Relationship Type="http://schemas.openxmlformats.org/officeDocument/2006/relationships/image" Id="rId587" Target="media/rId587.png" /><Relationship Type="http://schemas.openxmlformats.org/officeDocument/2006/relationships/image" Id="rId638" Target="media/rId638.png" /><Relationship Type="http://schemas.openxmlformats.org/officeDocument/2006/relationships/image" Id="rId643" Target="media/rId643.png" /><Relationship Type="http://schemas.openxmlformats.org/officeDocument/2006/relationships/image" Id="rId666" Target="media/rId666.png" /><Relationship Type="http://schemas.openxmlformats.org/officeDocument/2006/relationships/image" Id="rId693" Target="media/rId693.png" /><Relationship Type="http://schemas.openxmlformats.org/officeDocument/2006/relationships/image" Id="rId714" Target="media/rId714.png" /><Relationship Type="http://schemas.openxmlformats.org/officeDocument/2006/relationships/image" Id="rId721" Target="media/rId721.png" /><Relationship Type="http://schemas.openxmlformats.org/officeDocument/2006/relationships/image" Id="rId769" Target="media/rId769.png" /><Relationship Type="http://schemas.openxmlformats.org/officeDocument/2006/relationships/image" Id="rId796" Target="media/rId796.png" /><Relationship Type="http://schemas.openxmlformats.org/officeDocument/2006/relationships/image" Id="rId817" Target="media/rId817.png" /><Relationship Type="http://schemas.openxmlformats.org/officeDocument/2006/relationships/image" Id="rId841" Target="media/rId841.png" /><Relationship Type="http://schemas.openxmlformats.org/officeDocument/2006/relationships/image" Id="rId871" Target="media/rId871.png" /><Relationship Type="http://schemas.openxmlformats.org/officeDocument/2006/relationships/image" Id="rId961" Target="media/rId961.png" /><Relationship Type="http://schemas.openxmlformats.org/officeDocument/2006/relationships/image" Id="rId1031" Target="media/rId1031.png" /><Relationship Type="http://schemas.openxmlformats.org/officeDocument/2006/relationships/image" Id="rId1106" Target="media/rId1106.png" /><Relationship Type="http://schemas.openxmlformats.org/officeDocument/2006/relationships/image" Id="rId1132" Target="media/rId1132.png" /><Relationship Type="http://schemas.openxmlformats.org/officeDocument/2006/relationships/image" Id="rId1159" Target="media/rId1159.png" /><Relationship Type="http://schemas.openxmlformats.org/officeDocument/2006/relationships/image" Id="rId1204" Target="media/rId1204.png" /><Relationship Type="http://schemas.openxmlformats.org/officeDocument/2006/relationships/image" Id="rId1232" Target="media/rId1232.png" /><Relationship Type="http://schemas.openxmlformats.org/officeDocument/2006/relationships/image" Id="rId1436" Target="media/rId1436.png" /><Relationship Type="http://schemas.openxmlformats.org/officeDocument/2006/relationships/image" Id="rId1485" Target="media/rId1485.png" /><Relationship Type="http://schemas.openxmlformats.org/officeDocument/2006/relationships/image" Id="rId1509" Target="media/rId1509.png" /><Relationship Type="http://schemas.openxmlformats.org/officeDocument/2006/relationships/image" Id="rId1535" Target="media/rId1535.png" /><Relationship Type="http://schemas.openxmlformats.org/officeDocument/2006/relationships/image" Id="rId1580" Target="media/rId1580.png" /><Relationship Type="http://schemas.openxmlformats.org/officeDocument/2006/relationships/image" Id="rId1606" Target="media/rId1606.png" /><Relationship Type="http://schemas.openxmlformats.org/officeDocument/2006/relationships/image" Id="rId1652" Target="media/rId1652.png" /><Relationship Type="http://schemas.openxmlformats.org/officeDocument/2006/relationships/image" Id="rId1678" Target="media/rId1678.png" /><Relationship Type="http://schemas.openxmlformats.org/officeDocument/2006/relationships/image" Id="rId1705" Target="media/rId1705.png" /><Relationship Type="http://schemas.openxmlformats.org/officeDocument/2006/relationships/image" Id="rId1728" Target="media/rId1728.png" /><Relationship Type="http://schemas.openxmlformats.org/officeDocument/2006/relationships/image" Id="rId1753" Target="media/rId1753.png" /><Relationship Type="http://schemas.openxmlformats.org/officeDocument/2006/relationships/image" Id="rId1822" Target="media/rId1822.png" /><Relationship Type="http://schemas.openxmlformats.org/officeDocument/2006/relationships/image" Id="rId1890" Target="media/rId1890.png" /><Relationship Type="http://schemas.openxmlformats.org/officeDocument/2006/relationships/image" Id="rId1916" Target="media/rId1916.png" /><Relationship Type="http://schemas.openxmlformats.org/officeDocument/2006/relationships/image" Id="rId1963" Target="media/rId1963.png" /><Relationship Type="http://schemas.openxmlformats.org/officeDocument/2006/relationships/hyperlink" Id="rId1886" Target="http://www.pentest-standard.org/" TargetMode="External" /><Relationship Type="http://schemas.openxmlformats.org/officeDocument/2006/relationships/hyperlink" Id="rId2128" Target="https://access.redhat.com/documentation/" TargetMode="External" /><Relationship Type="http://schemas.openxmlformats.org/officeDocument/2006/relationships/hyperlink" Id="rId439" Target="https://access.redhat.com/documentation/fr-fr/red_hat_enterprise_linux/9/html/configuring_and_managing_logical_volumes/index" TargetMode="External" /><Relationship Type="http://schemas.openxmlformats.org/officeDocument/2006/relationships/hyperlink" Id="rId461" Target="https://access.redhat.com/documentation/fr-fr/red_hat_enterprise_linux/9/html/configuring_basic_system_settings/assembly_managing-file-permissions_configuring-basic-system-settings" TargetMode="External" /><Relationship Type="http://schemas.openxmlformats.org/officeDocument/2006/relationships/hyperlink" Id="rId395" Target="https://access.redhat.com/documentation/fr-fr/red_hat_enterprise_linux/9/html/configuring_basic_system_settings/managing-software-packages_configuring-basic-system-settings" TargetMode="External" /><Relationship Type="http://schemas.openxmlformats.org/officeDocument/2006/relationships/hyperlink" Id="rId414" Target="https://access.redhat.com/documentation/fr-fr/red_hat_enterprise_linux/9/html/configuring_basic_system_settings/managing-systemd_configuring-basic-system-settings" TargetMode="External" /><Relationship Type="http://schemas.openxmlformats.org/officeDocument/2006/relationships/hyperlink" Id="rId709" Target="https://access.redhat.com/documentation/fr-fr/red_hat_enterprise_linux/9/html/managing_file_systems/exporting-nfs-shares_managing-file-systems" TargetMode="External" /><Relationship Type="http://schemas.openxmlformats.org/officeDocument/2006/relationships/hyperlink" Id="rId737" Target="https://access.redhat.com/documentation/fr-fr/red_hat_enterprise_linux/9/html/managing_storage_devices/configuring-an-iscsi-target_managing-storage-devices" TargetMode="External" /><Relationship Type="http://schemas.openxmlformats.org/officeDocument/2006/relationships/hyperlink" Id="rId481" Target="https://access.redhat.com/documentation/fr-fr/red_hat_enterprise_linux/9/html/using_selinux/index" TargetMode="External" /><Relationship Type="http://schemas.openxmlformats.org/officeDocument/2006/relationships/hyperlink" Id="rId373" Target="https://access.redhat.com/support/policy/updates/errata" TargetMode="External" /><Relationship Type="http://schemas.openxmlformats.org/officeDocument/2006/relationships/hyperlink" Id="rId1816" Target="https://attack.mitre.org/" TargetMode="External" /><Relationship Type="http://schemas.openxmlformats.org/officeDocument/2006/relationships/hyperlink" Id="rId1153" Target="https://aws.amazon.com/architecture/well-architected/" TargetMode="External" /><Relationship Type="http://schemas.openxmlformats.org/officeDocument/2006/relationships/hyperlink" Id="rId1126" Target="https://aws.amazon.com/fr/compliance/shared-responsibility-model/" TargetMode="External" /><Relationship Type="http://schemas.openxmlformats.org/officeDocument/2006/relationships/hyperlink" Id="rId1101" Target="https://cert-manager.io/docs/" TargetMode="External" /><Relationship Type="http://schemas.openxmlformats.org/officeDocument/2006/relationships/hyperlink" Id="rId606" Target="https://certbot.eff.org/" TargetMode="External" /><Relationship Type="http://schemas.openxmlformats.org/officeDocument/2006/relationships/hyperlink" Id="rId1273" Target="https://cheatsheetseries.owasp.org/cheatsheets/Secrets_Management_Cheat_Sheet.html" TargetMode="External" /><Relationship Type="http://schemas.openxmlformats.org/officeDocument/2006/relationships/hyperlink" Id="rId1200" Target="https://cloud.google.com/architecture/framework" TargetMode="External" /><Relationship Type="http://schemas.openxmlformats.org/officeDocument/2006/relationships/hyperlink" Id="rId1198" Target="https://cloud.google.com/docs" TargetMode="External" /><Relationship Type="http://schemas.openxmlformats.org/officeDocument/2006/relationships/hyperlink" Id="rId1199" Target="https://cloud.google.com/kubernetes-engine/docs" TargetMode="External" /><Relationship Type="http://schemas.openxmlformats.org/officeDocument/2006/relationships/hyperlink" Id="rId119" Target="https://cockpit-project.org/documentation.html" TargetMode="External" /><Relationship Type="http://schemas.openxmlformats.org/officeDocument/2006/relationships/hyperlink" Id="rId1409" Target="https://csrc.nist.gov/Projects/ssdf" TargetMode="External" /><Relationship Type="http://schemas.openxmlformats.org/officeDocument/2006/relationships/hyperlink" Id="rId1749" Target="https://csrc.nist.gov/projects/cybersecurity-framework" TargetMode="External" /><Relationship Type="http://schemas.openxmlformats.org/officeDocument/2006/relationships/hyperlink" Id="rId1885" Target="https://csrc.nist.gov/publications/detail/sp/800-115/final" TargetMode="External" /><Relationship Type="http://schemas.openxmlformats.org/officeDocument/2006/relationships/hyperlink" Id="rId1724" Target="https://csrc.nist.gov/publications/detail/sp/800-215/final" TargetMode="External" /><Relationship Type="http://schemas.openxmlformats.org/officeDocument/2006/relationships/hyperlink" Id="rId1912" Target="https://csrc.nist.gov/publications/detail/sp/800-40/rev-4/final" TargetMode="External" /><Relationship Type="http://schemas.openxmlformats.org/officeDocument/2006/relationships/hyperlink" Id="rId1627" Target="https://csrc.nist.gov/publications/detail/sp/800-41/rev-1/final" TargetMode="External" /><Relationship Type="http://schemas.openxmlformats.org/officeDocument/2006/relationships/hyperlink" Id="rId1937" Target="https://csrc.nist.gov/publications/detail/sp/800-61/rev-2/final" TargetMode="External" /><Relationship Type="http://schemas.openxmlformats.org/officeDocument/2006/relationships/hyperlink" Id="rId1699" Target="https://csrc.nist.gov/publications/detail/sp/800-77/rev-1/final" TargetMode="External" /><Relationship Type="http://schemas.openxmlformats.org/officeDocument/2006/relationships/hyperlink" Id="rId1863" Target="https://csrc.nist.gov/publications/detail/sp/800-83/rev-1/final" TargetMode="External" /><Relationship Type="http://schemas.openxmlformats.org/officeDocument/2006/relationships/hyperlink" Id="rId1815" Target="https://csrc.nist.gov/publications/detail/sp/800-92/final" TargetMode="External" /><Relationship Type="http://schemas.openxmlformats.org/officeDocument/2006/relationships/hyperlink" Id="rId1842" Target="https://csrc.nist.gov/publications/detail/sp/800-94/final" TargetMode="External" /><Relationship Type="http://schemas.openxmlformats.org/officeDocument/2006/relationships/hyperlink" Id="rId1125" Target="https://csrc.nist.gov/pubs/sp/800/145/final" TargetMode="External" /><Relationship Type="http://schemas.openxmlformats.org/officeDocument/2006/relationships/hyperlink" Id="rId659" Target="https://csrc.nist.gov/pubs/sp/800/207/final" TargetMode="External" /><Relationship Type="http://schemas.openxmlformats.org/officeDocument/2006/relationships/hyperlink" Id="rId786" Target="https://csrc.nist.gov/pubs/sp/800/34/r1/final" TargetMode="External" /><Relationship Type="http://schemas.openxmlformats.org/officeDocument/2006/relationships/hyperlink" Id="rId1339" Target="https://developer.hashicorp.com/terraform/docs" TargetMode="External" /><Relationship Type="http://schemas.openxmlformats.org/officeDocument/2006/relationships/hyperlink" Id="rId1362" Target="https://developer.hashicorp.com/terraform/language/modules" TargetMode="External" /><Relationship Type="http://schemas.openxmlformats.org/officeDocument/2006/relationships/hyperlink" Id="rId1341" Target="https://developer.hashicorp.com/terraform/language/state" TargetMode="External" /><Relationship Type="http://schemas.openxmlformats.org/officeDocument/2006/relationships/hyperlink" Id="rId1363" Target="https://developer.hashicorp.com/terraform/language/state/locking" TargetMode="External" /><Relationship Type="http://schemas.openxmlformats.org/officeDocument/2006/relationships/hyperlink" Id="rId1294" Target="https://docs.ansible.com/" TargetMode="External" /><Relationship Type="http://schemas.openxmlformats.org/officeDocument/2006/relationships/hyperlink" Id="rId1316" Target="https://docs.ansible.com/ansible/latest/playbook_guide/playbooks_reuse_roles.html" TargetMode="External" /><Relationship Type="http://schemas.openxmlformats.org/officeDocument/2006/relationships/hyperlink" Id="rId1295" Target="https://docs.ansible.com/ansible/latest/reference_appendices/glossary.html" TargetMode="External" /><Relationship Type="http://schemas.openxmlformats.org/officeDocument/2006/relationships/hyperlink" Id="rId1317" Target="https://docs.ansible.com/ansible/latest/vault_guide/index.html" TargetMode="External" /><Relationship Type="http://schemas.openxmlformats.org/officeDocument/2006/relationships/hyperlink" Id="rId1151" Target="https://docs.aws.amazon.com/" TargetMode="External" /><Relationship Type="http://schemas.openxmlformats.org/officeDocument/2006/relationships/hyperlink" Id="rId1152" Target="https://docs.aws.amazon.com/AmazonS3/latest/userguide/security-best-practices.html" TargetMode="External" /><Relationship Type="http://schemas.openxmlformats.org/officeDocument/2006/relationships/hyperlink" Id="rId1248" Target="https://docs.aws.amazon.com/cost-management/latest/userguide/ce-what-is.html" TargetMode="External" /><Relationship Type="http://schemas.openxmlformats.org/officeDocument/2006/relationships/hyperlink" Id="rId683" Target="https://docs.broadcom.com/" TargetMode="External" /><Relationship Type="http://schemas.openxmlformats.org/officeDocument/2006/relationships/hyperlink" Id="rId981" Target="https://docs.docker.com/" TargetMode="External" /><Relationship Type="http://schemas.openxmlformats.org/officeDocument/2006/relationships/hyperlink" Id="rId1002" Target="https://docs.docker.com/build/building/best-practices/" TargetMode="External" /><Relationship Type="http://schemas.openxmlformats.org/officeDocument/2006/relationships/hyperlink" Id="rId1024" Target="https://docs.docker.com/compose/" TargetMode="External" /><Relationship Type="http://schemas.openxmlformats.org/officeDocument/2006/relationships/hyperlink" Id="rId1025" Target="https://docs.docker.com/compose/compose-file/" TargetMode="External" /><Relationship Type="http://schemas.openxmlformats.org/officeDocument/2006/relationships/hyperlink" Id="rId1004" Target="https://docs.docker.com/network/" TargetMode="External" /><Relationship Type="http://schemas.openxmlformats.org/officeDocument/2006/relationships/hyperlink" Id="rId1026" Target="https://docs.docker.com/reference/dockerfile/#healthcheck" TargetMode="External" /><Relationship Type="http://schemas.openxmlformats.org/officeDocument/2006/relationships/hyperlink" Id="rId1003" Target="https://docs.docker.com/storage/volumes/" TargetMode="External" /><Relationship Type="http://schemas.openxmlformats.org/officeDocument/2006/relationships/hyperlink" Id="rId1626" Target="https://docs.fortinet.com/product/fortigate" TargetMode="External" /><Relationship Type="http://schemas.openxmlformats.org/officeDocument/2006/relationships/hyperlink" Id="rId1272" Target="https://docs.github.com/fr/pull-requests/collaborating-with-pull-requests/addressing-merge-conflicts" TargetMode="External" /><Relationship Type="http://schemas.openxmlformats.org/officeDocument/2006/relationships/hyperlink" Id="rId528" Target="https://docs.python.org/fr/3/" TargetMode="External" /><Relationship Type="http://schemas.openxmlformats.org/officeDocument/2006/relationships/hyperlink" Id="rId529" Target="https://docs.python.org/fr/3/library/logging.html" TargetMode="External" /><Relationship Type="http://schemas.openxmlformats.org/officeDocument/2006/relationships/hyperlink" Id="rId372" Target="https://docs.rockylinux.org/" TargetMode="External" /><Relationship Type="http://schemas.openxmlformats.org/officeDocument/2006/relationships/hyperlink" Id="rId1841" Target="https://docs.snort.org/" TargetMode="External" /><Relationship Type="http://schemas.openxmlformats.org/officeDocument/2006/relationships/hyperlink" Id="rId1840" Target="https://docs.suricata.io/en/latest/" TargetMode="External" /><Relationship Type="http://schemas.openxmlformats.org/officeDocument/2006/relationships/hyperlink" Id="rId2134" Target="https://docs.vmware.com/en/VMware-vSphere/" TargetMode="External" /><Relationship Type="http://schemas.openxmlformats.org/officeDocument/2006/relationships/hyperlink" Id="rId863" Target="https://docs.vmware.com/fr/VMware-vSphere/index.html" TargetMode="External" /><Relationship Type="http://schemas.openxmlformats.org/officeDocument/2006/relationships/hyperlink" Id="rId632" Target="https://fidoalliance.org/fido2/" TargetMode="External" /><Relationship Type="http://schemas.openxmlformats.org/officeDocument/2006/relationships/hyperlink" Id="rId1296" Target="https://galaxy.ansible.com/" TargetMode="External" /><Relationship Type="http://schemas.openxmlformats.org/officeDocument/2006/relationships/hyperlink" Id="rId1271" Target="https://git-scm.com/book/fr/v2" TargetMode="External" /><Relationship Type="http://schemas.openxmlformats.org/officeDocument/2006/relationships/hyperlink" Id="rId2141" Target="https://git-scm.com/doc" TargetMode="External" /><Relationship Type="http://schemas.openxmlformats.org/officeDocument/2006/relationships/hyperlink" Id="rId483" Target="https://gitlab.com/apparmor/apparmor/-/wikis/home" TargetMode="External" /><Relationship Type="http://schemas.openxmlformats.org/officeDocument/2006/relationships/hyperlink" Id="rId93" Target="https://glpi-project.org/fr/" TargetMode="External" /><Relationship Type="http://schemas.openxmlformats.org/officeDocument/2006/relationships/hyperlink" Id="rId1553" Target="https://go2docs.graylog.org/" TargetMode="External" /><Relationship Type="http://schemas.openxmlformats.org/officeDocument/2006/relationships/hyperlink" Id="rId1504" Target="https://grafana.com/docs/grafana/latest/" TargetMode="External" /><Relationship Type="http://schemas.openxmlformats.org/officeDocument/2006/relationships/hyperlink" Id="rId1505" Target="https://grafana.com/grafana/dashboards/" TargetMode="External" /><Relationship Type="http://schemas.openxmlformats.org/officeDocument/2006/relationships/hyperlink" Id="rId1648" Target="https://help.mikrotik.com/docs/" TargetMode="External" /><Relationship Type="http://schemas.openxmlformats.org/officeDocument/2006/relationships/hyperlink" Id="rId1649" Target="https://help.mikrotik.com/docs/display/ROS/Securing+your+router" TargetMode="External" /><Relationship Type="http://schemas.openxmlformats.org/officeDocument/2006/relationships/hyperlink" Id="rId1674" Target="https://httpd.apache.org/docs/current/mod/mod_proxy.html" TargetMode="External" /><Relationship Type="http://schemas.openxmlformats.org/officeDocument/2006/relationships/hyperlink" Id="rId983" Target="https://hub.docker.com/" TargetMode="External" /><Relationship Type="http://schemas.openxmlformats.org/officeDocument/2006/relationships/hyperlink" Id="rId64" Target="https://itsm.tools" TargetMode="External" /><Relationship Type="http://schemas.openxmlformats.org/officeDocument/2006/relationships/hyperlink" Id="rId1318" Target="https://jinja.palletsprojects.com/" TargetMode="External" /><Relationship Type="http://schemas.openxmlformats.org/officeDocument/2006/relationships/hyperlink" Id="rId864" Target="https://kb.vmware.com/" TargetMode="External" /><Relationship Type="http://schemas.openxmlformats.org/officeDocument/2006/relationships/hyperlink" Id="rId2136" Target="https://kubernetes.io/docs/" TargetMode="External" /><Relationship Type="http://schemas.openxmlformats.org/officeDocument/2006/relationships/hyperlink" Id="rId1053" Target="https://kubernetes.io/fr/docs/concepts/" TargetMode="External" /><Relationship Type="http://schemas.openxmlformats.org/officeDocument/2006/relationships/hyperlink" Id="rId1076" Target="https://kubernetes.io/fr/docs/concepts/configuration/secret/" TargetMode="External" /><Relationship Type="http://schemas.openxmlformats.org/officeDocument/2006/relationships/hyperlink" Id="rId1098" Target="https://kubernetes.io/fr/docs/concepts/services-networking/ingress/" TargetMode="External" /><Relationship Type="http://schemas.openxmlformats.org/officeDocument/2006/relationships/hyperlink" Id="rId1077" Target="https://kubernetes.io/fr/docs/concepts/storage/persistent-volumes/" TargetMode="External" /><Relationship Type="http://schemas.openxmlformats.org/officeDocument/2006/relationships/hyperlink" Id="rId1075" Target="https://kubernetes.io/fr/docs/concepts/workloads/controllers/deployment/" TargetMode="External" /><Relationship Type="http://schemas.openxmlformats.org/officeDocument/2006/relationships/hyperlink" Id="rId1052" Target="https://kubernetes.io/fr/docs/home/" TargetMode="External" /><Relationship Type="http://schemas.openxmlformats.org/officeDocument/2006/relationships/hyperlink" Id="rId1099" Target="https://kubernetes.io/fr/docs/reference/access-authn-authz/rbac/" TargetMode="External" /><Relationship Type="http://schemas.openxmlformats.org/officeDocument/2006/relationships/hyperlink" Id="rId1100" Target="https://kubernetes.io/fr/docs/tasks/run-application/horizontal-pod-autoscale/" TargetMode="External" /><Relationship Type="http://schemas.openxmlformats.org/officeDocument/2006/relationships/hyperlink" Id="rId33" Target="https://learn.microsoft.com" TargetMode="External" /><Relationship Type="http://schemas.openxmlformats.org/officeDocument/2006/relationships/hyperlink" Id="rId2138" Target="https://learn.microsoft.com/azure/" TargetMode="External" /><Relationship Type="http://schemas.openxmlformats.org/officeDocument/2006/relationships/hyperlink" Id="rId1675" Target="https://learn.microsoft.com/en-us/iis/extensions/planning-for-arr/" TargetMode="External" /><Relationship Type="http://schemas.openxmlformats.org/officeDocument/2006/relationships/hyperlink" Id="rId2125" Target="https://learn.microsoft.com/entra/" TargetMode="External" /><Relationship Type="http://schemas.openxmlformats.org/officeDocument/2006/relationships/hyperlink" Id="rId1176" Target="https://learn.microsoft.com/fr-fr/azure/" TargetMode="External" /><Relationship Type="http://schemas.openxmlformats.org/officeDocument/2006/relationships/hyperlink" Id="rId1249" Target="https://learn.microsoft.com/fr-fr/azure/cost-management-billing/" TargetMode="External" /><Relationship Type="http://schemas.openxmlformats.org/officeDocument/2006/relationships/hyperlink" Id="rId1178" Target="https://learn.microsoft.com/fr-fr/azure/storage/blobs/security-recommendations" TargetMode="External" /><Relationship Type="http://schemas.openxmlformats.org/officeDocument/2006/relationships/hyperlink" Id="rId1177" Target="https://learn.microsoft.com/fr-fr/azure/well-architected/" TargetMode="External" /><Relationship Type="http://schemas.openxmlformats.org/officeDocument/2006/relationships/hyperlink" Id="rId222" Target="https://learn.microsoft.com/fr-fr/entra/fundamentals/whatis" TargetMode="External" /><Relationship Type="http://schemas.openxmlformats.org/officeDocument/2006/relationships/hyperlink" Id="rId630" Target="https://learn.microsoft.com/fr-fr/entra/identity/authentication/concept-mfa-howitworks" TargetMode="External" /><Relationship Type="http://schemas.openxmlformats.org/officeDocument/2006/relationships/hyperlink" Id="rId221" Target="https://learn.microsoft.com/fr-fr/entra/identity/hybrid/connect/choose-ad-authn" TargetMode="External" /><Relationship Type="http://schemas.openxmlformats.org/officeDocument/2006/relationships/hyperlink" Id="rId220" Target="https://learn.microsoft.com/fr-fr/entra/identity/hybrid/connect/whatis-azure-ad-connect" TargetMode="External" /><Relationship Type="http://schemas.openxmlformats.org/officeDocument/2006/relationships/hyperlink" Id="rId660" Target="https://learn.microsoft.com/fr-fr/security/zero-trust/" TargetMode="External" /><Relationship Type="http://schemas.openxmlformats.org/officeDocument/2006/relationships/hyperlink" Id="rId148" Target="https://learn.microsoft.com/fr-fr/troubleshoot/windows-server/identity/fsmo-roles" TargetMode="External" /><Relationship Type="http://schemas.openxmlformats.org/officeDocument/2006/relationships/hyperlink" Id="rId837" Target="https://learn.microsoft.com/fr-fr/virtualization/hyper-v-on-windows/about/" TargetMode="External" /><Relationship Type="http://schemas.openxmlformats.org/officeDocument/2006/relationships/hyperlink" Id="rId197" Target="https://learn.microsoft.com/fr-fr/windows-server/administration/windows-commands/gpresult" TargetMode="External" /><Relationship Type="http://schemas.openxmlformats.org/officeDocument/2006/relationships/hyperlink" Id="rId175" Target="https://learn.microsoft.com/fr-fr/windows-server/administration/windows-commands/repadmin" TargetMode="External" /><Relationship Type="http://schemas.openxmlformats.org/officeDocument/2006/relationships/hyperlink" Id="rId762" Target="https://learn.microsoft.com/fr-fr/windows-server/administration/windows-commands/wbadmin" TargetMode="External" /><Relationship Type="http://schemas.openxmlformats.org/officeDocument/2006/relationships/hyperlink" Id="rId321" Target="https://learn.microsoft.com/fr-fr/windows-server/administration/windows-server-update-services/get-started/windows-server-update-services-wsus" TargetMode="External" /><Relationship Type="http://schemas.openxmlformats.org/officeDocument/2006/relationships/hyperlink" Id="rId346" Target="https://learn.microsoft.com/fr-fr/windows-server/failover-clustering/failover-clustering-overview" TargetMode="External" /><Relationship Type="http://schemas.openxmlformats.org/officeDocument/2006/relationships/hyperlink" Id="rId347" Target="https://learn.microsoft.com/fr-fr/windows-server/failover-clustering/manage-cluster-quorum" TargetMode="External" /><Relationship Type="http://schemas.openxmlformats.org/officeDocument/2006/relationships/hyperlink" Id="rId890" Target="https://learn.microsoft.com/fr-fr/windows-server/get-started/licensing-editions" TargetMode="External" /><Relationship Type="http://schemas.openxmlformats.org/officeDocument/2006/relationships/hyperlink" Id="rId174" Target="https://learn.microsoft.com/fr-fr/windows-server/identity/ad-ds/get-started/replication/active-directory-replication-concepts" TargetMode="External" /><Relationship Type="http://schemas.openxmlformats.org/officeDocument/2006/relationships/hyperlink" Id="rId865" Target="https://learn.microsoft.com/fr-fr/windows-server/identity/ad-ds/get-started/virtual-dc/virtualized-domain-controller-architecture" TargetMode="External" /><Relationship Type="http://schemas.openxmlformats.org/officeDocument/2006/relationships/hyperlink" Id="rId196" Target="https://learn.microsoft.com/fr-fr/windows-server/identity/ad-ds/manage/group-policy/group-policy-overview" TargetMode="External" /><Relationship Type="http://schemas.openxmlformats.org/officeDocument/2006/relationships/hyperlink" Id="rId147" Target="https://learn.microsoft.com/fr-fr/windows-server/identity/ad-ds/plan/" TargetMode="External" /><Relationship Type="http://schemas.openxmlformats.org/officeDocument/2006/relationships/hyperlink" Id="rId118" Target="https://learn.microsoft.com/fr-fr/windows-server/manage/windows-admin-center/overview" TargetMode="External" /><Relationship Type="http://schemas.openxmlformats.org/officeDocument/2006/relationships/hyperlink" Id="rId248" Target="https://learn.microsoft.com/fr-fr/windows-server/networking/dns/deploy/ad-integrated" TargetMode="External" /><Relationship Type="http://schemas.openxmlformats.org/officeDocument/2006/relationships/hyperlink" Id="rId247" Target="https://learn.microsoft.com/fr-fr/windows-server/networking/dns/dns-top" TargetMode="External" /><Relationship Type="http://schemas.openxmlformats.org/officeDocument/2006/relationships/hyperlink" Id="rId249" Target="https://learn.microsoft.com/fr-fr/windows-server/networking/dns/dnssec" TargetMode="External" /><Relationship Type="http://schemas.openxmlformats.org/officeDocument/2006/relationships/hyperlink" Id="rId275" Target="https://learn.microsoft.com/fr-fr/windows-server/networking/technologies/dhcp/dhcp-failover" TargetMode="External" /><Relationship Type="http://schemas.openxmlformats.org/officeDocument/2006/relationships/hyperlink" Id="rId274" Target="https://learn.microsoft.com/fr-fr/windows-server/networking/technologies/dhcp/dhcp-top" TargetMode="External" /><Relationship Type="http://schemas.openxmlformats.org/officeDocument/2006/relationships/hyperlink" Id="rId117" Target="https://learn.microsoft.com/fr-fr/windows-server/remote/remote-desktop-services/" TargetMode="External" /><Relationship Type="http://schemas.openxmlformats.org/officeDocument/2006/relationships/hyperlink" Id="rId581" Target="https://learn.microsoft.com/fr-fr/windows-server/security/kerberos/kerberos-authentication-overview" TargetMode="External" /><Relationship Type="http://schemas.openxmlformats.org/officeDocument/2006/relationships/hyperlink" Id="rId299" Target="https://learn.microsoft.com/fr-fr/windows-server/storage/dfs-namespaces/dfs-overview" TargetMode="External" /><Relationship Type="http://schemas.openxmlformats.org/officeDocument/2006/relationships/hyperlink" Id="rId710" Target="https://learn.microsoft.com/fr-fr/windows-server/storage/file-server/file-server-smb-overview" TargetMode="External" /><Relationship Type="http://schemas.openxmlformats.org/officeDocument/2006/relationships/hyperlink" Id="rId300" Target="https://learn.microsoft.com/fr-fr/windows-server/storage/fsrm/fsrm-overview" TargetMode="External" /><Relationship Type="http://schemas.openxmlformats.org/officeDocument/2006/relationships/hyperlink" Id="rId738" Target="https://learn.microsoft.com/fr-fr/windows-server/storage/iscsi/iscsi-target-server" TargetMode="External" /><Relationship Type="http://schemas.openxmlformats.org/officeDocument/2006/relationships/hyperlink" Id="rId684" Target="https://learn.microsoft.com/fr-fr/windows-server/storage/storage-spaces/overview" TargetMode="External" /><Relationship Type="http://schemas.openxmlformats.org/officeDocument/2006/relationships/hyperlink" Id="rId348" Target="https://learn.microsoft.com/fr-fr/windows-server/storage/storage-spaces/storage-spaces-direct-overview" TargetMode="External" /><Relationship Type="http://schemas.openxmlformats.org/officeDocument/2006/relationships/hyperlink" Id="rId957" Target="https://learn.microsoft.com/fr-fr/windows-server/virtualization/hyper-v/deploy/export-and-import-virtual-machines" TargetMode="External" /><Relationship Type="http://schemas.openxmlformats.org/officeDocument/2006/relationships/hyperlink" Id="rId889" Target="https://learn.microsoft.com/fr-fr/windows-server/virtualization/hyper-v/hyper-v-technology-overview" TargetMode="External" /><Relationship Type="http://schemas.openxmlformats.org/officeDocument/2006/relationships/hyperlink" Id="rId891" Target="https://learn.microsoft.com/fr-fr/windows-server/virtualization/hyper-v/manage/manage-hyper-v-integration-services" TargetMode="External" /><Relationship Type="http://schemas.openxmlformats.org/officeDocument/2006/relationships/hyperlink" Id="rId322" Target="https://learn.microsoft.com/fr-fr/windows/deployment/update/waas-manage-updates-wufb" TargetMode="External" /><Relationship Type="http://schemas.openxmlformats.org/officeDocument/2006/relationships/hyperlink" Id="rId555" Target="https://learn.microsoft.com/fr-fr/windows/win32/ad/active-directory-and-lightweight-directory-access-protocol" TargetMode="External" /><Relationship Type="http://schemas.openxmlformats.org/officeDocument/2006/relationships/hyperlink" Id="rId2123" Target="https://learn.microsoft.com/windows-server/" TargetMode="External" /><Relationship Type="http://schemas.openxmlformats.org/officeDocument/2006/relationships/hyperlink" Id="rId2124" Target="https://learn.microsoft.com/windows-server/identity/ad-ds/" TargetMode="External" /><Relationship Type="http://schemas.openxmlformats.org/officeDocument/2006/relationships/hyperlink" Id="rId2126" Target="https://learn.microsoft.com/windows-server/virtualization/hyper-v/" TargetMode="External" /><Relationship Type="http://schemas.openxmlformats.org/officeDocument/2006/relationships/hyperlink" Id="rId605" Target="https://letsencrypt.org/fr/docs/" TargetMode="External" /><Relationship Type="http://schemas.openxmlformats.org/officeDocument/2006/relationships/hyperlink" Id="rId1673" Target="https://nginx.org/en/docs/" TargetMode="External" /><Relationship Type="http://schemas.openxmlformats.org/officeDocument/2006/relationships/hyperlink" Id="rId1911" Target="https://nvd.nist.gov/" TargetMode="External" /><Relationship Type="http://schemas.openxmlformats.org/officeDocument/2006/relationships/hyperlink" Id="rId982" Target="https://opencontainers.org/" TargetMode="External" /><Relationship Type="http://schemas.openxmlformats.org/officeDocument/2006/relationships/hyperlink" Id="rId1432" Target="https://opentelemetry.io/" TargetMode="External" /><Relationship Type="http://schemas.openxmlformats.org/officeDocument/2006/relationships/hyperlink" Id="rId1701" Target="https://openvpn.net/community-resources/" TargetMode="External" /><Relationship Type="http://schemas.openxmlformats.org/officeDocument/2006/relationships/hyperlink" Id="rId912" Target="https://openzfs.github.io/openzfs-docs/" TargetMode="External" /><Relationship Type="http://schemas.openxmlformats.org/officeDocument/2006/relationships/hyperlink" Id="rId531" Target="https://owasp.org/www-community/attacks/Command_Injection" TargetMode="External" /><Relationship Type="http://schemas.openxmlformats.org/officeDocument/2006/relationships/hyperlink" Id="rId1408" Target="https://owasp.org/www-project-devsecops-guideline/" TargetMode="External" /><Relationship Type="http://schemas.openxmlformats.org/officeDocument/2006/relationships/hyperlink" Id="rId1884" Target="https://owasp.org/www-project-web-security-testing-guide/" TargetMode="External" /><Relationship Type="http://schemas.openxmlformats.org/officeDocument/2006/relationships/hyperlink" Id="rId631" Target="https://pages.nist.gov/800-63-3/sp800-63b.html" TargetMode="External" /><Relationship Type="http://schemas.openxmlformats.org/officeDocument/2006/relationships/hyperlink" Id="rId913" Target="https://pbs.proxmox.com/docs/" TargetMode="External" /><Relationship Type="http://schemas.openxmlformats.org/officeDocument/2006/relationships/hyperlink" Id="rId1480" Target="https://prometheus.io/docs/alerting/latest/alertmanager/" TargetMode="External" /><Relationship Type="http://schemas.openxmlformats.org/officeDocument/2006/relationships/hyperlink" Id="rId1478" Target="https://prometheus.io/docs/introduction/overview/" TargetMode="External" /><Relationship Type="http://schemas.openxmlformats.org/officeDocument/2006/relationships/hyperlink" Id="rId1479" Target="https://prometheus.io/docs/prometheus/latest/querying/basics/" TargetMode="External" /><Relationship Type="http://schemas.openxmlformats.org/officeDocument/2006/relationships/hyperlink" Id="rId838" Target="https://pve.proxmox.com/pve-docs/" TargetMode="External" /><Relationship Type="http://schemas.openxmlformats.org/officeDocument/2006/relationships/hyperlink" Id="rId440" Target="https://raid.wiki.kernel.org/index.php/Linux_Raid" TargetMode="External" /><Relationship Type="http://schemas.openxmlformats.org/officeDocument/2006/relationships/hyperlink" Id="rId1340" Target="https://registry.terraform.io/" TargetMode="External" /><Relationship Type="http://schemas.openxmlformats.org/officeDocument/2006/relationships/hyperlink" Id="rId1364" Target="https://registry.terraform.io/browse/providers" TargetMode="External" /><Relationship Type="http://schemas.openxmlformats.org/officeDocument/2006/relationships/hyperlink" Id="rId530" Target="https://requests.readthedocs.io/" TargetMode="External" /><Relationship Type="http://schemas.openxmlformats.org/officeDocument/2006/relationships/hyperlink" Id="rId761" Target="https://restic.readthedocs.io/" TargetMode="External" /><Relationship Type="http://schemas.openxmlformats.org/officeDocument/2006/relationships/hyperlink" Id="rId2129" Target="https://selinuxproject.org/" TargetMode="External" /><Relationship Type="http://schemas.openxmlformats.org/officeDocument/2006/relationships/hyperlink" Id="rId1431" Target="https://sre.google/sre-book/monitoring-distributed-systems/" TargetMode="External" /><Relationship Type="http://schemas.openxmlformats.org/officeDocument/2006/relationships/hyperlink" Id="rId2143" Target="https://sre.google/sre-book/table-of-contents/" TargetMode="External" /><Relationship Type="http://schemas.openxmlformats.org/officeDocument/2006/relationships/hyperlink" Id="rId608" Target="https://ssl-config.mozilla.org/" TargetMode="External" /><Relationship Type="http://schemas.openxmlformats.org/officeDocument/2006/relationships/hyperlink" Id="rId556" Target="https://sssd.io/docs/" TargetMode="External" /><Relationship Type="http://schemas.openxmlformats.org/officeDocument/2006/relationships/hyperlink" Id="rId374" Target="https://ubuntu.com/about/release-cycle" TargetMode="External" /><Relationship Type="http://schemas.openxmlformats.org/officeDocument/2006/relationships/hyperlink" Id="rId371" Target="https://ubuntu.com/server/docs" TargetMode="External" /><Relationship Type="http://schemas.openxmlformats.org/officeDocument/2006/relationships/hyperlink" Id="rId482" Target="https://ubuntu.com/server/docs/apparmor" TargetMode="External" /><Relationship Type="http://schemas.openxmlformats.org/officeDocument/2006/relationships/hyperlink" Id="rId441" Target="https://ubuntu.com/server/docs/lvm-basic-volume-management" TargetMode="External" /><Relationship Type="http://schemas.openxmlformats.org/officeDocument/2006/relationships/hyperlink" Id="rId394" Target="https://ubuntu.com/server/docs/package-management" TargetMode="External" /><Relationship Type="http://schemas.openxmlformats.org/officeDocument/2006/relationships/hyperlink" Id="rId580" Target="https://web.mit.edu/kerberos/" TargetMode="External" /><Relationship Type="http://schemas.openxmlformats.org/officeDocument/2006/relationships/hyperlink" Id="rId506" Target="https://wiki.bash-hackers.org/" TargetMode="External" /><Relationship Type="http://schemas.openxmlformats.org/officeDocument/2006/relationships/hyperlink" Id="rId393" Target="https://wiki.debian.org/Apt" TargetMode="External" /><Relationship Type="http://schemas.openxmlformats.org/officeDocument/2006/relationships/hyperlink" Id="rId35" Target="https://www.axelos.com/certifications/itil-service-management" TargetMode="External" /><Relationship Type="http://schemas.openxmlformats.org/officeDocument/2006/relationships/hyperlink" Id="rId121" Target="https://www.cisa.gov" TargetMode="External" /><Relationship Type="http://schemas.openxmlformats.org/officeDocument/2006/relationships/hyperlink" Id="rId760" Target="https://www.cisa.gov/stopransomware" TargetMode="External" /><Relationship Type="http://schemas.openxmlformats.org/officeDocument/2006/relationships/hyperlink" Id="rId661" Target="https://www.cisa.gov/zero-trust-maturity-model" TargetMode="External" /><Relationship Type="http://schemas.openxmlformats.org/officeDocument/2006/relationships/hyperlink" Id="rId2132" Target="https://www.cisco.com/c/en/us/support/index.html" TargetMode="External" /><Relationship Type="http://schemas.openxmlformats.org/officeDocument/2006/relationships/hyperlink" Id="rId1601" Target="https://www.cisco.com/c/en/us/tech/ip/hot-standby-router-protocol-hsrp/index.html" TargetMode="External" /><Relationship Type="http://schemas.openxmlformats.org/officeDocument/2006/relationships/hyperlink" Id="rId1600" Target="https://www.cisco.com/c/en/us/tech/lan-switching/spanning-tree-protocol/index.html" TargetMode="External" /><Relationship Type="http://schemas.openxmlformats.org/officeDocument/2006/relationships/hyperlink" Id="rId2145" Target="https://www.cisecurity.org/" TargetMode="External" /><Relationship Type="http://schemas.openxmlformats.org/officeDocument/2006/relationships/hyperlink" Id="rId198" Target="https://www.cisecurity.org/cis-benchmarks" TargetMode="External" /><Relationship Type="http://schemas.openxmlformats.org/officeDocument/2006/relationships/hyperlink" Id="rId92" Target="https://www.cisecurity.org/controls" TargetMode="External" /><Relationship Type="http://schemas.openxmlformats.org/officeDocument/2006/relationships/hyperlink" Id="rId1054" Target="https://www.cncf.io/" TargetMode="External" /><Relationship Type="http://schemas.openxmlformats.org/officeDocument/2006/relationships/hyperlink" Id="rId370" Target="https://www.debian.org/doc/" TargetMode="External" /><Relationship Type="http://schemas.openxmlformats.org/officeDocument/2006/relationships/hyperlink" Id="rId685" Target="https://www.dell.com/support/" TargetMode="External" /><Relationship Type="http://schemas.openxmlformats.org/officeDocument/2006/relationships/hyperlink" Id="rId956" Target="https://www.dmtf.org/standards/ovf" TargetMode="External" /><Relationship Type="http://schemas.openxmlformats.org/officeDocument/2006/relationships/hyperlink" Id="rId1530" Target="https://www.elastic.co/guide/en/elasticsearch/reference/current/index-lifecycle-management.html" TargetMode="External" /><Relationship Type="http://schemas.openxmlformats.org/officeDocument/2006/relationships/hyperlink" Id="rId1529" Target="https://www.elastic.co/guide/index.html" TargetMode="External" /><Relationship Type="http://schemas.openxmlformats.org/officeDocument/2006/relationships/hyperlink" Id="rId1247" Target="https://www.finops.org/" TargetMode="External" /><Relationship Type="http://schemas.openxmlformats.org/officeDocument/2006/relationships/hyperlink" Id="rId2139" Target="https://www.finops.org/framework/" TargetMode="External" /><Relationship Type="http://schemas.openxmlformats.org/officeDocument/2006/relationships/hyperlink" Id="rId1910" Target="https://www.first.org/cvss/" TargetMode="External" /><Relationship Type="http://schemas.openxmlformats.org/officeDocument/2006/relationships/hyperlink" Id="rId2130" Target="https://www.freedesktop.org/software/systemd/man/" TargetMode="External" /><Relationship Type="http://schemas.openxmlformats.org/officeDocument/2006/relationships/hyperlink" Id="rId415" Target="https://www.freedesktop.org/software/systemd/man/journalctl.html" TargetMode="External" /><Relationship Type="http://schemas.openxmlformats.org/officeDocument/2006/relationships/hyperlink" Id="rId413" Target="https://www.freedesktop.org/software/systemd/man/systemd.html" TargetMode="External" /><Relationship Type="http://schemas.openxmlformats.org/officeDocument/2006/relationships/hyperlink" Id="rId508" Target="https://www.gnu.org/software/bash/manual/bash.html" TargetMode="External" /><Relationship Type="http://schemas.openxmlformats.org/officeDocument/2006/relationships/hyperlink" Id="rId811" Target="https://www.iso.org/fr/standard/75106.html" TargetMode="External" /><Relationship Type="http://schemas.openxmlformats.org/officeDocument/2006/relationships/hyperlink" Id="rId1774" Target="https://www.iso.org/isoiec-27001-information-security.html" TargetMode="External" /><Relationship Type="http://schemas.openxmlformats.org/officeDocument/2006/relationships/hyperlink" Id="rId1773" Target="https://www.iso.org/standard/27001" TargetMode="External" /><Relationship Type="http://schemas.openxmlformats.org/officeDocument/2006/relationships/hyperlink" Id="rId1385" Target="https://www.jenkins.io/doc/" TargetMode="External" /><Relationship Type="http://schemas.openxmlformats.org/officeDocument/2006/relationships/hyperlink" Id="rId1386" Target="https://www.jenkins.io/doc/book/pipeline/syntax/" TargetMode="External" /><Relationship Type="http://schemas.openxmlformats.org/officeDocument/2006/relationships/hyperlink" Id="rId1387" Target="https://www.jenkins.io/doc/book/using/using-credentials/" TargetMode="External" /><Relationship Type="http://schemas.openxmlformats.org/officeDocument/2006/relationships/hyperlink" Id="rId36" Target="https://www.nist.gov/cyberframework" TargetMode="External" /><Relationship Type="http://schemas.openxmlformats.org/officeDocument/2006/relationships/hyperlink" Id="rId1983" Target="https://www.opengroup.org/togaf" TargetMode="External" /><Relationship Type="http://schemas.openxmlformats.org/officeDocument/2006/relationships/hyperlink" Id="rId554" Target="https://www.openldap.org/doc/" TargetMode="External" /><Relationship Type="http://schemas.openxmlformats.org/officeDocument/2006/relationships/hyperlink" Id="rId120" Target="https://www.openssh.com/manual.html" TargetMode="External" /><Relationship Type="http://schemas.openxmlformats.org/officeDocument/2006/relationships/hyperlink" Id="rId607" Target="https://www.openssl.org/docs/" TargetMode="External" /><Relationship Type="http://schemas.openxmlformats.org/officeDocument/2006/relationships/hyperlink" Id="rId63" Target="https://www.peoplecert.org/products/itil-4-foundation" TargetMode="External" /><Relationship Type="http://schemas.openxmlformats.org/officeDocument/2006/relationships/hyperlink" Id="rId1959" Target="https://www.pmi.org/pmbok-guide-standards" TargetMode="External" /><Relationship Type="http://schemas.openxmlformats.org/officeDocument/2006/relationships/hyperlink" Id="rId812" Target="https://www.ready.gov/business" TargetMode="External" /><Relationship Type="http://schemas.openxmlformats.org/officeDocument/2006/relationships/hyperlink" Id="rId34" Target="https://www.redhat.com/fr/services/certification" TargetMode="External" /><Relationship Type="http://schemas.openxmlformats.org/officeDocument/2006/relationships/hyperlink" Id="rId1602" Target="https://www.rfc-editor.org/rfc/rfc2328" TargetMode="External" /><Relationship Type="http://schemas.openxmlformats.org/officeDocument/2006/relationships/hyperlink" Id="rId582" Target="https://www.rfc-editor.org/rfc/rfc4120" TargetMode="External" /><Relationship Type="http://schemas.openxmlformats.org/officeDocument/2006/relationships/hyperlink" Id="rId557" Target="https://www.rfc-editor.org/rfc/rfc4511" TargetMode="External" /><Relationship Type="http://schemas.openxmlformats.org/officeDocument/2006/relationships/hyperlink" Id="rId1554" Target="https://www.rfc-editor.org/rfc/rfc5424" TargetMode="External" /><Relationship Type="http://schemas.openxmlformats.org/officeDocument/2006/relationships/hyperlink" Id="rId708" Target="https://www.samba.org/samba/docs/" TargetMode="External" /><Relationship Type="http://schemas.openxmlformats.org/officeDocument/2006/relationships/hyperlink" Id="rId1938" Target="https://www.sans.org/white-papers/33901/" TargetMode="External" /><Relationship Type="http://schemas.openxmlformats.org/officeDocument/2006/relationships/hyperlink" Id="rId507" Target="https://www.shellcheck.net/" TargetMode="External" /><Relationship Type="http://schemas.openxmlformats.org/officeDocument/2006/relationships/hyperlink" Id="rId739" Target="https://www.snia.org/" TargetMode="External" /><Relationship Type="http://schemas.openxmlformats.org/officeDocument/2006/relationships/hyperlink" Id="rId462" Target="https://www.sudo.ws/docs/" TargetMode="External" /><Relationship Type="http://schemas.openxmlformats.org/officeDocument/2006/relationships/hyperlink" Id="rId933" Target="https://www.virtualbox.org/manual/" TargetMode="External" /><Relationship Type="http://schemas.openxmlformats.org/officeDocument/2006/relationships/hyperlink" Id="rId934" Target="https://www.virtualbox.org/manual/ch06.html" TargetMode="External" /><Relationship Type="http://schemas.openxmlformats.org/officeDocument/2006/relationships/hyperlink" Id="rId836" Target="https://www.vmware.com/topics/virtualization" TargetMode="External" /><Relationship Type="http://schemas.openxmlformats.org/officeDocument/2006/relationships/hyperlink" Id="rId1700" Target="https://www.wireguard.com/" TargetMode="External" /><Relationship Type="http://schemas.openxmlformats.org/officeDocument/2006/relationships/hyperlink" Id="rId1575" Target="https://www.wireshark.org/docs/" TargetMode="External" /><Relationship Type="http://schemas.openxmlformats.org/officeDocument/2006/relationships/hyperlink" Id="rId1576" Target="https://www.wireshark.org/docs/dfref/" TargetMode="External" /><Relationship Type="http://schemas.openxmlformats.org/officeDocument/2006/relationships/hyperlink" Id="rId1457" Target="https://www.zabbix.com/documentation/current/en/manual" TargetMode="External" /><Relationship Type="http://schemas.openxmlformats.org/officeDocument/2006/relationships/hyperlink" Id="rId1458" Target="https://www.zabbix.com/integrations" TargetMode="External" /></Relationships>
</file>

<file path=word/_rels/footnotes.xml.rels><?xml version="1.0" encoding="UTF-8"?><Relationships xmlns="http://schemas.openxmlformats.org/package/2006/relationships"><Relationship Type="http://schemas.openxmlformats.org/officeDocument/2006/relationships/hyperlink" Id="rId1886" Target="http://www.pentest-standard.org/" TargetMode="External" /><Relationship Type="http://schemas.openxmlformats.org/officeDocument/2006/relationships/hyperlink" Id="rId2128" Target="https://access.redhat.com/documentation/" TargetMode="External" /><Relationship Type="http://schemas.openxmlformats.org/officeDocument/2006/relationships/hyperlink" Id="rId439" Target="https://access.redhat.com/documentation/fr-fr/red_hat_enterprise_linux/9/html/configuring_and_managing_logical_volumes/index" TargetMode="External" /><Relationship Type="http://schemas.openxmlformats.org/officeDocument/2006/relationships/hyperlink" Id="rId461" Target="https://access.redhat.com/documentation/fr-fr/red_hat_enterprise_linux/9/html/configuring_basic_system_settings/assembly_managing-file-permissions_configuring-basic-system-settings" TargetMode="External" /><Relationship Type="http://schemas.openxmlformats.org/officeDocument/2006/relationships/hyperlink" Id="rId395" Target="https://access.redhat.com/documentation/fr-fr/red_hat_enterprise_linux/9/html/configuring_basic_system_settings/managing-software-packages_configuring-basic-system-settings" TargetMode="External" /><Relationship Type="http://schemas.openxmlformats.org/officeDocument/2006/relationships/hyperlink" Id="rId414" Target="https://access.redhat.com/documentation/fr-fr/red_hat_enterprise_linux/9/html/configuring_basic_system_settings/managing-systemd_configuring-basic-system-settings" TargetMode="External" /><Relationship Type="http://schemas.openxmlformats.org/officeDocument/2006/relationships/hyperlink" Id="rId709" Target="https://access.redhat.com/documentation/fr-fr/red_hat_enterprise_linux/9/html/managing_file_systems/exporting-nfs-shares_managing-file-systems" TargetMode="External" /><Relationship Type="http://schemas.openxmlformats.org/officeDocument/2006/relationships/hyperlink" Id="rId737" Target="https://access.redhat.com/documentation/fr-fr/red_hat_enterprise_linux/9/html/managing_storage_devices/configuring-an-iscsi-target_managing-storage-devices" TargetMode="External" /><Relationship Type="http://schemas.openxmlformats.org/officeDocument/2006/relationships/hyperlink" Id="rId481" Target="https://access.redhat.com/documentation/fr-fr/red_hat_enterprise_linux/9/html/using_selinux/index" TargetMode="External" /><Relationship Type="http://schemas.openxmlformats.org/officeDocument/2006/relationships/hyperlink" Id="rId373" Target="https://access.redhat.com/support/policy/updates/errata" TargetMode="External" /><Relationship Type="http://schemas.openxmlformats.org/officeDocument/2006/relationships/hyperlink" Id="rId1816" Target="https://attack.mitre.org/" TargetMode="External" /><Relationship Type="http://schemas.openxmlformats.org/officeDocument/2006/relationships/hyperlink" Id="rId1153" Target="https://aws.amazon.com/architecture/well-architected/" TargetMode="External" /><Relationship Type="http://schemas.openxmlformats.org/officeDocument/2006/relationships/hyperlink" Id="rId1126" Target="https://aws.amazon.com/fr/compliance/shared-responsibility-model/" TargetMode="External" /><Relationship Type="http://schemas.openxmlformats.org/officeDocument/2006/relationships/hyperlink" Id="rId1101" Target="https://cert-manager.io/docs/" TargetMode="External" /><Relationship Type="http://schemas.openxmlformats.org/officeDocument/2006/relationships/hyperlink" Id="rId606" Target="https://certbot.eff.org/" TargetMode="External" /><Relationship Type="http://schemas.openxmlformats.org/officeDocument/2006/relationships/hyperlink" Id="rId1273" Target="https://cheatsheetseries.owasp.org/cheatsheets/Secrets_Management_Cheat_Sheet.html" TargetMode="External" /><Relationship Type="http://schemas.openxmlformats.org/officeDocument/2006/relationships/hyperlink" Id="rId1200" Target="https://cloud.google.com/architecture/framework" TargetMode="External" /><Relationship Type="http://schemas.openxmlformats.org/officeDocument/2006/relationships/hyperlink" Id="rId1198" Target="https://cloud.google.com/docs" TargetMode="External" /><Relationship Type="http://schemas.openxmlformats.org/officeDocument/2006/relationships/hyperlink" Id="rId1199" Target="https://cloud.google.com/kubernetes-engine/docs" TargetMode="External" /><Relationship Type="http://schemas.openxmlformats.org/officeDocument/2006/relationships/hyperlink" Id="rId119" Target="https://cockpit-project.org/documentation.html" TargetMode="External" /><Relationship Type="http://schemas.openxmlformats.org/officeDocument/2006/relationships/hyperlink" Id="rId1409" Target="https://csrc.nist.gov/Projects/ssdf" TargetMode="External" /><Relationship Type="http://schemas.openxmlformats.org/officeDocument/2006/relationships/hyperlink" Id="rId1749" Target="https://csrc.nist.gov/projects/cybersecurity-framework" TargetMode="External" /><Relationship Type="http://schemas.openxmlformats.org/officeDocument/2006/relationships/hyperlink" Id="rId1885" Target="https://csrc.nist.gov/publications/detail/sp/800-115/final" TargetMode="External" /><Relationship Type="http://schemas.openxmlformats.org/officeDocument/2006/relationships/hyperlink" Id="rId1724" Target="https://csrc.nist.gov/publications/detail/sp/800-215/final" TargetMode="External" /><Relationship Type="http://schemas.openxmlformats.org/officeDocument/2006/relationships/hyperlink" Id="rId1912" Target="https://csrc.nist.gov/publications/detail/sp/800-40/rev-4/final" TargetMode="External" /><Relationship Type="http://schemas.openxmlformats.org/officeDocument/2006/relationships/hyperlink" Id="rId1627" Target="https://csrc.nist.gov/publications/detail/sp/800-41/rev-1/final" TargetMode="External" /><Relationship Type="http://schemas.openxmlformats.org/officeDocument/2006/relationships/hyperlink" Id="rId1937" Target="https://csrc.nist.gov/publications/detail/sp/800-61/rev-2/final" TargetMode="External" /><Relationship Type="http://schemas.openxmlformats.org/officeDocument/2006/relationships/hyperlink" Id="rId1699" Target="https://csrc.nist.gov/publications/detail/sp/800-77/rev-1/final" TargetMode="External" /><Relationship Type="http://schemas.openxmlformats.org/officeDocument/2006/relationships/hyperlink" Id="rId1863" Target="https://csrc.nist.gov/publications/detail/sp/800-83/rev-1/final" TargetMode="External" /><Relationship Type="http://schemas.openxmlformats.org/officeDocument/2006/relationships/hyperlink" Id="rId1815" Target="https://csrc.nist.gov/publications/detail/sp/800-92/final" TargetMode="External" /><Relationship Type="http://schemas.openxmlformats.org/officeDocument/2006/relationships/hyperlink" Id="rId1842" Target="https://csrc.nist.gov/publications/detail/sp/800-94/final" TargetMode="External" /><Relationship Type="http://schemas.openxmlformats.org/officeDocument/2006/relationships/hyperlink" Id="rId1125" Target="https://csrc.nist.gov/pubs/sp/800/145/final" TargetMode="External" /><Relationship Type="http://schemas.openxmlformats.org/officeDocument/2006/relationships/hyperlink" Id="rId659" Target="https://csrc.nist.gov/pubs/sp/800/207/final" TargetMode="External" /><Relationship Type="http://schemas.openxmlformats.org/officeDocument/2006/relationships/hyperlink" Id="rId786" Target="https://csrc.nist.gov/pubs/sp/800/34/r1/final" TargetMode="External" /><Relationship Type="http://schemas.openxmlformats.org/officeDocument/2006/relationships/hyperlink" Id="rId1339" Target="https://developer.hashicorp.com/terraform/docs" TargetMode="External" /><Relationship Type="http://schemas.openxmlformats.org/officeDocument/2006/relationships/hyperlink" Id="rId1362" Target="https://developer.hashicorp.com/terraform/language/modules" TargetMode="External" /><Relationship Type="http://schemas.openxmlformats.org/officeDocument/2006/relationships/hyperlink" Id="rId1341" Target="https://developer.hashicorp.com/terraform/language/state" TargetMode="External" /><Relationship Type="http://schemas.openxmlformats.org/officeDocument/2006/relationships/hyperlink" Id="rId1363" Target="https://developer.hashicorp.com/terraform/language/state/locking" TargetMode="External" /><Relationship Type="http://schemas.openxmlformats.org/officeDocument/2006/relationships/hyperlink" Id="rId1294" Target="https://docs.ansible.com/" TargetMode="External" /><Relationship Type="http://schemas.openxmlformats.org/officeDocument/2006/relationships/hyperlink" Id="rId1316" Target="https://docs.ansible.com/ansible/latest/playbook_guide/playbooks_reuse_roles.html" TargetMode="External" /><Relationship Type="http://schemas.openxmlformats.org/officeDocument/2006/relationships/hyperlink" Id="rId1295" Target="https://docs.ansible.com/ansible/latest/reference_appendices/glossary.html" TargetMode="External" /><Relationship Type="http://schemas.openxmlformats.org/officeDocument/2006/relationships/hyperlink" Id="rId1317" Target="https://docs.ansible.com/ansible/latest/vault_guide/index.html" TargetMode="External" /><Relationship Type="http://schemas.openxmlformats.org/officeDocument/2006/relationships/hyperlink" Id="rId1151" Target="https://docs.aws.amazon.com/" TargetMode="External" /><Relationship Type="http://schemas.openxmlformats.org/officeDocument/2006/relationships/hyperlink" Id="rId1152" Target="https://docs.aws.amazon.com/AmazonS3/latest/userguide/security-best-practices.html" TargetMode="External" /><Relationship Type="http://schemas.openxmlformats.org/officeDocument/2006/relationships/hyperlink" Id="rId1248" Target="https://docs.aws.amazon.com/cost-management/latest/userguide/ce-what-is.html" TargetMode="External" /><Relationship Type="http://schemas.openxmlformats.org/officeDocument/2006/relationships/hyperlink" Id="rId683" Target="https://docs.broadcom.com/" TargetMode="External" /><Relationship Type="http://schemas.openxmlformats.org/officeDocument/2006/relationships/hyperlink" Id="rId981" Target="https://docs.docker.com/" TargetMode="External" /><Relationship Type="http://schemas.openxmlformats.org/officeDocument/2006/relationships/hyperlink" Id="rId1002" Target="https://docs.docker.com/build/building/best-practices/" TargetMode="External" /><Relationship Type="http://schemas.openxmlformats.org/officeDocument/2006/relationships/hyperlink" Id="rId1024" Target="https://docs.docker.com/compose/" TargetMode="External" /><Relationship Type="http://schemas.openxmlformats.org/officeDocument/2006/relationships/hyperlink" Id="rId1025" Target="https://docs.docker.com/compose/compose-file/" TargetMode="External" /><Relationship Type="http://schemas.openxmlformats.org/officeDocument/2006/relationships/hyperlink" Id="rId1004" Target="https://docs.docker.com/network/" TargetMode="External" /><Relationship Type="http://schemas.openxmlformats.org/officeDocument/2006/relationships/hyperlink" Id="rId1026" Target="https://docs.docker.com/reference/dockerfile/#healthcheck" TargetMode="External" /><Relationship Type="http://schemas.openxmlformats.org/officeDocument/2006/relationships/hyperlink" Id="rId1003" Target="https://docs.docker.com/storage/volumes/" TargetMode="External" /><Relationship Type="http://schemas.openxmlformats.org/officeDocument/2006/relationships/hyperlink" Id="rId1626" Target="https://docs.fortinet.com/product/fortigate" TargetMode="External" /><Relationship Type="http://schemas.openxmlformats.org/officeDocument/2006/relationships/hyperlink" Id="rId1272" Target="https://docs.github.com/fr/pull-requests/collaborating-with-pull-requests/addressing-merge-conflicts" TargetMode="External" /><Relationship Type="http://schemas.openxmlformats.org/officeDocument/2006/relationships/hyperlink" Id="rId528" Target="https://docs.python.org/fr/3/" TargetMode="External" /><Relationship Type="http://schemas.openxmlformats.org/officeDocument/2006/relationships/hyperlink" Id="rId529" Target="https://docs.python.org/fr/3/library/logging.html" TargetMode="External" /><Relationship Type="http://schemas.openxmlformats.org/officeDocument/2006/relationships/hyperlink" Id="rId372" Target="https://docs.rockylinux.org/" TargetMode="External" /><Relationship Type="http://schemas.openxmlformats.org/officeDocument/2006/relationships/hyperlink" Id="rId1841" Target="https://docs.snort.org/" TargetMode="External" /><Relationship Type="http://schemas.openxmlformats.org/officeDocument/2006/relationships/hyperlink" Id="rId1840" Target="https://docs.suricata.io/en/latest/" TargetMode="External" /><Relationship Type="http://schemas.openxmlformats.org/officeDocument/2006/relationships/hyperlink" Id="rId2134" Target="https://docs.vmware.com/en/VMware-vSphere/" TargetMode="External" /><Relationship Type="http://schemas.openxmlformats.org/officeDocument/2006/relationships/hyperlink" Id="rId863" Target="https://docs.vmware.com/fr/VMware-vSphere/index.html" TargetMode="External" /><Relationship Type="http://schemas.openxmlformats.org/officeDocument/2006/relationships/hyperlink" Id="rId632" Target="https://fidoalliance.org/fido2/" TargetMode="External" /><Relationship Type="http://schemas.openxmlformats.org/officeDocument/2006/relationships/hyperlink" Id="rId1296" Target="https://galaxy.ansible.com/" TargetMode="External" /><Relationship Type="http://schemas.openxmlformats.org/officeDocument/2006/relationships/hyperlink" Id="rId1271" Target="https://git-scm.com/book/fr/v2" TargetMode="External" /><Relationship Type="http://schemas.openxmlformats.org/officeDocument/2006/relationships/hyperlink" Id="rId2141" Target="https://git-scm.com/doc" TargetMode="External" /><Relationship Type="http://schemas.openxmlformats.org/officeDocument/2006/relationships/hyperlink" Id="rId483" Target="https://gitlab.com/apparmor/apparmor/-/wikis/home" TargetMode="External" /><Relationship Type="http://schemas.openxmlformats.org/officeDocument/2006/relationships/hyperlink" Id="rId93" Target="https://glpi-project.org/fr/" TargetMode="External" /><Relationship Type="http://schemas.openxmlformats.org/officeDocument/2006/relationships/hyperlink" Id="rId1553" Target="https://go2docs.graylog.org/" TargetMode="External" /><Relationship Type="http://schemas.openxmlformats.org/officeDocument/2006/relationships/hyperlink" Id="rId1504" Target="https://grafana.com/docs/grafana/latest/" TargetMode="External" /><Relationship Type="http://schemas.openxmlformats.org/officeDocument/2006/relationships/hyperlink" Id="rId1505" Target="https://grafana.com/grafana/dashboards/" TargetMode="External" /><Relationship Type="http://schemas.openxmlformats.org/officeDocument/2006/relationships/hyperlink" Id="rId1648" Target="https://help.mikrotik.com/docs/" TargetMode="External" /><Relationship Type="http://schemas.openxmlformats.org/officeDocument/2006/relationships/hyperlink" Id="rId1649" Target="https://help.mikrotik.com/docs/display/ROS/Securing+your+router" TargetMode="External" /><Relationship Type="http://schemas.openxmlformats.org/officeDocument/2006/relationships/hyperlink" Id="rId1674" Target="https://httpd.apache.org/docs/current/mod/mod_proxy.html" TargetMode="External" /><Relationship Type="http://schemas.openxmlformats.org/officeDocument/2006/relationships/hyperlink" Id="rId983" Target="https://hub.docker.com/" TargetMode="External" /><Relationship Type="http://schemas.openxmlformats.org/officeDocument/2006/relationships/hyperlink" Id="rId64" Target="https://itsm.tools" TargetMode="External" /><Relationship Type="http://schemas.openxmlformats.org/officeDocument/2006/relationships/hyperlink" Id="rId1318" Target="https://jinja.palletsprojects.com/" TargetMode="External" /><Relationship Type="http://schemas.openxmlformats.org/officeDocument/2006/relationships/hyperlink" Id="rId864" Target="https://kb.vmware.com/" TargetMode="External" /><Relationship Type="http://schemas.openxmlformats.org/officeDocument/2006/relationships/hyperlink" Id="rId2136" Target="https://kubernetes.io/docs/" TargetMode="External" /><Relationship Type="http://schemas.openxmlformats.org/officeDocument/2006/relationships/hyperlink" Id="rId1053" Target="https://kubernetes.io/fr/docs/concepts/" TargetMode="External" /><Relationship Type="http://schemas.openxmlformats.org/officeDocument/2006/relationships/hyperlink" Id="rId1076" Target="https://kubernetes.io/fr/docs/concepts/configuration/secret/" TargetMode="External" /><Relationship Type="http://schemas.openxmlformats.org/officeDocument/2006/relationships/hyperlink" Id="rId1098" Target="https://kubernetes.io/fr/docs/concepts/services-networking/ingress/" TargetMode="External" /><Relationship Type="http://schemas.openxmlformats.org/officeDocument/2006/relationships/hyperlink" Id="rId1077" Target="https://kubernetes.io/fr/docs/concepts/storage/persistent-volumes/" TargetMode="External" /><Relationship Type="http://schemas.openxmlformats.org/officeDocument/2006/relationships/hyperlink" Id="rId1075" Target="https://kubernetes.io/fr/docs/concepts/workloads/controllers/deployment/" TargetMode="External" /><Relationship Type="http://schemas.openxmlformats.org/officeDocument/2006/relationships/hyperlink" Id="rId1052" Target="https://kubernetes.io/fr/docs/home/" TargetMode="External" /><Relationship Type="http://schemas.openxmlformats.org/officeDocument/2006/relationships/hyperlink" Id="rId1099" Target="https://kubernetes.io/fr/docs/reference/access-authn-authz/rbac/" TargetMode="External" /><Relationship Type="http://schemas.openxmlformats.org/officeDocument/2006/relationships/hyperlink" Id="rId1100" Target="https://kubernetes.io/fr/docs/tasks/run-application/horizontal-pod-autoscale/" TargetMode="External" /><Relationship Type="http://schemas.openxmlformats.org/officeDocument/2006/relationships/hyperlink" Id="rId33" Target="https://learn.microsoft.com" TargetMode="External" /><Relationship Type="http://schemas.openxmlformats.org/officeDocument/2006/relationships/hyperlink" Id="rId2138" Target="https://learn.microsoft.com/azure/" TargetMode="External" /><Relationship Type="http://schemas.openxmlformats.org/officeDocument/2006/relationships/hyperlink" Id="rId1675" Target="https://learn.microsoft.com/en-us/iis/extensions/planning-for-arr/" TargetMode="External" /><Relationship Type="http://schemas.openxmlformats.org/officeDocument/2006/relationships/hyperlink" Id="rId2125" Target="https://learn.microsoft.com/entra/" TargetMode="External" /><Relationship Type="http://schemas.openxmlformats.org/officeDocument/2006/relationships/hyperlink" Id="rId1176" Target="https://learn.microsoft.com/fr-fr/azure/" TargetMode="External" /><Relationship Type="http://schemas.openxmlformats.org/officeDocument/2006/relationships/hyperlink" Id="rId1249" Target="https://learn.microsoft.com/fr-fr/azure/cost-management-billing/" TargetMode="External" /><Relationship Type="http://schemas.openxmlformats.org/officeDocument/2006/relationships/hyperlink" Id="rId1178" Target="https://learn.microsoft.com/fr-fr/azure/storage/blobs/security-recommendations" TargetMode="External" /><Relationship Type="http://schemas.openxmlformats.org/officeDocument/2006/relationships/hyperlink" Id="rId1177" Target="https://learn.microsoft.com/fr-fr/azure/well-architected/" TargetMode="External" /><Relationship Type="http://schemas.openxmlformats.org/officeDocument/2006/relationships/hyperlink" Id="rId222" Target="https://learn.microsoft.com/fr-fr/entra/fundamentals/whatis" TargetMode="External" /><Relationship Type="http://schemas.openxmlformats.org/officeDocument/2006/relationships/hyperlink" Id="rId630" Target="https://learn.microsoft.com/fr-fr/entra/identity/authentication/concept-mfa-howitworks" TargetMode="External" /><Relationship Type="http://schemas.openxmlformats.org/officeDocument/2006/relationships/hyperlink" Id="rId221" Target="https://learn.microsoft.com/fr-fr/entra/identity/hybrid/connect/choose-ad-authn" TargetMode="External" /><Relationship Type="http://schemas.openxmlformats.org/officeDocument/2006/relationships/hyperlink" Id="rId220" Target="https://learn.microsoft.com/fr-fr/entra/identity/hybrid/connect/whatis-azure-ad-connect" TargetMode="External" /><Relationship Type="http://schemas.openxmlformats.org/officeDocument/2006/relationships/hyperlink" Id="rId660" Target="https://learn.microsoft.com/fr-fr/security/zero-trust/" TargetMode="External" /><Relationship Type="http://schemas.openxmlformats.org/officeDocument/2006/relationships/hyperlink" Id="rId148" Target="https://learn.microsoft.com/fr-fr/troubleshoot/windows-server/identity/fsmo-roles" TargetMode="External" /><Relationship Type="http://schemas.openxmlformats.org/officeDocument/2006/relationships/hyperlink" Id="rId837" Target="https://learn.microsoft.com/fr-fr/virtualization/hyper-v-on-windows/about/" TargetMode="External" /><Relationship Type="http://schemas.openxmlformats.org/officeDocument/2006/relationships/hyperlink" Id="rId197" Target="https://learn.microsoft.com/fr-fr/windows-server/administration/windows-commands/gpresult" TargetMode="External" /><Relationship Type="http://schemas.openxmlformats.org/officeDocument/2006/relationships/hyperlink" Id="rId175" Target="https://learn.microsoft.com/fr-fr/windows-server/administration/windows-commands/repadmin" TargetMode="External" /><Relationship Type="http://schemas.openxmlformats.org/officeDocument/2006/relationships/hyperlink" Id="rId762" Target="https://learn.microsoft.com/fr-fr/windows-server/administration/windows-commands/wbadmin" TargetMode="External" /><Relationship Type="http://schemas.openxmlformats.org/officeDocument/2006/relationships/hyperlink" Id="rId321" Target="https://learn.microsoft.com/fr-fr/windows-server/administration/windows-server-update-services/get-started/windows-server-update-services-wsus" TargetMode="External" /><Relationship Type="http://schemas.openxmlformats.org/officeDocument/2006/relationships/hyperlink" Id="rId346" Target="https://learn.microsoft.com/fr-fr/windows-server/failover-clustering/failover-clustering-overview" TargetMode="External" /><Relationship Type="http://schemas.openxmlformats.org/officeDocument/2006/relationships/hyperlink" Id="rId347" Target="https://learn.microsoft.com/fr-fr/windows-server/failover-clustering/manage-cluster-quorum" TargetMode="External" /><Relationship Type="http://schemas.openxmlformats.org/officeDocument/2006/relationships/hyperlink" Id="rId890" Target="https://learn.microsoft.com/fr-fr/windows-server/get-started/licensing-editions" TargetMode="External" /><Relationship Type="http://schemas.openxmlformats.org/officeDocument/2006/relationships/hyperlink" Id="rId174" Target="https://learn.microsoft.com/fr-fr/windows-server/identity/ad-ds/get-started/replication/active-directory-replication-concepts" TargetMode="External" /><Relationship Type="http://schemas.openxmlformats.org/officeDocument/2006/relationships/hyperlink" Id="rId865" Target="https://learn.microsoft.com/fr-fr/windows-server/identity/ad-ds/get-started/virtual-dc/virtualized-domain-controller-architecture" TargetMode="External" /><Relationship Type="http://schemas.openxmlformats.org/officeDocument/2006/relationships/hyperlink" Id="rId196" Target="https://learn.microsoft.com/fr-fr/windows-server/identity/ad-ds/manage/group-policy/group-policy-overview" TargetMode="External" /><Relationship Type="http://schemas.openxmlformats.org/officeDocument/2006/relationships/hyperlink" Id="rId147" Target="https://learn.microsoft.com/fr-fr/windows-server/identity/ad-ds/plan/" TargetMode="External" /><Relationship Type="http://schemas.openxmlformats.org/officeDocument/2006/relationships/hyperlink" Id="rId118" Target="https://learn.microsoft.com/fr-fr/windows-server/manage/windows-admin-center/overview" TargetMode="External" /><Relationship Type="http://schemas.openxmlformats.org/officeDocument/2006/relationships/hyperlink" Id="rId248" Target="https://learn.microsoft.com/fr-fr/windows-server/networking/dns/deploy/ad-integrated" TargetMode="External" /><Relationship Type="http://schemas.openxmlformats.org/officeDocument/2006/relationships/hyperlink" Id="rId247" Target="https://learn.microsoft.com/fr-fr/windows-server/networking/dns/dns-top" TargetMode="External" /><Relationship Type="http://schemas.openxmlformats.org/officeDocument/2006/relationships/hyperlink" Id="rId249" Target="https://learn.microsoft.com/fr-fr/windows-server/networking/dns/dnssec" TargetMode="External" /><Relationship Type="http://schemas.openxmlformats.org/officeDocument/2006/relationships/hyperlink" Id="rId275" Target="https://learn.microsoft.com/fr-fr/windows-server/networking/technologies/dhcp/dhcp-failover" TargetMode="External" /><Relationship Type="http://schemas.openxmlformats.org/officeDocument/2006/relationships/hyperlink" Id="rId274" Target="https://learn.microsoft.com/fr-fr/windows-server/networking/technologies/dhcp/dhcp-top" TargetMode="External" /><Relationship Type="http://schemas.openxmlformats.org/officeDocument/2006/relationships/hyperlink" Id="rId117" Target="https://learn.microsoft.com/fr-fr/windows-server/remote/remote-desktop-services/" TargetMode="External" /><Relationship Type="http://schemas.openxmlformats.org/officeDocument/2006/relationships/hyperlink" Id="rId581" Target="https://learn.microsoft.com/fr-fr/windows-server/security/kerberos/kerberos-authentication-overview" TargetMode="External" /><Relationship Type="http://schemas.openxmlformats.org/officeDocument/2006/relationships/hyperlink" Id="rId299" Target="https://learn.microsoft.com/fr-fr/windows-server/storage/dfs-namespaces/dfs-overview" TargetMode="External" /><Relationship Type="http://schemas.openxmlformats.org/officeDocument/2006/relationships/hyperlink" Id="rId710" Target="https://learn.microsoft.com/fr-fr/windows-server/storage/file-server/file-server-smb-overview" TargetMode="External" /><Relationship Type="http://schemas.openxmlformats.org/officeDocument/2006/relationships/hyperlink" Id="rId300" Target="https://learn.microsoft.com/fr-fr/windows-server/storage/fsrm/fsrm-overview" TargetMode="External" /><Relationship Type="http://schemas.openxmlformats.org/officeDocument/2006/relationships/hyperlink" Id="rId738" Target="https://learn.microsoft.com/fr-fr/windows-server/storage/iscsi/iscsi-target-server" TargetMode="External" /><Relationship Type="http://schemas.openxmlformats.org/officeDocument/2006/relationships/hyperlink" Id="rId684" Target="https://learn.microsoft.com/fr-fr/windows-server/storage/storage-spaces/overview" TargetMode="External" /><Relationship Type="http://schemas.openxmlformats.org/officeDocument/2006/relationships/hyperlink" Id="rId348" Target="https://learn.microsoft.com/fr-fr/windows-server/storage/storage-spaces/storage-spaces-direct-overview" TargetMode="External" /><Relationship Type="http://schemas.openxmlformats.org/officeDocument/2006/relationships/hyperlink" Id="rId957" Target="https://learn.microsoft.com/fr-fr/windows-server/virtualization/hyper-v/deploy/export-and-import-virtual-machines" TargetMode="External" /><Relationship Type="http://schemas.openxmlformats.org/officeDocument/2006/relationships/hyperlink" Id="rId889" Target="https://learn.microsoft.com/fr-fr/windows-server/virtualization/hyper-v/hyper-v-technology-overview" TargetMode="External" /><Relationship Type="http://schemas.openxmlformats.org/officeDocument/2006/relationships/hyperlink" Id="rId891" Target="https://learn.microsoft.com/fr-fr/windows-server/virtualization/hyper-v/manage/manage-hyper-v-integration-services" TargetMode="External" /><Relationship Type="http://schemas.openxmlformats.org/officeDocument/2006/relationships/hyperlink" Id="rId322" Target="https://learn.microsoft.com/fr-fr/windows/deployment/update/waas-manage-updates-wufb" TargetMode="External" /><Relationship Type="http://schemas.openxmlformats.org/officeDocument/2006/relationships/hyperlink" Id="rId555" Target="https://learn.microsoft.com/fr-fr/windows/win32/ad/active-directory-and-lightweight-directory-access-protocol" TargetMode="External" /><Relationship Type="http://schemas.openxmlformats.org/officeDocument/2006/relationships/hyperlink" Id="rId2123" Target="https://learn.microsoft.com/windows-server/" TargetMode="External" /><Relationship Type="http://schemas.openxmlformats.org/officeDocument/2006/relationships/hyperlink" Id="rId2124" Target="https://learn.microsoft.com/windows-server/identity/ad-ds/" TargetMode="External" /><Relationship Type="http://schemas.openxmlformats.org/officeDocument/2006/relationships/hyperlink" Id="rId2126" Target="https://learn.microsoft.com/windows-server/virtualization/hyper-v/" TargetMode="External" /><Relationship Type="http://schemas.openxmlformats.org/officeDocument/2006/relationships/hyperlink" Id="rId605" Target="https://letsencrypt.org/fr/docs/" TargetMode="External" /><Relationship Type="http://schemas.openxmlformats.org/officeDocument/2006/relationships/hyperlink" Id="rId1673" Target="https://nginx.org/en/docs/" TargetMode="External" /><Relationship Type="http://schemas.openxmlformats.org/officeDocument/2006/relationships/hyperlink" Id="rId1911" Target="https://nvd.nist.gov/" TargetMode="External" /><Relationship Type="http://schemas.openxmlformats.org/officeDocument/2006/relationships/hyperlink" Id="rId982" Target="https://opencontainers.org/" TargetMode="External" /><Relationship Type="http://schemas.openxmlformats.org/officeDocument/2006/relationships/hyperlink" Id="rId1432" Target="https://opentelemetry.io/" TargetMode="External" /><Relationship Type="http://schemas.openxmlformats.org/officeDocument/2006/relationships/hyperlink" Id="rId1701" Target="https://openvpn.net/community-resources/" TargetMode="External" /><Relationship Type="http://schemas.openxmlformats.org/officeDocument/2006/relationships/hyperlink" Id="rId912" Target="https://openzfs.github.io/openzfs-docs/" TargetMode="External" /><Relationship Type="http://schemas.openxmlformats.org/officeDocument/2006/relationships/hyperlink" Id="rId531" Target="https://owasp.org/www-community/attacks/Command_Injection" TargetMode="External" /><Relationship Type="http://schemas.openxmlformats.org/officeDocument/2006/relationships/hyperlink" Id="rId1408" Target="https://owasp.org/www-project-devsecops-guideline/" TargetMode="External" /><Relationship Type="http://schemas.openxmlformats.org/officeDocument/2006/relationships/hyperlink" Id="rId1884" Target="https://owasp.org/www-project-web-security-testing-guide/" TargetMode="External" /><Relationship Type="http://schemas.openxmlformats.org/officeDocument/2006/relationships/hyperlink" Id="rId631" Target="https://pages.nist.gov/800-63-3/sp800-63b.html" TargetMode="External" /><Relationship Type="http://schemas.openxmlformats.org/officeDocument/2006/relationships/hyperlink" Id="rId913" Target="https://pbs.proxmox.com/docs/" TargetMode="External" /><Relationship Type="http://schemas.openxmlformats.org/officeDocument/2006/relationships/hyperlink" Id="rId1480" Target="https://prometheus.io/docs/alerting/latest/alertmanager/" TargetMode="External" /><Relationship Type="http://schemas.openxmlformats.org/officeDocument/2006/relationships/hyperlink" Id="rId1478" Target="https://prometheus.io/docs/introduction/overview/" TargetMode="External" /><Relationship Type="http://schemas.openxmlformats.org/officeDocument/2006/relationships/hyperlink" Id="rId1479" Target="https://prometheus.io/docs/prometheus/latest/querying/basics/" TargetMode="External" /><Relationship Type="http://schemas.openxmlformats.org/officeDocument/2006/relationships/hyperlink" Id="rId838" Target="https://pve.proxmox.com/pve-docs/" TargetMode="External" /><Relationship Type="http://schemas.openxmlformats.org/officeDocument/2006/relationships/hyperlink" Id="rId440" Target="https://raid.wiki.kernel.org/index.php/Linux_Raid" TargetMode="External" /><Relationship Type="http://schemas.openxmlformats.org/officeDocument/2006/relationships/hyperlink" Id="rId1340" Target="https://registry.terraform.io/" TargetMode="External" /><Relationship Type="http://schemas.openxmlformats.org/officeDocument/2006/relationships/hyperlink" Id="rId1364" Target="https://registry.terraform.io/browse/providers" TargetMode="External" /><Relationship Type="http://schemas.openxmlformats.org/officeDocument/2006/relationships/hyperlink" Id="rId530" Target="https://requests.readthedocs.io/" TargetMode="External" /><Relationship Type="http://schemas.openxmlformats.org/officeDocument/2006/relationships/hyperlink" Id="rId761" Target="https://restic.readthedocs.io/" TargetMode="External" /><Relationship Type="http://schemas.openxmlformats.org/officeDocument/2006/relationships/hyperlink" Id="rId2129" Target="https://selinuxproject.org/" TargetMode="External" /><Relationship Type="http://schemas.openxmlformats.org/officeDocument/2006/relationships/hyperlink" Id="rId1431" Target="https://sre.google/sre-book/monitoring-distributed-systems/" TargetMode="External" /><Relationship Type="http://schemas.openxmlformats.org/officeDocument/2006/relationships/hyperlink" Id="rId2143" Target="https://sre.google/sre-book/table-of-contents/" TargetMode="External" /><Relationship Type="http://schemas.openxmlformats.org/officeDocument/2006/relationships/hyperlink" Id="rId608" Target="https://ssl-config.mozilla.org/" TargetMode="External" /><Relationship Type="http://schemas.openxmlformats.org/officeDocument/2006/relationships/hyperlink" Id="rId556" Target="https://sssd.io/docs/" TargetMode="External" /><Relationship Type="http://schemas.openxmlformats.org/officeDocument/2006/relationships/hyperlink" Id="rId374" Target="https://ubuntu.com/about/release-cycle" TargetMode="External" /><Relationship Type="http://schemas.openxmlformats.org/officeDocument/2006/relationships/hyperlink" Id="rId371" Target="https://ubuntu.com/server/docs" TargetMode="External" /><Relationship Type="http://schemas.openxmlformats.org/officeDocument/2006/relationships/hyperlink" Id="rId482" Target="https://ubuntu.com/server/docs/apparmor" TargetMode="External" /><Relationship Type="http://schemas.openxmlformats.org/officeDocument/2006/relationships/hyperlink" Id="rId441" Target="https://ubuntu.com/server/docs/lvm-basic-volume-management" TargetMode="External" /><Relationship Type="http://schemas.openxmlformats.org/officeDocument/2006/relationships/hyperlink" Id="rId394" Target="https://ubuntu.com/server/docs/package-management" TargetMode="External" /><Relationship Type="http://schemas.openxmlformats.org/officeDocument/2006/relationships/hyperlink" Id="rId580" Target="https://web.mit.edu/kerberos/" TargetMode="External" /><Relationship Type="http://schemas.openxmlformats.org/officeDocument/2006/relationships/hyperlink" Id="rId506" Target="https://wiki.bash-hackers.org/" TargetMode="External" /><Relationship Type="http://schemas.openxmlformats.org/officeDocument/2006/relationships/hyperlink" Id="rId393" Target="https://wiki.debian.org/Apt" TargetMode="External" /><Relationship Type="http://schemas.openxmlformats.org/officeDocument/2006/relationships/hyperlink" Id="rId35" Target="https://www.axelos.com/certifications/itil-service-management" TargetMode="External" /><Relationship Type="http://schemas.openxmlformats.org/officeDocument/2006/relationships/hyperlink" Id="rId121" Target="https://www.cisa.gov" TargetMode="External" /><Relationship Type="http://schemas.openxmlformats.org/officeDocument/2006/relationships/hyperlink" Id="rId760" Target="https://www.cisa.gov/stopransomware" TargetMode="External" /><Relationship Type="http://schemas.openxmlformats.org/officeDocument/2006/relationships/hyperlink" Id="rId661" Target="https://www.cisa.gov/zero-trust-maturity-model" TargetMode="External" /><Relationship Type="http://schemas.openxmlformats.org/officeDocument/2006/relationships/hyperlink" Id="rId2132" Target="https://www.cisco.com/c/en/us/support/index.html" TargetMode="External" /><Relationship Type="http://schemas.openxmlformats.org/officeDocument/2006/relationships/hyperlink" Id="rId1601" Target="https://www.cisco.com/c/en/us/tech/ip/hot-standby-router-protocol-hsrp/index.html" TargetMode="External" /><Relationship Type="http://schemas.openxmlformats.org/officeDocument/2006/relationships/hyperlink" Id="rId1600" Target="https://www.cisco.com/c/en/us/tech/lan-switching/spanning-tree-protocol/index.html" TargetMode="External" /><Relationship Type="http://schemas.openxmlformats.org/officeDocument/2006/relationships/hyperlink" Id="rId2145" Target="https://www.cisecurity.org/" TargetMode="External" /><Relationship Type="http://schemas.openxmlformats.org/officeDocument/2006/relationships/hyperlink" Id="rId198" Target="https://www.cisecurity.org/cis-benchmarks" TargetMode="External" /><Relationship Type="http://schemas.openxmlformats.org/officeDocument/2006/relationships/hyperlink" Id="rId92" Target="https://www.cisecurity.org/controls" TargetMode="External" /><Relationship Type="http://schemas.openxmlformats.org/officeDocument/2006/relationships/hyperlink" Id="rId1054" Target="https://www.cncf.io/" TargetMode="External" /><Relationship Type="http://schemas.openxmlformats.org/officeDocument/2006/relationships/hyperlink" Id="rId370" Target="https://www.debian.org/doc/" TargetMode="External" /><Relationship Type="http://schemas.openxmlformats.org/officeDocument/2006/relationships/hyperlink" Id="rId685" Target="https://www.dell.com/support/" TargetMode="External" /><Relationship Type="http://schemas.openxmlformats.org/officeDocument/2006/relationships/hyperlink" Id="rId956" Target="https://www.dmtf.org/standards/ovf" TargetMode="External" /><Relationship Type="http://schemas.openxmlformats.org/officeDocument/2006/relationships/hyperlink" Id="rId1530" Target="https://www.elastic.co/guide/en/elasticsearch/reference/current/index-lifecycle-management.html" TargetMode="External" /><Relationship Type="http://schemas.openxmlformats.org/officeDocument/2006/relationships/hyperlink" Id="rId1529" Target="https://www.elastic.co/guide/index.html" TargetMode="External" /><Relationship Type="http://schemas.openxmlformats.org/officeDocument/2006/relationships/hyperlink" Id="rId1247" Target="https://www.finops.org/" TargetMode="External" /><Relationship Type="http://schemas.openxmlformats.org/officeDocument/2006/relationships/hyperlink" Id="rId2139" Target="https://www.finops.org/framework/" TargetMode="External" /><Relationship Type="http://schemas.openxmlformats.org/officeDocument/2006/relationships/hyperlink" Id="rId1910" Target="https://www.first.org/cvss/" TargetMode="External" /><Relationship Type="http://schemas.openxmlformats.org/officeDocument/2006/relationships/hyperlink" Id="rId2130" Target="https://www.freedesktop.org/software/systemd/man/" TargetMode="External" /><Relationship Type="http://schemas.openxmlformats.org/officeDocument/2006/relationships/hyperlink" Id="rId415" Target="https://www.freedesktop.org/software/systemd/man/journalctl.html" TargetMode="External" /><Relationship Type="http://schemas.openxmlformats.org/officeDocument/2006/relationships/hyperlink" Id="rId413" Target="https://www.freedesktop.org/software/systemd/man/systemd.html" TargetMode="External" /><Relationship Type="http://schemas.openxmlformats.org/officeDocument/2006/relationships/hyperlink" Id="rId508" Target="https://www.gnu.org/software/bash/manual/bash.html" TargetMode="External" /><Relationship Type="http://schemas.openxmlformats.org/officeDocument/2006/relationships/hyperlink" Id="rId811" Target="https://www.iso.org/fr/standard/75106.html" TargetMode="External" /><Relationship Type="http://schemas.openxmlformats.org/officeDocument/2006/relationships/hyperlink" Id="rId1774" Target="https://www.iso.org/isoiec-27001-information-security.html" TargetMode="External" /><Relationship Type="http://schemas.openxmlformats.org/officeDocument/2006/relationships/hyperlink" Id="rId1773" Target="https://www.iso.org/standard/27001" TargetMode="External" /><Relationship Type="http://schemas.openxmlformats.org/officeDocument/2006/relationships/hyperlink" Id="rId1385" Target="https://www.jenkins.io/doc/" TargetMode="External" /><Relationship Type="http://schemas.openxmlformats.org/officeDocument/2006/relationships/hyperlink" Id="rId1386" Target="https://www.jenkins.io/doc/book/pipeline/syntax/" TargetMode="External" /><Relationship Type="http://schemas.openxmlformats.org/officeDocument/2006/relationships/hyperlink" Id="rId1387" Target="https://www.jenkins.io/doc/book/using/using-credentials/" TargetMode="External" /><Relationship Type="http://schemas.openxmlformats.org/officeDocument/2006/relationships/hyperlink" Id="rId36" Target="https://www.nist.gov/cyberframework" TargetMode="External" /><Relationship Type="http://schemas.openxmlformats.org/officeDocument/2006/relationships/hyperlink" Id="rId1983" Target="https://www.opengroup.org/togaf" TargetMode="External" /><Relationship Type="http://schemas.openxmlformats.org/officeDocument/2006/relationships/hyperlink" Id="rId554" Target="https://www.openldap.org/doc/" TargetMode="External" /><Relationship Type="http://schemas.openxmlformats.org/officeDocument/2006/relationships/hyperlink" Id="rId120" Target="https://www.openssh.com/manual.html" TargetMode="External" /><Relationship Type="http://schemas.openxmlformats.org/officeDocument/2006/relationships/hyperlink" Id="rId607" Target="https://www.openssl.org/docs/" TargetMode="External" /><Relationship Type="http://schemas.openxmlformats.org/officeDocument/2006/relationships/hyperlink" Id="rId63" Target="https://www.peoplecert.org/products/itil-4-foundation" TargetMode="External" /><Relationship Type="http://schemas.openxmlformats.org/officeDocument/2006/relationships/hyperlink" Id="rId1959" Target="https://www.pmi.org/pmbok-guide-standards" TargetMode="External" /><Relationship Type="http://schemas.openxmlformats.org/officeDocument/2006/relationships/hyperlink" Id="rId812" Target="https://www.ready.gov/business" TargetMode="External" /><Relationship Type="http://schemas.openxmlformats.org/officeDocument/2006/relationships/hyperlink" Id="rId34" Target="https://www.redhat.com/fr/services/certification" TargetMode="External" /><Relationship Type="http://schemas.openxmlformats.org/officeDocument/2006/relationships/hyperlink" Id="rId1602" Target="https://www.rfc-editor.org/rfc/rfc2328" TargetMode="External" /><Relationship Type="http://schemas.openxmlformats.org/officeDocument/2006/relationships/hyperlink" Id="rId582" Target="https://www.rfc-editor.org/rfc/rfc4120" TargetMode="External" /><Relationship Type="http://schemas.openxmlformats.org/officeDocument/2006/relationships/hyperlink" Id="rId557" Target="https://www.rfc-editor.org/rfc/rfc4511" TargetMode="External" /><Relationship Type="http://schemas.openxmlformats.org/officeDocument/2006/relationships/hyperlink" Id="rId1554" Target="https://www.rfc-editor.org/rfc/rfc5424" TargetMode="External" /><Relationship Type="http://schemas.openxmlformats.org/officeDocument/2006/relationships/hyperlink" Id="rId708" Target="https://www.samba.org/samba/docs/" TargetMode="External" /><Relationship Type="http://schemas.openxmlformats.org/officeDocument/2006/relationships/hyperlink" Id="rId1938" Target="https://www.sans.org/white-papers/33901/" TargetMode="External" /><Relationship Type="http://schemas.openxmlformats.org/officeDocument/2006/relationships/hyperlink" Id="rId507" Target="https://www.shellcheck.net/" TargetMode="External" /><Relationship Type="http://schemas.openxmlformats.org/officeDocument/2006/relationships/hyperlink" Id="rId739" Target="https://www.snia.org/" TargetMode="External" /><Relationship Type="http://schemas.openxmlformats.org/officeDocument/2006/relationships/hyperlink" Id="rId462" Target="https://www.sudo.ws/docs/" TargetMode="External" /><Relationship Type="http://schemas.openxmlformats.org/officeDocument/2006/relationships/hyperlink" Id="rId933" Target="https://www.virtualbox.org/manual/" TargetMode="External" /><Relationship Type="http://schemas.openxmlformats.org/officeDocument/2006/relationships/hyperlink" Id="rId934" Target="https://www.virtualbox.org/manual/ch06.html" TargetMode="External" /><Relationship Type="http://schemas.openxmlformats.org/officeDocument/2006/relationships/hyperlink" Id="rId836" Target="https://www.vmware.com/topics/virtualization" TargetMode="External" /><Relationship Type="http://schemas.openxmlformats.org/officeDocument/2006/relationships/hyperlink" Id="rId1700" Target="https://www.wireguard.com/" TargetMode="External" /><Relationship Type="http://schemas.openxmlformats.org/officeDocument/2006/relationships/hyperlink" Id="rId1575" Target="https://www.wireshark.org/docs/" TargetMode="External" /><Relationship Type="http://schemas.openxmlformats.org/officeDocument/2006/relationships/hyperlink" Id="rId1576" Target="https://www.wireshark.org/docs/dfref/" TargetMode="External" /><Relationship Type="http://schemas.openxmlformats.org/officeDocument/2006/relationships/hyperlink" Id="rId1457" Target="https://www.zabbix.com/documentation/current/en/manual" TargetMode="External" /><Relationship Type="http://schemas.openxmlformats.org/officeDocument/2006/relationships/hyperlink" Id="rId1458" Target="https://www.zabbix.com/integration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Manuel professionnel d'Administration Systeme et Infrastructure</dc:title>
  <dc:creator>Jaslin Occius</dc:creator>
  <cp:keywords/>
  <dcterms:created xsi:type="dcterms:W3CDTF">2026-08-02T23:37:10Z</dcterms:created>
  <dcterms:modified xsi:type="dcterms:W3CDTF">2026-08-02T23:37:10Z</dcterms:modified>
</cp:coreProperties>
</file>

<file path=docProps/custom.xml><?xml version="1.0" encoding="utf-8"?>
<Properties xmlns="http://schemas.openxmlformats.org/officeDocument/2006/custom-properties" xmlns:vt="http://schemas.openxmlformats.org/officeDocument/2006/docPropsVTypes"/>
</file>