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200"/>
        <w:jc w:val="center"/>
      </w:pPr>
      <w:r>
        <w:rPr>
          <w:rFonts w:ascii="Arial" w:cs="Arial" w:eastAsia="Arial" w:hAnsi="Arial"/>
          <w:b/>
          <w:bCs/>
          <w:color w:val="1F4E79"/>
          <w:sz w:val="60"/>
          <w:szCs w:val="60"/>
        </w:rPr>
        <w:t xml:space="preserve">MANUEL PROFESSIONNEL</w:t>
      </w:r>
    </w:p>
    <w:p>
      <w:pPr>
        <w:spacing w:after="200"/>
        <w:jc w:val="center"/>
      </w:pPr>
      <w:r>
        <w:rPr>
          <w:rFonts w:ascii="Arial" w:cs="Arial" w:eastAsia="Arial" w:hAnsi="Arial"/>
          <w:b/>
          <w:bCs/>
          <w:color w:val="1F4E79"/>
          <w:sz w:val="44"/>
          <w:szCs w:val="44"/>
        </w:rPr>
        <w:t xml:space="preserve">D'ADMINISTRATION SYSTÈME</w:t>
      </w:r>
    </w:p>
    <w:p>
      <w:pPr>
        <w:spacing w:after="100"/>
        <w:jc w:val="center"/>
      </w:pPr>
      <w:r>
        <w:rPr>
          <w:rFonts w:ascii="Arial" w:cs="Arial" w:eastAsia="Arial" w:hAnsi="Arial"/>
          <w:i/>
          <w:iCs/>
          <w:color w:val="595959"/>
          <w:sz w:val="26"/>
          <w:szCs w:val="26"/>
        </w:rPr>
        <w:t xml:space="preserve">Guide complet — Gouvernance, Infrastructure, Sécurité et Exploitation</w:t>
      </w:r>
    </w:p>
    <w:p>
      <w:pPr>
        <w:spacing w:after="600"/>
        <w:jc w:val="center"/>
      </w:pPr>
      <w:r>
        <w:rPr>
          <w:rFonts w:ascii="Arial" w:cs="Arial" w:eastAsia="Arial" w:hAnsi="Arial"/>
          <w:color w:val="808080"/>
          <w:sz w:val="24"/>
          <w:szCs w:val="24"/>
        </w:rPr>
        <w:t xml:space="preserve">Préparé pour Haitech Solutions</w:t>
      </w:r>
    </w:p>
    <w:p>
      <w:pPr>
        <w:spacing w:after="100"/>
        <w:jc w:val="center"/>
      </w:pPr>
      <w:r>
        <w:rPr>
          <w:rFonts w:ascii="Arial" w:cs="Arial" w:eastAsia="Arial" w:hAnsi="Arial"/>
          <w:color w:val="AAAAAA"/>
          <w:sz w:val="20"/>
          <w:szCs w:val="20"/>
        </w:rPr>
        <w:t xml:space="preserve">Version 0.1 — Document en cours de rédaction (Partie I sur XIII)</w:t>
      </w:r>
    </w:p>
    <w:p>
      <w:r>
        <w:br/>
        <w:t xml:space="preserve"/>
      </w:r>
    </w:p>
    <w:sdt>
      <w:sdtPr>
        <w:alias w:val="TABLE DES MATIÈRES"/>
      </w:sdtPr>
      <w:sdtContent>
        <w:p>
          <w:r>
            <w:fldChar w:fldCharType="begin" w:dirty="true"/>
            <w:instrText xml:space="preserve">TOC \h \o "1-3"</w:instrText>
            <w:fldChar w:fldCharType="separate"/>
          </w:r>
        </w:p>
        <w:p>
          <w:r>
            <w:fldChar w:fldCharType="end"/>
          </w:r>
        </w:p>
      </w:sdtContent>
    </w:sdt>
    <w:p>
      <w:pPr>
        <w:pStyle w:val="Heading1"/>
        <w:pageBreakBefore/>
        <w:spacing w:after="200" w:before="0"/>
      </w:pPr>
      <w:r>
        <w:rPr>
          <w:rFonts w:ascii="Arial" w:cs="Arial" w:eastAsia="Arial" w:hAnsi="Arial"/>
          <w:b/>
          <w:bCs/>
          <w:color w:val="FFFFFF"/>
          <w:sz w:val="36"/>
          <w:szCs w:val="36"/>
        </w:rPr>
        <w:t xml:space="preserve">PARTIE I — GOUVERNANCE ET MÉTIER DE L'ADMINISTRATEUR SYSTÈME</w:t>
      </w:r>
    </w:p>
    <w:p>
      <w:pPr>
        <w:spacing w:after="140"/>
      </w:pPr>
      <w:r>
        <w:rPr>
          <w:rFonts w:ascii="Arial" w:cs="Arial" w:eastAsia="Arial" w:hAnsi="Arial"/>
          <w:sz w:val="22"/>
          <w:szCs w:val="22"/>
        </w:rPr>
        <w:t xml:space="preserve">Cette première partie pose les fondations non techniques sans lesquelles aucune infrastructure ne tient dans la durée : comment l'informatique se pilote, qui fait quoi, comment le système d'information s'organise, comment on documente ce qu'on construit, et comment on garde la trace de ce que l'on possède. Un administrateur système qui maîtrise parfaitement les commandes mais ignore ces fondations finit par construire une infrastructure ingouvernable — fonctionnelle un temps, mais impossible à faire évoluer, auditer ou transmettre à un successeur.</w:t>
      </w:r>
    </w:p>
    <w:p>
      <w:pPr>
        <w:pBdr>
          <w:bottom w:val="single" w:color="2E75B6" w:sz="6"/>
        </w:pBdr>
        <w:spacing w:after="200" w:before="200"/>
      </w:pPr>
    </w:p>
    <w:p>
      <w:pPr>
        <w:pStyle w:val="Heading2"/>
        <w:spacing w:after="120" w:before="320"/>
      </w:pPr>
      <w:r>
        <w:rPr>
          <w:rFonts w:ascii="Arial" w:cs="Arial" w:eastAsia="Arial" w:hAnsi="Arial"/>
          <w:b/>
          <w:bCs/>
          <w:color w:val="1F4E79"/>
          <w:sz w:val="28"/>
          <w:szCs w:val="28"/>
        </w:rPr>
        <w:t xml:space="preserve">1.1 Gouvernance informatique et cadres de référence</w:t>
      </w:r>
    </w:p>
    <w:p>
      <w:pPr>
        <w:pStyle w:val="Heading3"/>
        <w:spacing w:after="100" w:before="240"/>
      </w:pPr>
      <w:r>
        <w:rPr>
          <w:rFonts w:ascii="Arial" w:cs="Arial" w:eastAsia="Arial" w:hAnsi="Arial"/>
          <w:b/>
          <w:bCs/>
          <w:color w:val="2E75B6"/>
          <w:sz w:val="24"/>
          <w:szCs w:val="24"/>
        </w:rPr>
        <w:t xml:space="preserve">1.1.1 Rôle de la gouvernance informatique</w:t>
      </w:r>
    </w:p>
    <w:p>
      <w:pPr>
        <w:spacing w:after="140"/>
      </w:pPr>
      <w:r>
        <w:rPr>
          <w:rFonts w:ascii="Arial" w:cs="Arial" w:eastAsia="Arial" w:hAnsi="Arial"/>
          <w:sz w:val="22"/>
          <w:szCs w:val="22"/>
        </w:rPr>
        <w:t xml:space="preserve">La gouvernance informatique est l'ensemble des structures, processus et mécanismes de décision qui garantissent que les investissements et l'exploitation informatique servent réellement les objectifs de l'organisation, tout en maîtrisant les risques et les coûts. Ce n'est pas une couche bureaucratique ajoutée à la technique : c'est ce qui répond à la question que tout dirigeant finit par poser — « pourquoi dépense-t-on cela, et qui a décidé que c'était prioritaire ? ». Sans gouvernance, chaque décision technique (acheter un serveur, migrer vers le cloud, ouvrir un port) est prise isolément, sans traçabilité ni alignement avec la stratégie de l'entreprise.</w:t>
      </w:r>
    </w:p>
    <w:p>
      <w:pPr>
        <w:spacing w:after="140"/>
      </w:pPr>
      <w:r>
        <w:rPr>
          <w:rFonts w:ascii="Arial" w:cs="Arial" w:eastAsia="Arial" w:hAnsi="Arial"/>
          <w:sz w:val="22"/>
          <w:szCs w:val="22"/>
        </w:rPr>
        <w:t xml:space="preserve">Concrètement, la gouvernance répond à quatre questions permanentes : Qui décide ? Sur quels critères ? Avec quelles ressources ? Et comment vérifie-t-on que la décision a produit l'effet attendu ? Un système d'information bien gouverné rend ces quatre réponses visibles et traçables à tout moment, y compris plusieurs années après la décision initiale.</w:t>
      </w:r>
    </w:p>
    <w:p>
      <w:pPr>
        <w:pStyle w:val="Heading3"/>
        <w:spacing w:after="100" w:before="240"/>
      </w:pPr>
      <w:r>
        <w:rPr>
          <w:rFonts w:ascii="Arial" w:cs="Arial" w:eastAsia="Arial" w:hAnsi="Arial"/>
          <w:b/>
          <w:bCs/>
          <w:color w:val="2E75B6"/>
          <w:sz w:val="24"/>
          <w:szCs w:val="24"/>
        </w:rPr>
        <w:t xml:space="preserve">1.1.2 Fonctionnement : la chaîne de gouvernance</w:t>
      </w:r>
    </w:p>
    <w:p>
      <w:pPr>
        <w:spacing w:after="140"/>
      </w:pPr>
      <w:r>
        <w:rPr>
          <w:rFonts w:ascii="Arial" w:cs="Arial" w:eastAsia="Arial" w:hAnsi="Arial"/>
          <w:sz w:val="22"/>
          <w:szCs w:val="22"/>
        </w:rPr>
        <w:t xml:space="preserve">La gouvernance s'articule en cascade, de la stratégie d'entreprise jusqu'à l'exploitation quotidienne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00"/>
        <w:gridCol w:w="24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Niveau</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Horizon</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Instance typique</w:t>
            </w:r>
          </w:p>
        </w:tc>
        <w:tc>
          <w:tcPr>
            <w:tcW w:type="dxa" w:w="2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Livrables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Gouvernance d'entreprise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3-5 ans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Direction générale, conseil d'administration</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Stratégie globale, budget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Gouvernance IT (stratégique)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 ans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Comité de pilotage IT (CODIR + DSI)</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Schéma directeur, portefeuille de projets</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Gouvernance IT (tactique)</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1-12 mois</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Comité des changements, comité sécurité</w:t>
            </w:r>
          </w:p>
        </w:tc>
        <w:tc>
          <w:tcPr>
            <w:tcW w:type="dxa" w:w="2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Plans de mise en œuvre, budgets annuels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opérationnelle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Quotidien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infrastructure / exploitation</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Tickets, changements, incidents</w:t>
            </w:r>
          </w:p>
        </w:tc>
      </w:tr>
    </w:tbl>
    <w:p>
      <w:pPr>
        <w:spacing w:after="140"/>
      </w:pPr>
      <w:r>
        <w:rPr>
          <w:rFonts w:ascii="Arial" w:cs="Arial" w:eastAsia="Arial" w:hAnsi="Arial"/>
          <w:sz w:val="22"/>
          <w:szCs w:val="22"/>
        </w:rPr>
        <w:t xml:space="preserve">Chaque niveau nourrit le suivant : une décision stratégique (« nous migrons vers le cloud ») se traduit en projets tactiques (choix du fournisseur, calendrier), puis en actions opérationnelles (migration effective, supervision post-migration). L'erreur la plus fréquente dans les petites structures est de fusionner ces niveaux : le même administrateur système décide seul de la stratégie, exécute et s'auto-valide, sans aucun regard extérieur ni traçabilité de la décision.</w:t>
      </w:r>
    </w:p>
    <w:p>
      <w:pPr>
        <w:pStyle w:val="Heading3"/>
        <w:spacing w:after="100" w:before="240"/>
      </w:pPr>
      <w:r>
        <w:rPr>
          <w:rFonts w:ascii="Arial" w:cs="Arial" w:eastAsia="Arial" w:hAnsi="Arial"/>
          <w:b/>
          <w:bCs/>
          <w:color w:val="2E75B6"/>
          <w:sz w:val="24"/>
          <w:szCs w:val="24"/>
        </w:rPr>
        <w:t xml:space="preserve">1.1.3 Prérequis organisationnels</w:t>
      </w:r>
    </w:p>
    <w:p>
      <w:pPr>
        <w:pStyle w:val="ListParagraph"/>
        <w:numPr>
          <w:ilvl w:val="0"/>
          <w:numId w:val="2"/>
        </w:numPr>
        <w:spacing w:after="80"/>
      </w:pPr>
      <w:r>
        <w:rPr>
          <w:rFonts w:ascii="Arial" w:cs="Arial" w:eastAsia="Arial" w:hAnsi="Arial"/>
          <w:sz w:val="22"/>
          <w:szCs w:val="22"/>
        </w:rPr>
        <w:t xml:space="preserve">Un sponsor identifié au sein de la direction, capable d'arbitrer entre équipes et de débloquer un budget</w:t>
      </w:r>
    </w:p>
    <w:p>
      <w:pPr>
        <w:pStyle w:val="ListParagraph"/>
        <w:numPr>
          <w:ilvl w:val="0"/>
          <w:numId w:val="2"/>
        </w:numPr>
        <w:spacing w:after="80"/>
      </w:pPr>
      <w:r>
        <w:rPr>
          <w:rFonts w:ascii="Arial" w:cs="Arial" w:eastAsia="Arial" w:hAnsi="Arial"/>
          <w:sz w:val="22"/>
          <w:szCs w:val="22"/>
        </w:rPr>
        <w:t xml:space="preserve">Une cartographie minimale des processus métier critiques (ce qui doit absolument fonctionner : facturation, réservation, paie...)</w:t>
      </w:r>
    </w:p>
    <w:p>
      <w:pPr>
        <w:pStyle w:val="ListParagraph"/>
        <w:numPr>
          <w:ilvl w:val="0"/>
          <w:numId w:val="2"/>
        </w:numPr>
        <w:spacing w:after="80"/>
      </w:pPr>
      <w:r>
        <w:rPr>
          <w:rFonts w:ascii="Arial" w:cs="Arial" w:eastAsia="Arial" w:hAnsi="Arial"/>
          <w:sz w:val="22"/>
          <w:szCs w:val="22"/>
        </w:rPr>
        <w:t xml:space="preserve">Un inventaire des systèmes existants, même sommaire, avant toute tentative de gouvernance formelle</w:t>
      </w:r>
    </w:p>
    <w:p>
      <w:pPr>
        <w:pStyle w:val="ListParagraph"/>
        <w:numPr>
          <w:ilvl w:val="0"/>
          <w:numId w:val="2"/>
        </w:numPr>
        <w:spacing w:after="80"/>
      </w:pPr>
      <w:r>
        <w:rPr>
          <w:rFonts w:ascii="Arial" w:cs="Arial" w:eastAsia="Arial" w:hAnsi="Arial"/>
          <w:sz w:val="22"/>
          <w:szCs w:val="22"/>
        </w:rPr>
        <w:t xml:space="preserve">Une culture d'entreprise qui tolère de documenter les décisions plutôt que de tout faire « à l'oral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40"/>
            </w:pPr>
            <w:r>
              <w:rPr>
                <w:rFonts w:ascii="Arial" w:cs="Arial" w:eastAsia="Arial" w:hAnsi="Arial"/>
                <w:b/>
                <w:bCs/>
                <w:color w:val="E65100"/>
                <w:sz w:val="21"/>
                <w:szCs w:val="21"/>
              </w:rPr>
              <w:t xml:space="preserve">⚠ ATTENTION</w:t>
            </w:r>
          </w:p>
          <w:p>
            <w:pPr>
              <w:spacing w:after="0"/>
            </w:pPr>
            <w:r>
              <w:rPr>
                <w:rFonts w:ascii="Arial" w:cs="Arial" w:eastAsia="Arial" w:hAnsi="Arial"/>
                <w:color w:val="000000"/>
                <w:sz w:val="21"/>
                <w:szCs w:val="21"/>
              </w:rPr>
              <w:t xml:space="preserve">Tenter d'imposer un cadre de gouvernance lourd (COBIT complet, ITIL intégral) dans une structure de moins de 20 personnes sans sponsor ni culture de documentation aboutit presque toujours à un cadre ignoré au bout de trois mois. Mieux vaut un cadre minimal réellement suivi qu'un cadre complet abandonné.</w:t>
            </w:r>
          </w:p>
        </w:tc>
      </w:tr>
    </w:tbl>
    <w:p>
      <w:pPr>
        <w:pStyle w:val="Heading3"/>
        <w:spacing w:after="100" w:before="240"/>
      </w:pPr>
      <w:r>
        <w:rPr>
          <w:rFonts w:ascii="Arial" w:cs="Arial" w:eastAsia="Arial" w:hAnsi="Arial"/>
          <w:b/>
          <w:bCs/>
          <w:color w:val="2E75B6"/>
          <w:sz w:val="24"/>
          <w:szCs w:val="24"/>
        </w:rPr>
        <w:t xml:space="preserve">1.1.4 Mise en œuvre étape par étape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Cartographier l'existant</w:t>
            </w:r>
          </w:p>
          <w:p>
            <w:pPr>
              <w:spacing w:after="0"/>
            </w:pPr>
            <w:r>
              <w:rPr>
                <w:rFonts w:ascii="Arial" w:cs="Arial" w:eastAsia="Arial" w:hAnsi="Arial"/>
                <w:sz w:val="21"/>
                <w:szCs w:val="21"/>
              </w:rPr>
              <w:t xml:space="preserve">Lister les systèmes, applications et infrastructures en place, avec leur criticité métier (impact si arrêt de 1h, 1 jour, 1 semaine).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Identifier les instances de décision</w:t>
            </w:r>
          </w:p>
          <w:p>
            <w:pPr>
              <w:spacing w:after="0"/>
            </w:pPr>
            <w:r>
              <w:rPr>
                <w:rFonts w:ascii="Arial" w:cs="Arial" w:eastAsia="Arial" w:hAnsi="Arial"/>
                <w:sz w:val="21"/>
                <w:szCs w:val="21"/>
              </w:rPr>
              <w:t xml:space="preserve">Définir qui valide un changement mineur, qui valide un changement majeur, qui arbitre en cas de désaccord.</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Choisir un cadre de référence adapté à la taille</w:t>
            </w:r>
          </w:p>
          <w:p>
            <w:pPr>
              <w:spacing w:after="0"/>
            </w:pPr>
            <w:r>
              <w:rPr>
                <w:rFonts w:ascii="Arial" w:cs="Arial" w:eastAsia="Arial" w:hAnsi="Arial"/>
                <w:sz w:val="21"/>
                <w:szCs w:val="21"/>
              </w:rPr>
              <w:t xml:space="preserve">Voir tableau comparatif ci-dessous. Ne jamais adopter un cadre dans son intégralité dès le départ.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Formaliser un nombre réduit de processus critiques</w:t>
            </w:r>
          </w:p>
          <w:p>
            <w:pPr>
              <w:spacing w:after="0"/>
            </w:pPr>
            <w:r>
              <w:rPr>
                <w:rFonts w:ascii="Arial" w:cs="Arial" w:eastAsia="Arial" w:hAnsi="Arial"/>
                <w:sz w:val="21"/>
                <w:szCs w:val="21"/>
              </w:rPr>
              <w:t xml:space="preserve">Commencer par la gestion des changements et la gestion des incidents (voir Partie X), les deux processus dont l'absence se paie le plus vite.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Mettre en place un tableau de bord minimal</w:t>
            </w:r>
          </w:p>
          <w:p>
            <w:pPr>
              <w:spacing w:after="0"/>
            </w:pPr>
            <w:r>
              <w:rPr>
                <w:rFonts w:ascii="Arial" w:cs="Arial" w:eastAsia="Arial" w:hAnsi="Arial"/>
                <w:sz w:val="21"/>
                <w:szCs w:val="21"/>
              </w:rPr>
              <w:t xml:space="preserve">Nombre d'incidents, temps de résolution moyen, changements planifiés vs. changements en urgence — quatre indicateurs suffisent pour démarrer.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6</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Réviser à échéance fixe</w:t>
            </w:r>
          </w:p>
          <w:p>
            <w:pPr>
              <w:spacing w:after="0"/>
            </w:pPr>
            <w:r>
              <w:rPr>
                <w:rFonts w:ascii="Arial" w:cs="Arial" w:eastAsia="Arial" w:hAnsi="Arial"/>
                <w:sz w:val="21"/>
                <w:szCs w:val="21"/>
              </w:rPr>
              <w:t xml:space="preserve">Revue trimestrielle du cadre : ce qui est suivi, ce qui est ignoré, ce qu'il faut simplifier.</w:t>
            </w:r>
          </w:p>
        </w:tc>
      </w:tr>
    </w:tbl>
    <w:p>
      <w:pPr>
        <w:pStyle w:val="Heading3"/>
        <w:spacing w:after="100" w:before="240"/>
      </w:pPr>
      <w:r>
        <w:rPr>
          <w:rFonts w:ascii="Arial" w:cs="Arial" w:eastAsia="Arial" w:hAnsi="Arial"/>
          <w:b/>
          <w:bCs/>
          <w:color w:val="2E75B6"/>
          <w:sz w:val="24"/>
          <w:szCs w:val="24"/>
        </w:rPr>
        <w:t xml:space="preserve">1.1.5 Configuration : choisir son cadre de référence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000"/>
        <w:gridCol w:w="2226"/>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Cadre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Objet principal</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Complexité</w:t>
            </w:r>
          </w:p>
        </w:tc>
        <w:tc>
          <w:tcPr>
            <w:tcW w:type="dxa" w:w="2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Adapté à</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ITIL v4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Gestion des services IT (incidents, changements, problèmes, catalogue de services)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Modulaire — adoptable par petits blocs</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Toute structure à partir de quelques dizaines de postes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COBIT 2019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Gouvernance et audit IT, alignement stratégique et conformité</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 — orienté grands groupes et audit externe</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Grandes entreprises, secteurs réglementés (banque, santé)</w:t>
            </w:r>
          </w:p>
        </w:tc>
      </w:tr>
      <w:tr>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TOGAF</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Architecture d'entreprise (urbanisation du SI à long terme)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Élevée</w:t>
            </w:r>
          </w:p>
        </w:tc>
        <w:tc>
          <w:tcPr>
            <w:tcW w:type="dxa" w:w="2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Organisations avec SI complexe multi-applicatif</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ISO/IEC 20000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Certification de la gestion des services IT (proche d'ITIL)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Élevée (démarche de certification)</w:t>
            </w:r>
          </w:p>
        </w:tc>
        <w:tc>
          <w:tcPr>
            <w:tcW w:type="dxa" w:w="2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Prestataires IT cherchant une certification formelle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Pour la majorité des PME et des prestataires comme Haitech Solutions, ITIL v4 adopté par blocs (gestion des incidents, des changements, catalogue de services) constitue le point d'entrée le plus réaliste. COBIT et TOGAF ne se justifient qu'à partir d'une taille ou d'une exigence réglementaire qui rendent l'audit externe obligatoire.</w:t>
            </w:r>
          </w:p>
        </w:tc>
      </w:tr>
    </w:tbl>
    <w:p>
      <w:pPr>
        <w:pStyle w:val="Heading3"/>
        <w:spacing w:after="100" w:before="240"/>
      </w:pPr>
      <w:r>
        <w:rPr>
          <w:rFonts w:ascii="Arial" w:cs="Arial" w:eastAsia="Arial" w:hAnsi="Arial"/>
          <w:b/>
          <w:bCs/>
          <w:color w:val="2E75B6"/>
          <w:sz w:val="24"/>
          <w:szCs w:val="24"/>
        </w:rPr>
        <w:t xml:space="preserve">1.1.6 Administration courante de la gouvernance</w:t>
      </w:r>
    </w:p>
    <w:p>
      <w:pPr>
        <w:spacing w:after="140"/>
      </w:pPr>
      <w:r>
        <w:rPr>
          <w:rFonts w:ascii="Arial" w:cs="Arial" w:eastAsia="Arial" w:hAnsi="Arial"/>
          <w:sz w:val="22"/>
          <w:szCs w:val="22"/>
        </w:rPr>
        <w:t xml:space="preserve">Une fois en place, la gouvernance se pilote via des instances récurrentes et des indicateurs stables dans le temps, pour permettre la comparaison d'une période à l'autre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600"/>
        <w:gridCol w:w="26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Instance</w:t>
            </w:r>
          </w:p>
        </w:tc>
        <w:tc>
          <w:tcPr>
            <w:tcW w:type="dxa" w:w="1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Participants</w:t>
            </w:r>
          </w:p>
        </w:tc>
        <w:tc>
          <w:tcPr>
            <w:tcW w:type="dxa" w:w="26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Objet</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Comité de pilotage IT</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Trimestrielle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Direction, DSI/RSI, chefs de projet</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Portefeuille de projets, budget, risques majeurs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Comité des changements (CAB)</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Hebdomadaire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technique, product owner métier</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Validation des changements à risque moyen/élevé</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Revue de sécurité</w:t>
            </w:r>
          </w:p>
        </w:tc>
        <w:tc>
          <w:tcPr>
            <w:tcW w:type="dxa" w:w="1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Mensuelle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RSSI ou référent sécurité, administrateur système</w:t>
            </w:r>
          </w:p>
        </w:tc>
        <w:tc>
          <w:tcPr>
            <w:tcW w:type="dxa" w:w="26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Vulnérabilités ouvertes, incidents de sécurité, correctifs en retard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Revue d'exploitation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Hebdomadaire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Équipe infrastructure</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Incidents en cours, capacité, alertes de supervision</w:t>
            </w:r>
          </w:p>
        </w:tc>
      </w:tr>
    </w:tbl>
    <w:p>
      <w:pPr>
        <w:pStyle w:val="Heading3"/>
        <w:spacing w:after="100" w:before="240"/>
      </w:pPr>
      <w:r>
        <w:rPr>
          <w:rFonts w:ascii="Arial" w:cs="Arial" w:eastAsia="Arial" w:hAnsi="Arial"/>
          <w:b/>
          <w:bCs/>
          <w:color w:val="2E75B6"/>
          <w:sz w:val="24"/>
          <w:szCs w:val="24"/>
        </w:rPr>
        <w:t xml:space="preserve">1.1.7 Outils et artefacts clés</w:t>
      </w:r>
    </w:p>
    <w:p>
      <w:pPr>
        <w:pStyle w:val="ListParagraph"/>
        <w:numPr>
          <w:ilvl w:val="0"/>
          <w:numId w:val="2"/>
        </w:numPr>
        <w:spacing w:after="80"/>
      </w:pPr>
      <w:r>
        <w:rPr>
          <w:rFonts w:ascii="Arial" w:cs="Arial" w:eastAsia="Arial" w:hAnsi="Arial"/>
          <w:sz w:val="22"/>
          <w:szCs w:val="22"/>
        </w:rPr>
        <w:t xml:space="preserve">Registre des risques IT (feuille de calcul suffit au démarrage, outil GRC ensuite)</w:t>
      </w:r>
    </w:p>
    <w:p>
      <w:pPr>
        <w:pStyle w:val="ListParagraph"/>
        <w:numPr>
          <w:ilvl w:val="0"/>
          <w:numId w:val="2"/>
        </w:numPr>
        <w:spacing w:after="80"/>
      </w:pPr>
      <w:r>
        <w:rPr>
          <w:rFonts w:ascii="Arial" w:cs="Arial" w:eastAsia="Arial" w:hAnsi="Arial"/>
          <w:sz w:val="22"/>
          <w:szCs w:val="22"/>
        </w:rPr>
        <w:t xml:space="preserve">Schéma directeur informatique (document de 5 à 15 pages, révisé annuellement)</w:t>
      </w:r>
    </w:p>
    <w:p>
      <w:pPr>
        <w:pStyle w:val="ListParagraph"/>
        <w:numPr>
          <w:ilvl w:val="0"/>
          <w:numId w:val="2"/>
        </w:numPr>
        <w:spacing w:after="80"/>
      </w:pPr>
      <w:r>
        <w:rPr>
          <w:rFonts w:ascii="Arial" w:cs="Arial" w:eastAsia="Arial" w:hAnsi="Arial"/>
          <w:sz w:val="22"/>
          <w:szCs w:val="22"/>
        </w:rPr>
        <w:t xml:space="preserve">Charte des changements (qui peut valider quoi, voir Partie X)</w:t>
      </w:r>
    </w:p>
    <w:p>
      <w:pPr>
        <w:pStyle w:val="ListParagraph"/>
        <w:numPr>
          <w:ilvl w:val="0"/>
          <w:numId w:val="2"/>
        </w:numPr>
        <w:spacing w:after="80"/>
      </w:pPr>
      <w:r>
        <w:rPr>
          <w:rFonts w:ascii="Arial" w:cs="Arial" w:eastAsia="Arial" w:hAnsi="Arial"/>
          <w:sz w:val="22"/>
          <w:szCs w:val="22"/>
        </w:rPr>
        <w:t xml:space="preserve">Tableau de bord d'indicateurs (nombre d'incidents, MTTR, taux de conformité des correctifs)</w:t>
      </w:r>
    </w:p>
    <w:p>
      <w:pPr>
        <w:pStyle w:val="ListParagraph"/>
        <w:numPr>
          <w:ilvl w:val="0"/>
          <w:numId w:val="2"/>
        </w:numPr>
        <w:spacing w:after="80"/>
      </w:pPr>
      <w:r>
        <w:rPr>
          <w:rFonts w:ascii="Arial" w:cs="Arial" w:eastAsia="Arial" w:hAnsi="Arial"/>
          <w:sz w:val="22"/>
          <w:szCs w:val="22"/>
        </w:rPr>
        <w:t xml:space="preserve">Politique de sécurité de l'information (document cadre, voir Partie XI)</w:t>
      </w:r>
    </w:p>
    <w:p>
      <w:pPr>
        <w:pStyle w:val="Heading3"/>
        <w:spacing w:after="100" w:before="240"/>
      </w:pPr>
      <w:r>
        <w:rPr>
          <w:rFonts w:ascii="Arial" w:cs="Arial" w:eastAsia="Arial" w:hAnsi="Arial"/>
          <w:b/>
          <w:bCs/>
          <w:color w:val="2E75B6"/>
          <w:sz w:val="24"/>
          <w:szCs w:val="24"/>
        </w:rPr>
        <w:t xml:space="preserve">1.1.8 Bonnes pratiques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80"/>
            </w:pPr>
            <w:r>
              <w:rPr>
                <w:rFonts w:ascii="Arial" w:cs="Arial" w:eastAsia="Arial" w:hAnsi="Arial"/>
                <w:b/>
                <w:bCs/>
                <w:color w:val="2D7D32"/>
                <w:sz w:val="21"/>
                <w:szCs w:val="21"/>
              </w:rPr>
              <w:t xml:space="preserve">💡 À appliquer systématiquement</w:t>
            </w:r>
          </w:p>
          <w:p>
            <w:pPr>
              <w:spacing w:after="60"/>
            </w:pPr>
            <w:r>
              <w:rPr>
                <w:rFonts w:ascii="Arial" w:cs="Arial" w:eastAsia="Arial" w:hAnsi="Arial"/>
                <w:sz w:val="21"/>
                <w:szCs w:val="21"/>
              </w:rPr>
              <w:t xml:space="preserve">  • Documenter chaque décision structurante avec sa date, son auteur et sa justification, même de façon minimale</w:t>
            </w:r>
          </w:p>
          <w:p>
            <w:pPr>
              <w:spacing w:after="60"/>
            </w:pPr>
            <w:r>
              <w:rPr>
                <w:rFonts w:ascii="Arial" w:cs="Arial" w:eastAsia="Arial" w:hAnsi="Arial"/>
                <w:sz w:val="21"/>
                <w:szCs w:val="21"/>
              </w:rPr>
              <w:t xml:space="preserve">  • Limiter le nombre d'indicateurs suivis à ce qui est réellement exploité — un tableau de bord surchargé finit ignoré</w:t>
            </w:r>
          </w:p>
          <w:p>
            <w:pPr>
              <w:spacing w:after="60"/>
            </w:pPr>
            <w:r>
              <w:rPr>
                <w:rFonts w:ascii="Arial" w:cs="Arial" w:eastAsia="Arial" w:hAnsi="Arial"/>
                <w:sz w:val="21"/>
                <w:szCs w:val="21"/>
              </w:rPr>
              <w:t xml:space="preserve">  • Faire correspondre chaque système critique à un propriétaire métier identifié, pas seulement à un administrateur technique</w:t>
            </w:r>
          </w:p>
          <w:p>
            <w:pPr>
              <w:spacing w:after="0"/>
            </w:pPr>
            <w:r>
              <w:rPr>
                <w:rFonts w:ascii="Arial" w:cs="Arial" w:eastAsia="Arial" w:hAnsi="Arial"/>
                <w:sz w:val="21"/>
                <w:szCs w:val="21"/>
              </w:rPr>
              <w:t xml:space="preserve">  • Réviser le cadre de gouvernance au moins une fois par an, en particulier après un incident majeur</w:t>
            </w:r>
          </w:p>
        </w:tc>
      </w:tr>
    </w:tbl>
    <w:p>
      <w:pPr>
        <w:pStyle w:val="Heading3"/>
        <w:spacing w:after="100" w:before="240"/>
      </w:pPr>
      <w:r>
        <w:rPr>
          <w:rFonts w:ascii="Arial" w:cs="Arial" w:eastAsia="Arial" w:hAnsi="Arial"/>
          <w:b/>
          <w:bCs/>
          <w:color w:val="2E75B6"/>
          <w:sz w:val="24"/>
          <w:szCs w:val="24"/>
        </w:rPr>
        <w:t xml:space="preserve">1.1.9 Erreurs courantes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À éviter</w:t>
            </w:r>
          </w:p>
          <w:p>
            <w:pPr>
              <w:spacing w:after="60"/>
            </w:pPr>
            <w:r>
              <w:rPr>
                <w:rFonts w:ascii="Arial" w:cs="Arial" w:eastAsia="Arial" w:hAnsi="Arial"/>
                <w:sz w:val="21"/>
                <w:szCs w:val="21"/>
              </w:rPr>
              <w:t xml:space="preserve">  • Copier intégralement un cadre lourd (COBIT, ITIL complet) sans l'adapter à la taille réelle de la structure</w:t>
            </w:r>
          </w:p>
          <w:p>
            <w:pPr>
              <w:spacing w:after="60"/>
            </w:pPr>
            <w:r>
              <w:rPr>
                <w:rFonts w:ascii="Arial" w:cs="Arial" w:eastAsia="Arial" w:hAnsi="Arial"/>
                <w:sz w:val="21"/>
                <w:szCs w:val="21"/>
              </w:rPr>
              <w:t xml:space="preserve">  • Confier la gouvernance et l'exécution technique à la même personne sans aucun regard croisé</w:t>
            </w:r>
          </w:p>
          <w:p>
            <w:pPr>
              <w:spacing w:after="60"/>
            </w:pPr>
            <w:r>
              <w:rPr>
                <w:rFonts w:ascii="Arial" w:cs="Arial" w:eastAsia="Arial" w:hAnsi="Arial"/>
                <w:sz w:val="21"/>
                <w:szCs w:val="21"/>
              </w:rPr>
              <w:t xml:space="preserve">  • Ne documenter la gouvernance qu'au moment d'un audit, puis abandonner la pratique ensuite</w:t>
            </w:r>
          </w:p>
          <w:p>
            <w:pPr>
              <w:spacing w:after="0"/>
            </w:pPr>
            <w:r>
              <w:rPr>
                <w:rFonts w:ascii="Arial" w:cs="Arial" w:eastAsia="Arial" w:hAnsi="Arial"/>
                <w:sz w:val="21"/>
                <w:szCs w:val="21"/>
              </w:rPr>
              <w:t xml:space="preserve">  • Multiplier les comités sans lien réel entre eux, créant de la charge sans valeur ajoutée</w:t>
            </w:r>
          </w:p>
        </w:tc>
      </w:tr>
    </w:tbl>
    <w:p>
      <w:pPr>
        <w:pStyle w:val="Heading3"/>
        <w:spacing w:after="100" w:before="240"/>
      </w:pPr>
      <w:r>
        <w:rPr>
          <w:rFonts w:ascii="Arial" w:cs="Arial" w:eastAsia="Arial" w:hAnsi="Arial"/>
          <w:b/>
          <w:bCs/>
          <w:color w:val="2E75B6"/>
          <w:sz w:val="24"/>
          <w:szCs w:val="24"/>
        </w:rPr>
        <w:t xml:space="preserve">1.1.10 Résolution des blocages organisationnels</w:t>
      </w:r>
    </w:p>
    <w:p>
      <w:pPr>
        <w:spacing w:after="140"/>
      </w:pPr>
      <w:r>
        <w:rPr>
          <w:rFonts w:ascii="Arial" w:cs="Arial" w:eastAsia="Arial" w:hAnsi="Arial"/>
          <w:sz w:val="22"/>
          <w:szCs w:val="22"/>
        </w:rPr>
        <w:t xml:space="preserve">Les blocages de gouvernance ne se « dépannent » pas comme un serveur, mais suivent une logique de diagnostic similaire : identifier le symptôme, remonter à la cause racine, corriger la cause plutôt que le symptôme.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2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 observé</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racine probable</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Action corrective</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Les changements techniques se font sans validation</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Absence de comité des changements ou comité non respecté</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Formaliser un CAB léger, même hebdomadaire et court (30 min)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Personne ne sait qui décide en cas de panne majeure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Absence de plan d'astreinte et de matrice de décision</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Rédiger une matrice RACI de crise (voir 1.2)</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Le budget IT est systématiquement dépassé</w:t>
            </w:r>
          </w:p>
        </w:tc>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Absence de portefeuille de projets priorisé</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Mettre en place une revue trimestrielle du portefeuille</w:t>
            </w:r>
          </w:p>
        </w:tc>
      </w:tr>
    </w:tbl>
    <w:p>
      <w:pPr>
        <w:pStyle w:val="Heading3"/>
        <w:spacing w:after="100" w:before="240"/>
      </w:pPr>
      <w:r>
        <w:rPr>
          <w:rFonts w:ascii="Arial" w:cs="Arial" w:eastAsia="Arial" w:hAnsi="Arial"/>
          <w:b/>
          <w:bCs/>
          <w:color w:val="2E75B6"/>
          <w:sz w:val="24"/>
          <w:szCs w:val="24"/>
        </w:rPr>
        <w:t xml:space="preserve">1.1.11 Recommandations de sécurité liées à la gouvernance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A1B9A" w:sz="4"/>
              <w:left w:val="single" w:color="6A1B9A" w:sz="12"/>
              <w:bottom w:val="single" w:color="6A1B9A" w:sz="4"/>
              <w:right w:val="single" w:color="6A1B9A" w:sz="4"/>
            </w:tcBorders>
            <w:shd w:fill="F3E5F5" w:val="clear"/>
            <w:tcMar>
              <w:top w:type="dxa" w:w="120"/>
              <w:left w:type="dxa" w:w="180"/>
              <w:bottom w:type="dxa" w:w="120"/>
              <w:right w:type="dxa" w:w="180"/>
            </w:tcMar>
          </w:tcPr>
          <w:p>
            <w:pPr>
              <w:spacing w:after="40"/>
            </w:pPr>
            <w:r>
              <w:rPr>
                <w:rFonts w:ascii="Arial" w:cs="Arial" w:eastAsia="Arial" w:hAnsi="Arial"/>
                <w:b/>
                <w:bCs/>
                <w:color w:val="6A1B9A"/>
                <w:sz w:val="21"/>
                <w:szCs w:val="21"/>
              </w:rPr>
              <w:t xml:space="preserve">🔒 SÉCURITÉ</w:t>
            </w:r>
          </w:p>
          <w:p>
            <w:pPr>
              <w:spacing w:after="0"/>
            </w:pPr>
            <w:r>
              <w:rPr>
                <w:rFonts w:ascii="Arial" w:cs="Arial" w:eastAsia="Arial" w:hAnsi="Arial"/>
                <w:color w:val="000000"/>
                <w:sz w:val="21"/>
                <w:szCs w:val="21"/>
              </w:rPr>
              <w:t xml:space="preserve">La gouvernance de la sécurité doit être visible au niveau du comité de pilotage IT, pas reléguée à un sujet purement technique. Un incident de sécurité majeur (fuite de données, ransomware) engage la responsabilité de la direction, pas seulement de l'administrateur système — la gouvernance sert précisément à documenter que les décisions de risque ont été prises en connaissance de cause, au bon niveau hiérarchique.</w:t>
            </w:r>
          </w:p>
        </w:tc>
      </w:tr>
    </w:tbl>
    <w:p>
      <w:pPr>
        <w:pStyle w:val="Heading3"/>
        <w:spacing w:after="100" w:before="240"/>
      </w:pPr>
      <w:r>
        <w:rPr>
          <w:rFonts w:ascii="Arial" w:cs="Arial" w:eastAsia="Arial" w:hAnsi="Arial"/>
          <w:b/>
          <w:bCs/>
          <w:color w:val="2E75B6"/>
          <w:sz w:val="24"/>
          <w:szCs w:val="24"/>
        </w:rPr>
        <w:t xml:space="preserve">1.1.12 Cas pratique — Haitech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D6E00" w:sz="4"/>
              <w:left w:val="single" w:color="8D6E00" w:sz="12"/>
              <w:bottom w:val="single" w:color="8D6E00" w:sz="4"/>
              <w:right w:val="single" w:color="8D6E00" w:sz="4"/>
            </w:tcBorders>
            <w:shd w:fill="FFF8E1" w:val="clear"/>
            <w:tcMar>
              <w:top w:type="dxa" w:w="120"/>
              <w:left w:type="dxa" w:w="180"/>
              <w:bottom w:type="dxa" w:w="120"/>
              <w:right w:type="dxa" w:w="180"/>
            </w:tcMar>
          </w:tcPr>
          <w:p>
            <w:pPr>
              <w:spacing w:after="40"/>
            </w:pPr>
            <w:r>
              <w:rPr>
                <w:rFonts w:ascii="Arial" w:cs="Arial" w:eastAsia="Arial" w:hAnsi="Arial"/>
                <w:b/>
                <w:bCs/>
                <w:color w:val="8D6E00"/>
                <w:sz w:val="21"/>
                <w:szCs w:val="21"/>
              </w:rPr>
              <w:t xml:space="preserve">📌 CAS PRATIQUE</w:t>
            </w:r>
          </w:p>
          <w:p>
            <w:pPr>
              <w:spacing w:after="0"/>
            </w:pPr>
            <w:r>
              <w:rPr>
                <w:rFonts w:ascii="Arial" w:cs="Arial" w:eastAsia="Arial" w:hAnsi="Arial"/>
                <w:color w:val="000000"/>
                <w:sz w:val="21"/>
                <w:szCs w:val="21"/>
              </w:rPr>
              <w:t xml:space="preserve">Sur les projets OTELA (PMS hôtelier multi-établissements) et ANTENN (régie de diffusion), le donneur d'ordre exprime ses besoins via des cahiers des charges détaillés, validés point par point plutôt que traités comme un bloc. C'est déjà une forme de gouvernance légère et efficace : chaque tranche de développement correspond à une décision explicite et tracée (« quel chantier prioriser ensuite »), avec un historique complet des choix effectués. En reproduisant ce principe à l'échelle de l'exploitation — un comité léger qui décide explicitement des priorités d'infrastructure plutôt que de laisser l'administrateur système arbitrer seul — Haitech Solutions peut faire évoluer cette pratique projet en véritable gouvernance IT sans changer fondamentalement de méthode de travail.</w:t>
            </w:r>
          </w:p>
        </w:tc>
      </w:tr>
    </w:tbl>
    <w:p>
      <w:r>
        <w:br w:type="page"/>
      </w:r>
    </w:p>
    <w:p>
      <w:pPr>
        <w:pStyle w:val="Heading2"/>
        <w:spacing w:after="120" w:before="320"/>
      </w:pPr>
      <w:r>
        <w:rPr>
          <w:rFonts w:ascii="Arial" w:cs="Arial" w:eastAsia="Arial" w:hAnsi="Arial"/>
          <w:b/>
          <w:bCs/>
          <w:color w:val="1F4E79"/>
          <w:sz w:val="28"/>
          <w:szCs w:val="28"/>
        </w:rPr>
        <w:t xml:space="preserve">1.2 Rôles et responsabilités de l'administrateur système</w:t>
      </w:r>
    </w:p>
    <w:p>
      <w:pPr>
        <w:pStyle w:val="Heading3"/>
        <w:spacing w:after="100" w:before="240"/>
      </w:pPr>
      <w:r>
        <w:rPr>
          <w:rFonts w:ascii="Arial" w:cs="Arial" w:eastAsia="Arial" w:hAnsi="Arial"/>
          <w:b/>
          <w:bCs/>
          <w:color w:val="2E75B6"/>
          <w:sz w:val="24"/>
          <w:szCs w:val="24"/>
        </w:rPr>
        <w:t xml:space="preserve">1.2.1 Rôle de la fonction</w:t>
      </w:r>
    </w:p>
    <w:p>
      <w:pPr>
        <w:spacing w:after="140"/>
      </w:pPr>
      <w:r>
        <w:rPr>
          <w:rFonts w:ascii="Arial" w:cs="Arial" w:eastAsia="Arial" w:hAnsi="Arial"/>
          <w:sz w:val="22"/>
          <w:szCs w:val="22"/>
        </w:rPr>
        <w:t xml:space="preserve">L'administrateur système est responsable de la disponibilité, de la performance, de la sécurité et de l'intégrité des systèmes informatiques d'une organisation. Ce rôle se situe à l'intersection de plusieurs disciplines : réseau, systèmes d'exploitation, sécurité, sauvegarde, et de plus en plus, automatisation et cloud. Contrairement à une idée reçue, la valeur de ce rôle ne se mesure pas au nombre de systèmes maîtrisés techniquement, mais à la fiabilité perçue par les utilisateurs métier : un bon administrateur système est largement invisible quand tout fonctionne, et extrêmement visible — et jugé — au moment d'un incident.</w:t>
      </w:r>
    </w:p>
    <w:p>
      <w:pPr>
        <w:pStyle w:val="Heading3"/>
        <w:spacing w:after="100" w:before="240"/>
      </w:pPr>
      <w:r>
        <w:rPr>
          <w:rFonts w:ascii="Arial" w:cs="Arial" w:eastAsia="Arial" w:hAnsi="Arial"/>
          <w:b/>
          <w:bCs/>
          <w:color w:val="2E75B6"/>
          <w:sz w:val="24"/>
          <w:szCs w:val="24"/>
        </w:rPr>
        <w:t xml:space="preserve">1.2.2 Fonctionnement : la matrice de responsabilités</w:t>
      </w:r>
    </w:p>
    <w:p>
      <w:pPr>
        <w:spacing w:after="140"/>
      </w:pPr>
      <w:r>
        <w:rPr>
          <w:rFonts w:ascii="Arial" w:cs="Arial" w:eastAsia="Arial" w:hAnsi="Arial"/>
          <w:sz w:val="22"/>
          <w:szCs w:val="22"/>
        </w:rPr>
        <w:t xml:space="preserve">Dans une petite structure, une seule personne peut cumuler tous les rôles ci-dessous. Dans une structure plus grande, ils se répartissent entre plusieurs profils. Formaliser cette matrice — même à une seule personne — évite les zones d'ombre où « personne ne savait que c'était à faire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1600"/>
        <w:gridCol w:w="14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Domaine</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Responsable (R)</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Accountable (A)</w:t>
            </w:r>
          </w:p>
        </w:tc>
        <w:tc>
          <w:tcPr>
            <w:tcW w:type="dxa" w:w="1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Consulté (C)</w:t>
            </w:r>
          </w:p>
        </w:tc>
        <w:tc>
          <w:tcPr>
            <w:tcW w:type="dxa" w:w="14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Informé (I)</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Disponibilité des serveurs</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Administrateur système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DSI / RSI</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Éditeurs, hébergeur</w:t>
            </w:r>
          </w:p>
        </w:tc>
        <w:tc>
          <w:tcPr>
            <w:tcW w:type="dxa" w:w="1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Sauvegardes et restauration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 système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DSI / RSI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Direction, utilisateurs concernés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Sécurité périmétrique (pare-feu, VPN)</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Administrateur système / réseau</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RSSI ou DSI</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Prestataire sécurité externe</w:t>
            </w:r>
          </w:p>
        </w:tc>
        <w:tc>
          <w:tcPr>
            <w:tcW w:type="dxa" w:w="1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Gestion des comptes utilisateurs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 système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RH (création/départ)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Manager du salarié</w:t>
            </w:r>
          </w:p>
        </w:tc>
        <w:tc>
          <w:tcPr>
            <w:tcW w:type="dxa" w:w="1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Continuité d'activité (PCA/PRA)</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Administrateur système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Direction générale</w:t>
            </w:r>
          </w:p>
        </w:tc>
        <w:tc>
          <w:tcPr>
            <w:tcW w:type="dxa" w:w="1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Métiers critiques</w:t>
            </w:r>
          </w:p>
        </w:tc>
        <w:tc>
          <w:tcPr>
            <w:tcW w:type="dxa" w:w="14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Tout le personnel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565C0" w:sz="4"/>
              <w:left w:val="single" w:color="1565C0" w:sz="12"/>
              <w:bottom w:val="single" w:color="1565C0" w:sz="4"/>
              <w:right w:val="single" w:color="1565C0" w:sz="4"/>
            </w:tcBorders>
            <w:shd w:fill="E3F2FD" w:val="clear"/>
            <w:tcMar>
              <w:top w:type="dxa" w:w="120"/>
              <w:left w:type="dxa" w:w="180"/>
              <w:bottom w:type="dxa" w:w="120"/>
              <w:right w:type="dxa" w:w="180"/>
            </w:tcMar>
          </w:tcPr>
          <w:p>
            <w:pPr>
              <w:spacing w:after="40"/>
            </w:pPr>
            <w:r>
              <w:rPr>
                <w:rFonts w:ascii="Arial" w:cs="Arial" w:eastAsia="Arial" w:hAnsi="Arial"/>
                <w:b/>
                <w:bCs/>
                <w:color w:val="1565C0"/>
                <w:sz w:val="21"/>
                <w:szCs w:val="21"/>
              </w:rPr>
              <w:t xml:space="preserve">ℹ À SAVOIR</w:t>
            </w:r>
          </w:p>
          <w:p>
            <w:pPr>
              <w:spacing w:after="0"/>
            </w:pPr>
            <w:r>
              <w:rPr>
                <w:rFonts w:ascii="Arial" w:cs="Arial" w:eastAsia="Arial" w:hAnsi="Arial"/>
                <w:color w:val="000000"/>
                <w:sz w:val="21"/>
                <w:szCs w:val="21"/>
              </w:rPr>
              <w:t xml:space="preserve">Cette matrice RACI (Responsible, Accountable, Consulted, Informed) est l'outil central de ce chapitre : R exécute, A rend des comptes et valide, C est consulté avant décision, I est informé après. Un même domaine ne doit jamais avoir deux « A » — cela crée systématiquement des conflits d'arbitrage.</w:t>
            </w:r>
          </w:p>
        </w:tc>
      </w:tr>
    </w:tbl>
    <w:p>
      <w:pPr>
        <w:pStyle w:val="Heading3"/>
        <w:spacing w:after="100" w:before="240"/>
      </w:pPr>
      <w:r>
        <w:rPr>
          <w:rFonts w:ascii="Arial" w:cs="Arial" w:eastAsia="Arial" w:hAnsi="Arial"/>
          <w:b/>
          <w:bCs/>
          <w:color w:val="2E75B6"/>
          <w:sz w:val="24"/>
          <w:szCs w:val="24"/>
        </w:rPr>
        <w:t xml:space="preserve">1.2.3 Prérequis pour exercer la fonction</w:t>
      </w:r>
    </w:p>
    <w:p>
      <w:pPr>
        <w:pStyle w:val="ListParagraph"/>
        <w:numPr>
          <w:ilvl w:val="0"/>
          <w:numId w:val="2"/>
        </w:numPr>
        <w:spacing w:after="80"/>
      </w:pPr>
      <w:r>
        <w:rPr>
          <w:rFonts w:ascii="Arial" w:cs="Arial" w:eastAsia="Arial" w:hAnsi="Arial"/>
          <w:sz w:val="22"/>
          <w:szCs w:val="22"/>
        </w:rPr>
        <w:t xml:space="preserve">Connaissances techniques transverses : réseau, systèmes Windows/Linux, virtualisation, sécurité de base</w:t>
      </w:r>
    </w:p>
    <w:p>
      <w:pPr>
        <w:pStyle w:val="ListParagraph"/>
        <w:numPr>
          <w:ilvl w:val="0"/>
          <w:numId w:val="2"/>
        </w:numPr>
        <w:spacing w:after="80"/>
      </w:pPr>
      <w:r>
        <w:rPr>
          <w:rFonts w:ascii="Arial" w:cs="Arial" w:eastAsia="Arial" w:hAnsi="Arial"/>
          <w:sz w:val="22"/>
          <w:szCs w:val="22"/>
        </w:rPr>
        <w:t xml:space="preserve">Capacité à documenter et à transmettre (voir 1.4) — la compétence individuelle ne suffit pas si elle n'est pas transmissible</w:t>
      </w:r>
    </w:p>
    <w:p>
      <w:pPr>
        <w:pStyle w:val="ListParagraph"/>
        <w:numPr>
          <w:ilvl w:val="0"/>
          <w:numId w:val="2"/>
        </w:numPr>
        <w:spacing w:after="80"/>
      </w:pPr>
      <w:r>
        <w:rPr>
          <w:rFonts w:ascii="Arial" w:cs="Arial" w:eastAsia="Arial" w:hAnsi="Arial"/>
          <w:sz w:val="22"/>
          <w:szCs w:val="22"/>
        </w:rPr>
        <w:t xml:space="preserve">Rigueur procédurale, en particulier sur les changements en production</w:t>
      </w:r>
    </w:p>
    <w:p>
      <w:pPr>
        <w:pStyle w:val="ListParagraph"/>
        <w:numPr>
          <w:ilvl w:val="0"/>
          <w:numId w:val="2"/>
        </w:numPr>
        <w:spacing w:after="80"/>
      </w:pPr>
      <w:r>
        <w:rPr>
          <w:rFonts w:ascii="Arial" w:cs="Arial" w:eastAsia="Arial" w:hAnsi="Arial"/>
          <w:sz w:val="22"/>
          <w:szCs w:val="22"/>
        </w:rPr>
        <w:t xml:space="preserve">Compréhension a minima des enjeux métier de l'organisation, pour prioriser correctement en cas d'incident</w:t>
      </w:r>
    </w:p>
    <w:p>
      <w:pPr>
        <w:pStyle w:val="Heading3"/>
        <w:spacing w:after="100" w:before="240"/>
      </w:pPr>
      <w:r>
        <w:rPr>
          <w:rFonts w:ascii="Arial" w:cs="Arial" w:eastAsia="Arial" w:hAnsi="Arial"/>
          <w:b/>
          <w:bCs/>
          <w:color w:val="2E75B6"/>
          <w:sz w:val="24"/>
          <w:szCs w:val="24"/>
        </w:rPr>
        <w:t xml:space="preserve">1.2.4 Mise en place du rôle dans une nouvelle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Réaliser un état des lieux</w:t>
            </w:r>
          </w:p>
          <w:p>
            <w:pPr>
              <w:spacing w:after="0"/>
            </w:pPr>
            <w:r>
              <w:rPr>
                <w:rFonts w:ascii="Arial" w:cs="Arial" w:eastAsia="Arial" w:hAnsi="Arial"/>
                <w:sz w:val="21"/>
                <w:szCs w:val="21"/>
              </w:rPr>
              <w:t xml:space="preserve">Inventaire des systèmes existants, des accès, des mots de passe hérités (voir 1.5).</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Sécuriser les accès administrateur</w:t>
            </w:r>
          </w:p>
          <w:p>
            <w:pPr>
              <w:spacing w:after="0"/>
            </w:pPr>
            <w:r>
              <w:rPr>
                <w:rFonts w:ascii="Arial" w:cs="Arial" w:eastAsia="Arial" w:hAnsi="Arial"/>
                <w:sz w:val="21"/>
                <w:szCs w:val="21"/>
              </w:rPr>
              <w:t xml:space="preserve">Reprendre le contrôle exclusif des comptes à privilèges avant toute autre action (voir Partie XI).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Établir la matrice RACI</w:t>
            </w:r>
          </w:p>
          <w:p>
            <w:pPr>
              <w:spacing w:after="0"/>
            </w:pPr>
            <w:r>
              <w:rPr>
                <w:rFonts w:ascii="Arial" w:cs="Arial" w:eastAsia="Arial" w:hAnsi="Arial"/>
                <w:sz w:val="21"/>
                <w:szCs w:val="21"/>
              </w:rPr>
              <w:t xml:space="preserve">Même minimale, formaliser qui décide de quoi dès les premières semaines.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Définir le périmètre d'astreinte</w:t>
            </w:r>
          </w:p>
          <w:p>
            <w:pPr>
              <w:spacing w:after="0"/>
            </w:pPr>
            <w:r>
              <w:rPr>
                <w:rFonts w:ascii="Arial" w:cs="Arial" w:eastAsia="Arial" w:hAnsi="Arial"/>
                <w:sz w:val="21"/>
                <w:szCs w:val="21"/>
              </w:rPr>
              <w:t xml:space="preserve">Horaires couverts, procédure d'escalade, seuils de criticité déclenchant une intervention hors heures ouvrées.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Mettre en place les outils de base</w:t>
            </w:r>
          </w:p>
          <w:p>
            <w:pPr>
              <w:spacing w:after="0"/>
            </w:pPr>
            <w:r>
              <w:rPr>
                <w:rFonts w:ascii="Arial" w:cs="Arial" w:eastAsia="Arial" w:hAnsi="Arial"/>
                <w:sz w:val="21"/>
                <w:szCs w:val="21"/>
              </w:rPr>
              <w:t xml:space="preserve">Système de tickets, dépôt de documentation, gestionnaire de mots de passe partagé.</w:t>
            </w:r>
          </w:p>
        </w:tc>
      </w:tr>
    </w:tbl>
    <w:p>
      <w:pPr>
        <w:pStyle w:val="Heading3"/>
        <w:spacing w:after="100" w:before="240"/>
      </w:pPr>
      <w:r>
        <w:rPr>
          <w:rFonts w:ascii="Arial" w:cs="Arial" w:eastAsia="Arial" w:hAnsi="Arial"/>
          <w:b/>
          <w:bCs/>
          <w:color w:val="2E75B6"/>
          <w:sz w:val="24"/>
          <w:szCs w:val="24"/>
        </w:rPr>
        <w:t xml:space="preserve">1.2.5 Profils et niveaux de séniorité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2826"/>
      </w:tblGrid>
      <w:tr>
        <w:trPr>
          <w:tblHeader/>
        </w:trPr>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Niveau</w:t>
            </w:r>
          </w:p>
        </w:tc>
        <w:tc>
          <w:tcPr>
            <w:tcW w:type="dxa" w:w="3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Périmètre typique</w:t>
            </w:r>
          </w:p>
        </w:tc>
        <w:tc>
          <w:tcPr>
            <w:tcW w:type="dxa" w:w="28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Autonomie de décision</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Junior / Support N1</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Assistance utilisateurs, tickets simples, exécution de procédures documentées</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Faible — escalade systématique au-delà du connu</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 système confirmé</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Exploitation quotidienne, changements standards, diagnostic de niveau 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Moyenne — décide seul dans le cadre validé</w:t>
            </w:r>
          </w:p>
        </w:tc>
      </w:tr>
      <w:tr>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Administrateur système senior / Lead</w:t>
            </w:r>
          </w:p>
        </w:tc>
        <w:tc>
          <w:tcPr>
            <w:tcW w:type="dxa" w:w="3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Architecture, changements majeurs, astreinte de dernier niveau</w:t>
            </w:r>
          </w:p>
        </w:tc>
        <w:tc>
          <w:tcPr>
            <w:tcW w:type="dxa" w:w="28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Élevée — arbitre les cas non couverts par les procédures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 infrastructure / DSI</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Stratégie, budget, gouvernance (voir 1.1)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Décisionnelle sur les investissements</w:t>
            </w:r>
          </w:p>
        </w:tc>
      </w:tr>
    </w:tbl>
    <w:p>
      <w:pPr>
        <w:pStyle w:val="Heading3"/>
        <w:spacing w:after="100" w:before="240"/>
      </w:pPr>
      <w:r>
        <w:rPr>
          <w:rFonts w:ascii="Arial" w:cs="Arial" w:eastAsia="Arial" w:hAnsi="Arial"/>
          <w:b/>
          <w:bCs/>
          <w:color w:val="2E75B6"/>
          <w:sz w:val="24"/>
          <w:szCs w:val="24"/>
        </w:rPr>
        <w:t xml:space="preserve">1.2.6 Administration courante du rôle</w:t>
      </w:r>
    </w:p>
    <w:p>
      <w:pPr>
        <w:pStyle w:val="ListParagraph"/>
        <w:numPr>
          <w:ilvl w:val="0"/>
          <w:numId w:val="2"/>
        </w:numPr>
        <w:spacing w:after="80"/>
      </w:pPr>
      <w:r>
        <w:rPr>
          <w:rFonts w:ascii="Arial" w:cs="Arial" w:eastAsia="Arial" w:hAnsi="Arial"/>
          <w:sz w:val="22"/>
          <w:szCs w:val="22"/>
        </w:rPr>
        <w:t xml:space="preserve">Revue hebdomadaire des tickets ouverts et des incidents récurrents</w:t>
      </w:r>
    </w:p>
    <w:p>
      <w:pPr>
        <w:pStyle w:val="ListParagraph"/>
        <w:numPr>
          <w:ilvl w:val="0"/>
          <w:numId w:val="2"/>
        </w:numPr>
        <w:spacing w:after="80"/>
      </w:pPr>
      <w:r>
        <w:rPr>
          <w:rFonts w:ascii="Arial" w:cs="Arial" w:eastAsia="Arial" w:hAnsi="Arial"/>
          <w:sz w:val="22"/>
          <w:szCs w:val="22"/>
        </w:rPr>
        <w:t xml:space="preserve">Suivi des correctifs de sécurité en attente d'application (voir Partie XI)</w:t>
      </w:r>
    </w:p>
    <w:p>
      <w:pPr>
        <w:pStyle w:val="ListParagraph"/>
        <w:numPr>
          <w:ilvl w:val="0"/>
          <w:numId w:val="2"/>
        </w:numPr>
        <w:spacing w:after="80"/>
      </w:pPr>
      <w:r>
        <w:rPr>
          <w:rFonts w:ascii="Arial" w:cs="Arial" w:eastAsia="Arial" w:hAnsi="Arial"/>
          <w:sz w:val="22"/>
          <w:szCs w:val="22"/>
        </w:rPr>
        <w:t xml:space="preserve">Vérification périodique des sauvegardes (test de restauration, pas seulement contrôle de la tâche planifiée)</w:t>
      </w:r>
    </w:p>
    <w:p>
      <w:pPr>
        <w:pStyle w:val="ListParagraph"/>
        <w:numPr>
          <w:ilvl w:val="0"/>
          <w:numId w:val="2"/>
        </w:numPr>
        <w:spacing w:after="80"/>
      </w:pPr>
      <w:r>
        <w:rPr>
          <w:rFonts w:ascii="Arial" w:cs="Arial" w:eastAsia="Arial" w:hAnsi="Arial"/>
          <w:sz w:val="22"/>
          <w:szCs w:val="22"/>
        </w:rPr>
        <w:t xml:space="preserve">Mise à jour continue de la documentation à chaque changement effectué</w:t>
      </w:r>
    </w:p>
    <w:p>
      <w:pPr>
        <w:pStyle w:val="Heading3"/>
        <w:spacing w:after="100" w:before="240"/>
      </w:pPr>
      <w:r>
        <w:rPr>
          <w:rFonts w:ascii="Arial" w:cs="Arial" w:eastAsia="Arial" w:hAnsi="Arial"/>
          <w:b/>
          <w:bCs/>
          <w:color w:val="2E75B6"/>
          <w:sz w:val="24"/>
          <w:szCs w:val="24"/>
        </w:rPr>
        <w:t xml:space="preserve">1.2.7 Outils du quotidien</w:t>
      </w:r>
    </w:p>
    <w:p>
      <w:pPr>
        <w:pStyle w:val="ListParagraph"/>
        <w:numPr>
          <w:ilvl w:val="0"/>
          <w:numId w:val="2"/>
        </w:numPr>
        <w:spacing w:after="80"/>
      </w:pPr>
      <w:r>
        <w:rPr>
          <w:rFonts w:ascii="Arial" w:cs="Arial" w:eastAsia="Arial" w:hAnsi="Arial"/>
          <w:sz w:val="22"/>
          <w:szCs w:val="22"/>
        </w:rPr>
        <w:t xml:space="preserve">Système de tickets (Jira Service Management, GLPI, Zendesk selon la taille)</w:t>
      </w:r>
    </w:p>
    <w:p>
      <w:pPr>
        <w:pStyle w:val="ListParagraph"/>
        <w:numPr>
          <w:ilvl w:val="0"/>
          <w:numId w:val="2"/>
        </w:numPr>
        <w:spacing w:after="80"/>
      </w:pPr>
      <w:r>
        <w:rPr>
          <w:rFonts w:ascii="Arial" w:cs="Arial" w:eastAsia="Arial" w:hAnsi="Arial"/>
          <w:sz w:val="22"/>
          <w:szCs w:val="22"/>
        </w:rPr>
        <w:t xml:space="preserve">Gestionnaire de mots de passe d'équipe (Bitwarden, KeePass partagé, Vault)</w:t>
      </w:r>
    </w:p>
    <w:p>
      <w:pPr>
        <w:pStyle w:val="ListParagraph"/>
        <w:numPr>
          <w:ilvl w:val="0"/>
          <w:numId w:val="2"/>
        </w:numPr>
        <w:spacing w:after="80"/>
      </w:pPr>
      <w:r>
        <w:rPr>
          <w:rFonts w:ascii="Arial" w:cs="Arial" w:eastAsia="Arial" w:hAnsi="Arial"/>
          <w:sz w:val="22"/>
          <w:szCs w:val="22"/>
        </w:rPr>
        <w:t xml:space="preserve">Dépôt de documentation versionné (wiki interne, ou dépôt Git pour les runbooks — voir Partie VI)</w:t>
      </w:r>
    </w:p>
    <w:p>
      <w:pPr>
        <w:pStyle w:val="ListParagraph"/>
        <w:numPr>
          <w:ilvl w:val="0"/>
          <w:numId w:val="2"/>
        </w:numPr>
        <w:spacing w:after="80"/>
      </w:pPr>
      <w:r>
        <w:rPr>
          <w:rFonts w:ascii="Arial" w:cs="Arial" w:eastAsia="Arial" w:hAnsi="Arial"/>
          <w:sz w:val="22"/>
          <w:szCs w:val="22"/>
        </w:rPr>
        <w:t xml:space="preserve">Registre des changements (voir Partie X)</w:t>
      </w:r>
    </w:p>
    <w:p>
      <w:pPr>
        <w:pStyle w:val="Heading3"/>
        <w:spacing w:after="100" w:before="240"/>
      </w:pPr>
      <w:r>
        <w:rPr>
          <w:rFonts w:ascii="Arial" w:cs="Arial" w:eastAsia="Arial" w:hAnsi="Arial"/>
          <w:b/>
          <w:bCs/>
          <w:color w:val="2E75B6"/>
          <w:sz w:val="24"/>
          <w:szCs w:val="24"/>
        </w:rPr>
        <w:t xml:space="preserve">1.2.8 Bonnes pratiques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80"/>
            </w:pPr>
            <w:r>
              <w:rPr>
                <w:rFonts w:ascii="Arial" w:cs="Arial" w:eastAsia="Arial" w:hAnsi="Arial"/>
                <w:b/>
                <w:bCs/>
                <w:color w:val="2D7D32"/>
                <w:sz w:val="21"/>
                <w:szCs w:val="21"/>
              </w:rPr>
              <w:t xml:space="preserve">💡 À appliquer systématiquement</w:t>
            </w:r>
          </w:p>
          <w:p>
            <w:pPr>
              <w:spacing w:after="60"/>
            </w:pPr>
            <w:r>
              <w:rPr>
                <w:rFonts w:ascii="Arial" w:cs="Arial" w:eastAsia="Arial" w:hAnsi="Arial"/>
                <w:sz w:val="21"/>
                <w:szCs w:val="21"/>
              </w:rPr>
              <w:t xml:space="preserve">  • Ne jamais être le seul détenteur d'un accès critique — toujours prévoir un accès de secours documenté et sécurisé</w:t>
            </w:r>
          </w:p>
          <w:p>
            <w:pPr>
              <w:spacing w:after="60"/>
            </w:pPr>
            <w:r>
              <w:rPr>
                <w:rFonts w:ascii="Arial" w:cs="Arial" w:eastAsia="Arial" w:hAnsi="Arial"/>
                <w:sz w:val="21"/>
                <w:szCs w:val="21"/>
              </w:rPr>
              <w:t xml:space="preserve">  • Documenter au moment de l'action, pas a posteriori de mémoire</w:t>
            </w:r>
          </w:p>
          <w:p>
            <w:pPr>
              <w:spacing w:after="60"/>
            </w:pPr>
            <w:r>
              <w:rPr>
                <w:rFonts w:ascii="Arial" w:cs="Arial" w:eastAsia="Arial" w:hAnsi="Arial"/>
                <w:sz w:val="21"/>
                <w:szCs w:val="21"/>
              </w:rPr>
              <w:t xml:space="preserve">  • Séparer clairement compte personnel et compte à privilèges administratifs (voir Partie IV et XI)</w:t>
            </w:r>
          </w:p>
          <w:p>
            <w:pPr>
              <w:spacing w:after="0"/>
            </w:pPr>
            <w:r>
              <w:rPr>
                <w:rFonts w:ascii="Arial" w:cs="Arial" w:eastAsia="Arial" w:hAnsi="Arial"/>
                <w:sz w:val="21"/>
                <w:szCs w:val="21"/>
              </w:rPr>
              <w:t xml:space="preserve">  • Formaliser par écrit toute dérogation exceptionnelle à une procédure, avec sa justification</w:t>
            </w:r>
          </w:p>
        </w:tc>
      </w:tr>
    </w:tbl>
    <w:p>
      <w:pPr>
        <w:pStyle w:val="Heading3"/>
        <w:spacing w:after="100" w:before="240"/>
      </w:pPr>
      <w:r>
        <w:rPr>
          <w:rFonts w:ascii="Arial" w:cs="Arial" w:eastAsia="Arial" w:hAnsi="Arial"/>
          <w:b/>
          <w:bCs/>
          <w:color w:val="2E75B6"/>
          <w:sz w:val="24"/>
          <w:szCs w:val="24"/>
        </w:rPr>
        <w:t xml:space="preserve">1.2.9 Erreurs courantes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À éviter</w:t>
            </w:r>
          </w:p>
          <w:p>
            <w:pPr>
              <w:spacing w:after="60"/>
            </w:pPr>
            <w:r>
              <w:rPr>
                <w:rFonts w:ascii="Arial" w:cs="Arial" w:eastAsia="Arial" w:hAnsi="Arial"/>
                <w:sz w:val="21"/>
                <w:szCs w:val="21"/>
              </w:rPr>
              <w:t xml:space="preserve">  • Le syndrome du « bus factor 1 » : toute la connaissance de l'infrastructure dans une seule tête, jamais documentée</w:t>
            </w:r>
          </w:p>
          <w:p>
            <w:pPr>
              <w:spacing w:after="60"/>
            </w:pPr>
            <w:r>
              <w:rPr>
                <w:rFonts w:ascii="Arial" w:cs="Arial" w:eastAsia="Arial" w:hAnsi="Arial"/>
                <w:sz w:val="21"/>
                <w:szCs w:val="21"/>
              </w:rPr>
              <w:t xml:space="preserve">  • Confondre urgence perçue et urgence réelle, au détriment de la priorisation par criticité métier</w:t>
            </w:r>
          </w:p>
          <w:p>
            <w:pPr>
              <w:spacing w:after="60"/>
            </w:pPr>
            <w:r>
              <w:rPr>
                <w:rFonts w:ascii="Arial" w:cs="Arial" w:eastAsia="Arial" w:hAnsi="Arial"/>
                <w:sz w:val="21"/>
                <w:szCs w:val="21"/>
              </w:rPr>
              <w:t xml:space="preserve">  • Accepter des changements en production hors procédure « juste cette fois », qui deviennent la norme</w:t>
            </w:r>
          </w:p>
          <w:p>
            <w:pPr>
              <w:spacing w:after="0"/>
            </w:pPr>
            <w:r>
              <w:rPr>
                <w:rFonts w:ascii="Arial" w:cs="Arial" w:eastAsia="Arial" w:hAnsi="Arial"/>
                <w:sz w:val="21"/>
                <w:szCs w:val="21"/>
              </w:rPr>
              <w:t xml:space="preserve">  • Négliger la relation avec les métiers, réduisant l'IT à une fonction perçue comme uniquement technique</w:t>
            </w:r>
          </w:p>
        </w:tc>
      </w:tr>
    </w:tbl>
    <w:p>
      <w:pPr>
        <w:pStyle w:val="Heading3"/>
        <w:spacing w:after="100" w:before="240"/>
      </w:pPr>
      <w:r>
        <w:rPr>
          <w:rFonts w:ascii="Arial" w:cs="Arial" w:eastAsia="Arial" w:hAnsi="Arial"/>
          <w:b/>
          <w:bCs/>
          <w:color w:val="2E75B6"/>
          <w:sz w:val="24"/>
          <w:szCs w:val="24"/>
        </w:rPr>
        <w:t xml:space="preserve">1.2.10 Résolution des tensions de rôle</w:t>
      </w:r>
    </w:p>
    <w:p>
      <w:pPr>
        <w:spacing w:after="140"/>
      </w:pPr>
      <w:r>
        <w:rPr>
          <w:rFonts w:ascii="Arial" w:cs="Arial" w:eastAsia="Arial" w:hAnsi="Arial"/>
          <w:sz w:val="22"/>
          <w:szCs w:val="22"/>
        </w:rPr>
        <w:t xml:space="preserve">Les conflits les plus fréquents entre administrateur système et reste de l'organisation portent sur la vitesse perçue (« pourquoi ça prend du temps ») et sur le risque perçu (« pourquoi refuser ce changement »). La matrice RACI et un registre des risques visibles (voir 1.1.7) sont les deux meilleurs outils de désamorçage : ils rendent explicite ce qui, sinon, reste de l'ordre du jugement personnel non justifié.</w:t>
      </w:r>
    </w:p>
    <w:p>
      <w:pPr>
        <w:pStyle w:val="Heading3"/>
        <w:spacing w:after="100" w:before="240"/>
      </w:pPr>
      <w:r>
        <w:rPr>
          <w:rFonts w:ascii="Arial" w:cs="Arial" w:eastAsia="Arial" w:hAnsi="Arial"/>
          <w:b/>
          <w:bCs/>
          <w:color w:val="2E75B6"/>
          <w:sz w:val="24"/>
          <w:szCs w:val="24"/>
        </w:rPr>
        <w:t xml:space="preserve">1.2.11 Recommandations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A1B9A" w:sz="4"/>
              <w:left w:val="single" w:color="6A1B9A" w:sz="12"/>
              <w:bottom w:val="single" w:color="6A1B9A" w:sz="4"/>
              <w:right w:val="single" w:color="6A1B9A" w:sz="4"/>
            </w:tcBorders>
            <w:shd w:fill="F3E5F5" w:val="clear"/>
            <w:tcMar>
              <w:top w:type="dxa" w:w="120"/>
              <w:left w:type="dxa" w:w="180"/>
              <w:bottom w:type="dxa" w:w="120"/>
              <w:right w:type="dxa" w:w="180"/>
            </w:tcMar>
          </w:tcPr>
          <w:p>
            <w:pPr>
              <w:spacing w:after="40"/>
            </w:pPr>
            <w:r>
              <w:rPr>
                <w:rFonts w:ascii="Arial" w:cs="Arial" w:eastAsia="Arial" w:hAnsi="Arial"/>
                <w:b/>
                <w:bCs/>
                <w:color w:val="6A1B9A"/>
                <w:sz w:val="21"/>
                <w:szCs w:val="21"/>
              </w:rPr>
              <w:t xml:space="preserve">🔒 SÉCURITÉ</w:t>
            </w:r>
          </w:p>
          <w:p>
            <w:pPr>
              <w:spacing w:after="0"/>
            </w:pPr>
            <w:r>
              <w:rPr>
                <w:rFonts w:ascii="Arial" w:cs="Arial" w:eastAsia="Arial" w:hAnsi="Arial"/>
                <w:color w:val="000000"/>
                <w:sz w:val="21"/>
                <w:szCs w:val="21"/>
              </w:rPr>
              <w:t xml:space="preserve">Le compte de l'administrateur système est la cible n°1 de toute attaque ciblée (voir Partie XI, PKI et Zero Trust). Appliquer systématiquement le principe du moindre privilège même à ce rôle : compte nominal pour les tâches quotidiennes, élévation temporaire tracée pour les tâches à privilèges, jamais de compte administrateur partagé entre plusieurs personnes.</w:t>
            </w:r>
          </w:p>
        </w:tc>
      </w:tr>
    </w:tbl>
    <w:p>
      <w:pPr>
        <w:pStyle w:val="Heading3"/>
        <w:spacing w:after="100" w:before="240"/>
      </w:pPr>
      <w:r>
        <w:rPr>
          <w:rFonts w:ascii="Arial" w:cs="Arial" w:eastAsia="Arial" w:hAnsi="Arial"/>
          <w:b/>
          <w:bCs/>
          <w:color w:val="2E75B6"/>
          <w:sz w:val="24"/>
          <w:szCs w:val="24"/>
        </w:rPr>
        <w:t xml:space="preserve">1.2.12 Cas pratique — Haitech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D6E00" w:sz="4"/>
              <w:left w:val="single" w:color="8D6E00" w:sz="12"/>
              <w:bottom w:val="single" w:color="8D6E00" w:sz="4"/>
              <w:right w:val="single" w:color="8D6E00" w:sz="4"/>
            </w:tcBorders>
            <w:shd w:fill="FFF8E1" w:val="clear"/>
            <w:tcMar>
              <w:top w:type="dxa" w:w="120"/>
              <w:left w:type="dxa" w:w="180"/>
              <w:bottom w:type="dxa" w:w="120"/>
              <w:right w:type="dxa" w:w="180"/>
            </w:tcMar>
          </w:tcPr>
          <w:p>
            <w:pPr>
              <w:spacing w:after="40"/>
            </w:pPr>
            <w:r>
              <w:rPr>
                <w:rFonts w:ascii="Arial" w:cs="Arial" w:eastAsia="Arial" w:hAnsi="Arial"/>
                <w:b/>
                <w:bCs/>
                <w:color w:val="8D6E00"/>
                <w:sz w:val="21"/>
                <w:szCs w:val="21"/>
              </w:rPr>
              <w:t xml:space="preserve">📌 CAS PRATIQUE</w:t>
            </w:r>
          </w:p>
          <w:p>
            <w:pPr>
              <w:spacing w:after="0"/>
            </w:pPr>
            <w:r>
              <w:rPr>
                <w:rFonts w:ascii="Arial" w:cs="Arial" w:eastAsia="Arial" w:hAnsi="Arial"/>
                <w:color w:val="000000"/>
                <w:sz w:val="21"/>
                <w:szCs w:val="21"/>
              </w:rPr>
              <w:t xml:space="preserve">Sur OTELA, le modèle RBAC (contrôle d'accès par rôle) distingue Réception, Ménage, Administrateur d'établissement et Administrateur de chaîne, avec un cloisonnement testé et vérifié empêchant un administrateur d'établissement de créer un compte de niveau chaîne, même en forçant les paramètres de la requête. C'est exactement la même logique que la matrice RACI de ce chapitre, appliquée au niveau applicatif plutôt qu'organisationnel : définir précisément qui peut faire quoi, et vérifier que la limite tient réellement, pas seulement dans l'interface.</w:t>
            </w:r>
          </w:p>
        </w:tc>
      </w:tr>
    </w:tbl>
    <w:p>
      <w:r>
        <w:br w:type="page"/>
      </w:r>
    </w:p>
    <w:p>
      <w:pPr>
        <w:pStyle w:val="Heading2"/>
        <w:spacing w:after="120" w:before="320"/>
      </w:pPr>
      <w:r>
        <w:rPr>
          <w:rFonts w:ascii="Arial" w:cs="Arial" w:eastAsia="Arial" w:hAnsi="Arial"/>
          <w:b/>
          <w:bCs/>
          <w:color w:val="1F4E79"/>
          <w:sz w:val="28"/>
          <w:szCs w:val="28"/>
        </w:rPr>
        <w:t xml:space="preserve">1.3 Architecture informatique d'entreprise</w:t>
      </w:r>
    </w:p>
    <w:p>
      <w:pPr>
        <w:pStyle w:val="Heading3"/>
        <w:spacing w:after="100" w:before="240"/>
      </w:pPr>
      <w:r>
        <w:rPr>
          <w:rFonts w:ascii="Arial" w:cs="Arial" w:eastAsia="Arial" w:hAnsi="Arial"/>
          <w:b/>
          <w:bCs/>
          <w:color w:val="2E75B6"/>
          <w:sz w:val="24"/>
          <w:szCs w:val="24"/>
        </w:rPr>
        <w:t xml:space="preserve">1.3.1 Rôle de l'architecture informatique</w:t>
      </w:r>
    </w:p>
    <w:p>
      <w:pPr>
        <w:spacing w:after="140"/>
      </w:pPr>
      <w:r>
        <w:rPr>
          <w:rFonts w:ascii="Arial" w:cs="Arial" w:eastAsia="Arial" w:hAnsi="Arial"/>
          <w:sz w:val="22"/>
          <w:szCs w:val="22"/>
        </w:rPr>
        <w:t xml:space="preserve">L'architecture informatique décrit comment les composants d'un système d'information (réseau, serveurs, applications, données) s'assemblent pour servir les besoins métier, aujourd'hui et dans les évolutions prévisibles. Une infrastructure sans architecture explicite fonctionne quand même — jusqu'au jour où elle doit évoluer : ajouter un site, migrer un serveur critique, absorber une charge multipliée par cinq. C'est à ce moment que l'absence de vision d'ensemble se paie le plus cher, sous forme de refontes d'urgence plutôt que d'évolutions planifiées.</w:t>
      </w:r>
    </w:p>
    <w:p>
      <w:pPr>
        <w:pStyle w:val="Heading3"/>
        <w:spacing w:after="100" w:before="240"/>
      </w:pPr>
      <w:r>
        <w:rPr>
          <w:rFonts w:ascii="Arial" w:cs="Arial" w:eastAsia="Arial" w:hAnsi="Arial"/>
          <w:b/>
          <w:bCs/>
          <w:color w:val="2E75B6"/>
          <w:sz w:val="24"/>
          <w:szCs w:val="24"/>
        </w:rPr>
        <w:t xml:space="preserve">1.3.2 Fonctionnement : les couches d'architecture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Couche</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Contenu</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Architecture métier</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Processus et besoins de l'organisation</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Réservation, facturation, paie, relation client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applicative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Logiciels et services qui supportent les processus métier</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ERP, CRM, messagerie, applications métier</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Architecture des données</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Modèles de données, flux, référentiels</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Bases de données, entrepôts, référentiel client unique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technique / infrastructure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Serveurs, réseau, stockage, virtualisation, cloud</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Objet de la majorité de ce manuel (Parties II à IX)</w:t>
            </w:r>
          </w:p>
        </w:tc>
      </w:tr>
    </w:tbl>
    <w:p>
      <w:pPr>
        <w:spacing w:after="140"/>
      </w:pPr>
      <w:r>
        <w:rPr>
          <w:rFonts w:ascii="Arial" w:cs="Arial" w:eastAsia="Arial" w:hAnsi="Arial"/>
          <w:sz w:val="22"/>
          <w:szCs w:val="22"/>
        </w:rPr>
        <w:t xml:space="preserve">Ces couches se lisent de haut en bas pour la conception (le métier détermine les besoins applicatifs, qui déterminent les besoins techniques) et de bas en haut pour l'exploitation quotidienne, où l'administrateur système opère principalement sur la couche technique tout en gardant une vision des couches supérieures pour prioriser correctement.</w:t>
      </w:r>
    </w:p>
    <w:p>
      <w:pPr>
        <w:pStyle w:val="Heading3"/>
        <w:spacing w:after="100" w:before="240"/>
      </w:pPr>
      <w:r>
        <w:rPr>
          <w:rFonts w:ascii="Arial" w:cs="Arial" w:eastAsia="Arial" w:hAnsi="Arial"/>
          <w:b/>
          <w:bCs/>
          <w:color w:val="2E75B6"/>
          <w:sz w:val="24"/>
          <w:szCs w:val="24"/>
        </w:rPr>
        <w:t xml:space="preserve">1.3.3 Prérequis à une démarche d'architecture</w:t>
      </w:r>
    </w:p>
    <w:p>
      <w:pPr>
        <w:pStyle w:val="ListParagraph"/>
        <w:numPr>
          <w:ilvl w:val="0"/>
          <w:numId w:val="2"/>
        </w:numPr>
        <w:spacing w:after="80"/>
      </w:pPr>
      <w:r>
        <w:rPr>
          <w:rFonts w:ascii="Arial" w:cs="Arial" w:eastAsia="Arial" w:hAnsi="Arial"/>
          <w:sz w:val="22"/>
          <w:szCs w:val="22"/>
        </w:rPr>
        <w:t xml:space="preserve">Inventaire des applications et de leurs interdépendances (quelle application dépend de quelle base de données, de quel serveur)</w:t>
      </w:r>
    </w:p>
    <w:p>
      <w:pPr>
        <w:pStyle w:val="ListParagraph"/>
        <w:numPr>
          <w:ilvl w:val="0"/>
          <w:numId w:val="2"/>
        </w:numPr>
        <w:spacing w:after="80"/>
      </w:pPr>
      <w:r>
        <w:rPr>
          <w:rFonts w:ascii="Arial" w:cs="Arial" w:eastAsia="Arial" w:hAnsi="Arial"/>
          <w:sz w:val="22"/>
          <w:szCs w:val="22"/>
        </w:rPr>
        <w:t xml:space="preserve">Connaissance des flux de données critiques et de leurs volumes</w:t>
      </w:r>
    </w:p>
    <w:p>
      <w:pPr>
        <w:pStyle w:val="ListParagraph"/>
        <w:numPr>
          <w:ilvl w:val="0"/>
          <w:numId w:val="2"/>
        </w:numPr>
        <w:spacing w:after="80"/>
      </w:pPr>
      <w:r>
        <w:rPr>
          <w:rFonts w:ascii="Arial" w:cs="Arial" w:eastAsia="Arial" w:hAnsi="Arial"/>
          <w:sz w:val="22"/>
          <w:szCs w:val="22"/>
        </w:rPr>
        <w:t xml:space="preserve">Compréhension des contraintes de continuité (voir Partie XII) : quels systèmes ne peuvent tolérer aucune interruption</w:t>
      </w:r>
    </w:p>
    <w:p>
      <w:pPr>
        <w:pStyle w:val="Heading3"/>
        <w:spacing w:after="100" w:before="240"/>
      </w:pPr>
      <w:r>
        <w:rPr>
          <w:rFonts w:ascii="Arial" w:cs="Arial" w:eastAsia="Arial" w:hAnsi="Arial"/>
          <w:b/>
          <w:bCs/>
          <w:color w:val="2E75B6"/>
          <w:sz w:val="24"/>
          <w:szCs w:val="24"/>
        </w:rPr>
        <w:t xml:space="preserve">1.3.4 Mise en place d'une cartographie d'architecture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Recenser les applications</w:t>
            </w:r>
          </w:p>
          <w:p>
            <w:pPr>
              <w:spacing w:after="0"/>
            </w:pPr>
            <w:r>
              <w:rPr>
                <w:rFonts w:ascii="Arial" w:cs="Arial" w:eastAsia="Arial" w:hAnsi="Arial"/>
                <w:sz w:val="21"/>
                <w:szCs w:val="21"/>
              </w:rPr>
              <w:t xml:space="preserve">Nom, éditeur/développeur, criticité métier, hébergement (on-premise, cloud), responsable.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Recenser l'infrastructure sous-jacente</w:t>
            </w:r>
          </w:p>
          <w:p>
            <w:pPr>
              <w:spacing w:after="0"/>
            </w:pPr>
            <w:r>
              <w:rPr>
                <w:rFonts w:ascii="Arial" w:cs="Arial" w:eastAsia="Arial" w:hAnsi="Arial"/>
                <w:sz w:val="21"/>
                <w:szCs w:val="21"/>
              </w:rPr>
              <w:t xml:space="preserve">Serveurs physiques/virtuels, bases de données, systèmes de stockage associés à chaque application.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Cartographier les flux réseau</w:t>
            </w:r>
          </w:p>
          <w:p>
            <w:pPr>
              <w:spacing w:after="0"/>
            </w:pPr>
            <w:r>
              <w:rPr>
                <w:rFonts w:ascii="Arial" w:cs="Arial" w:eastAsia="Arial" w:hAnsi="Arial"/>
                <w:sz w:val="21"/>
                <w:szCs w:val="21"/>
              </w:rPr>
              <w:t xml:space="preserve">Quel serveur communique avec quel autre, sur quel port, dans quel sens (voir Partie II).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Documenter les dépendances critiques</w:t>
            </w:r>
          </w:p>
          <w:p>
            <w:pPr>
              <w:spacing w:after="0"/>
            </w:pPr>
            <w:r>
              <w:rPr>
                <w:rFonts w:ascii="Arial" w:cs="Arial" w:eastAsia="Arial" w:hAnsi="Arial"/>
                <w:sz w:val="21"/>
                <w:szCs w:val="21"/>
              </w:rPr>
              <w:t xml:space="preserve">Identifier les points de défaillance unique (SPOF) — un seul serveur dont la panne arrête plusieurs applications.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Formaliser des schémas de référence</w:t>
            </w:r>
          </w:p>
          <w:p>
            <w:pPr>
              <w:spacing w:after="0"/>
            </w:pPr>
            <w:r>
              <w:rPr>
                <w:rFonts w:ascii="Arial" w:cs="Arial" w:eastAsia="Arial" w:hAnsi="Arial"/>
                <w:sz w:val="21"/>
                <w:szCs w:val="21"/>
              </w:rPr>
              <w:t xml:space="preserve">Un schéma d'architecture logique et un schéma d'architecture physique, tenus à jour à chaque changement structurant.</w:t>
            </w:r>
          </w:p>
        </w:tc>
      </w:tr>
    </w:tbl>
    <w:p>
      <w:pPr>
        <w:pStyle w:val="Heading3"/>
        <w:spacing w:after="100" w:before="240"/>
      </w:pPr>
      <w:r>
        <w:rPr>
          <w:rFonts w:ascii="Arial" w:cs="Arial" w:eastAsia="Arial" w:hAnsi="Arial"/>
          <w:b/>
          <w:bCs/>
          <w:color w:val="2E75B6"/>
          <w:sz w:val="24"/>
          <w:szCs w:val="24"/>
        </w:rPr>
        <w:t xml:space="preserve">1.3.5 Modèles d'architecture courants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Modèle</w:t>
            </w:r>
          </w:p>
        </w:tc>
        <w:tc>
          <w:tcPr>
            <w:tcW w:type="dxa" w:w="3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Description</w:t>
            </w:r>
          </w:p>
        </w:tc>
        <w:tc>
          <w:tcPr>
            <w:tcW w:type="dxa" w:w="3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Cas d'usage typique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Monolithique centralisé</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Une application, une base de données, un serveur (ou une paire pour la HA)</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PME avec un seul site, faible complexité applicative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N-tiers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Séparation présentation / logique métier / données sur des serveurs distincts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Applications web métier de taille moyenne (cas de la majorité des projets du portefeuille)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Architecture distribuée multi-site</w:t>
            </w:r>
          </w:p>
        </w:tc>
        <w:tc>
          <w:tcPr>
            <w:tcW w:type="dxa" w:w="3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Systèmes répartis sur plusieurs sites avec réplication</w:t>
            </w:r>
          </w:p>
        </w:tc>
        <w:tc>
          <w:tcPr>
            <w:tcW w:type="dxa" w:w="3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Chaînes multi-établissements (cas OTELA multi-hôtel, ANTENN)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cloud hybride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Partie on-premise, partie cloud public, interconnectées</w:t>
            </w:r>
          </w:p>
        </w:tc>
        <w:tc>
          <w:tcPr>
            <w:tcW w:type="dxa" w:w="3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Organisations en transition vers le cloud (voir Partie XII)</w:t>
            </w:r>
          </w:p>
        </w:tc>
      </w:tr>
    </w:tbl>
    <w:p>
      <w:pPr>
        <w:pStyle w:val="Heading3"/>
        <w:spacing w:after="100" w:before="240"/>
      </w:pPr>
      <w:r>
        <w:rPr>
          <w:rFonts w:ascii="Arial" w:cs="Arial" w:eastAsia="Arial" w:hAnsi="Arial"/>
          <w:b/>
          <w:bCs/>
          <w:color w:val="2E75B6"/>
          <w:sz w:val="24"/>
          <w:szCs w:val="24"/>
        </w:rPr>
        <w:t xml:space="preserve">1.3.6 Administration courante de l'architecture</w:t>
      </w:r>
    </w:p>
    <w:p>
      <w:pPr>
        <w:pStyle w:val="ListParagraph"/>
        <w:numPr>
          <w:ilvl w:val="0"/>
          <w:numId w:val="2"/>
        </w:numPr>
        <w:spacing w:after="80"/>
      </w:pPr>
      <w:r>
        <w:rPr>
          <w:rFonts w:ascii="Arial" w:cs="Arial" w:eastAsia="Arial" w:hAnsi="Arial"/>
          <w:sz w:val="22"/>
          <w:szCs w:val="22"/>
        </w:rPr>
        <w:t xml:space="preserve">Mettre à jour les schémas à chaque ajout ou retrait de composant significatif</w:t>
      </w:r>
    </w:p>
    <w:p>
      <w:pPr>
        <w:pStyle w:val="ListParagraph"/>
        <w:numPr>
          <w:ilvl w:val="0"/>
          <w:numId w:val="2"/>
        </w:numPr>
        <w:spacing w:after="80"/>
      </w:pPr>
      <w:r>
        <w:rPr>
          <w:rFonts w:ascii="Arial" w:cs="Arial" w:eastAsia="Arial" w:hAnsi="Arial"/>
          <w:sz w:val="22"/>
          <w:szCs w:val="22"/>
        </w:rPr>
        <w:t xml:space="preserve">Revoir l'architecture avant tout projet de croissance (nouveau site, nouvelle application critique)</w:t>
      </w:r>
    </w:p>
    <w:p>
      <w:pPr>
        <w:pStyle w:val="ListParagraph"/>
        <w:numPr>
          <w:ilvl w:val="0"/>
          <w:numId w:val="2"/>
        </w:numPr>
        <w:spacing w:after="80"/>
      </w:pPr>
      <w:r>
        <w:rPr>
          <w:rFonts w:ascii="Arial" w:cs="Arial" w:eastAsia="Arial" w:hAnsi="Arial"/>
          <w:sz w:val="22"/>
          <w:szCs w:val="22"/>
        </w:rPr>
        <w:t xml:space="preserve">Identifier et traiter progressivement les points de défaillance unique restants</w:t>
      </w:r>
    </w:p>
    <w:p>
      <w:pPr>
        <w:pStyle w:val="Heading3"/>
        <w:spacing w:after="100" w:before="240"/>
      </w:pPr>
      <w:r>
        <w:rPr>
          <w:rFonts w:ascii="Arial" w:cs="Arial" w:eastAsia="Arial" w:hAnsi="Arial"/>
          <w:b/>
          <w:bCs/>
          <w:color w:val="2E75B6"/>
          <w:sz w:val="24"/>
          <w:szCs w:val="24"/>
        </w:rPr>
        <w:t xml:space="preserve">1.3.7 Outils de cartographie</w:t>
      </w:r>
    </w:p>
    <w:p>
      <w:pPr>
        <w:pStyle w:val="ListParagraph"/>
        <w:numPr>
          <w:ilvl w:val="0"/>
          <w:numId w:val="2"/>
        </w:numPr>
        <w:spacing w:after="80"/>
      </w:pPr>
      <w:r>
        <w:rPr>
          <w:rFonts w:ascii="Arial" w:cs="Arial" w:eastAsia="Arial" w:hAnsi="Arial"/>
          <w:sz w:val="22"/>
          <w:szCs w:val="22"/>
        </w:rPr>
        <w:t xml:space="preserve">Outils dédiés : Lucidchart, draw.io (gratuit, fichiers versionnables), Archi (TOGAF, gratuit)</w:t>
      </w:r>
    </w:p>
    <w:p>
      <w:pPr>
        <w:pStyle w:val="ListParagraph"/>
        <w:numPr>
          <w:ilvl w:val="0"/>
          <w:numId w:val="2"/>
        </w:numPr>
        <w:spacing w:after="80"/>
      </w:pPr>
      <w:r>
        <w:rPr>
          <w:rFonts w:ascii="Arial" w:cs="Arial" w:eastAsia="Arial" w:hAnsi="Arial"/>
          <w:sz w:val="22"/>
          <w:szCs w:val="22"/>
        </w:rPr>
        <w:t xml:space="preserve">CMDB pour l'inventaire détaillé et les dépendances (voir 1.5 et Partie X)</w:t>
      </w:r>
    </w:p>
    <w:p>
      <w:pPr>
        <w:pStyle w:val="ListParagraph"/>
        <w:numPr>
          <w:ilvl w:val="0"/>
          <w:numId w:val="2"/>
        </w:numPr>
        <w:spacing w:after="80"/>
      </w:pPr>
      <w:r>
        <w:rPr>
          <w:rFonts w:ascii="Arial" w:cs="Arial" w:eastAsia="Arial" w:hAnsi="Arial"/>
          <w:sz w:val="22"/>
          <w:szCs w:val="22"/>
        </w:rPr>
        <w:t xml:space="preserve">Diagrammes-as-code pour les schémas versionnés avec le code (Mermaid, PlantUML) — pertinent pour les équipes déjà orientées Git (voir Partie VI)</w:t>
      </w:r>
    </w:p>
    <w:p>
      <w:pPr>
        <w:pStyle w:val="Heading3"/>
        <w:spacing w:after="100" w:before="240"/>
      </w:pPr>
      <w:r>
        <w:rPr>
          <w:rFonts w:ascii="Arial" w:cs="Arial" w:eastAsia="Arial" w:hAnsi="Arial"/>
          <w:b/>
          <w:bCs/>
          <w:color w:val="2E75B6"/>
          <w:sz w:val="24"/>
          <w:szCs w:val="24"/>
        </w:rPr>
        <w:t xml:space="preserve">1.3.8 Bonnes pratiques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80"/>
            </w:pPr>
            <w:r>
              <w:rPr>
                <w:rFonts w:ascii="Arial" w:cs="Arial" w:eastAsia="Arial" w:hAnsi="Arial"/>
                <w:b/>
                <w:bCs/>
                <w:color w:val="2D7D32"/>
                <w:sz w:val="21"/>
                <w:szCs w:val="21"/>
              </w:rPr>
              <w:t xml:space="preserve">💡 À appliquer systématiquement</w:t>
            </w:r>
          </w:p>
          <w:p>
            <w:pPr>
              <w:spacing w:after="60"/>
            </w:pPr>
            <w:r>
              <w:rPr>
                <w:rFonts w:ascii="Arial" w:cs="Arial" w:eastAsia="Arial" w:hAnsi="Arial"/>
                <w:sz w:val="21"/>
                <w:szCs w:val="21"/>
              </w:rPr>
              <w:t xml:space="preserve">  • Garder les schémas d'architecture à un niveau de détail lisible — un schéma illisible n'est jamais consulté</w:t>
            </w:r>
          </w:p>
          <w:p>
            <w:pPr>
              <w:spacing w:after="60"/>
            </w:pPr>
            <w:r>
              <w:rPr>
                <w:rFonts w:ascii="Arial" w:cs="Arial" w:eastAsia="Arial" w:hAnsi="Arial"/>
                <w:sz w:val="21"/>
                <w:szCs w:val="21"/>
              </w:rPr>
              <w:t xml:space="preserve">  • Distinguer toujours schéma logique (comment ça fonctionne) et schéma physique (où c'est réellement installé)</w:t>
            </w:r>
          </w:p>
          <w:p>
            <w:pPr>
              <w:spacing w:after="60"/>
            </w:pPr>
            <w:r>
              <w:rPr>
                <w:rFonts w:ascii="Arial" w:cs="Arial" w:eastAsia="Arial" w:hAnsi="Arial"/>
                <w:sz w:val="21"/>
                <w:szCs w:val="21"/>
              </w:rPr>
              <w:t xml:space="preserve">  • Traiter les SPOF identifiés par ordre de criticité métier, pas par facilité technique de correction</w:t>
            </w:r>
          </w:p>
          <w:p>
            <w:pPr>
              <w:spacing w:after="0"/>
            </w:pPr>
            <w:r>
              <w:rPr>
                <w:rFonts w:ascii="Arial" w:cs="Arial" w:eastAsia="Arial" w:hAnsi="Arial"/>
                <w:sz w:val="21"/>
                <w:szCs w:val="21"/>
              </w:rPr>
              <w:t xml:space="preserve">  • Impliquer les responsables métier dans la validation de l'architecture des systèmes qui les concernent</w:t>
            </w:r>
          </w:p>
        </w:tc>
      </w:tr>
    </w:tbl>
    <w:p>
      <w:pPr>
        <w:pStyle w:val="Heading3"/>
        <w:spacing w:after="100" w:before="240"/>
      </w:pPr>
      <w:r>
        <w:rPr>
          <w:rFonts w:ascii="Arial" w:cs="Arial" w:eastAsia="Arial" w:hAnsi="Arial"/>
          <w:b/>
          <w:bCs/>
          <w:color w:val="2E75B6"/>
          <w:sz w:val="24"/>
          <w:szCs w:val="24"/>
        </w:rPr>
        <w:t xml:space="preserve">1.3.9 Erreurs courantes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À éviter</w:t>
            </w:r>
          </w:p>
          <w:p>
            <w:pPr>
              <w:spacing w:after="60"/>
            </w:pPr>
            <w:r>
              <w:rPr>
                <w:rFonts w:ascii="Arial" w:cs="Arial" w:eastAsia="Arial" w:hAnsi="Arial"/>
                <w:sz w:val="21"/>
                <w:szCs w:val="21"/>
              </w:rPr>
              <w:t xml:space="preserve">  • Laisser l'architecture uniquement dans la tête de celui qui l'a construite, sans schéma écrit</w:t>
            </w:r>
          </w:p>
          <w:p>
            <w:pPr>
              <w:spacing w:after="60"/>
            </w:pPr>
            <w:r>
              <w:rPr>
                <w:rFonts w:ascii="Arial" w:cs="Arial" w:eastAsia="Arial" w:hAnsi="Arial"/>
                <w:sz w:val="21"/>
                <w:szCs w:val="21"/>
              </w:rPr>
              <w:t xml:space="preserve">  • Ajouter des composants sans jamais retirer ceux devenus obsolètes (dette d'architecture silencieuse)</w:t>
            </w:r>
          </w:p>
          <w:p>
            <w:pPr>
              <w:spacing w:after="60"/>
            </w:pPr>
            <w:r>
              <w:rPr>
                <w:rFonts w:ascii="Arial" w:cs="Arial" w:eastAsia="Arial" w:hAnsi="Arial"/>
                <w:sz w:val="21"/>
                <w:szCs w:val="21"/>
              </w:rPr>
              <w:t xml:space="preserve">  • Concevoir une architecture cible idéale sans jamais planifier de chemin réaliste pour l'atteindre</w:t>
            </w:r>
          </w:p>
          <w:p>
            <w:pPr>
              <w:spacing w:after="0"/>
            </w:pPr>
            <w:r>
              <w:rPr>
                <w:rFonts w:ascii="Arial" w:cs="Arial" w:eastAsia="Arial" w:hAnsi="Arial"/>
                <w:sz w:val="21"/>
                <w:szCs w:val="21"/>
              </w:rPr>
              <w:t xml:space="preserve">  • Ignorer les contraintes de bande passante et de latence entre sites dans une architecture distribuée</w:t>
            </w:r>
          </w:p>
        </w:tc>
      </w:tr>
    </w:tbl>
    <w:p>
      <w:pPr>
        <w:pStyle w:val="Heading3"/>
        <w:spacing w:after="100" w:before="240"/>
      </w:pPr>
      <w:r>
        <w:rPr>
          <w:rFonts w:ascii="Arial" w:cs="Arial" w:eastAsia="Arial" w:hAnsi="Arial"/>
          <w:b/>
          <w:bCs/>
          <w:color w:val="2E75B6"/>
          <w:sz w:val="24"/>
          <w:szCs w:val="24"/>
        </w:rPr>
        <w:t xml:space="preserve">1.3.10 Diagnostic des problèmes d'architecture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Symptôme</w:t>
            </w:r>
          </w:p>
        </w:tc>
        <w:tc>
          <w:tcPr>
            <w:tcW w:type="dxa" w:w="3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Cause d'architecture probable</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Piste de correction</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Une panne isolée arrête plusieurs services</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Point de défaillance unique non identifié</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Cartographier les dépendances, planifier une redondance ciblée (voir Partie 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Les performances se dégradent avec la croissance des utilisateurs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non dimensionnée pour la montée en charge</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Étude de capacité, envisager la répartition de charge (voir Partie III)</w:t>
            </w:r>
          </w:p>
        </w:tc>
      </w:tr>
      <w:tr>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Chaque évolution applicative nécessite de tout retester</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Couplage fort entre composants qui devraient être indépendants</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Planifier un découplage progressif, pas une refonte immédiate</w:t>
            </w:r>
          </w:p>
        </w:tc>
      </w:tr>
    </w:tbl>
    <w:p>
      <w:pPr>
        <w:pStyle w:val="Heading3"/>
        <w:spacing w:after="100" w:before="240"/>
      </w:pPr>
      <w:r>
        <w:rPr>
          <w:rFonts w:ascii="Arial" w:cs="Arial" w:eastAsia="Arial" w:hAnsi="Arial"/>
          <w:b/>
          <w:bCs/>
          <w:color w:val="2E75B6"/>
          <w:sz w:val="24"/>
          <w:szCs w:val="24"/>
        </w:rPr>
        <w:t xml:space="preserve">1.3.11 Recommandations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A1B9A" w:sz="4"/>
              <w:left w:val="single" w:color="6A1B9A" w:sz="12"/>
              <w:bottom w:val="single" w:color="6A1B9A" w:sz="4"/>
              <w:right w:val="single" w:color="6A1B9A" w:sz="4"/>
            </w:tcBorders>
            <w:shd w:fill="F3E5F5" w:val="clear"/>
            <w:tcMar>
              <w:top w:type="dxa" w:w="120"/>
              <w:left w:type="dxa" w:w="180"/>
              <w:bottom w:type="dxa" w:w="120"/>
              <w:right w:type="dxa" w:w="180"/>
            </w:tcMar>
          </w:tcPr>
          <w:p>
            <w:pPr>
              <w:spacing w:after="40"/>
            </w:pPr>
            <w:r>
              <w:rPr>
                <w:rFonts w:ascii="Arial" w:cs="Arial" w:eastAsia="Arial" w:hAnsi="Arial"/>
                <w:b/>
                <w:bCs/>
                <w:color w:val="6A1B9A"/>
                <w:sz w:val="21"/>
                <w:szCs w:val="21"/>
              </w:rPr>
              <w:t xml:space="preserve">🔒 SÉCURITÉ</w:t>
            </w:r>
          </w:p>
          <w:p>
            <w:pPr>
              <w:spacing w:after="0"/>
            </w:pPr>
            <w:r>
              <w:rPr>
                <w:rFonts w:ascii="Arial" w:cs="Arial" w:eastAsia="Arial" w:hAnsi="Arial"/>
                <w:color w:val="000000"/>
                <w:sz w:val="21"/>
                <w:szCs w:val="21"/>
              </w:rPr>
              <w:t xml:space="preserve">L'architecture doit intégrer la sécurité dès la conception (« security by design »), pas en ajout final. La segmentation réseau par zones de confiance (voir Partie II, VLAN), l'isolement des systèmes exposés publiquement (voir Partie III, DMZ) et la limitation des flux au strict nécessaire entre couches applicatives sont des décisions d'architecture, pas des options de configuration ajoutables après coup sans refonte.</w:t>
            </w:r>
          </w:p>
        </w:tc>
      </w:tr>
    </w:tbl>
    <w:p>
      <w:pPr>
        <w:pStyle w:val="Heading3"/>
        <w:spacing w:after="100" w:before="240"/>
      </w:pPr>
      <w:r>
        <w:rPr>
          <w:rFonts w:ascii="Arial" w:cs="Arial" w:eastAsia="Arial" w:hAnsi="Arial"/>
          <w:b/>
          <w:bCs/>
          <w:color w:val="2E75B6"/>
          <w:sz w:val="24"/>
          <w:szCs w:val="24"/>
        </w:rPr>
        <w:t xml:space="preserve">1.3.12 Cas pratique — Haitech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D6E00" w:sz="4"/>
              <w:left w:val="single" w:color="8D6E00" w:sz="12"/>
              <w:bottom w:val="single" w:color="8D6E00" w:sz="4"/>
              <w:right w:val="single" w:color="8D6E00" w:sz="4"/>
            </w:tcBorders>
            <w:shd w:fill="FFF8E1" w:val="clear"/>
            <w:tcMar>
              <w:top w:type="dxa" w:w="120"/>
              <w:left w:type="dxa" w:w="180"/>
              <w:bottom w:type="dxa" w:w="120"/>
              <w:right w:type="dxa" w:w="180"/>
            </w:tcMar>
          </w:tcPr>
          <w:p>
            <w:pPr>
              <w:spacing w:after="40"/>
            </w:pPr>
            <w:r>
              <w:rPr>
                <w:rFonts w:ascii="Arial" w:cs="Arial" w:eastAsia="Arial" w:hAnsi="Arial"/>
                <w:b/>
                <w:bCs/>
                <w:color w:val="8D6E00"/>
                <w:sz w:val="21"/>
                <w:szCs w:val="21"/>
              </w:rPr>
              <w:t xml:space="preserve">📌 CAS PRATIQUE</w:t>
            </w:r>
          </w:p>
          <w:p>
            <w:pPr>
              <w:spacing w:after="0"/>
            </w:pPr>
            <w:r>
              <w:rPr>
                <w:rFonts w:ascii="Arial" w:cs="Arial" w:eastAsia="Arial" w:hAnsi="Arial"/>
                <w:color w:val="000000"/>
                <w:sz w:val="21"/>
                <w:szCs w:val="21"/>
              </w:rPr>
              <w:t xml:space="preserve">L'architecture multi-tenant d'OTELA illustre un choix d'architecture assumé et documenté : modèle « Silo » avec `resolveEtablissement` garantissant que la donnée d'un établissement ne peut jamais fuiter vers un autre, même en cas de paramètre falsifié côté client. C'est une décision d'architecture des données (isolement par tenant) qui a des conséquences directes sur l'architecture technique (une base partagée avec filtrage systématique plutôt qu'une base par établissement). Documenter ce type de choix — et surtout la raison pour laquelle l'alternative a été écartée — est précisément ce qu'une cartographie d'architecture doit capturer pour rester utile dans deux ou trois ans.</w:t>
            </w:r>
          </w:p>
        </w:tc>
      </w:tr>
    </w:tbl>
    <w:p>
      <w:r>
        <w:br w:type="page"/>
      </w:r>
    </w:p>
    <w:p>
      <w:pPr>
        <w:pStyle w:val="Heading2"/>
        <w:spacing w:after="120" w:before="320"/>
      </w:pPr>
      <w:r>
        <w:rPr>
          <w:rFonts w:ascii="Arial" w:cs="Arial" w:eastAsia="Arial" w:hAnsi="Arial"/>
          <w:b/>
          <w:bCs/>
          <w:color w:val="1F4E79"/>
          <w:sz w:val="28"/>
          <w:szCs w:val="28"/>
        </w:rPr>
        <w:t xml:space="preserve">1.4 Documentation technique</w:t>
      </w:r>
    </w:p>
    <w:p>
      <w:pPr>
        <w:pStyle w:val="Heading3"/>
        <w:spacing w:after="100" w:before="240"/>
      </w:pPr>
      <w:r>
        <w:rPr>
          <w:rFonts w:ascii="Arial" w:cs="Arial" w:eastAsia="Arial" w:hAnsi="Arial"/>
          <w:b/>
          <w:bCs/>
          <w:color w:val="2E75B6"/>
          <w:sz w:val="24"/>
          <w:szCs w:val="24"/>
        </w:rPr>
        <w:t xml:space="preserve">1.4.1 Rôle de la documentation</w:t>
      </w:r>
    </w:p>
    <w:p>
      <w:pPr>
        <w:spacing w:after="140"/>
      </w:pPr>
      <w:r>
        <w:rPr>
          <w:rFonts w:ascii="Arial" w:cs="Arial" w:eastAsia="Arial" w:hAnsi="Arial"/>
          <w:sz w:val="22"/>
          <w:szCs w:val="22"/>
        </w:rPr>
        <w:t xml:space="preserve">La documentation technique est ce qui transforme une compétence individuelle en actif d'organisation. Un système parfaitement administré mais jamais documenté représente un risque opérationnel majeur : en cas d'absence, de départ ou d'incident touchant l'administrateur système lui-même, personne d'autre ne peut intervenir efficacement. La documentation n'est pas un livrable secondaire produit « quand on a le temps » — c'est une partie intégrante du travail d'administration, au même titre que la configuration elle-même.</w:t>
      </w:r>
    </w:p>
    <w:p>
      <w:pPr>
        <w:pStyle w:val="Heading3"/>
        <w:spacing w:after="100" w:before="240"/>
      </w:pPr>
      <w:r>
        <w:rPr>
          <w:rFonts w:ascii="Arial" w:cs="Arial" w:eastAsia="Arial" w:hAnsi="Arial"/>
          <w:b/>
          <w:bCs/>
          <w:color w:val="2E75B6"/>
          <w:sz w:val="24"/>
          <w:szCs w:val="24"/>
        </w:rPr>
        <w:t xml:space="preserve">1.4.2 Fonctionnement : les types de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2000"/>
        <w:gridCol w:w="2026"/>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Objectif</w:t>
            </w:r>
          </w:p>
        </w:tc>
        <w:tc>
          <w:tcPr>
            <w:tcW w:type="dxa" w:w="2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Fréquence de mise à jour</w:t>
            </w:r>
          </w:p>
        </w:tc>
        <w:tc>
          <w:tcPr>
            <w:tcW w:type="dxa" w:w="2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Documentation d'architecture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Vue d'ensemble durable du système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À chaque changement structurant</w:t>
            </w:r>
          </w:p>
        </w:tc>
        <w:tc>
          <w:tcPr>
            <w:tcW w:type="dxa" w:w="2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Schémas réseau, cartographie applicative (voir 1.3)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Procédures opérationnelles (runbooks)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Exécuter une tâche récurrente de façon fiable et reproductible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À chaque évolution de la procédure</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Procédure de sauvegarde, de bascule de secours</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Documentation de dépannage</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Résoudre rapidement un incident connu</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Après chaque incident significatif</w:t>
            </w:r>
          </w:p>
        </w:tc>
        <w:tc>
          <w:tcPr>
            <w:tcW w:type="dxa" w:w="2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Base de connaissance des pannes récurrentes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Journal des changements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Tracer qui a changé quoi et pourquoi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À chaque changement</w:t>
            </w:r>
          </w:p>
        </w:tc>
        <w:tc>
          <w:tcPr>
            <w:tcW w:type="dxa" w:w="2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Registre des changements (voir Partie X)</w:t>
            </w:r>
          </w:p>
        </w:tc>
      </w:tr>
      <w:tr>
        <w:tc>
          <w:tcPr>
            <w:tcW w:type="dxa" w:w="24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Documentation d'onboarding</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Permettre à un nouvel arrivant de devenir autonome</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Semestrielle ou après refonte majeure</w:t>
            </w:r>
          </w:p>
        </w:tc>
        <w:tc>
          <w:tcPr>
            <w:tcW w:type="dxa" w:w="2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Guide de prise en main de l'infrastructure</w:t>
            </w:r>
          </w:p>
        </w:tc>
      </w:tr>
    </w:tbl>
    <w:p>
      <w:pPr>
        <w:pStyle w:val="Heading3"/>
        <w:spacing w:after="100" w:before="240"/>
      </w:pPr>
      <w:r>
        <w:rPr>
          <w:rFonts w:ascii="Arial" w:cs="Arial" w:eastAsia="Arial" w:hAnsi="Arial"/>
          <w:b/>
          <w:bCs/>
          <w:color w:val="2E75B6"/>
          <w:sz w:val="24"/>
          <w:szCs w:val="24"/>
        </w:rPr>
        <w:t xml:space="preserve">1.4.3 Prérequis</w:t>
      </w:r>
    </w:p>
    <w:p>
      <w:pPr>
        <w:pStyle w:val="ListParagraph"/>
        <w:numPr>
          <w:ilvl w:val="0"/>
          <w:numId w:val="2"/>
        </w:numPr>
        <w:spacing w:after="80"/>
      </w:pPr>
      <w:r>
        <w:rPr>
          <w:rFonts w:ascii="Arial" w:cs="Arial" w:eastAsia="Arial" w:hAnsi="Arial"/>
          <w:sz w:val="22"/>
          <w:szCs w:val="22"/>
        </w:rPr>
        <w:t xml:space="preserve">Un espace de stockage unique et accessible à toute l'équipe technique (pas de documentation éparpillée entre emails, fichiers locaux et mémoire individuelle)</w:t>
      </w:r>
    </w:p>
    <w:p>
      <w:pPr>
        <w:pStyle w:val="ListParagraph"/>
        <w:numPr>
          <w:ilvl w:val="0"/>
          <w:numId w:val="2"/>
        </w:numPr>
        <w:spacing w:after="80"/>
      </w:pPr>
      <w:r>
        <w:rPr>
          <w:rFonts w:ascii="Arial" w:cs="Arial" w:eastAsia="Arial" w:hAnsi="Arial"/>
          <w:sz w:val="22"/>
          <w:szCs w:val="22"/>
        </w:rPr>
        <w:t xml:space="preserve">Une convention de nommage et de structure minimale, pour que deux documents traitant de sujets voisins se ressemblent</w:t>
      </w:r>
    </w:p>
    <w:p>
      <w:pPr>
        <w:pStyle w:val="ListParagraph"/>
        <w:numPr>
          <w:ilvl w:val="0"/>
          <w:numId w:val="2"/>
        </w:numPr>
        <w:spacing w:after="80"/>
      </w:pPr>
      <w:r>
        <w:rPr>
          <w:rFonts w:ascii="Arial" w:cs="Arial" w:eastAsia="Arial" w:hAnsi="Arial"/>
          <w:sz w:val="22"/>
          <w:szCs w:val="22"/>
        </w:rPr>
        <w:t xml:space="preserve">Un mécanisme de contrôle de version, même simple (historique de wiki, dépôt Git)</w:t>
      </w:r>
    </w:p>
    <w:p>
      <w:pPr>
        <w:pStyle w:val="Heading3"/>
        <w:spacing w:after="100" w:before="240"/>
      </w:pPr>
      <w:r>
        <w:rPr>
          <w:rFonts w:ascii="Arial" w:cs="Arial" w:eastAsia="Arial" w:hAnsi="Arial"/>
          <w:b/>
          <w:bCs/>
          <w:color w:val="2E75B6"/>
          <w:sz w:val="24"/>
          <w:szCs w:val="24"/>
        </w:rPr>
        <w:t xml:space="preserve">1.4.4 Mise en place d'un système de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Choisir un outil unique</w:t>
            </w:r>
          </w:p>
          <w:p>
            <w:pPr>
              <w:spacing w:after="0"/>
            </w:pPr>
            <w:r>
              <w:rPr>
                <w:rFonts w:ascii="Arial" w:cs="Arial" w:eastAsia="Arial" w:hAnsi="Arial"/>
                <w:sz w:val="21"/>
                <w:szCs w:val="21"/>
              </w:rPr>
              <w:t xml:space="preserve">Wiki interne (Confluence, Wiki.js, BookStack) ou dépôt Git avec fichiers Markdown, selon la maturité technique de l'équipe.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Définir un squelette de document standard</w:t>
            </w:r>
          </w:p>
          <w:p>
            <w:pPr>
              <w:spacing w:after="0"/>
            </w:pPr>
            <w:r>
              <w:rPr>
                <w:rFonts w:ascii="Arial" w:cs="Arial" w:eastAsia="Arial" w:hAnsi="Arial"/>
                <w:sz w:val="21"/>
                <w:szCs w:val="21"/>
              </w:rPr>
              <w:t xml:space="preserve">Objectif, prérequis, procédure pas à pas, points de vérification, contacts en cas de blocage.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Documenter en priorité le plus critique</w:t>
            </w:r>
          </w:p>
          <w:p>
            <w:pPr>
              <w:spacing w:after="0"/>
            </w:pPr>
            <w:r>
              <w:rPr>
                <w:rFonts w:ascii="Arial" w:cs="Arial" w:eastAsia="Arial" w:hAnsi="Arial"/>
                <w:sz w:val="21"/>
                <w:szCs w:val="21"/>
              </w:rPr>
              <w:t xml:space="preserve">Commencer par les procédures dont l'absence causerait le plus de dommage en cas d'indisponibilité de l'administrateur habituel.</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Intégrer la documentation au processus de changement</w:t>
            </w:r>
          </w:p>
          <w:p>
            <w:pPr>
              <w:spacing w:after="0"/>
            </w:pPr>
            <w:r>
              <w:rPr>
                <w:rFonts w:ascii="Arial" w:cs="Arial" w:eastAsia="Arial" w:hAnsi="Arial"/>
                <w:sz w:val="21"/>
                <w:szCs w:val="21"/>
              </w:rPr>
              <w:t xml:space="preserve">Aucun changement significatif n'est considéré terminé tant que sa documentation n'est pas mise à jour (voir Partie X, gestion des changements).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Auditer périodiquement l'exactitude</w:t>
            </w:r>
          </w:p>
          <w:p>
            <w:pPr>
              <w:spacing w:after="0"/>
            </w:pPr>
            <w:r>
              <w:rPr>
                <w:rFonts w:ascii="Arial" w:cs="Arial" w:eastAsia="Arial" w:hAnsi="Arial"/>
                <w:sz w:val="21"/>
                <w:szCs w:val="21"/>
              </w:rPr>
              <w:t xml:space="preserve">Faire exécuter une procédure documentée par une personne qui ne l'a pas écrite, pour vérifier qu'elle est réellement suivable.</w:t>
            </w:r>
          </w:p>
        </w:tc>
      </w:tr>
    </w:tbl>
    <w:p>
      <w:pPr>
        <w:pStyle w:val="Heading3"/>
        <w:spacing w:after="100" w:before="240"/>
      </w:pPr>
      <w:r>
        <w:rPr>
          <w:rFonts w:ascii="Arial" w:cs="Arial" w:eastAsia="Arial" w:hAnsi="Arial"/>
          <w:b/>
          <w:bCs/>
          <w:color w:val="2E75B6"/>
          <w:sz w:val="24"/>
          <w:szCs w:val="24"/>
        </w:rPr>
        <w:t xml:space="preserve">1.4.5 Structure recommandée d'un runbook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Objectif</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Une phrase expliquant ce que fait la procédure et dans quel contexte l'utiliser.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Prérequis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Accès, outils, informations nécessaires avant de commencer.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Étapes</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Actions numérotées, chacune vérifiable indépendamment.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Vérification</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Comment confirmer que la procédure a réussi.</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Rollback</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Comment revenir en arrière si la procédure échoue en cours de route.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1"/>
                <w:szCs w:val="21"/>
              </w:rPr>
              <w:t xml:space="preserve">Contact</w:t>
            </w:r>
          </w:p>
        </w:tc>
        <w:tc>
          <w:tcPr>
            <w:tcBorders>
              <w:top w:val="single" w:color="CCCCCC" w:sz="1"/>
              <w:left w:val="single" w:color="CCCCCC" w:sz="1"/>
              <w:bottom w:val="single" w:color="CCCCCC" w:sz="1"/>
              <w:right w:val="single" w:color="CCCCCC" w:sz="1"/>
            </w:tcBorders>
            <w:shd w:fill="F5F9FF" w:val="clear"/>
            <w:tcMar>
              <w:top w:type="dxa" w:w="80"/>
              <w:left w:type="dxa" w:w="140"/>
              <w:bottom w:type="dxa" w:w="80"/>
              <w:right w:type="dxa" w:w="120"/>
            </w:tcMar>
          </w:tcPr>
          <w:p>
            <w:r>
              <w:rPr>
                <w:rFonts w:ascii="Arial" w:cs="Arial" w:eastAsia="Arial" w:hAnsi="Arial"/>
                <w:sz w:val="21"/>
                <w:szCs w:val="21"/>
              </w:rPr>
              <w:t xml:space="preserve">Qui contacter en cas de blocage imprévu.</w:t>
            </w:r>
          </w:p>
        </w:tc>
      </w:tr>
    </w:tbl>
    <w:p>
      <w:pPr>
        <w:pStyle w:val="Heading3"/>
        <w:spacing w:after="100" w:before="240"/>
      </w:pPr>
      <w:r>
        <w:rPr>
          <w:rFonts w:ascii="Arial" w:cs="Arial" w:eastAsia="Arial" w:hAnsi="Arial"/>
          <w:b/>
          <w:bCs/>
          <w:color w:val="2E75B6"/>
          <w:sz w:val="24"/>
          <w:szCs w:val="24"/>
        </w:rPr>
        <w:t xml:space="preserve">1.4.6 Administration courante</w:t>
      </w:r>
    </w:p>
    <w:p>
      <w:pPr>
        <w:pStyle w:val="ListParagraph"/>
        <w:numPr>
          <w:ilvl w:val="0"/>
          <w:numId w:val="2"/>
        </w:numPr>
        <w:spacing w:after="80"/>
      </w:pPr>
      <w:r>
        <w:rPr>
          <w:rFonts w:ascii="Arial" w:cs="Arial" w:eastAsia="Arial" w:hAnsi="Arial"/>
          <w:sz w:val="22"/>
          <w:szCs w:val="22"/>
        </w:rPr>
        <w:t xml:space="preserve">Revue de la documentation à chaque changement (voir 1.4.4, étape 4)</w:t>
      </w:r>
    </w:p>
    <w:p>
      <w:pPr>
        <w:pStyle w:val="ListParagraph"/>
        <w:numPr>
          <w:ilvl w:val="0"/>
          <w:numId w:val="2"/>
        </w:numPr>
        <w:spacing w:after="80"/>
      </w:pPr>
      <w:r>
        <w:rPr>
          <w:rFonts w:ascii="Arial" w:cs="Arial" w:eastAsia="Arial" w:hAnsi="Arial"/>
          <w:sz w:val="22"/>
          <w:szCs w:val="22"/>
        </w:rPr>
        <w:t xml:space="preserve">Nettoyage périodique des documents obsolètes plutôt que leur accumulation indéfinie</w:t>
      </w:r>
    </w:p>
    <w:p>
      <w:pPr>
        <w:pStyle w:val="ListParagraph"/>
        <w:numPr>
          <w:ilvl w:val="0"/>
          <w:numId w:val="2"/>
        </w:numPr>
        <w:spacing w:after="80"/>
      </w:pPr>
      <w:r>
        <w:rPr>
          <w:rFonts w:ascii="Arial" w:cs="Arial" w:eastAsia="Arial" w:hAnsi="Arial"/>
          <w:sz w:val="22"/>
          <w:szCs w:val="22"/>
        </w:rPr>
        <w:t xml:space="preserve">Formation des nouveaux arrivants directement via la documentation existante, pour en tester la qualité en conditions réelles</w:t>
      </w:r>
    </w:p>
    <w:p>
      <w:pPr>
        <w:pStyle w:val="Heading3"/>
        <w:spacing w:after="100" w:before="240"/>
      </w:pPr>
      <w:r>
        <w:rPr>
          <w:rFonts w:ascii="Arial" w:cs="Arial" w:eastAsia="Arial" w:hAnsi="Arial"/>
          <w:b/>
          <w:bCs/>
          <w:color w:val="2E75B6"/>
          <w:sz w:val="24"/>
          <w:szCs w:val="24"/>
        </w:rPr>
        <w:t xml:space="preserve">1.4.7 Outils recommandés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w:t>
            </w:r>
          </w:p>
        </w:tc>
        <w:tc>
          <w:tcPr>
            <w:tcW w:type="dxa" w:w="26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2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Points forts</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Wiki.js / BookStack</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Wiki auto-hébergé</w:t>
            </w:r>
          </w:p>
        </w:tc>
        <w:tc>
          <w:tcPr>
            <w:tcW w:type="dxa" w:w="4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Gratuit, structuration hiérarchique, recherche intégrée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Confluence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Wiki d'entreprise (Atlassian)</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Intégration native avec Jira, très répandu en entreprise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Dépôt Git + Markdown</w:t>
            </w:r>
          </w:p>
        </w:tc>
        <w:tc>
          <w:tcPr>
            <w:tcW w:type="dxa" w:w="26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Documentation as code</w:t>
            </w:r>
          </w:p>
        </w:tc>
        <w:tc>
          <w:tcPr>
            <w:tcW w:type="dxa" w:w="42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Versionné avec le code, historique complet, revue par pull request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Espace de travail documentaire</w:t>
            </w:r>
          </w:p>
        </w:tc>
        <w:tc>
          <w:tcPr>
            <w:tcW w:type="dxa" w:w="42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Flexible, bonne prise en main, adapté aux petites équipes</w:t>
            </w:r>
          </w:p>
        </w:tc>
      </w:tr>
    </w:tbl>
    <w:p>
      <w:pPr>
        <w:pStyle w:val="Heading3"/>
        <w:spacing w:after="100" w:before="240"/>
      </w:pPr>
      <w:r>
        <w:rPr>
          <w:rFonts w:ascii="Arial" w:cs="Arial" w:eastAsia="Arial" w:hAnsi="Arial"/>
          <w:b/>
          <w:bCs/>
          <w:color w:val="2E75B6"/>
          <w:sz w:val="24"/>
          <w:szCs w:val="24"/>
        </w:rPr>
        <w:t xml:space="preserve">1.4.8 Bonnes pratiques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80"/>
            </w:pPr>
            <w:r>
              <w:rPr>
                <w:rFonts w:ascii="Arial" w:cs="Arial" w:eastAsia="Arial" w:hAnsi="Arial"/>
                <w:b/>
                <w:bCs/>
                <w:color w:val="2D7D32"/>
                <w:sz w:val="21"/>
                <w:szCs w:val="21"/>
              </w:rPr>
              <w:t xml:space="preserve">💡 À appliquer systématiquement</w:t>
            </w:r>
          </w:p>
          <w:p>
            <w:pPr>
              <w:spacing w:after="60"/>
            </w:pPr>
            <w:r>
              <w:rPr>
                <w:rFonts w:ascii="Arial" w:cs="Arial" w:eastAsia="Arial" w:hAnsi="Arial"/>
                <w:sz w:val="21"/>
                <w:szCs w:val="21"/>
              </w:rPr>
              <w:t xml:space="preserve">  • Écrire la documentation immédiatement après avoir résolu un problème, pendant que le contexte est encore frais</w:t>
            </w:r>
          </w:p>
          <w:p>
            <w:pPr>
              <w:spacing w:after="60"/>
            </w:pPr>
            <w:r>
              <w:rPr>
                <w:rFonts w:ascii="Arial" w:cs="Arial" w:eastAsia="Arial" w:hAnsi="Arial"/>
                <w:sz w:val="21"/>
                <w:szCs w:val="21"/>
              </w:rPr>
              <w:t xml:space="preserve">  • Préférer des captures d'écran ou des exemples de commandes réels à des descriptions purement théoriques</w:t>
            </w:r>
          </w:p>
          <w:p>
            <w:pPr>
              <w:spacing w:after="60"/>
            </w:pPr>
            <w:r>
              <w:rPr>
                <w:rFonts w:ascii="Arial" w:cs="Arial" w:eastAsia="Arial" w:hAnsi="Arial"/>
                <w:sz w:val="21"/>
                <w:szCs w:val="21"/>
              </w:rPr>
              <w:t xml:space="preserve">  • Dater et signer chaque mise à jour significative de document</w:t>
            </w:r>
          </w:p>
          <w:p>
            <w:pPr>
              <w:spacing w:after="0"/>
            </w:pPr>
            <w:r>
              <w:rPr>
                <w:rFonts w:ascii="Arial" w:cs="Arial" w:eastAsia="Arial" w:hAnsi="Arial"/>
                <w:sz w:val="21"/>
                <w:szCs w:val="21"/>
              </w:rPr>
              <w:t xml:space="preserve">  • Écrire pour un lecteur qui ne connaît pas déjà le contexte, pas pour soi-même six mois plus tard</w:t>
            </w:r>
          </w:p>
        </w:tc>
      </w:tr>
    </w:tbl>
    <w:p>
      <w:pPr>
        <w:pStyle w:val="Heading3"/>
        <w:spacing w:after="100" w:before="240"/>
      </w:pPr>
      <w:r>
        <w:rPr>
          <w:rFonts w:ascii="Arial" w:cs="Arial" w:eastAsia="Arial" w:hAnsi="Arial"/>
          <w:b/>
          <w:bCs/>
          <w:color w:val="2E75B6"/>
          <w:sz w:val="24"/>
          <w:szCs w:val="24"/>
        </w:rPr>
        <w:t xml:space="preserve">1.4.9 Erreurs courantes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À éviter</w:t>
            </w:r>
          </w:p>
          <w:p>
            <w:pPr>
              <w:spacing w:after="60"/>
            </w:pPr>
            <w:r>
              <w:rPr>
                <w:rFonts w:ascii="Arial" w:cs="Arial" w:eastAsia="Arial" w:hAnsi="Arial"/>
                <w:sz w:val="21"/>
                <w:szCs w:val="21"/>
              </w:rPr>
              <w:t xml:space="preserve">  • Documenter une fois puis ne jamais mettre à jour, laissant la documentation dériver silencieusement de la réalité</w:t>
            </w:r>
          </w:p>
          <w:p>
            <w:pPr>
              <w:spacing w:after="60"/>
            </w:pPr>
            <w:r>
              <w:rPr>
                <w:rFonts w:ascii="Arial" w:cs="Arial" w:eastAsia="Arial" w:hAnsi="Arial"/>
                <w:sz w:val="21"/>
                <w:szCs w:val="21"/>
              </w:rPr>
              <w:t xml:space="preserve">  • Une documentation trop théorique, sans étapes concrètes exécutables</w:t>
            </w:r>
          </w:p>
          <w:p>
            <w:pPr>
              <w:spacing w:after="60"/>
            </w:pPr>
            <w:r>
              <w:rPr>
                <w:rFonts w:ascii="Arial" w:cs="Arial" w:eastAsia="Arial" w:hAnsi="Arial"/>
                <w:sz w:val="21"/>
                <w:szCs w:val="21"/>
              </w:rPr>
              <w:t xml:space="preserve">  • Multiplier les emplacements de stockage (email, disque local, wiki) sans source de vérité unique</w:t>
            </w:r>
          </w:p>
          <w:p>
            <w:pPr>
              <w:spacing w:after="0"/>
            </w:pPr>
            <w:r>
              <w:rPr>
                <w:rFonts w:ascii="Arial" w:cs="Arial" w:eastAsia="Arial" w:hAnsi="Arial"/>
                <w:sz w:val="21"/>
                <w:szCs w:val="21"/>
              </w:rPr>
              <w:t xml:space="preserve">  • Documenter des mots de passe ou secrets en clair dans un wiki non chiffré (voir Partie XI, gestion des secrets)</w:t>
            </w:r>
          </w:p>
        </w:tc>
      </w:tr>
    </w:tbl>
    <w:p>
      <w:pPr>
        <w:pStyle w:val="Heading3"/>
        <w:spacing w:after="100" w:before="240"/>
      </w:pPr>
      <w:r>
        <w:rPr>
          <w:rFonts w:ascii="Arial" w:cs="Arial" w:eastAsia="Arial" w:hAnsi="Arial"/>
          <w:b/>
          <w:bCs/>
          <w:color w:val="2E75B6"/>
          <w:sz w:val="24"/>
          <w:szCs w:val="24"/>
        </w:rPr>
        <w:t xml:space="preserve">1.4.10 Dépannage d'une documentation défaillante</w:t>
      </w:r>
    </w:p>
    <w:p>
      <w:pPr>
        <w:spacing w:after="140"/>
      </w:pPr>
      <w:r>
        <w:rPr>
          <w:rFonts w:ascii="Arial" w:cs="Arial" w:eastAsia="Arial" w:hAnsi="Arial"/>
          <w:sz w:val="22"/>
          <w:szCs w:val="22"/>
        </w:rPr>
        <w:t xml:space="preserve">Une documentation qui n'est jamais consultée est souvent un symptôme, pas une cause : elle indique généralement qu'elle est trop difficile à trouver, trop longue, ou perçue comme non fiable suite à des expériences passées où elle s'est révélée obsolète. La correction passe rarement par « écrire plus », mais par restructurer l'existant (le rendre plus court, plus cherchable, daté) et par restaurer la confiance via un premier audit de fiabilité.</w:t>
      </w:r>
    </w:p>
    <w:p>
      <w:pPr>
        <w:pStyle w:val="Heading3"/>
        <w:spacing w:after="100" w:before="240"/>
      </w:pPr>
      <w:r>
        <w:rPr>
          <w:rFonts w:ascii="Arial" w:cs="Arial" w:eastAsia="Arial" w:hAnsi="Arial"/>
          <w:b/>
          <w:bCs/>
          <w:color w:val="2E75B6"/>
          <w:sz w:val="24"/>
          <w:szCs w:val="24"/>
        </w:rPr>
        <w:t xml:space="preserve">1.4.11 Recommandations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A1B9A" w:sz="4"/>
              <w:left w:val="single" w:color="6A1B9A" w:sz="12"/>
              <w:bottom w:val="single" w:color="6A1B9A" w:sz="4"/>
              <w:right w:val="single" w:color="6A1B9A" w:sz="4"/>
            </w:tcBorders>
            <w:shd w:fill="F3E5F5" w:val="clear"/>
            <w:tcMar>
              <w:top w:type="dxa" w:w="120"/>
              <w:left w:type="dxa" w:w="180"/>
              <w:bottom w:type="dxa" w:w="120"/>
              <w:right w:type="dxa" w:w="180"/>
            </w:tcMar>
          </w:tcPr>
          <w:p>
            <w:pPr>
              <w:spacing w:after="40"/>
            </w:pPr>
            <w:r>
              <w:rPr>
                <w:rFonts w:ascii="Arial" w:cs="Arial" w:eastAsia="Arial" w:hAnsi="Arial"/>
                <w:b/>
                <w:bCs/>
                <w:color w:val="6A1B9A"/>
                <w:sz w:val="21"/>
                <w:szCs w:val="21"/>
              </w:rPr>
              <w:t xml:space="preserve">🔒 SÉCURITÉ</w:t>
            </w:r>
          </w:p>
          <w:p>
            <w:pPr>
              <w:spacing w:after="0"/>
            </w:pPr>
            <w:r>
              <w:rPr>
                <w:rFonts w:ascii="Arial" w:cs="Arial" w:eastAsia="Arial" w:hAnsi="Arial"/>
                <w:color w:val="000000"/>
                <w:sz w:val="21"/>
                <w:szCs w:val="21"/>
              </w:rPr>
              <w:t xml:space="preserve">La documentation technique décrit souvent, en creux, l'architecture de sécurité d'un système. Elle doit donc être protégée avec un niveau d'accès cohérent avec sa sensibilité : accessible à toute l'équipe technique pour les procédures opérationnelles, mais restreinte pour les schémas d'architecture de sécurité détaillés ou tout document contenant des éléments d'authentification. Ne jamais publier de documentation technique sensible sur un espace public ou insuffisamment protégé.</w:t>
            </w:r>
          </w:p>
        </w:tc>
      </w:tr>
    </w:tbl>
    <w:p>
      <w:pPr>
        <w:pStyle w:val="Heading3"/>
        <w:spacing w:after="100" w:before="240"/>
      </w:pPr>
      <w:r>
        <w:rPr>
          <w:rFonts w:ascii="Arial" w:cs="Arial" w:eastAsia="Arial" w:hAnsi="Arial"/>
          <w:b/>
          <w:bCs/>
          <w:color w:val="2E75B6"/>
          <w:sz w:val="24"/>
          <w:szCs w:val="24"/>
        </w:rPr>
        <w:t xml:space="preserve">1.4.12 Cas pratique — Haitech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D6E00" w:sz="4"/>
              <w:left w:val="single" w:color="8D6E00" w:sz="12"/>
              <w:bottom w:val="single" w:color="8D6E00" w:sz="4"/>
              <w:right w:val="single" w:color="8D6E00" w:sz="4"/>
            </w:tcBorders>
            <w:shd w:fill="FFF8E1" w:val="clear"/>
            <w:tcMar>
              <w:top w:type="dxa" w:w="120"/>
              <w:left w:type="dxa" w:w="180"/>
              <w:bottom w:type="dxa" w:w="120"/>
              <w:right w:type="dxa" w:w="180"/>
            </w:tcMar>
          </w:tcPr>
          <w:p>
            <w:pPr>
              <w:spacing w:after="40"/>
            </w:pPr>
            <w:r>
              <w:rPr>
                <w:rFonts w:ascii="Arial" w:cs="Arial" w:eastAsia="Arial" w:hAnsi="Arial"/>
                <w:b/>
                <w:bCs/>
                <w:color w:val="8D6E00"/>
                <w:sz w:val="21"/>
                <w:szCs w:val="21"/>
              </w:rPr>
              <w:t xml:space="preserve">📌 CAS PRATIQUE</w:t>
            </w:r>
          </w:p>
          <w:p>
            <w:pPr>
              <w:spacing w:after="0"/>
            </w:pPr>
            <w:r>
              <w:rPr>
                <w:rFonts w:ascii="Arial" w:cs="Arial" w:eastAsia="Arial" w:hAnsi="Arial"/>
                <w:color w:val="000000"/>
                <w:sz w:val="21"/>
                <w:szCs w:val="21"/>
              </w:rPr>
              <w:t xml:space="preserve">Le module Documents/KYC de BANKA et la documentation `docs/MAIL_SERVER_SETUP.md` de POSTA (configuration Postfix/Dovecot/OpenDKIM prête à déployer, rédigée avant même que le serveur ne soit provisionné) illustrent la bonne pratique centrale de ce chapitre : documenter une procédure avant ou pendant sa mise en œuvre, pas après coup de mémoire. Ce même réflexe — documenter le pourquoi d'une décision technique au moment où elle est prise plutôt que de compter sur la mémoire de l'équipe — est ce qui permet, des mois plus tard, de reprendre un chantier interrompu sans tout redécouvrir à partir de zéro.</w:t>
            </w:r>
          </w:p>
        </w:tc>
      </w:tr>
    </w:tbl>
    <w:p>
      <w:r>
        <w:br w:type="page"/>
      </w:r>
    </w:p>
    <w:p>
      <w:pPr>
        <w:pStyle w:val="Heading2"/>
        <w:spacing w:after="120" w:before="320"/>
      </w:pPr>
      <w:r>
        <w:rPr>
          <w:rFonts w:ascii="Arial" w:cs="Arial" w:eastAsia="Arial" w:hAnsi="Arial"/>
          <w:b/>
          <w:bCs/>
          <w:color w:val="1F4E79"/>
          <w:sz w:val="28"/>
          <w:szCs w:val="28"/>
        </w:rPr>
        <w:t xml:space="preserve">1.5 Gestion des actifs informatiques et inventaire</w:t>
      </w:r>
    </w:p>
    <w:p>
      <w:pPr>
        <w:pStyle w:val="Heading3"/>
        <w:spacing w:after="100" w:before="240"/>
      </w:pPr>
      <w:r>
        <w:rPr>
          <w:rFonts w:ascii="Arial" w:cs="Arial" w:eastAsia="Arial" w:hAnsi="Arial"/>
          <w:b/>
          <w:bCs/>
          <w:color w:val="2E75B6"/>
          <w:sz w:val="24"/>
          <w:szCs w:val="24"/>
        </w:rPr>
        <w:t xml:space="preserve">1.5.1 Rôle de la gestion des actifs</w:t>
      </w:r>
    </w:p>
    <w:p>
      <w:pPr>
        <w:spacing w:after="140"/>
      </w:pPr>
      <w:r>
        <w:rPr>
          <w:rFonts w:ascii="Arial" w:cs="Arial" w:eastAsia="Arial" w:hAnsi="Arial"/>
          <w:sz w:val="22"/>
          <w:szCs w:val="22"/>
        </w:rPr>
        <w:t xml:space="preserve">La gestion des actifs informatiques (IT Asset Management, ITAM) consiste à connaître à tout instant ce que l'organisation possède, où cela se trouve, qui en est responsable, et dans quel état de cycle de vie cela se situe. C'est un prérequis silencieux à presque toutes les autres disciplines de ce manuel : on ne peut pas sécuriser un serveur dont on ignore l'existence, planifier un renouvellement de licence qu'on ne sait pas expirer, ni évaluer l'impact d'un incident sans savoir quels systèmes en dépendent.</w:t>
      </w:r>
    </w:p>
    <w:p>
      <w:pPr>
        <w:pStyle w:val="Heading3"/>
        <w:spacing w:after="100" w:before="240"/>
      </w:pPr>
      <w:r>
        <w:rPr>
          <w:rFonts w:ascii="Arial" w:cs="Arial" w:eastAsia="Arial" w:hAnsi="Arial"/>
          <w:b/>
          <w:bCs/>
          <w:color w:val="2E75B6"/>
          <w:sz w:val="24"/>
          <w:szCs w:val="24"/>
        </w:rPr>
        <w:t xml:space="preserve">1.5.2 Fonctionnement : le cycle de vie d'un actif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026"/>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Phase</w:t>
            </w:r>
          </w:p>
        </w:tc>
        <w:tc>
          <w:tcPr>
            <w:tcW w:type="dxa" w:w="4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Activités</w:t>
            </w:r>
          </w:p>
        </w:tc>
        <w:tc>
          <w:tcPr>
            <w:tcW w:type="dxa" w:w="3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Point de vigilance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Acquisition</w:t>
            </w:r>
          </w:p>
        </w:tc>
        <w:tc>
          <w:tcPr>
            <w:tcW w:type="dxa" w:w="4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Achat, réception, enregistrement initial dans l'inventaire</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Enregistrer avant mise en service, pas après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Déploiement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Installation, configuration, affectation à un usage ou un utilisateur</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Mettre à jour l'inventaire à chaque affectation</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Exploitation</w:t>
            </w:r>
          </w:p>
        </w:tc>
        <w:tc>
          <w:tcPr>
            <w:tcW w:type="dxa" w:w="4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Utilisation courante, maintenance, mises à jour</w:t>
            </w:r>
          </w:p>
        </w:tc>
        <w:tc>
          <w:tcPr>
            <w:tcW w:type="dxa" w:w="3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Revue périodique de l'état réel vs. l'inventaire déclaré</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 de vie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Retrait, décommissionnement, destruction sécurisée des données</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Effacement sécurisé avant toute mise au rebut ou revente</w:t>
            </w:r>
          </w:p>
        </w:tc>
      </w:tr>
    </w:tbl>
    <w:p>
      <w:pPr>
        <w:pStyle w:val="Heading3"/>
        <w:spacing w:after="100" w:before="240"/>
      </w:pPr>
      <w:r>
        <w:rPr>
          <w:rFonts w:ascii="Arial" w:cs="Arial" w:eastAsia="Arial" w:hAnsi="Arial"/>
          <w:b/>
          <w:bCs/>
          <w:color w:val="2E75B6"/>
          <w:sz w:val="24"/>
          <w:szCs w:val="24"/>
        </w:rPr>
        <w:t xml:space="preserve">1.5.3 Prérequis</w:t>
      </w:r>
    </w:p>
    <w:p>
      <w:pPr>
        <w:pStyle w:val="ListParagraph"/>
        <w:numPr>
          <w:ilvl w:val="0"/>
          <w:numId w:val="2"/>
        </w:numPr>
        <w:spacing w:after="80"/>
      </w:pPr>
      <w:r>
        <w:rPr>
          <w:rFonts w:ascii="Arial" w:cs="Arial" w:eastAsia="Arial" w:hAnsi="Arial"/>
          <w:sz w:val="22"/>
          <w:szCs w:val="22"/>
        </w:rPr>
        <w:t xml:space="preserve">Un référentiel unique d'inventaire (feuille de calcul au minimum, outil ITAM/CMDB ensuite)</w:t>
      </w:r>
    </w:p>
    <w:p>
      <w:pPr>
        <w:pStyle w:val="ListParagraph"/>
        <w:numPr>
          <w:ilvl w:val="0"/>
          <w:numId w:val="2"/>
        </w:numPr>
        <w:spacing w:after="80"/>
      </w:pPr>
      <w:r>
        <w:rPr>
          <w:rFonts w:ascii="Arial" w:cs="Arial" w:eastAsia="Arial" w:hAnsi="Arial"/>
          <w:sz w:val="22"/>
          <w:szCs w:val="22"/>
        </w:rPr>
        <w:t xml:space="preserve">Une convention de nommage cohérente pour tous les équipements (voir exemple Partie II, étiquetage réseau)</w:t>
      </w:r>
    </w:p>
    <w:p>
      <w:pPr>
        <w:pStyle w:val="ListParagraph"/>
        <w:numPr>
          <w:ilvl w:val="0"/>
          <w:numId w:val="2"/>
        </w:numPr>
        <w:spacing w:after="80"/>
      </w:pPr>
      <w:r>
        <w:rPr>
          <w:rFonts w:ascii="Arial" w:cs="Arial" w:eastAsia="Arial" w:hAnsi="Arial"/>
          <w:sz w:val="22"/>
          <w:szCs w:val="22"/>
        </w:rPr>
        <w:t xml:space="preserve">Un processus d'entrée/sortie de matériel formalisé, même simple</w:t>
      </w:r>
    </w:p>
    <w:p>
      <w:pPr>
        <w:pStyle w:val="Heading3"/>
        <w:spacing w:after="100" w:before="240"/>
      </w:pPr>
      <w:r>
        <w:rPr>
          <w:rFonts w:ascii="Arial" w:cs="Arial" w:eastAsia="Arial" w:hAnsi="Arial"/>
          <w:b/>
          <w:bCs/>
          <w:color w:val="2E75B6"/>
          <w:sz w:val="24"/>
          <w:szCs w:val="24"/>
        </w:rPr>
        <w:t xml:space="preserve">1.5.4 Mise en place d'un inventaire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1</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Réaliser un état des lieux physique</w:t>
            </w:r>
          </w:p>
          <w:p>
            <w:pPr>
              <w:spacing w:after="0"/>
            </w:pPr>
            <w:r>
              <w:rPr>
                <w:rFonts w:ascii="Arial" w:cs="Arial" w:eastAsia="Arial" w:hAnsi="Arial"/>
                <w:sz w:val="21"/>
                <w:szCs w:val="21"/>
              </w:rPr>
              <w:t xml:space="preserve">Recenser tout le matériel existant : serveurs, postes, réseau, périphériques, licences.</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2</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Choisir un référentiel de données</w:t>
            </w:r>
          </w:p>
          <w:p>
            <w:pPr>
              <w:spacing w:after="0"/>
            </w:pPr>
            <w:r>
              <w:rPr>
                <w:rFonts w:ascii="Arial" w:cs="Arial" w:eastAsia="Arial" w:hAnsi="Arial"/>
                <w:sz w:val="21"/>
                <w:szCs w:val="21"/>
              </w:rPr>
              <w:t xml:space="preserve">Colonnes minimales : identifiant, type, modèle, numéro de série, localisation, responsable, date d'acquisition, statut.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3</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Étiqueter physiquement le matériel</w:t>
            </w:r>
          </w:p>
          <w:p>
            <w:pPr>
              <w:spacing w:after="0"/>
            </w:pPr>
            <w:r>
              <w:rPr>
                <w:rFonts w:ascii="Arial" w:cs="Arial" w:eastAsia="Arial" w:hAnsi="Arial"/>
                <w:sz w:val="21"/>
                <w:szCs w:val="21"/>
              </w:rPr>
              <w:t xml:space="preserve">Étiquette avec identifiant unique correspondant à l'inventaire, sur chaque équipement significatif.</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4</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Recenser les licences logicielles</w:t>
            </w:r>
          </w:p>
          <w:p>
            <w:pPr>
              <w:spacing w:after="0"/>
            </w:pPr>
            <w:r>
              <w:rPr>
                <w:rFonts w:ascii="Arial" w:cs="Arial" w:eastAsia="Arial" w:hAnsi="Arial"/>
                <w:sz w:val="21"/>
                <w:szCs w:val="21"/>
              </w:rPr>
              <w:t xml:space="preserve">Éditeur, nombre de licences achetées, nombre utilisées, date d'expiration ou de renouvellement.</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Borders>
              <w:top w:val="none" w:sz="0"/>
              <w:left w:val="none" w:sz="0"/>
              <w:bottom w:val="none" w:sz="0"/>
              <w:right w:val="none" w:sz="0"/>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2"/>
                <w:szCs w:val="22"/>
              </w:rPr>
              <w:t xml:space="preserve">ÉTAPE
5</w:t>
            </w:r>
          </w:p>
        </w:tc>
        <w:tc>
          <w:tcPr>
            <w:tcBorders>
              <w:top w:val="single" w:color="CCCCCC" w:sz="1"/>
              <w:left w:val="none" w:sz="0"/>
              <w:bottom w:val="single" w:color="CCCCCC" w:sz="1"/>
              <w:right w:val="single" w:color="CCCCCC" w:sz="1"/>
            </w:tcBorders>
            <w:shd w:fill="EBF3FB" w:val="clear"/>
            <w:tcMar>
              <w:top w:type="dxa" w:w="100"/>
              <w:left w:type="dxa" w:w="180"/>
              <w:bottom w:type="dxa" w:w="100"/>
              <w:right w:type="dxa" w:w="120"/>
            </w:tcMar>
          </w:tcPr>
          <w:p>
            <w:pPr>
              <w:spacing w:after="40"/>
            </w:pPr>
            <w:r>
              <w:rPr>
                <w:rFonts w:ascii="Arial" w:cs="Arial" w:eastAsia="Arial" w:hAnsi="Arial"/>
                <w:b/>
                <w:bCs/>
                <w:color w:val="1F4E79"/>
                <w:sz w:val="22"/>
                <w:szCs w:val="22"/>
              </w:rPr>
              <w:t xml:space="preserve">Mettre en place une revue périodique</w:t>
            </w:r>
          </w:p>
          <w:p>
            <w:pPr>
              <w:spacing w:after="0"/>
            </w:pPr>
            <w:r>
              <w:rPr>
                <w:rFonts w:ascii="Arial" w:cs="Arial" w:eastAsia="Arial" w:hAnsi="Arial"/>
                <w:sz w:val="21"/>
                <w:szCs w:val="21"/>
              </w:rPr>
              <w:t xml:space="preserve">Rapprochement trimestriel entre inventaire déclaré et réalité constatée sur le terrain.</w:t>
            </w:r>
          </w:p>
        </w:tc>
      </w:tr>
    </w:tbl>
    <w:p>
      <w:pPr>
        <w:pStyle w:val="Heading3"/>
        <w:spacing w:after="100" w:before="240"/>
      </w:pPr>
      <w:r>
        <w:rPr>
          <w:rFonts w:ascii="Arial" w:cs="Arial" w:eastAsia="Arial" w:hAnsi="Arial"/>
          <w:b/>
          <w:bCs/>
          <w:color w:val="2E75B6"/>
          <w:sz w:val="24"/>
          <w:szCs w:val="24"/>
        </w:rPr>
        <w:t xml:space="preserve">1.5.5 Modèle de fiche d'inventaire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Champ</w:t>
            </w:r>
          </w:p>
        </w:tc>
        <w:tc>
          <w:tcPr>
            <w:tcW w:type="dxa" w:w="6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Exemple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Identifiant</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SRV-OTELA-01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Type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Serveur physique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Modèle / Référence</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Dell PowerEdge R450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Numéro de série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ABCD1234</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Localisation</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Salle serveur, Rack A, U10-U12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Responsable</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Administrateur système</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Date d'acquisition</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2026-01-15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Statut</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 production</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Garantie jusqu'au</w:t>
            </w:r>
          </w:p>
        </w:tc>
        <w:tc>
          <w:tcPr>
            <w:tcW w:type="dxa" w:w="6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2029-01-15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Systèmes hébergés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Base de données OTELA, backend applicatif</w:t>
            </w:r>
          </w:p>
        </w:tc>
      </w:tr>
    </w:tbl>
    <w:p>
      <w:pPr>
        <w:pStyle w:val="Heading3"/>
        <w:spacing w:after="100" w:before="240"/>
      </w:pPr>
      <w:r>
        <w:rPr>
          <w:rFonts w:ascii="Arial" w:cs="Arial" w:eastAsia="Arial" w:hAnsi="Arial"/>
          <w:b/>
          <w:bCs/>
          <w:color w:val="2E75B6"/>
          <w:sz w:val="24"/>
          <w:szCs w:val="24"/>
        </w:rPr>
        <w:t xml:space="preserve">1.5.6 Administration courante</w:t>
      </w:r>
    </w:p>
    <w:p>
      <w:pPr>
        <w:pStyle w:val="ListParagraph"/>
        <w:numPr>
          <w:ilvl w:val="0"/>
          <w:numId w:val="2"/>
        </w:numPr>
        <w:spacing w:after="80"/>
      </w:pPr>
      <w:r>
        <w:rPr>
          <w:rFonts w:ascii="Arial" w:cs="Arial" w:eastAsia="Arial" w:hAnsi="Arial"/>
          <w:sz w:val="22"/>
          <w:szCs w:val="22"/>
        </w:rPr>
        <w:t xml:space="preserve">Mettre à jour l'inventaire à chaque mouvement de matériel (entrée, sortie, déplacement, remplacement)</w:t>
      </w:r>
    </w:p>
    <w:p>
      <w:pPr>
        <w:pStyle w:val="ListParagraph"/>
        <w:numPr>
          <w:ilvl w:val="0"/>
          <w:numId w:val="2"/>
        </w:numPr>
        <w:spacing w:after="80"/>
      </w:pPr>
      <w:r>
        <w:rPr>
          <w:rFonts w:ascii="Arial" w:cs="Arial" w:eastAsia="Arial" w:hAnsi="Arial"/>
          <w:sz w:val="22"/>
          <w:szCs w:val="22"/>
        </w:rPr>
        <w:t xml:space="preserve">Suivre les échéances de garantie et de fin de support (voir Partie X, gestion des mises à jour)</w:t>
      </w:r>
    </w:p>
    <w:p>
      <w:pPr>
        <w:pStyle w:val="ListParagraph"/>
        <w:numPr>
          <w:ilvl w:val="0"/>
          <w:numId w:val="2"/>
        </w:numPr>
        <w:spacing w:after="80"/>
      </w:pPr>
      <w:r>
        <w:rPr>
          <w:rFonts w:ascii="Arial" w:cs="Arial" w:eastAsia="Arial" w:hAnsi="Arial"/>
          <w:sz w:val="22"/>
          <w:szCs w:val="22"/>
        </w:rPr>
        <w:t xml:space="preserve">Réconcilier périodiquement l'inventaire déclaratif avec un scan réseau automatisé (voir outils ci-dessous)</w:t>
      </w:r>
    </w:p>
    <w:p>
      <w:pPr>
        <w:pStyle w:val="Heading3"/>
        <w:spacing w:after="100" w:before="240"/>
      </w:pPr>
      <w:r>
        <w:rPr>
          <w:rFonts w:ascii="Arial" w:cs="Arial" w:eastAsia="Arial" w:hAnsi="Arial"/>
          <w:b/>
          <w:bCs/>
          <w:color w:val="2E75B6"/>
          <w:sz w:val="24"/>
          <w:szCs w:val="24"/>
        </w:rPr>
        <w:t xml:space="preserve">1.5.7 Outils d'inventaire et de découverte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26"/>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Outil</w:t>
            </w:r>
          </w:p>
        </w:tc>
        <w:tc>
          <w:tcPr>
            <w:tcW w:type="dxa" w:w="2800"/>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Type</w:t>
            </w:r>
          </w:p>
        </w:tc>
        <w:tc>
          <w:tcPr>
            <w:tcW w:type="dxa" w:w="4026"/>
            <w:tcBorders>
              <w:top w:val="single" w:color="CCCCCC" w:sz="1"/>
              <w:left w:val="single" w:color="CCCCCC" w:sz="1"/>
              <w:bottom w:val="single" w:color="CCCCCC" w:sz="1"/>
              <w:right w:val="single" w:color="CCCCCC" w:sz="1"/>
            </w:tcBorders>
            <w:shd w:fill="1F4E79"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Usage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GLPI</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ITAM/CMDB open source complet</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Inventaire, gestion de parc, tickets intégrés — bon point de départ PME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Snipe-IT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ITAM open source léger</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Suivi de matériel et de licences, interface simple</w:t>
            </w:r>
          </w:p>
        </w:tc>
      </w:tr>
      <w:tr>
        <w:tc>
          <w:tcPr>
            <w:tcW w:type="dxa" w:w="2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Lansweeper / Nmap</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Découverte réseau automatisée</w:t>
            </w:r>
          </w:p>
        </w:tc>
        <w:tc>
          <w:tcPr>
            <w:tcW w:type="dxa" w:w="4026"/>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r>
              <w:rPr>
                <w:rFonts w:ascii="Arial" w:cs="Arial" w:eastAsia="Arial" w:hAnsi="Arial"/>
                <w:sz w:val="20"/>
                <w:szCs w:val="20"/>
              </w:rPr>
              <w:t xml:space="preserve">Scan périodique pour détecter les équipements non déclarés (shadow 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NetBox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CMDB orientée infrastructure réseau</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Documentation d'adressage IP, câblage, racks (complète Partie II)</w:t>
            </w:r>
          </w:p>
        </w:tc>
      </w:tr>
    </w:tbl>
    <w:p>
      <w:pPr>
        <w:pStyle w:val="Heading3"/>
        <w:spacing w:after="100" w:before="240"/>
      </w:pPr>
      <w:r>
        <w:rPr>
          <w:rFonts w:ascii="Arial" w:cs="Arial" w:eastAsia="Arial" w:hAnsi="Arial"/>
          <w:b/>
          <w:bCs/>
          <w:color w:val="2E75B6"/>
          <w:sz w:val="24"/>
          <w:szCs w:val="24"/>
        </w:rPr>
        <w:t xml:space="preserve">1.5.8 Bonnes pratiques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D7D32" w:sz="4"/>
              <w:left w:val="single" w:color="2D7D32" w:sz="12"/>
              <w:bottom w:val="single" w:color="2D7D32" w:sz="4"/>
              <w:right w:val="single" w:color="2D7D32" w:sz="4"/>
            </w:tcBorders>
            <w:shd w:fill="EBF5E9" w:val="clear"/>
            <w:tcMar>
              <w:top w:type="dxa" w:w="120"/>
              <w:left w:type="dxa" w:w="180"/>
              <w:bottom w:type="dxa" w:w="120"/>
              <w:right w:type="dxa" w:w="180"/>
            </w:tcMar>
          </w:tcPr>
          <w:p>
            <w:pPr>
              <w:spacing w:after="80"/>
            </w:pPr>
            <w:r>
              <w:rPr>
                <w:rFonts w:ascii="Arial" w:cs="Arial" w:eastAsia="Arial" w:hAnsi="Arial"/>
                <w:b/>
                <w:bCs/>
                <w:color w:val="2D7D32"/>
                <w:sz w:val="21"/>
                <w:szCs w:val="21"/>
              </w:rPr>
              <w:t xml:space="preserve">💡 À appliquer systématiquement</w:t>
            </w:r>
          </w:p>
          <w:p>
            <w:pPr>
              <w:spacing w:after="60"/>
            </w:pPr>
            <w:r>
              <w:rPr>
                <w:rFonts w:ascii="Arial" w:cs="Arial" w:eastAsia="Arial" w:hAnsi="Arial"/>
                <w:sz w:val="21"/>
                <w:szCs w:val="21"/>
              </w:rPr>
              <w:t xml:space="preserve">  • Enregistrer un actif dans l'inventaire avant sa mise en production, jamais après</w:t>
            </w:r>
          </w:p>
          <w:p>
            <w:pPr>
              <w:spacing w:after="60"/>
            </w:pPr>
            <w:r>
              <w:rPr>
                <w:rFonts w:ascii="Arial" w:cs="Arial" w:eastAsia="Arial" w:hAnsi="Arial"/>
                <w:sz w:val="21"/>
                <w:szCs w:val="21"/>
              </w:rPr>
              <w:t xml:space="preserve">  • Associer systématiquement une criticité métier à chaque actif serveur (voir 1.3)</w:t>
            </w:r>
          </w:p>
          <w:p>
            <w:pPr>
              <w:spacing w:after="60"/>
            </w:pPr>
            <w:r>
              <w:rPr>
                <w:rFonts w:ascii="Arial" w:cs="Arial" w:eastAsia="Arial" w:hAnsi="Arial"/>
                <w:sz w:val="21"/>
                <w:szCs w:val="21"/>
              </w:rPr>
              <w:t xml:space="preserve">  • Effacer les données de façon sécurisée avant toute cession ou mise au rebut de matériel</w:t>
            </w:r>
          </w:p>
          <w:p>
            <w:pPr>
              <w:spacing w:after="0"/>
            </w:pPr>
            <w:r>
              <w:rPr>
                <w:rFonts w:ascii="Arial" w:cs="Arial" w:eastAsia="Arial" w:hAnsi="Arial"/>
                <w:sz w:val="21"/>
                <w:szCs w:val="21"/>
              </w:rPr>
              <w:t xml:space="preserve">  • Croiser régulièrement inventaire déclaratif et scan réseau pour détecter le matériel non déclaré</w:t>
            </w:r>
          </w:p>
        </w:tc>
      </w:tr>
    </w:tbl>
    <w:p>
      <w:pPr>
        <w:pStyle w:val="Heading3"/>
        <w:spacing w:after="100" w:before="240"/>
      </w:pPr>
      <w:r>
        <w:rPr>
          <w:rFonts w:ascii="Arial" w:cs="Arial" w:eastAsia="Arial" w:hAnsi="Arial"/>
          <w:b/>
          <w:bCs/>
          <w:color w:val="2E75B6"/>
          <w:sz w:val="24"/>
          <w:szCs w:val="24"/>
        </w:rPr>
        <w:t xml:space="preserve">1.5.9 Erreurs courantes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E65100" w:sz="4"/>
              <w:left w:val="single" w:color="E65100" w:sz="12"/>
              <w:bottom w:val="single" w:color="E65100" w:sz="4"/>
              <w:right w:val="single" w:color="E65100" w:sz="4"/>
            </w:tcBorders>
            <w:shd w:fill="FFF3E0" w:val="clear"/>
            <w:tcMar>
              <w:top w:type="dxa" w:w="120"/>
              <w:left w:type="dxa" w:w="180"/>
              <w:bottom w:type="dxa" w:w="120"/>
              <w:right w:type="dxa" w:w="180"/>
            </w:tcMar>
          </w:tcPr>
          <w:p>
            <w:pPr>
              <w:spacing w:after="80"/>
            </w:pPr>
            <w:r>
              <w:rPr>
                <w:rFonts w:ascii="Arial" w:cs="Arial" w:eastAsia="Arial" w:hAnsi="Arial"/>
                <w:b/>
                <w:bCs/>
                <w:color w:val="E65100"/>
                <w:sz w:val="21"/>
                <w:szCs w:val="21"/>
              </w:rPr>
              <w:t xml:space="preserve">⚠ À éviter</w:t>
            </w:r>
          </w:p>
          <w:p>
            <w:pPr>
              <w:spacing w:after="60"/>
            </w:pPr>
            <w:r>
              <w:rPr>
                <w:rFonts w:ascii="Arial" w:cs="Arial" w:eastAsia="Arial" w:hAnsi="Arial"/>
                <w:sz w:val="21"/>
                <w:szCs w:val="21"/>
              </w:rPr>
              <w:t xml:space="preserve">  • Un inventaire tenu une seule fois puis jamais mis à jour, devenant rapidement obsolète</w:t>
            </w:r>
          </w:p>
          <w:p>
            <w:pPr>
              <w:spacing w:after="60"/>
            </w:pPr>
            <w:r>
              <w:rPr>
                <w:rFonts w:ascii="Arial" w:cs="Arial" w:eastAsia="Arial" w:hAnsi="Arial"/>
                <w:sz w:val="21"/>
                <w:szCs w:val="21"/>
              </w:rPr>
              <w:t xml:space="preserve">  • Ignorer les licences logicielles dans l'inventaire, source fréquente de non-conformité (voir Partie X)</w:t>
            </w:r>
          </w:p>
          <w:p>
            <w:pPr>
              <w:spacing w:after="60"/>
            </w:pPr>
            <w:r>
              <w:rPr>
                <w:rFonts w:ascii="Arial" w:cs="Arial" w:eastAsia="Arial" w:hAnsi="Arial"/>
                <w:sz w:val="21"/>
                <w:szCs w:val="21"/>
              </w:rPr>
              <w:t xml:space="preserve">  • Ne pas tracer le matériel personnel connecté au réseau de l'entreprise (BYOD non recensé)</w:t>
            </w:r>
          </w:p>
          <w:p>
            <w:pPr>
              <w:spacing w:after="0"/>
            </w:pPr>
            <w:r>
              <w:rPr>
                <w:rFonts w:ascii="Arial" w:cs="Arial" w:eastAsia="Arial" w:hAnsi="Arial"/>
                <w:sz w:val="21"/>
                <w:szCs w:val="21"/>
              </w:rPr>
              <w:t xml:space="preserve">  • Mettre au rebut du matériel sans effacement sécurisé préalable des données</w:t>
            </w:r>
          </w:p>
        </w:tc>
      </w:tr>
    </w:tbl>
    <w:p>
      <w:pPr>
        <w:pStyle w:val="Heading3"/>
        <w:spacing w:after="100" w:before="240"/>
      </w:pPr>
      <w:r>
        <w:rPr>
          <w:rFonts w:ascii="Arial" w:cs="Arial" w:eastAsia="Arial" w:hAnsi="Arial"/>
          <w:b/>
          <w:bCs/>
          <w:color w:val="2E75B6"/>
          <w:sz w:val="24"/>
          <w:szCs w:val="24"/>
        </w:rPr>
        <w:t xml:space="preserve">1.5.10 Dépannage : réconcilier un inventaire dérivé</w:t>
      </w:r>
    </w:p>
    <w:p>
      <w:pPr>
        <w:spacing w:after="140"/>
      </w:pPr>
      <w:r>
        <w:rPr>
          <w:rFonts w:ascii="Arial" w:cs="Arial" w:eastAsia="Arial" w:hAnsi="Arial"/>
          <w:sz w:val="22"/>
          <w:szCs w:val="22"/>
        </w:rPr>
        <w:t xml:space="preserve">Lorsqu'un inventaire s'est visiblement éloigné de la réalité (matériel introuvable, équipements non recensés découverts par hasard), la correction se fait par un scan de découverte réseau complet, comparé ligne à ligne à l'inventaire déclaratif, plutôt que par une reconstruction manuelle à partir de la mémoire de l'équipe — systématiquement plus lente et moins fiable.</w:t>
      </w:r>
    </w:p>
    <w:p>
      <w:pPr>
        <w:pStyle w:val="Heading3"/>
        <w:spacing w:after="100" w:before="240"/>
      </w:pPr>
      <w:r>
        <w:rPr>
          <w:rFonts w:ascii="Arial" w:cs="Arial" w:eastAsia="Arial" w:hAnsi="Arial"/>
          <w:b/>
          <w:bCs/>
          <w:color w:val="2E75B6"/>
          <w:sz w:val="24"/>
          <w:szCs w:val="24"/>
        </w:rPr>
        <w:t xml:space="preserve">1.5.11 Recommandations de sécurité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6A1B9A" w:sz="4"/>
              <w:left w:val="single" w:color="6A1B9A" w:sz="12"/>
              <w:bottom w:val="single" w:color="6A1B9A" w:sz="4"/>
              <w:right w:val="single" w:color="6A1B9A" w:sz="4"/>
            </w:tcBorders>
            <w:shd w:fill="F3E5F5" w:val="clear"/>
            <w:tcMar>
              <w:top w:type="dxa" w:w="120"/>
              <w:left w:type="dxa" w:w="180"/>
              <w:bottom w:type="dxa" w:w="120"/>
              <w:right w:type="dxa" w:w="180"/>
            </w:tcMar>
          </w:tcPr>
          <w:p>
            <w:pPr>
              <w:spacing w:after="40"/>
            </w:pPr>
            <w:r>
              <w:rPr>
                <w:rFonts w:ascii="Arial" w:cs="Arial" w:eastAsia="Arial" w:hAnsi="Arial"/>
                <w:b/>
                <w:bCs/>
                <w:color w:val="6A1B9A"/>
                <w:sz w:val="21"/>
                <w:szCs w:val="21"/>
              </w:rPr>
              <w:t xml:space="preserve">🔒 SÉCURITÉ</w:t>
            </w:r>
          </w:p>
          <w:p>
            <w:pPr>
              <w:spacing w:after="0"/>
            </w:pPr>
            <w:r>
              <w:rPr>
                <w:rFonts w:ascii="Arial" w:cs="Arial" w:eastAsia="Arial" w:hAnsi="Arial"/>
                <w:color w:val="000000"/>
                <w:sz w:val="21"/>
                <w:szCs w:val="21"/>
              </w:rPr>
              <w:t xml:space="preserve">Le matériel non inventorié (shadow IT) est un angle mort de sécurité majeur : impossible d'appliquer une politique de correctifs, de durcissement ou de supervision à un système dont on ignore l'existence. Un scan de découverte réseau régulier (voir 1.5.7) fait partie intégrante d'une posture de sécurité de base, au même titre que la gestion des vulnérabilités (voir Partie XI).</w:t>
            </w:r>
          </w:p>
        </w:tc>
      </w:tr>
    </w:tbl>
    <w:p>
      <w:pPr>
        <w:pStyle w:val="Heading3"/>
        <w:spacing w:after="100" w:before="240"/>
      </w:pPr>
      <w:r>
        <w:rPr>
          <w:rFonts w:ascii="Arial" w:cs="Arial" w:eastAsia="Arial" w:hAnsi="Arial"/>
          <w:b/>
          <w:bCs/>
          <w:color w:val="2E75B6"/>
          <w:sz w:val="24"/>
          <w:szCs w:val="24"/>
        </w:rPr>
        <w:t xml:space="preserve">1.5.12 Cas pratique — Haitech Solutions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8D6E00" w:sz="4"/>
              <w:left w:val="single" w:color="8D6E00" w:sz="12"/>
              <w:bottom w:val="single" w:color="8D6E00" w:sz="4"/>
              <w:right w:val="single" w:color="8D6E00" w:sz="4"/>
            </w:tcBorders>
            <w:shd w:fill="FFF8E1" w:val="clear"/>
            <w:tcMar>
              <w:top w:type="dxa" w:w="120"/>
              <w:left w:type="dxa" w:w="180"/>
              <w:bottom w:type="dxa" w:w="120"/>
              <w:right w:type="dxa" w:w="180"/>
            </w:tcMar>
          </w:tcPr>
          <w:p>
            <w:pPr>
              <w:spacing w:after="40"/>
            </w:pPr>
            <w:r>
              <w:rPr>
                <w:rFonts w:ascii="Arial" w:cs="Arial" w:eastAsia="Arial" w:hAnsi="Arial"/>
                <w:b/>
                <w:bCs/>
                <w:color w:val="8D6E00"/>
                <w:sz w:val="21"/>
                <w:szCs w:val="21"/>
              </w:rPr>
              <w:t xml:space="preserve">📌 CAS PRATIQUE</w:t>
            </w:r>
          </w:p>
          <w:p>
            <w:pPr>
              <w:spacing w:after="0"/>
            </w:pPr>
            <w:r>
              <w:rPr>
                <w:rFonts w:ascii="Arial" w:cs="Arial" w:eastAsia="Arial" w:hAnsi="Arial"/>
                <w:color w:val="000000"/>
                <w:sz w:val="21"/>
                <w:szCs w:val="21"/>
              </w:rPr>
              <w:t xml:space="preserve">Sur SHOPAY, une découverte fortuite en session a révélé qu'un serveur backend et un serveur frontend tournaient déjà en arrière-plan, zombies d'une session de travail antérieure jamais arrêtée — un exemple concret, quoique à petite échelle, de dérive entre ce qui est réellement déployé et ce qui est su ou documenté. À l'échelle d'une infrastructure de production comme celle visée par ce manuel, ce même phénomène (un service oublié, jamais inventorié, jamais surveillé) est précisément ce qu'un inventaire tenu à jour et un scan de découverte périodique permettent de prévenir avant qu'il ne devienne un incident de sécurité.</w:t>
            </w:r>
          </w:p>
        </w:tc>
      </w:tr>
    </w:tbl>
    <w:p>
      <w:r>
        <w:br w:type="pag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w:t>
    </w:r>
    <w:r>
      <w:rPr>
        <w:rFonts w:ascii="Arial" w:cs="Arial" w:eastAsia="Arial" w:hAnsi="Arial"/>
        <w:color w:val="808080"/>
        <w:sz w:val="18"/>
        <w:szCs w:val="18"/>
      </w:rPr>
      <w:fldChar w:fldCharType="begin"/>
      <w:instrText xml:space="preserve">NUMPAGES</w:instrText>
      <w:fldChar w:fldCharType="separate"/>
      <w:fldChar w:fldCharType="end"/>
    </w:r>
    <w:r>
      <w:rPr>
        <w:rFonts w:ascii="Arial" w:cs="Arial" w:eastAsia="Arial" w:hAnsi="Arial"/>
        <w:color w:val="CCCCCC"/>
        <w:sz w:val="18"/>
        <w:szCs w:val="18"/>
      </w:rPr>
      <w:t xml:space="preserve">  —  Confidentiel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i/>
        <w:iCs/>
        <w:color w:val="2E75B6"/>
        <w:sz w:val="18"/>
        <w:szCs w:val="18"/>
      </w:rPr>
      <w:t xml:space="preserve">Manuel Professionnel d'Administration Système — Haitech Solutions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hd w:fill="1F4E79" w:val="clear"/>
      <w:spacing w:after="200" w:before="0"/>
      <w:outlineLvl w:val="0"/>
    </w:pPr>
    <w:rPr>
      <w:rFonts w:ascii="Arial" w:cs="Arial" w:eastAsia="Arial" w:hAnsi="Arial"/>
      <w:b/>
      <w:bCs/>
      <w:color w:val="FFFFFF"/>
      <w:sz w:val="36"/>
      <w:szCs w:val="36"/>
    </w:rPr>
  </w:style>
  <w:style w:type="paragraph" w:styleId="Heading2">
    <w:name w:val="Heading 2"/>
    <w:basedOn w:val="Normal"/>
    <w:next w:val="Normal"/>
    <w:qFormat/>
    <w:pPr>
      <w:pBdr>
        <w:bottom w:val="single" w:color="2E75B6" w:sz="4"/>
      </w:pBdr>
      <w:spacing w:after="120" w:before="320"/>
      <w:outlineLvl w:val="1"/>
    </w:pPr>
    <w:rPr>
      <w:rFonts w:ascii="Arial" w:cs="Arial" w:eastAsia="Arial" w:hAnsi="Arial"/>
      <w:b/>
      <w:bCs/>
      <w:color w:val="1F4E79"/>
      <w:sz w:val="28"/>
      <w:szCs w:val="28"/>
    </w:rPr>
  </w:style>
  <w:style w:type="paragraph" w:styleId="Heading3">
    <w:name w:val="Heading 3"/>
    <w:basedOn w:val="Normal"/>
    <w:next w:val="Normal"/>
    <w:qFormat/>
    <w:pPr>
      <w:spacing w:after="100" w:before="24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2026-07-23T12:50:06.918Z</dcterms:created>
  <dcterms:modified xsi:type="dcterms:W3CDTF">2026-07-23T12:50:06.920Z</dcterms:modified>
</cp:coreProperties>
</file>

<file path=docProps/custom.xml><?xml version="1.0" encoding="utf-8"?>
<Properties xmlns="http://schemas.openxmlformats.org/officeDocument/2006/custom-properties" xmlns:vt="http://schemas.openxmlformats.org/officeDocument/2006/docPropsVTypes"/>
</file>