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Number of Functional Features Included in the Solution</w:t>
      </w:r>
    </w:p>
    <w:p>
      <w:pPr>
        <w:pStyle w:val="Heading2"/>
      </w:pPr>
      <w:r>
        <w:t>1. Overview</w:t>
      </w:r>
    </w:p>
    <w:p>
      <w:r>
        <w:t>The HDI Prediction System incorporates multiple functional features to ensure a complete, production-grade user experience for stakeholders and evaluators.</w:t>
      </w:r>
    </w:p>
    <w:p>
      <w:pPr>
        <w:pStyle w:val="Heading2"/>
      </w:pPr>
      <w:r>
        <w:t>2. Inventory of Functional Features</w:t>
      </w:r>
    </w:p>
    <w:p>
      <w:pPr>
        <w:pStyle w:val="Heading3"/>
      </w:pPr>
      <w:r>
        <w:t>2.1 Feature 1: Multi-Indicator Input Interface</w:t>
      </w:r>
    </w:p>
    <w:p>
      <w:r>
        <w:t>Allows users to enter numeric values for all three key development pillars of HDI (Life Expectancy, Expected Years of Schooling, Mean Years of Schooling, and GNI per Capita) as well as the target country category.</w:t>
      </w:r>
    </w:p>
    <w:p>
      <w:pPr>
        <w:pStyle w:val="Heading3"/>
      </w:pPr>
      <w:r>
        <w:t>2.2 Feature 2: Machine Learning Prediction Engine</w:t>
      </w:r>
    </w:p>
    <w:p>
      <w:r>
        <w:t>Runs real-time prediction using the serialized Linear Regression model trained with Scikit-learn, yielding high correlation results ($R^2 = 0.8834$).</w:t>
      </w:r>
    </w:p>
    <w:p>
      <w:pPr>
        <w:pStyle w:val="Heading3"/>
      </w:pPr>
      <w:r>
        <w:t>2.3 Feature 3: UNDP Tier Classification</w:t>
      </w:r>
    </w:p>
    <w:p>
      <w:r>
        <w:t>Automatically maps the continuous predicted score (0.0 to 1.0) into one of the four standard development categories defined by the UN:</w:t>
      </w:r>
    </w:p>
    <w:p>
      <w:pPr>
        <w:pStyle w:val="ListBullet"/>
      </w:pPr>
      <w:r/>
      <w:r>
        <w:rPr>
          <w:b/>
        </w:rPr>
        <w:t>Very High</w:t>
      </w:r>
      <w:r>
        <w:t xml:space="preserve"> (score ≥ 0.800)</w:t>
      </w:r>
    </w:p>
    <w:p>
      <w:pPr>
        <w:pStyle w:val="ListBullet"/>
      </w:pPr>
      <w:r/>
      <w:r>
        <w:rPr>
          <w:b/>
        </w:rPr>
        <w:t>High</w:t>
      </w:r>
      <w:r>
        <w:t xml:space="preserve"> (0.700 – 0.799)</w:t>
      </w:r>
    </w:p>
    <w:p>
      <w:pPr>
        <w:pStyle w:val="ListBullet"/>
      </w:pPr>
      <w:r/>
      <w:r>
        <w:rPr>
          <w:b/>
        </w:rPr>
        <w:t>Medium</w:t>
      </w:r>
      <w:r>
        <w:t xml:space="preserve"> (0.550 – 0.699)</w:t>
      </w:r>
    </w:p>
    <w:p>
      <w:pPr>
        <w:pStyle w:val="ListBullet"/>
      </w:pPr>
      <w:r/>
      <w:r>
        <w:rPr>
          <w:b/>
        </w:rPr>
        <w:t>Low</w:t>
      </w:r>
      <w:r>
        <w:t xml:space="preserve"> (score &lt; 0.550)</w:t>
      </w:r>
    </w:p>
    <w:p>
      <w:pPr>
        <w:pStyle w:val="Heading3"/>
      </w:pPr>
      <w:r>
        <w:t>2.4 Feature 4: Scenario-based Recommendation Engine</w:t>
      </w:r>
    </w:p>
    <w:p>
      <w:r>
        <w:t>Dynamically compiles policy goals and mitigation recommendations based on the predicted development tier.</w:t>
      </w:r>
    </w:p>
    <w:p>
      <w:pPr>
        <w:pStyle w:val="Heading3"/>
      </w:pPr>
      <w:r>
        <w:t>2.5 Feature 5: Color-Coded Progress Gauge</w:t>
      </w:r>
    </w:p>
    <w:p>
      <w:r>
        <w:t>Displays the predicted score visually along a multi-color progress gauge indicating the relative positioning of the country on the international scale.</w:t>
      </w:r>
    </w:p>
    <w:p>
      <w:pPr>
        <w:pStyle w:val="Heading3"/>
      </w:pPr>
      <w:r>
        <w:t>2.6 Feature 6: Interactive Landing Dashboard</w:t>
      </w:r>
    </w:p>
    <w:p>
      <w:r>
        <w:t>Provides educational overviews of Health, Education, and Standard of Living indices on the application home 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563E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7556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