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Communication Plan</w:t>
      </w:r>
    </w:p>
    <w:p>
      <w:pPr>
        <w:pStyle w:val="Heading2"/>
      </w:pPr>
      <w:r>
        <w:t>1. Overview</w:t>
      </w:r>
    </w:p>
    <w:p>
      <w:r>
        <w:t>Clear communication is key to stakeholders understanding the value, requirements, and findings of the Human Development Index (HDI) Prediction System. This document details the communication channels, reporting templates, and target audiences.</w:t>
      </w:r>
    </w:p>
    <w:p>
      <w:pPr>
        <w:pStyle w:val="Heading2"/>
      </w:pPr>
      <w:r>
        <w:t>2. Target Audiences &amp; Objectives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563EB"/>
          </w:tcPr>
          <w:p>
            <w:r>
              <w:rPr>
                <w:b/>
                <w:color w:val="FFFFFF"/>
              </w:rPr>
              <w:t>Stakeholder Group</w:t>
            </w:r>
          </w:p>
        </w:tc>
        <w:tc>
          <w:tcPr>
            <w:tcW w:type="dxa" w:w="2160"/>
            <w:shd w:fill="2563EB"/>
          </w:tcPr>
          <w:p>
            <w:r>
              <w:rPr>
                <w:b/>
                <w:color w:val="FFFFFF"/>
              </w:rPr>
              <w:t>Communication Objective</w:t>
            </w:r>
          </w:p>
        </w:tc>
        <w:tc>
          <w:tcPr>
            <w:tcW w:type="dxa" w:w="2160"/>
            <w:shd w:fill="2563EB"/>
          </w:tcPr>
          <w:p>
            <w:r>
              <w:rPr>
                <w:b/>
                <w:color w:val="FFFFFF"/>
              </w:rPr>
              <w:t>Key Information Shared</w:t>
            </w:r>
          </w:p>
        </w:tc>
        <w:tc>
          <w:tcPr>
            <w:tcW w:type="dxa" w:w="2160"/>
            <w:shd w:fill="2563EB"/>
          </w:tcPr>
          <w:p>
            <w:r>
              <w:rPr>
                <w:b/>
                <w:color w:val="FFFFFF"/>
              </w:rPr>
              <w:t>Channel/Format</w:t>
            </w:r>
          </w:p>
        </w:tc>
      </w:tr>
      <w:tr>
        <w:tc>
          <w:tcPr>
            <w:tcW w:type="dxa" w:w="2160"/>
          </w:tcPr>
          <w:p>
            <w:r>
              <w:t>**Government Officials**</w:t>
            </w:r>
          </w:p>
        </w:tc>
        <w:tc>
          <w:tcPr>
            <w:tcW w:type="dxa" w:w="2160"/>
          </w:tcPr>
          <w:p>
            <w:r>
              <w:t>Gain policy approval and resources</w:t>
            </w:r>
          </w:p>
        </w:tc>
        <w:tc>
          <w:tcPr>
            <w:tcW w:type="dxa" w:w="2160"/>
          </w:tcPr>
          <w:p>
            <w:r>
              <w:t>High-level index predictions, regional development rankings</w:t>
            </w:r>
          </w:p>
        </w:tc>
        <w:tc>
          <w:tcPr>
            <w:tcW w:type="dxa" w:w="2160"/>
          </w:tcPr>
          <w:p>
            <w:r>
              <w:t>Policy Briefs, Presentations</w:t>
            </w:r>
          </w:p>
        </w:tc>
      </w:tr>
      <w:tr>
        <w:tc>
          <w:tcPr>
            <w:tcW w:type="dxa" w:w="2160"/>
            <w:shd w:fill="F8FAFC"/>
          </w:tcPr>
          <w:p>
            <w:r>
              <w:t>**Development Analysts**</w:t>
            </w:r>
          </w:p>
        </w:tc>
        <w:tc>
          <w:tcPr>
            <w:tcW w:type="dxa" w:w="2160"/>
            <w:shd w:fill="F8FAFC"/>
          </w:tcPr>
          <w:p>
            <w:r>
              <w:t>Facilitate detailed scenario planning</w:t>
            </w:r>
          </w:p>
        </w:tc>
        <w:tc>
          <w:tcPr>
            <w:tcW w:type="dxa" w:w="2160"/>
            <w:shd w:fill="F8FAFC"/>
          </w:tcPr>
          <w:p>
            <w:r>
              <w:t>Feature importance coefficients, model validation metrics</w:t>
            </w:r>
          </w:p>
        </w:tc>
        <w:tc>
          <w:tcPr>
            <w:tcW w:type="dxa" w:w="2160"/>
            <w:shd w:fill="F8FAFC"/>
          </w:tcPr>
          <w:p>
            <w:r>
              <w:t>Technical Reports, Interactive Demos</w:t>
            </w:r>
          </w:p>
        </w:tc>
      </w:tr>
      <w:tr>
        <w:tc>
          <w:tcPr>
            <w:tcW w:type="dxa" w:w="2160"/>
          </w:tcPr>
          <w:p>
            <w:r>
              <w:t>**Academic Researchers**</w:t>
            </w:r>
          </w:p>
        </w:tc>
        <w:tc>
          <w:tcPr>
            <w:tcW w:type="dxa" w:w="2160"/>
          </w:tcPr>
          <w:p>
            <w:r>
              <w:t>Support comparative analysis</w:t>
            </w:r>
          </w:p>
        </w:tc>
        <w:tc>
          <w:tcPr>
            <w:tcW w:type="dxa" w:w="2160"/>
          </w:tcPr>
          <w:p>
            <w:r>
              <w:t>Dataset details, algorithm selection rationale</w:t>
            </w:r>
          </w:p>
        </w:tc>
        <w:tc>
          <w:tcPr>
            <w:tcW w:type="dxa" w:w="2160"/>
          </w:tcPr>
          <w:p>
            <w:r>
              <w:t>Academic Papers, Code Repos</w:t>
            </w:r>
          </w:p>
        </w:tc>
      </w:tr>
      <w:tr>
        <w:tc>
          <w:tcPr>
            <w:tcW w:type="dxa" w:w="2160"/>
            <w:shd w:fill="F8FAFC"/>
          </w:tcPr>
          <w:p>
            <w:r>
              <w:t>**Project Team**</w:t>
            </w:r>
          </w:p>
        </w:tc>
        <w:tc>
          <w:tcPr>
            <w:tcW w:type="dxa" w:w="2160"/>
            <w:shd w:fill="F8FAFC"/>
          </w:tcPr>
          <w:p>
            <w:r>
              <w:t>Ensure alignment on sprints and milestones</w:t>
            </w:r>
          </w:p>
        </w:tc>
        <w:tc>
          <w:tcPr>
            <w:tcW w:type="dxa" w:w="2160"/>
            <w:shd w:fill="F8FAFC"/>
          </w:tcPr>
          <w:p>
            <w:r>
              <w:t>Task progress, blockages, model tuning findings</w:t>
            </w:r>
          </w:p>
        </w:tc>
        <w:tc>
          <w:tcPr>
            <w:tcW w:type="dxa" w:w="2160"/>
            <w:shd w:fill="F8FAFC"/>
          </w:tcPr>
          <w:p>
            <w:r>
              <w:t>Daily standups, Sprint boards</w:t>
            </w:r>
          </w:p>
        </w:tc>
      </w:tr>
    </w:tbl>
    <w:p>
      <w:pPr>
        <w:pStyle w:val="Heading2"/>
      </w:pPr>
      <w:r>
        <w:t>3. Communication Channels</w:t>
      </w:r>
    </w:p>
    <w:p>
      <w:pPr>
        <w:pStyle w:val="Heading3"/>
      </w:pPr>
      <w:r>
        <w:t>3.1 Digital Repositories</w:t>
      </w:r>
    </w:p>
    <w:p>
      <w:pPr>
        <w:pStyle w:val="ListBullet"/>
      </w:pPr>
      <w:r/>
      <w:r>
        <w:rPr>
          <w:b/>
        </w:rPr>
        <w:t>GitHub</w:t>
      </w:r>
      <w:r>
        <w:t>: Primary repository containing code, test scripts, and markdown documentation.</w:t>
      </w:r>
    </w:p>
    <w:p>
      <w:pPr>
        <w:pStyle w:val="ListBullet"/>
      </w:pPr>
      <w:r/>
      <w:r>
        <w:rPr>
          <w:b/>
        </w:rPr>
        <w:t>Project Board</w:t>
      </w:r>
      <w:r>
        <w:t>: Used to track sprints and task status (e.g., venv setup, model retraining).</w:t>
      </w:r>
    </w:p>
    <w:p>
      <w:pPr>
        <w:pStyle w:val="Heading3"/>
      </w:pPr>
      <w:r>
        <w:t>3.2 Visual Presentations</w:t>
      </w:r>
    </w:p>
    <w:p>
      <w:pPr>
        <w:pStyle w:val="ListBullet"/>
      </w:pPr>
      <w:r/>
      <w:r>
        <w:rPr>
          <w:b/>
        </w:rPr>
        <w:t>Interactive Web App</w:t>
      </w:r>
      <w:r>
        <w:t>: Serve the Flask app locally or via cloud platforms to showcase live predictions.</w:t>
      </w:r>
    </w:p>
    <w:p>
      <w:pPr>
        <w:pStyle w:val="ListBullet"/>
      </w:pPr>
      <w:r/>
      <w:r>
        <w:rPr>
          <w:b/>
        </w:rPr>
        <w:t>Gauge Visuals</w:t>
      </w:r>
      <w:r>
        <w:t>: Color-coded badges and gradient gauges to quickly communicate development levels to non-technical users.</w:t>
      </w:r>
    </w:p>
    <w:p>
      <w:pPr>
        <w:pStyle w:val="Heading2"/>
      </w:pPr>
      <w:r>
        <w:t>4. Feedback Mechanism</w:t>
      </w:r>
    </w:p>
    <w:p>
      <w:r>
        <w:t>Users can provide feedback on predictions directly through the web application's contact forms or repository issue trackers. This feedback is reviewed during sprint reviews to prioritize model enhancements and interface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7556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