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Diabetes mellitus</w:t>
      </w:r>
    </w:p>
    <w:p>
      <w:pPr>
        <w:spacing w:before="0" w:after="160"/>
      </w:pPr>
      <w:r>
        <w:rPr>
          <w:rFonts w:ascii="Calibri" w:hAnsi="Calibri"/>
          <w:b/>
          <w:i w:val="0"/>
          <w:color w:val="212121"/>
          <w:sz w:val="22"/>
        </w:rPr>
        <w:t xml:space="preserve">AKA </w:t>
      </w:r>
      <w:r>
        <w:rPr>
          <w:rFonts w:ascii="Calibri" w:hAnsi="Calibri"/>
          <w:b w:val="0"/>
          <w:i w:val="0"/>
          <w:color w:val="212121"/>
          <w:sz w:val="22"/>
        </w:rPr>
        <w:t>i.e., Diabetes type II, Non insulin dependent diabetes (NIDD), Sugar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Diabetes is a chronic, metabolic disease characterized by elevated levels of blood glucose (or blood sugar), which leads over time to serious damage to the heart, blood vessels, eyes, kidneys and nerves. The most common is type 2 diabetes aka “Diabetes Mellitus”, usually in adults, which occurs when the body becomes resistant to insulin or doesn't make enough insulin.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It is estimated that 16 out of every 100 Indians suffer from Diabetes mellitus.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Diabetes is diagnosed based on one or more of the following laboratory criteria, confirmed on a repeat day unless overt symptoms are present: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fasting plasma glucose ≥ 126 mg/dL (7.0 mmol/L);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two-hour plasma glucose ≥ 200 mg/dL (11.1 mmol/L) during a 75 g oral glucose tolerance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glycated hemoglobin (HbA1c) ≥ 6.5 %;</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or a random plasma glucose ≥ 200 mg/dL (11.1 mmol/L) in the presence of classic hyperglycemic symptoms.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Diabetes mellitus can be broadly classified into four major categories:</w:t>
      </w:r>
    </w:p>
    <w:p>
      <w:pPr>
        <w:spacing w:before="0" w:after="80"/>
      </w:pPr>
      <w:r>
        <w:rPr>
          <w:rFonts w:ascii="Calibri" w:hAnsi="Calibri"/>
          <w:b w:val="0"/>
          <w:i w:val="0"/>
          <w:color w:val="212121"/>
          <w:sz w:val="21"/>
        </w:rPr>
        <w:t>(1) Type 1 diabetes, an autoimmune (or idiopathic) destruction of pancreatic β-cells leading to absolute insulin deficiency, typically presenting in childhood or young adulthood;</w:t>
      </w:r>
    </w:p>
    <w:p>
      <w:pPr>
        <w:spacing w:before="0" w:after="80"/>
      </w:pPr>
      <w:r>
        <w:rPr>
          <w:rFonts w:ascii="Calibri" w:hAnsi="Calibri"/>
          <w:b w:val="0"/>
          <w:i w:val="0"/>
          <w:color w:val="212121"/>
          <w:sz w:val="21"/>
        </w:rPr>
        <w:t>(2) Type 2 diabetes, characterized by insulin resistance and a relative insulin secretory defect, most often associated with older age, obesity, and metabolic syndrome;</w:t>
      </w:r>
    </w:p>
    <w:p>
      <w:pPr>
        <w:spacing w:before="0" w:after="80"/>
      </w:pPr>
      <w:r>
        <w:rPr>
          <w:rFonts w:ascii="Calibri" w:hAnsi="Calibri"/>
          <w:b w:val="0"/>
          <w:i w:val="0"/>
          <w:color w:val="212121"/>
          <w:sz w:val="21"/>
        </w:rPr>
        <w:t>(3) Gestational diabetes mellitus (GDM), defined as glucose intolerance first recognized during pregnancy; and</w:t>
      </w:r>
    </w:p>
    <w:p>
      <w:pPr>
        <w:spacing w:before="0" w:after="80"/>
      </w:pPr>
      <w:r>
        <w:rPr>
          <w:rFonts w:ascii="Calibri" w:hAnsi="Calibri"/>
          <w:b w:val="0"/>
          <w:i w:val="0"/>
          <w:color w:val="212121"/>
          <w:sz w:val="21"/>
        </w:rPr>
        <w:t>(4) Other specific types, which include monogenic forms such as maturity-onset diabetes of the young (MODY), diabetes secondary to diseases of the exocrine pancreas (e.g., pancreatitis, cystic fibrosis), and drug- or chemical-induced diabetes (e.g., glucocorticoid-related).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Polygenic inheritance with multiple susceptibility genes identified, stronger familial clustering than T1DM.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Central adiposity is the strongest modifiable risk factor, promoting insulin resistance through inflammatory cytokines and free fatty acids.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Sedentary lifestyle: Physical inactivity contributes to insulin resistance and weight gain.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Risk increases with age due to progressive β-cell dysfunction.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Metabolic factors: Lipotoxicity and glucotoxicity accelerate β-cell failure over time.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Risk peaks due to cumulative lifestyle exposures and progressive insulin resistance. Works by disrupting the body's ability to use or produce insulin, leading to chronically high blood sugar (glucose) levels.</w:t>
            </w:r>
          </w:p>
          <w:p>
            <w:pPr>
              <w:spacing w:after="40" w:before="60" w:line="259" w:lineRule="auto"/>
            </w:pPr>
            <w:r>
              <w:rPr>
                <w:rFonts w:ascii="Calibri" w:hAnsi="Calibri"/>
                <w:b w:val="0"/>
                <w:i w:val="0"/>
                <w:color w:val="212121"/>
                <w:sz w:val="19"/>
              </w:rPr>
              <w:t>While many people are diagnosed in this age range, a significant percentage remain undiagnosed. Globally, up to 1 in 3 with diabetes may not know they have it, particularly in the early stages of T2D.</w:t>
            </w:r>
          </w:p>
          <w:p>
            <w:pPr>
              <w:spacing w:after="40" w:line="252" w:lineRule="auto"/>
            </w:pPr>
            <w:hyperlink r:id="rId9">
              <w:r>
                <w:rPr>
                  <w:rFonts w:ascii="Calibri" w:hAnsi="Calibri" w:cs="Calibri"/>
                  <w:sz w:val="18"/>
                  <w:color w:val="1155CC"/>
                  <w:u w:val="single"/>
                </w:rPr>
                <w:t xml:space="preserve">cdc.gov — insulin resistance &amp; type 2 diabetes</w:t>
              </w:r>
            </w:hyperlink>
          </w:p>
          <w:p>
            <w:pPr>
              <w:spacing w:before="60" w:after="40"/>
            </w:pPr>
            <w:r>
              <w:rPr>
                <w:rFonts w:ascii="Calibri" w:hAnsi="Calibri"/>
                <w:b w:val="0"/>
                <w:i w:val="0"/>
                <w:color w:val="5A5A5A"/>
                <w:sz w:val="18"/>
              </w:rPr>
              <w:t>#diabetes  #insulin  #lifestylerisk  #urbandiet  #workstress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 risk. For adults aged 50 and above, diabetes (again mostly Type 2) presents a different challenge because it often interacts with existing age-related issues and has had more time to cause damage.</w:t>
            </w:r>
          </w:p>
          <w:p>
            <w:pPr>
              <w:spacing w:after="40" w:before="60" w:line="259" w:lineRule="auto"/>
            </w:pPr>
            <w:r>
              <w:rPr>
                <w:rFonts w:ascii="Calibri" w:hAnsi="Calibri"/>
                <w:b w:val="0"/>
                <w:i w:val="0"/>
                <w:color w:val="212121"/>
                <w:sz w:val="19"/>
              </w:rPr>
              <w:t>In India, the prevalence of diabetes among adults aged 45+ is around 19.8% (nearly one in five).</w:t>
            </w:r>
          </w:p>
          <w:p>
            <w:pPr>
              <w:spacing w:after="40" w:line="252" w:lineRule="auto"/>
            </w:pPr>
            <w:hyperlink r:id="rId10">
              <w:r>
                <w:rPr>
                  <w:rFonts w:ascii="Calibri" w:hAnsi="Calibri" w:cs="Calibri"/>
                  <w:sz w:val="18"/>
                  <w:color w:val="1155CC"/>
                  <w:u w:val="single"/>
                </w:rPr>
                <w:t xml:space="preserve">pubmed.ncbi.nlm.nih.gov/40784358</w:t>
              </w:r>
            </w:hyperlink>
          </w:p>
          <w:p>
            <w:pPr>
              <w:spacing w:before="60" w:after="40"/>
            </w:pPr>
            <w:r>
              <w:rPr>
                <w:rFonts w:ascii="Calibri" w:hAnsi="Calibri"/>
                <w:b w:val="0"/>
                <w:i w:val="0"/>
                <w:color w:val="5A5A5A"/>
                <w:sz w:val="18"/>
              </w:rPr>
              <w:t>#ageing  #severe  #insulinresistance  #polypharmacy  #agingmetabolism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Slightly higher prevalence due to greater visceral fat and hormonal influences on insulin sensitivity.</w:t>
            </w:r>
          </w:p>
          <w:p>
            <w:pPr>
              <w:spacing w:after="40" w:before="60" w:line="259" w:lineRule="auto"/>
            </w:pPr>
            <w:r>
              <w:rPr>
                <w:rFonts w:ascii="Calibri" w:hAnsi="Calibri"/>
                <w:b w:val="0"/>
                <w:i w:val="0"/>
                <w:color w:val="212121"/>
                <w:sz w:val="19"/>
              </w:rPr>
              <w:t>Up to 40% of males with T2D may also have low testosterone, which causes symptoms like low libido, fatigue, and depressed mood.</w:t>
            </w:r>
          </w:p>
          <w:p>
            <w:pPr>
              <w:spacing w:after="40" w:line="252" w:lineRule="auto"/>
            </w:pPr>
            <w:hyperlink r:id="rId11">
              <w:r>
                <w:rPr>
                  <w:rFonts w:ascii="Calibri" w:hAnsi="Calibri" w:cs="Calibri"/>
                  <w:sz w:val="18"/>
                  <w:color w:val="1155CC"/>
                  <w:u w:val="single"/>
                </w:rPr>
                <w:t xml:space="preserve">cdc.gov — diabetes and men</w:t>
              </w:r>
            </w:hyperlink>
          </w:p>
          <w:p>
            <w:pPr>
              <w:spacing w:before="60" w:after="40"/>
            </w:pPr>
            <w:r>
              <w:rPr>
                <w:rFonts w:ascii="Calibri" w:hAnsi="Calibri"/>
                <w:b w:val="0"/>
                <w:i w:val="0"/>
                <w:color w:val="5A5A5A"/>
                <w:sz w:val="18"/>
              </w:rPr>
              <w:t>#libido  #fatigue  #depressed  #mood</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Dravidian</w:t>
            </w:r>
          </w:p>
        </w:tc>
        <w:tc>
          <w:tcPr>
            <w:tcW w:type="dxa" w:w="4276"/>
            <w:vAlign w:val="top"/>
          </w:tcPr>
          <w:p>
            <w:pPr>
              <w:spacing w:after="60" w:line="259" w:lineRule="auto"/>
            </w:pPr>
            <w:r>
              <w:rPr>
                <w:rFonts w:ascii="Calibri" w:hAnsi="Calibri"/>
                <w:b w:val="0"/>
                <w:i w:val="0"/>
                <w:color w:val="212121"/>
                <w:sz w:val="19"/>
              </w:rPr>
              <w:t>Many traditional South Indian preparations, such as dosas and idlis (made from rice batter), contribute to a high carbohydrate load, though fermentation offers a slight reduction in GI for some.</w:t>
            </w:r>
          </w:p>
          <w:p>
            <w:pPr>
              <w:spacing w:after="40" w:before="60" w:line="259" w:lineRule="auto"/>
            </w:pPr>
            <w:r>
              <w:rPr>
                <w:rFonts w:ascii="Calibri" w:hAnsi="Calibri"/>
                <w:b w:val="0"/>
                <w:i w:val="0"/>
                <w:color w:val="212121"/>
                <w:sz w:val="19"/>
              </w:rPr>
              <w:t>11.4% to 15.3% prevalence in the south.</w:t>
            </w:r>
          </w:p>
          <w:p>
            <w:pPr>
              <w:spacing w:after="40" w:line="252" w:lineRule="auto"/>
            </w:pPr>
            <w:hyperlink r:id="rId12">
              <w:r>
                <w:rPr>
                  <w:rFonts w:ascii="Calibri" w:hAnsi="Calibri" w:cs="Calibri"/>
                  <w:sz w:val="18"/>
                  <w:color w:val="1155CC"/>
                  <w:u w:val="single"/>
                </w:rPr>
                <w:t xml:space="preserve">pubmed.ncbi.nlm.nih.gov/28601585</w:t>
              </w:r>
            </w:hyperlink>
          </w:p>
          <w:p>
            <w:pPr>
              <w:spacing w:before="60" w:after="40"/>
            </w:pPr>
            <w:r>
              <w:rPr>
                <w:rFonts w:ascii="Calibri" w:hAnsi="Calibri"/>
                <w:b w:val="0"/>
                <w:i w:val="0"/>
                <w:color w:val="5A5A5A"/>
                <w:sz w:val="18"/>
              </w:rPr>
              <w:t>#carbohydrate  #fermentation</w:t>
            </w:r>
          </w:p>
        </w:tc>
      </w:tr>
      <w:tr>
        <w:trPr>
          <w:cantSplit/>
        </w:trPr>
        <w:tc>
          <w:tcPr>
            <w:tcW w:type="dxa" w:w="1512"/>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homemakers, elderly adults</w:t>
            </w:r>
          </w:p>
        </w:tc>
        <w:tc>
          <w:tcPr>
            <w:tcW w:type="dxa" w:w="4276"/>
            <w:vAlign w:val="top"/>
          </w:tcPr>
          <w:p>
            <w:pPr>
              <w:spacing w:after="60" w:line="259" w:lineRule="auto"/>
            </w:pPr>
            <w:r>
              <w:rPr>
                <w:rFonts w:ascii="Calibri" w:hAnsi="Calibri"/>
                <w:b w:val="0"/>
                <w:i w:val="0"/>
                <w:color w:val="212121"/>
                <w:sz w:val="19"/>
              </w:rPr>
              <w:t>Lack of physical activity decreases insulin sensitivity and muscle glucose uptake. Prolonged sitting leads to less use of muscle tissue — the primary site for glucose uptake.</w:t>
            </w:r>
          </w:p>
          <w:p>
            <w:pPr>
              <w:spacing w:after="40" w:before="60" w:line="259" w:lineRule="auto"/>
            </w:pPr>
            <w:r>
              <w:rPr>
                <w:rFonts w:ascii="Calibri" w:hAnsi="Calibri"/>
                <w:b w:val="0"/>
                <w:i w:val="0"/>
                <w:color w:val="212121"/>
                <w:sz w:val="19"/>
              </w:rPr>
              <w:t>When muscles are inactive they become less responsive to insulin, elevating blood glucose.</w:t>
            </w:r>
          </w:p>
          <w:p>
            <w:pPr>
              <w:spacing w:after="40" w:line="252" w:lineRule="auto"/>
            </w:pPr>
            <w:hyperlink r:id="rId13">
              <w:r>
                <w:rPr>
                  <w:rFonts w:ascii="Calibri" w:hAnsi="Calibri" w:cs="Calibri"/>
                  <w:sz w:val="18"/>
                  <w:color w:val="1155CC"/>
                  <w:u w:val="single"/>
                </w:rPr>
                <w:t xml:space="preserve">niddk.nih.gov — tips to get active</w:t>
              </w:r>
            </w:hyperlink>
          </w:p>
          <w:p>
            <w:pPr>
              <w:spacing w:before="60" w:after="40"/>
            </w:pPr>
            <w:r>
              <w:rPr>
                <w:rFonts w:ascii="Calibri" w:hAnsi="Calibri"/>
                <w:b w:val="0"/>
                <w:i w:val="0"/>
                <w:color w:val="5A5A5A"/>
                <w:sz w:val="18"/>
              </w:rPr>
              <w:t>#insulin  #glucose  #screenbound  #lowphysicalactivity  #postmealsitting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diabetes</w:t>
            </w:r>
          </w:p>
        </w:tc>
        <w:tc>
          <w:tcPr>
            <w:tcW w:type="dxa" w:w="4276"/>
            <w:vAlign w:val="top"/>
          </w:tcPr>
          <w:p>
            <w:pPr>
              <w:spacing w:after="60" w:line="259" w:lineRule="auto"/>
            </w:pPr>
            <w:r>
              <w:rPr>
                <w:rFonts w:ascii="Calibri" w:hAnsi="Calibri"/>
                <w:b w:val="0"/>
                <w:i w:val="0"/>
                <w:color w:val="212121"/>
                <w:sz w:val="19"/>
              </w:rPr>
              <w:t>Inherited susceptibility strongly increases risk of both type 1 and type 2 diabetes.</w:t>
            </w:r>
          </w:p>
          <w:p>
            <w:pPr>
              <w:spacing w:after="40" w:before="60" w:line="259" w:lineRule="auto"/>
            </w:pPr>
            <w:r>
              <w:rPr>
                <w:rFonts w:ascii="Calibri" w:hAnsi="Calibri"/>
                <w:b w:val="0"/>
                <w:i w:val="0"/>
                <w:color w:val="212121"/>
                <w:sz w:val="19"/>
              </w:rPr>
              <w:t>One parent with T2D: risk 2–4× higher (30–40% lifetime). Both parents: often cited as 4–6× higher (lifetime risk above 50–70%).</w:t>
            </w:r>
          </w:p>
          <w:p>
            <w:pPr>
              <w:spacing w:after="40" w:line="252" w:lineRule="auto"/>
            </w:pPr>
            <w:hyperlink r:id="rId14">
              <w:r>
                <w:rPr>
                  <w:rFonts w:ascii="Calibri" w:hAnsi="Calibri" w:cs="Calibri"/>
                  <w:sz w:val="18"/>
                  <w:color w:val="1155CC"/>
                  <w:u w:val="single"/>
                </w:rPr>
                <w:t xml:space="preserve">mdpi.com/2072-6643/17/8/1361</w:t>
              </w:r>
            </w:hyperlink>
          </w:p>
          <w:p>
            <w:pPr>
              <w:spacing w:before="60" w:after="40"/>
            </w:pPr>
            <w:r>
              <w:rPr>
                <w:rFonts w:ascii="Calibri" w:hAnsi="Calibri"/>
                <w:b w:val="0"/>
                <w:i w:val="0"/>
                <w:color w:val="5A5A5A"/>
                <w:sz w:val="18"/>
              </w:rPr>
              <w:t>#inherited  #susceptibility</w:t>
            </w:r>
          </w:p>
        </w:tc>
      </w:tr>
      <w:tr>
        <w:trPr>
          <w:cantSplit/>
        </w:trPr>
        <w:tc>
          <w:tcPr>
            <w:tcW w:type="dxa" w:w="1512"/>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Prediabetes</w:t>
            </w:r>
          </w:p>
        </w:tc>
        <w:tc>
          <w:tcPr>
            <w:tcW w:type="dxa" w:w="2160"/>
            <w:vAlign w:val="top"/>
          </w:tcPr>
          <w:p>
            <w:pPr>
              <w:spacing w:after="40" w:before="0" w:line="259" w:lineRule="auto"/>
            </w:pPr>
            <w:r>
              <w:rPr>
                <w:rFonts w:ascii="Calibri" w:hAnsi="Calibri"/>
                <w:b w:val="0"/>
                <w:i w:val="0"/>
                <w:color w:val="212121"/>
                <w:sz w:val="19"/>
              </w:rPr>
              <w:t>Patients with Prediabetes</w:t>
            </w:r>
          </w:p>
        </w:tc>
        <w:tc>
          <w:tcPr>
            <w:tcW w:type="dxa" w:w="4276"/>
            <w:vAlign w:val="top"/>
          </w:tcPr>
          <w:p>
            <w:pPr>
              <w:spacing w:after="60" w:line="259" w:lineRule="auto"/>
            </w:pPr>
            <w:r>
              <w:rPr>
                <w:rFonts w:ascii="Calibri" w:hAnsi="Calibri"/>
                <w:b w:val="0"/>
                <w:i w:val="0"/>
                <w:color w:val="212121"/>
                <w:sz w:val="19"/>
              </w:rPr>
              <w:t>Early dysglycemia indicates very high risk of progression to type 2 diabetes and already raises risk for heart disease and stroke.</w:t>
            </w:r>
          </w:p>
          <w:p>
            <w:pPr>
              <w:spacing w:after="40" w:before="60" w:line="259" w:lineRule="auto"/>
            </w:pPr>
            <w:r>
              <w:rPr>
                <w:rFonts w:ascii="Calibri" w:hAnsi="Calibri"/>
                <w:b w:val="0"/>
                <w:i w:val="0"/>
                <w:color w:val="212121"/>
                <w:sz w:val="19"/>
              </w:rPr>
              <w:t>More than 1 in 3 US adults has prediabetes.</w:t>
            </w:r>
          </w:p>
          <w:p>
            <w:pPr>
              <w:spacing w:after="40" w:line="252" w:lineRule="auto"/>
            </w:pPr>
            <w:hyperlink r:id="rId15">
              <w:r>
                <w:rPr>
                  <w:rFonts w:ascii="Calibri" w:hAnsi="Calibri" w:cs="Calibri"/>
                  <w:sz w:val="18"/>
                  <w:color w:val="1155CC"/>
                  <w:u w:val="single"/>
                </w:rPr>
                <w:t xml:space="preserve">cdc.gov — truth about prediabetes</w:t>
              </w:r>
            </w:hyperlink>
          </w:p>
          <w:p>
            <w:pPr>
              <w:spacing w:before="60" w:after="40"/>
            </w:pPr>
            <w:r>
              <w:rPr>
                <w:rFonts w:ascii="Calibri" w:hAnsi="Calibri"/>
                <w:b w:val="0"/>
                <w:i w:val="0"/>
                <w:color w:val="5A5A5A"/>
                <w:sz w:val="18"/>
              </w:rPr>
              <w:t>#dysglycemia  #prediabetes  #earlyintervention  #highriskgroup  #glycemicinstability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Excess body fat (especially central adiposity) drives insulin resistance and β-cell stress, with obesity conferring up to 7× higher risk. Regular MVPA improves insulin sensitivity; inactivity increases T2DM incidence by ~30–50%.</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glycemic-load diets and sugar-sweetened beverages markedly elevate diabetes risk via rapid glucose spikes and fat gain.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short (&lt;6 h) and long (&gt;9 h) sleep durations, plus poor quality, are linked to 20–30% higher T2DM incidence.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increase T2DM risk; elevated for 5–10 years post-cessation, especially in females.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Heavy drinking raises T2DM risk; light-to-moderate consumption shows a slight protective trend.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Depressed adults have a 37% increased risk of developing type 2 diabetes.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may support glucose regulation, but direct links to prevention are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Inconsistent associations; moderate coffee intake may slightly lower risk, but pure caffeine effects are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supports glycaemic control; poor hygiene increases diabetic foot infections, ulcers, delayed wound healing and gum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Elevated BMI worsens insulin resistance</w:t>
            </w:r>
          </w:p>
          <w:p>
            <w:pPr>
              <w:spacing w:after="40" w:line="252" w:lineRule="auto"/>
            </w:pPr>
            <w:hyperlink r:id="rId16">
              <w:r>
                <w:rPr>
                  <w:rFonts w:ascii="Calibri" w:hAnsi="Calibri" w:cs="Calibri"/>
                  <w:sz w:val="18"/>
                  <w:color w:val="1155CC"/>
                  <w:u w:val="single"/>
                </w:rPr>
                <w:t xml:space="preserve">https://diabetes.org/health-wellness/fitness/blood-glucose-and-exercise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elderly, overweight</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 0.90; F ≥ 0.85</w:t>
            </w:r>
          </w:p>
        </w:tc>
        <w:tc>
          <w:tcPr>
            <w:tcW w:type="dxa" w:w="1468"/>
            <w:vAlign w:val="top"/>
          </w:tcPr>
          <w:p>
            <w:pPr>
              <w:spacing w:after="60" w:line="259" w:lineRule="auto"/>
            </w:pPr>
            <w:r>
              <w:rPr>
                <w:rFonts w:ascii="Calibri" w:hAnsi="Calibri"/>
                <w:b w:val="0"/>
                <w:i w:val="0"/>
                <w:color w:val="212121"/>
                <w:sz w:val="19"/>
              </w:rPr>
              <w:t>High ratio linked to visceral fat and poor glycaemic control</w:t>
            </w:r>
          </w:p>
          <w:p>
            <w:pPr>
              <w:spacing w:after="40" w:line="252" w:lineRule="auto"/>
            </w:pPr>
            <w:hyperlink r:id="rId17">
              <w:r>
                <w:rPr>
                  <w:rFonts w:ascii="Calibri" w:hAnsi="Calibri" w:cs="Calibri"/>
                  <w:sz w:val="18"/>
                  <w:color w:val="1155CC"/>
                  <w:u w:val="single"/>
                </w:rPr>
                <w:t xml:space="preserve">https://www.sciencedirect.com/science/article/pii/S0002916523057635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Quantity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5 h or &gt; 9 h/night</w:t>
            </w:r>
          </w:p>
        </w:tc>
        <w:tc>
          <w:tcPr>
            <w:tcW w:type="dxa" w:w="1468"/>
            <w:vAlign w:val="top"/>
          </w:tcPr>
          <w:p>
            <w:pPr>
              <w:spacing w:after="60" w:line="259" w:lineRule="auto"/>
            </w:pPr>
            <w:r>
              <w:rPr>
                <w:rFonts w:ascii="Calibri" w:hAnsi="Calibri"/>
                <w:b w:val="0"/>
                <w:i w:val="0"/>
                <w:color w:val="212121"/>
                <w:sz w:val="19"/>
              </w:rPr>
              <w:t>Inadequate sleep impairs glucose metabolism</w:t>
            </w:r>
          </w:p>
          <w:p>
            <w:pPr>
              <w:spacing w:after="40" w:line="252" w:lineRule="auto"/>
            </w:pPr>
            <w:hyperlink r:id="rId18">
              <w:r>
                <w:rPr>
                  <w:rFonts w:ascii="Calibri" w:hAnsi="Calibri" w:cs="Calibri"/>
                  <w:sz w:val="18"/>
                  <w:color w:val="1155CC"/>
                  <w:u w:val="single"/>
                </w:rPr>
                <w:t xml:space="preserve">https://pmc.ncbi.nlm.nih.gov/articles/PMC6267703/</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accelerates diabetic vascular complications</w:t>
            </w:r>
          </w:p>
          <w:p>
            <w:pPr>
              <w:spacing w:after="40" w:line="252" w:lineRule="auto"/>
            </w:pPr>
            <w:hyperlink r:id="rId19">
              <w:r>
                <w:rPr>
                  <w:rFonts w:ascii="Calibri" w:hAnsi="Calibri" w:cs="Calibri"/>
                  <w:sz w:val="18"/>
                  <w:color w:val="1155CC"/>
                  <w:u w:val="single"/>
                </w:rPr>
                <w:t xml:space="preserve">https://diabetesjournals.org/care/article/32/suppl_2/S429/27052/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 elderly, heavy drinkers</w:t>
            </w:r>
          </w:p>
        </w:tc>
        <w:tc>
          <w:tcPr>
            <w:tcW w:type="dxa" w:w="1512"/>
            <w:vAlign w:val="top"/>
          </w:tcPr>
          <w:p>
            <w:pPr>
              <w:spacing w:after="40" w:before="0" w:line="259" w:lineRule="auto"/>
            </w:pPr>
            <w:r>
              <w:rPr>
                <w:rFonts w:ascii="Calibri" w:hAnsi="Calibri"/>
                <w:b w:val="0"/>
                <w:i w:val="0"/>
                <w:color w:val="212121"/>
                <w:sz w:val="19"/>
              </w:rPr>
              <w:t>≤ 14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60" w:line="259" w:lineRule="auto"/>
            </w:pPr>
            <w:r>
              <w:rPr>
                <w:rFonts w:ascii="Calibri" w:hAnsi="Calibri"/>
                <w:b w:val="0"/>
                <w:i w:val="0"/>
                <w:color w:val="212121"/>
                <w:sz w:val="19"/>
              </w:rPr>
              <w:t>Excess alcohol may cause hypoglycaemia and liver strain</w:t>
            </w:r>
          </w:p>
          <w:p>
            <w:pPr>
              <w:spacing w:after="40" w:line="252" w:lineRule="auto"/>
            </w:pPr>
            <w:hyperlink r:id="rId20">
              <w:r>
                <w:rPr>
                  <w:rFonts w:ascii="Calibri" w:hAnsi="Calibri" w:cs="Calibri"/>
                  <w:sz w:val="18"/>
                  <w:color w:val="1155CC"/>
                  <w:u w:val="single"/>
                </w:rPr>
                <w:t xml:space="preserve">https://medlineplus.gov/ency/patientinstructions/000968.htm</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 126 mg/dL</w:t>
            </w:r>
          </w:p>
        </w:tc>
        <w:tc>
          <w:tcPr>
            <w:tcW w:type="dxa" w:w="1036"/>
            <w:vAlign w:val="top"/>
          </w:tcPr>
          <w:p>
            <w:pPr>
              <w:spacing w:after="40" w:before="0" w:line="259" w:lineRule="auto"/>
            </w:pPr>
            <w:r>
              <w:rPr>
                <w:rFonts w:ascii="Calibri" w:hAnsi="Calibri"/>
                <w:b w:val="0"/>
                <w:i w:val="0"/>
                <w:color w:val="212121"/>
                <w:sz w:val="16"/>
              </w:rPr>
              <w:t>Confirms hyperglycemia; diagnostic if repeated or symptomatic</w:t>
            </w:r>
          </w:p>
        </w:tc>
        <w:tc>
          <w:tcPr>
            <w:tcW w:type="dxa" w:w="1036"/>
            <w:vAlign w:val="top"/>
          </w:tcPr>
          <w:p>
            <w:pPr>
              <w:spacing w:after="40" w:before="0" w:line="259" w:lineRule="auto"/>
            </w:pPr>
            <w:r>
              <w:rPr>
                <w:rFonts w:ascii="Calibri" w:hAnsi="Calibri"/>
                <w:b w:val="0"/>
                <w:i w:val="0"/>
                <w:color w:val="212121"/>
                <w:sz w:val="16"/>
              </w:rPr>
              <w:t>Adults with DM, prediabetic adults, high-risk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8-hour fast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Post-Prandial Blood Sugar</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&lt; 140 mg/dL</w:t>
            </w:r>
          </w:p>
        </w:tc>
        <w:tc>
          <w:tcPr>
            <w:tcW w:type="dxa" w:w="950"/>
            <w:vAlign w:val="top"/>
          </w:tcPr>
          <w:p>
            <w:pPr>
              <w:spacing w:after="40" w:before="0" w:line="259" w:lineRule="auto"/>
            </w:pPr>
            <w:r>
              <w:rPr>
                <w:rFonts w:ascii="Calibri" w:hAnsi="Calibri"/>
                <w:b w:val="0"/>
                <w:i w:val="0"/>
                <w:color w:val="212121"/>
                <w:sz w:val="16"/>
              </w:rPr>
              <w:t>≥ 140 mg/dL</w:t>
            </w:r>
          </w:p>
        </w:tc>
        <w:tc>
          <w:tcPr>
            <w:tcW w:type="dxa" w:w="1036"/>
            <w:vAlign w:val="top"/>
          </w:tcPr>
          <w:p>
            <w:pPr>
              <w:spacing w:after="40" w:before="0" w:line="259" w:lineRule="auto"/>
            </w:pPr>
            <w:r>
              <w:rPr>
                <w:rFonts w:ascii="Calibri" w:hAnsi="Calibri"/>
                <w:b w:val="0"/>
                <w:i w:val="0"/>
                <w:color w:val="212121"/>
                <w:sz w:val="16"/>
              </w:rPr>
              <w:t>Indicates impaired postprandial handling</w:t>
            </w:r>
          </w:p>
        </w:tc>
        <w:tc>
          <w:tcPr>
            <w:tcW w:type="dxa" w:w="1036"/>
            <w:vAlign w:val="top"/>
          </w:tcPr>
          <w:p>
            <w:pPr>
              <w:spacing w:after="40" w:before="0" w:line="259" w:lineRule="auto"/>
            </w:pPr>
            <w:r>
              <w:rPr>
                <w:rFonts w:ascii="Calibri" w:hAnsi="Calibri"/>
                <w:b w:val="0"/>
                <w:i w:val="0"/>
                <w:color w:val="212121"/>
                <w:sz w:val="16"/>
              </w:rPr>
              <w:t>Type 2 &amp; Type 1 diabetics, newly diagnosed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Meal timing standardized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 6.5 %</w:t>
            </w:r>
          </w:p>
        </w:tc>
        <w:tc>
          <w:tcPr>
            <w:tcW w:type="dxa" w:w="1036"/>
            <w:vAlign w:val="top"/>
          </w:tcPr>
          <w:p>
            <w:pPr>
              <w:spacing w:after="40" w:before="0" w:line="259" w:lineRule="auto"/>
            </w:pPr>
            <w:r>
              <w:rPr>
                <w:rFonts w:ascii="Calibri" w:hAnsi="Calibri"/>
                <w:b w:val="0"/>
                <w:i w:val="0"/>
                <w:color w:val="212121"/>
                <w:sz w:val="16"/>
              </w:rPr>
              <w:t>Reflects 2–3 months average glycaemia; diagnostic &amp; monitoring</w:t>
            </w:r>
          </w:p>
        </w:tc>
        <w:tc>
          <w:tcPr>
            <w:tcW w:type="dxa" w:w="1036"/>
            <w:vAlign w:val="top"/>
          </w:tcPr>
          <w:p>
            <w:pPr>
              <w:spacing w:after="40" w:before="0" w:line="259" w:lineRule="auto"/>
            </w:pPr>
            <w:r>
              <w:rPr>
                <w:rFonts w:ascii="Calibri" w:hAnsi="Calibri"/>
                <w:b w:val="0"/>
                <w:i w:val="0"/>
                <w:color w:val="212121"/>
                <w:sz w:val="16"/>
              </w:rPr>
              <w:t>Adults with DM, obese diabetics, dyslipidemia</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Affected by hemoglobinopathies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Polyuria, Polydipsia, Polyphagia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symptoms of hyperglycemia</w:t>
            </w:r>
          </w:p>
        </w:tc>
        <w:tc>
          <w:tcPr>
            <w:tcW w:type="dxa" w:w="1036"/>
            <w:vAlign w:val="top"/>
          </w:tcPr>
          <w:p>
            <w:pPr>
              <w:spacing w:after="40" w:before="0" w:line="259" w:lineRule="auto"/>
            </w:pPr>
            <w:r>
              <w:rPr>
                <w:rFonts w:ascii="Calibri" w:hAnsi="Calibri"/>
                <w:b w:val="0"/>
                <w:i w:val="0"/>
                <w:color w:val="212121"/>
                <w:sz w:val="16"/>
              </w:rPr>
              <w:t>Children with symptoms, adults with classic symptoms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subtle in early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DM</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first-degree affected</w:t>
            </w:r>
          </w:p>
        </w:tc>
        <w:tc>
          <w:tcPr>
            <w:tcW w:type="dxa" w:w="1036"/>
            <w:vAlign w:val="top"/>
          </w:tcPr>
          <w:p>
            <w:pPr>
              <w:spacing w:after="40" w:before="0" w:line="259" w:lineRule="auto"/>
            </w:pPr>
            <w:r>
              <w:rPr>
                <w:rFonts w:ascii="Calibri" w:hAnsi="Calibri"/>
                <w:b w:val="0"/>
                <w:i w:val="0"/>
                <w:color w:val="212121"/>
                <w:sz w:val="16"/>
              </w:rPr>
              <w:t>Genetic predisposition</w:t>
            </w:r>
          </w:p>
        </w:tc>
        <w:tc>
          <w:tcPr>
            <w:tcW w:type="dxa" w:w="1036"/>
            <w:vAlign w:val="top"/>
          </w:tcPr>
          <w:p>
            <w:pPr>
              <w:spacing w:after="40" w:before="0" w:line="259" w:lineRule="auto"/>
            </w:pPr>
            <w:r>
              <w:rPr>
                <w:rFonts w:ascii="Calibri" w:hAnsi="Calibri"/>
                <w:b w:val="0"/>
                <w:i w:val="0"/>
                <w:color w:val="212121"/>
                <w:sz w:val="16"/>
              </w:rPr>
              <w:t>First-degree relatives, children/siblings of diabetics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Polyuria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frequency of urination due to osmotic diuresis from high blood glucose.</w:t>
            </w:r>
          </w:p>
        </w:tc>
      </w:tr>
      <w:tr>
        <w:trPr>
          <w:cantSplit/>
        </w:trPr>
        <w:tc>
          <w:tcPr>
            <w:tcW w:type="dxa" w:w="2304"/>
            <w:vAlign w:val="top"/>
          </w:tcPr>
          <w:p>
            <w:pPr>
              <w:spacing w:after="40" w:before="0" w:line="259" w:lineRule="auto"/>
            </w:pPr>
            <w:r>
              <w:rPr>
                <w:rFonts w:ascii="Calibri" w:hAnsi="Calibri"/>
                <w:b/>
                <w:i w:val="0"/>
                <w:color w:val="212121"/>
                <w:sz w:val="19"/>
              </w:rPr>
              <w:t>Polydipsia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thirst due to dehydration from fluid loss.</w:t>
            </w:r>
          </w:p>
        </w:tc>
      </w:tr>
      <w:tr>
        <w:trPr>
          <w:cantSplit/>
        </w:trPr>
        <w:tc>
          <w:tcPr>
            <w:tcW w:type="dxa" w:w="2304"/>
            <w:vAlign w:val="top"/>
          </w:tcPr>
          <w:p>
            <w:pPr>
              <w:spacing w:after="40" w:before="0" w:line="259" w:lineRule="auto"/>
            </w:pPr>
            <w:r>
              <w:rPr>
                <w:rFonts w:ascii="Calibri" w:hAnsi="Calibri"/>
                <w:b/>
                <w:i w:val="0"/>
                <w:color w:val="212121"/>
                <w:sz w:val="19"/>
              </w:rPr>
              <w:t>Polyphagia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appetite due to cellular glucose starvation.</w:t>
            </w:r>
          </w:p>
        </w:tc>
      </w:tr>
      <w:tr>
        <w:trPr>
          <w:cantSplit/>
        </w:trPr>
        <w:tc>
          <w:tcPr>
            <w:tcW w:type="dxa" w:w="2304"/>
            <w:vAlign w:val="top"/>
          </w:tcPr>
          <w:p>
            <w:pPr>
              <w:spacing w:after="40" w:before="0" w:line="259" w:lineRule="auto"/>
            </w:pPr>
            <w:r>
              <w:rPr>
                <w:rFonts w:ascii="Calibri" w:hAnsi="Calibri"/>
                <w:b/>
                <w:i w:val="0"/>
                <w:color w:val="212121"/>
                <w:sz w:val="19"/>
              </w:rPr>
              <w:t>Fatigue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energy caused by glucose not being properly utilized.</w:t>
            </w:r>
          </w:p>
        </w:tc>
      </w:tr>
      <w:tr>
        <w:trPr>
          <w:cantSplit/>
        </w:trPr>
        <w:tc>
          <w:tcPr>
            <w:tcW w:type="dxa" w:w="2304"/>
            <w:vAlign w:val="top"/>
          </w:tcPr>
          <w:p>
            <w:pPr>
              <w:spacing w:after="40" w:before="0" w:line="259" w:lineRule="auto"/>
            </w:pPr>
            <w:r>
              <w:rPr>
                <w:rFonts w:ascii="Calibri" w:hAnsi="Calibri"/>
                <w:b/>
                <w:i w:val="0"/>
                <w:color w:val="212121"/>
                <w:sz w:val="19"/>
              </w:rPr>
              <w:t>Unexplained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in Type 1; due to breakdown of fat/muscle for energy.</w:t>
            </w:r>
          </w:p>
        </w:tc>
      </w:tr>
      <w:tr>
        <w:trPr>
          <w:cantSplit/>
        </w:trPr>
        <w:tc>
          <w:tcPr>
            <w:tcW w:type="dxa" w:w="2304"/>
            <w:vAlign w:val="top"/>
          </w:tcPr>
          <w:p>
            <w:pPr>
              <w:spacing w:after="40" w:before="0" w:line="259" w:lineRule="auto"/>
            </w:pPr>
            <w:r>
              <w:rPr>
                <w:rFonts w:ascii="Calibri" w:hAnsi="Calibri"/>
                <w:b/>
                <w:i w:val="0"/>
                <w:color w:val="212121"/>
                <w:sz w:val="19"/>
              </w:rPr>
              <w:t>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Caused by fluid shifts affecting the eye lens.</w:t>
            </w:r>
          </w:p>
        </w:tc>
      </w:tr>
      <w:tr>
        <w:trPr>
          <w:cantSplit/>
        </w:trPr>
        <w:tc>
          <w:tcPr>
            <w:tcW w:type="dxa" w:w="2304"/>
            <w:vAlign w:val="top"/>
          </w:tcPr>
          <w:p>
            <w:pPr>
              <w:spacing w:after="40" w:before="0" w:line="259" w:lineRule="auto"/>
            </w:pPr>
            <w:r>
              <w:rPr>
                <w:rFonts w:ascii="Calibri" w:hAnsi="Calibri"/>
                <w:b/>
                <w:i w:val="0"/>
                <w:color w:val="212121"/>
                <w:sz w:val="19"/>
              </w:rPr>
              <w:t>Numbness / Tingling in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diabetic peripheral neuropathy.</w:t>
            </w:r>
          </w:p>
        </w:tc>
      </w:tr>
      <w:tr>
        <w:trPr>
          <w:cantSplit/>
        </w:trPr>
        <w:tc>
          <w:tcPr>
            <w:tcW w:type="dxa" w:w="2304"/>
            <w:vAlign w:val="top"/>
          </w:tcPr>
          <w:p>
            <w:pPr>
              <w:spacing w:after="40" w:before="0" w:line="259" w:lineRule="auto"/>
            </w:pPr>
            <w:r>
              <w:rPr>
                <w:rFonts w:ascii="Calibri" w:hAnsi="Calibri"/>
                <w:b/>
                <w:i w:val="0"/>
                <w:color w:val="212121"/>
                <w:sz w:val="19"/>
              </w:rPr>
              <w:t>Sudden vision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suggest diabetic retinopathy.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Glycosuria (positive urine glucose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Glucose in urine when blood glucose exceeds renal threshold (~180 mg/dL).</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plaques on neck/axillae — marker of insulin resistance.</w:t>
            </w:r>
          </w:p>
        </w:tc>
      </w:tr>
      <w:tr>
        <w:trPr>
          <w:cantSplit/>
        </w:trPr>
        <w:tc>
          <w:tcPr>
            <w:tcW w:type="dxa" w:w="3456"/>
            <w:vAlign w:val="top"/>
          </w:tcPr>
          <w:p>
            <w:pPr>
              <w:spacing w:after="40" w:before="0" w:line="259" w:lineRule="auto"/>
            </w:pPr>
            <w:r>
              <w:rPr>
                <w:rFonts w:ascii="Calibri" w:hAnsi="Calibri"/>
                <w:b/>
                <w:i w:val="0"/>
                <w:color w:val="212121"/>
                <w:sz w:val="19"/>
              </w:rPr>
              <w:t>Absent/decreased peripheral sensation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pinprick/vibration on monofilament or tuning-fork exam — peripheral neuropathy.</w:t>
            </w:r>
          </w:p>
        </w:tc>
      </w:tr>
      <w:tr>
        <w:trPr>
          <w:cantSplit/>
        </w:trPr>
        <w:tc>
          <w:tcPr>
            <w:tcW w:type="dxa" w:w="3456"/>
            <w:vAlign w:val="top"/>
          </w:tcPr>
          <w:p>
            <w:pPr>
              <w:spacing w:after="40" w:before="0" w:line="259" w:lineRule="auto"/>
            </w:pPr>
            <w:r>
              <w:rPr>
                <w:rFonts w:ascii="Calibri" w:hAnsi="Calibri"/>
                <w:b/>
                <w:i w:val="0"/>
                <w:color w:val="212121"/>
                <w:sz w:val="19"/>
              </w:rPr>
              <w:t>Fundoscopic changes (microaneurysms, hemorrhages)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Retinal vessel damage on ophthalmoscopy — hallmark of diabetic retinopathy.</w:t>
            </w:r>
          </w:p>
        </w:tc>
      </w:tr>
      <w:tr>
        <w:trPr>
          <w:cantSplit/>
        </w:trPr>
        <w:tc>
          <w:tcPr>
            <w:tcW w:type="dxa" w:w="3456"/>
            <w:vAlign w:val="top"/>
          </w:tcPr>
          <w:p>
            <w:pPr>
              <w:spacing w:after="40" w:before="0" w:line="259" w:lineRule="auto"/>
            </w:pPr>
            <w:r>
              <w:rPr>
                <w:rFonts w:ascii="Calibri" w:hAnsi="Calibri"/>
                <w:b/>
                <w:i w:val="0"/>
                <w:color w:val="212121"/>
                <w:sz w:val="19"/>
              </w:rPr>
              <w:t>Diabetic dermopathy (“shin spots”)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Light brown scaly patches on shins from microangiopathy — benign but specific.</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ketoacidosis (DKA)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Hyperosmolar hyperglycemic state (HHS)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dehydration &amp; electrolyte imbalance</w:t>
            </w:r>
          </w:p>
        </w:tc>
        <w:tc>
          <w:tcPr>
            <w:tcW w:type="dxa" w:w="2980"/>
            <w:vAlign w:val="top"/>
          </w:tcPr>
          <w:p>
            <w:pPr>
              <w:spacing w:after="40" w:before="0" w:line="259" w:lineRule="auto"/>
            </w:pPr>
            <w:r>
              <w:rPr>
                <w:rFonts w:ascii="Calibri" w:hAnsi="Calibri"/>
                <w:b w:val="0"/>
                <w:i w:val="0"/>
                <w:color w:val="212121"/>
                <w:sz w:val="19"/>
              </w:rPr>
              <w:t>Direct metabolic derangements from absolute or relative insulin lack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Microvascular: retinopathy &amp; cataract, nephropathy, peripheral &amp; autonomic neuropathies, foot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Macrovascular: coronary artery disease, stroke, peripheral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infections</w:t>
            </w:r>
          </w:p>
        </w:tc>
        <w:tc>
          <w:tcPr>
            <w:tcW w:type="dxa" w:w="2980"/>
            <w:vAlign w:val="top"/>
          </w:tcPr>
          <w:p>
            <w:pPr>
              <w:spacing w:after="40" w:before="0" w:line="259" w:lineRule="auto"/>
            </w:pPr>
            <w:r>
              <w:rPr>
                <w:rFonts w:ascii="Calibri" w:hAnsi="Calibri"/>
                <w:b w:val="0"/>
                <w:i w:val="0"/>
                <w:color w:val="212121"/>
                <w:sz w:val="19"/>
              </w:rPr>
              <w:t>Result from chronic hyperglycemia's damage to small &amp; large vessels plus immune dysfunction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(dialysis,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(proliferative retinopathy, macular 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Non-traumatic lower-limb amputations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foot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or post-MI disability</w:t>
            </w:r>
          </w:p>
        </w:tc>
        <w:tc>
          <w:tcPr>
            <w:tcW w:type="dxa" w:w="2980"/>
            <w:vAlign w:val="top"/>
          </w:tcPr>
          <w:p>
            <w:pPr>
              <w:spacing w:after="40" w:before="0" w:line="259" w:lineRule="auto"/>
            </w:pPr>
            <w:r>
              <w:rPr>
                <w:rFonts w:ascii="Calibri" w:hAnsi="Calibri"/>
                <w:b w:val="0"/>
                <w:i w:val="0"/>
                <w:color w:val="212121"/>
                <w:sz w:val="19"/>
              </w:rPr>
              <w:t>Irreversible, disabling outcomes of longstanding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448"/>
            <w:shd w:val="clear" w:color="auto" w:fill="F2F2F2"/>
            <w:vAlign w:val="center"/>
          </w:tcPr>
          <w:p>
            <w:pPr>
              <w:spacing w:after="40" w:before="0" w:line="259" w:lineRule="auto"/>
            </w:pPr>
            <w:r>
              <w:rPr>
                <w:rFonts w:ascii="Calibri" w:hAnsi="Calibri"/>
                <w:b/>
                <w:i w:val="0"/>
                <w:color w:val="212121"/>
                <w:sz w:val="19"/>
              </w:rPr>
              <w:t>AMC</w:t>
            </w:r>
          </w:p>
        </w:tc>
        <w:tc>
          <w:tcPr>
            <w:tcW w:type="dxa" w:w="715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448"/>
            <w:vAlign w:val="top"/>
          </w:tcPr>
          <w:p>
            <w:pPr>
              <w:spacing w:after="40" w:before="0" w:line="259" w:lineRule="auto"/>
            </w:pPr>
            <w:r>
              <w:rPr>
                <w:rFonts w:ascii="Calibri" w:hAnsi="Calibri"/>
                <w:b/>
                <w:i w:val="0"/>
                <w:color w:val="212121"/>
                <w:sz w:val="19"/>
              </w:rPr>
              <w:t>Dyslipidemia</w:t>
            </w:r>
          </w:p>
        </w:tc>
        <w:tc>
          <w:tcPr>
            <w:tcW w:type="dxa" w:w="7156"/>
            <w:vAlign w:val="top"/>
          </w:tcPr>
          <w:p>
            <w:pPr>
              <w:spacing w:after="40" w:before="0" w:line="259" w:lineRule="auto"/>
            </w:pPr>
            <w:r>
              <w:rPr>
                <w:rFonts w:ascii="Calibri" w:hAnsi="Calibri"/>
                <w:b w:val="0"/>
                <w:i w:val="0"/>
                <w:color w:val="212121"/>
                <w:sz w:val="19"/>
              </w:rPr>
              <w:t>High TGs and low HDL, exacerbating atherogenesis.</w:t>
            </w:r>
          </w:p>
          <w:p>
            <w:pPr>
              <w:spacing w:after="40" w:before="0" w:line="259" w:lineRule="auto"/>
            </w:pPr>
            <w:r>
              <w:rPr>
                <w:rFonts w:ascii="Calibri" w:hAnsi="Calibri"/>
                <w:b/>
                <w:i w:val="0"/>
                <w:color w:val="212121"/>
                <w:sz w:val="19"/>
              </w:rPr>
              <w:t>Up to 95.4%</w:t>
            </w:r>
          </w:p>
        </w:tc>
      </w:tr>
      <w:tr>
        <w:trPr>
          <w:cantSplit/>
        </w:trPr>
        <w:tc>
          <w:tcPr>
            <w:tcW w:type="dxa" w:w="2448"/>
            <w:vAlign w:val="top"/>
          </w:tcPr>
          <w:p>
            <w:pPr>
              <w:spacing w:after="40" w:before="0" w:line="259" w:lineRule="auto"/>
            </w:pPr>
            <w:r>
              <w:rPr>
                <w:rFonts w:ascii="Calibri" w:hAnsi="Calibri"/>
                <w:b/>
                <w:i w:val="0"/>
                <w:color w:val="212121"/>
                <w:sz w:val="19"/>
              </w:rPr>
              <w:t>Periodontal disease</w:t>
            </w:r>
          </w:p>
        </w:tc>
        <w:tc>
          <w:tcPr>
            <w:tcW w:type="dxa" w:w="7156"/>
            <w:vAlign w:val="top"/>
          </w:tcPr>
          <w:p>
            <w:pPr>
              <w:spacing w:after="40" w:before="0" w:line="259" w:lineRule="auto"/>
            </w:pPr>
            <w:r>
              <w:rPr>
                <w:rFonts w:ascii="Calibri" w:hAnsi="Calibri"/>
                <w:b w:val="0"/>
                <w:i w:val="0"/>
                <w:color w:val="212121"/>
                <w:sz w:val="19"/>
              </w:rPr>
              <w:t>Chronic gum inflammation linked to poor glycemic control.</w:t>
            </w:r>
          </w:p>
          <w:p>
            <w:pPr>
              <w:spacing w:after="40" w:before="0" w:line="259" w:lineRule="auto"/>
            </w:pPr>
            <w:r>
              <w:rPr>
                <w:rFonts w:ascii="Calibri" w:hAnsi="Calibri"/>
                <w:b/>
                <w:i w:val="0"/>
                <w:color w:val="212121"/>
                <w:sz w:val="19"/>
              </w:rPr>
              <w:t>Up to 95.1%</w:t>
            </w:r>
          </w:p>
        </w:tc>
      </w:tr>
      <w:tr>
        <w:trPr>
          <w:cantSplit/>
        </w:trPr>
        <w:tc>
          <w:tcPr>
            <w:tcW w:type="dxa" w:w="2448"/>
            <w:vAlign w:val="top"/>
          </w:tcPr>
          <w:p>
            <w:pPr>
              <w:spacing w:after="40" w:before="0" w:line="259" w:lineRule="auto"/>
            </w:pPr>
            <w:r>
              <w:rPr>
                <w:rFonts w:ascii="Calibri" w:hAnsi="Calibri"/>
                <w:b/>
                <w:i w:val="0"/>
                <w:color w:val="212121"/>
                <w:sz w:val="19"/>
              </w:rPr>
              <w:t>Non-alcoholic fatty liver disease (NAFLD)</w:t>
            </w:r>
          </w:p>
        </w:tc>
        <w:tc>
          <w:tcPr>
            <w:tcW w:type="dxa" w:w="7156"/>
            <w:vAlign w:val="top"/>
          </w:tcPr>
          <w:p>
            <w:pPr>
              <w:spacing w:after="40" w:before="0" w:line="259" w:lineRule="auto"/>
            </w:pPr>
            <w:r>
              <w:rPr>
                <w:rFonts w:ascii="Calibri" w:hAnsi="Calibri"/>
                <w:b w:val="0"/>
                <w:i w:val="0"/>
                <w:color w:val="212121"/>
                <w:sz w:val="19"/>
              </w:rPr>
              <w:t>Hepatic steatosis linked to insulin resistance and dysregulated lipids.</w:t>
            </w:r>
          </w:p>
          <w:p>
            <w:pPr>
              <w:spacing w:after="40" w:before="0" w:line="259" w:lineRule="auto"/>
            </w:pPr>
            <w:r>
              <w:rPr>
                <w:rFonts w:ascii="Calibri" w:hAnsi="Calibri"/>
                <w:b/>
                <w:i w:val="0"/>
                <w:color w:val="212121"/>
                <w:sz w:val="19"/>
              </w:rPr>
              <w:t>Up to 68%</w:t>
            </w:r>
          </w:p>
        </w:tc>
      </w:tr>
      <w:tr>
        <w:trPr>
          <w:cantSplit/>
        </w:trPr>
        <w:tc>
          <w:tcPr>
            <w:tcW w:type="dxa" w:w="2448"/>
            <w:vAlign w:val="top"/>
          </w:tcPr>
          <w:p>
            <w:pPr>
              <w:spacing w:after="40" w:before="0" w:line="259" w:lineRule="auto"/>
            </w:pPr>
            <w:r>
              <w:rPr>
                <w:rFonts w:ascii="Calibri" w:hAnsi="Calibri"/>
                <w:b/>
                <w:i w:val="0"/>
                <w:color w:val="212121"/>
                <w:sz w:val="19"/>
              </w:rPr>
              <w:t>Obesity</w:t>
            </w:r>
          </w:p>
        </w:tc>
        <w:tc>
          <w:tcPr>
            <w:tcW w:type="dxa" w:w="7156"/>
            <w:vAlign w:val="top"/>
          </w:tcPr>
          <w:p>
            <w:pPr>
              <w:spacing w:after="40" w:before="0" w:line="259" w:lineRule="auto"/>
            </w:pPr>
            <w:r>
              <w:rPr>
                <w:rFonts w:ascii="Calibri" w:hAnsi="Calibri"/>
                <w:b w:val="0"/>
                <w:i w:val="0"/>
                <w:color w:val="212121"/>
                <w:sz w:val="19"/>
              </w:rPr>
              <w:t>Central adiposity drives insulin resistance and metabolic syndrome.</w:t>
            </w:r>
          </w:p>
          <w:p>
            <w:pPr>
              <w:spacing w:after="40" w:before="0" w:line="259" w:lineRule="auto"/>
            </w:pPr>
            <w:r>
              <w:rPr>
                <w:rFonts w:ascii="Calibri" w:hAnsi="Calibri"/>
                <w:b/>
                <w:i w:val="0"/>
                <w:color w:val="212121"/>
                <w:sz w:val="19"/>
              </w:rPr>
              <w:t>Up to 63%</w:t>
            </w:r>
          </w:p>
        </w:tc>
      </w:tr>
      <w:tr>
        <w:trPr>
          <w:cantSplit/>
        </w:trPr>
        <w:tc>
          <w:tcPr>
            <w:tcW w:type="dxa" w:w="2448"/>
            <w:vAlign w:val="top"/>
          </w:tcPr>
          <w:p>
            <w:pPr>
              <w:spacing w:after="40" w:before="0" w:line="259" w:lineRule="auto"/>
            </w:pPr>
            <w:r>
              <w:rPr>
                <w:rFonts w:ascii="Calibri" w:hAnsi="Calibri"/>
                <w:b/>
                <w:i w:val="0"/>
                <w:color w:val="212121"/>
                <w:sz w:val="19"/>
              </w:rPr>
              <w:t>Hypertension</w:t>
            </w:r>
          </w:p>
        </w:tc>
        <w:tc>
          <w:tcPr>
            <w:tcW w:type="dxa" w:w="7156"/>
            <w:vAlign w:val="top"/>
          </w:tcPr>
          <w:p>
            <w:pPr>
              <w:spacing w:after="40" w:before="0" w:line="259" w:lineRule="auto"/>
            </w:pPr>
            <w:r>
              <w:rPr>
                <w:rFonts w:ascii="Calibri" w:hAnsi="Calibri"/>
                <w:b w:val="0"/>
                <w:i w:val="0"/>
                <w:color w:val="212121"/>
                <w:sz w:val="19"/>
              </w:rPr>
              <w:t>Shares pathophysiology of insulin resistance and endothelial dysfunction.</w:t>
            </w:r>
          </w:p>
          <w:p>
            <w:pPr>
              <w:spacing w:after="40" w:before="0" w:line="259" w:lineRule="auto"/>
            </w:pPr>
            <w:r>
              <w:rPr>
                <w:rFonts w:ascii="Calibri" w:hAnsi="Calibri"/>
                <w:b/>
                <w:i w:val="0"/>
                <w:color w:val="212121"/>
                <w:sz w:val="19"/>
              </w:rPr>
              <w:t>~32–82%</w:t>
            </w:r>
          </w:p>
        </w:tc>
      </w:tr>
      <w:tr>
        <w:trPr>
          <w:cantSplit/>
        </w:trPr>
        <w:tc>
          <w:tcPr>
            <w:tcW w:type="dxa" w:w="2448"/>
            <w:vAlign w:val="top"/>
          </w:tcPr>
          <w:p>
            <w:pPr>
              <w:spacing w:after="40" w:before="0" w:line="259" w:lineRule="auto"/>
            </w:pPr>
            <w:r>
              <w:rPr>
                <w:rFonts w:ascii="Calibri" w:hAnsi="Calibri"/>
                <w:b/>
                <w:i w:val="0"/>
                <w:color w:val="212121"/>
                <w:sz w:val="19"/>
              </w:rPr>
              <w:t>Obstructive sleep apnea (OSA)</w:t>
            </w:r>
          </w:p>
        </w:tc>
        <w:tc>
          <w:tcPr>
            <w:tcW w:type="dxa" w:w="7156"/>
            <w:vAlign w:val="top"/>
          </w:tcPr>
          <w:p>
            <w:pPr>
              <w:spacing w:after="40" w:before="0" w:line="259" w:lineRule="auto"/>
            </w:pPr>
            <w:r>
              <w:rPr>
                <w:rFonts w:ascii="Calibri" w:hAnsi="Calibri"/>
                <w:b w:val="0"/>
                <w:i w:val="0"/>
                <w:color w:val="212121"/>
                <w:sz w:val="19"/>
              </w:rPr>
              <w:t>Intermittent hypoxia worsens insulin sensitivity and appetite regulation.</w:t>
            </w:r>
          </w:p>
          <w:p>
            <w:pPr>
              <w:spacing w:after="40" w:before="0" w:line="259" w:lineRule="auto"/>
            </w:pPr>
            <w:r>
              <w:rPr>
                <w:rFonts w:ascii="Calibri" w:hAnsi="Calibri"/>
                <w:b/>
                <w:i w:val="0"/>
                <w:color w:val="212121"/>
                <w:sz w:val="19"/>
              </w:rPr>
              <w:t>~55%</w:t>
            </w:r>
          </w:p>
        </w:tc>
      </w:tr>
      <w:tr>
        <w:trPr>
          <w:cantSplit/>
        </w:trPr>
        <w:tc>
          <w:tcPr>
            <w:tcW w:type="dxa" w:w="2448"/>
            <w:vAlign w:val="top"/>
          </w:tcPr>
          <w:p>
            <w:pPr>
              <w:spacing w:after="40" w:before="0" w:line="259" w:lineRule="auto"/>
            </w:pPr>
            <w:r>
              <w:rPr>
                <w:rFonts w:ascii="Calibri" w:hAnsi="Calibri"/>
                <w:b/>
                <w:i w:val="0"/>
                <w:color w:val="212121"/>
                <w:sz w:val="19"/>
              </w:rPr>
              <w:t>Depression</w:t>
            </w:r>
          </w:p>
        </w:tc>
        <w:tc>
          <w:tcPr>
            <w:tcW w:type="dxa" w:w="7156"/>
            <w:vAlign w:val="top"/>
          </w:tcPr>
          <w:p>
            <w:pPr>
              <w:spacing w:after="40" w:before="0" w:line="259" w:lineRule="auto"/>
            </w:pPr>
            <w:r>
              <w:rPr>
                <w:rFonts w:ascii="Calibri" w:hAnsi="Calibri"/>
                <w:b w:val="0"/>
                <w:i w:val="0"/>
                <w:color w:val="212121"/>
                <w:sz w:val="19"/>
              </w:rPr>
              <w:t>Bi-directional relationship through inflammatory and behavioral pathways.</w:t>
            </w:r>
          </w:p>
          <w:p>
            <w:pPr>
              <w:spacing w:after="40" w:before="0" w:line="259" w:lineRule="auto"/>
            </w:pPr>
            <w:r>
              <w:rPr>
                <w:rFonts w:ascii="Calibri" w:hAnsi="Calibri"/>
                <w:b/>
                <w:i w:val="0"/>
                <w:color w:val="212121"/>
                <w:sz w:val="19"/>
              </w:rPr>
              <w:t>~28%</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 glycaemic index foods (refined grains, sugary drinks, sweets) and excess processed foods, which cause rapid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overeating, large portions, irregular meal timing and late-night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rich in whole grains, fruits, vegetables, fibre (25–35 g/day), lean proteins and healthy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physical activity (≥150 min/week) with resistance training (2–3 days/week).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early warning signs (excessive thirst, frequent urination, fatigue, blurred vision) and seek timely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pre-diabetes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moderate-intensity activity (brisk walking, cycling, swimming) to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≥150 minutes/week of aerobic exercise, split into shorter sessions if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post-meal walking (10–15 min) to reduce postprandial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in overweight/obese individuals, focusing on central obesity.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diabetes mellitus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ultra-processed and high-risk foods (fried foods, bakery items, sweets, sugar-sweetened beverages).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fibre-rich diet with whole grains (brown rice, oats, millets like ragi/jowar/bajra), pulses and 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non-starchy vegetables daily; consume whole fruits in controlled portions instead of juices.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 glycaemic index foods and distribute carbohydrate intake evenly across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diabetes/about/insulin-resistance-type-2-diabetes.html" TargetMode="External"/><Relationship Id="rId10" Type="http://schemas.openxmlformats.org/officeDocument/2006/relationships/hyperlink" Target="https://pubmed.ncbi.nlm.nih.gov/40784358/" TargetMode="External"/><Relationship Id="rId11" Type="http://schemas.openxmlformats.org/officeDocument/2006/relationships/hyperlink" Target="https://www.cdc.gov/diabetes/risk-factors/diabetes-and-men.html" TargetMode="External"/><Relationship Id="rId12" Type="http://schemas.openxmlformats.org/officeDocument/2006/relationships/hyperlink" Target="https://pubmed.ncbi.nlm.nih.gov/28601585/" TargetMode="External"/><Relationship Id="rId13" Type="http://schemas.openxmlformats.org/officeDocument/2006/relationships/hyperlink" Target="https://www.niddk.nih.gov/health-information/weight-management/tips-get-active/tips-starting-physical-activity" TargetMode="External"/><Relationship Id="rId14" Type="http://schemas.openxmlformats.org/officeDocument/2006/relationships/hyperlink" Target="https://www.mdpi.com/2072-6643/17/8/1361" TargetMode="External"/><Relationship Id="rId15" Type="http://schemas.openxmlformats.org/officeDocument/2006/relationships/hyperlink" Target="https://www.cdc.gov/diabetes/prevention-type-2/truth-about-prediabetes.html" TargetMode="External"/><Relationship Id="rId16" Type="http://schemas.openxmlformats.org/officeDocument/2006/relationships/hyperlink" Target="https://diabetes.org/health-wellness/fitness/blood-glucose-and-exercise" TargetMode="External"/><Relationship Id="rId17" Type="http://schemas.openxmlformats.org/officeDocument/2006/relationships/hyperlink" Target="https://www.sciencedirect.com/science/article/pii/S0002916523057635" TargetMode="External"/><Relationship Id="rId18" Type="http://schemas.openxmlformats.org/officeDocument/2006/relationships/hyperlink" Target="https://pmc.ncbi.nlm.nih.gov/articles/PMC6267703/" TargetMode="External"/><Relationship Id="rId19" Type="http://schemas.openxmlformats.org/officeDocument/2006/relationships/hyperlink" Target="https://diabetesjournals.org/care/article/32/suppl_2/S429/27052/" TargetMode="External"/><Relationship Id="rId20" Type="http://schemas.openxmlformats.org/officeDocument/2006/relationships/hyperlink" Target="https://medlineplus.gov/ency/patientinstructions/00096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