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Undernutrition</w:t>
      </w:r>
    </w:p>
    <w:p>
      <w:pPr>
        <w:spacing w:before="0" w:after="160"/>
      </w:pPr>
      <w:r>
        <w:rPr>
          <w:rFonts w:ascii="Calibri" w:hAnsi="Calibri"/>
          <w:b/>
          <w:i w:val="0"/>
          <w:color w:val="212121"/>
          <w:sz w:val="22"/>
        </w:rPr>
        <w:t xml:space="preserve">AKA </w:t>
      </w:r>
      <w:r>
        <w:rPr>
          <w:rFonts w:ascii="Calibri" w:hAnsi="Calibri"/>
          <w:b w:val="0"/>
          <w:i w:val="0"/>
          <w:color w:val="212121"/>
          <w:sz w:val="22"/>
        </w:rPr>
        <w:t>i.e., Under-nutrition, Protein-energy malnutrition (PEM) / Protein-energy undernutrition, Chronic energy deficiency (CED) in adults, ‘Underfeeding’; the WHO malnutrition category comprising wasting (low weight-for-height), stunting (low height-for-age) and underweight (low weight-for-age); its severe clinical forms marasmus and kwashiorkor; overlaps with micronutrient deficiency (‘hidden hunger’)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Undernutrition is the form of malnutrition arising from a deficient intake, impaired absorption or increased loss/utilisation of dietary energy and/or specific nutrients relative to the body’s requirements. WHO groups undernutrition into wasting (low weight-for-height, reflecting acute weight loss), stunting (low height-for-age, reflecting chronic deprivation), and underweight (low weight-for-age); it frequently coexists with micronutrient deficiencies. In adults it presents as a low body-mass index (chronic energy deficiency), and in children as growth failure and, at its most severe, as marasmus, kwashiorkor or marasmic-kwashiorkor (severe acute malnutrition). In India, undernutrition remains a dominant public-health problem and forms one arm of the country’s ‘double burden of malnutrition’: it is the single largest risk factor for tuberculosis, an underlying cause of a large share of under-five deaths, and a driver of low birth weight, anaemia and impaired human capital.</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Undernutrition remains one of India’s largest nutritional problems despite the parallel rise of overnutrition. By NFHS-5 (2019–21), about 18.7% of women and 16.2% of men aged 15–49 are underweight (BMI &lt; 18.5 kg/m²), down from 22.9% and 20.2% in NFHS-4. Among under-five children, 35.5% are stunted, 19.3% wasted and 32.1% underweight, while anaemia rose to 67.1% in children aged 6–59 months and remains around 57% in women; only 11.3% of children aged 6–23 months receive an adequate diet. The burden is steeply pro-poor — in the poorest wealth quintile stunting reaches 46.1%, wasting 22.5% and underweight 43.1%. Globally in 2022, WHO estimated about 390 million adults were underweight, with 149 million children under five stunted and 45 million wasted.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Undernutrition is a nutritional-status diagnosis based on anthropometry, an assessment of inadequate energy/nutrient intake or increased losses, and their clinical and biochemical consequences. It is identified by one or more of the following, interpreted against age and physiological state: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Adult chronic energy deficiency — body-mass index &lt; 18.5 kg/m², graded as mild (17.0–18.49), moderate (16.0–16.99) and severe (&lt; 16.0) per the WHO/IDECG classification, and/or unintentional weight loss &gt; 5–10% of usual body weight;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Child anthropometric deficits against WHO Growth Standards — wasting (weight-for-height Z-score &lt; −2), stunting (height-for-age Z-score &lt; −2) and/or underweight (weight-for-age Z-score &lt; −2), with Z &lt; −3 defining the severe form;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Mid-upper-arm circumference (MUAC) — &lt; 115 mm indicating severe acute malnutrition and 115 to &lt; 125 mm indicating moderate acute malnutrition in children aged 6–59 months; low adult MUAC (commonly &lt; 23 cm) supporting adult undernutrition;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Bilateral pitting oedema of nutritional origin (kwashiorkor), which defines severe acute malnutrition regardless of MUAC or weight-for-height once other causes of oedema are excluded;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Dietary assessment showing habitual energy/protein intake below estimated requirement and low dietary diversity, assessed by diet history, 24-hour recall or food-frequency questionnaire against ICMR-NIN Recommended Dietary Allowances;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biochemical/clinical markers — low serum albumin/prealbumin, anaemia, lymphopenia, micronutrient deficiencies (iron, vitamin A, B12/folate, vitamin D, zinc) and clinical signs of wasting, with exclusion or identification of secondary causes (tuberculosis, HIV, malabsorption, malignancy, chronic organ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Undernutrition can be framed by the WHO anthropometric form, by acuity and severity, by clinical syndrome, and by underlying cause:</w:t>
      </w:r>
    </w:p>
    <w:p>
      <w:pPr>
        <w:spacing w:before="0" w:after="80"/>
      </w:pPr>
      <w:r>
        <w:rPr>
          <w:rFonts w:ascii="Calibri" w:hAnsi="Calibri"/>
          <w:b w:val="0"/>
          <w:i w:val="0"/>
          <w:color w:val="212121"/>
          <w:sz w:val="21"/>
        </w:rPr>
        <w:t>(1) By WHO anthropometric form — Wasting (low weight-for-height): recent, acute weight loss from insufficient intake and/or infection; Stunting (low height-for-age): chronic or recurrent undernutrition indicating long-standing deprivation; and Underweight (low weight-for-age): a composite that may reflect wasting, stunting or both.</w:t>
      </w:r>
    </w:p>
    <w:p>
      <w:pPr>
        <w:spacing w:before="0" w:after="80"/>
      </w:pPr>
      <w:r>
        <w:rPr>
          <w:rFonts w:ascii="Calibri" w:hAnsi="Calibri"/>
          <w:b w:val="0"/>
          <w:i w:val="0"/>
          <w:color w:val="212121"/>
          <w:sz w:val="21"/>
        </w:rPr>
        <w:t>(2) By acuity and severity — Severe acute malnutrition (SAM: weight-for-height Z &lt; −3, MUAC &lt; 115 mm, or nutritional oedema) versus moderate acute malnutrition (MAM: Z −3 to &lt; −2, or MUAC 115 to &lt; 125 mm, without oedema); acute (wasting) versus chronic (stunting) undernutrition.</w:t>
      </w:r>
    </w:p>
    <w:p>
      <w:pPr>
        <w:spacing w:before="0" w:after="80"/>
      </w:pPr>
      <w:r>
        <w:rPr>
          <w:rFonts w:ascii="Calibri" w:hAnsi="Calibri"/>
          <w:b w:val="0"/>
          <w:i w:val="0"/>
          <w:color w:val="212121"/>
          <w:sz w:val="21"/>
        </w:rPr>
        <w:t>(3) By clinical syndrome (severe protein-energy malnutrition) — Marasmus (severe energy deficit with gross muscle and fat wasting, a ‘skin-and-bones’ appearance, no oedema); Kwashiorkor (predominant protein deficit with bilateral oedema, hepatomegaly, skin and hair changes and irritability); and Marasmic-kwashiorkor (features of both).</w:t>
      </w:r>
    </w:p>
    <w:p>
      <w:pPr>
        <w:spacing w:before="0" w:after="80"/>
      </w:pPr>
      <w:r>
        <w:rPr>
          <w:rFonts w:ascii="Calibri" w:hAnsi="Calibri"/>
          <w:b w:val="0"/>
          <w:i w:val="0"/>
          <w:color w:val="212121"/>
          <w:sz w:val="21"/>
        </w:rPr>
        <w:t>(4) By nutrient deficit — Protein-energy undernutrition (macronutrient/energy deficit) versus micronutrient undernutrition (‘hidden hunger’: iron, vitamin A, iodine, zinc, folate, B12, vitamin D), the two frequently coexisting; energy-poor diets are typically also micronutrient-poor.</w:t>
      </w:r>
    </w:p>
    <w:p>
      <w:pPr>
        <w:spacing w:before="0" w:after="80"/>
      </w:pPr>
      <w:r>
        <w:rPr>
          <w:rFonts w:ascii="Calibri" w:hAnsi="Calibri"/>
          <w:b w:val="0"/>
          <w:i w:val="0"/>
          <w:color w:val="212121"/>
          <w:sz w:val="21"/>
        </w:rPr>
        <w:t>(5) By underlying cause — Primary undernutrition (inadequate food intake from food insecurity, poverty or poor feeding practices) versus secondary undernutrition (adequate intake but impaired ingestion, digestion, absorption or utilisation, or increased losses/requirements — as in tuberculosis, HIV, malabsorption, chronic organ disease and cancer cachexia).</w:t>
      </w:r>
    </w:p>
    <w:p>
      <w:pPr>
        <w:spacing w:before="0" w:after="80"/>
      </w:pPr>
      <w:r>
        <w:rPr>
          <w:rFonts w:ascii="Calibri" w:hAnsi="Calibri"/>
          <w:b w:val="0"/>
          <w:i w:val="0"/>
          <w:color w:val="212121"/>
          <w:sz w:val="21"/>
        </w:rPr>
        <w:t>(6) By life-stage — Foetal (intrauterine growth restriction, low birth weight), infant and young-child, adolescent, adult (chronic energy deficiency), maternal (pre-pregnancy/pregnancy) and geriatric undernutrition, each with distinct assessment and management priorities and a strong intergenerational link.</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dietary intake &amp; food insecurity: The fundamental cause — insufficient quantity and quality of food from poverty, seasonal shortage, high food prices or conflict — produces a sustained energy/protein deficit; in India cereal-dominant, low-protein, low-diversity diets are central.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Poverty &amp; socioeconomic deprivation: Low income, low maternal education, poor housing and unsafe water track strongly with undernutrition; the burden is steeply concentrated in the poorest wealth quintiles and marginalised communities.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Infection–malnutrition cycle: Recurrent diarrhoea, pneumonia, measles, intestinal worms and environmental enteric dysfunction increase nutrient losses and requirements and suppress appetite, while undernutrition impairs immunity — each worsening the other.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Maternal undernutrition &amp; developmental programming: Maternal underweight, short stature and anaemia cause intrauterine growth restriction and low birth weight, programming lifelong growth deficits and perpetuating an intergenerational cycle (DOHaD).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Suboptimal infant &amp; young-child feeding (IYCF): Delayed or non-exclusive breastfeeding, late or inadequate complementary feeding and low dietary diversity in the critical first 1000 days drive early stunting and wasting.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Secondary causes — malabsorption &amp; chronic disease: Tuberculosis, HIV, chronic diarrhoea, coeliac and other malabsorption, malignancy, chronic kidney, liver, heart or lung disease and dementia raise requirements or impair intake/absorption, causing disease-related undernutrition and cachexia.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Poor water, sanitation &amp; hygiene (WASH): Unsafe water, open defecation and poor hygiene sustain repeated enteric infection and environmental enteropathy, impairing nutrient absorption independent of food intake.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under five (first 1000 days)</w:t>
            </w:r>
          </w:p>
        </w:tc>
        <w:tc>
          <w:tcPr>
            <w:tcW w:type="dxa" w:w="4276"/>
            <w:vAlign w:val="top"/>
          </w:tcPr>
          <w:p>
            <w:pPr>
              <w:spacing w:after="60" w:line="259" w:lineRule="auto"/>
            </w:pPr>
            <w:r>
              <w:rPr>
                <w:rFonts w:ascii="Calibri" w:hAnsi="Calibri"/>
                <w:b w:val="0"/>
                <w:i w:val="0"/>
                <w:color w:val="212121"/>
                <w:sz w:val="19"/>
              </w:rPr>
              <w:t>The period of most rapid growth and highest nutrient demand is also the most vulnerable to deficient intake and infection, so undernutrition here causes wasting and, cumulatively, irreversible stunting. Early growth failure impairs immunity, brain development and survival.</w:t>
            </w:r>
          </w:p>
          <w:p>
            <w:pPr>
              <w:spacing w:after="40" w:before="60" w:line="259" w:lineRule="auto"/>
            </w:pPr>
            <w:r>
              <w:rPr>
                <w:rFonts w:ascii="Calibri" w:hAnsi="Calibri"/>
                <w:b w:val="0"/>
                <w:i w:val="0"/>
                <w:color w:val="212121"/>
                <w:sz w:val="19"/>
              </w:rPr>
              <w:t>NFHS-5: 35.5% of under-five children are stunted, 19.3% wasted and 32.1% underweight; undernutrition is an underlying cause of a large share (about 45%) of under-five deaths worldwide.</w:t>
            </w:r>
          </w:p>
          <w:p>
            <w:pPr>
              <w:spacing w:after="40" w:line="252" w:lineRule="auto"/>
            </w:pPr>
            <w:hyperlink r:id="rId9">
              <w:r>
                <w:rPr>
                  <w:rFonts w:ascii="Calibri" w:hAnsi="Calibri" w:cs="Calibri"/>
                  <w:sz w:val="18"/>
                  <w:color w:val="1155CC"/>
                  <w:u w:val="single"/>
                </w:rPr>
                <w:t xml:space="preserve">ORF — what NFHS-5 data shows (child undernutrition)</w:t>
              </w:r>
            </w:hyperlink>
          </w:p>
          <w:p>
            <w:pPr>
              <w:spacing w:before="60" w:after="40"/>
            </w:pPr>
            <w:r>
              <w:rPr>
                <w:rFonts w:ascii="Calibri" w:hAnsi="Calibri"/>
                <w:b w:val="0"/>
                <w:i w:val="0"/>
                <w:color w:val="5A5A5A"/>
                <w:sz w:val="18"/>
              </w:rPr>
              <w:t>#undernutrition  #stunting  #wasting  #first1000days  #childsurvival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(especially girls)</w:t>
            </w:r>
          </w:p>
        </w:tc>
        <w:tc>
          <w:tcPr>
            <w:tcW w:type="dxa" w:w="4276"/>
            <w:vAlign w:val="top"/>
          </w:tcPr>
          <w:p>
            <w:pPr>
              <w:spacing w:after="60" w:line="259" w:lineRule="auto"/>
            </w:pPr>
            <w:r>
              <w:rPr>
                <w:rFonts w:ascii="Calibri" w:hAnsi="Calibri"/>
                <w:b w:val="0"/>
                <w:i w:val="0"/>
                <w:color w:val="212121"/>
                <w:sz w:val="19"/>
              </w:rPr>
              <w:t>The pubertal growth spurt sharply raises energy, protein, iron and micronutrient needs; poor intake, early marriage and menstrual iron loss make adolescent girls highly vulnerable, and an undernourished girl becomes an undernourished mother.</w:t>
            </w:r>
          </w:p>
          <w:p>
            <w:pPr>
              <w:spacing w:after="40" w:before="60" w:line="259" w:lineRule="auto"/>
            </w:pPr>
            <w:r>
              <w:rPr>
                <w:rFonts w:ascii="Calibri" w:hAnsi="Calibri"/>
                <w:b w:val="0"/>
                <w:i w:val="0"/>
                <w:color w:val="212121"/>
                <w:sz w:val="19"/>
              </w:rPr>
              <w:t>Anaemia in women aged 15–19 rose to 59.1% in NFHS-5; adolescent undernutrition feeds directly into low birth weight and the intergenerational cycle.</w:t>
            </w:r>
          </w:p>
          <w:p>
            <w:pPr>
              <w:spacing w:after="40" w:line="252" w:lineRule="auto"/>
            </w:pPr>
            <w:hyperlink r:id="rId10">
              <w:r>
                <w:rPr>
                  <w:rFonts w:ascii="Calibri" w:hAnsi="Calibri" w:cs="Calibri"/>
                  <w:sz w:val="18"/>
                  <w:color w:val="1155CC"/>
                  <w:u w:val="single"/>
                </w:rPr>
                <w:t xml:space="preserve">The Wire — NFHS-5 nutrition data (adolescent anaemia)</w:t>
              </w:r>
            </w:hyperlink>
          </w:p>
          <w:p>
            <w:pPr>
              <w:spacing w:before="60" w:after="40"/>
            </w:pPr>
            <w:r>
              <w:rPr>
                <w:rFonts w:ascii="Calibri" w:hAnsi="Calibri"/>
                <w:b w:val="0"/>
                <w:i w:val="0"/>
                <w:color w:val="5A5A5A"/>
                <w:sz w:val="18"/>
              </w:rPr>
              <w:t>#adolescents  #girls  #anaemia  #intergenerational  #growthspurt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Ageing reduces appetite, taste, dentition, mobility and income while raising the burden of chronic disease and social isolation, so older adults are highly prone to under-eating, weight loss, sarcopenia and micronutrient deficiency. Undernutrition accelerates frailty, falls, poor wound healing and mortality.</w:t>
            </w:r>
          </w:p>
          <w:p>
            <w:pPr>
              <w:spacing w:after="40" w:before="60" w:line="259" w:lineRule="auto"/>
            </w:pPr>
            <w:r>
              <w:rPr>
                <w:rFonts w:ascii="Calibri" w:hAnsi="Calibri"/>
                <w:b w:val="0"/>
                <w:i w:val="0"/>
                <w:color w:val="212121"/>
                <w:sz w:val="19"/>
              </w:rPr>
              <w:t>Systematic-review estimates indicate a substantial share of community-dwelling older Indians are undernourished or at risk of malnutrition on the Mini Nutritional Assessment.</w:t>
            </w:r>
          </w:p>
          <w:p>
            <w:pPr>
              <w:spacing w:after="40" w:line="252" w:lineRule="auto"/>
            </w:pPr>
            <w:hyperlink r:id="rId11">
              <w:r>
                <w:rPr>
                  <w:rFonts w:ascii="Calibri" w:hAnsi="Calibri" w:cs="Calibri"/>
                  <w:sz w:val="18"/>
                  <w:color w:val="1155CC"/>
                  <w:u w:val="single"/>
                </w:rPr>
                <w:t xml:space="preserve">Clinical Nutrition ESPEN — malnutrition in Indian elderly (meta-analysis)</w:t>
              </w:r>
            </w:hyperlink>
          </w:p>
          <w:p>
            <w:pPr>
              <w:spacing w:before="60" w:after="40"/>
            </w:pPr>
            <w:r>
              <w:rPr>
                <w:rFonts w:ascii="Calibri" w:hAnsi="Calibri"/>
                <w:b w:val="0"/>
                <w:i w:val="0"/>
                <w:color w:val="5A5A5A"/>
                <w:sz w:val="18"/>
              </w:rPr>
              <w:t>#elderly  #sarcopenia  #frailty  #geriatric  #weightloss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and girls</w:t>
            </w:r>
          </w:p>
        </w:tc>
        <w:tc>
          <w:tcPr>
            <w:tcW w:type="dxa" w:w="4276"/>
            <w:vAlign w:val="top"/>
          </w:tcPr>
          <w:p>
            <w:pPr>
              <w:spacing w:after="60" w:line="259" w:lineRule="auto"/>
            </w:pPr>
            <w:r>
              <w:rPr>
                <w:rFonts w:ascii="Calibri" w:hAnsi="Calibri"/>
                <w:b w:val="0"/>
                <w:i w:val="0"/>
                <w:color w:val="212121"/>
                <w:sz w:val="19"/>
              </w:rPr>
              <w:t>Gendered food allocation, repeated pregnancies and lactation, menstrual iron loss and lower access to health care leave women and girls disproportionately underweight and anaemic, with direct consequences for maternal and newborn health.</w:t>
            </w:r>
          </w:p>
          <w:p>
            <w:pPr>
              <w:spacing w:after="40" w:before="60" w:line="259" w:lineRule="auto"/>
            </w:pPr>
            <w:r>
              <w:rPr>
                <w:rFonts w:ascii="Calibri" w:hAnsi="Calibri"/>
                <w:b w:val="0"/>
                <w:i w:val="0"/>
                <w:color w:val="212121"/>
                <w:sz w:val="19"/>
              </w:rPr>
              <w:t>NFHS-5: 18.7% of women aged 15–49 are underweight (BMI &lt; 18.5); around 57% are anaemic.</w:t>
            </w:r>
          </w:p>
          <w:p>
            <w:pPr>
              <w:spacing w:after="40" w:line="252" w:lineRule="auto"/>
            </w:pPr>
            <w:hyperlink r:id="rId9">
              <w:r>
                <w:rPr>
                  <w:rFonts w:ascii="Calibri" w:hAnsi="Calibri" w:cs="Calibri"/>
                  <w:sz w:val="18"/>
                  <w:color w:val="1155CC"/>
                  <w:u w:val="single"/>
                </w:rPr>
                <w:t xml:space="preserve">ORF — NFHS-5 (women underweight &amp; anaemia)</w:t>
              </w:r>
            </w:hyperlink>
          </w:p>
          <w:p>
            <w:pPr>
              <w:spacing w:before="60" w:after="40"/>
            </w:pPr>
            <w:r>
              <w:rPr>
                <w:rFonts w:ascii="Calibri" w:hAnsi="Calibri"/>
                <w:b w:val="0"/>
                <w:i w:val="0"/>
                <w:color w:val="5A5A5A"/>
                <w:sz w:val="18"/>
              </w:rPr>
              <w:t>#womenshealth  #anaemia  #maternalnutrition  #genderinequity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Poorest wealth quintile &amp; food-insecure households</w:t>
            </w:r>
          </w:p>
        </w:tc>
        <w:tc>
          <w:tcPr>
            <w:tcW w:type="dxa" w:w="4276"/>
            <w:vAlign w:val="top"/>
          </w:tcPr>
          <w:p>
            <w:pPr>
              <w:spacing w:after="60" w:line="259" w:lineRule="auto"/>
            </w:pPr>
            <w:r>
              <w:rPr>
                <w:rFonts w:ascii="Calibri" w:hAnsi="Calibri"/>
                <w:b w:val="0"/>
                <w:i w:val="0"/>
                <w:color w:val="212121"/>
                <w:sz w:val="19"/>
              </w:rPr>
              <w:t>Low income, limited food access, poor sanitation and low maternal education concentrate undernutrition in the poorest households, where diets are cereal-heavy and infection exposure is high. The socioeconomic gradient is one of the steepest in Indian nutrition data.</w:t>
            </w:r>
          </w:p>
          <w:p>
            <w:pPr>
              <w:spacing w:after="40" w:before="60" w:line="259" w:lineRule="auto"/>
            </w:pPr>
            <w:r>
              <w:rPr>
                <w:rFonts w:ascii="Calibri" w:hAnsi="Calibri"/>
                <w:b w:val="0"/>
                <w:i w:val="0"/>
                <w:color w:val="212121"/>
                <w:sz w:val="19"/>
              </w:rPr>
              <w:t>In the poorest wealth quintile, under-five stunting is 46.1%, wasting 22.5% and underweight 43.1%, versus 22.9%, 16.2% and 20.1% in the richest quintile.</w:t>
            </w:r>
          </w:p>
          <w:p>
            <w:pPr>
              <w:spacing w:after="40" w:line="252" w:lineRule="auto"/>
            </w:pPr>
            <w:hyperlink r:id="rId12">
              <w:r>
                <w:rPr>
                  <w:rFonts w:ascii="Calibri" w:hAnsi="Calibri" w:cs="Calibri"/>
                  <w:sz w:val="18"/>
                  <w:color w:val="1155CC"/>
                  <w:u w:val="single"/>
                </w:rPr>
                <w:t xml:space="preserve">IMPRI — burden of undernutrition (wealth-index analysis)</w:t>
              </w:r>
            </w:hyperlink>
          </w:p>
          <w:p>
            <w:pPr>
              <w:spacing w:before="60" w:after="40"/>
            </w:pPr>
            <w:r>
              <w:rPr>
                <w:rFonts w:ascii="Calibri" w:hAnsi="Calibri"/>
                <w:b w:val="0"/>
                <w:i w:val="0"/>
                <w:color w:val="5A5A5A"/>
                <w:sz w:val="18"/>
              </w:rPr>
              <w:t>#poverty  #foodinsecurity  #wealthgradient  #inequity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Life-stage</w:t>
            </w:r>
          </w:p>
        </w:tc>
        <w:tc>
          <w:tcPr>
            <w:tcW w:type="dxa" w:w="2160"/>
            <w:vAlign w:val="top"/>
          </w:tcPr>
          <w:p>
            <w:pPr>
              <w:spacing w:after="40" w:before="0" w:line="259" w:lineRule="auto"/>
            </w:pPr>
            <w:r>
              <w:rPr>
                <w:rFonts w:ascii="Calibri" w:hAnsi="Calibri"/>
                <w:b w:val="0"/>
                <w:i w:val="0"/>
                <w:color w:val="212121"/>
                <w:sz w:val="19"/>
              </w:rPr>
              <w:t>Pregnant &amp; lactating women</w:t>
            </w:r>
          </w:p>
        </w:tc>
        <w:tc>
          <w:tcPr>
            <w:tcW w:type="dxa" w:w="4276"/>
            <w:vAlign w:val="top"/>
          </w:tcPr>
          <w:p>
            <w:pPr>
              <w:spacing w:after="60" w:line="259" w:lineRule="auto"/>
            </w:pPr>
            <w:r>
              <w:rPr>
                <w:rFonts w:ascii="Calibri" w:hAnsi="Calibri"/>
                <w:b w:val="0"/>
                <w:i w:val="0"/>
                <w:color w:val="212121"/>
                <w:sz w:val="19"/>
              </w:rPr>
              <w:t>Pregnancy and lactation markedly raise energy, protein, iron, folate and calcium requirements; pre-existing low BMI and anaemia lead to poor gestational weight gain, maternal depletion, intrauterine growth restriction and low birth weight.</w:t>
            </w:r>
          </w:p>
          <w:p>
            <w:pPr>
              <w:spacing w:after="40" w:before="60" w:line="259" w:lineRule="auto"/>
            </w:pPr>
            <w:r>
              <w:rPr>
                <w:rFonts w:ascii="Calibri" w:hAnsi="Calibri"/>
                <w:b w:val="0"/>
                <w:i w:val="0"/>
                <w:color w:val="212121"/>
                <w:sz w:val="19"/>
              </w:rPr>
              <w:t>Nearly one-fifth (about 17.1%) of Indian infants are born low birth weight in NFHS-5, with maternal underweight and anaemia among the strongest determinants.</w:t>
            </w:r>
          </w:p>
          <w:p>
            <w:pPr>
              <w:spacing w:after="40" w:line="252" w:lineRule="auto"/>
            </w:pPr>
            <w:hyperlink r:id="rId13">
              <w:r>
                <w:rPr>
                  <w:rFonts w:ascii="Calibri" w:hAnsi="Calibri" w:cs="Calibri"/>
                  <w:sz w:val="18"/>
                  <w:color w:val="1155CC"/>
                  <w:u w:val="single"/>
                </w:rPr>
                <w:t xml:space="preserve">BMC Pregnancy &amp; Childbirth — low birth weight in India (NFHS-5)</w:t>
              </w:r>
            </w:hyperlink>
          </w:p>
          <w:p>
            <w:pPr>
              <w:spacing w:before="60" w:after="40"/>
            </w:pPr>
            <w:r>
              <w:rPr>
                <w:rFonts w:ascii="Calibri" w:hAnsi="Calibri"/>
                <w:b w:val="0"/>
                <w:i w:val="0"/>
                <w:color w:val="5A5A5A"/>
                <w:sz w:val="18"/>
              </w:rPr>
              <w:t>#maternalnutrition  #lowbirthweight  #IUGR  #pregnancy  #anaemia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Scheduled Tribes &amp; tribal communities</w:t>
            </w:r>
          </w:p>
        </w:tc>
        <w:tc>
          <w:tcPr>
            <w:tcW w:type="dxa" w:w="4276"/>
            <w:vAlign w:val="top"/>
          </w:tcPr>
          <w:p>
            <w:pPr>
              <w:spacing w:after="60" w:line="259" w:lineRule="auto"/>
            </w:pPr>
            <w:r>
              <w:rPr>
                <w:rFonts w:ascii="Calibri" w:hAnsi="Calibri"/>
                <w:b w:val="0"/>
                <w:i w:val="0"/>
                <w:color w:val="212121"/>
                <w:sz w:val="19"/>
              </w:rPr>
              <w:t>Tribal populations face higher poverty, food insecurity, remoteness from services and infection burden, giving them among the highest rates of adult chronic energy deficiency and child undernutrition in India, and the largest attributable disease burden.</w:t>
            </w:r>
          </w:p>
          <w:p>
            <w:pPr>
              <w:spacing w:after="40" w:before="60" w:line="259" w:lineRule="auto"/>
            </w:pPr>
            <w:r>
              <w:rPr>
                <w:rFonts w:ascii="Calibri" w:hAnsi="Calibri"/>
                <w:b w:val="0"/>
                <w:i w:val="0"/>
                <w:color w:val="212121"/>
                <w:sz w:val="19"/>
              </w:rPr>
              <w:t>The population-attributable fraction of tuberculosis due to undernutrition is largest among women of scheduled tribes in central India; overall undernutrition prevalence in adults aged 15–49 is about 35.6% in women and 34.2% in men.</w:t>
            </w:r>
          </w:p>
          <w:p>
            <w:pPr>
              <w:spacing w:after="40" w:line="252" w:lineRule="auto"/>
            </w:pPr>
            <w:hyperlink r:id="rId14">
              <w:r>
                <w:rPr>
                  <w:rFonts w:ascii="Calibri" w:hAnsi="Calibri" w:cs="Calibri"/>
                  <w:sz w:val="18"/>
                  <w:color w:val="1155CC"/>
                  <w:u w:val="single"/>
                </w:rPr>
                <w:t xml:space="preserve">TB DIAH — undernutrition &amp; TB PAF in India</w:t>
              </w:r>
            </w:hyperlink>
          </w:p>
          <w:p>
            <w:pPr>
              <w:spacing w:before="60" w:after="40"/>
            </w:pPr>
            <w:r>
              <w:rPr>
                <w:rFonts w:ascii="Calibri" w:hAnsi="Calibri"/>
                <w:b w:val="0"/>
                <w:i w:val="0"/>
                <w:color w:val="5A5A5A"/>
                <w:sz w:val="18"/>
              </w:rPr>
              <w:t>#tribal  #scheduledtribes  #chronicenergydeficiency  #healthinequity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Rural areas &amp; high-burden states (Bihar, Jharkhand, Uttar Pradesh, Madhya Pradesh, Meghalaya)</w:t>
            </w:r>
          </w:p>
        </w:tc>
        <w:tc>
          <w:tcPr>
            <w:tcW w:type="dxa" w:w="4276"/>
            <w:vAlign w:val="top"/>
          </w:tcPr>
          <w:p>
            <w:pPr>
              <w:spacing w:after="60" w:line="259" w:lineRule="auto"/>
            </w:pPr>
            <w:r>
              <w:rPr>
                <w:rFonts w:ascii="Calibri" w:hAnsi="Calibri"/>
                <w:b w:val="0"/>
                <w:i w:val="0"/>
                <w:color w:val="212121"/>
                <w:sz w:val="19"/>
              </w:rPr>
              <w:t>Rural and economically weaker states concentrate poverty, poor WASH, cereal-based diets and limited health access, so stunting, wasting and underweight cluster there. Undernutrition is highest in central, eastern and some northeastern states.</w:t>
            </w:r>
          </w:p>
          <w:p>
            <w:pPr>
              <w:spacing w:after="40" w:before="60" w:line="259" w:lineRule="auto"/>
            </w:pPr>
            <w:r>
              <w:rPr>
                <w:rFonts w:ascii="Calibri" w:hAnsi="Calibri"/>
                <w:b w:val="0"/>
                <w:i w:val="0"/>
                <w:color w:val="212121"/>
                <w:sz w:val="19"/>
              </w:rPr>
              <w:t>Under-five stunting is 37.3% in rural versus 30.1% in urban India, and ranges from about 20% (Puducherry) to 46.5% (Meghalaya) across states.</w:t>
            </w:r>
          </w:p>
          <w:p>
            <w:pPr>
              <w:spacing w:after="40" w:line="252" w:lineRule="auto"/>
            </w:pPr>
            <w:hyperlink r:id="rId9">
              <w:r>
                <w:rPr>
                  <w:rFonts w:ascii="Calibri" w:hAnsi="Calibri" w:cs="Calibri"/>
                  <w:sz w:val="18"/>
                  <w:color w:val="1155CC"/>
                  <w:u w:val="single"/>
                </w:rPr>
                <w:t xml:space="preserve">ORF — NFHS-5 (rural-urban &amp; state variation)</w:t>
              </w:r>
            </w:hyperlink>
          </w:p>
          <w:p>
            <w:pPr>
              <w:spacing w:before="60" w:after="40"/>
            </w:pPr>
            <w:r>
              <w:rPr>
                <w:rFonts w:ascii="Calibri" w:hAnsi="Calibri"/>
                <w:b w:val="0"/>
                <w:i w:val="0"/>
                <w:color w:val="5A5A5A"/>
                <w:sz w:val="18"/>
              </w:rPr>
              <w:t>#rural  #regionalvariation  #WASH  #statevariation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 physical labour</w:t>
            </w:r>
          </w:p>
        </w:tc>
        <w:tc>
          <w:tcPr>
            <w:tcW w:type="dxa" w:w="2160"/>
            <w:vAlign w:val="top"/>
          </w:tcPr>
          <w:p>
            <w:pPr>
              <w:spacing w:after="40" w:before="0" w:line="259" w:lineRule="auto"/>
            </w:pPr>
            <w:r>
              <w:rPr>
                <w:rFonts w:ascii="Calibri" w:hAnsi="Calibri"/>
                <w:b w:val="0"/>
                <w:i w:val="0"/>
                <w:color w:val="212121"/>
                <w:sz w:val="19"/>
              </w:rPr>
              <w:t>Manual labourers &amp; high-energy-expenditure workers with low intake</w:t>
            </w:r>
          </w:p>
        </w:tc>
        <w:tc>
          <w:tcPr>
            <w:tcW w:type="dxa" w:w="4276"/>
            <w:vAlign w:val="top"/>
          </w:tcPr>
          <w:p>
            <w:pPr>
              <w:spacing w:after="60" w:line="259" w:lineRule="auto"/>
            </w:pPr>
            <w:r>
              <w:rPr>
                <w:rFonts w:ascii="Calibri" w:hAnsi="Calibri"/>
                <w:b w:val="0"/>
                <w:i w:val="0"/>
                <w:color w:val="212121"/>
                <w:sz w:val="19"/>
              </w:rPr>
              <w:t>Heavy physical labour (agriculture, construction, load-carrying) sharply raises energy expenditure; when intake cannot match it — as in poverty or seasonal food scarcity — a chronic negative energy balance develops, producing adult chronic energy deficiency.</w:t>
            </w:r>
          </w:p>
          <w:p>
            <w:pPr>
              <w:spacing w:after="40" w:before="60" w:line="259" w:lineRule="auto"/>
            </w:pPr>
            <w:r>
              <w:rPr>
                <w:rFonts w:ascii="Calibri" w:hAnsi="Calibri"/>
                <w:b w:val="0"/>
                <w:i w:val="0"/>
                <w:color w:val="212121"/>
                <w:sz w:val="19"/>
              </w:rPr>
              <w:t>Adult chronic energy deficiency (BMI &lt; 18.5) remains common among manual-labouring and slum-dwelling men and women in India despite the national decline in underweight.</w:t>
            </w:r>
          </w:p>
          <w:p>
            <w:pPr>
              <w:spacing w:before="60" w:after="40"/>
            </w:pPr>
            <w:r>
              <w:rPr>
                <w:rFonts w:ascii="Calibri" w:hAnsi="Calibri"/>
                <w:b w:val="0"/>
                <w:i w:val="0"/>
                <w:color w:val="5A5A5A"/>
                <w:sz w:val="18"/>
              </w:rPr>
              <w:t>#manuallabour  #energybalance  #chronicenergydeficiency  #seasonalhunger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Cigarette, bidi &amp; smokeless-tobacco users</w:t>
            </w:r>
          </w:p>
        </w:tc>
        <w:tc>
          <w:tcPr>
            <w:tcW w:type="dxa" w:w="4276"/>
            <w:vAlign w:val="top"/>
          </w:tcPr>
          <w:p>
            <w:pPr>
              <w:spacing w:after="60" w:line="259" w:lineRule="auto"/>
            </w:pPr>
            <w:r>
              <w:rPr>
                <w:rFonts w:ascii="Calibri" w:hAnsi="Calibri"/>
                <w:b w:val="0"/>
                <w:i w:val="0"/>
                <w:color w:val="212121"/>
                <w:sz w:val="19"/>
              </w:rPr>
              <w:t>Nicotine suppresses appetite and raises resting metabolic rate, lowering intake and body weight, while tobacco is a leading driver of tuberculosis, COPD and cancer — all of which cause secondary undernutrition and weight loss.</w:t>
            </w:r>
          </w:p>
          <w:p>
            <w:pPr>
              <w:spacing w:after="40" w:before="60" w:line="259" w:lineRule="auto"/>
            </w:pPr>
            <w:r>
              <w:rPr>
                <w:rFonts w:ascii="Calibri" w:hAnsi="Calibri"/>
                <w:b w:val="0"/>
                <w:i w:val="0"/>
                <w:color w:val="212121"/>
                <w:sz w:val="19"/>
              </w:rPr>
              <w:t>Tobacco use compounds the undernutrition–tuberculosis interaction that makes undernutrition the single largest population-attributable risk factor for TB in India (about 55% of cases).</w:t>
            </w:r>
          </w:p>
          <w:p>
            <w:pPr>
              <w:spacing w:after="40" w:line="252" w:lineRule="auto"/>
            </w:pPr>
            <w:hyperlink r:id="rId14">
              <w:r>
                <w:rPr>
                  <w:rFonts w:ascii="Calibri" w:hAnsi="Calibri" w:cs="Calibri"/>
                  <w:sz w:val="18"/>
                  <w:color w:val="1155CC"/>
                  <w:u w:val="single"/>
                </w:rPr>
                <w:t xml:space="preserve">TB DIAH — undernutrition &amp; TB in India</w:t>
              </w:r>
            </w:hyperlink>
          </w:p>
          <w:p>
            <w:pPr>
              <w:spacing w:before="60" w:after="40"/>
            </w:pPr>
            <w:r>
              <w:rPr>
                <w:rFonts w:ascii="Calibri" w:hAnsi="Calibri"/>
                <w:b w:val="0"/>
                <w:i w:val="0"/>
                <w:color w:val="5A5A5A"/>
                <w:sz w:val="18"/>
              </w:rPr>
              <w:t>#smoking  #tobacco  #appetitesuppression  #tuberculosis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dependent drinkers</w:t>
            </w:r>
          </w:p>
        </w:tc>
        <w:tc>
          <w:tcPr>
            <w:tcW w:type="dxa" w:w="4276"/>
            <w:vAlign w:val="top"/>
          </w:tcPr>
          <w:p>
            <w:pPr>
              <w:spacing w:after="60" w:line="259" w:lineRule="auto"/>
            </w:pPr>
            <w:r>
              <w:rPr>
                <w:rFonts w:ascii="Calibri" w:hAnsi="Calibri"/>
                <w:b w:val="0"/>
                <w:i w:val="0"/>
                <w:color w:val="212121"/>
                <w:sz w:val="19"/>
              </w:rPr>
              <w:t>Alcohol displaces nutritious food with ‘empty’ calories, impairs digestion and absorption, damages the liver and pancreas, and depletes thiamine, folate and other micronutrients, producing a distinctive alcohol-related undernutrition with muscle wasting.</w:t>
            </w:r>
          </w:p>
          <w:p>
            <w:pPr>
              <w:spacing w:after="40" w:before="60" w:line="259" w:lineRule="auto"/>
            </w:pPr>
            <w:r>
              <w:rPr>
                <w:rFonts w:ascii="Calibri" w:hAnsi="Calibri"/>
                <w:b w:val="0"/>
                <w:i w:val="0"/>
                <w:color w:val="212121"/>
                <w:sz w:val="19"/>
              </w:rPr>
              <w:t>Chronic heavy alcohol use is a well-recognised cause of secondary protein-energy and micronutrient (thiamine, folate) undernutrition and weight loss.</w:t>
            </w:r>
          </w:p>
          <w:p>
            <w:pPr>
              <w:spacing w:before="60" w:after="40"/>
            </w:pPr>
            <w:r>
              <w:rPr>
                <w:rFonts w:ascii="Calibri" w:hAnsi="Calibri"/>
                <w:b w:val="0"/>
                <w:i w:val="0"/>
                <w:color w:val="5A5A5A"/>
                <w:sz w:val="18"/>
              </w:rPr>
              <w:t>#alcohol  #thiamine  #malabsorption  #musclewasting  #secondaryundernutrition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Cereal-monotonous, low-protein diets</w:t>
            </w:r>
          </w:p>
        </w:tc>
        <w:tc>
          <w:tcPr>
            <w:tcW w:type="dxa" w:w="4276"/>
            <w:vAlign w:val="top"/>
          </w:tcPr>
          <w:p>
            <w:pPr>
              <w:spacing w:after="60" w:line="259" w:lineRule="auto"/>
            </w:pPr>
            <w:r>
              <w:rPr>
                <w:rFonts w:ascii="Calibri" w:hAnsi="Calibri"/>
                <w:b w:val="0"/>
                <w:i w:val="0"/>
                <w:color w:val="212121"/>
                <w:sz w:val="19"/>
              </w:rPr>
              <w:t>Diets dominated by a single staple (rice or wheat) with little pulse, dairy, egg, fish or meat supply bulk but insufficient protein, quality fat and micronutrients, producing protein-energy and micronutrient undernutrition even when the stomach feels full.</w:t>
            </w:r>
          </w:p>
          <w:p>
            <w:pPr>
              <w:spacing w:after="40" w:before="60" w:line="259" w:lineRule="auto"/>
            </w:pPr>
            <w:r>
              <w:rPr>
                <w:rFonts w:ascii="Calibri" w:hAnsi="Calibri"/>
                <w:b w:val="0"/>
                <w:i w:val="0"/>
                <w:color w:val="212121"/>
                <w:sz w:val="19"/>
              </w:rPr>
              <w:t>Only 11.3% of Indian children aged 6–23 months receive a minimum adequate diet, reflecting very low dietary diversity.</w:t>
            </w:r>
          </w:p>
          <w:p>
            <w:pPr>
              <w:spacing w:after="40" w:line="252" w:lineRule="auto"/>
            </w:pPr>
            <w:hyperlink r:id="rId10">
              <w:r>
                <w:rPr>
                  <w:rFonts w:ascii="Calibri" w:hAnsi="Calibri" w:cs="Calibri"/>
                  <w:sz w:val="18"/>
                  <w:color w:val="1155CC"/>
                  <w:u w:val="single"/>
                </w:rPr>
                <w:t xml:space="preserve">The Wire — NFHS-5 (adequate diet 11.3%)</w:t>
              </w:r>
            </w:hyperlink>
          </w:p>
          <w:p>
            <w:pPr>
              <w:spacing w:before="60" w:after="40"/>
            </w:pPr>
            <w:r>
              <w:rPr>
                <w:rFonts w:ascii="Calibri" w:hAnsi="Calibri"/>
                <w:b w:val="0"/>
                <w:i w:val="0"/>
                <w:color w:val="5A5A5A"/>
                <w:sz w:val="18"/>
              </w:rPr>
              <w:t>#cerealmonotony  #lowprotein  #dietarydiversity  #hiddenhunger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Feeding practices</w:t>
            </w:r>
          </w:p>
        </w:tc>
        <w:tc>
          <w:tcPr>
            <w:tcW w:type="dxa" w:w="2160"/>
            <w:vAlign w:val="top"/>
          </w:tcPr>
          <w:p>
            <w:pPr>
              <w:spacing w:after="40" w:before="0" w:line="259" w:lineRule="auto"/>
            </w:pPr>
            <w:r>
              <w:rPr>
                <w:rFonts w:ascii="Calibri" w:hAnsi="Calibri"/>
                <w:b w:val="0"/>
                <w:i w:val="0"/>
                <w:color w:val="212121"/>
                <w:sz w:val="19"/>
              </w:rPr>
              <w:t>Infants with suboptimal breastfeeding &amp; complementary feeding</w:t>
            </w:r>
          </w:p>
        </w:tc>
        <w:tc>
          <w:tcPr>
            <w:tcW w:type="dxa" w:w="4276"/>
            <w:vAlign w:val="top"/>
          </w:tcPr>
          <w:p>
            <w:pPr>
              <w:spacing w:after="60" w:line="259" w:lineRule="auto"/>
            </w:pPr>
            <w:r>
              <w:rPr>
                <w:rFonts w:ascii="Calibri" w:hAnsi="Calibri"/>
                <w:b w:val="0"/>
                <w:i w:val="0"/>
                <w:color w:val="212121"/>
                <w:sz w:val="19"/>
              </w:rPr>
              <w:t>Delayed initiation, non-exclusive breastfeeding and late, inadequate or unhygienic complementary feeding in the first two years cause early wasting and stunting during the window when growth faltering becomes irreversible.</w:t>
            </w:r>
          </w:p>
          <w:p>
            <w:pPr>
              <w:spacing w:after="40" w:before="60" w:line="259" w:lineRule="auto"/>
            </w:pPr>
            <w:r>
              <w:rPr>
                <w:rFonts w:ascii="Calibri" w:hAnsi="Calibri"/>
                <w:b w:val="0"/>
                <w:i w:val="0"/>
                <w:color w:val="212121"/>
                <w:sz w:val="19"/>
              </w:rPr>
              <w:t>NFHS-5: exclusive breastfeeding under six months reached 63.7%, but timely, adequate complementary feeding remains poor, and only 11.3% of children 6–23 months get an adequate diet.</w:t>
            </w:r>
          </w:p>
          <w:p>
            <w:pPr>
              <w:spacing w:after="40" w:line="252" w:lineRule="auto"/>
            </w:pPr>
            <w:hyperlink r:id="rId9">
              <w:r>
                <w:rPr>
                  <w:rFonts w:ascii="Calibri" w:hAnsi="Calibri" w:cs="Calibri"/>
                  <w:sz w:val="18"/>
                  <w:color w:val="1155CC"/>
                  <w:u w:val="single"/>
                </w:rPr>
                <w:t xml:space="preserve">ORF — NFHS-5 (IYCF practices)</w:t>
              </w:r>
            </w:hyperlink>
          </w:p>
          <w:p>
            <w:pPr>
              <w:spacing w:before="60" w:after="40"/>
            </w:pPr>
            <w:r>
              <w:rPr>
                <w:rFonts w:ascii="Calibri" w:hAnsi="Calibri"/>
                <w:b w:val="0"/>
                <w:i w:val="0"/>
                <w:color w:val="5A5A5A"/>
                <w:sz w:val="18"/>
              </w:rPr>
              <w:t>#breastfeeding  #IYCF  #complementaryfeeding  #growthfaltering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diversity</w:t>
            </w:r>
          </w:p>
        </w:tc>
        <w:tc>
          <w:tcPr>
            <w:tcW w:type="dxa" w:w="2160"/>
            <w:vAlign w:val="top"/>
          </w:tcPr>
          <w:p>
            <w:pPr>
              <w:spacing w:after="40" w:before="0" w:line="259" w:lineRule="auto"/>
            </w:pPr>
            <w:r>
              <w:rPr>
                <w:rFonts w:ascii="Calibri" w:hAnsi="Calibri"/>
                <w:b w:val="0"/>
                <w:i w:val="0"/>
                <w:color w:val="212121"/>
                <w:sz w:val="19"/>
              </w:rPr>
              <w:t>Low-diversity diets &amp; ‘hidden hunger’</w:t>
            </w:r>
          </w:p>
        </w:tc>
        <w:tc>
          <w:tcPr>
            <w:tcW w:type="dxa" w:w="4276"/>
            <w:vAlign w:val="top"/>
          </w:tcPr>
          <w:p>
            <w:pPr>
              <w:spacing w:after="60" w:line="259" w:lineRule="auto"/>
            </w:pPr>
            <w:r>
              <w:rPr>
                <w:rFonts w:ascii="Calibri" w:hAnsi="Calibri"/>
                <w:b w:val="0"/>
                <w:i w:val="0"/>
                <w:color w:val="212121"/>
                <w:sz w:val="19"/>
              </w:rPr>
              <w:t>Energy-adequate but micronutrient-poor diets leave individuals deficient in iron, vitamin A, folate, B12, zinc and iodine — hidden hunger — which impairs immunity, cognition and growth and coexists with, or precedes, overt protein-energy undernutrition.</w:t>
            </w:r>
          </w:p>
          <w:p>
            <w:pPr>
              <w:spacing w:after="40" w:before="60" w:line="259" w:lineRule="auto"/>
            </w:pPr>
            <w:r>
              <w:rPr>
                <w:rFonts w:ascii="Calibri" w:hAnsi="Calibri"/>
                <w:b w:val="0"/>
                <w:i w:val="0"/>
                <w:color w:val="212121"/>
                <w:sz w:val="19"/>
              </w:rPr>
              <w:t>Anaemia (largely iron-deficiency) affects 67.1% of children aged 6–59 months and around 57% of women in NFHS-5 — the most visible marker of India’s hidden-hunger burden.</w:t>
            </w:r>
          </w:p>
          <w:p>
            <w:pPr>
              <w:spacing w:after="40" w:line="252" w:lineRule="auto"/>
            </w:pPr>
            <w:hyperlink r:id="rId10">
              <w:r>
                <w:rPr>
                  <w:rFonts w:ascii="Calibri" w:hAnsi="Calibri" w:cs="Calibri"/>
                  <w:sz w:val="18"/>
                  <w:color w:val="1155CC"/>
                  <w:u w:val="single"/>
                </w:rPr>
                <w:t xml:space="preserve">The Wire — NFHS-5 (child anaemia 67.1%)</w:t>
              </w:r>
            </w:hyperlink>
          </w:p>
          <w:p>
            <w:pPr>
              <w:spacing w:before="60" w:after="40"/>
            </w:pPr>
            <w:r>
              <w:rPr>
                <w:rFonts w:ascii="Calibri" w:hAnsi="Calibri"/>
                <w:b w:val="0"/>
                <w:i w:val="0"/>
                <w:color w:val="5A5A5A"/>
                <w:sz w:val="18"/>
              </w:rPr>
              <w:t>#hiddenhunger  #micronutrients  #anaemia  #irondeficiency  #vitaminA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Developmental programming</w:t>
            </w:r>
          </w:p>
        </w:tc>
        <w:tc>
          <w:tcPr>
            <w:tcW w:type="dxa" w:w="2160"/>
            <w:vAlign w:val="top"/>
          </w:tcPr>
          <w:p>
            <w:pPr>
              <w:spacing w:after="40" w:before="0" w:line="259" w:lineRule="auto"/>
            </w:pPr>
            <w:r>
              <w:rPr>
                <w:rFonts w:ascii="Calibri" w:hAnsi="Calibri"/>
                <w:b w:val="0"/>
                <w:i w:val="0"/>
                <w:color w:val="212121"/>
                <w:sz w:val="19"/>
              </w:rPr>
              <w:t>Low-birth-weight infants (‘thrifty phenotype’)</w:t>
            </w:r>
          </w:p>
        </w:tc>
        <w:tc>
          <w:tcPr>
            <w:tcW w:type="dxa" w:w="4276"/>
            <w:vAlign w:val="top"/>
          </w:tcPr>
          <w:p>
            <w:pPr>
              <w:spacing w:after="60" w:line="259" w:lineRule="auto"/>
            </w:pPr>
            <w:r>
              <w:rPr>
                <w:rFonts w:ascii="Calibri" w:hAnsi="Calibri"/>
                <w:b w:val="0"/>
                <w:i w:val="0"/>
                <w:color w:val="212121"/>
                <w:sz w:val="19"/>
              </w:rPr>
              <w:t>Intrauterine growth restriction and low birth weight programme a small, nutrient-sparing body that starts life already undernourished and struggles to achieve catch-up growth; the same programming later raises the risk of adult non-communicable disease when food becomes abundant.</w:t>
            </w:r>
          </w:p>
          <w:p>
            <w:pPr>
              <w:spacing w:after="40" w:before="60" w:line="259" w:lineRule="auto"/>
            </w:pPr>
            <w:r>
              <w:rPr>
                <w:rFonts w:ascii="Calibri" w:hAnsi="Calibri"/>
                <w:b w:val="0"/>
                <w:i w:val="0"/>
                <w:color w:val="212121"/>
                <w:sz w:val="19"/>
              </w:rPr>
              <w:t>About 17.1% of Indian infants are low birth weight (NFHS-5), a major contributor to subsequent childhood stunting and underweight.</w:t>
            </w:r>
          </w:p>
          <w:p>
            <w:pPr>
              <w:spacing w:after="40" w:line="252" w:lineRule="auto"/>
            </w:pPr>
            <w:hyperlink r:id="rId13">
              <w:r>
                <w:rPr>
                  <w:rFonts w:ascii="Calibri" w:hAnsi="Calibri" w:cs="Calibri"/>
                  <w:sz w:val="18"/>
                  <w:color w:val="1155CC"/>
                  <w:u w:val="single"/>
                </w:rPr>
                <w:t xml:space="preserve">BMC Pregnancy &amp; Childbirth — low birth weight in India</w:t>
              </w:r>
            </w:hyperlink>
          </w:p>
          <w:p>
            <w:pPr>
              <w:spacing w:before="60" w:after="40"/>
            </w:pPr>
            <w:r>
              <w:rPr>
                <w:rFonts w:ascii="Calibri" w:hAnsi="Calibri"/>
                <w:b w:val="0"/>
                <w:i w:val="0"/>
                <w:color w:val="5A5A5A"/>
                <w:sz w:val="18"/>
              </w:rPr>
              <w:t>#lowbirthweight  #thriftyphenotype  #DOHaD  #IUGR  #intergenerational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or at risk of tuberculosis</w:t>
            </w:r>
          </w:p>
        </w:tc>
        <w:tc>
          <w:tcPr>
            <w:tcW w:type="dxa" w:w="4276"/>
            <w:vAlign w:val="top"/>
          </w:tcPr>
          <w:p>
            <w:pPr>
              <w:spacing w:after="60" w:line="259" w:lineRule="auto"/>
            </w:pPr>
            <w:r>
              <w:rPr>
                <w:rFonts w:ascii="Calibri" w:hAnsi="Calibri"/>
                <w:b w:val="0"/>
                <w:i w:val="0"/>
                <w:color w:val="212121"/>
                <w:sz w:val="19"/>
              </w:rPr>
              <w:t>Undernutrition impairs cell-mediated immunity and sharply increases the risk of progression to active tuberculosis, while TB itself causes anorexia, hypermetabolism and wasting — a bidirectional cycle that is central to India’s TB epidemic.</w:t>
            </w:r>
          </w:p>
          <w:p>
            <w:pPr>
              <w:spacing w:after="40" w:before="60" w:line="259" w:lineRule="auto"/>
            </w:pPr>
            <w:r>
              <w:rPr>
                <w:rFonts w:ascii="Calibri" w:hAnsi="Calibri"/>
                <w:b w:val="0"/>
                <w:i w:val="0"/>
                <w:color w:val="212121"/>
                <w:sz w:val="19"/>
              </w:rPr>
              <w:t>Undernutrition is the leading population-attributable risk factor for TB in India, accounting for about 55.4% of cases in women and 54.4% in men — the highest such fraction among high-burden countries.</w:t>
            </w:r>
          </w:p>
          <w:p>
            <w:pPr>
              <w:spacing w:after="40" w:line="252" w:lineRule="auto"/>
            </w:pPr>
            <w:hyperlink r:id="rId14">
              <w:r>
                <w:rPr>
                  <w:rFonts w:ascii="Calibri" w:hAnsi="Calibri" w:cs="Calibri"/>
                  <w:sz w:val="18"/>
                  <w:color w:val="1155CC"/>
                  <w:u w:val="single"/>
                </w:rPr>
                <w:t xml:space="preserve">TB DIAH — undernutrition-attributable TB in India</w:t>
              </w:r>
            </w:hyperlink>
          </w:p>
          <w:p>
            <w:pPr>
              <w:spacing w:before="60" w:after="40"/>
            </w:pPr>
            <w:r>
              <w:rPr>
                <w:rFonts w:ascii="Calibri" w:hAnsi="Calibri"/>
                <w:b w:val="0"/>
                <w:i w:val="0"/>
                <w:color w:val="5A5A5A"/>
                <w:sz w:val="18"/>
              </w:rPr>
              <w:t>#tuberculosis  #immunity  #wasting  #PAF  #infectionmalnutrition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HIV increases resting energy expenditure, impairs absorption through enteropathy and opportunistic infection, and reduces intake, producing HIV-associated wasting; undernutrition in turn accelerates disease progression and mortality.</w:t>
            </w:r>
          </w:p>
          <w:p>
            <w:pPr>
              <w:spacing w:after="40" w:before="60" w:line="259" w:lineRule="auto"/>
            </w:pPr>
            <w:r>
              <w:rPr>
                <w:rFonts w:ascii="Calibri" w:hAnsi="Calibri"/>
                <w:b w:val="0"/>
                <w:i w:val="0"/>
                <w:color w:val="212121"/>
                <w:sz w:val="19"/>
              </w:rPr>
              <w:t>HIV-associated wasting and undernutrition worsen immune function and treatment outcomes, reinforcing the infection–malnutrition cycle.</w:t>
            </w:r>
          </w:p>
          <w:p>
            <w:pPr>
              <w:spacing w:before="60" w:after="40"/>
            </w:pPr>
            <w:r>
              <w:rPr>
                <w:rFonts w:ascii="Calibri" w:hAnsi="Calibri"/>
                <w:b w:val="0"/>
                <w:i w:val="0"/>
                <w:color w:val="5A5A5A"/>
                <w:sz w:val="18"/>
              </w:rPr>
              <w:t>#HIV  #wastingsyndrome  #opportunisticinfection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Malabsorption &amp; chronic diarrhoea</w:t>
            </w:r>
          </w:p>
        </w:tc>
        <w:tc>
          <w:tcPr>
            <w:tcW w:type="dxa" w:w="2160"/>
            <w:vAlign w:val="top"/>
          </w:tcPr>
          <w:p>
            <w:pPr>
              <w:spacing w:after="40" w:before="0" w:line="259" w:lineRule="auto"/>
            </w:pPr>
            <w:r>
              <w:rPr>
                <w:rFonts w:ascii="Calibri" w:hAnsi="Calibri"/>
                <w:b w:val="0"/>
                <w:i w:val="0"/>
                <w:color w:val="212121"/>
                <w:sz w:val="19"/>
              </w:rPr>
              <w:t>Patients with malabsorption, enteropathy or intestinal helminths</w:t>
            </w:r>
          </w:p>
        </w:tc>
        <w:tc>
          <w:tcPr>
            <w:tcW w:type="dxa" w:w="4276"/>
            <w:vAlign w:val="top"/>
          </w:tcPr>
          <w:p>
            <w:pPr>
              <w:spacing w:after="60" w:line="259" w:lineRule="auto"/>
            </w:pPr>
            <w:r>
              <w:rPr>
                <w:rFonts w:ascii="Calibri" w:hAnsi="Calibri"/>
                <w:b w:val="0"/>
                <w:i w:val="0"/>
                <w:color w:val="212121"/>
                <w:sz w:val="19"/>
              </w:rPr>
              <w:t>Chronic diarrhoea, coeliac disease, tropical sprue, pancreatic insufficiency, intestinal worms and environmental enteric dysfunction impair nutrient digestion and absorption, causing secondary undernutrition despite adequate food intake.</w:t>
            </w:r>
          </w:p>
          <w:p>
            <w:pPr>
              <w:spacing w:after="40" w:before="60" w:line="259" w:lineRule="auto"/>
            </w:pPr>
            <w:r>
              <w:rPr>
                <w:rFonts w:ascii="Calibri" w:hAnsi="Calibri"/>
                <w:b w:val="0"/>
                <w:i w:val="0"/>
                <w:color w:val="212121"/>
                <w:sz w:val="19"/>
              </w:rPr>
              <w:t>Environmental enteric dysfunction and recurrent diarrhoea, driven by poor water and sanitation, are important non-dietary contributors to child stunting in India.</w:t>
            </w:r>
          </w:p>
          <w:p>
            <w:pPr>
              <w:spacing w:before="60" w:after="40"/>
            </w:pPr>
            <w:r>
              <w:rPr>
                <w:rFonts w:ascii="Calibri" w:hAnsi="Calibri"/>
                <w:b w:val="0"/>
                <w:i w:val="0"/>
                <w:color w:val="5A5A5A"/>
                <w:sz w:val="18"/>
              </w:rPr>
              <w:t>#malabsorption  #chronicdiarrhoea  #enteropathy  #helminths  #WASH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disease cachexia</w:t>
            </w:r>
          </w:p>
        </w:tc>
        <w:tc>
          <w:tcPr>
            <w:tcW w:type="dxa" w:w="2160"/>
            <w:vAlign w:val="top"/>
          </w:tcPr>
          <w:p>
            <w:pPr>
              <w:spacing w:after="40" w:before="0" w:line="259" w:lineRule="auto"/>
            </w:pPr>
            <w:r>
              <w:rPr>
                <w:rFonts w:ascii="Calibri" w:hAnsi="Calibri"/>
                <w:b w:val="0"/>
                <w:i w:val="0"/>
                <w:color w:val="212121"/>
                <w:sz w:val="19"/>
              </w:rPr>
              <w:t>Patients with cancer, CKD, COPD, heart failure or chronic liver disease</w:t>
            </w:r>
          </w:p>
        </w:tc>
        <w:tc>
          <w:tcPr>
            <w:tcW w:type="dxa" w:w="4276"/>
            <w:vAlign w:val="top"/>
          </w:tcPr>
          <w:p>
            <w:pPr>
              <w:spacing w:after="60" w:line="259" w:lineRule="auto"/>
            </w:pPr>
            <w:r>
              <w:rPr>
                <w:rFonts w:ascii="Calibri" w:hAnsi="Calibri"/>
                <w:b w:val="0"/>
                <w:i w:val="0"/>
                <w:color w:val="212121"/>
                <w:sz w:val="19"/>
              </w:rPr>
              <w:t>Advanced chronic organ disease and malignancy raise inflammatory cytokines and resting energy expenditure while suppressing appetite, producing disease-related malnutrition and cachexia with progressive muscle and weight loss.</w:t>
            </w:r>
          </w:p>
          <w:p>
            <w:pPr>
              <w:spacing w:after="40" w:before="60" w:line="259" w:lineRule="auto"/>
            </w:pPr>
            <w:r>
              <w:rPr>
                <w:rFonts w:ascii="Calibri" w:hAnsi="Calibri"/>
                <w:b w:val="0"/>
                <w:i w:val="0"/>
                <w:color w:val="212121"/>
                <w:sz w:val="19"/>
              </w:rPr>
              <w:t>Disease-related undernutrition and cachexia worsen functional status, treatment tolerance, hospital outcomes and survival across chronic illnesses.</w:t>
            </w:r>
          </w:p>
          <w:p>
            <w:pPr>
              <w:spacing w:before="60" w:after="40"/>
            </w:pPr>
            <w:r>
              <w:rPr>
                <w:rFonts w:ascii="Calibri" w:hAnsi="Calibri"/>
                <w:b w:val="0"/>
                <w:i w:val="0"/>
                <w:color w:val="5A5A5A"/>
                <w:sz w:val="18"/>
              </w:rPr>
              <w:t>#cachexia  #cancer  #CKD  #COPD  #diseaserelatedmalnutrition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occupational or physical-labour energy expenditure without matching intake deepens the negative energy balance that drives adult chronic energy deficiency; conversely, appropriate resistance/graded activity during recovery helps rebuild muscle and functional capacity rather than causing further loss.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direct determinant of undernutrition. Insufficient energy and protein, cereal-monotonous low-diversity diets and low micronutrient intake are the fundamental causes; only 11.3% of Indian children 6–23 months receive an adequate diet.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causal role in primary undernutrition; severe malnutrition and its complications can disturb sleep, and poor sleep may marginally affect appetite and growth hormone, but evidence for a direct effect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suppresses appetite and lowers body weight, and tobacco is a major cause of tuberculosis, COPD and cancer, which produce secondary weight loss and wasting.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alcohol use displaces nutritious food with empty calories, impairs digestion and absorption, damages the liver and pancreas, and depletes thiamine and folate, causing distinct alcohol-related protein-energy and micronutrient undernutrition.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dementia, anxiety, poverty-related stress and eating disorders (anorexia nervosa) reduce appetite and intake; undernutrition in turn worsens mood and cognition, creating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Unsafe drinking water and poor sanitation cause recurrent diarrhoea and environmental enteric dysfunction, impairing nutrient absorption and precipitating wasting independent of food intake — a key driver of child stunting in India.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effect on energy balance is minimal; however, tannins in strong tea/coffee taken with meals can inhibit non-haem iron absorption and, in already marginal diets, contribute to iron-deficiency anaemia.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personal, food and environmental hygiene sustains the infection–malnutrition cycle: repeated enteric and respiratory infections and environmental enteropathy raise nutrient losses and requirements, deepening undernutrition.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infections (diarrhoea, pneumonia, measles, tuberculosis) and shocks such as drought, food-price spikes, displacement or disasters can precipitate acute-on-chronic deterioration and severe acute malnutrition in an already marginal individual.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(adults,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 (Asian-Indian normal)</w:t>
            </w:r>
          </w:p>
        </w:tc>
        <w:tc>
          <w:tcPr>
            <w:tcW w:type="dxa" w:w="1512"/>
            <w:vAlign w:val="top"/>
          </w:tcPr>
          <w:p>
            <w:pPr>
              <w:spacing w:after="40" w:before="0" w:line="259" w:lineRule="auto"/>
            </w:pPr>
            <w:r>
              <w:rPr>
                <w:rFonts w:ascii="Calibri" w:hAnsi="Calibri"/>
                <w:b w:val="0"/>
                <w:i w:val="0"/>
                <w:color w:val="212121"/>
                <w:sz w:val="19"/>
              </w:rPr>
              <w:t>&lt; 18.5 (CED); &lt; 17.0 moderate; &lt; 16.0 severe</w:t>
            </w:r>
          </w:p>
        </w:tc>
        <w:tc>
          <w:tcPr>
            <w:tcW w:type="dxa" w:w="1468"/>
            <w:vAlign w:val="top"/>
          </w:tcPr>
          <w:p>
            <w:pPr>
              <w:spacing w:after="60" w:line="259" w:lineRule="auto"/>
            </w:pPr>
            <w:r>
              <w:rPr>
                <w:rFonts w:ascii="Calibri" w:hAnsi="Calibri"/>
                <w:b w:val="0"/>
                <w:i w:val="0"/>
                <w:color w:val="212121"/>
                <w:sz w:val="19"/>
              </w:rPr>
              <w:t>Primary marker of adult chronic energy deficiency (WHO/IDECG grades)</w:t>
            </w:r>
          </w:p>
          <w:p>
            <w:pPr>
              <w:spacing w:after="40" w:line="252" w:lineRule="auto"/>
            </w:pPr>
            <w:hyperlink r:id="rId15">
              <w:r>
                <w:rPr>
                  <w:rFonts w:ascii="Calibri" w:hAnsi="Calibri" w:cs="Calibri"/>
                  <w:sz w:val="18"/>
                  <w:color w:val="1155CC"/>
                  <w:u w:val="single"/>
                </w:rPr>
                <w:t xml:space="preserve">https://pubmed.ncbi.nlm.nih.gov/3148462/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Weight-for-height Z-score (children)</w:t>
            </w:r>
          </w:p>
        </w:tc>
        <w:tc>
          <w:tcPr>
            <w:tcW w:type="dxa" w:w="1655"/>
            <w:vAlign w:val="top"/>
          </w:tcPr>
          <w:p>
            <w:pPr>
              <w:spacing w:after="40" w:before="0" w:line="259" w:lineRule="auto"/>
            </w:pPr>
            <w:r>
              <w:rPr>
                <w:rFonts w:ascii="Calibri" w:hAnsi="Calibri"/>
                <w:b w:val="0"/>
                <w:i w:val="0"/>
                <w:color w:val="212121"/>
                <w:sz w:val="19"/>
              </w:rPr>
              <w:t>Children under 5</w:t>
            </w:r>
          </w:p>
        </w:tc>
        <w:tc>
          <w:tcPr>
            <w:tcW w:type="dxa" w:w="1512"/>
            <w:vAlign w:val="top"/>
          </w:tcPr>
          <w:p>
            <w:pPr>
              <w:spacing w:after="40" w:before="0" w:line="259" w:lineRule="auto"/>
            </w:pPr>
            <w:r>
              <w:rPr>
                <w:rFonts w:ascii="Calibri" w:hAnsi="Calibri"/>
                <w:b w:val="0"/>
                <w:i w:val="0"/>
                <w:color w:val="212121"/>
                <w:sz w:val="19"/>
              </w:rPr>
              <w:t>≥ −2 SD (WHO Growth Standards)</w:t>
            </w:r>
          </w:p>
        </w:tc>
        <w:tc>
          <w:tcPr>
            <w:tcW w:type="dxa" w:w="1512"/>
            <w:vAlign w:val="top"/>
          </w:tcPr>
          <w:p>
            <w:pPr>
              <w:spacing w:after="40" w:before="0" w:line="259" w:lineRule="auto"/>
            </w:pPr>
            <w:r>
              <w:rPr>
                <w:rFonts w:ascii="Calibri" w:hAnsi="Calibri"/>
                <w:b w:val="0"/>
                <w:i w:val="0"/>
                <w:color w:val="212121"/>
                <w:sz w:val="19"/>
              </w:rPr>
              <w:t>&lt; −2 (wasting/MAM); &lt; −3 (severe wasting/SAM)</w:t>
            </w:r>
          </w:p>
        </w:tc>
        <w:tc>
          <w:tcPr>
            <w:tcW w:type="dxa" w:w="1468"/>
            <w:vAlign w:val="top"/>
          </w:tcPr>
          <w:p>
            <w:pPr>
              <w:spacing w:after="60" w:line="259" w:lineRule="auto"/>
            </w:pPr>
            <w:r>
              <w:rPr>
                <w:rFonts w:ascii="Calibri" w:hAnsi="Calibri"/>
                <w:b w:val="0"/>
                <w:i w:val="0"/>
                <w:color w:val="212121"/>
                <w:sz w:val="19"/>
              </w:rPr>
              <w:t>Defines acute malnutrition; national under-five wasting 19.3%</w:t>
            </w:r>
          </w:p>
          <w:p>
            <w:pPr>
              <w:spacing w:after="40" w:line="252" w:lineRule="auto"/>
            </w:pPr>
            <w:hyperlink r:id="rId12">
              <w:r>
                <w:rPr>
                  <w:rFonts w:ascii="Calibri" w:hAnsi="Calibri" w:cs="Calibri"/>
                  <w:sz w:val="18"/>
                  <w:color w:val="1155CC"/>
                  <w:u w:val="single"/>
                </w:rPr>
                <w:t xml:space="preserve">https://www.impriindia.com/insights/undernutrition-in-india/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Height-for-age Z-score (children)</w:t>
            </w:r>
          </w:p>
        </w:tc>
        <w:tc>
          <w:tcPr>
            <w:tcW w:type="dxa" w:w="1655"/>
            <w:vAlign w:val="top"/>
          </w:tcPr>
          <w:p>
            <w:pPr>
              <w:spacing w:after="40" w:before="0" w:line="259" w:lineRule="auto"/>
            </w:pPr>
            <w:r>
              <w:rPr>
                <w:rFonts w:ascii="Calibri" w:hAnsi="Calibri"/>
                <w:b w:val="0"/>
                <w:i w:val="0"/>
                <w:color w:val="212121"/>
                <w:sz w:val="19"/>
              </w:rPr>
              <w:t>Children under 5</w:t>
            </w:r>
          </w:p>
        </w:tc>
        <w:tc>
          <w:tcPr>
            <w:tcW w:type="dxa" w:w="1512"/>
            <w:vAlign w:val="top"/>
          </w:tcPr>
          <w:p>
            <w:pPr>
              <w:spacing w:after="40" w:before="0" w:line="259" w:lineRule="auto"/>
            </w:pPr>
            <w:r>
              <w:rPr>
                <w:rFonts w:ascii="Calibri" w:hAnsi="Calibri"/>
                <w:b w:val="0"/>
                <w:i w:val="0"/>
                <w:color w:val="212121"/>
                <w:sz w:val="19"/>
              </w:rPr>
              <w:t>≥ −2 SD</w:t>
            </w:r>
          </w:p>
        </w:tc>
        <w:tc>
          <w:tcPr>
            <w:tcW w:type="dxa" w:w="1512"/>
            <w:vAlign w:val="top"/>
          </w:tcPr>
          <w:p>
            <w:pPr>
              <w:spacing w:after="40" w:before="0" w:line="259" w:lineRule="auto"/>
            </w:pPr>
            <w:r>
              <w:rPr>
                <w:rFonts w:ascii="Calibri" w:hAnsi="Calibri"/>
                <w:b w:val="0"/>
                <w:i w:val="0"/>
                <w:color w:val="212121"/>
                <w:sz w:val="19"/>
              </w:rPr>
              <w:t>&lt; −2 (stunting); &lt; −3 (severe stunting)</w:t>
            </w:r>
          </w:p>
        </w:tc>
        <w:tc>
          <w:tcPr>
            <w:tcW w:type="dxa" w:w="1468"/>
            <w:vAlign w:val="top"/>
          </w:tcPr>
          <w:p>
            <w:pPr>
              <w:spacing w:after="60" w:line="259" w:lineRule="auto"/>
            </w:pPr>
            <w:r>
              <w:rPr>
                <w:rFonts w:ascii="Calibri" w:hAnsi="Calibri"/>
                <w:b w:val="0"/>
                <w:i w:val="0"/>
                <w:color w:val="212121"/>
                <w:sz w:val="19"/>
              </w:rPr>
              <w:t>Marker of chronic undernutrition; national stunting 35.5%</w:t>
            </w:r>
          </w:p>
          <w:p>
            <w:pPr>
              <w:spacing w:after="40" w:line="252" w:lineRule="auto"/>
            </w:pPr>
            <w:hyperlink r:id="rId9">
              <w:r>
                <w:rPr>
                  <w:rFonts w:ascii="Calibri" w:hAnsi="Calibri" w:cs="Calibri"/>
                  <w:sz w:val="18"/>
                  <w:color w:val="1155CC"/>
                  <w:u w:val="single"/>
                </w:rPr>
                <w:t xml:space="preserve">https://www.orfonline.org/research/what-nfhs-5-data-shows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Mid-upper-arm circumference (children 6–59 mo)</w:t>
            </w:r>
          </w:p>
        </w:tc>
        <w:tc>
          <w:tcPr>
            <w:tcW w:type="dxa" w:w="1655"/>
            <w:vAlign w:val="top"/>
          </w:tcPr>
          <w:p>
            <w:pPr>
              <w:spacing w:after="40" w:before="0" w:line="259" w:lineRule="auto"/>
            </w:pPr>
            <w:r>
              <w:rPr>
                <w:rFonts w:ascii="Calibri" w:hAnsi="Calibri"/>
                <w:b w:val="0"/>
                <w:i w:val="0"/>
                <w:color w:val="212121"/>
                <w:sz w:val="19"/>
              </w:rPr>
              <w:t>Children 6–59 months</w:t>
            </w:r>
          </w:p>
        </w:tc>
        <w:tc>
          <w:tcPr>
            <w:tcW w:type="dxa" w:w="1512"/>
            <w:vAlign w:val="top"/>
          </w:tcPr>
          <w:p>
            <w:pPr>
              <w:spacing w:after="40" w:before="0" w:line="259" w:lineRule="auto"/>
            </w:pPr>
            <w:r>
              <w:rPr>
                <w:rFonts w:ascii="Calibri" w:hAnsi="Calibri"/>
                <w:b w:val="0"/>
                <w:i w:val="0"/>
                <w:color w:val="212121"/>
                <w:sz w:val="19"/>
              </w:rPr>
              <w:t>≥ 125 mm</w:t>
            </w:r>
          </w:p>
        </w:tc>
        <w:tc>
          <w:tcPr>
            <w:tcW w:type="dxa" w:w="1512"/>
            <w:vAlign w:val="top"/>
          </w:tcPr>
          <w:p>
            <w:pPr>
              <w:spacing w:after="40" w:before="0" w:line="259" w:lineRule="auto"/>
            </w:pPr>
            <w:r>
              <w:rPr>
                <w:rFonts w:ascii="Calibri" w:hAnsi="Calibri"/>
                <w:b w:val="0"/>
                <w:i w:val="0"/>
                <w:color w:val="212121"/>
                <w:sz w:val="19"/>
              </w:rPr>
              <w:t>115 to &lt; 125 mm (MAM); &lt; 115 mm (SAM)</w:t>
            </w:r>
          </w:p>
        </w:tc>
        <w:tc>
          <w:tcPr>
            <w:tcW w:type="dxa" w:w="1468"/>
            <w:vAlign w:val="top"/>
          </w:tcPr>
          <w:p>
            <w:pPr>
              <w:spacing w:after="60" w:line="259" w:lineRule="auto"/>
            </w:pPr>
            <w:r>
              <w:rPr>
                <w:rFonts w:ascii="Calibri" w:hAnsi="Calibri"/>
                <w:b w:val="0"/>
                <w:i w:val="0"/>
                <w:color w:val="212121"/>
                <w:sz w:val="19"/>
              </w:rPr>
              <w:t>Rapid field screen strongly linked to mortality risk</w:t>
            </w:r>
          </w:p>
          <w:p>
            <w:pPr>
              <w:spacing w:after="40" w:line="252" w:lineRule="auto"/>
            </w:pPr>
            <w:hyperlink r:id="rId16">
              <w:r>
                <w:rPr>
                  <w:rFonts w:ascii="Calibri" w:hAnsi="Calibri" w:cs="Calibri"/>
                  <w:sz w:val="18"/>
                  <w:color w:val="1155CC"/>
                  <w:u w:val="single"/>
                </w:rPr>
                <w:t xml:space="preserve">https://medicalguidelines.msf.org/en/viewport/CG/english/severe-acute-malnutrition-16689141.html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Nutritional (bilateral pitting) oedema</w:t>
            </w:r>
          </w:p>
        </w:tc>
        <w:tc>
          <w:tcPr>
            <w:tcW w:type="dxa" w:w="1655"/>
            <w:vAlign w:val="top"/>
          </w:tcPr>
          <w:p>
            <w:pPr>
              <w:spacing w:after="40" w:before="0" w:line="259" w:lineRule="auto"/>
            </w:pPr>
            <w:r>
              <w:rPr>
                <w:rFonts w:ascii="Calibri" w:hAnsi="Calibri"/>
                <w:b w:val="0"/>
                <w:i w:val="0"/>
                <w:color w:val="212121"/>
                <w:sz w:val="19"/>
              </w:rPr>
              <w:t>Children with SAM</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Present (once other causes excluded)</w:t>
            </w:r>
          </w:p>
        </w:tc>
        <w:tc>
          <w:tcPr>
            <w:tcW w:type="dxa" w:w="1468"/>
            <w:vAlign w:val="top"/>
          </w:tcPr>
          <w:p>
            <w:pPr>
              <w:spacing w:after="60" w:line="259" w:lineRule="auto"/>
            </w:pPr>
            <w:r>
              <w:rPr>
                <w:rFonts w:ascii="Calibri" w:hAnsi="Calibri"/>
                <w:b w:val="0"/>
                <w:i w:val="0"/>
                <w:color w:val="212121"/>
                <w:sz w:val="19"/>
              </w:rPr>
              <w:t>Defines kwashiorkor / SAM regardless of MUAC or weight-for-height</w:t>
            </w:r>
          </w:p>
          <w:p>
            <w:pPr>
              <w:spacing w:after="40" w:line="252" w:lineRule="auto"/>
            </w:pPr>
            <w:hyperlink r:id="rId16">
              <w:r>
                <w:rPr>
                  <w:rFonts w:ascii="Calibri" w:hAnsi="Calibri" w:cs="Calibri"/>
                  <w:sz w:val="18"/>
                  <w:color w:val="1155CC"/>
                  <w:u w:val="single"/>
                </w:rPr>
                <w:t xml:space="preserve">https://medicalguidelines.msf.org/en/viewport/CG/english/severe-acute-malnutrition-16689141.html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Unintentional weight loss</w:t>
            </w:r>
          </w:p>
        </w:tc>
        <w:tc>
          <w:tcPr>
            <w:tcW w:type="dxa" w:w="1655"/>
            <w:vAlign w:val="top"/>
          </w:tcPr>
          <w:p>
            <w:pPr>
              <w:spacing w:after="40" w:before="0" w:line="259" w:lineRule="auto"/>
            </w:pPr>
            <w:r>
              <w:rPr>
                <w:rFonts w:ascii="Calibri" w:hAnsi="Calibri"/>
                <w:b w:val="0"/>
                <w:i w:val="0"/>
                <w:color w:val="212121"/>
                <w:sz w:val="19"/>
              </w:rPr>
              <w:t>Adults &amp; elderly</w:t>
            </w:r>
          </w:p>
        </w:tc>
        <w:tc>
          <w:tcPr>
            <w:tcW w:type="dxa" w:w="1512"/>
            <w:vAlign w:val="top"/>
          </w:tcPr>
          <w:p>
            <w:pPr>
              <w:spacing w:after="40" w:before="0" w:line="259" w:lineRule="auto"/>
            </w:pPr>
            <w:r>
              <w:rPr>
                <w:rFonts w:ascii="Calibri" w:hAnsi="Calibri"/>
                <w:b w:val="0"/>
                <w:i w:val="0"/>
                <w:color w:val="212121"/>
                <w:sz w:val="19"/>
              </w:rPr>
              <w:t>Stable weight</w:t>
            </w:r>
          </w:p>
        </w:tc>
        <w:tc>
          <w:tcPr>
            <w:tcW w:type="dxa" w:w="1512"/>
            <w:vAlign w:val="top"/>
          </w:tcPr>
          <w:p>
            <w:pPr>
              <w:spacing w:after="40" w:before="0" w:line="259" w:lineRule="auto"/>
            </w:pPr>
            <w:r>
              <w:rPr>
                <w:rFonts w:ascii="Calibri" w:hAnsi="Calibri"/>
                <w:b w:val="0"/>
                <w:i w:val="0"/>
                <w:color w:val="212121"/>
                <w:sz w:val="19"/>
              </w:rPr>
              <w:t>&gt; 5% in 1 month or &gt; 10% in 6 months</w:t>
            </w:r>
          </w:p>
        </w:tc>
        <w:tc>
          <w:tcPr>
            <w:tcW w:type="dxa" w:w="1468"/>
            <w:vAlign w:val="top"/>
          </w:tcPr>
          <w:p>
            <w:pPr>
              <w:spacing w:after="40" w:before="0" w:line="259" w:lineRule="auto"/>
            </w:pPr>
            <w:r>
              <w:rPr>
                <w:rFonts w:ascii="Calibri" w:hAnsi="Calibri"/>
                <w:b w:val="0"/>
                <w:i w:val="0"/>
                <w:color w:val="212121"/>
                <w:sz w:val="19"/>
              </w:rPr>
              <w:t>Key trigger for disease-related/secondary undernutrition screening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diversity / adequate diet</w:t>
            </w:r>
          </w:p>
        </w:tc>
        <w:tc>
          <w:tcPr>
            <w:tcW w:type="dxa" w:w="1655"/>
            <w:vAlign w:val="top"/>
          </w:tcPr>
          <w:p>
            <w:pPr>
              <w:spacing w:after="40" w:before="0" w:line="259" w:lineRule="auto"/>
            </w:pPr>
            <w:r>
              <w:rPr>
                <w:rFonts w:ascii="Calibri" w:hAnsi="Calibri"/>
                <w:b w:val="0"/>
                <w:i w:val="0"/>
                <w:color w:val="212121"/>
                <w:sz w:val="19"/>
              </w:rPr>
              <w:t>Children 6–23 months</w:t>
            </w:r>
          </w:p>
        </w:tc>
        <w:tc>
          <w:tcPr>
            <w:tcW w:type="dxa" w:w="1512"/>
            <w:vAlign w:val="top"/>
          </w:tcPr>
          <w:p>
            <w:pPr>
              <w:spacing w:after="40" w:before="0" w:line="259" w:lineRule="auto"/>
            </w:pPr>
            <w:r>
              <w:rPr>
                <w:rFonts w:ascii="Calibri" w:hAnsi="Calibri"/>
                <w:b w:val="0"/>
                <w:i w:val="0"/>
                <w:color w:val="212121"/>
                <w:sz w:val="19"/>
              </w:rPr>
              <w:t>Minimum adequate diet met</w:t>
            </w:r>
          </w:p>
        </w:tc>
        <w:tc>
          <w:tcPr>
            <w:tcW w:type="dxa" w:w="1512"/>
            <w:vAlign w:val="top"/>
          </w:tcPr>
          <w:p>
            <w:pPr>
              <w:spacing w:after="40" w:before="0" w:line="259" w:lineRule="auto"/>
            </w:pPr>
            <w:r>
              <w:rPr>
                <w:rFonts w:ascii="Calibri" w:hAnsi="Calibri"/>
                <w:b w:val="0"/>
                <w:i w:val="0"/>
                <w:color w:val="212121"/>
                <w:sz w:val="19"/>
              </w:rPr>
              <w:t>Cereal-only, low-diversity intake</w:t>
            </w:r>
          </w:p>
        </w:tc>
        <w:tc>
          <w:tcPr>
            <w:tcW w:type="dxa" w:w="1468"/>
            <w:vAlign w:val="top"/>
          </w:tcPr>
          <w:p>
            <w:pPr>
              <w:spacing w:after="60" w:line="259" w:lineRule="auto"/>
            </w:pPr>
            <w:r>
              <w:rPr>
                <w:rFonts w:ascii="Calibri" w:hAnsi="Calibri"/>
                <w:b w:val="0"/>
                <w:i w:val="0"/>
                <w:color w:val="212121"/>
                <w:sz w:val="19"/>
              </w:rPr>
              <w:t>Only 11.3% of Indian infants receive an adequate diet (NFHS-5)</w:t>
            </w:r>
          </w:p>
          <w:p>
            <w:pPr>
              <w:spacing w:after="40" w:line="252" w:lineRule="auto"/>
            </w:pPr>
            <w:hyperlink r:id="rId10">
              <w:r>
                <w:rPr>
                  <w:rFonts w:ascii="Calibri" w:hAnsi="Calibri" w:cs="Calibri"/>
                  <w:sz w:val="18"/>
                  <w:color w:val="1155CC"/>
                  <w:u w:val="single"/>
                </w:rPr>
                <w:t xml:space="preserve">https://science.thewire.in/health/nfhs-5-nutrition-data-underweight-stunting-bmi-nutrient-deficiencies/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(anaemia)</w:t>
            </w:r>
          </w:p>
        </w:tc>
        <w:tc>
          <w:tcPr>
            <w:tcW w:type="dxa" w:w="1655"/>
            <w:vAlign w:val="top"/>
          </w:tcPr>
          <w:p>
            <w:pPr>
              <w:spacing w:after="40" w:before="0" w:line="259" w:lineRule="auto"/>
            </w:pPr>
            <w:r>
              <w:rPr>
                <w:rFonts w:ascii="Calibri" w:hAnsi="Calibri"/>
                <w:b w:val="0"/>
                <w:i w:val="0"/>
                <w:color w:val="212121"/>
                <w:sz w:val="19"/>
              </w:rPr>
              <w:t>Children &amp; women</w:t>
            </w:r>
          </w:p>
        </w:tc>
        <w:tc>
          <w:tcPr>
            <w:tcW w:type="dxa" w:w="1512"/>
            <w:vAlign w:val="top"/>
          </w:tcPr>
          <w:p>
            <w:pPr>
              <w:spacing w:after="40" w:before="0" w:line="259" w:lineRule="auto"/>
            </w:pPr>
            <w:r>
              <w:rPr>
                <w:rFonts w:ascii="Calibri" w:hAnsi="Calibri"/>
                <w:b w:val="0"/>
                <w:i w:val="0"/>
                <w:color w:val="212121"/>
                <w:sz w:val="19"/>
              </w:rPr>
              <w:t>Children ≥ 11.0; non-preg women ≥ 12.0 g/dL</w:t>
            </w:r>
          </w:p>
        </w:tc>
        <w:tc>
          <w:tcPr>
            <w:tcW w:type="dxa" w:w="1512"/>
            <w:vAlign w:val="top"/>
          </w:tcPr>
          <w:p>
            <w:pPr>
              <w:spacing w:after="40" w:before="0" w:line="259" w:lineRule="auto"/>
            </w:pPr>
            <w:r>
              <w:rPr>
                <w:rFonts w:ascii="Calibri" w:hAnsi="Calibri"/>
                <w:b w:val="0"/>
                <w:i w:val="0"/>
                <w:color w:val="212121"/>
                <w:sz w:val="19"/>
              </w:rPr>
              <w:t>Below age/sex cut-off (anaemia)</w:t>
            </w:r>
          </w:p>
        </w:tc>
        <w:tc>
          <w:tcPr>
            <w:tcW w:type="dxa" w:w="1468"/>
            <w:vAlign w:val="top"/>
          </w:tcPr>
          <w:p>
            <w:pPr>
              <w:spacing w:after="60" w:line="259" w:lineRule="auto"/>
            </w:pPr>
            <w:r>
              <w:rPr>
                <w:rFonts w:ascii="Calibri" w:hAnsi="Calibri"/>
                <w:b w:val="0"/>
                <w:i w:val="0"/>
                <w:color w:val="212121"/>
                <w:sz w:val="19"/>
              </w:rPr>
              <w:t>Hidden-hunger marker; 67.1% of children 6–59 mo anaemic</w:t>
            </w:r>
          </w:p>
          <w:p>
            <w:pPr>
              <w:spacing w:after="40" w:line="252" w:lineRule="auto"/>
            </w:pPr>
            <w:hyperlink r:id="rId10">
              <w:r>
                <w:rPr>
                  <w:rFonts w:ascii="Calibri" w:hAnsi="Calibri" w:cs="Calibri"/>
                  <w:sz w:val="18"/>
                  <w:color w:val="1155CC"/>
                  <w:u w:val="single"/>
                </w:rPr>
                <w:t xml:space="preserve">https://science.thewire.in/health/nfhs-5-nutrition-data-underweight-stunting-bmi-nutrient-deficiencies/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w:t>
            </w:r>
          </w:p>
        </w:tc>
        <w:tc>
          <w:tcPr>
            <w:tcW w:type="dxa" w:w="1655"/>
            <w:vAlign w:val="top"/>
          </w:tcPr>
          <w:p>
            <w:pPr>
              <w:spacing w:after="40" w:before="0" w:line="259" w:lineRule="auto"/>
            </w:pPr>
            <w:r>
              <w:rPr>
                <w:rFonts w:ascii="Calibri" w:hAnsi="Calibri"/>
                <w:b w:val="0"/>
                <w:i w:val="0"/>
                <w:color w:val="212121"/>
                <w:sz w:val="19"/>
              </w:rPr>
              <w:t>Adults &amp; children</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 (hypoalbuminaemia)</w:t>
            </w:r>
          </w:p>
        </w:tc>
        <w:tc>
          <w:tcPr>
            <w:tcW w:type="dxa" w:w="1468"/>
            <w:vAlign w:val="top"/>
          </w:tcPr>
          <w:p>
            <w:pPr>
              <w:spacing w:after="40" w:before="0" w:line="259" w:lineRule="auto"/>
            </w:pPr>
            <w:r>
              <w:rPr>
                <w:rFonts w:ascii="Calibri" w:hAnsi="Calibri"/>
                <w:b w:val="0"/>
                <w:i w:val="0"/>
                <w:color w:val="212121"/>
                <w:sz w:val="19"/>
              </w:rPr>
              <w:t>Supports protein undernutrition/kwashiorkor; affected by inflammation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Adult mid-upper-arm circumference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23 cm</w:t>
            </w:r>
          </w:p>
        </w:tc>
        <w:tc>
          <w:tcPr>
            <w:tcW w:type="dxa" w:w="1512"/>
            <w:vAlign w:val="top"/>
          </w:tcPr>
          <w:p>
            <w:pPr>
              <w:spacing w:after="40" w:before="0" w:line="259" w:lineRule="auto"/>
            </w:pPr>
            <w:r>
              <w:rPr>
                <w:rFonts w:ascii="Calibri" w:hAnsi="Calibri"/>
                <w:b w:val="0"/>
                <w:i w:val="0"/>
                <w:color w:val="212121"/>
                <w:sz w:val="19"/>
              </w:rPr>
              <w:t>&lt; 23 cm (low muscle mass)</w:t>
            </w:r>
          </w:p>
        </w:tc>
        <w:tc>
          <w:tcPr>
            <w:tcW w:type="dxa" w:w="1468"/>
            <w:vAlign w:val="top"/>
          </w:tcPr>
          <w:p>
            <w:pPr>
              <w:spacing w:after="40" w:before="0" w:line="259" w:lineRule="auto"/>
            </w:pPr>
            <w:r>
              <w:rPr>
                <w:rFonts w:ascii="Calibri" w:hAnsi="Calibri"/>
                <w:b w:val="0"/>
                <w:i w:val="0"/>
                <w:color w:val="212121"/>
                <w:sz w:val="19"/>
              </w:rPr>
              <w:t>Useful where BMI cannot be measured (oedema, immobility, elderly)</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Access to safe water &amp; sanitation</w:t>
            </w:r>
          </w:p>
        </w:tc>
        <w:tc>
          <w:tcPr>
            <w:tcW w:type="dxa" w:w="1655"/>
            <w:vAlign w:val="top"/>
          </w:tcPr>
          <w:p>
            <w:pPr>
              <w:spacing w:after="40" w:before="0" w:line="259" w:lineRule="auto"/>
            </w:pPr>
            <w:r>
              <w:rPr>
                <w:rFonts w:ascii="Calibri" w:hAnsi="Calibri"/>
                <w:b w:val="0"/>
                <w:i w:val="0"/>
                <w:color w:val="212121"/>
                <w:sz w:val="19"/>
              </w:rPr>
              <w:t>Households with young children</w:t>
            </w:r>
          </w:p>
        </w:tc>
        <w:tc>
          <w:tcPr>
            <w:tcW w:type="dxa" w:w="1512"/>
            <w:vAlign w:val="top"/>
          </w:tcPr>
          <w:p>
            <w:pPr>
              <w:spacing w:after="40" w:before="0" w:line="259" w:lineRule="auto"/>
            </w:pPr>
            <w:r>
              <w:rPr>
                <w:rFonts w:ascii="Calibri" w:hAnsi="Calibri"/>
                <w:b w:val="0"/>
                <w:i w:val="0"/>
                <w:color w:val="212121"/>
                <w:sz w:val="19"/>
              </w:rPr>
              <w:t>Safe water + improved sanitation</w:t>
            </w:r>
          </w:p>
        </w:tc>
        <w:tc>
          <w:tcPr>
            <w:tcW w:type="dxa" w:w="1512"/>
            <w:vAlign w:val="top"/>
          </w:tcPr>
          <w:p>
            <w:pPr>
              <w:spacing w:after="40" w:before="0" w:line="259" w:lineRule="auto"/>
            </w:pPr>
            <w:r>
              <w:rPr>
                <w:rFonts w:ascii="Calibri" w:hAnsi="Calibri"/>
                <w:b w:val="0"/>
                <w:i w:val="0"/>
                <w:color w:val="212121"/>
                <w:sz w:val="19"/>
              </w:rPr>
              <w:t>Unsafe water / open defecation</w:t>
            </w:r>
          </w:p>
        </w:tc>
        <w:tc>
          <w:tcPr>
            <w:tcW w:type="dxa" w:w="1468"/>
            <w:vAlign w:val="top"/>
          </w:tcPr>
          <w:p>
            <w:pPr>
              <w:spacing w:after="40" w:before="0" w:line="259" w:lineRule="auto"/>
            </w:pPr>
            <w:r>
              <w:rPr>
                <w:rFonts w:ascii="Calibri" w:hAnsi="Calibri"/>
                <w:b w:val="0"/>
                <w:i w:val="0"/>
                <w:color w:val="212121"/>
                <w:sz w:val="19"/>
              </w:rPr>
              <w:t>Poor WASH drives diarrhoea and environmental enteropathy → wasting/stunting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Nil to minimal</w:t>
            </w:r>
          </w:p>
        </w:tc>
        <w:tc>
          <w:tcPr>
            <w:tcW w:type="dxa" w:w="1512"/>
            <w:vAlign w:val="top"/>
          </w:tcPr>
          <w:p>
            <w:pPr>
              <w:spacing w:after="40" w:before="0" w:line="259" w:lineRule="auto"/>
            </w:pPr>
            <w:r>
              <w:rPr>
                <w:rFonts w:ascii="Calibri" w:hAnsi="Calibri"/>
                <w:b w:val="0"/>
                <w:i w:val="0"/>
                <w:color w:val="212121"/>
                <w:sz w:val="19"/>
              </w:rPr>
              <w:t>Heavy / dependent use</w:t>
            </w:r>
          </w:p>
        </w:tc>
        <w:tc>
          <w:tcPr>
            <w:tcW w:type="dxa" w:w="1468"/>
            <w:vAlign w:val="top"/>
          </w:tcPr>
          <w:p>
            <w:pPr>
              <w:spacing w:after="40" w:before="0" w:line="259" w:lineRule="auto"/>
            </w:pPr>
            <w:r>
              <w:rPr>
                <w:rFonts w:ascii="Calibri" w:hAnsi="Calibri"/>
                <w:b w:val="0"/>
                <w:i w:val="0"/>
                <w:color w:val="212121"/>
                <w:sz w:val="19"/>
              </w:rPr>
              <w:t>Displaces food energy and depletes thiamine/folate; causes secondary undernutrition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 &amp; 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children ≥ 11.0; women ≥ 12.0 g/dL</w:t>
            </w:r>
          </w:p>
        </w:tc>
        <w:tc>
          <w:tcPr>
            <w:tcW w:type="dxa" w:w="950"/>
            <w:vAlign w:val="top"/>
          </w:tcPr>
          <w:p>
            <w:pPr>
              <w:spacing w:after="40" w:before="0" w:line="259" w:lineRule="auto"/>
            </w:pPr>
            <w:r>
              <w:rPr>
                <w:rFonts w:ascii="Calibri" w:hAnsi="Calibri"/>
                <w:b w:val="0"/>
                <w:i w:val="0"/>
                <w:color w:val="212121"/>
                <w:sz w:val="16"/>
              </w:rPr>
              <w:t>Low Hb (anaemia); lymphopenia</w:t>
            </w:r>
          </w:p>
        </w:tc>
        <w:tc>
          <w:tcPr>
            <w:tcW w:type="dxa" w:w="1036"/>
            <w:vAlign w:val="top"/>
          </w:tcPr>
          <w:p>
            <w:pPr>
              <w:spacing w:after="40" w:before="0" w:line="259" w:lineRule="auto"/>
            </w:pPr>
            <w:r>
              <w:rPr>
                <w:rFonts w:ascii="Calibri" w:hAnsi="Calibri"/>
                <w:b w:val="0"/>
                <w:i w:val="0"/>
                <w:color w:val="212121"/>
                <w:sz w:val="16"/>
              </w:rPr>
              <w:t>Detects iron/B12/folate-deficiency anaemia and immune depletion accompanying undernutrition</w:t>
            </w:r>
          </w:p>
        </w:tc>
        <w:tc>
          <w:tcPr>
            <w:tcW w:type="dxa" w:w="1036"/>
            <w:vAlign w:val="top"/>
          </w:tcPr>
          <w:p>
            <w:pPr>
              <w:spacing w:after="40" w:before="0" w:line="259" w:lineRule="auto"/>
            </w:pPr>
            <w:r>
              <w:rPr>
                <w:rFonts w:ascii="Calibri" w:hAnsi="Calibri"/>
                <w:b w:val="0"/>
                <w:i w:val="0"/>
                <w:color w:val="212121"/>
                <w:sz w:val="16"/>
              </w:rPr>
              <w:t>Undernourished children, women, adolescents,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Anaemia is the commonest micronutrient marker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 / prealbumin</w:t>
            </w:r>
          </w:p>
        </w:tc>
        <w:tc>
          <w:tcPr>
            <w:tcW w:type="dxa" w:w="892"/>
            <w:vAlign w:val="top"/>
          </w:tcPr>
          <w:p>
            <w:pPr>
              <w:spacing w:after="40" w:before="0" w:line="259" w:lineRule="auto"/>
            </w:pPr>
            <w:r>
              <w:rPr>
                <w:rFonts w:ascii="Calibri" w:hAnsi="Calibri"/>
                <w:b w:val="0"/>
                <w:i w:val="0"/>
                <w:color w:val="212121"/>
                <w:sz w:val="16"/>
              </w:rPr>
              <w:t>Protein status</w:t>
            </w:r>
          </w:p>
        </w:tc>
        <w:tc>
          <w:tcPr>
            <w:tcW w:type="dxa" w:w="950"/>
            <w:vAlign w:val="top"/>
          </w:tcPr>
          <w:p>
            <w:pPr>
              <w:spacing w:after="40" w:before="0" w:line="259" w:lineRule="auto"/>
            </w:pPr>
            <w:r>
              <w:rPr>
                <w:rFonts w:ascii="Calibri" w:hAnsi="Calibri"/>
                <w:b w:val="0"/>
                <w:i w:val="0"/>
                <w:color w:val="212121"/>
                <w:sz w:val="16"/>
              </w:rPr>
              <w:t>Albumin 3.5–5.0 g/dL</w:t>
            </w:r>
          </w:p>
        </w:tc>
        <w:tc>
          <w:tcPr>
            <w:tcW w:type="dxa" w:w="950"/>
            <w:vAlign w:val="top"/>
          </w:tcPr>
          <w:p>
            <w:pPr>
              <w:spacing w:after="40" w:before="0" w:line="259" w:lineRule="auto"/>
            </w:pPr>
            <w:r>
              <w:rPr>
                <w:rFonts w:ascii="Calibri" w:hAnsi="Calibri"/>
                <w:b w:val="0"/>
                <w:i w:val="0"/>
                <w:color w:val="212121"/>
                <w:sz w:val="16"/>
              </w:rPr>
              <w:t>&lt; 3.5 g/dL (hypoalbuminaemia)</w:t>
            </w:r>
          </w:p>
        </w:tc>
        <w:tc>
          <w:tcPr>
            <w:tcW w:type="dxa" w:w="1036"/>
            <w:vAlign w:val="top"/>
          </w:tcPr>
          <w:p>
            <w:pPr>
              <w:spacing w:after="40" w:before="0" w:line="259" w:lineRule="auto"/>
            </w:pPr>
            <w:r>
              <w:rPr>
                <w:rFonts w:ascii="Calibri" w:hAnsi="Calibri"/>
                <w:b w:val="0"/>
                <w:i w:val="0"/>
                <w:color w:val="212121"/>
                <w:sz w:val="16"/>
              </w:rPr>
              <w:t>Reflects visceral protein depletion; low in kwashiorkor (also lowered by inflammation)</w:t>
            </w:r>
          </w:p>
        </w:tc>
        <w:tc>
          <w:tcPr>
            <w:tcW w:type="dxa" w:w="1036"/>
            <w:vAlign w:val="top"/>
          </w:tcPr>
          <w:p>
            <w:pPr>
              <w:spacing w:after="40" w:before="0" w:line="259" w:lineRule="auto"/>
            </w:pPr>
            <w:r>
              <w:rPr>
                <w:rFonts w:ascii="Calibri" w:hAnsi="Calibri"/>
                <w:b w:val="0"/>
                <w:i w:val="0"/>
                <w:color w:val="212121"/>
                <w:sz w:val="16"/>
              </w:rPr>
              <w:t>Kwashiorkor, disease-related malnutrition,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Prealbumin tracks short-term change;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(K, Mg, PO4)</w:t>
            </w:r>
          </w:p>
        </w:tc>
        <w:tc>
          <w:tcPr>
            <w:tcW w:type="dxa" w:w="892"/>
            <w:vAlign w:val="top"/>
          </w:tcPr>
          <w:p>
            <w:pPr>
              <w:spacing w:after="40" w:before="0" w:line="259" w:lineRule="auto"/>
            </w:pPr>
            <w:r>
              <w:rPr>
                <w:rFonts w:ascii="Calibri" w:hAnsi="Calibri"/>
                <w:b w:val="0"/>
                <w:i w:val="0"/>
                <w:color w:val="212121"/>
                <w:sz w:val="16"/>
              </w:rPr>
              <w:t>Refeeding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Hypokalaemia, hypomagnesaemia, hypophosphataemia</w:t>
            </w:r>
          </w:p>
        </w:tc>
        <w:tc>
          <w:tcPr>
            <w:tcW w:type="dxa" w:w="1036"/>
            <w:vAlign w:val="top"/>
          </w:tcPr>
          <w:p>
            <w:pPr>
              <w:spacing w:after="40" w:before="0" w:line="259" w:lineRule="auto"/>
            </w:pPr>
            <w:r>
              <w:rPr>
                <w:rFonts w:ascii="Calibri" w:hAnsi="Calibri"/>
                <w:b w:val="0"/>
                <w:i w:val="0"/>
                <w:color w:val="212121"/>
                <w:sz w:val="16"/>
              </w:rPr>
              <w:t>Identifies depletion and the risk of refeeding syndrome when nutrition is reintroduced</w:t>
            </w:r>
          </w:p>
        </w:tc>
        <w:tc>
          <w:tcPr>
            <w:tcW w:type="dxa" w:w="1036"/>
            <w:vAlign w:val="top"/>
          </w:tcPr>
          <w:p>
            <w:pPr>
              <w:spacing w:after="40" w:before="0" w:line="259" w:lineRule="auto"/>
            </w:pPr>
            <w:r>
              <w:rPr>
                <w:rFonts w:ascii="Calibri" w:hAnsi="Calibri"/>
                <w:b w:val="0"/>
                <w:i w:val="0"/>
                <w:color w:val="212121"/>
                <w:sz w:val="16"/>
              </w:rPr>
              <w:t>SAM, severe adult undernutrition, prolonged starvation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Correct before/alongside cautious refeeding; monitor closely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w:t>
            </w:r>
          </w:p>
        </w:tc>
        <w:tc>
          <w:tcPr>
            <w:tcW w:type="dxa" w:w="892"/>
            <w:vAlign w:val="top"/>
          </w:tcPr>
          <w:p>
            <w:pPr>
              <w:spacing w:after="40" w:before="0" w:line="259" w:lineRule="auto"/>
            </w:pPr>
            <w:r>
              <w:rPr>
                <w:rFonts w:ascii="Calibri" w:hAnsi="Calibri"/>
                <w:b w:val="0"/>
                <w:i w:val="0"/>
                <w:color w:val="212121"/>
                <w:sz w:val="16"/>
              </w:rPr>
              <w:t>Glucose</w:t>
            </w:r>
          </w:p>
        </w:tc>
        <w:tc>
          <w:tcPr>
            <w:tcW w:type="dxa" w:w="950"/>
            <w:vAlign w:val="top"/>
          </w:tcPr>
          <w:p>
            <w:pPr>
              <w:spacing w:after="40" w:before="0" w:line="259" w:lineRule="auto"/>
            </w:pPr>
            <w:r>
              <w:rPr>
                <w:rFonts w:ascii="Calibri" w:hAnsi="Calibri"/>
                <w:b w:val="0"/>
                <w:i w:val="0"/>
                <w:color w:val="212121"/>
                <w:sz w:val="16"/>
              </w:rPr>
              <w:t>70–140 mg/dL</w:t>
            </w:r>
          </w:p>
        </w:tc>
        <w:tc>
          <w:tcPr>
            <w:tcW w:type="dxa" w:w="950"/>
            <w:vAlign w:val="top"/>
          </w:tcPr>
          <w:p>
            <w:pPr>
              <w:spacing w:after="40" w:before="0" w:line="259" w:lineRule="auto"/>
            </w:pPr>
            <w:r>
              <w:rPr>
                <w:rFonts w:ascii="Calibri" w:hAnsi="Calibri"/>
                <w:b w:val="0"/>
                <w:i w:val="0"/>
                <w:color w:val="212121"/>
                <w:sz w:val="16"/>
              </w:rPr>
              <w:t>&lt; 54 mg/dL (hypoglycaemia)</w:t>
            </w:r>
          </w:p>
        </w:tc>
        <w:tc>
          <w:tcPr>
            <w:tcW w:type="dxa" w:w="1036"/>
            <w:vAlign w:val="top"/>
          </w:tcPr>
          <w:p>
            <w:pPr>
              <w:spacing w:after="40" w:before="0" w:line="259" w:lineRule="auto"/>
            </w:pPr>
            <w:r>
              <w:rPr>
                <w:rFonts w:ascii="Calibri" w:hAnsi="Calibri"/>
                <w:b w:val="0"/>
                <w:i w:val="0"/>
                <w:color w:val="212121"/>
                <w:sz w:val="16"/>
              </w:rPr>
              <w:t>Severely malnourished children are prone to life-threatening hypoglycaemia and hypothermia</w:t>
            </w:r>
          </w:p>
        </w:tc>
        <w:tc>
          <w:tcPr>
            <w:tcW w:type="dxa" w:w="1036"/>
            <w:vAlign w:val="top"/>
          </w:tcPr>
          <w:p>
            <w:pPr>
              <w:spacing w:after="40" w:before="0" w:line="259" w:lineRule="auto"/>
            </w:pPr>
            <w:r>
              <w:rPr>
                <w:rFonts w:ascii="Calibri" w:hAnsi="Calibri"/>
                <w:b w:val="0"/>
                <w:i w:val="0"/>
                <w:color w:val="212121"/>
                <w:sz w:val="16"/>
              </w:rPr>
              <w:t>Children with SAM, marasmus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Part of WHO ‘10 steps’ SAM inpatient care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Micronutrient panel (ferritin/iron, vitamin A, B12/folate, vitamin D, zinc)</w:t>
            </w:r>
          </w:p>
        </w:tc>
        <w:tc>
          <w:tcPr>
            <w:tcW w:type="dxa" w:w="892"/>
            <w:vAlign w:val="top"/>
          </w:tcPr>
          <w:p>
            <w:pPr>
              <w:spacing w:after="40" w:before="0" w:line="259" w:lineRule="auto"/>
            </w:pPr>
            <w:r>
              <w:rPr>
                <w:rFonts w:ascii="Calibri" w:hAnsi="Calibri"/>
                <w:b w:val="0"/>
                <w:i w:val="0"/>
                <w:color w:val="212121"/>
                <w:sz w:val="16"/>
              </w:rPr>
              <w:t>Micronutrient assays</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Deficiency of one or more micronutrients</w:t>
            </w:r>
          </w:p>
        </w:tc>
        <w:tc>
          <w:tcPr>
            <w:tcW w:type="dxa" w:w="1036"/>
            <w:vAlign w:val="top"/>
          </w:tcPr>
          <w:p>
            <w:pPr>
              <w:spacing w:after="40" w:before="0" w:line="259" w:lineRule="auto"/>
            </w:pPr>
            <w:r>
              <w:rPr>
                <w:rFonts w:ascii="Calibri" w:hAnsi="Calibri"/>
                <w:b w:val="0"/>
                <w:i w:val="0"/>
                <w:color w:val="212121"/>
                <w:sz w:val="16"/>
              </w:rPr>
              <w:t>Confirms hidden hunger accompanying protein-energy undernutrition</w:t>
            </w:r>
          </w:p>
        </w:tc>
        <w:tc>
          <w:tcPr>
            <w:tcW w:type="dxa" w:w="1036"/>
            <w:vAlign w:val="top"/>
          </w:tcPr>
          <w:p>
            <w:pPr>
              <w:spacing w:after="40" w:before="0" w:line="259" w:lineRule="auto"/>
            </w:pPr>
            <w:r>
              <w:rPr>
                <w:rFonts w:ascii="Calibri" w:hAnsi="Calibri"/>
                <w:b w:val="0"/>
                <w:i w:val="0"/>
                <w:color w:val="212121"/>
                <w:sz w:val="16"/>
              </w:rPr>
              <w:t>Undernourished children, women, malabsorption,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Vitamin A and iron are priority deficiencies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 / radiological</w:t>
            </w:r>
          </w:p>
        </w:tc>
        <w:tc>
          <w:tcPr>
            <w:tcW w:type="dxa" w:w="1036"/>
            <w:vAlign w:val="top"/>
          </w:tcPr>
          <w:p>
            <w:pPr>
              <w:spacing w:after="40" w:before="0" w:line="259" w:lineRule="auto"/>
            </w:pPr>
            <w:r>
              <w:rPr>
                <w:rFonts w:ascii="Calibri" w:hAnsi="Calibri"/>
                <w:b w:val="0"/>
                <w:i w:val="0"/>
                <w:color w:val="212121"/>
                <w:sz w:val="16"/>
              </w:rPr>
              <w:t>Infection &amp; tuberculosis screen</w:t>
            </w:r>
          </w:p>
        </w:tc>
        <w:tc>
          <w:tcPr>
            <w:tcW w:type="dxa" w:w="892"/>
            <w:vAlign w:val="top"/>
          </w:tcPr>
          <w:p>
            <w:pPr>
              <w:spacing w:after="40" w:before="0" w:line="259" w:lineRule="auto"/>
            </w:pPr>
            <w:r>
              <w:rPr>
                <w:rFonts w:ascii="Calibri" w:hAnsi="Calibri"/>
                <w:b w:val="0"/>
                <w:i w:val="0"/>
                <w:color w:val="212121"/>
                <w:sz w:val="16"/>
              </w:rPr>
              <w:t>Sputum CBNAAT/AFB, chest X-ray, CRP, stool for ova/parasites</w:t>
            </w:r>
          </w:p>
        </w:tc>
        <w:tc>
          <w:tcPr>
            <w:tcW w:type="dxa" w:w="950"/>
            <w:vAlign w:val="top"/>
          </w:tcPr>
          <w:p>
            <w:pPr>
              <w:spacing w:after="40" w:before="0" w:line="259" w:lineRule="auto"/>
            </w:pPr>
            <w:r>
              <w:rPr>
                <w:rFonts w:ascii="Calibri" w:hAnsi="Calibri"/>
                <w:b w:val="0"/>
                <w:i w:val="0"/>
                <w:color w:val="212121"/>
                <w:sz w:val="16"/>
              </w:rPr>
              <w:t>No active infection</w:t>
            </w:r>
          </w:p>
        </w:tc>
        <w:tc>
          <w:tcPr>
            <w:tcW w:type="dxa" w:w="950"/>
            <w:vAlign w:val="top"/>
          </w:tcPr>
          <w:p>
            <w:pPr>
              <w:spacing w:after="40" w:before="0" w:line="259" w:lineRule="auto"/>
            </w:pPr>
            <w:r>
              <w:rPr>
                <w:rFonts w:ascii="Calibri" w:hAnsi="Calibri"/>
                <w:b w:val="0"/>
                <w:i w:val="0"/>
                <w:color w:val="212121"/>
                <w:sz w:val="16"/>
              </w:rPr>
              <w:t>Positive TB test, raised CRP, parasites</w:t>
            </w:r>
          </w:p>
        </w:tc>
        <w:tc>
          <w:tcPr>
            <w:tcW w:type="dxa" w:w="1036"/>
            <w:vAlign w:val="top"/>
          </w:tcPr>
          <w:p>
            <w:pPr>
              <w:spacing w:after="40" w:before="0" w:line="259" w:lineRule="auto"/>
            </w:pPr>
            <w:r>
              <w:rPr>
                <w:rFonts w:ascii="Calibri" w:hAnsi="Calibri"/>
                <w:b w:val="0"/>
                <w:i w:val="0"/>
                <w:color w:val="212121"/>
                <w:sz w:val="16"/>
              </w:rPr>
              <w:t>Identifies the infections that both cause and result from undernutrition</w:t>
            </w:r>
          </w:p>
        </w:tc>
        <w:tc>
          <w:tcPr>
            <w:tcW w:type="dxa" w:w="1036"/>
            <w:vAlign w:val="top"/>
          </w:tcPr>
          <w:p>
            <w:pPr>
              <w:spacing w:after="40" w:before="0" w:line="259" w:lineRule="auto"/>
            </w:pPr>
            <w:r>
              <w:rPr>
                <w:rFonts w:ascii="Calibri" w:hAnsi="Calibri"/>
                <w:b w:val="0"/>
                <w:i w:val="0"/>
                <w:color w:val="212121"/>
                <w:sz w:val="16"/>
              </w:rPr>
              <w:t>Wasted/weight-losing adults, febrile or coughing patients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Actively exclude TB in any unexplained adult wasting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&amp; renal function</w:t>
            </w:r>
          </w:p>
        </w:tc>
        <w:tc>
          <w:tcPr>
            <w:tcW w:type="dxa" w:w="892"/>
            <w:vAlign w:val="top"/>
          </w:tcPr>
          <w:p>
            <w:pPr>
              <w:spacing w:after="40" w:before="0" w:line="259" w:lineRule="auto"/>
            </w:pPr>
            <w:r>
              <w:rPr>
                <w:rFonts w:ascii="Calibri" w:hAnsi="Calibri"/>
                <w:b w:val="0"/>
                <w:i w:val="0"/>
                <w:color w:val="212121"/>
                <w:sz w:val="16"/>
              </w:rPr>
              <w:t>LFT/RFT</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Deranged LFT/RFT; low urea (low intake)</w:t>
            </w:r>
          </w:p>
        </w:tc>
        <w:tc>
          <w:tcPr>
            <w:tcW w:type="dxa" w:w="1036"/>
            <w:vAlign w:val="top"/>
          </w:tcPr>
          <w:p>
            <w:pPr>
              <w:spacing w:after="40" w:before="0" w:line="259" w:lineRule="auto"/>
            </w:pPr>
            <w:r>
              <w:rPr>
                <w:rFonts w:ascii="Calibri" w:hAnsi="Calibri"/>
                <w:b w:val="0"/>
                <w:i w:val="0"/>
                <w:color w:val="212121"/>
                <w:sz w:val="16"/>
              </w:rPr>
              <w:t>Screens for secondary causes (chronic liver/kidney disease, alcohol) and organ effects of severe undernutrition</w:t>
            </w:r>
          </w:p>
        </w:tc>
        <w:tc>
          <w:tcPr>
            <w:tcW w:type="dxa" w:w="1036"/>
            <w:vAlign w:val="top"/>
          </w:tcPr>
          <w:p>
            <w:pPr>
              <w:spacing w:after="40" w:before="0" w:line="259" w:lineRule="auto"/>
            </w:pPr>
            <w:r>
              <w:rPr>
                <w:rFonts w:ascii="Calibri" w:hAnsi="Calibri"/>
                <w:b w:val="0"/>
                <w:i w:val="0"/>
                <w:color w:val="212121"/>
                <w:sz w:val="16"/>
              </w:rPr>
              <w:t>Alcohol-related, disease-related undernutrition, oedematous SAM</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Interpret oedema in light of albumin and renal/hepatic status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BMI, MUAC, weight &amp; growth-chart Z-scores</w:t>
            </w:r>
          </w:p>
        </w:tc>
        <w:tc>
          <w:tcPr>
            <w:tcW w:type="dxa" w:w="979"/>
            <w:vAlign w:val="top"/>
          </w:tcPr>
          <w:p>
            <w:pPr>
              <w:spacing w:after="40" w:before="0" w:line="259" w:lineRule="auto"/>
            </w:pPr>
            <w:r>
              <w:rPr>
                <w:rFonts w:ascii="Calibri" w:hAnsi="Calibri"/>
                <w:b w:val="0"/>
                <w:i w:val="0"/>
                <w:color w:val="212121"/>
                <w:sz w:val="16"/>
              </w:rPr>
              <w:t>Weight/height², arm circumference, weight-for-height/height-for-age</w:t>
            </w:r>
          </w:p>
        </w:tc>
        <w:tc>
          <w:tcPr>
            <w:tcW w:type="dxa" w:w="950"/>
            <w:vAlign w:val="top"/>
          </w:tcPr>
          <w:p>
            <w:pPr>
              <w:spacing w:after="40" w:before="0" w:line="259" w:lineRule="auto"/>
            </w:pPr>
            <w:r>
              <w:rPr>
                <w:rFonts w:ascii="Calibri" w:hAnsi="Calibri"/>
                <w:b w:val="0"/>
                <w:i w:val="0"/>
                <w:color w:val="212121"/>
                <w:sz w:val="16"/>
              </w:rPr>
              <w:t>BMI ≥ 18.5; MUAC ≥ 125 mm (child); Z ≥ −2</w:t>
            </w:r>
          </w:p>
        </w:tc>
        <w:tc>
          <w:tcPr>
            <w:tcW w:type="dxa" w:w="950"/>
            <w:vAlign w:val="top"/>
          </w:tcPr>
          <w:p>
            <w:pPr>
              <w:spacing w:after="40" w:before="0" w:line="259" w:lineRule="auto"/>
            </w:pPr>
            <w:r>
              <w:rPr>
                <w:rFonts w:ascii="Calibri" w:hAnsi="Calibri"/>
                <w:b w:val="0"/>
                <w:i w:val="0"/>
                <w:color w:val="212121"/>
                <w:sz w:val="16"/>
              </w:rPr>
              <w:t>BMI &lt; 18.5; MUAC &lt; 125/115 mm; Z &lt; −2/−3</w:t>
            </w:r>
          </w:p>
        </w:tc>
        <w:tc>
          <w:tcPr>
            <w:tcW w:type="dxa" w:w="1036"/>
            <w:vAlign w:val="top"/>
          </w:tcPr>
          <w:p>
            <w:pPr>
              <w:spacing w:after="40" w:before="0" w:line="259" w:lineRule="auto"/>
            </w:pPr>
            <w:r>
              <w:rPr>
                <w:rFonts w:ascii="Calibri" w:hAnsi="Calibri"/>
                <w:b w:val="0"/>
                <w:i w:val="0"/>
                <w:color w:val="212121"/>
                <w:sz w:val="16"/>
              </w:rPr>
              <w:t>Bedside quantification of the degree and chronicity of undernutrition</w:t>
            </w:r>
          </w:p>
        </w:tc>
        <w:tc>
          <w:tcPr>
            <w:tcW w:type="dxa" w:w="1036"/>
            <w:vAlign w:val="top"/>
          </w:tcPr>
          <w:p>
            <w:pPr>
              <w:spacing w:after="40" w:before="0" w:line="259" w:lineRule="auto"/>
            </w:pPr>
            <w:r>
              <w:rPr>
                <w:rFonts w:ascii="Calibri" w:hAnsi="Calibri"/>
                <w:b w:val="0"/>
                <w:i w:val="0"/>
                <w:color w:val="212121"/>
                <w:sz w:val="16"/>
              </w:rPr>
              <w:t>All at-risk children, adults, elderly, pregnant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Plot children on WHO growth charts; use MUAC when weighing is impractical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Oedema &amp; wasting assessment</w:t>
            </w:r>
          </w:p>
        </w:tc>
        <w:tc>
          <w:tcPr>
            <w:tcW w:type="dxa" w:w="979"/>
            <w:vAlign w:val="top"/>
          </w:tcPr>
          <w:p>
            <w:pPr>
              <w:spacing w:after="40" w:before="0" w:line="259" w:lineRule="auto"/>
            </w:pPr>
            <w:r>
              <w:rPr>
                <w:rFonts w:ascii="Calibri" w:hAnsi="Calibri"/>
                <w:b w:val="0"/>
                <w:i w:val="0"/>
                <w:color w:val="212121"/>
                <w:sz w:val="16"/>
              </w:rPr>
              <w:t>Bilateral pitting oedema, temporal/interosseous/thenar muscle wasting, subcutaneous fat loss</w:t>
            </w:r>
          </w:p>
        </w:tc>
        <w:tc>
          <w:tcPr>
            <w:tcW w:type="dxa" w:w="950"/>
            <w:vAlign w:val="top"/>
          </w:tcPr>
          <w:p>
            <w:pPr>
              <w:spacing w:after="40" w:before="0" w:line="259" w:lineRule="auto"/>
            </w:pPr>
            <w:r>
              <w:rPr>
                <w:rFonts w:ascii="Calibri" w:hAnsi="Calibri"/>
                <w:b w:val="0"/>
                <w:i w:val="0"/>
                <w:color w:val="212121"/>
                <w:sz w:val="16"/>
              </w:rPr>
              <w:t>No oedema; preserved muscle bulk</w:t>
            </w:r>
          </w:p>
        </w:tc>
        <w:tc>
          <w:tcPr>
            <w:tcW w:type="dxa" w:w="950"/>
            <w:vAlign w:val="top"/>
          </w:tcPr>
          <w:p>
            <w:pPr>
              <w:spacing w:after="40" w:before="0" w:line="259" w:lineRule="auto"/>
            </w:pPr>
            <w:r>
              <w:rPr>
                <w:rFonts w:ascii="Calibri" w:hAnsi="Calibri"/>
                <w:b w:val="0"/>
                <w:i w:val="0"/>
                <w:color w:val="212121"/>
                <w:sz w:val="16"/>
              </w:rPr>
              <w:t>Pedal/generalised oedema; visible wasting</w:t>
            </w:r>
          </w:p>
        </w:tc>
        <w:tc>
          <w:tcPr>
            <w:tcW w:type="dxa" w:w="1036"/>
            <w:vAlign w:val="top"/>
          </w:tcPr>
          <w:p>
            <w:pPr>
              <w:spacing w:after="40" w:before="0" w:line="259" w:lineRule="auto"/>
            </w:pPr>
            <w:r>
              <w:rPr>
                <w:rFonts w:ascii="Calibri" w:hAnsi="Calibri"/>
                <w:b w:val="0"/>
                <w:i w:val="0"/>
                <w:color w:val="212121"/>
                <w:sz w:val="16"/>
              </w:rPr>
              <w:t>Distinguishes marasmus (wasting, no oedema) from kwashiorkor (oedema) and grades severity</w:t>
            </w:r>
          </w:p>
        </w:tc>
        <w:tc>
          <w:tcPr>
            <w:tcW w:type="dxa" w:w="1036"/>
            <w:vAlign w:val="top"/>
          </w:tcPr>
          <w:p>
            <w:pPr>
              <w:spacing w:after="40" w:before="0" w:line="259" w:lineRule="auto"/>
            </w:pPr>
            <w:r>
              <w:rPr>
                <w:rFonts w:ascii="Calibri" w:hAnsi="Calibri"/>
                <w:b w:val="0"/>
                <w:i w:val="0"/>
                <w:color w:val="212121"/>
                <w:sz w:val="16"/>
              </w:rPr>
              <w:t>Severe protein-energy malnutrition, elderly, cachexia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Grade oedema; exclude cardiac/renal/hepatic causes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Dietary assessment</w:t>
            </w:r>
          </w:p>
        </w:tc>
        <w:tc>
          <w:tcPr>
            <w:tcW w:type="dxa" w:w="950"/>
            <w:vAlign w:val="top"/>
          </w:tcPr>
          <w:p>
            <w:pPr>
              <w:spacing w:after="40" w:before="0" w:line="259" w:lineRule="auto"/>
            </w:pPr>
            <w:r>
              <w:rPr>
                <w:rFonts w:ascii="Calibri" w:hAnsi="Calibri"/>
                <w:b w:val="0"/>
                <w:i w:val="0"/>
                <w:color w:val="212121"/>
                <w:sz w:val="16"/>
              </w:rPr>
              <w:t>Diet history / 24-hour recall / diversity</w:t>
            </w:r>
          </w:p>
        </w:tc>
        <w:tc>
          <w:tcPr>
            <w:tcW w:type="dxa" w:w="979"/>
            <w:vAlign w:val="top"/>
          </w:tcPr>
          <w:p>
            <w:pPr>
              <w:spacing w:after="40" w:before="0" w:line="259" w:lineRule="auto"/>
            </w:pPr>
            <w:r>
              <w:rPr>
                <w:rFonts w:ascii="Calibri" w:hAnsi="Calibri"/>
                <w:b w:val="0"/>
                <w:i w:val="0"/>
                <w:color w:val="212121"/>
                <w:sz w:val="16"/>
              </w:rPr>
              <w:t>Energy, protein, micronutrient intake, meal frequency, dietary diversity</w:t>
            </w:r>
          </w:p>
        </w:tc>
        <w:tc>
          <w:tcPr>
            <w:tcW w:type="dxa" w:w="950"/>
            <w:vAlign w:val="top"/>
          </w:tcPr>
          <w:p>
            <w:pPr>
              <w:spacing w:after="40" w:before="0" w:line="259" w:lineRule="auto"/>
            </w:pPr>
            <w:r>
              <w:rPr>
                <w:rFonts w:ascii="Calibri" w:hAnsi="Calibri"/>
                <w:b w:val="0"/>
                <w:i w:val="0"/>
                <w:color w:val="212121"/>
                <w:sz w:val="16"/>
              </w:rPr>
              <w:t>Adequate, diverse intake meeting requirement</w:t>
            </w:r>
          </w:p>
        </w:tc>
        <w:tc>
          <w:tcPr>
            <w:tcW w:type="dxa" w:w="950"/>
            <w:vAlign w:val="top"/>
          </w:tcPr>
          <w:p>
            <w:pPr>
              <w:spacing w:after="40" w:before="0" w:line="259" w:lineRule="auto"/>
            </w:pPr>
            <w:r>
              <w:rPr>
                <w:rFonts w:ascii="Calibri" w:hAnsi="Calibri"/>
                <w:b w:val="0"/>
                <w:i w:val="0"/>
                <w:color w:val="212121"/>
                <w:sz w:val="16"/>
              </w:rPr>
              <w:t>Energy/protein deficit, cereal-monotonous, low diversity</w:t>
            </w:r>
          </w:p>
        </w:tc>
        <w:tc>
          <w:tcPr>
            <w:tcW w:type="dxa" w:w="1036"/>
            <w:vAlign w:val="top"/>
          </w:tcPr>
          <w:p>
            <w:pPr>
              <w:spacing w:after="40" w:before="0" w:line="259" w:lineRule="auto"/>
            </w:pPr>
            <w:r>
              <w:rPr>
                <w:rFonts w:ascii="Calibri" w:hAnsi="Calibri"/>
                <w:b w:val="0"/>
                <w:i w:val="0"/>
                <w:color w:val="212121"/>
                <w:sz w:val="16"/>
              </w:rPr>
              <w:t>Quantifies the intake deficit defining primary undernutrition</w:t>
            </w:r>
          </w:p>
        </w:tc>
        <w:tc>
          <w:tcPr>
            <w:tcW w:type="dxa" w:w="1036"/>
            <w:vAlign w:val="top"/>
          </w:tcPr>
          <w:p>
            <w:pPr>
              <w:spacing w:after="40" w:before="0" w:line="259" w:lineRule="auto"/>
            </w:pPr>
            <w:r>
              <w:rPr>
                <w:rFonts w:ascii="Calibri" w:hAnsi="Calibri"/>
                <w:b w:val="0"/>
                <w:i w:val="0"/>
                <w:color w:val="212121"/>
                <w:sz w:val="16"/>
              </w:rPr>
              <w:t>All at-risk individuals; infants on complementary feeds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Compare against ICMR-NIN RDAs; assess food security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Systemic examination</w:t>
            </w:r>
          </w:p>
        </w:tc>
        <w:tc>
          <w:tcPr>
            <w:tcW w:type="dxa" w:w="950"/>
            <w:vAlign w:val="top"/>
          </w:tcPr>
          <w:p>
            <w:pPr>
              <w:spacing w:after="40" w:before="0" w:line="259" w:lineRule="auto"/>
            </w:pPr>
            <w:r>
              <w:rPr>
                <w:rFonts w:ascii="Calibri" w:hAnsi="Calibri"/>
                <w:b w:val="0"/>
                <w:i w:val="0"/>
                <w:color w:val="212121"/>
                <w:sz w:val="16"/>
              </w:rPr>
              <w:t>Signs of micronutrient deficiency</w:t>
            </w:r>
          </w:p>
        </w:tc>
        <w:tc>
          <w:tcPr>
            <w:tcW w:type="dxa" w:w="979"/>
            <w:vAlign w:val="top"/>
          </w:tcPr>
          <w:p>
            <w:pPr>
              <w:spacing w:after="40" w:before="0" w:line="259" w:lineRule="auto"/>
            </w:pPr>
            <w:r>
              <w:rPr>
                <w:rFonts w:ascii="Calibri" w:hAnsi="Calibri"/>
                <w:b w:val="0"/>
                <w:i w:val="0"/>
                <w:color w:val="212121"/>
                <w:sz w:val="16"/>
              </w:rPr>
              <w:t>Pallor, Bitot’s spots, glossitis/cheilosis, hair &amp; skin changes, koilonychia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deficiency signs present</w:t>
            </w:r>
          </w:p>
        </w:tc>
        <w:tc>
          <w:tcPr>
            <w:tcW w:type="dxa" w:w="1036"/>
            <w:vAlign w:val="top"/>
          </w:tcPr>
          <w:p>
            <w:pPr>
              <w:spacing w:after="40" w:before="0" w:line="259" w:lineRule="auto"/>
            </w:pPr>
            <w:r>
              <w:rPr>
                <w:rFonts w:ascii="Calibri" w:hAnsi="Calibri"/>
                <w:b w:val="0"/>
                <w:i w:val="0"/>
                <w:color w:val="212121"/>
                <w:sz w:val="16"/>
              </w:rPr>
              <w:t>Reveals coexisting hidden hunger (iron, vitamin A, B-complex, protein)</w:t>
            </w:r>
          </w:p>
        </w:tc>
        <w:tc>
          <w:tcPr>
            <w:tcW w:type="dxa" w:w="1036"/>
            <w:vAlign w:val="top"/>
          </w:tcPr>
          <w:p>
            <w:pPr>
              <w:spacing w:after="40" w:before="0" w:line="259" w:lineRule="auto"/>
            </w:pPr>
            <w:r>
              <w:rPr>
                <w:rFonts w:ascii="Calibri" w:hAnsi="Calibri"/>
                <w:b w:val="0"/>
                <w:i w:val="0"/>
                <w:color w:val="212121"/>
                <w:sz w:val="16"/>
              </w:rPr>
              <w:t>Undernourished children, women, alcohol users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Bitot’s spots/night blindness indicate vitamin A deficiency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Feeding, developmental &amp; growth history</w:t>
            </w:r>
          </w:p>
        </w:tc>
        <w:tc>
          <w:tcPr>
            <w:tcW w:type="dxa" w:w="979"/>
            <w:vAlign w:val="top"/>
          </w:tcPr>
          <w:p>
            <w:pPr>
              <w:spacing w:after="40" w:before="0" w:line="259" w:lineRule="auto"/>
            </w:pPr>
            <w:r>
              <w:rPr>
                <w:rFonts w:ascii="Calibri" w:hAnsi="Calibri"/>
                <w:b w:val="0"/>
                <w:i w:val="0"/>
                <w:color w:val="212121"/>
                <w:sz w:val="16"/>
              </w:rPr>
              <w:t>Breastfeeding, complementary feeding, immunisation, milestones, growth trajectory</w:t>
            </w:r>
          </w:p>
        </w:tc>
        <w:tc>
          <w:tcPr>
            <w:tcW w:type="dxa" w:w="950"/>
            <w:vAlign w:val="top"/>
          </w:tcPr>
          <w:p>
            <w:pPr>
              <w:spacing w:after="40" w:before="0" w:line="259" w:lineRule="auto"/>
            </w:pPr>
            <w:r>
              <w:rPr>
                <w:rFonts w:ascii="Calibri" w:hAnsi="Calibri"/>
                <w:b w:val="0"/>
                <w:i w:val="0"/>
                <w:color w:val="212121"/>
                <w:sz w:val="16"/>
              </w:rPr>
              <w:t>Optimal IYCF; growth along centiles</w:t>
            </w:r>
          </w:p>
        </w:tc>
        <w:tc>
          <w:tcPr>
            <w:tcW w:type="dxa" w:w="950"/>
            <w:vAlign w:val="top"/>
          </w:tcPr>
          <w:p>
            <w:pPr>
              <w:spacing w:after="40" w:before="0" w:line="259" w:lineRule="auto"/>
            </w:pPr>
            <w:r>
              <w:rPr>
                <w:rFonts w:ascii="Calibri" w:hAnsi="Calibri"/>
                <w:b w:val="0"/>
                <w:i w:val="0"/>
                <w:color w:val="212121"/>
                <w:sz w:val="16"/>
              </w:rPr>
              <w:t>Poor IYCF; growth faltering/crossing centiles downward</w:t>
            </w:r>
          </w:p>
        </w:tc>
        <w:tc>
          <w:tcPr>
            <w:tcW w:type="dxa" w:w="1036"/>
            <w:vAlign w:val="top"/>
          </w:tcPr>
          <w:p>
            <w:pPr>
              <w:spacing w:after="40" w:before="0" w:line="259" w:lineRule="auto"/>
            </w:pPr>
            <w:r>
              <w:rPr>
                <w:rFonts w:ascii="Calibri" w:hAnsi="Calibri"/>
                <w:b w:val="0"/>
                <w:i w:val="0"/>
                <w:color w:val="212121"/>
                <w:sz w:val="16"/>
              </w:rPr>
              <w:t>Identifies modifiable feeding causes and timing of growth failure</w:t>
            </w:r>
          </w:p>
        </w:tc>
        <w:tc>
          <w:tcPr>
            <w:tcW w:type="dxa" w:w="1036"/>
            <w:vAlign w:val="top"/>
          </w:tcPr>
          <w:p>
            <w:pPr>
              <w:spacing w:after="40" w:before="0" w:line="259" w:lineRule="auto"/>
            </w:pPr>
            <w:r>
              <w:rPr>
                <w:rFonts w:ascii="Calibri" w:hAnsi="Calibri"/>
                <w:b w:val="0"/>
                <w:i w:val="0"/>
                <w:color w:val="212121"/>
                <w:sz w:val="16"/>
              </w:rPr>
              <w:t>Infants &amp; young children, caregivers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Serial growth monitoring detects faltering early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Socioeconomic, food-security &amp; medical history</w:t>
            </w:r>
          </w:p>
        </w:tc>
        <w:tc>
          <w:tcPr>
            <w:tcW w:type="dxa" w:w="979"/>
            <w:vAlign w:val="top"/>
          </w:tcPr>
          <w:p>
            <w:pPr>
              <w:spacing w:after="40" w:before="0" w:line="259" w:lineRule="auto"/>
            </w:pPr>
            <w:r>
              <w:rPr>
                <w:rFonts w:ascii="Calibri" w:hAnsi="Calibri"/>
                <w:b w:val="0"/>
                <w:i w:val="0"/>
                <w:color w:val="212121"/>
                <w:sz w:val="16"/>
              </w:rPr>
              <w:t>Income, food access, sanitation, alcohol/tobacco, chronic illness (TB, HIV, malabsorption, cancer)</w:t>
            </w:r>
          </w:p>
        </w:tc>
        <w:tc>
          <w:tcPr>
            <w:tcW w:type="dxa" w:w="950"/>
            <w:vAlign w:val="top"/>
          </w:tcPr>
          <w:p>
            <w:pPr>
              <w:spacing w:after="40" w:before="0" w:line="259" w:lineRule="auto"/>
            </w:pPr>
            <w:r>
              <w:rPr>
                <w:rFonts w:ascii="Calibri" w:hAnsi="Calibri"/>
                <w:b w:val="0"/>
                <w:i w:val="0"/>
                <w:color w:val="212121"/>
                <w:sz w:val="16"/>
              </w:rPr>
              <w:t>Food-secure, no relevant comorbidity</w:t>
            </w:r>
          </w:p>
        </w:tc>
        <w:tc>
          <w:tcPr>
            <w:tcW w:type="dxa" w:w="950"/>
            <w:vAlign w:val="top"/>
          </w:tcPr>
          <w:p>
            <w:pPr>
              <w:spacing w:after="40" w:before="0" w:line="259" w:lineRule="auto"/>
            </w:pPr>
            <w:r>
              <w:rPr>
                <w:rFonts w:ascii="Calibri" w:hAnsi="Calibri"/>
                <w:b w:val="0"/>
                <w:i w:val="0"/>
                <w:color w:val="212121"/>
                <w:sz w:val="16"/>
              </w:rPr>
              <w:t>Food insecurity, poor WASH, chronic disease, substance use</w:t>
            </w:r>
          </w:p>
        </w:tc>
        <w:tc>
          <w:tcPr>
            <w:tcW w:type="dxa" w:w="1036"/>
            <w:vAlign w:val="top"/>
          </w:tcPr>
          <w:p>
            <w:pPr>
              <w:spacing w:after="40" w:before="0" w:line="259" w:lineRule="auto"/>
            </w:pPr>
            <w:r>
              <w:rPr>
                <w:rFonts w:ascii="Calibri" w:hAnsi="Calibri"/>
                <w:b w:val="0"/>
                <w:i w:val="0"/>
                <w:color w:val="212121"/>
                <w:sz w:val="16"/>
              </w:rPr>
              <w:t>Separates primary (intake) from secondary (disease-related) undernutrition and guides management</w:t>
            </w:r>
          </w:p>
        </w:tc>
        <w:tc>
          <w:tcPr>
            <w:tcW w:type="dxa" w:w="1036"/>
            <w:vAlign w:val="top"/>
          </w:tcPr>
          <w:p>
            <w:pPr>
              <w:spacing w:after="40" w:before="0" w:line="259" w:lineRule="auto"/>
            </w:pPr>
            <w:r>
              <w:rPr>
                <w:rFonts w:ascii="Calibri" w:hAnsi="Calibri"/>
                <w:b w:val="0"/>
                <w:i w:val="0"/>
                <w:color w:val="212121"/>
                <w:sz w:val="16"/>
              </w:rPr>
              <w:t>Poor households, tribal communities, chronically ill, elderly</w:t>
            </w:r>
          </w:p>
        </w:tc>
        <w:tc>
          <w:tcPr>
            <w:tcW w:type="dxa" w:w="720"/>
            <w:vAlign w:val="top"/>
          </w:tcPr>
          <w:p>
            <w:pPr>
              <w:spacing w:after="40" w:before="0" w:line="259" w:lineRule="auto"/>
            </w:pPr>
            <w:r>
              <w:rPr>
                <w:rFonts w:ascii="Calibri" w:hAnsi="Calibri"/>
                <w:b w:val="0"/>
                <w:i w:val="0"/>
                <w:color w:val="212121"/>
                <w:sz w:val="16"/>
              </w:rPr>
              <w:t>Provoking factors; Alcohol; 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Anchors social and disease-directed intervention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manifestation of a sustained energy/protein deficit; in children, failure to gain weight.</w:t>
            </w:r>
          </w:p>
        </w:tc>
      </w:tr>
      <w:tr>
        <w:trPr>
          <w:cantSplit/>
        </w:trPr>
        <w:tc>
          <w:tcPr>
            <w:tcW w:type="dxa" w:w="2304"/>
            <w:vAlign w:val="top"/>
          </w:tcPr>
          <w:p>
            <w:pPr>
              <w:spacing w:after="40" w:before="0" w:line="259" w:lineRule="auto"/>
            </w:pPr>
            <w:r>
              <w:rPr>
                <w:rFonts w:ascii="Calibri" w:hAnsi="Calibri"/>
                <w:b/>
                <w:i w:val="0"/>
                <w:color w:val="212121"/>
                <w:sz w:val="19"/>
              </w:rPr>
              <w:t>Poor appetite /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from illness, infection, low mood or the deficiency state itself, deepening the deficit.</w:t>
            </w:r>
          </w:p>
        </w:tc>
      </w:tr>
      <w:tr>
        <w:trPr>
          <w:cantSplit/>
        </w:trPr>
        <w:tc>
          <w:tcPr>
            <w:tcW w:type="dxa" w:w="2304"/>
            <w:vAlign w:val="top"/>
          </w:tcPr>
          <w:p>
            <w:pPr>
              <w:spacing w:after="40" w:before="0" w:line="259" w:lineRule="auto"/>
            </w:pPr>
            <w:r>
              <w:rPr>
                <w:rFonts w:ascii="Calibri" w:hAnsi="Calibri"/>
                <w:b/>
                <w:i w:val="0"/>
                <w:color w:val="212121"/>
                <w:sz w:val="19"/>
              </w:rPr>
              <w:t>Fatigue, weakness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energy availability and muscle mass lower physical capacity and stamina.</w:t>
            </w:r>
          </w:p>
        </w:tc>
      </w:tr>
      <w:tr>
        <w:trPr>
          <w:cantSplit/>
        </w:trPr>
        <w:tc>
          <w:tcPr>
            <w:tcW w:type="dxa" w:w="2304"/>
            <w:vAlign w:val="top"/>
          </w:tcPr>
          <w:p>
            <w:pPr>
              <w:spacing w:after="40" w:before="0" w:line="259" w:lineRule="auto"/>
            </w:pPr>
            <w:r>
              <w:rPr>
                <w:rFonts w:ascii="Calibri" w:hAnsi="Calibri"/>
                <w:b/>
                <w:i w:val="0"/>
                <w:color w:val="212121"/>
                <w:sz w:val="19"/>
              </w:rPr>
              <w:t>Poor growth / growth faltering (children)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Slowed weight and linear growth, later manifesting as wasting and stunting.</w:t>
            </w:r>
          </w:p>
        </w:tc>
      </w:tr>
      <w:tr>
        <w:trPr>
          <w:cantSplit/>
        </w:trPr>
        <w:tc>
          <w:tcPr>
            <w:tcW w:type="dxa" w:w="2304"/>
            <w:vAlign w:val="top"/>
          </w:tcPr>
          <w:p>
            <w:pPr>
              <w:spacing w:after="40" w:before="0" w:line="259" w:lineRule="auto"/>
            </w:pPr>
            <w:r>
              <w:rPr>
                <w:rFonts w:ascii="Calibri" w:hAnsi="Calibri"/>
                <w:b/>
                <w:i w:val="0"/>
                <w:color w:val="212121"/>
                <w:sz w:val="19"/>
              </w:rPr>
              <w:t>Frequent infections &amp; slow recovery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Undernutrition impairs immunity, causing recurrent diarrhoea, respiratory infection and delayed healing.</w:t>
            </w:r>
          </w:p>
        </w:tc>
      </w:tr>
      <w:tr>
        <w:trPr>
          <w:cantSplit/>
        </w:trPr>
        <w:tc>
          <w:tcPr>
            <w:tcW w:type="dxa" w:w="2304"/>
            <w:vAlign w:val="top"/>
          </w:tcPr>
          <w:p>
            <w:pPr>
              <w:spacing w:after="40" w:before="0" w:line="259" w:lineRule="auto"/>
            </w:pPr>
            <w:r>
              <w:rPr>
                <w:rFonts w:ascii="Calibri" w:hAnsi="Calibri"/>
                <w:b/>
                <w:i w:val="0"/>
                <w:color w:val="212121"/>
                <w:sz w:val="19"/>
              </w:rPr>
              <w:t>Irritability, apathy and poor concentration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Undernutrition and micronutrient deficiency impair mood, attention and, in children, cognitive development.</w:t>
            </w:r>
          </w:p>
        </w:tc>
      </w:tr>
      <w:tr>
        <w:trPr>
          <w:cantSplit/>
        </w:trPr>
        <w:tc>
          <w:tcPr>
            <w:tcW w:type="dxa" w:w="2304"/>
            <w:vAlign w:val="top"/>
          </w:tcPr>
          <w:p>
            <w:pPr>
              <w:spacing w:after="40" w:before="0" w:line="259" w:lineRule="auto"/>
            </w:pPr>
            <w:r>
              <w:rPr>
                <w:rFonts w:ascii="Calibri" w:hAnsi="Calibri"/>
                <w:b/>
                <w:i w:val="0"/>
                <w:color w:val="212121"/>
                <w:sz w:val="19"/>
              </w:rPr>
              <w:t>Feeling cold / cold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subcutaneous fat and reduced metabolic heat production, marked in severe cases.</w:t>
            </w:r>
          </w:p>
        </w:tc>
      </w:tr>
      <w:tr>
        <w:trPr>
          <w:cantSplit/>
        </w:trPr>
        <w:tc>
          <w:tcPr>
            <w:tcW w:type="dxa" w:w="2304"/>
            <w:vAlign w:val="top"/>
          </w:tcPr>
          <w:p>
            <w:pPr>
              <w:spacing w:after="40" w:before="0" w:line="259" w:lineRule="auto"/>
            </w:pPr>
            <w:r>
              <w:rPr>
                <w:rFonts w:ascii="Calibri" w:hAnsi="Calibri"/>
                <w:b/>
                <w:i w:val="0"/>
                <w:color w:val="212121"/>
                <w:sz w:val="19"/>
              </w:rPr>
              <w:t>Dizziness or breathlessness on exertion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Largely reflects accompanying iron-deficiency anaemia.</w:t>
            </w:r>
          </w:p>
        </w:tc>
      </w:tr>
      <w:tr>
        <w:trPr>
          <w:cantSplit/>
        </w:trPr>
        <w:tc>
          <w:tcPr>
            <w:tcW w:type="dxa" w:w="2304"/>
            <w:vAlign w:val="top"/>
          </w:tcPr>
          <w:p>
            <w:pPr>
              <w:spacing w:after="40" w:before="0" w:line="259" w:lineRule="auto"/>
            </w:pPr>
            <w:r>
              <w:rPr>
                <w:rFonts w:ascii="Calibri" w:hAnsi="Calibri"/>
                <w:b/>
                <w:i w:val="0"/>
                <w:color w:val="212121"/>
                <w:sz w:val="19"/>
              </w:rPr>
              <w:t>Swelling of feet and legs (oedema)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Bilateral pitting oedema signals kwashiorkor (protein-deficit undernutrition).</w:t>
            </w:r>
          </w:p>
        </w:tc>
      </w:tr>
      <w:tr>
        <w:trPr>
          <w:cantSplit/>
        </w:trPr>
        <w:tc>
          <w:tcPr>
            <w:tcW w:type="dxa" w:w="2304"/>
            <w:vAlign w:val="top"/>
          </w:tcPr>
          <w:p>
            <w:pPr>
              <w:spacing w:after="40" w:before="0" w:line="259" w:lineRule="auto"/>
            </w:pPr>
            <w:r>
              <w:rPr>
                <w:rFonts w:ascii="Calibri" w:hAnsi="Calibri"/>
                <w:b/>
                <w:i w:val="0"/>
                <w:color w:val="212121"/>
                <w:sz w:val="19"/>
              </w:rPr>
              <w:t>Delayed wound healing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Protein, zinc and vitamin C deficiency impair tissue repair.</w:t>
            </w:r>
          </w:p>
        </w:tc>
      </w:tr>
      <w:tr>
        <w:trPr>
          <w:cantSplit/>
        </w:trPr>
        <w:tc>
          <w:tcPr>
            <w:tcW w:type="dxa" w:w="2304"/>
            <w:vAlign w:val="top"/>
          </w:tcPr>
          <w:p>
            <w:pPr>
              <w:spacing w:after="40" w:before="0" w:line="259" w:lineRule="auto"/>
            </w:pPr>
            <w:r>
              <w:rPr>
                <w:rFonts w:ascii="Calibri" w:hAnsi="Calibri"/>
                <w:b/>
                <w:i w:val="0"/>
                <w:color w:val="212121"/>
                <w:sz w:val="19"/>
              </w:rPr>
              <w:t>Loss of libido / amenorrhoea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 energy availability suppresses reproductive hormone function.</w:t>
            </w:r>
          </w:p>
        </w:tc>
      </w:tr>
      <w:tr>
        <w:trPr>
          <w:cantSplit/>
        </w:trPr>
        <w:tc>
          <w:tcPr>
            <w:tcW w:type="dxa" w:w="2304"/>
            <w:vAlign w:val="top"/>
          </w:tcPr>
          <w:p>
            <w:pPr>
              <w:spacing w:after="40" w:before="0" w:line="259" w:lineRule="auto"/>
            </w:pPr>
            <w:r>
              <w:rPr>
                <w:rFonts w:ascii="Calibri" w:hAnsi="Calibri"/>
                <w:b/>
                <w:i w:val="0"/>
                <w:color w:val="212121"/>
                <w:sz w:val="19"/>
              </w:rPr>
              <w:t>Chronic or recurrent 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Both a cause and consequence — enteric infection and malabsorption drive further nutrient loss.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Low BMI (&lt; 18.5 kg/m²) / visible severe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anthropometric sign of adult chronic energy deficiency.</w:t>
            </w:r>
          </w:p>
        </w:tc>
      </w:tr>
      <w:tr>
        <w:trPr>
          <w:cantSplit/>
        </w:trPr>
        <w:tc>
          <w:tcPr>
            <w:tcW w:type="dxa" w:w="3456"/>
            <w:vAlign w:val="top"/>
          </w:tcPr>
          <w:p>
            <w:pPr>
              <w:spacing w:after="40" w:before="0" w:line="259" w:lineRule="auto"/>
            </w:pPr>
            <w:r>
              <w:rPr>
                <w:rFonts w:ascii="Calibri" w:hAnsi="Calibri"/>
                <w:b/>
                <w:i w:val="0"/>
                <w:color w:val="212121"/>
                <w:sz w:val="19"/>
              </w:rPr>
              <w:t>Reduced mid-upper-arm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 MUAC (child &lt; 125/115 mm; adult &lt; 23 cm) indicates depleted muscle and fat stores.</w:t>
            </w:r>
          </w:p>
        </w:tc>
      </w:tr>
      <w:tr>
        <w:trPr>
          <w:cantSplit/>
        </w:trPr>
        <w:tc>
          <w:tcPr>
            <w:tcW w:type="dxa" w:w="3456"/>
            <w:vAlign w:val="top"/>
          </w:tcPr>
          <w:p>
            <w:pPr>
              <w:spacing w:after="40" w:before="0" w:line="259" w:lineRule="auto"/>
            </w:pPr>
            <w:r>
              <w:rPr>
                <w:rFonts w:ascii="Calibri" w:hAnsi="Calibri"/>
                <w:b/>
                <w:i w:val="0"/>
                <w:color w:val="212121"/>
                <w:sz w:val="19"/>
              </w:rPr>
              <w:t>Muscle wasting &amp; loss of subcutaneous fat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Temporal, interosseous and thenar wasting with prominent ribs and ‘baggy-pants’ buttocks (marasmus).</w:t>
            </w:r>
          </w:p>
        </w:tc>
      </w:tr>
      <w:tr>
        <w:trPr>
          <w:cantSplit/>
        </w:trPr>
        <w:tc>
          <w:tcPr>
            <w:tcW w:type="dxa" w:w="3456"/>
            <w:vAlign w:val="top"/>
          </w:tcPr>
          <w:p>
            <w:pPr>
              <w:spacing w:after="40" w:before="0" w:line="259" w:lineRule="auto"/>
            </w:pPr>
            <w:r>
              <w:rPr>
                <w:rFonts w:ascii="Calibri" w:hAnsi="Calibri"/>
                <w:b/>
                <w:i w:val="0"/>
                <w:color w:val="212121"/>
                <w:sz w:val="19"/>
              </w:rPr>
              <w:t>Bilateral pitting pedal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Nutritional oedema defines kwashiorkor / severe acute malnutrition once other causes are excluded.</w:t>
            </w:r>
          </w:p>
        </w:tc>
      </w:tr>
      <w:tr>
        <w:trPr>
          <w:cantSplit/>
        </w:trPr>
        <w:tc>
          <w:tcPr>
            <w:tcW w:type="dxa" w:w="3456"/>
            <w:vAlign w:val="top"/>
          </w:tcPr>
          <w:p>
            <w:pPr>
              <w:spacing w:after="40" w:before="0" w:line="259" w:lineRule="auto"/>
            </w:pPr>
            <w:r>
              <w:rPr>
                <w:rFonts w:ascii="Calibri" w:hAnsi="Calibri"/>
                <w:b/>
                <w:i w:val="0"/>
                <w:color w:val="212121"/>
                <w:sz w:val="19"/>
              </w:rPr>
              <w:t>Hair changes (thin, sparse, depigmented, easily plucked)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Protein-energy deficit; alternating pale/dark bands give the ‘flag sign’.</w:t>
            </w:r>
          </w:p>
        </w:tc>
      </w:tr>
      <w:tr>
        <w:trPr>
          <w:cantSplit/>
        </w:trPr>
        <w:tc>
          <w:tcPr>
            <w:tcW w:type="dxa" w:w="3456"/>
            <w:vAlign w:val="top"/>
          </w:tcPr>
          <w:p>
            <w:pPr>
              <w:spacing w:after="40" w:before="0" w:line="259" w:lineRule="auto"/>
            </w:pPr>
            <w:r>
              <w:rPr>
                <w:rFonts w:ascii="Calibri" w:hAnsi="Calibri"/>
                <w:b/>
                <w:i w:val="0"/>
                <w:color w:val="212121"/>
                <w:sz w:val="19"/>
              </w:rPr>
              <w:t>Skin changes (xerosis, flaky-paint dermatosis, hyperpigmentation)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Characteristic of kwashiorkor and micronutrient deficiency.</w:t>
            </w:r>
          </w:p>
        </w:tc>
      </w:tr>
      <w:tr>
        <w:trPr>
          <w:cantSplit/>
        </w:trPr>
        <w:tc>
          <w:tcPr>
            <w:tcW w:type="dxa" w:w="3456"/>
            <w:vAlign w:val="top"/>
          </w:tcPr>
          <w:p>
            <w:pPr>
              <w:spacing w:after="40" w:before="0" w:line="259" w:lineRule="auto"/>
            </w:pPr>
            <w:r>
              <w:rPr>
                <w:rFonts w:ascii="Calibri" w:hAnsi="Calibri"/>
                <w:b/>
                <w:i w:val="0"/>
                <w:color w:val="212121"/>
                <w:sz w:val="19"/>
              </w:rPr>
              <w:t>Pallor of conjunctivae, tongue and palms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iron/B12/folate-deficiency anaemia commonly accompanying undernutrition.</w:t>
            </w:r>
          </w:p>
        </w:tc>
      </w:tr>
      <w:tr>
        <w:trPr>
          <w:cantSplit/>
        </w:trPr>
        <w:tc>
          <w:tcPr>
            <w:tcW w:type="dxa" w:w="3456"/>
            <w:vAlign w:val="top"/>
          </w:tcPr>
          <w:p>
            <w:pPr>
              <w:spacing w:after="40" w:before="0" w:line="259" w:lineRule="auto"/>
            </w:pPr>
            <w:r>
              <w:rPr>
                <w:rFonts w:ascii="Calibri" w:hAnsi="Calibri"/>
                <w:b/>
                <w:i w:val="0"/>
                <w:color w:val="212121"/>
                <w:sz w:val="19"/>
              </w:rPr>
              <w:t>Bitot’s spots / conjunctival xerosis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Specific ocular sign of vitamin A deficiency (with night blindness).</w:t>
            </w:r>
          </w:p>
        </w:tc>
      </w:tr>
      <w:tr>
        <w:trPr>
          <w:cantSplit/>
        </w:trPr>
        <w:tc>
          <w:tcPr>
            <w:tcW w:type="dxa" w:w="3456"/>
            <w:vAlign w:val="top"/>
          </w:tcPr>
          <w:p>
            <w:pPr>
              <w:spacing w:after="40" w:before="0" w:line="259" w:lineRule="auto"/>
            </w:pPr>
            <w:r>
              <w:rPr>
                <w:rFonts w:ascii="Calibri" w:hAnsi="Calibri"/>
                <w:b/>
                <w:i w:val="0"/>
                <w:color w:val="212121"/>
                <w:sz w:val="19"/>
              </w:rPr>
              <w:t>Angular stomatitis, cheilosis and glossitis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B-complex (riboflavin, niacin, B12) and iron deficiency.</w:t>
            </w:r>
          </w:p>
        </w:tc>
      </w:tr>
      <w:tr>
        <w:trPr>
          <w:cantSplit/>
        </w:trPr>
        <w:tc>
          <w:tcPr>
            <w:tcW w:type="dxa" w:w="3456"/>
            <w:vAlign w:val="top"/>
          </w:tcPr>
          <w:p>
            <w:pPr>
              <w:spacing w:after="40" w:before="0" w:line="259" w:lineRule="auto"/>
            </w:pPr>
            <w:r>
              <w:rPr>
                <w:rFonts w:ascii="Calibri" w:hAnsi="Calibri"/>
                <w:b/>
                <w:i w:val="0"/>
                <w:color w:val="212121"/>
                <w:sz w:val="19"/>
              </w:rPr>
              <w:t>Bradycardia, hypotension and hypothermia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Metabolic adaptation in severe undernutrition; markers of high-risk illness.</w:t>
            </w:r>
          </w:p>
        </w:tc>
      </w:tr>
      <w:tr>
        <w:trPr>
          <w:cantSplit/>
        </w:trPr>
        <w:tc>
          <w:tcPr>
            <w:tcW w:type="dxa" w:w="3456"/>
            <w:vAlign w:val="top"/>
          </w:tcPr>
          <w:p>
            <w:pPr>
              <w:spacing w:after="40" w:before="0" w:line="259" w:lineRule="auto"/>
            </w:pPr>
            <w:r>
              <w:rPr>
                <w:rFonts w:ascii="Calibri" w:hAnsi="Calibri"/>
                <w:b/>
                <w:i w:val="0"/>
                <w:color w:val="212121"/>
                <w:sz w:val="19"/>
              </w:rPr>
              <w:t>Growth faltering on the growth chart (children)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Flattening or downward crossing of weight/height centiles — an early objective sign.</w:t>
            </w:r>
          </w:p>
        </w:tc>
      </w:tr>
      <w:tr>
        <w:trPr>
          <w:cantSplit/>
        </w:trPr>
        <w:tc>
          <w:tcPr>
            <w:tcW w:type="dxa" w:w="3456"/>
            <w:vAlign w:val="top"/>
          </w:tcPr>
          <w:p>
            <w:pPr>
              <w:spacing w:after="40" w:before="0" w:line="259" w:lineRule="auto"/>
            </w:pPr>
            <w:r>
              <w:rPr>
                <w:rFonts w:ascii="Calibri" w:hAnsi="Calibri"/>
                <w:b/>
                <w:i w:val="0"/>
                <w:color w:val="212121"/>
                <w:sz w:val="19"/>
              </w:rPr>
              <w:t>Koilonychia (spoon-shaped nails)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chronic iron-deficiency anaemia.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acute malnutrition — marasmus, kwashiorkor and marasmic-kwashiorkor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hypoglycaemia and hypothermia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disturbance (hypokalaemia, hypomagnesaemia, hypophosphataemia)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Micronutrient deficiencies (iron-deficiency anaemia, vitamin A deficiency with xerophthalmia, iodine, zinc, B-complex)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Immune 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muscle mass, subcutaneous fat and functional capacity</w:t>
            </w:r>
          </w:p>
        </w:tc>
        <w:tc>
          <w:tcPr>
            <w:tcW w:type="dxa" w:w="2980"/>
            <w:vAlign w:val="top"/>
          </w:tcPr>
          <w:p>
            <w:pPr>
              <w:spacing w:after="40" w:before="0" w:line="259" w:lineRule="auto"/>
            </w:pPr>
            <w:r>
              <w:rPr>
                <w:rFonts w:ascii="Calibri" w:hAnsi="Calibri"/>
                <w:b w:val="0"/>
                <w:i w:val="0"/>
                <w:color w:val="212121"/>
                <w:sz w:val="19"/>
              </w:rPr>
              <w:t>Direct metabolic and structural consequences of deficient energy, protein and micronutrient supply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and severe infections — tuberculosis, pneumonia, diarrhoea, measles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Refeeding syndrome on reintroduction of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linear growth (stunting) and delayed puberty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cognitive and neurodevelopmental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wound healing and pressure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depletion, intrauterine growth restriction and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dysfunction and anaemia-related heart strain in severe disease</w:t>
            </w:r>
          </w:p>
        </w:tc>
        <w:tc>
          <w:tcPr>
            <w:tcW w:type="dxa" w:w="2980"/>
            <w:vAlign w:val="top"/>
          </w:tcPr>
          <w:p>
            <w:pPr>
              <w:spacing w:after="40" w:before="0" w:line="259" w:lineRule="auto"/>
            </w:pPr>
            <w:r>
              <w:rPr>
                <w:rFonts w:ascii="Calibri" w:hAnsi="Calibri"/>
                <w:b w:val="0"/>
                <w:i w:val="0"/>
                <w:color w:val="212121"/>
                <w:sz w:val="19"/>
              </w:rPr>
              <w:t>Downstream effects of impaired immunity, growth, healing and reproduction from sustained undernutrition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stunting and reduced adult stature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cognitive capacity, schooling and lifelong economic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adult risk of diabetes and cardiovascular disease (thrifty-phenotype programming)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Intergenerational transmission of undernutrition (undernourished girl → undernourished mother → low-birth-weight infant)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Disability and frailty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mortality, including a large share of under-five deaths</w:t>
            </w:r>
          </w:p>
        </w:tc>
        <w:tc>
          <w:tcPr>
            <w:tcW w:type="dxa" w:w="2980"/>
            <w:vAlign w:val="top"/>
          </w:tcPr>
          <w:p>
            <w:pPr>
              <w:spacing w:after="40" w:before="0" w:line="259" w:lineRule="auto"/>
            </w:pPr>
            <w:r>
              <w:rPr>
                <w:rFonts w:ascii="Calibri" w:hAnsi="Calibri"/>
                <w:b w:val="0"/>
                <w:i w:val="0"/>
                <w:color w:val="212121"/>
                <w:sz w:val="19"/>
              </w:rPr>
              <w:t>Irreversible, disabling or fatal long-term outcomes and the perpetuation of the intergenerational cycle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Undernutrition is the single largest population-attributable risk factor for active TB in India through impaired cell-mediated immunity; the two form a bidirectional cycle.</w:t>
            </w:r>
          </w:p>
          <w:p>
            <w:pPr>
              <w:spacing w:after="40" w:before="0" w:line="259" w:lineRule="auto"/>
            </w:pPr>
            <w:r>
              <w:rPr>
                <w:rFonts w:ascii="Calibri" w:hAnsi="Calibri"/>
                <w:b/>
                <w:i w:val="0"/>
                <w:color w:val="212121"/>
                <w:sz w:val="19"/>
              </w:rPr>
              <w:t>~55% of TB cases attributable</w:t>
            </w:r>
          </w:p>
        </w:tc>
      </w:tr>
      <w:tr>
        <w:trPr>
          <w:cantSplit/>
        </w:trPr>
        <w:tc>
          <w:tcPr>
            <w:tcW w:type="dxa" w:w="2232"/>
            <w:vAlign w:val="top"/>
          </w:tcPr>
          <w:p>
            <w:pPr>
              <w:spacing w:after="40" w:before="0" w:line="259" w:lineRule="auto"/>
            </w:pPr>
            <w:r>
              <w:rPr>
                <w:rFonts w:ascii="Calibri" w:hAnsi="Calibri"/>
                <w:b/>
                <w:i w:val="0"/>
                <w:color w:val="212121"/>
                <w:sz w:val="19"/>
              </w:rPr>
              <w:t>Anaemia / iron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most prevalent coexisting micronutrient deficiency, worsening fatigue, immunity and pregnancy outcomes.</w:t>
            </w:r>
          </w:p>
          <w:p>
            <w:pPr>
              <w:spacing w:after="40" w:before="0" w:line="259" w:lineRule="auto"/>
            </w:pPr>
            <w:r>
              <w:rPr>
                <w:rFonts w:ascii="Calibri" w:hAnsi="Calibri"/>
                <w:b/>
                <w:i w:val="0"/>
                <w:color w:val="212121"/>
                <w:sz w:val="19"/>
              </w:rPr>
              <w:t>~67.1% children; ~57% women</w:t>
            </w:r>
          </w:p>
        </w:tc>
      </w:tr>
      <w:tr>
        <w:trPr>
          <w:cantSplit/>
        </w:trPr>
        <w:tc>
          <w:tcPr>
            <w:tcW w:type="dxa" w:w="2232"/>
            <w:vAlign w:val="top"/>
          </w:tcPr>
          <w:p>
            <w:pPr>
              <w:spacing w:after="40" w:before="0" w:line="259" w:lineRule="auto"/>
            </w:pPr>
            <w:r>
              <w:rPr>
                <w:rFonts w:ascii="Calibri" w:hAnsi="Calibri"/>
                <w:b/>
                <w:i w:val="0"/>
                <w:color w:val="212121"/>
                <w:sz w:val="19"/>
              </w:rPr>
              <w:t>Recurrent respiratory &amp; diarrhoeal infections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immunity increases the frequency and severity of pneumonia and diarrhoea, especially in children.</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Raised energy expenditure, enteropathy and reduced intake cause HIV-associated wasting, accelerating disease progression.</w:t>
            </w:r>
          </w:p>
        </w:tc>
      </w:tr>
      <w:tr>
        <w:trPr>
          <w:cantSplit/>
        </w:trPr>
        <w:tc>
          <w:tcPr>
            <w:tcW w:type="dxa" w:w="2232"/>
            <w:vAlign w:val="top"/>
          </w:tcPr>
          <w:p>
            <w:pPr>
              <w:spacing w:after="40" w:before="0" w:line="259" w:lineRule="auto"/>
            </w:pPr>
            <w:r>
              <w:rPr>
                <w:rFonts w:ascii="Calibri" w:hAnsi="Calibri"/>
                <w:b/>
                <w:i w:val="0"/>
                <w:color w:val="212121"/>
                <w:sz w:val="19"/>
              </w:rPr>
              <w:t>Intestinal helminthiasis &amp; environmental enteric dysfunction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gut infection and inflammation impair absorption and contribute to child stunting.</w:t>
            </w:r>
          </w:p>
        </w:tc>
      </w:tr>
      <w:tr>
        <w:trPr>
          <w:cantSplit/>
        </w:trPr>
        <w:tc>
          <w:tcPr>
            <w:tcW w:type="dxa" w:w="2232"/>
            <w:vAlign w:val="top"/>
          </w:tcPr>
          <w:p>
            <w:pPr>
              <w:spacing w:after="40" w:before="0" w:line="259" w:lineRule="auto"/>
            </w:pPr>
            <w:r>
              <w:rPr>
                <w:rFonts w:ascii="Calibri" w:hAnsi="Calibri"/>
                <w:b/>
                <w:i w:val="0"/>
                <w:color w:val="212121"/>
                <w:sz w:val="19"/>
              </w:rPr>
              <w:t>Micronutrient deficiencies (vitamin A, iodine, zinc, B12/folate)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‘Hidden hunger’ commonly accompanies protein-energy undernutrition, impairing vision, immunity, growth and cognition.</w:t>
            </w:r>
          </w:p>
        </w:tc>
      </w:tr>
      <w:tr>
        <w:trPr>
          <w:cantSplit/>
        </w:trPr>
        <w:tc>
          <w:tcPr>
            <w:tcW w:type="dxa" w:w="2232"/>
            <w:vAlign w:val="top"/>
          </w:tcPr>
          <w:p>
            <w:pPr>
              <w:spacing w:after="40" w:before="0" w:line="259" w:lineRule="auto"/>
            </w:pPr>
            <w:r>
              <w:rPr>
                <w:rFonts w:ascii="Calibri" w:hAnsi="Calibri"/>
                <w:b/>
                <w:i w:val="0"/>
                <w:color w:val="212121"/>
                <w:sz w:val="19"/>
              </w:rPr>
              <w:t>Low birth weight &amp; maternal undernutrition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Maternal underweight and anaemia cause IUGR and low birth weight, seeding the next generation of undernutrition.</w:t>
            </w:r>
          </w:p>
          <w:p>
            <w:pPr>
              <w:spacing w:after="40" w:before="0" w:line="259" w:lineRule="auto"/>
            </w:pPr>
            <w:r>
              <w:rPr>
                <w:rFonts w:ascii="Calibri" w:hAnsi="Calibri"/>
                <w:b/>
                <w:i w:val="0"/>
                <w:color w:val="212121"/>
                <w:sz w:val="19"/>
              </w:rPr>
              <w:t>~17.1% infants LBW</w:t>
            </w:r>
          </w:p>
        </w:tc>
      </w:tr>
      <w:tr>
        <w:trPr>
          <w:cantSplit/>
        </w:trPr>
        <w:tc>
          <w:tcPr>
            <w:tcW w:type="dxa" w:w="2232"/>
            <w:vAlign w:val="top"/>
          </w:tcPr>
          <w:p>
            <w:pPr>
              <w:spacing w:after="40" w:before="0" w:line="259" w:lineRule="auto"/>
            </w:pPr>
            <w:r>
              <w:rPr>
                <w:rFonts w:ascii="Calibri" w:hAnsi="Calibri"/>
                <w:b/>
                <w:i w:val="0"/>
                <w:color w:val="212121"/>
                <w:sz w:val="19"/>
              </w:rPr>
              <w:t>Depression, dementia &amp; mental illness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 appetite and intake and are worsened by undernutrition, particularly in the elderly.</w:t>
            </w:r>
          </w:p>
        </w:tc>
      </w:tr>
      <w:tr>
        <w:trPr>
          <w:cantSplit/>
        </w:trPr>
        <w:tc>
          <w:tcPr>
            <w:tcW w:type="dxa" w:w="2232"/>
            <w:vAlign w:val="top"/>
          </w:tcPr>
          <w:p>
            <w:pPr>
              <w:spacing w:after="40" w:before="0" w:line="259" w:lineRule="auto"/>
            </w:pPr>
            <w:r>
              <w:rPr>
                <w:rFonts w:ascii="Calibri" w:hAnsi="Calibri"/>
                <w:b/>
                <w:i w:val="0"/>
                <w:color w:val="212121"/>
                <w:sz w:val="19"/>
              </w:rPr>
              <w:t>Chronic disease cachexia (cancer, CKD, COPD, heart/liver failure)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Inflammation and hypermetabolism cause disease-related malnutrition with progressive weight and muscle loss.</w:t>
            </w:r>
          </w:p>
        </w:tc>
      </w:tr>
      <w:tr>
        <w:trPr>
          <w:cantSplit/>
        </w:trPr>
        <w:tc>
          <w:tcPr>
            <w:tcW w:type="dxa" w:w="2232"/>
            <w:vAlign w:val="top"/>
          </w:tcPr>
          <w:p>
            <w:pPr>
              <w:spacing w:after="40" w:before="0" w:line="259" w:lineRule="auto"/>
            </w:pPr>
            <w:r>
              <w:rPr>
                <w:rFonts w:ascii="Calibri" w:hAnsi="Calibri"/>
                <w:b/>
                <w:i w:val="0"/>
                <w:color w:val="212121"/>
                <w:sz w:val="19"/>
              </w:rPr>
              <w:t>Osteoporosis &amp; impaired child development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Deficient calcium, vitamin D, protein and energy weaken bone and delay motor and cognitive milestones.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undernutrition as a deficit or imbalance of energy, protein and micronutrients — it can affect adults (low BMI/chronic energy deficiency), children (growth failure) and the elderly, and often coexists with ‘hidden hunger’.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the first 1000 days: early and exclusive breastfeeding to six months, then timely, diverse, hygienically prepared complementary foods alongside continued breastfeeding.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unintentional weight loss, poor appetite, faltering growth in a child, MUAC below cut-off, or bilateral leg swelling — and seek early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dietary diversity within a budget: combine cereals with pulses/dals, add milk/curd, eggs, groundnut, seasonal vegetables and fruit, and use iodised salt.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safe water, sanitation and hand-washing to break the infection–malnutrition cycle, and complete immunisation and deworming.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government programmes (ICDS/Anganwadi, mid-day meals, POSHAN Abhiyaan, take-home rations, Anaemia Mukt Bharat) and attend growth monitoring.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&amp; food-insecure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chronically ill or elderly members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recovery, pair increased nutrition with graded, progressive resistance and strengthening activity to rebuild lost muscle rather than only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labourers and high-expenditure workers, match energy intake to workload and add rest and calorie-dense nutritious foods during heavy-work seasons.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the elderly and the frail, use supervised strength and balance exercises to counter sarcopenia, prevent falls and restore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age-appropriate active play in children once nutritionally stabilised to support motor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excessive, uncompensated physical exertion while underweight, which deepens the negative energy balance.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SAM/MAM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Frail/sarcopenic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nutritional rehabilitation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daily energy and protein for age and physiological state, meeting ICMR-NIN recommended allowances, especially in pregnancy, lactation, childhood and old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Diversify beyond a single cereal: add pulses/legumes, milk and curd, eggs, fish or meat where acceptable, nuts and oilseeds for quality protein and energy.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 and mineral-rich foods daily — green leafy and orange vegetables and fruit (vitamin A, folate), iron-rich foods with vitamin C, and iodised salt.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energy- and nutrient-dense preparations for small appetites (khichdi with ghee and vegetables, milk-based porridges, groundnut/til) and frequent small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food hygiene and safe storage to prevent diarrhoeal illness, and give extra feeds during and after any infection to enable catch-up.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breastfeeding mothers and provide fortified/supplementary foods to at-risk infants and pregnant women.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&amp;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Food-insecure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severe acute malnutrition per WHO/national protocol — cautious phased refeeding with F-75 then F-100 or ready-to-use therapeutic food, treating and preventing hypoglycaemia, hypothermia, dehydration and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refeeding syndrome by starting nutrition cautiously and correcting/monitoring potassium, magnesium and phosphate, with thiamine before feeding in high-risk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Deliver catch-up growth diets with high energy and protein density and adequate micronutrients until anthropometric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specific micronutrient deficiencies (iron and folate, vitamin A, zinc, B12, vitamin D, iodine) alongside energy-protein repletion.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the underlying cause — tuberculosis, HIV, malabsorption, malignancy or chronic organ disease — so nutrition therapy can succeed.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medical nutrition therapy/dietitian support and use oral nutritional supplements or tube feeding where intake is inadequate.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SAM/MAM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Severely underweight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Disease-related malnutrition/cachexia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routine to support recovery, appetite regulation and, in children, growth-hormone-dependent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conditions that disrupt sleep and appetite (pain, infection, depression) as part of nutritional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safe, warm sleeping environment for severely malnourished children, who are prone to hypothermia.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adequate rest with graded daytime activity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ill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smokeless tobacco), which suppresses appetite and drives tuberculosis, COPD and cancer that cause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counselling and, where appropriate, pharmacotherapy or nicotine replacement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tobacco users with weight loss actively for tuberculosis and other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in households with young children and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cessation as part of TB and undernutrition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 with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or 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stop alcohol, which displaces nutritious food, impairs absorption and depletes thiamine and folate.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thiamine (and other B-vitamins) supplementation to at-risk drinkers, especially before carbohydrate/refeeding, to prevent Wernicke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coexisting protein-energy and micronutrient undernutrition and assess for liver and pancreatic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structured, nutrient-dense diet during recovery from alcohol-related undernutrition.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de-addiction and psychosocial support where dependence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liver/pancreatic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thiamine deficiency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dementia, anxiety and eating disorders that reduce appetite and intake, particularly in the elderly and chronically ill.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food insecurity and poverty-related stress through social support and linkage to welfare and nutrition programmes.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mealtime assistance, company and preferred foods to improve intake in those with apathy, dementia or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specialist care and structured refeeding for anorexia nervosa and other eating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psychological support with nutritional rehabilitation, as improving nutrition also improves mood and cognition.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low mood/dementia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Eating-disorder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Food-insecure &amp; socially isolated individuals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rfonline.org/research/what-nfhs-5-data-shows" TargetMode="External"/><Relationship Id="rId10" Type="http://schemas.openxmlformats.org/officeDocument/2006/relationships/hyperlink" Target="https://science.thewire.in/health/nfhs-5-nutrition-data-underweight-stunting-bmi-nutrient-deficiencies/" TargetMode="External"/><Relationship Id="rId11" Type="http://schemas.openxmlformats.org/officeDocument/2006/relationships/hyperlink" Target="https://www.sciencedirect.com/science/article/abs/pii/S1568163720302725" TargetMode="External"/><Relationship Id="rId12" Type="http://schemas.openxmlformats.org/officeDocument/2006/relationships/hyperlink" Target="https://www.impriindia.com/insights/undernutrition-in-india/" TargetMode="External"/><Relationship Id="rId13" Type="http://schemas.openxmlformats.org/officeDocument/2006/relationships/hyperlink" Target="https://link.springer.com/article/10.1186/s12884-023-05726-y" TargetMode="External"/><Relationship Id="rId14" Type="http://schemas.openxmlformats.org/officeDocument/2006/relationships/hyperlink" Target="https://www.tbdiah.org/resources/publications/undernutrition-and-the-incidence-of-tuberculosis-in-india-national-and-subnational-estimates-of-the-population-attributable-fraction-related-to-undernutrition/" TargetMode="External"/><Relationship Id="rId15" Type="http://schemas.openxmlformats.org/officeDocument/2006/relationships/hyperlink" Target="https://pubmed.ncbi.nlm.nih.gov/3148462/" TargetMode="External"/><Relationship Id="rId16" Type="http://schemas.openxmlformats.org/officeDocument/2006/relationships/hyperlink" Target="https://medicalguidelines.msf.org/en/viewport/CG/english/severe-acute-malnutrition-1668914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