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Type 1 Diabetes Mellitus</w:t>
      </w:r>
    </w:p>
    <w:p>
      <w:pPr>
        <w:spacing w:before="0" w:after="160"/>
      </w:pPr>
      <w:r>
        <w:rPr>
          <w:rFonts w:ascii="Calibri" w:hAnsi="Calibri"/>
          <w:b/>
          <w:i w:val="0"/>
          <w:color w:val="212121"/>
          <w:sz w:val="22"/>
        </w:rPr>
        <w:t xml:space="preserve">AKA </w:t>
      </w:r>
      <w:r>
        <w:rPr>
          <w:rFonts w:ascii="Calibri" w:hAnsi="Calibri"/>
          <w:b w:val="0"/>
          <w:i w:val="0"/>
          <w:color w:val="212121"/>
          <w:sz w:val="22"/>
        </w:rPr>
        <w:t>i.e., T1DM, Insulin-dependent diabetes mellitus (IDDM), Juvenile diabetes, Juvenile-onset diabetes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Type 1 diabetes mellitus is a chronic autoimmune disease in which T-cell–mediated destruction of the insulin-producing β-cells of the pancreatic islets of Langerhans leads to absolute insulin deficiency. It usually presents in childhood or adolescence with the rapid onset of hyperglycaemia, weight loss and, if untreated, diabetic ketoacidosis, and lifelong exogenous insulin is required for survival. Unlike type 2 diabetes it is not caused by insulin resistance or an unhealthy lifestyle, although environmental triggers may unmask an underlying genetic (HLA-linked) susceptibility.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has the largest population of children and adolescents (0–19 years) living with type 1 diabetes in the world — an estimated 2,29,400 in 2021, ahead of the United States (1,57,900) and Brazil (92,300) — a figure that has risen roughly 2.35-fold over a decade. Overall this affects about 0.09% of Indian children (roughly 1 in every 1,100). Recorded incidence is highly heterogeneous, ranging from about 3.2 per 1,00,000 per year in Chennai to 17.9 per 1,00,000 in Karnataka, with the Karnal (Haryana) registry recording 10.2 per 1,00,000 overall (urban 26.6 vs rural 4.27). Owing to delayed recognition, roughly 37% of Indian children present in diabetic ketoacidosis at first diagnosis.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Type 1 diabetes is diagnosed when standard glycaemic thresholds are met and autoimmune, insulin-deficient physiology is confirmed. Any one of the following glucose criteria establishes diabetes (confirmed on a repeat test unless there is unequivocal hyperglycaemia), and the additional immunological/biochemical features distinguish type 1 from type 2:</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Fasting plasma glucose ≥ 126 mg/dL (7.0 mmol/L); or 2-hour plasma glucose ≥ 200 mg/dL (11.1 mmol/L) during a 75 g oral glucose tolerance test; or HbA1c ≥ 6.5 %; or a random plasma glucose ≥ 200 mg/dL with classic hyperglycaemic symptoms.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Presence of one or more islet autoantibodies — glutamic acid decarboxylase (GAD65), islet antigen-2 (IA-2), zinc transporter-8 (ZnT8) or insulin autoantibodies (IAA) — confirms autoimmune (type 1A) diabetes; two or more autoantibodies are a near-certain predictor of progression to clinical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Low or undetectable fasting/stimulated C-peptide indicates absolute insulin deficiency and helps differentiate type 1 from insulin-resistant type 2 diabetes.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Ketonaemia or ketonuria — or frank diabetic ketoacidosis (blood/urine ketones with venous pH &lt; 7.3 and bicarbonate &lt; 15 mmol/L) — at presentation strongly supports type 1.</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clinical features: young age at onset, lean body habitus, abrupt symptom onset, absence of acanthosis nigricans, and a personal or family history of other autoimmune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Type 1 diabetes is understood both as a staged autoimmune process (pre-symptomatic through to clinical disease) and by aetiological subtype:</w:t>
      </w:r>
    </w:p>
    <w:p>
      <w:pPr>
        <w:spacing w:before="0" w:after="80"/>
      </w:pPr>
      <w:r>
        <w:rPr>
          <w:rFonts w:ascii="Calibri" w:hAnsi="Calibri"/>
          <w:b w:val="0"/>
          <w:i w:val="0"/>
          <w:color w:val="212121"/>
          <w:sz w:val="21"/>
        </w:rPr>
        <w:t>(1) Stage 1 — the presence of two or more islet autoantibodies with normal blood glucose (normoglycaemia) and no symptoms; about 44% of such individuals progress to clinical diabetes within 5 years;</w:t>
      </w:r>
    </w:p>
    <w:p>
      <w:pPr>
        <w:spacing w:before="0" w:after="80"/>
      </w:pPr>
      <w:r>
        <w:rPr>
          <w:rFonts w:ascii="Calibri" w:hAnsi="Calibri"/>
          <w:b w:val="0"/>
          <w:i w:val="0"/>
          <w:color w:val="212121"/>
          <w:sz w:val="21"/>
        </w:rPr>
        <w:t>(2) Stage 2 — multiple islet autoantibodies with dysglycaemia (impaired fasting glucose or impaired glucose tolerance) that has not yet reached diabetic thresholds; roughly 60–75% progress within 2–5 years;</w:t>
      </w:r>
    </w:p>
    <w:p>
      <w:pPr>
        <w:spacing w:before="0" w:after="80"/>
      </w:pPr>
      <w:r>
        <w:rPr>
          <w:rFonts w:ascii="Calibri" w:hAnsi="Calibri"/>
          <w:b w:val="0"/>
          <w:i w:val="0"/>
          <w:color w:val="212121"/>
          <w:sz w:val="21"/>
        </w:rPr>
        <w:t>(3) Stage 3 — symptomatic clinical diabetes meeting standard diagnostic criteria, the classic presentation with hyperglycaemia and often ketosis;</w:t>
      </w:r>
    </w:p>
    <w:p>
      <w:pPr>
        <w:spacing w:before="0" w:after="80"/>
      </w:pPr>
      <w:r>
        <w:rPr>
          <w:rFonts w:ascii="Calibri" w:hAnsi="Calibri"/>
          <w:b w:val="0"/>
          <w:i w:val="0"/>
          <w:color w:val="212121"/>
          <w:sz w:val="21"/>
        </w:rPr>
        <w:t>(4) By aetiology: Type 1A (immune-mediated, ~90%, autoantibody-positive) versus Type 1B (idiopathic, autoantibody-negative, relatively more frequent in some Asian and African populations); and</w:t>
      </w:r>
    </w:p>
    <w:p>
      <w:pPr>
        <w:spacing w:before="0" w:after="80"/>
      </w:pPr>
      <w:r>
        <w:rPr>
          <w:rFonts w:ascii="Calibri" w:hAnsi="Calibri"/>
          <w:b w:val="0"/>
          <w:i w:val="0"/>
          <w:color w:val="212121"/>
          <w:sz w:val="21"/>
        </w:rPr>
        <w:t>(5) Latent autoimmune diabetes in adults (LADA) — a slowly progressive, GAD-antibody-positive autoimmune diabetes presenting after ~30 years of age that is initially non-insulin-requiring but ultimately progresses to insulin dependence.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Autoimmune β-cell destruction: T-cell–mediated, selective destruction of insulin-secreting β-cells, marked by islet autoantibodies (GAD65, IA-2, ZnT8, IAA); symptoms appear once ~80–90% of β-cell mass is lost.</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susceptibility: HLA class II haplotypes (DR3-DQ2 and DR4-DQ8) account for roughly half of the heritable risk, with additional contributions from INS, PTPN22, CTLA4 and other loci.</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Environmental triggers: enteroviral (e.g., Coxsackie B) infections, early introduction of cow's-milk protein, rapid early growth and other exposures are thought to initiate or accelerate islet autoimmunity in genetically susceptible children.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Vitamin D deficiency: low vitamin D status in early life is associated with higher risk; 58% of newly diagnosed Indian children were vitamin-D deficient versus 32% of controls.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Family history: a first-degree relative with type 1 diabetes substantially increases risk, yet the majority (~85–90%) of newly diagnosed children have no affected relative — underscoring the polygenic, gene–environment nature of the disease.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Absolute insulin deficiency: unlike type 2 diabetes, disease is driven by loss of insulin secretion rather than insulin resistance, making exogenous insulin obligatory for survival.</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(school age)</w:t>
            </w:r>
          </w:p>
        </w:tc>
        <w:tc>
          <w:tcPr>
            <w:tcW w:type="dxa" w:w="4276"/>
            <w:vAlign w:val="top"/>
          </w:tcPr>
          <w:p>
            <w:pPr>
              <w:spacing w:after="60" w:line="259" w:lineRule="auto"/>
            </w:pPr>
            <w:r>
              <w:rPr>
                <w:rFonts w:ascii="Calibri" w:hAnsi="Calibri"/>
                <w:b w:val="0"/>
                <w:i w:val="0"/>
                <w:color w:val="212121"/>
                <w:sz w:val="19"/>
              </w:rPr>
              <w:t>Type 1 diabetes has its predominant onset in childhood, with a marked peak around 10–14 years as autoimmune β-cell destruction reaches a symptomatic threshold. Rapid growth and intercurrent viral infections coincide with this window.</w:t>
            </w:r>
          </w:p>
          <w:p>
            <w:pPr>
              <w:spacing w:after="40" w:before="60" w:line="259" w:lineRule="auto"/>
            </w:pPr>
            <w:r>
              <w:rPr>
                <w:rFonts w:ascii="Calibri" w:hAnsi="Calibri"/>
                <w:b w:val="0"/>
                <w:i w:val="0"/>
                <w:color w:val="212121"/>
                <w:sz w:val="19"/>
              </w:rPr>
              <w:t>In Indian registries incidence peaks at 10–12 years; Chennai recorded ~10.5 per 1,00,000 children per year with the highest rates at ages 10–12.</w:t>
            </w:r>
          </w:p>
          <w:p>
            <w:pPr>
              <w:spacing w:after="40" w:line="252" w:lineRule="auto"/>
            </w:pPr>
            <w:hyperlink r:id="rId9">
              <w:r>
                <w:rPr>
                  <w:rFonts w:ascii="Calibri" w:hAnsi="Calibri" w:cs="Calibri"/>
                  <w:sz w:val="18"/>
                  <w:color w:val="1155CC"/>
                  <w:u w:val="single"/>
                </w:rPr>
                <w:t xml:space="preserve">e-apem.org — Childhood diabetes in India</w:t>
              </w:r>
            </w:hyperlink>
          </w:p>
          <w:p>
            <w:pPr>
              <w:spacing w:before="60" w:after="40"/>
            </w:pPr>
            <w:r>
              <w:rPr>
                <w:rFonts w:ascii="Calibri" w:hAnsi="Calibri"/>
                <w:b w:val="0"/>
                <w:i w:val="0"/>
                <w:color w:val="5A5A5A"/>
                <w:sz w:val="18"/>
              </w:rPr>
              <w:t>#juvenilediabetes  #autoimmune  #betacell  #schoolage  #peakonset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A second incidence rise accompanies puberty, when growth-hormone–driven insulin resistance unmasks failing β-cell reserve. Adolescence also brings adherence challenges, diabetes distress and higher risk of ketoacidosis from missed insulin.</w:t>
            </w:r>
          </w:p>
          <w:p>
            <w:pPr>
              <w:spacing w:after="40" w:before="60" w:line="259" w:lineRule="auto"/>
            </w:pPr>
            <w:r>
              <w:rPr>
                <w:rFonts w:ascii="Calibri" w:hAnsi="Calibri"/>
                <w:b w:val="0"/>
                <w:i w:val="0"/>
                <w:color w:val="212121"/>
                <w:sz w:val="19"/>
              </w:rPr>
              <w:t>Over half of the 1.21 million children/adolescents with T1DM worldwide are under 15 years, but puberty marks a distinct second peak in presentation.</w:t>
            </w:r>
          </w:p>
          <w:p>
            <w:pPr>
              <w:spacing w:after="40" w:line="252" w:lineRule="auto"/>
            </w:pPr>
            <w:hyperlink r:id="rId10">
              <w:r>
                <w:rPr>
                  <w:rFonts w:ascii="Calibri" w:hAnsi="Calibri" w:cs="Calibri"/>
                  <w:sz w:val="18"/>
                  <w:color w:val="1155CC"/>
                  <w:u w:val="single"/>
                </w:rPr>
                <w:t xml:space="preserve">ncbi.nlm.nih.gov — IDF Diabetes Atlas, global picture</w:t>
              </w:r>
            </w:hyperlink>
          </w:p>
          <w:p>
            <w:pPr>
              <w:spacing w:before="60" w:after="40"/>
            </w:pPr>
            <w:r>
              <w:rPr>
                <w:rFonts w:ascii="Calibri" w:hAnsi="Calibri"/>
                <w:b w:val="0"/>
                <w:i w:val="0"/>
                <w:color w:val="5A5A5A"/>
                <w:sz w:val="18"/>
              </w:rPr>
              <w:t>#adolescence  #pubertalinsulinresistance  #adherence  #diabetesdistress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(LADA)</w:t>
            </w:r>
          </w:p>
        </w:tc>
        <w:tc>
          <w:tcPr>
            <w:tcW w:type="dxa" w:w="4276"/>
            <w:vAlign w:val="top"/>
          </w:tcPr>
          <w:p>
            <w:pPr>
              <w:spacing w:after="60" w:line="259" w:lineRule="auto"/>
            </w:pPr>
            <w:r>
              <w:rPr>
                <w:rFonts w:ascii="Calibri" w:hAnsi="Calibri"/>
                <w:b w:val="0"/>
                <w:i w:val="0"/>
                <w:color w:val="212121"/>
                <w:sz w:val="19"/>
              </w:rPr>
              <w:t>A slowly progressive, GAD-antibody-positive autoimmune diabetes (LADA) can present after age 30 and is frequently misclassified as type 2, delaying appropriate insulin therapy.</w:t>
            </w:r>
          </w:p>
          <w:p>
            <w:pPr>
              <w:spacing w:after="40" w:before="60" w:line="259" w:lineRule="auto"/>
            </w:pPr>
            <w:r>
              <w:rPr>
                <w:rFonts w:ascii="Calibri" w:hAnsi="Calibri"/>
                <w:b w:val="0"/>
                <w:i w:val="0"/>
                <w:color w:val="212121"/>
                <w:sz w:val="19"/>
              </w:rPr>
              <w:t>LADA is often initially non-insulin-requiring but progresses to insulin dependence; autoantibody testing distinguishes it from type 2 diabetes.</w:t>
            </w:r>
          </w:p>
          <w:p>
            <w:pPr>
              <w:spacing w:after="40" w:line="252" w:lineRule="auto"/>
            </w:pPr>
            <w:hyperlink r:id="rId11">
              <w:r>
                <w:rPr>
                  <w:rFonts w:ascii="Calibri" w:hAnsi="Calibri" w:cs="Calibri"/>
                  <w:sz w:val="18"/>
                  <w:color w:val="1155CC"/>
                  <w:u w:val="single"/>
                </w:rPr>
                <w:t xml:space="preserve">diabetesjournals.org — ADA Standards of Care (Classification)</w:t>
              </w:r>
            </w:hyperlink>
          </w:p>
          <w:p>
            <w:pPr>
              <w:spacing w:before="60" w:after="40"/>
            </w:pPr>
            <w:r>
              <w:rPr>
                <w:rFonts w:ascii="Calibri" w:hAnsi="Calibri"/>
                <w:b w:val="0"/>
                <w:i w:val="0"/>
                <w:color w:val="5A5A5A"/>
                <w:sz w:val="18"/>
              </w:rPr>
              <w:t>#LADA  #misdiagnosis  #GADantibody  #adultonset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Boys (pre/peripubertal)</w:t>
            </w:r>
          </w:p>
        </w:tc>
        <w:tc>
          <w:tcPr>
            <w:tcW w:type="dxa" w:w="4276"/>
            <w:vAlign w:val="top"/>
          </w:tcPr>
          <w:p>
            <w:pPr>
              <w:spacing w:after="60" w:line="259" w:lineRule="auto"/>
            </w:pPr>
            <w:r>
              <w:rPr>
                <w:rFonts w:ascii="Calibri" w:hAnsi="Calibri"/>
                <w:b w:val="0"/>
                <w:i w:val="0"/>
                <w:color w:val="212121"/>
                <w:sz w:val="19"/>
              </w:rPr>
              <w:t>Several Indian registries record a modest male excess in childhood T1DM incidence, partly reflecting true biology and partly referral/ascertainment bias favouring boys.</w:t>
            </w:r>
          </w:p>
          <w:p>
            <w:pPr>
              <w:spacing w:after="40" w:before="60" w:line="259" w:lineRule="auto"/>
            </w:pPr>
            <w:r>
              <w:rPr>
                <w:rFonts w:ascii="Calibri" w:hAnsi="Calibri"/>
                <w:b w:val="0"/>
                <w:i w:val="0"/>
                <w:color w:val="212121"/>
                <w:sz w:val="19"/>
              </w:rPr>
              <w:t>Karnal (Haryana) registry: male incidence 11.56 vs female 8.6 per 1,00,000; Chennai 12.6 (boys) vs 9.6 (girls) per 1,00,000.</w:t>
            </w:r>
          </w:p>
          <w:p>
            <w:pPr>
              <w:spacing w:after="40" w:line="252" w:lineRule="auto"/>
            </w:pPr>
            <w:hyperlink r:id="rId9">
              <w:r>
                <w:rPr>
                  <w:rFonts w:ascii="Calibri" w:hAnsi="Calibri" w:cs="Calibri"/>
                  <w:sz w:val="18"/>
                  <w:color w:val="1155CC"/>
                  <w:u w:val="single"/>
                </w:rPr>
                <w:t xml:space="preserve">e-apem.org — Childhood diabetes in India</w:t>
              </w:r>
            </w:hyperlink>
          </w:p>
          <w:p>
            <w:pPr>
              <w:spacing w:before="60" w:after="40"/>
            </w:pPr>
            <w:r>
              <w:rPr>
                <w:rFonts w:ascii="Calibri" w:hAnsi="Calibri"/>
                <w:b w:val="0"/>
                <w:i w:val="0"/>
                <w:color w:val="5A5A5A"/>
                <w:sz w:val="18"/>
              </w:rPr>
              <w:t>#sexdifference  #ascertainmentbias  #registrydata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households</w:t>
            </w:r>
          </w:p>
        </w:tc>
        <w:tc>
          <w:tcPr>
            <w:tcW w:type="dxa" w:w="4276"/>
            <w:vAlign w:val="top"/>
          </w:tcPr>
          <w:p>
            <w:pPr>
              <w:spacing w:after="60" w:line="259" w:lineRule="auto"/>
            </w:pPr>
            <w:r>
              <w:rPr>
                <w:rFonts w:ascii="Calibri" w:hAnsi="Calibri"/>
                <w:b w:val="0"/>
                <w:i w:val="0"/>
                <w:color w:val="212121"/>
                <w:sz w:val="19"/>
              </w:rPr>
              <w:t>Poverty delays recognition and access to insulin, raising the chance of presenting in ketoacidosis and of catastrophic out-of-pocket spending that perpetuates poor control.</w:t>
            </w:r>
          </w:p>
          <w:p>
            <w:pPr>
              <w:spacing w:after="40" w:before="60" w:line="259" w:lineRule="auto"/>
            </w:pPr>
            <w:r>
              <w:rPr>
                <w:rFonts w:ascii="Calibri" w:hAnsi="Calibri"/>
                <w:b w:val="0"/>
                <w:i w:val="0"/>
                <w:color w:val="212121"/>
                <w:sz w:val="19"/>
              </w:rPr>
              <w:t>About 37% of Indian children with T1DM present in DKA (correlated with lower per-capita income); 38% of affected households face catastrophic health expenditure and 30–50% of income can go to care.</w:t>
            </w:r>
          </w:p>
          <w:p>
            <w:pPr>
              <w:spacing w:after="40" w:line="252" w:lineRule="auto"/>
            </w:pPr>
            <w:hyperlink r:id="rId12">
              <w:r>
                <w:rPr>
                  <w:rFonts w:ascii="Calibri" w:hAnsi="Calibri" w:cs="Calibri"/>
                  <w:sz w:val="18"/>
                  <w:color w:val="1155CC"/>
                  <w:u w:val="single"/>
                </w:rPr>
                <w:t xml:space="preserve">journals.plos.org — Inequities in T1D care, Karnataka</w:t>
              </w:r>
            </w:hyperlink>
          </w:p>
          <w:p>
            <w:pPr>
              <w:spacing w:before="60" w:after="40"/>
            </w:pPr>
            <w:r>
              <w:rPr>
                <w:rFonts w:ascii="Calibri" w:hAnsi="Calibri"/>
                <w:b w:val="0"/>
                <w:i w:val="0"/>
                <w:color w:val="5A5A5A"/>
                <w:sz w:val="18"/>
              </w:rPr>
              <w:t>#socioeconomic  #DKAatdiagnosis  #insulinaccess  #catastrophicexpenditure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Urbanisation</w:t>
            </w:r>
          </w:p>
        </w:tc>
        <w:tc>
          <w:tcPr>
            <w:tcW w:type="dxa" w:w="2160"/>
            <w:vAlign w:val="top"/>
          </w:tcPr>
          <w:p>
            <w:pPr>
              <w:spacing w:after="40" w:before="0" w:line="259" w:lineRule="auto"/>
            </w:pPr>
            <w:r>
              <w:rPr>
                <w:rFonts w:ascii="Calibri" w:hAnsi="Calibri"/>
                <w:b w:val="0"/>
                <w:i w:val="0"/>
                <w:color w:val="212121"/>
                <w:sz w:val="19"/>
              </w:rPr>
              <w:t>North Indian urban children (Karnal)</w:t>
            </w:r>
          </w:p>
        </w:tc>
        <w:tc>
          <w:tcPr>
            <w:tcW w:type="dxa" w:w="4276"/>
            <w:vAlign w:val="top"/>
          </w:tcPr>
          <w:p>
            <w:pPr>
              <w:spacing w:after="60" w:line="259" w:lineRule="auto"/>
            </w:pPr>
            <w:r>
              <w:rPr>
                <w:rFonts w:ascii="Calibri" w:hAnsi="Calibri"/>
                <w:b w:val="0"/>
                <w:i w:val="0"/>
                <w:color w:val="212121"/>
                <w:sz w:val="19"/>
              </w:rPr>
              <w:t>Recorded incidence is far higher in urban than rural India, driven both by genuine environmental/lifestyle differences and by better case ascertainment in cities.</w:t>
            </w:r>
          </w:p>
          <w:p>
            <w:pPr>
              <w:spacing w:after="40" w:before="60" w:line="259" w:lineRule="auto"/>
            </w:pPr>
            <w:r>
              <w:rPr>
                <w:rFonts w:ascii="Calibri" w:hAnsi="Calibri"/>
                <w:b w:val="0"/>
                <w:i w:val="0"/>
                <w:color w:val="212121"/>
                <w:sz w:val="19"/>
              </w:rPr>
              <w:t>Karnal (Haryana): urban 26.6 vs rural 4.27 per 1,00,000; Karnal city 31.9 per 1,00,000.</w:t>
            </w:r>
          </w:p>
          <w:p>
            <w:pPr>
              <w:spacing w:after="40" w:line="252" w:lineRule="auto"/>
            </w:pPr>
            <w:hyperlink r:id="rId9">
              <w:r>
                <w:rPr>
                  <w:rFonts w:ascii="Calibri" w:hAnsi="Calibri" w:cs="Calibri"/>
                  <w:sz w:val="18"/>
                  <w:color w:val="1155CC"/>
                  <w:u w:val="single"/>
                </w:rPr>
                <w:t xml:space="preserve">e-apem.org — Childhood diabetes in India</w:t>
              </w:r>
            </w:hyperlink>
          </w:p>
          <w:p>
            <w:pPr>
              <w:spacing w:before="60" w:after="40"/>
            </w:pPr>
            <w:r>
              <w:rPr>
                <w:rFonts w:ascii="Calibri" w:hAnsi="Calibri"/>
                <w:b w:val="0"/>
                <w:i w:val="0"/>
                <w:color w:val="5A5A5A"/>
                <w:sz w:val="18"/>
              </w:rPr>
              <w:t>#urbanrural  #northindia  #ascertainment  #karnalregistry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Karnataka &amp; South India</w:t>
            </w:r>
          </w:p>
        </w:tc>
        <w:tc>
          <w:tcPr>
            <w:tcW w:type="dxa" w:w="4276"/>
            <w:vAlign w:val="top"/>
          </w:tcPr>
          <w:p>
            <w:pPr>
              <w:spacing w:after="60" w:line="259" w:lineRule="auto"/>
            </w:pPr>
            <w:r>
              <w:rPr>
                <w:rFonts w:ascii="Calibri" w:hAnsi="Calibri"/>
                <w:b w:val="0"/>
                <w:i w:val="0"/>
                <w:color w:val="212121"/>
                <w:sz w:val="19"/>
              </w:rPr>
              <w:t>Incidence varies several-fold across Indian states, reflecting HLA background, environmental exposures and differing registry coverage rather than a single national rate.</w:t>
            </w:r>
          </w:p>
          <w:p>
            <w:pPr>
              <w:spacing w:after="40" w:before="60" w:line="259" w:lineRule="auto"/>
            </w:pPr>
            <w:r>
              <w:rPr>
                <w:rFonts w:ascii="Calibri" w:hAnsi="Calibri"/>
                <w:b w:val="0"/>
                <w:i w:val="0"/>
                <w:color w:val="212121"/>
                <w:sz w:val="19"/>
              </w:rPr>
              <w:t>Prevalence/incidence ranges from ~3.2 per 1,00,000 (Chennai) to 17.9 per 1,00,000 (Karnataka), with a national annual incidence estimate of ~3.8 per 1,00,000.</w:t>
            </w:r>
          </w:p>
          <w:p>
            <w:pPr>
              <w:spacing w:after="40" w:line="252" w:lineRule="auto"/>
            </w:pPr>
            <w:hyperlink r:id="rId12">
              <w:r>
                <w:rPr>
                  <w:rFonts w:ascii="Calibri" w:hAnsi="Calibri" w:cs="Calibri"/>
                  <w:sz w:val="18"/>
                  <w:color w:val="1155CC"/>
                  <w:u w:val="single"/>
                </w:rPr>
                <w:t xml:space="preserve">journals.plos.org — Inequities in T1D care, Karnataka</w:t>
              </w:r>
            </w:hyperlink>
          </w:p>
          <w:p>
            <w:pPr>
              <w:spacing w:before="60" w:after="40"/>
            </w:pPr>
            <w:r>
              <w:rPr>
                <w:rFonts w:ascii="Calibri" w:hAnsi="Calibri"/>
                <w:b w:val="0"/>
                <w:i w:val="0"/>
                <w:color w:val="5A5A5A"/>
                <w:sz w:val="18"/>
              </w:rPr>
              <w:t>#regionalvariation  #HLA  #karnataka  #southindia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youth</w:t>
            </w:r>
          </w:p>
        </w:tc>
        <w:tc>
          <w:tcPr>
            <w:tcW w:type="dxa" w:w="4276"/>
            <w:vAlign w:val="top"/>
          </w:tcPr>
          <w:p>
            <w:pPr>
              <w:spacing w:after="60" w:line="259" w:lineRule="auto"/>
            </w:pPr>
            <w:r>
              <w:rPr>
                <w:rFonts w:ascii="Calibri" w:hAnsi="Calibri"/>
                <w:b w:val="0"/>
                <w:i w:val="0"/>
                <w:color w:val="212121"/>
                <w:sz w:val="19"/>
              </w:rPr>
              <w:t>Physical inactivity does not cause type 1 diabetes but worsens glycaemic control, insulin requirement and long-term cardiovascular risk; conversely, unplanned exercise can precipitate hypoglycaemia.</w:t>
            </w:r>
          </w:p>
          <w:p>
            <w:pPr>
              <w:spacing w:after="40" w:before="60" w:line="259" w:lineRule="auto"/>
            </w:pPr>
            <w:r>
              <w:rPr>
                <w:rFonts w:ascii="Calibri" w:hAnsi="Calibri"/>
                <w:b w:val="0"/>
                <w:i w:val="0"/>
                <w:color w:val="212121"/>
                <w:sz w:val="19"/>
              </w:rPr>
              <w:t>Regular activity improves insulin sensitivity and cardiovascular health, but requires glucose monitoring and carbohydrate/insulin adjustment to avoid exercise-induced hypoglycaemia.</w:t>
            </w:r>
          </w:p>
          <w:p>
            <w:pPr>
              <w:spacing w:before="60" w:after="40"/>
            </w:pPr>
            <w:r>
              <w:rPr>
                <w:rFonts w:ascii="Calibri" w:hAnsi="Calibri"/>
                <w:b w:val="0"/>
                <w:i w:val="0"/>
                <w:color w:val="5A5A5A"/>
                <w:sz w:val="18"/>
              </w:rPr>
              <w:t>#sedentary  #glycaemiccontrol  #exercisehypo  #cardiovascular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Adolescent &amp; young-adult smokers</w:t>
            </w:r>
          </w:p>
        </w:tc>
        <w:tc>
          <w:tcPr>
            <w:tcW w:type="dxa" w:w="4276"/>
            <w:vAlign w:val="top"/>
          </w:tcPr>
          <w:p>
            <w:pPr>
              <w:spacing w:after="60" w:line="259" w:lineRule="auto"/>
            </w:pPr>
            <w:r>
              <w:rPr>
                <w:rFonts w:ascii="Calibri" w:hAnsi="Calibri"/>
                <w:b w:val="0"/>
                <w:i w:val="0"/>
                <w:color w:val="212121"/>
                <w:sz w:val="19"/>
              </w:rPr>
              <w:t>Smoking (active or passive) accelerates the microvascular and macrovascular complications of type 1 diabetes, particularly nephropathy and premature cardiovascular disease.</w:t>
            </w:r>
          </w:p>
          <w:p>
            <w:pPr>
              <w:spacing w:after="40" w:before="60" w:line="259" w:lineRule="auto"/>
            </w:pPr>
            <w:r>
              <w:rPr>
                <w:rFonts w:ascii="Calibri" w:hAnsi="Calibri"/>
                <w:b w:val="0"/>
                <w:i w:val="0"/>
                <w:color w:val="212121"/>
                <w:sz w:val="19"/>
              </w:rPr>
              <w:t>Any tobacco exposure compounds endothelial injury from chronic hyperglycaemia and hastens diabetic kidney and vascular disease.</w:t>
            </w:r>
          </w:p>
          <w:p>
            <w:pPr>
              <w:spacing w:before="60" w:after="40"/>
            </w:pPr>
            <w:r>
              <w:rPr>
                <w:rFonts w:ascii="Calibri" w:hAnsi="Calibri"/>
                <w:b w:val="0"/>
                <w:i w:val="0"/>
                <w:color w:val="5A5A5A"/>
                <w:sz w:val="18"/>
              </w:rPr>
              <w:t>#smoking  #nephropathy  #endothelialdamage  #cvdrisk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Young adults who binge-drink</w:t>
            </w:r>
          </w:p>
        </w:tc>
        <w:tc>
          <w:tcPr>
            <w:tcW w:type="dxa" w:w="4276"/>
            <w:vAlign w:val="top"/>
          </w:tcPr>
          <w:p>
            <w:pPr>
              <w:spacing w:after="60" w:line="259" w:lineRule="auto"/>
            </w:pPr>
            <w:r>
              <w:rPr>
                <w:rFonts w:ascii="Calibri" w:hAnsi="Calibri"/>
                <w:b w:val="0"/>
                <w:i w:val="0"/>
                <w:color w:val="212121"/>
                <w:sz w:val="19"/>
              </w:rPr>
              <w:t>Alcohol suppresses hepatic gluconeogenesis and blunts the counter-regulatory response, causing delayed and sometimes severe hypoglycaemia in insulin-treated patients.</w:t>
            </w:r>
          </w:p>
          <w:p>
            <w:pPr>
              <w:spacing w:after="40" w:before="60" w:line="259" w:lineRule="auto"/>
            </w:pPr>
            <w:r>
              <w:rPr>
                <w:rFonts w:ascii="Calibri" w:hAnsi="Calibri"/>
                <w:b w:val="0"/>
                <w:i w:val="0"/>
                <w:color w:val="212121"/>
                <w:sz w:val="19"/>
              </w:rPr>
              <w:t>Delayed nocturnal hypoglycaemia can occur many hours after drinking, especially without food or glucose monitoring.</w:t>
            </w:r>
          </w:p>
          <w:p>
            <w:pPr>
              <w:spacing w:before="60" w:after="40"/>
            </w:pPr>
            <w:r>
              <w:rPr>
                <w:rFonts w:ascii="Calibri" w:hAnsi="Calibri"/>
                <w:b w:val="0"/>
                <w:i w:val="0"/>
                <w:color w:val="5A5A5A"/>
                <w:sz w:val="18"/>
              </w:rPr>
              <w:t>#alcohol  #delayedhypoglycaemia  #gluconeogenesis  #nocturnal</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Early-life feeding</w:t>
            </w:r>
          </w:p>
        </w:tc>
        <w:tc>
          <w:tcPr>
            <w:tcW w:type="dxa" w:w="2160"/>
            <w:vAlign w:val="top"/>
          </w:tcPr>
          <w:p>
            <w:pPr>
              <w:spacing w:after="40" w:before="0" w:line="259" w:lineRule="auto"/>
            </w:pPr>
            <w:r>
              <w:rPr>
                <w:rFonts w:ascii="Calibri" w:hAnsi="Calibri"/>
                <w:b w:val="0"/>
                <w:i w:val="0"/>
                <w:color w:val="212121"/>
                <w:sz w:val="19"/>
              </w:rPr>
              <w:t>Infants with early cow's-milk exposure</w:t>
            </w:r>
          </w:p>
        </w:tc>
        <w:tc>
          <w:tcPr>
            <w:tcW w:type="dxa" w:w="4276"/>
            <w:vAlign w:val="top"/>
          </w:tcPr>
          <w:p>
            <w:pPr>
              <w:spacing w:after="60" w:line="259" w:lineRule="auto"/>
            </w:pPr>
            <w:r>
              <w:rPr>
                <w:rFonts w:ascii="Calibri" w:hAnsi="Calibri"/>
                <w:b w:val="0"/>
                <w:i w:val="0"/>
                <w:color w:val="212121"/>
                <w:sz w:val="19"/>
              </w:rPr>
              <w:t>Short breastfeeding and early introduction of cow's-milk protein or cereals have been associated with islet autoimmunity in genetically susceptible infants, though evidence is not definitive.</w:t>
            </w:r>
          </w:p>
          <w:p>
            <w:pPr>
              <w:spacing w:after="40" w:before="60" w:line="259" w:lineRule="auto"/>
            </w:pPr>
            <w:r>
              <w:rPr>
                <w:rFonts w:ascii="Calibri" w:hAnsi="Calibri"/>
                <w:b w:val="0"/>
                <w:i w:val="0"/>
                <w:color w:val="212121"/>
                <w:sz w:val="19"/>
              </w:rPr>
              <w:t>Early dietary exposures are among the environmental triggers hypothesised to initiate autoimmunity in at-risk children.</w:t>
            </w:r>
          </w:p>
          <w:p>
            <w:pPr>
              <w:spacing w:before="60" w:after="40"/>
            </w:pPr>
            <w:r>
              <w:rPr>
                <w:rFonts w:ascii="Calibri" w:hAnsi="Calibri"/>
                <w:b w:val="0"/>
                <w:i w:val="0"/>
                <w:color w:val="5A5A5A"/>
                <w:sz w:val="18"/>
              </w:rPr>
              <w:t>#infantfeeding  #cowsmilk  #breastfeeding  #islettrigger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Vitamin D status</w:t>
            </w:r>
          </w:p>
        </w:tc>
        <w:tc>
          <w:tcPr>
            <w:tcW w:type="dxa" w:w="2160"/>
            <w:vAlign w:val="top"/>
          </w:tcPr>
          <w:p>
            <w:pPr>
              <w:spacing w:after="40" w:before="0" w:line="259" w:lineRule="auto"/>
            </w:pPr>
            <w:r>
              <w:rPr>
                <w:rFonts w:ascii="Calibri" w:hAnsi="Calibri"/>
                <w:b w:val="0"/>
                <w:i w:val="0"/>
                <w:color w:val="212121"/>
                <w:sz w:val="19"/>
              </w:rPr>
              <w:t>Vitamin-D deficient children</w:t>
            </w:r>
          </w:p>
        </w:tc>
        <w:tc>
          <w:tcPr>
            <w:tcW w:type="dxa" w:w="4276"/>
            <w:vAlign w:val="top"/>
          </w:tcPr>
          <w:p>
            <w:pPr>
              <w:spacing w:after="60" w:line="259" w:lineRule="auto"/>
            </w:pPr>
            <w:r>
              <w:rPr>
                <w:rFonts w:ascii="Calibri" w:hAnsi="Calibri"/>
                <w:b w:val="0"/>
                <w:i w:val="0"/>
                <w:color w:val="212121"/>
                <w:sz w:val="19"/>
              </w:rPr>
              <w:t>Low vitamin D has immunomodulatory effects and is over-represented at diagnosis, suggesting a contributory (though not proven causal) role in autoimmune β-cell injury.</w:t>
            </w:r>
          </w:p>
          <w:p>
            <w:pPr>
              <w:spacing w:after="40" w:before="60" w:line="259" w:lineRule="auto"/>
            </w:pPr>
            <w:r>
              <w:rPr>
                <w:rFonts w:ascii="Calibri" w:hAnsi="Calibri"/>
                <w:b w:val="0"/>
                <w:i w:val="0"/>
                <w:color w:val="212121"/>
                <w:sz w:val="19"/>
              </w:rPr>
              <w:t>58% of newly diagnosed Indian children with T1DM were vitamin-D deficient versus 32% of controls.</w:t>
            </w:r>
          </w:p>
          <w:p>
            <w:pPr>
              <w:spacing w:after="40" w:line="252" w:lineRule="auto"/>
            </w:pPr>
            <w:hyperlink r:id="rId9">
              <w:r>
                <w:rPr>
                  <w:rFonts w:ascii="Calibri" w:hAnsi="Calibri" w:cs="Calibri"/>
                  <w:sz w:val="18"/>
                  <w:color w:val="1155CC"/>
                  <w:u w:val="single"/>
                </w:rPr>
                <w:t xml:space="preserve">e-apem.org — Childhood diabetes in India</w:t>
              </w:r>
            </w:hyperlink>
          </w:p>
          <w:p>
            <w:pPr>
              <w:spacing w:before="60" w:after="40"/>
            </w:pPr>
            <w:r>
              <w:rPr>
                <w:rFonts w:ascii="Calibri" w:hAnsi="Calibri"/>
                <w:b w:val="0"/>
                <w:i w:val="0"/>
                <w:color w:val="5A5A5A"/>
                <w:sz w:val="18"/>
              </w:rPr>
              <w:t>#vitaminD  #immunomodulation  #deficiency  #newlydiagnosed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 glycaemic-load diet</w:t>
            </w:r>
          </w:p>
        </w:tc>
        <w:tc>
          <w:tcPr>
            <w:tcW w:type="dxa" w:w="2160"/>
            <w:vAlign w:val="top"/>
          </w:tcPr>
          <w:p>
            <w:pPr>
              <w:spacing w:after="40" w:before="0" w:line="259" w:lineRule="auto"/>
            </w:pPr>
            <w:r>
              <w:rPr>
                <w:rFonts w:ascii="Calibri" w:hAnsi="Calibri"/>
                <w:b w:val="0"/>
                <w:i w:val="0"/>
                <w:color w:val="212121"/>
                <w:sz w:val="19"/>
              </w:rPr>
              <w:t>Youth on refined-carbohydrate diets</w:t>
            </w:r>
          </w:p>
        </w:tc>
        <w:tc>
          <w:tcPr>
            <w:tcW w:type="dxa" w:w="4276"/>
            <w:vAlign w:val="top"/>
          </w:tcPr>
          <w:p>
            <w:pPr>
              <w:spacing w:after="60" w:line="259" w:lineRule="auto"/>
            </w:pPr>
            <w:r>
              <w:rPr>
                <w:rFonts w:ascii="Calibri" w:hAnsi="Calibri"/>
                <w:b w:val="0"/>
                <w:i w:val="0"/>
                <w:color w:val="212121"/>
                <w:sz w:val="19"/>
              </w:rPr>
              <w:t>High-glycaemic-index staples and sugar-sweetened beverages sharpen post-prandial glucose excursions and complicate insulin dosing, worsening glycaemic variability in established disease.</w:t>
            </w:r>
          </w:p>
          <w:p>
            <w:pPr>
              <w:spacing w:after="40" w:before="60" w:line="259" w:lineRule="auto"/>
            </w:pPr>
            <w:r>
              <w:rPr>
                <w:rFonts w:ascii="Calibri" w:hAnsi="Calibri"/>
                <w:b w:val="0"/>
                <w:i w:val="0"/>
                <w:color w:val="212121"/>
                <w:sz w:val="19"/>
              </w:rPr>
              <w:t>Carbohydrate counting and lower-glycaemic choices reduce post-meal spikes and insulin mismatch.</w:t>
            </w:r>
          </w:p>
          <w:p>
            <w:pPr>
              <w:spacing w:before="60" w:after="40"/>
            </w:pPr>
            <w:r>
              <w:rPr>
                <w:rFonts w:ascii="Calibri" w:hAnsi="Calibri"/>
                <w:b w:val="0"/>
                <w:i w:val="0"/>
                <w:color w:val="5A5A5A"/>
                <w:sz w:val="18"/>
              </w:rPr>
              <w:t>#glycaemicload  #carbcounting  #postprandial  #SSB</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a T1DM patient</w:t>
            </w:r>
          </w:p>
        </w:tc>
        <w:tc>
          <w:tcPr>
            <w:tcW w:type="dxa" w:w="4276"/>
            <w:vAlign w:val="top"/>
          </w:tcPr>
          <w:p>
            <w:pPr>
              <w:spacing w:after="60" w:line="259" w:lineRule="auto"/>
            </w:pPr>
            <w:r>
              <w:rPr>
                <w:rFonts w:ascii="Calibri" w:hAnsi="Calibri"/>
                <w:b w:val="0"/>
                <w:i w:val="0"/>
                <w:color w:val="212121"/>
                <w:sz w:val="19"/>
              </w:rPr>
              <w:t>Inherited HLA susceptibility clusters in families; a sibling or parent with type 1 diabetes markedly raises risk, warranting vigilance for early symptoms.</w:t>
            </w:r>
          </w:p>
          <w:p>
            <w:pPr>
              <w:spacing w:after="40" w:before="60" w:line="259" w:lineRule="auto"/>
            </w:pPr>
            <w:r>
              <w:rPr>
                <w:rFonts w:ascii="Calibri" w:hAnsi="Calibri"/>
                <w:b w:val="0"/>
                <w:i w:val="0"/>
                <w:color w:val="212121"/>
                <w:sz w:val="19"/>
              </w:rPr>
              <w:t>Despite heritable risk, roughly 85–90% of newly diagnosed children have no affected first-degree relative.</w:t>
            </w:r>
          </w:p>
          <w:p>
            <w:pPr>
              <w:spacing w:before="60" w:after="40"/>
            </w:pPr>
            <w:r>
              <w:rPr>
                <w:rFonts w:ascii="Calibri" w:hAnsi="Calibri"/>
                <w:b w:val="0"/>
                <w:i w:val="0"/>
                <w:color w:val="5A5A5A"/>
                <w:sz w:val="18"/>
              </w:rPr>
              <w:t>#familyhistory  #heritability  #siblingrisk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HLA haplotype</w:t>
            </w:r>
          </w:p>
        </w:tc>
        <w:tc>
          <w:tcPr>
            <w:tcW w:type="dxa" w:w="2160"/>
            <w:vAlign w:val="top"/>
          </w:tcPr>
          <w:p>
            <w:pPr>
              <w:spacing w:after="40" w:before="0" w:line="259" w:lineRule="auto"/>
            </w:pPr>
            <w:r>
              <w:rPr>
                <w:rFonts w:ascii="Calibri" w:hAnsi="Calibri"/>
                <w:b w:val="0"/>
                <w:i w:val="0"/>
                <w:color w:val="212121"/>
                <w:sz w:val="19"/>
              </w:rPr>
              <w:t>Carriers of HLA DR3-DQ2 / DR4-DQ8</w:t>
            </w:r>
          </w:p>
        </w:tc>
        <w:tc>
          <w:tcPr>
            <w:tcW w:type="dxa" w:w="4276"/>
            <w:vAlign w:val="top"/>
          </w:tcPr>
          <w:p>
            <w:pPr>
              <w:spacing w:after="60" w:line="259" w:lineRule="auto"/>
            </w:pPr>
            <w:r>
              <w:rPr>
                <w:rFonts w:ascii="Calibri" w:hAnsi="Calibri"/>
                <w:b w:val="0"/>
                <w:i w:val="0"/>
                <w:color w:val="212121"/>
                <w:sz w:val="19"/>
              </w:rPr>
              <w:t>The HLA class II region is the strongest genetic determinant; DR3-DQ2 and DR4-DQ8 haplotypes (especially in combination) confer the highest susceptibility to islet autoimmunity.</w:t>
            </w:r>
          </w:p>
          <w:p>
            <w:pPr>
              <w:spacing w:after="40" w:before="60" w:line="259" w:lineRule="auto"/>
            </w:pPr>
            <w:r>
              <w:rPr>
                <w:rFonts w:ascii="Calibri" w:hAnsi="Calibri"/>
                <w:b w:val="0"/>
                <w:i w:val="0"/>
                <w:color w:val="212121"/>
                <w:sz w:val="19"/>
              </w:rPr>
              <w:t>HLA class II haplotypes account for approximately half of the inherited risk of type 1 diabetes.</w:t>
            </w:r>
          </w:p>
          <w:p>
            <w:pPr>
              <w:spacing w:before="60" w:after="40"/>
            </w:pPr>
            <w:r>
              <w:rPr>
                <w:rFonts w:ascii="Calibri" w:hAnsi="Calibri"/>
                <w:b w:val="0"/>
                <w:i w:val="0"/>
                <w:color w:val="5A5A5A"/>
                <w:sz w:val="18"/>
              </w:rPr>
              <w:t>#HLA  #DR3DR4  #DQ8  #geneticrisk</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Autoimmune thyroid disease</w:t>
            </w:r>
          </w:p>
        </w:tc>
        <w:tc>
          <w:tcPr>
            <w:tcW w:type="dxa" w:w="2160"/>
            <w:vAlign w:val="top"/>
          </w:tcPr>
          <w:p>
            <w:pPr>
              <w:spacing w:after="40" w:before="0" w:line="259" w:lineRule="auto"/>
            </w:pPr>
            <w:r>
              <w:rPr>
                <w:rFonts w:ascii="Calibri" w:hAnsi="Calibri"/>
                <w:b w:val="0"/>
                <w:i w:val="0"/>
                <w:color w:val="212121"/>
                <w:sz w:val="19"/>
              </w:rPr>
              <w:t>T1DM patients (esp. girls)</w:t>
            </w:r>
          </w:p>
        </w:tc>
        <w:tc>
          <w:tcPr>
            <w:tcW w:type="dxa" w:w="4276"/>
            <w:vAlign w:val="top"/>
          </w:tcPr>
          <w:p>
            <w:pPr>
              <w:spacing w:after="60" w:line="259" w:lineRule="auto"/>
            </w:pPr>
            <w:r>
              <w:rPr>
                <w:rFonts w:ascii="Calibri" w:hAnsi="Calibri"/>
                <w:b w:val="0"/>
                <w:i w:val="0"/>
                <w:color w:val="212121"/>
                <w:sz w:val="19"/>
              </w:rPr>
              <w:t>Type 1 diabetes clusters with other organ-specific autoimmunity; Hashimoto thyroiditis and hypothyroidism are the commonest associations and merit periodic screening.</w:t>
            </w:r>
          </w:p>
          <w:p>
            <w:pPr>
              <w:spacing w:after="40" w:before="60" w:line="259" w:lineRule="auto"/>
            </w:pPr>
            <w:r>
              <w:rPr>
                <w:rFonts w:ascii="Calibri" w:hAnsi="Calibri"/>
                <w:b w:val="0"/>
                <w:i w:val="0"/>
                <w:color w:val="212121"/>
                <w:sz w:val="19"/>
              </w:rPr>
              <w:t>In a Karnal cohort, hypothyroidism was found in 26.1% of girls and 4.2% of boys with T1DM.</w:t>
            </w:r>
          </w:p>
          <w:p>
            <w:pPr>
              <w:spacing w:after="40" w:line="252" w:lineRule="auto"/>
            </w:pPr>
            <w:hyperlink r:id="rId9">
              <w:r>
                <w:rPr>
                  <w:rFonts w:ascii="Calibri" w:hAnsi="Calibri" w:cs="Calibri"/>
                  <w:sz w:val="18"/>
                  <w:color w:val="1155CC"/>
                  <w:u w:val="single"/>
                </w:rPr>
                <w:t xml:space="preserve">e-apem.org — Childhood diabetes in India</w:t>
              </w:r>
            </w:hyperlink>
          </w:p>
          <w:p>
            <w:pPr>
              <w:spacing w:before="60" w:after="40"/>
            </w:pPr>
            <w:r>
              <w:rPr>
                <w:rFonts w:ascii="Calibri" w:hAnsi="Calibri"/>
                <w:b w:val="0"/>
                <w:i w:val="0"/>
                <w:color w:val="5A5A5A"/>
                <w:sz w:val="18"/>
              </w:rPr>
              <w:t>#autoimmunethyroid  #hashimoto  #hypothyroidism  #polyglandular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Celiac disease</w:t>
            </w:r>
          </w:p>
        </w:tc>
        <w:tc>
          <w:tcPr>
            <w:tcW w:type="dxa" w:w="2160"/>
            <w:vAlign w:val="top"/>
          </w:tcPr>
          <w:p>
            <w:pPr>
              <w:spacing w:after="40" w:before="0" w:line="259" w:lineRule="auto"/>
            </w:pPr>
            <w:r>
              <w:rPr>
                <w:rFonts w:ascii="Calibri" w:hAnsi="Calibri"/>
                <w:b w:val="0"/>
                <w:i w:val="0"/>
                <w:color w:val="212121"/>
                <w:sz w:val="19"/>
              </w:rPr>
              <w:t>T1DM patients with GI/growth symptoms</w:t>
            </w:r>
          </w:p>
        </w:tc>
        <w:tc>
          <w:tcPr>
            <w:tcW w:type="dxa" w:w="4276"/>
            <w:vAlign w:val="top"/>
          </w:tcPr>
          <w:p>
            <w:pPr>
              <w:spacing w:after="60" w:line="259" w:lineRule="auto"/>
            </w:pPr>
            <w:r>
              <w:rPr>
                <w:rFonts w:ascii="Calibri" w:hAnsi="Calibri"/>
                <w:b w:val="0"/>
                <w:i w:val="0"/>
                <w:color w:val="212121"/>
                <w:sz w:val="19"/>
              </w:rPr>
              <w:t>Shared HLA-DQ2/DQ8 susceptibility links type 1 diabetes and celiac disease; coexisting celiac disease can cause erratic glycaemia, hypoglycaemia, short stature and anaemia.</w:t>
            </w:r>
          </w:p>
          <w:p>
            <w:pPr>
              <w:spacing w:after="40" w:before="60" w:line="259" w:lineRule="auto"/>
            </w:pPr>
            <w:r>
              <w:rPr>
                <w:rFonts w:ascii="Calibri" w:hAnsi="Calibri"/>
                <w:b w:val="0"/>
                <w:i w:val="0"/>
                <w:color w:val="212121"/>
                <w:sz w:val="19"/>
              </w:rPr>
              <w:t>Celiac disease was found in 11.1% of a Chandigarh cohort of 189 children with type 1 diabetes; reported T1DM–celiac coexistence ranges widely across populations.</w:t>
            </w:r>
          </w:p>
          <w:p>
            <w:pPr>
              <w:spacing w:after="40" w:line="252" w:lineRule="auto"/>
            </w:pPr>
            <w:hyperlink r:id="rId13">
              <w:r>
                <w:rPr>
                  <w:rFonts w:ascii="Calibri" w:hAnsi="Calibri" w:cs="Calibri"/>
                  <w:sz w:val="18"/>
                  <w:color w:val="1155CC"/>
                  <w:u w:val="single"/>
                </w:rPr>
                <w:t xml:space="preserve">ijmr.org.in — Celiac disease &amp; type 1 diabetes</w:t>
              </w:r>
            </w:hyperlink>
          </w:p>
          <w:p>
            <w:pPr>
              <w:spacing w:before="60" w:after="40"/>
            </w:pPr>
            <w:r>
              <w:rPr>
                <w:rFonts w:ascii="Calibri" w:hAnsi="Calibri"/>
                <w:b w:val="0"/>
                <w:i w:val="0"/>
                <w:color w:val="5A5A5A"/>
                <w:sz w:val="18"/>
              </w:rPr>
              <w:t>#celiac  #antitTG  #HLADQ2  #shortstature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Diabetic retinopathy / hypertension</w:t>
            </w:r>
          </w:p>
        </w:tc>
        <w:tc>
          <w:tcPr>
            <w:tcW w:type="dxa" w:w="2160"/>
            <w:vAlign w:val="top"/>
          </w:tcPr>
          <w:p>
            <w:pPr>
              <w:spacing w:after="40" w:before="0" w:line="259" w:lineRule="auto"/>
            </w:pPr>
            <w:r>
              <w:rPr>
                <w:rFonts w:ascii="Calibri" w:hAnsi="Calibri"/>
                <w:b w:val="0"/>
                <w:i w:val="0"/>
                <w:color w:val="212121"/>
                <w:sz w:val="19"/>
              </w:rPr>
              <w:t>Youth with longer duration &amp; raised BP</w:t>
            </w:r>
          </w:p>
        </w:tc>
        <w:tc>
          <w:tcPr>
            <w:tcW w:type="dxa" w:w="4276"/>
            <w:vAlign w:val="top"/>
          </w:tcPr>
          <w:p>
            <w:pPr>
              <w:spacing w:after="60" w:line="259" w:lineRule="auto"/>
            </w:pPr>
            <w:r>
              <w:rPr>
                <w:rFonts w:ascii="Calibri" w:hAnsi="Calibri"/>
                <w:b w:val="0"/>
                <w:i w:val="0"/>
                <w:color w:val="212121"/>
                <w:sz w:val="19"/>
              </w:rPr>
              <w:t>Chronic hyperglycaemia and coexisting hypertension damage the retinal microvasculature; even in children early non-proliferative retinopathy appears with increasing duration and blood pressure.</w:t>
            </w:r>
          </w:p>
          <w:p>
            <w:pPr>
              <w:spacing w:after="40" w:before="60" w:line="259" w:lineRule="auto"/>
            </w:pPr>
            <w:r>
              <w:rPr>
                <w:rFonts w:ascii="Calibri" w:hAnsi="Calibri"/>
                <w:b w:val="0"/>
                <w:i w:val="0"/>
                <w:color w:val="212121"/>
                <w:sz w:val="19"/>
              </w:rPr>
              <w:t>Diabetic retinopathy in 6.4% of 882 Indian children/youth with T1DM (mean duration 5.4 yr, HbA1c 10.1%); hypertension raised retinopathy odds 4.5-fold.</w:t>
            </w:r>
          </w:p>
          <w:p>
            <w:pPr>
              <w:spacing w:after="40" w:line="252" w:lineRule="auto"/>
            </w:pPr>
            <w:hyperlink r:id="rId14">
              <w:r>
                <w:rPr>
                  <w:rFonts w:ascii="Calibri" w:hAnsi="Calibri" w:cs="Calibri"/>
                  <w:sz w:val="18"/>
                  <w:color w:val="1155CC"/>
                  <w:u w:val="single"/>
                </w:rPr>
                <w:t xml:space="preserve">journals.sagepub.com — Retinopathy in Indian T1D youth</w:t>
              </w:r>
            </w:hyperlink>
          </w:p>
          <w:p>
            <w:pPr>
              <w:spacing w:before="60" w:after="40"/>
            </w:pPr>
            <w:r>
              <w:rPr>
                <w:rFonts w:ascii="Calibri" w:hAnsi="Calibri"/>
                <w:b w:val="0"/>
                <w:i w:val="0"/>
                <w:color w:val="5A5A5A"/>
                <w:sz w:val="18"/>
              </w:rPr>
              <w:t>#retinopathy  #hypertension  #microvascular  #duration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Exercise does not prevent type 1 diabetes but improves insulin sensitivity, lipid profile and cardiovascular health and supports time-in-range; however, aerobic activity can precipitate hypoglycaemia, requiring glucose monitoring and insulin/carbohydrate adjustment.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Carbohydrate counting and matching insulin to intake are central to glycaemic control; separately, early-life diet (short breastfeeding, early cow's-milk protein) is a hypothesised environmental trigger of islet autoimmunity.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Short or poor-quality sleep raises counter-regulatory hormones and glycaemic variability and increases the risk of unrecognised nocturnal hypoglycaemia.</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Active and passive smoking accelerate diabetic nephropathy and premature cardiovascular disease and worsen insulin resistance layered on absolute insulin deficiency.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inhibits hepatic gluconeogenesis and blunts hypoglycaemia awareness, causing delayed (often nocturnal) and potentially severe hypoglycaemia in insulin users.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Diabetes distress, depression and disordered eating (including insulin omission/'diabulimia') are common in adolescents and strongly worsen glycaemic control and DKA risk.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limits haemoconcentration during hyperglycaemia and is a key first step in preventing and managing dehydration and ketoacidosis on sick days.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minor, inconsistent effects on glucose and may blunt the symptomatic awareness of hypoglycaemia in some individuals; overall impact is small.</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Injection-site rotation and foot/skin hygiene reduce lipohypertrophy, infections and delayed wound healing; poor hygiene contributes to skin and soft-tissue infections.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Intercurrent infections and other physiological stress raise counter-regulatory hormones and insulin requirement and are the commonest precipitants of ketoacidosis; viral infection may also trigger initial onset.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(percentile)</w:t>
            </w:r>
          </w:p>
        </w:tc>
        <w:tc>
          <w:tcPr>
            <w:tcW w:type="dxa" w:w="1655"/>
            <w:vAlign w:val="top"/>
          </w:tcPr>
          <w:p>
            <w:pPr>
              <w:spacing w:after="40" w:before="0" w:line="259" w:lineRule="auto"/>
            </w:pPr>
            <w:r>
              <w:rPr>
                <w:rFonts w:ascii="Calibri" w:hAnsi="Calibri"/>
                <w:b w:val="0"/>
                <w:i w:val="0"/>
                <w:color w:val="212121"/>
                <w:sz w:val="19"/>
              </w:rPr>
              <w:t>Children &amp; adolescents</w:t>
            </w:r>
          </w:p>
        </w:tc>
        <w:tc>
          <w:tcPr>
            <w:tcW w:type="dxa" w:w="1512"/>
            <w:vAlign w:val="top"/>
          </w:tcPr>
          <w:p>
            <w:pPr>
              <w:spacing w:after="40" w:before="0" w:line="259" w:lineRule="auto"/>
            </w:pPr>
            <w:r>
              <w:rPr>
                <w:rFonts w:ascii="Calibri" w:hAnsi="Calibri"/>
                <w:b w:val="0"/>
                <w:i w:val="0"/>
                <w:color w:val="212121"/>
                <w:sz w:val="19"/>
              </w:rPr>
              <w:t>5th–85th percentile for age/sex</w:t>
            </w:r>
          </w:p>
        </w:tc>
        <w:tc>
          <w:tcPr>
            <w:tcW w:type="dxa" w:w="1512"/>
            <w:vAlign w:val="top"/>
          </w:tcPr>
          <w:p>
            <w:pPr>
              <w:spacing w:after="40" w:before="0" w:line="259" w:lineRule="auto"/>
            </w:pPr>
            <w:r>
              <w:rPr>
                <w:rFonts w:ascii="Calibri" w:hAnsi="Calibri"/>
                <w:b w:val="0"/>
                <w:i w:val="0"/>
                <w:color w:val="212121"/>
                <w:sz w:val="19"/>
              </w:rPr>
              <w:t>&lt; 5th (underweight/poor control) or &gt; 85th ('double diabetes')</w:t>
            </w:r>
          </w:p>
        </w:tc>
        <w:tc>
          <w:tcPr>
            <w:tcW w:type="dxa" w:w="1468"/>
            <w:vAlign w:val="top"/>
          </w:tcPr>
          <w:p>
            <w:pPr>
              <w:spacing w:after="40" w:before="0" w:line="259" w:lineRule="auto"/>
            </w:pPr>
            <w:r>
              <w:rPr>
                <w:rFonts w:ascii="Calibri" w:hAnsi="Calibri"/>
                <w:b w:val="0"/>
                <w:i w:val="0"/>
                <w:color w:val="212121"/>
                <w:sz w:val="19"/>
              </w:rPr>
              <w:t>Both underweight from poor control and overweight (insulin resistance) worsen outcomes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w:t>
            </w:r>
          </w:p>
        </w:tc>
        <w:tc>
          <w:tcPr>
            <w:tcW w:type="dxa" w:w="1655"/>
            <w:vAlign w:val="top"/>
          </w:tcPr>
          <w:p>
            <w:pPr>
              <w:spacing w:after="40" w:before="0" w:line="259" w:lineRule="auto"/>
            </w:pPr>
            <w:r>
              <w:rPr>
                <w:rFonts w:ascii="Calibri" w:hAnsi="Calibri"/>
                <w:b w:val="0"/>
                <w:i w:val="0"/>
                <w:color w:val="212121"/>
                <w:sz w:val="19"/>
              </w:rPr>
              <w:t>Children &amp; adolescents</w:t>
            </w:r>
          </w:p>
        </w:tc>
        <w:tc>
          <w:tcPr>
            <w:tcW w:type="dxa" w:w="1512"/>
            <w:vAlign w:val="top"/>
          </w:tcPr>
          <w:p>
            <w:pPr>
              <w:spacing w:after="40" w:before="0" w:line="259" w:lineRule="auto"/>
            </w:pPr>
            <w:r>
              <w:rPr>
                <w:rFonts w:ascii="Calibri" w:hAnsi="Calibri"/>
                <w:b w:val="0"/>
                <w:i w:val="0"/>
                <w:color w:val="212121"/>
                <w:sz w:val="19"/>
              </w:rPr>
              <w:t>≥ 60 min/day</w:t>
            </w:r>
          </w:p>
        </w:tc>
        <w:tc>
          <w:tcPr>
            <w:tcW w:type="dxa" w:w="1512"/>
            <w:vAlign w:val="top"/>
          </w:tcPr>
          <w:p>
            <w:pPr>
              <w:spacing w:after="40" w:before="0" w:line="259" w:lineRule="auto"/>
            </w:pPr>
            <w:r>
              <w:rPr>
                <w:rFonts w:ascii="Calibri" w:hAnsi="Calibri"/>
                <w:b w:val="0"/>
                <w:i w:val="0"/>
                <w:color w:val="212121"/>
                <w:sz w:val="19"/>
              </w:rPr>
              <w:t>&lt; 60 min/day</w:t>
            </w:r>
          </w:p>
        </w:tc>
        <w:tc>
          <w:tcPr>
            <w:tcW w:type="dxa" w:w="1468"/>
            <w:vAlign w:val="top"/>
          </w:tcPr>
          <w:p>
            <w:pPr>
              <w:spacing w:after="40" w:before="0" w:line="259" w:lineRule="auto"/>
            </w:pPr>
            <w:r>
              <w:rPr>
                <w:rFonts w:ascii="Calibri" w:hAnsi="Calibri"/>
                <w:b w:val="0"/>
                <w:i w:val="0"/>
                <w:color w:val="212121"/>
                <w:sz w:val="19"/>
              </w:rPr>
              <w:t>Improves insulin sensitivity; check glucose before/after to avoid exercise hypoglycaemia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pressure (percentile)</w:t>
            </w:r>
          </w:p>
        </w:tc>
        <w:tc>
          <w:tcPr>
            <w:tcW w:type="dxa" w:w="1655"/>
            <w:vAlign w:val="top"/>
          </w:tcPr>
          <w:p>
            <w:pPr>
              <w:spacing w:after="40" w:before="0" w:line="259" w:lineRule="auto"/>
            </w:pPr>
            <w:r>
              <w:rPr>
                <w:rFonts w:ascii="Calibri" w:hAnsi="Calibri"/>
                <w:b w:val="0"/>
                <w:i w:val="0"/>
                <w:color w:val="212121"/>
                <w:sz w:val="19"/>
              </w:rPr>
              <w:t>Children &amp; youth with T1DM</w:t>
            </w:r>
          </w:p>
        </w:tc>
        <w:tc>
          <w:tcPr>
            <w:tcW w:type="dxa" w:w="1512"/>
            <w:vAlign w:val="top"/>
          </w:tcPr>
          <w:p>
            <w:pPr>
              <w:spacing w:after="40" w:before="0" w:line="259" w:lineRule="auto"/>
            </w:pPr>
            <w:r>
              <w:rPr>
                <w:rFonts w:ascii="Calibri" w:hAnsi="Calibri"/>
                <w:b w:val="0"/>
                <w:i w:val="0"/>
                <w:color w:val="212121"/>
                <w:sz w:val="19"/>
              </w:rPr>
              <w:t>&lt; 90th percentile for age/sex/height</w:t>
            </w:r>
          </w:p>
        </w:tc>
        <w:tc>
          <w:tcPr>
            <w:tcW w:type="dxa" w:w="1512"/>
            <w:vAlign w:val="top"/>
          </w:tcPr>
          <w:p>
            <w:pPr>
              <w:spacing w:after="40" w:before="0" w:line="259" w:lineRule="auto"/>
            </w:pPr>
            <w:r>
              <w:rPr>
                <w:rFonts w:ascii="Calibri" w:hAnsi="Calibri"/>
                <w:b w:val="0"/>
                <w:i w:val="0"/>
                <w:color w:val="212121"/>
                <w:sz w:val="19"/>
              </w:rPr>
              <w:t>≥ 95th percentile</w:t>
            </w:r>
          </w:p>
        </w:tc>
        <w:tc>
          <w:tcPr>
            <w:tcW w:type="dxa" w:w="1468"/>
            <w:vAlign w:val="top"/>
          </w:tcPr>
          <w:p>
            <w:pPr>
              <w:spacing w:after="60" w:line="259" w:lineRule="auto"/>
            </w:pPr>
            <w:r>
              <w:rPr>
                <w:rFonts w:ascii="Calibri" w:hAnsi="Calibri"/>
                <w:b w:val="0"/>
                <w:i w:val="0"/>
                <w:color w:val="212121"/>
                <w:sz w:val="19"/>
              </w:rPr>
              <w:t>Hypertension raised diabetic-retinopathy odds ~4.5-fold in Indian T1D youth</w:t>
            </w:r>
          </w:p>
          <w:p>
            <w:pPr>
              <w:spacing w:after="40" w:line="252" w:lineRule="auto"/>
            </w:pPr>
            <w:hyperlink r:id="rId14">
              <w:r>
                <w:rPr>
                  <w:rFonts w:ascii="Calibri" w:hAnsi="Calibri" w:cs="Calibri"/>
                  <w:sz w:val="18"/>
                  <w:color w:val="1155CC"/>
                  <w:u w:val="single"/>
                </w:rPr>
                <w:t xml:space="preserve">https://journals.sagepub.com/doi/10.1177/11795514241275921</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w:t>
            </w:r>
          </w:p>
        </w:tc>
        <w:tc>
          <w:tcPr>
            <w:tcW w:type="dxa" w:w="1655"/>
            <w:vAlign w:val="top"/>
          </w:tcPr>
          <w:p>
            <w:pPr>
              <w:spacing w:after="40" w:before="0" w:line="259" w:lineRule="auto"/>
            </w:pPr>
            <w:r>
              <w:rPr>
                <w:rFonts w:ascii="Calibri" w:hAnsi="Calibri"/>
                <w:b w:val="0"/>
                <w:i w:val="0"/>
                <w:color w:val="212121"/>
                <w:sz w:val="19"/>
              </w:rPr>
              <w:t>Children, adolescents on insulin</w:t>
            </w:r>
          </w:p>
        </w:tc>
        <w:tc>
          <w:tcPr>
            <w:tcW w:type="dxa" w:w="1512"/>
            <w:vAlign w:val="top"/>
          </w:tcPr>
          <w:p>
            <w:pPr>
              <w:spacing w:after="40" w:before="0" w:line="259" w:lineRule="auto"/>
            </w:pPr>
            <w:r>
              <w:rPr>
                <w:rFonts w:ascii="Calibri" w:hAnsi="Calibri"/>
                <w:b w:val="0"/>
                <w:i w:val="0"/>
                <w:color w:val="212121"/>
                <w:sz w:val="19"/>
              </w:rPr>
              <w:t>&lt; 7.0 % (individualised)</w:t>
            </w:r>
          </w:p>
        </w:tc>
        <w:tc>
          <w:tcPr>
            <w:tcW w:type="dxa" w:w="1512"/>
            <w:vAlign w:val="top"/>
          </w:tcPr>
          <w:p>
            <w:pPr>
              <w:spacing w:after="40" w:before="0" w:line="259" w:lineRule="auto"/>
            </w:pPr>
            <w:r>
              <w:rPr>
                <w:rFonts w:ascii="Calibri" w:hAnsi="Calibri"/>
                <w:b w:val="0"/>
                <w:i w:val="0"/>
                <w:color w:val="212121"/>
                <w:sz w:val="19"/>
              </w:rPr>
              <w:t>≥ 7.5 %</w:t>
            </w:r>
          </w:p>
        </w:tc>
        <w:tc>
          <w:tcPr>
            <w:tcW w:type="dxa" w:w="1468"/>
            <w:vAlign w:val="top"/>
          </w:tcPr>
          <w:p>
            <w:pPr>
              <w:spacing w:after="60" w:line="259" w:lineRule="auto"/>
            </w:pPr>
            <w:r>
              <w:rPr>
                <w:rFonts w:ascii="Calibri" w:hAnsi="Calibri"/>
                <w:b w:val="0"/>
                <w:i w:val="0"/>
                <w:color w:val="212121"/>
                <w:sz w:val="19"/>
              </w:rPr>
              <w:t>Mean HbA1c among Indian T1D youth was ~10.1 % — far above target</w:t>
            </w:r>
          </w:p>
          <w:p>
            <w:pPr>
              <w:spacing w:after="40" w:line="252" w:lineRule="auto"/>
            </w:pPr>
            <w:hyperlink r:id="rId14">
              <w:r>
                <w:rPr>
                  <w:rFonts w:ascii="Calibri" w:hAnsi="Calibri" w:cs="Calibri"/>
                  <w:sz w:val="18"/>
                  <w:color w:val="1155CC"/>
                  <w:u w:val="single"/>
                </w:rPr>
                <w:t xml:space="preserve">https://journals.sagepub.com/doi/10.1177/11795514241275921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Time-in-range (CGM)</w:t>
            </w:r>
          </w:p>
        </w:tc>
        <w:tc>
          <w:tcPr>
            <w:tcW w:type="dxa" w:w="1655"/>
            <w:vAlign w:val="top"/>
          </w:tcPr>
          <w:p>
            <w:pPr>
              <w:spacing w:after="40" w:before="0" w:line="259" w:lineRule="auto"/>
            </w:pPr>
            <w:r>
              <w:rPr>
                <w:rFonts w:ascii="Calibri" w:hAnsi="Calibri"/>
                <w:b w:val="0"/>
                <w:i w:val="0"/>
                <w:color w:val="212121"/>
                <w:sz w:val="19"/>
              </w:rPr>
              <w:t>Insulin-treated T1DM</w:t>
            </w:r>
          </w:p>
        </w:tc>
        <w:tc>
          <w:tcPr>
            <w:tcW w:type="dxa" w:w="1512"/>
            <w:vAlign w:val="top"/>
          </w:tcPr>
          <w:p>
            <w:pPr>
              <w:spacing w:after="40" w:before="0" w:line="259" w:lineRule="auto"/>
            </w:pPr>
            <w:r>
              <w:rPr>
                <w:rFonts w:ascii="Calibri" w:hAnsi="Calibri"/>
                <w:b w:val="0"/>
                <w:i w:val="0"/>
                <w:color w:val="212121"/>
                <w:sz w:val="19"/>
              </w:rPr>
              <w:t>&gt; 70 % (70–180 mg/dL)</w:t>
            </w:r>
          </w:p>
        </w:tc>
        <w:tc>
          <w:tcPr>
            <w:tcW w:type="dxa" w:w="1512"/>
            <w:vAlign w:val="top"/>
          </w:tcPr>
          <w:p>
            <w:pPr>
              <w:spacing w:after="40" w:before="0" w:line="259" w:lineRule="auto"/>
            </w:pPr>
            <w:r>
              <w:rPr>
                <w:rFonts w:ascii="Calibri" w:hAnsi="Calibri"/>
                <w:b w:val="0"/>
                <w:i w:val="0"/>
                <w:color w:val="212121"/>
                <w:sz w:val="19"/>
              </w:rPr>
              <w:t>&lt; 70 %, or &gt; 4 % time &lt; 70 mg/dL</w:t>
            </w:r>
          </w:p>
        </w:tc>
        <w:tc>
          <w:tcPr>
            <w:tcW w:type="dxa" w:w="1468"/>
            <w:vAlign w:val="top"/>
          </w:tcPr>
          <w:p>
            <w:pPr>
              <w:spacing w:after="40" w:before="0" w:line="259" w:lineRule="auto"/>
            </w:pPr>
            <w:r>
              <w:rPr>
                <w:rFonts w:ascii="Calibri" w:hAnsi="Calibri"/>
                <w:b w:val="0"/>
                <w:i w:val="0"/>
                <w:color w:val="212121"/>
                <w:sz w:val="19"/>
              </w:rPr>
              <w:t>Complements HbA1c; also tracks hypoglycaemia exposure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Pre-meal (fasting) glucose</w:t>
            </w:r>
          </w:p>
        </w:tc>
        <w:tc>
          <w:tcPr>
            <w:tcW w:type="dxa" w:w="1655"/>
            <w:vAlign w:val="top"/>
          </w:tcPr>
          <w:p>
            <w:pPr>
              <w:spacing w:after="40" w:before="0" w:line="259" w:lineRule="auto"/>
            </w:pPr>
            <w:r>
              <w:rPr>
                <w:rFonts w:ascii="Calibri" w:hAnsi="Calibri"/>
                <w:b w:val="0"/>
                <w:i w:val="0"/>
                <w:color w:val="212121"/>
                <w:sz w:val="19"/>
              </w:rPr>
              <w:t>Insulin-treated T1DM</w:t>
            </w:r>
          </w:p>
        </w:tc>
        <w:tc>
          <w:tcPr>
            <w:tcW w:type="dxa" w:w="1512"/>
            <w:vAlign w:val="top"/>
          </w:tcPr>
          <w:p>
            <w:pPr>
              <w:spacing w:after="40" w:before="0" w:line="259" w:lineRule="auto"/>
            </w:pPr>
            <w:r>
              <w:rPr>
                <w:rFonts w:ascii="Calibri" w:hAnsi="Calibri"/>
                <w:b w:val="0"/>
                <w:i w:val="0"/>
                <w:color w:val="212121"/>
                <w:sz w:val="19"/>
              </w:rPr>
              <w:t>80–130 mg/dL</w:t>
            </w:r>
          </w:p>
        </w:tc>
        <w:tc>
          <w:tcPr>
            <w:tcW w:type="dxa" w:w="1512"/>
            <w:vAlign w:val="top"/>
          </w:tcPr>
          <w:p>
            <w:pPr>
              <w:spacing w:after="40" w:before="0" w:line="259" w:lineRule="auto"/>
            </w:pPr>
            <w:r>
              <w:rPr>
                <w:rFonts w:ascii="Calibri" w:hAnsi="Calibri"/>
                <w:b w:val="0"/>
                <w:i w:val="0"/>
                <w:color w:val="212121"/>
                <w:sz w:val="19"/>
              </w:rPr>
              <w:t>&lt; 70 mg/dL (hypo) or &gt; 180 mg/dL</w:t>
            </w:r>
          </w:p>
        </w:tc>
        <w:tc>
          <w:tcPr>
            <w:tcW w:type="dxa" w:w="1468"/>
            <w:vAlign w:val="top"/>
          </w:tcPr>
          <w:p>
            <w:pPr>
              <w:spacing w:after="40" w:before="0" w:line="259" w:lineRule="auto"/>
            </w:pPr>
            <w:r>
              <w:rPr>
                <w:rFonts w:ascii="Calibri" w:hAnsi="Calibri"/>
                <w:b w:val="0"/>
                <w:i w:val="0"/>
                <w:color w:val="212121"/>
                <w:sz w:val="19"/>
              </w:rPr>
              <w:t>Self-monitoring guides insulin dose titration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Blood/urine ketones</w:t>
            </w:r>
          </w:p>
        </w:tc>
        <w:tc>
          <w:tcPr>
            <w:tcW w:type="dxa" w:w="1655"/>
            <w:vAlign w:val="top"/>
          </w:tcPr>
          <w:p>
            <w:pPr>
              <w:spacing w:after="40" w:before="0" w:line="259" w:lineRule="auto"/>
            </w:pPr>
            <w:r>
              <w:rPr>
                <w:rFonts w:ascii="Calibri" w:hAnsi="Calibri"/>
                <w:b w:val="0"/>
                <w:i w:val="0"/>
                <w:color w:val="212121"/>
                <w:sz w:val="19"/>
              </w:rPr>
              <w:t>T1DM sick-day / hyperglycaemia</w:t>
            </w:r>
          </w:p>
        </w:tc>
        <w:tc>
          <w:tcPr>
            <w:tcW w:type="dxa" w:w="1512"/>
            <w:vAlign w:val="top"/>
          </w:tcPr>
          <w:p>
            <w:pPr>
              <w:spacing w:after="40" w:before="0" w:line="259" w:lineRule="auto"/>
            </w:pPr>
            <w:r>
              <w:rPr>
                <w:rFonts w:ascii="Calibri" w:hAnsi="Calibri"/>
                <w:b w:val="0"/>
                <w:i w:val="0"/>
                <w:color w:val="212121"/>
                <w:sz w:val="19"/>
              </w:rPr>
              <w:t>Blood ketones &lt; 0.6 mmol/L (urine negative)</w:t>
            </w:r>
          </w:p>
        </w:tc>
        <w:tc>
          <w:tcPr>
            <w:tcW w:type="dxa" w:w="1512"/>
            <w:vAlign w:val="top"/>
          </w:tcPr>
          <w:p>
            <w:pPr>
              <w:spacing w:after="40" w:before="0" w:line="259" w:lineRule="auto"/>
            </w:pPr>
            <w:r>
              <w:rPr>
                <w:rFonts w:ascii="Calibri" w:hAnsi="Calibri"/>
                <w:b w:val="0"/>
                <w:i w:val="0"/>
                <w:color w:val="212121"/>
                <w:sz w:val="19"/>
              </w:rPr>
              <w:t>≥ 1.5 mmol/L (impending DKA)</w:t>
            </w:r>
          </w:p>
        </w:tc>
        <w:tc>
          <w:tcPr>
            <w:tcW w:type="dxa" w:w="1468"/>
            <w:vAlign w:val="top"/>
          </w:tcPr>
          <w:p>
            <w:pPr>
              <w:spacing w:after="40" w:before="0" w:line="259" w:lineRule="auto"/>
            </w:pPr>
            <w:r>
              <w:rPr>
                <w:rFonts w:ascii="Calibri" w:hAnsi="Calibri"/>
                <w:b w:val="0"/>
                <w:i w:val="0"/>
                <w:color w:val="212121"/>
                <w:sz w:val="19"/>
              </w:rPr>
              <w:t>Check whenever glucose &gt; 250 mg/dL or during any illness; do not omit insulin</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Children &amp; adolescents</w:t>
            </w:r>
          </w:p>
        </w:tc>
        <w:tc>
          <w:tcPr>
            <w:tcW w:type="dxa" w:w="1512"/>
            <w:vAlign w:val="top"/>
          </w:tcPr>
          <w:p>
            <w:pPr>
              <w:spacing w:after="40" w:before="0" w:line="259" w:lineRule="auto"/>
            </w:pPr>
            <w:r>
              <w:rPr>
                <w:rFonts w:ascii="Calibri" w:hAnsi="Calibri"/>
                <w:b w:val="0"/>
                <w:i w:val="0"/>
                <w:color w:val="212121"/>
                <w:sz w:val="19"/>
              </w:rPr>
              <w:t>8–10 hours/night</w:t>
            </w:r>
          </w:p>
        </w:tc>
        <w:tc>
          <w:tcPr>
            <w:tcW w:type="dxa" w:w="1512"/>
            <w:vAlign w:val="top"/>
          </w:tcPr>
          <w:p>
            <w:pPr>
              <w:spacing w:after="40" w:before="0" w:line="259" w:lineRule="auto"/>
            </w:pPr>
            <w:r>
              <w:rPr>
                <w:rFonts w:ascii="Calibri" w:hAnsi="Calibri"/>
                <w:b w:val="0"/>
                <w:i w:val="0"/>
                <w:color w:val="212121"/>
                <w:sz w:val="19"/>
              </w:rPr>
              <w:t>&lt; 7 hours/night</w:t>
            </w:r>
          </w:p>
        </w:tc>
        <w:tc>
          <w:tcPr>
            <w:tcW w:type="dxa" w:w="1468"/>
            <w:vAlign w:val="top"/>
          </w:tcPr>
          <w:p>
            <w:pPr>
              <w:spacing w:after="40" w:before="0" w:line="259" w:lineRule="auto"/>
            </w:pPr>
            <w:r>
              <w:rPr>
                <w:rFonts w:ascii="Calibri" w:hAnsi="Calibri"/>
                <w:b w:val="0"/>
                <w:i w:val="0"/>
                <w:color w:val="212121"/>
                <w:sz w:val="19"/>
              </w:rPr>
              <w:t>Sleep loss increases glycaemic variability and nocturnal-hypo risk</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&amp; young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Any smoking accelerates nephropathy and cardiovascular disease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Young adults with T1DM</w:t>
            </w:r>
          </w:p>
        </w:tc>
        <w:tc>
          <w:tcPr>
            <w:tcW w:type="dxa" w:w="1512"/>
            <w:vAlign w:val="top"/>
          </w:tcPr>
          <w:p>
            <w:pPr>
              <w:spacing w:after="40" w:before="0" w:line="259" w:lineRule="auto"/>
            </w:pPr>
            <w:r>
              <w:rPr>
                <w:rFonts w:ascii="Calibri" w:hAnsi="Calibri"/>
                <w:b w:val="0"/>
                <w:i w:val="0"/>
                <w:color w:val="212121"/>
                <w:sz w:val="19"/>
              </w:rPr>
              <w:t>None (youth); if adult, with food + monitoring</w:t>
            </w:r>
          </w:p>
        </w:tc>
        <w:tc>
          <w:tcPr>
            <w:tcW w:type="dxa" w:w="1512"/>
            <w:vAlign w:val="top"/>
          </w:tcPr>
          <w:p>
            <w:pPr>
              <w:spacing w:after="40" w:before="0" w:line="259" w:lineRule="auto"/>
            </w:pPr>
            <w:r>
              <w:rPr>
                <w:rFonts w:ascii="Calibri" w:hAnsi="Calibri"/>
                <w:b w:val="0"/>
                <w:i w:val="0"/>
                <w:color w:val="212121"/>
                <w:sz w:val="19"/>
              </w:rPr>
              <w:t>Any binge / drinking without food</w:t>
            </w:r>
          </w:p>
        </w:tc>
        <w:tc>
          <w:tcPr>
            <w:tcW w:type="dxa" w:w="1468"/>
            <w:vAlign w:val="top"/>
          </w:tcPr>
          <w:p>
            <w:pPr>
              <w:spacing w:after="40" w:before="0" w:line="259" w:lineRule="auto"/>
            </w:pPr>
            <w:r>
              <w:rPr>
                <w:rFonts w:ascii="Calibri" w:hAnsi="Calibri"/>
                <w:b w:val="0"/>
                <w:i w:val="0"/>
                <w:color w:val="212121"/>
                <w:sz w:val="19"/>
              </w:rPr>
              <w:t>Risk of delayed nocturnal hypoglycaemia</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Diabetes distress / depression screen</w:t>
            </w:r>
          </w:p>
        </w:tc>
        <w:tc>
          <w:tcPr>
            <w:tcW w:type="dxa" w:w="1655"/>
            <w:vAlign w:val="top"/>
          </w:tcPr>
          <w:p>
            <w:pPr>
              <w:spacing w:after="40" w:before="0" w:line="259" w:lineRule="auto"/>
            </w:pPr>
            <w:r>
              <w:rPr>
                <w:rFonts w:ascii="Calibri" w:hAnsi="Calibri"/>
                <w:b w:val="0"/>
                <w:i w:val="0"/>
                <w:color w:val="212121"/>
                <w:sz w:val="19"/>
              </w:rPr>
              <w:t>Adolescents &amp; young adults</w:t>
            </w:r>
          </w:p>
        </w:tc>
        <w:tc>
          <w:tcPr>
            <w:tcW w:type="dxa" w:w="1512"/>
            <w:vAlign w:val="top"/>
          </w:tcPr>
          <w:p>
            <w:pPr>
              <w:spacing w:after="40" w:before="0" w:line="259" w:lineRule="auto"/>
            </w:pPr>
            <w:r>
              <w:rPr>
                <w:rFonts w:ascii="Calibri" w:hAnsi="Calibri"/>
                <w:b w:val="0"/>
                <w:i w:val="0"/>
                <w:color w:val="212121"/>
                <w:sz w:val="19"/>
              </w:rPr>
              <w:t>No significant distress; no insulin omission</w:t>
            </w:r>
          </w:p>
        </w:tc>
        <w:tc>
          <w:tcPr>
            <w:tcW w:type="dxa" w:w="1512"/>
            <w:vAlign w:val="top"/>
          </w:tcPr>
          <w:p>
            <w:pPr>
              <w:spacing w:after="40" w:before="0" w:line="259" w:lineRule="auto"/>
            </w:pPr>
            <w:r>
              <w:rPr>
                <w:rFonts w:ascii="Calibri" w:hAnsi="Calibri"/>
                <w:b w:val="0"/>
                <w:i w:val="0"/>
                <w:color w:val="212121"/>
                <w:sz w:val="19"/>
              </w:rPr>
              <w:t>Positive screen or recurrent unexplained DKA</w:t>
            </w:r>
          </w:p>
        </w:tc>
        <w:tc>
          <w:tcPr>
            <w:tcW w:type="dxa" w:w="1468"/>
            <w:vAlign w:val="top"/>
          </w:tcPr>
          <w:p>
            <w:pPr>
              <w:spacing w:after="40" w:before="0" w:line="259" w:lineRule="auto"/>
            </w:pPr>
            <w:r>
              <w:rPr>
                <w:rFonts w:ascii="Calibri" w:hAnsi="Calibri"/>
                <w:b w:val="0"/>
                <w:i w:val="0"/>
                <w:color w:val="212121"/>
                <w:sz w:val="19"/>
              </w:rPr>
              <w:t>Screen for 'diabulimia' (insulin restriction) which drives poor control</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Hydration status</w:t>
            </w:r>
          </w:p>
        </w:tc>
        <w:tc>
          <w:tcPr>
            <w:tcW w:type="dxa" w:w="1655"/>
            <w:vAlign w:val="top"/>
          </w:tcPr>
          <w:p>
            <w:pPr>
              <w:spacing w:after="40" w:before="0" w:line="259" w:lineRule="auto"/>
            </w:pPr>
            <w:r>
              <w:rPr>
                <w:rFonts w:ascii="Calibri" w:hAnsi="Calibri"/>
                <w:b w:val="0"/>
                <w:i w:val="0"/>
                <w:color w:val="212121"/>
                <w:sz w:val="19"/>
              </w:rPr>
              <w:t>All patients, esp. during illness</w:t>
            </w:r>
          </w:p>
        </w:tc>
        <w:tc>
          <w:tcPr>
            <w:tcW w:type="dxa" w:w="1512"/>
            <w:vAlign w:val="top"/>
          </w:tcPr>
          <w:p>
            <w:pPr>
              <w:spacing w:after="40" w:before="0" w:line="259" w:lineRule="auto"/>
            </w:pPr>
            <w:r>
              <w:rPr>
                <w:rFonts w:ascii="Calibri" w:hAnsi="Calibri"/>
                <w:b w:val="0"/>
                <w:i w:val="0"/>
                <w:color w:val="212121"/>
                <w:sz w:val="19"/>
              </w:rPr>
              <w:t>Well hydrated</w:t>
            </w:r>
          </w:p>
        </w:tc>
        <w:tc>
          <w:tcPr>
            <w:tcW w:type="dxa" w:w="1512"/>
            <w:vAlign w:val="top"/>
          </w:tcPr>
          <w:p>
            <w:pPr>
              <w:spacing w:after="40" w:before="0" w:line="259" w:lineRule="auto"/>
            </w:pPr>
            <w:r>
              <w:rPr>
                <w:rFonts w:ascii="Calibri" w:hAnsi="Calibri"/>
                <w:b w:val="0"/>
                <w:i w:val="0"/>
                <w:color w:val="212121"/>
                <w:sz w:val="19"/>
              </w:rPr>
              <w:t>Signs of dehydration / rising osmolality</w:t>
            </w:r>
          </w:p>
        </w:tc>
        <w:tc>
          <w:tcPr>
            <w:tcW w:type="dxa" w:w="1468"/>
            <w:vAlign w:val="top"/>
          </w:tcPr>
          <w:p>
            <w:pPr>
              <w:spacing w:after="40" w:before="0" w:line="259" w:lineRule="auto"/>
            </w:pPr>
            <w:r>
              <w:rPr>
                <w:rFonts w:ascii="Calibri" w:hAnsi="Calibri"/>
                <w:b w:val="0"/>
                <w:i w:val="0"/>
                <w:color w:val="212121"/>
                <w:sz w:val="19"/>
              </w:rPr>
              <w:t>Fluid replacement is first-line in DKA prevention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Blood Sugar</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70–99 mg/dL</w:t>
            </w:r>
          </w:p>
        </w:tc>
        <w:tc>
          <w:tcPr>
            <w:tcW w:type="dxa" w:w="950"/>
            <w:vAlign w:val="top"/>
          </w:tcPr>
          <w:p>
            <w:pPr>
              <w:spacing w:after="40" w:before="0" w:line="259" w:lineRule="auto"/>
            </w:pPr>
            <w:r>
              <w:rPr>
                <w:rFonts w:ascii="Calibri" w:hAnsi="Calibri"/>
                <w:b w:val="0"/>
                <w:i w:val="0"/>
                <w:color w:val="212121"/>
                <w:sz w:val="16"/>
              </w:rPr>
              <w:t>≥ 126 mg/dL</w:t>
            </w:r>
          </w:p>
        </w:tc>
        <w:tc>
          <w:tcPr>
            <w:tcW w:type="dxa" w:w="1036"/>
            <w:vAlign w:val="top"/>
          </w:tcPr>
          <w:p>
            <w:pPr>
              <w:spacing w:after="40" w:before="0" w:line="259" w:lineRule="auto"/>
            </w:pPr>
            <w:r>
              <w:rPr>
                <w:rFonts w:ascii="Calibri" w:hAnsi="Calibri"/>
                <w:b w:val="0"/>
                <w:i w:val="0"/>
                <w:color w:val="212121"/>
                <w:sz w:val="16"/>
              </w:rPr>
              <w:t>Confirms hyperglycaemia; diagnostic if repeated or symptomatic</w:t>
            </w:r>
          </w:p>
        </w:tc>
        <w:tc>
          <w:tcPr>
            <w:tcW w:type="dxa" w:w="1036"/>
            <w:vAlign w:val="top"/>
          </w:tcPr>
          <w:p>
            <w:pPr>
              <w:spacing w:after="40" w:before="0" w:line="259" w:lineRule="auto"/>
            </w:pPr>
            <w:r>
              <w:rPr>
                <w:rFonts w:ascii="Calibri" w:hAnsi="Calibri"/>
                <w:b w:val="0"/>
                <w:i w:val="0"/>
                <w:color w:val="212121"/>
                <w:sz w:val="16"/>
              </w:rPr>
              <w:t>Children/adolescents with symptoms, high-risk relatives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8-hour fast required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Glycated Haemoglobin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4.0–5.6 %</w:t>
            </w:r>
          </w:p>
        </w:tc>
        <w:tc>
          <w:tcPr>
            <w:tcW w:type="dxa" w:w="950"/>
            <w:vAlign w:val="top"/>
          </w:tcPr>
          <w:p>
            <w:pPr>
              <w:spacing w:after="40" w:before="0" w:line="259" w:lineRule="auto"/>
            </w:pPr>
            <w:r>
              <w:rPr>
                <w:rFonts w:ascii="Calibri" w:hAnsi="Calibri"/>
                <w:b w:val="0"/>
                <w:i w:val="0"/>
                <w:color w:val="212121"/>
                <w:sz w:val="16"/>
              </w:rPr>
              <w:t>≥ 6.5 % (diagnostic); target &lt; 7 % for control</w:t>
            </w:r>
          </w:p>
        </w:tc>
        <w:tc>
          <w:tcPr>
            <w:tcW w:type="dxa" w:w="1036"/>
            <w:vAlign w:val="top"/>
          </w:tcPr>
          <w:p>
            <w:pPr>
              <w:spacing w:after="40" w:before="0" w:line="259" w:lineRule="auto"/>
            </w:pPr>
            <w:r>
              <w:rPr>
                <w:rFonts w:ascii="Calibri" w:hAnsi="Calibri"/>
                <w:b w:val="0"/>
                <w:i w:val="0"/>
                <w:color w:val="212121"/>
                <w:sz w:val="16"/>
              </w:rPr>
              <w:t>Reflects 2–3 month glycaemia; used for diagnosis and monitoring</w:t>
            </w:r>
          </w:p>
        </w:tc>
        <w:tc>
          <w:tcPr>
            <w:tcW w:type="dxa" w:w="1036"/>
            <w:vAlign w:val="top"/>
          </w:tcPr>
          <w:p>
            <w:pPr>
              <w:spacing w:after="40" w:before="0" w:line="259" w:lineRule="auto"/>
            </w:pPr>
            <w:r>
              <w:rPr>
                <w:rFonts w:ascii="Calibri" w:hAnsi="Calibri"/>
                <w:b w:val="0"/>
                <w:i w:val="0"/>
                <w:color w:val="212121"/>
                <w:sz w:val="16"/>
              </w:rPr>
              <w:t>All T1DM patients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Less reliable with haemoglobinopathies/anaemia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Islet autoantibodies (GAD65, IA-2, ZnT8, IAA)</w:t>
            </w:r>
          </w:p>
        </w:tc>
        <w:tc>
          <w:tcPr>
            <w:tcW w:type="dxa" w:w="892"/>
            <w:vAlign w:val="top"/>
          </w:tcPr>
          <w:p>
            <w:pPr>
              <w:spacing w:after="40" w:before="0" w:line="259" w:lineRule="auto"/>
            </w:pPr>
            <w:r>
              <w:rPr>
                <w:rFonts w:ascii="Calibri" w:hAnsi="Calibri"/>
                <w:b w:val="0"/>
                <w:i w:val="0"/>
                <w:color w:val="212121"/>
                <w:sz w:val="16"/>
              </w:rPr>
              <w:t>Autoantibody Panel</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One or more positive</w:t>
            </w:r>
          </w:p>
        </w:tc>
        <w:tc>
          <w:tcPr>
            <w:tcW w:type="dxa" w:w="1036"/>
            <w:vAlign w:val="top"/>
          </w:tcPr>
          <w:p>
            <w:pPr>
              <w:spacing w:after="40" w:before="0" w:line="259" w:lineRule="auto"/>
            </w:pPr>
            <w:r>
              <w:rPr>
                <w:rFonts w:ascii="Calibri" w:hAnsi="Calibri"/>
                <w:b w:val="0"/>
                <w:i w:val="0"/>
                <w:color w:val="212121"/>
                <w:sz w:val="16"/>
              </w:rPr>
              <w:t>Confirms autoimmune (type 1A) diabetes; ≥2 near-certain progression</w:t>
            </w:r>
          </w:p>
        </w:tc>
        <w:tc>
          <w:tcPr>
            <w:tcW w:type="dxa" w:w="1036"/>
            <w:vAlign w:val="top"/>
          </w:tcPr>
          <w:p>
            <w:pPr>
              <w:spacing w:after="40" w:before="0" w:line="259" w:lineRule="auto"/>
            </w:pPr>
            <w:r>
              <w:rPr>
                <w:rFonts w:ascii="Calibri" w:hAnsi="Calibri"/>
                <w:b w:val="0"/>
                <w:i w:val="0"/>
                <w:color w:val="212121"/>
                <w:sz w:val="16"/>
              </w:rPr>
              <w:t>Newly diagnosed youth, suspected LADA, lean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(subtype)</w:t>
            </w:r>
          </w:p>
        </w:tc>
        <w:tc>
          <w:tcPr>
            <w:tcW w:type="dxa" w:w="720"/>
            <w:vAlign w:val="top"/>
          </w:tcPr>
          <w:p>
            <w:pPr>
              <w:spacing w:after="40" w:before="0" w:line="259" w:lineRule="auto"/>
            </w:pPr>
            <w:r>
              <w:rPr>
                <w:rFonts w:ascii="Calibri" w:hAnsi="Calibri"/>
                <w:b w:val="0"/>
                <w:i w:val="0"/>
                <w:color w:val="212121"/>
                <w:sz w:val="16"/>
              </w:rPr>
              <w:t>Distinguishes T1DM from T2DM and MODY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C-peptide (fasting/stimulated)</w:t>
            </w:r>
          </w:p>
        </w:tc>
        <w:tc>
          <w:tcPr>
            <w:tcW w:type="dxa" w:w="892"/>
            <w:vAlign w:val="top"/>
          </w:tcPr>
          <w:p>
            <w:pPr>
              <w:spacing w:after="40" w:before="0" w:line="259" w:lineRule="auto"/>
            </w:pPr>
            <w:r>
              <w:rPr>
                <w:rFonts w:ascii="Calibri" w:hAnsi="Calibri"/>
                <w:b w:val="0"/>
                <w:i w:val="0"/>
                <w:color w:val="212121"/>
                <w:sz w:val="16"/>
              </w:rPr>
              <w:t>Beta-cell Reserve</w:t>
            </w:r>
          </w:p>
        </w:tc>
        <w:tc>
          <w:tcPr>
            <w:tcW w:type="dxa" w:w="950"/>
            <w:vAlign w:val="top"/>
          </w:tcPr>
          <w:p>
            <w:pPr>
              <w:spacing w:after="40" w:before="0" w:line="259" w:lineRule="auto"/>
            </w:pPr>
            <w:r>
              <w:rPr>
                <w:rFonts w:ascii="Calibri" w:hAnsi="Calibri"/>
                <w:b w:val="0"/>
                <w:i w:val="0"/>
                <w:color w:val="212121"/>
                <w:sz w:val="16"/>
              </w:rPr>
              <w:t>~0.5–2.0 ng/mL (with concurrent normoglycaemia)</w:t>
            </w:r>
          </w:p>
        </w:tc>
        <w:tc>
          <w:tcPr>
            <w:tcW w:type="dxa" w:w="950"/>
            <w:vAlign w:val="top"/>
          </w:tcPr>
          <w:p>
            <w:pPr>
              <w:spacing w:after="40" w:before="0" w:line="259" w:lineRule="auto"/>
            </w:pPr>
            <w:r>
              <w:rPr>
                <w:rFonts w:ascii="Calibri" w:hAnsi="Calibri"/>
                <w:b w:val="0"/>
                <w:i w:val="0"/>
                <w:color w:val="212121"/>
                <w:sz w:val="16"/>
              </w:rPr>
              <w:t>Low or undetectable</w:t>
            </w:r>
          </w:p>
        </w:tc>
        <w:tc>
          <w:tcPr>
            <w:tcW w:type="dxa" w:w="1036"/>
            <w:vAlign w:val="top"/>
          </w:tcPr>
          <w:p>
            <w:pPr>
              <w:spacing w:after="40" w:before="0" w:line="259" w:lineRule="auto"/>
            </w:pPr>
            <w:r>
              <w:rPr>
                <w:rFonts w:ascii="Calibri" w:hAnsi="Calibri"/>
                <w:b w:val="0"/>
                <w:i w:val="0"/>
                <w:color w:val="212121"/>
                <w:sz w:val="16"/>
              </w:rPr>
              <w:t>Indicates absolute insulin deficiency</w:t>
            </w:r>
          </w:p>
        </w:tc>
        <w:tc>
          <w:tcPr>
            <w:tcW w:type="dxa" w:w="1036"/>
            <w:vAlign w:val="top"/>
          </w:tcPr>
          <w:p>
            <w:pPr>
              <w:spacing w:after="40" w:before="0" w:line="259" w:lineRule="auto"/>
            </w:pPr>
            <w:r>
              <w:rPr>
                <w:rFonts w:ascii="Calibri" w:hAnsi="Calibri"/>
                <w:b w:val="0"/>
                <w:i w:val="0"/>
                <w:color w:val="212121"/>
                <w:sz w:val="16"/>
              </w:rPr>
              <w:t>Ambiguous type, long-standing diabetes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(subtype)</w:t>
            </w:r>
          </w:p>
        </w:tc>
        <w:tc>
          <w:tcPr>
            <w:tcW w:type="dxa" w:w="720"/>
            <w:vAlign w:val="top"/>
          </w:tcPr>
          <w:p>
            <w:pPr>
              <w:spacing w:after="40" w:before="0" w:line="259" w:lineRule="auto"/>
            </w:pPr>
            <w:r>
              <w:rPr>
                <w:rFonts w:ascii="Calibri" w:hAnsi="Calibri"/>
                <w:b w:val="0"/>
                <w:i w:val="0"/>
                <w:color w:val="212121"/>
                <w:sz w:val="16"/>
              </w:rPr>
              <w:t>Interpret with paired glucose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Blood/urine ketones + venous blood gas</w:t>
            </w:r>
          </w:p>
        </w:tc>
        <w:tc>
          <w:tcPr>
            <w:tcW w:type="dxa" w:w="892"/>
            <w:vAlign w:val="top"/>
          </w:tcPr>
          <w:p>
            <w:pPr>
              <w:spacing w:after="40" w:before="0" w:line="259" w:lineRule="auto"/>
            </w:pPr>
            <w:r>
              <w:rPr>
                <w:rFonts w:ascii="Calibri" w:hAnsi="Calibri"/>
                <w:b w:val="0"/>
                <w:i w:val="0"/>
                <w:color w:val="212121"/>
                <w:sz w:val="16"/>
              </w:rPr>
              <w:t>DKA Assessment</w:t>
            </w:r>
          </w:p>
        </w:tc>
        <w:tc>
          <w:tcPr>
            <w:tcW w:type="dxa" w:w="950"/>
            <w:vAlign w:val="top"/>
          </w:tcPr>
          <w:p>
            <w:pPr>
              <w:spacing w:after="40" w:before="0" w:line="259" w:lineRule="auto"/>
            </w:pPr>
            <w:r>
              <w:rPr>
                <w:rFonts w:ascii="Calibri" w:hAnsi="Calibri"/>
                <w:b w:val="0"/>
                <w:i w:val="0"/>
                <w:color w:val="212121"/>
                <w:sz w:val="16"/>
              </w:rPr>
              <w:t>Ketones negative; pH 7.35–7.45; HCO₃ 22–26</w:t>
            </w:r>
          </w:p>
        </w:tc>
        <w:tc>
          <w:tcPr>
            <w:tcW w:type="dxa" w:w="950"/>
            <w:vAlign w:val="top"/>
          </w:tcPr>
          <w:p>
            <w:pPr>
              <w:spacing w:after="40" w:before="0" w:line="259" w:lineRule="auto"/>
            </w:pPr>
            <w:r>
              <w:rPr>
                <w:rFonts w:ascii="Calibri" w:hAnsi="Calibri"/>
                <w:b w:val="0"/>
                <w:i w:val="0"/>
                <w:color w:val="212121"/>
                <w:sz w:val="16"/>
              </w:rPr>
              <w:t>Ketonaemia with pH &lt; 7.3, HCO₃ &lt; 15</w:t>
            </w:r>
          </w:p>
        </w:tc>
        <w:tc>
          <w:tcPr>
            <w:tcW w:type="dxa" w:w="1036"/>
            <w:vAlign w:val="top"/>
          </w:tcPr>
          <w:p>
            <w:pPr>
              <w:spacing w:after="40" w:before="0" w:line="259" w:lineRule="auto"/>
            </w:pPr>
            <w:r>
              <w:rPr>
                <w:rFonts w:ascii="Calibri" w:hAnsi="Calibri"/>
                <w:b w:val="0"/>
                <w:i w:val="0"/>
                <w:color w:val="212121"/>
                <w:sz w:val="16"/>
              </w:rPr>
              <w:t>Diagnoses diabetic ketoacidosis — a medical emergency</w:t>
            </w:r>
          </w:p>
        </w:tc>
        <w:tc>
          <w:tcPr>
            <w:tcW w:type="dxa" w:w="1036"/>
            <w:vAlign w:val="top"/>
          </w:tcPr>
          <w:p>
            <w:pPr>
              <w:spacing w:after="40" w:before="0" w:line="259" w:lineRule="auto"/>
            </w:pPr>
            <w:r>
              <w:rPr>
                <w:rFonts w:ascii="Calibri" w:hAnsi="Calibri"/>
                <w:b w:val="0"/>
                <w:i w:val="0"/>
                <w:color w:val="212121"/>
                <w:sz w:val="16"/>
              </w:rPr>
              <w:t>New onset, sick-day, non-adherence</w:t>
            </w:r>
          </w:p>
        </w:tc>
        <w:tc>
          <w:tcPr>
            <w:tcW w:type="dxa" w:w="720"/>
            <w:vAlign w:val="top"/>
          </w:tcPr>
          <w:p>
            <w:pPr>
              <w:spacing w:after="40" w:before="0" w:line="259" w:lineRule="auto"/>
            </w:pPr>
            <w:r>
              <w:rPr>
                <w:rFonts w:ascii="Calibri" w:hAnsi="Calibri"/>
                <w:b w:val="0"/>
                <w:i w:val="0"/>
                <w:color w:val="212121"/>
                <w:sz w:val="16"/>
              </w:rPr>
              <w:t>Provoking factors; Water</w:t>
            </w:r>
          </w:p>
        </w:tc>
        <w:tc>
          <w:tcPr>
            <w:tcW w:type="dxa" w:w="720"/>
            <w:vAlign w:val="top"/>
          </w:tcPr>
          <w:p>
            <w:pPr>
              <w:spacing w:after="40" w:before="0" w:line="259" w:lineRule="auto"/>
            </w:pPr>
            <w:r>
              <w:rPr>
                <w:rFonts w:ascii="Calibri" w:hAnsi="Calibri"/>
                <w:b w:val="0"/>
                <w:i w:val="0"/>
                <w:color w:val="212121"/>
                <w:sz w:val="16"/>
              </w:rPr>
              <w:t>Emergency</w:t>
            </w:r>
          </w:p>
        </w:tc>
        <w:tc>
          <w:tcPr>
            <w:tcW w:type="dxa" w:w="720"/>
            <w:vAlign w:val="top"/>
          </w:tcPr>
          <w:p>
            <w:pPr>
              <w:spacing w:after="40" w:before="0" w:line="259" w:lineRule="auto"/>
            </w:pPr>
            <w:r>
              <w:rPr>
                <w:rFonts w:ascii="Calibri" w:hAnsi="Calibri"/>
                <w:b w:val="0"/>
                <w:i w:val="0"/>
                <w:color w:val="212121"/>
                <w:sz w:val="16"/>
              </w:rPr>
              <w:t>~37% of Indian children present in DKA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 (TSH ± anti-TPO)</w:t>
            </w:r>
          </w:p>
        </w:tc>
        <w:tc>
          <w:tcPr>
            <w:tcW w:type="dxa" w:w="892"/>
            <w:vAlign w:val="top"/>
          </w:tcPr>
          <w:p>
            <w:pPr>
              <w:spacing w:after="40" w:before="0" w:line="259" w:lineRule="auto"/>
            </w:pPr>
            <w:r>
              <w:rPr>
                <w:rFonts w:ascii="Calibri" w:hAnsi="Calibri"/>
                <w:b w:val="0"/>
                <w:i w:val="0"/>
                <w:color w:val="212121"/>
                <w:sz w:val="16"/>
              </w:rPr>
              <w:t>Autoimmune Screen</w:t>
            </w:r>
          </w:p>
        </w:tc>
        <w:tc>
          <w:tcPr>
            <w:tcW w:type="dxa" w:w="950"/>
            <w:vAlign w:val="top"/>
          </w:tcPr>
          <w:p>
            <w:pPr>
              <w:spacing w:after="40" w:before="0" w:line="259" w:lineRule="auto"/>
            </w:pPr>
            <w:r>
              <w:rPr>
                <w:rFonts w:ascii="Calibri" w:hAnsi="Calibri"/>
                <w:b w:val="0"/>
                <w:i w:val="0"/>
                <w:color w:val="212121"/>
                <w:sz w:val="16"/>
              </w:rPr>
              <w:t>TSH ~0.4–4.0 mIU/L; anti-TPO negative</w:t>
            </w:r>
          </w:p>
        </w:tc>
        <w:tc>
          <w:tcPr>
            <w:tcW w:type="dxa" w:w="950"/>
            <w:vAlign w:val="top"/>
          </w:tcPr>
          <w:p>
            <w:pPr>
              <w:spacing w:after="40" w:before="0" w:line="259" w:lineRule="auto"/>
            </w:pPr>
            <w:r>
              <w:rPr>
                <w:rFonts w:ascii="Calibri" w:hAnsi="Calibri"/>
                <w:b w:val="0"/>
                <w:i w:val="0"/>
                <w:color w:val="212121"/>
                <w:sz w:val="16"/>
              </w:rPr>
              <w:t>Raised TSH and/or positive anti-TPO</w:t>
            </w:r>
          </w:p>
        </w:tc>
        <w:tc>
          <w:tcPr>
            <w:tcW w:type="dxa" w:w="1036"/>
            <w:vAlign w:val="top"/>
          </w:tcPr>
          <w:p>
            <w:pPr>
              <w:spacing w:after="40" w:before="0" w:line="259" w:lineRule="auto"/>
            </w:pPr>
            <w:r>
              <w:rPr>
                <w:rFonts w:ascii="Calibri" w:hAnsi="Calibri"/>
                <w:b w:val="0"/>
                <w:i w:val="0"/>
                <w:color w:val="212121"/>
                <w:sz w:val="16"/>
              </w:rPr>
              <w:t>Screens for associated autoimmune thyroid disease</w:t>
            </w:r>
          </w:p>
        </w:tc>
        <w:tc>
          <w:tcPr>
            <w:tcW w:type="dxa" w:w="1036"/>
            <w:vAlign w:val="top"/>
          </w:tcPr>
          <w:p>
            <w:pPr>
              <w:spacing w:after="40" w:before="0" w:line="259" w:lineRule="auto"/>
            </w:pPr>
            <w:r>
              <w:rPr>
                <w:rFonts w:ascii="Calibri" w:hAnsi="Calibri"/>
                <w:b w:val="0"/>
                <w:i w:val="0"/>
                <w:color w:val="212121"/>
                <w:sz w:val="16"/>
              </w:rPr>
              <w:t>All T1DM (periodic), esp. girls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Hypothyroidism in up to ~26% of girls with T1DM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Anti-tissue transglutaminase IgA (with total IgA)</w:t>
            </w:r>
          </w:p>
        </w:tc>
        <w:tc>
          <w:tcPr>
            <w:tcW w:type="dxa" w:w="892"/>
            <w:vAlign w:val="top"/>
          </w:tcPr>
          <w:p>
            <w:pPr>
              <w:spacing w:after="40" w:before="0" w:line="259" w:lineRule="auto"/>
            </w:pPr>
            <w:r>
              <w:rPr>
                <w:rFonts w:ascii="Calibri" w:hAnsi="Calibri"/>
                <w:b w:val="0"/>
                <w:i w:val="0"/>
                <w:color w:val="212121"/>
                <w:sz w:val="16"/>
              </w:rPr>
              <w:t>Celiac Screen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(confirm with biopsy)</w:t>
            </w:r>
          </w:p>
        </w:tc>
        <w:tc>
          <w:tcPr>
            <w:tcW w:type="dxa" w:w="1036"/>
            <w:vAlign w:val="top"/>
          </w:tcPr>
          <w:p>
            <w:pPr>
              <w:spacing w:after="40" w:before="0" w:line="259" w:lineRule="auto"/>
            </w:pPr>
            <w:r>
              <w:rPr>
                <w:rFonts w:ascii="Calibri" w:hAnsi="Calibri"/>
                <w:b w:val="0"/>
                <w:i w:val="0"/>
                <w:color w:val="212121"/>
                <w:sz w:val="16"/>
              </w:rPr>
              <w:t>Screens for coexisting celiac disease</w:t>
            </w:r>
          </w:p>
        </w:tc>
        <w:tc>
          <w:tcPr>
            <w:tcW w:type="dxa" w:w="1036"/>
            <w:vAlign w:val="top"/>
          </w:tcPr>
          <w:p>
            <w:pPr>
              <w:spacing w:after="40" w:before="0" w:line="259" w:lineRule="auto"/>
            </w:pPr>
            <w:r>
              <w:rPr>
                <w:rFonts w:ascii="Calibri" w:hAnsi="Calibri"/>
                <w:b w:val="0"/>
                <w:i w:val="0"/>
                <w:color w:val="212121"/>
                <w:sz w:val="16"/>
              </w:rPr>
              <w:t>T1DM with poor growth, anaemia, GI symptoms, recurrent hypos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Celiac coexists in ~11% of Indian T1D children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Urine albumin-to-creatinine ratio</w:t>
            </w:r>
          </w:p>
        </w:tc>
        <w:tc>
          <w:tcPr>
            <w:tcW w:type="dxa" w:w="892"/>
            <w:vAlign w:val="top"/>
          </w:tcPr>
          <w:p>
            <w:pPr>
              <w:spacing w:after="40" w:before="0" w:line="259" w:lineRule="auto"/>
            </w:pPr>
            <w:r>
              <w:rPr>
                <w:rFonts w:ascii="Calibri" w:hAnsi="Calibri"/>
                <w:b w:val="0"/>
                <w:i w:val="0"/>
                <w:color w:val="212121"/>
                <w:sz w:val="16"/>
              </w:rPr>
              <w:t>Nephropathy Screen</w:t>
            </w:r>
          </w:p>
        </w:tc>
        <w:tc>
          <w:tcPr>
            <w:tcW w:type="dxa" w:w="950"/>
            <w:vAlign w:val="top"/>
          </w:tcPr>
          <w:p>
            <w:pPr>
              <w:spacing w:after="40" w:before="0" w:line="259" w:lineRule="auto"/>
            </w:pPr>
            <w:r>
              <w:rPr>
                <w:rFonts w:ascii="Calibri" w:hAnsi="Calibri"/>
                <w:b w:val="0"/>
                <w:i w:val="0"/>
                <w:color w:val="212121"/>
                <w:sz w:val="16"/>
              </w:rPr>
              <w:t>&lt; 30 mg/g</w:t>
            </w:r>
          </w:p>
        </w:tc>
        <w:tc>
          <w:tcPr>
            <w:tcW w:type="dxa" w:w="950"/>
            <w:vAlign w:val="top"/>
          </w:tcPr>
          <w:p>
            <w:pPr>
              <w:spacing w:after="40" w:before="0" w:line="259" w:lineRule="auto"/>
            </w:pPr>
            <w:r>
              <w:rPr>
                <w:rFonts w:ascii="Calibri" w:hAnsi="Calibri"/>
                <w:b w:val="0"/>
                <w:i w:val="0"/>
                <w:color w:val="212121"/>
                <w:sz w:val="16"/>
              </w:rPr>
              <w:t>≥ 30 mg/g (moderately increased albuminuria)</w:t>
            </w:r>
          </w:p>
        </w:tc>
        <w:tc>
          <w:tcPr>
            <w:tcW w:type="dxa" w:w="1036"/>
            <w:vAlign w:val="top"/>
          </w:tcPr>
          <w:p>
            <w:pPr>
              <w:spacing w:after="40" w:before="0" w:line="259" w:lineRule="auto"/>
            </w:pPr>
            <w:r>
              <w:rPr>
                <w:rFonts w:ascii="Calibri" w:hAnsi="Calibri"/>
                <w:b w:val="0"/>
                <w:i w:val="0"/>
                <w:color w:val="212121"/>
                <w:sz w:val="16"/>
              </w:rPr>
              <w:t>Detects early diabetic kidney disease</w:t>
            </w:r>
          </w:p>
        </w:tc>
        <w:tc>
          <w:tcPr>
            <w:tcW w:type="dxa" w:w="1036"/>
            <w:vAlign w:val="top"/>
          </w:tcPr>
          <w:p>
            <w:pPr>
              <w:spacing w:after="40" w:before="0" w:line="259" w:lineRule="auto"/>
            </w:pPr>
            <w:r>
              <w:rPr>
                <w:rFonts w:ascii="Calibri" w:hAnsi="Calibri"/>
                <w:b w:val="0"/>
                <w:i w:val="0"/>
                <w:color w:val="212121"/>
                <w:sz w:val="16"/>
              </w:rPr>
              <w:t>Post-pubertal / duration ≥ 5 years</w:t>
            </w:r>
          </w:p>
        </w:tc>
        <w:tc>
          <w:tcPr>
            <w:tcW w:type="dxa" w:w="720"/>
            <w:vAlign w:val="top"/>
          </w:tcPr>
          <w:p>
            <w:pPr>
              <w:spacing w:after="40" w:before="0" w:line="259" w:lineRule="auto"/>
            </w:pPr>
            <w:r>
              <w:rPr>
                <w:rFonts w:ascii="Calibri" w:hAnsi="Calibri"/>
                <w:b w:val="0"/>
                <w:i w:val="0"/>
                <w:color w:val="212121"/>
                <w:sz w:val="16"/>
              </w:rPr>
              <w:t>Smoking;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Begin screening ~5 years after diagnosis or from puberty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Polyuria, polydipsia, rapid weight loss, new nocturnal enuresis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Cardinal features of insulin-deficient hyperglycaemia</w:t>
            </w:r>
          </w:p>
        </w:tc>
        <w:tc>
          <w:tcPr>
            <w:tcW w:type="dxa" w:w="1036"/>
            <w:vAlign w:val="top"/>
          </w:tcPr>
          <w:p>
            <w:pPr>
              <w:spacing w:after="40" w:before="0" w:line="259" w:lineRule="auto"/>
            </w:pPr>
            <w:r>
              <w:rPr>
                <w:rFonts w:ascii="Calibri" w:hAnsi="Calibri"/>
                <w:b w:val="0"/>
                <w:i w:val="0"/>
                <w:color w:val="212121"/>
                <w:sz w:val="16"/>
              </w:rPr>
              <w:t>Children/adolescents with classic symptoms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Abrupt onset over days–weeks; do not mistake for infection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 autoimmune history</w:t>
            </w:r>
          </w:p>
        </w:tc>
        <w:tc>
          <w:tcPr>
            <w:tcW w:type="dxa" w:w="979"/>
            <w:vAlign w:val="top"/>
          </w:tcPr>
          <w:p>
            <w:pPr>
              <w:spacing w:after="40" w:before="0" w:line="259" w:lineRule="auto"/>
            </w:pPr>
            <w:r>
              <w:rPr>
                <w:rFonts w:ascii="Calibri" w:hAnsi="Calibri"/>
                <w:b w:val="0"/>
                <w:i w:val="0"/>
                <w:color w:val="212121"/>
                <w:sz w:val="16"/>
              </w:rPr>
              <w:t>T1DM, thyroid, celiac or other autoimmunity in relatives</w:t>
            </w:r>
          </w:p>
        </w:tc>
        <w:tc>
          <w:tcPr>
            <w:tcW w:type="dxa" w:w="950"/>
            <w:vAlign w:val="top"/>
          </w:tcPr>
          <w:p>
            <w:pPr>
              <w:spacing w:after="40" w:before="0" w:line="259" w:lineRule="auto"/>
            </w:pPr>
            <w:r>
              <w:rPr>
                <w:rFonts w:ascii="Calibri" w:hAnsi="Calibri"/>
                <w:b w:val="0"/>
                <w:i w:val="0"/>
                <w:color w:val="212121"/>
                <w:sz w:val="16"/>
              </w:rPr>
              <w:t>No relevant history</w:t>
            </w:r>
          </w:p>
        </w:tc>
        <w:tc>
          <w:tcPr>
            <w:tcW w:type="dxa" w:w="950"/>
            <w:vAlign w:val="top"/>
          </w:tcPr>
          <w:p>
            <w:pPr>
              <w:spacing w:after="40" w:before="0" w:line="259" w:lineRule="auto"/>
            </w:pPr>
            <w:r>
              <w:rPr>
                <w:rFonts w:ascii="Calibri" w:hAnsi="Calibri"/>
                <w:b w:val="0"/>
                <w:i w:val="0"/>
                <w:color w:val="212121"/>
                <w:sz w:val="16"/>
              </w:rPr>
              <w:t>Positive personal or family autoimmune history</w:t>
            </w:r>
          </w:p>
        </w:tc>
        <w:tc>
          <w:tcPr>
            <w:tcW w:type="dxa" w:w="1036"/>
            <w:vAlign w:val="top"/>
          </w:tcPr>
          <w:p>
            <w:pPr>
              <w:spacing w:after="40" w:before="0" w:line="259" w:lineRule="auto"/>
            </w:pPr>
            <w:r>
              <w:rPr>
                <w:rFonts w:ascii="Calibri" w:hAnsi="Calibri"/>
                <w:b w:val="0"/>
                <w:i w:val="0"/>
                <w:color w:val="212121"/>
                <w:sz w:val="16"/>
              </w:rPr>
              <w:t>Supports autoimmune predisposition</w:t>
            </w:r>
          </w:p>
        </w:tc>
        <w:tc>
          <w:tcPr>
            <w:tcW w:type="dxa" w:w="1036"/>
            <w:vAlign w:val="top"/>
          </w:tcPr>
          <w:p>
            <w:pPr>
              <w:spacing w:after="40" w:before="0" w:line="259" w:lineRule="auto"/>
            </w:pPr>
            <w:r>
              <w:rPr>
                <w:rFonts w:ascii="Calibri" w:hAnsi="Calibri"/>
                <w:b w:val="0"/>
                <w:i w:val="0"/>
                <w:color w:val="212121"/>
                <w:sz w:val="16"/>
              </w:rPr>
              <w:t>First-degree relatives, polyglandular families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Most children still have no affected relative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Anthropometry</w:t>
            </w:r>
          </w:p>
        </w:tc>
        <w:tc>
          <w:tcPr>
            <w:tcW w:type="dxa" w:w="950"/>
            <w:vAlign w:val="top"/>
          </w:tcPr>
          <w:p>
            <w:pPr>
              <w:spacing w:after="40" w:before="0" w:line="259" w:lineRule="auto"/>
            </w:pPr>
            <w:r>
              <w:rPr>
                <w:rFonts w:ascii="Calibri" w:hAnsi="Calibri"/>
                <w:b w:val="0"/>
                <w:i w:val="0"/>
                <w:color w:val="212121"/>
                <w:sz w:val="16"/>
              </w:rPr>
              <w:t>Growth &amp; pubertal assessment</w:t>
            </w:r>
          </w:p>
        </w:tc>
        <w:tc>
          <w:tcPr>
            <w:tcW w:type="dxa" w:w="979"/>
            <w:vAlign w:val="top"/>
          </w:tcPr>
          <w:p>
            <w:pPr>
              <w:spacing w:after="40" w:before="0" w:line="259" w:lineRule="auto"/>
            </w:pPr>
            <w:r>
              <w:rPr>
                <w:rFonts w:ascii="Calibri" w:hAnsi="Calibri"/>
                <w:b w:val="0"/>
                <w:i w:val="0"/>
                <w:color w:val="212121"/>
                <w:sz w:val="16"/>
              </w:rPr>
              <w:t>Height/weight percentiles, pubertal stage</w:t>
            </w:r>
          </w:p>
        </w:tc>
        <w:tc>
          <w:tcPr>
            <w:tcW w:type="dxa" w:w="950"/>
            <w:vAlign w:val="top"/>
          </w:tcPr>
          <w:p>
            <w:pPr>
              <w:spacing w:after="40" w:before="0" w:line="259" w:lineRule="auto"/>
            </w:pPr>
            <w:r>
              <w:rPr>
                <w:rFonts w:ascii="Calibri" w:hAnsi="Calibri"/>
                <w:b w:val="0"/>
                <w:i w:val="0"/>
                <w:color w:val="212121"/>
                <w:sz w:val="16"/>
              </w:rPr>
              <w:t>Normal growth trajectory</w:t>
            </w:r>
          </w:p>
        </w:tc>
        <w:tc>
          <w:tcPr>
            <w:tcW w:type="dxa" w:w="950"/>
            <w:vAlign w:val="top"/>
          </w:tcPr>
          <w:p>
            <w:pPr>
              <w:spacing w:after="40" w:before="0" w:line="259" w:lineRule="auto"/>
            </w:pPr>
            <w:r>
              <w:rPr>
                <w:rFonts w:ascii="Calibri" w:hAnsi="Calibri"/>
                <w:b w:val="0"/>
                <w:i w:val="0"/>
                <w:color w:val="212121"/>
                <w:sz w:val="16"/>
              </w:rPr>
              <w:t>Weight loss, faltering growth, short stature, delayed puberty</w:t>
            </w:r>
          </w:p>
        </w:tc>
        <w:tc>
          <w:tcPr>
            <w:tcW w:type="dxa" w:w="1036"/>
            <w:vAlign w:val="top"/>
          </w:tcPr>
          <w:p>
            <w:pPr>
              <w:spacing w:after="40" w:before="0" w:line="259" w:lineRule="auto"/>
            </w:pPr>
            <w:r>
              <w:rPr>
                <w:rFonts w:ascii="Calibri" w:hAnsi="Calibri"/>
                <w:b w:val="0"/>
                <w:i w:val="0"/>
                <w:color w:val="212121"/>
                <w:sz w:val="16"/>
              </w:rPr>
              <w:t>Chronic poor control can stunt growth (Mauriac syndrome)</w:t>
            </w:r>
          </w:p>
        </w:tc>
        <w:tc>
          <w:tcPr>
            <w:tcW w:type="dxa" w:w="1036"/>
            <w:vAlign w:val="top"/>
          </w:tcPr>
          <w:p>
            <w:pPr>
              <w:spacing w:after="40" w:before="0" w:line="259" w:lineRule="auto"/>
            </w:pPr>
            <w:r>
              <w:rPr>
                <w:rFonts w:ascii="Calibri" w:hAnsi="Calibri"/>
                <w:b w:val="0"/>
                <w:i w:val="0"/>
                <w:color w:val="212121"/>
                <w:sz w:val="16"/>
              </w:rPr>
              <w:t>Long-standing / poorly controlled youth</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Plot serially on growth charts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Hydration &amp; DKA assessment</w:t>
            </w:r>
          </w:p>
        </w:tc>
        <w:tc>
          <w:tcPr>
            <w:tcW w:type="dxa" w:w="979"/>
            <w:vAlign w:val="top"/>
          </w:tcPr>
          <w:p>
            <w:pPr>
              <w:spacing w:after="40" w:before="0" w:line="259" w:lineRule="auto"/>
            </w:pPr>
            <w:r>
              <w:rPr>
                <w:rFonts w:ascii="Calibri" w:hAnsi="Calibri"/>
                <w:b w:val="0"/>
                <w:i w:val="0"/>
                <w:color w:val="212121"/>
                <w:sz w:val="16"/>
              </w:rPr>
              <w:t>Kussmaul breathing, acetone breath, dehydration, sensorium</w:t>
            </w:r>
          </w:p>
        </w:tc>
        <w:tc>
          <w:tcPr>
            <w:tcW w:type="dxa" w:w="950"/>
            <w:vAlign w:val="top"/>
          </w:tcPr>
          <w:p>
            <w:pPr>
              <w:spacing w:after="40" w:before="0" w:line="259" w:lineRule="auto"/>
            </w:pPr>
            <w:r>
              <w:rPr>
                <w:rFonts w:ascii="Calibri" w:hAnsi="Calibri"/>
                <w:b w:val="0"/>
                <w:i w:val="0"/>
                <w:color w:val="212121"/>
                <w:sz w:val="16"/>
              </w:rPr>
              <w:t>Well, euvolaemic, alert</w:t>
            </w:r>
          </w:p>
        </w:tc>
        <w:tc>
          <w:tcPr>
            <w:tcW w:type="dxa" w:w="950"/>
            <w:vAlign w:val="top"/>
          </w:tcPr>
          <w:p>
            <w:pPr>
              <w:spacing w:after="40" w:before="0" w:line="259" w:lineRule="auto"/>
            </w:pPr>
            <w:r>
              <w:rPr>
                <w:rFonts w:ascii="Calibri" w:hAnsi="Calibri"/>
                <w:b w:val="0"/>
                <w:i w:val="0"/>
                <w:color w:val="212121"/>
                <w:sz w:val="16"/>
              </w:rPr>
              <w:t>Dehydration, deep sighing respiration, drowsiness</w:t>
            </w:r>
          </w:p>
        </w:tc>
        <w:tc>
          <w:tcPr>
            <w:tcW w:type="dxa" w:w="1036"/>
            <w:vAlign w:val="top"/>
          </w:tcPr>
          <w:p>
            <w:pPr>
              <w:spacing w:after="40" w:before="0" w:line="259" w:lineRule="auto"/>
            </w:pPr>
            <w:r>
              <w:rPr>
                <w:rFonts w:ascii="Calibri" w:hAnsi="Calibri"/>
                <w:b w:val="0"/>
                <w:i w:val="0"/>
                <w:color w:val="212121"/>
                <w:sz w:val="16"/>
              </w:rPr>
              <w:t>Identifies diabetic ketoacidosis needing urgent care</w:t>
            </w:r>
          </w:p>
        </w:tc>
        <w:tc>
          <w:tcPr>
            <w:tcW w:type="dxa" w:w="1036"/>
            <w:vAlign w:val="top"/>
          </w:tcPr>
          <w:p>
            <w:pPr>
              <w:spacing w:after="40" w:before="0" w:line="259" w:lineRule="auto"/>
            </w:pPr>
            <w:r>
              <w:rPr>
                <w:rFonts w:ascii="Calibri" w:hAnsi="Calibri"/>
                <w:b w:val="0"/>
                <w:i w:val="0"/>
                <w:color w:val="212121"/>
                <w:sz w:val="16"/>
              </w:rPr>
              <w:t>New onset, sick-day, non-adherent</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Emergency</w:t>
            </w:r>
          </w:p>
        </w:tc>
        <w:tc>
          <w:tcPr>
            <w:tcW w:type="dxa" w:w="720"/>
            <w:vAlign w:val="top"/>
          </w:tcPr>
          <w:p>
            <w:pPr>
              <w:spacing w:after="40" w:before="0" w:line="259" w:lineRule="auto"/>
            </w:pPr>
            <w:r>
              <w:rPr>
                <w:rFonts w:ascii="Calibri" w:hAnsi="Calibri"/>
                <w:b w:val="0"/>
                <w:i w:val="0"/>
                <w:color w:val="212121"/>
                <w:sz w:val="16"/>
              </w:rPr>
              <w:t>Assess conscious level (cerebral-oedema risk in children)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Local examination</w:t>
            </w:r>
          </w:p>
        </w:tc>
        <w:tc>
          <w:tcPr>
            <w:tcW w:type="dxa" w:w="950"/>
            <w:vAlign w:val="top"/>
          </w:tcPr>
          <w:p>
            <w:pPr>
              <w:spacing w:after="40" w:before="0" w:line="259" w:lineRule="auto"/>
            </w:pPr>
            <w:r>
              <w:rPr>
                <w:rFonts w:ascii="Calibri" w:hAnsi="Calibri"/>
                <w:b w:val="0"/>
                <w:i w:val="0"/>
                <w:color w:val="212121"/>
                <w:sz w:val="16"/>
              </w:rPr>
              <w:t>Injection-site inspection</w:t>
            </w:r>
          </w:p>
        </w:tc>
        <w:tc>
          <w:tcPr>
            <w:tcW w:type="dxa" w:w="979"/>
            <w:vAlign w:val="top"/>
          </w:tcPr>
          <w:p>
            <w:pPr>
              <w:spacing w:after="40" w:before="0" w:line="259" w:lineRule="auto"/>
            </w:pPr>
            <w:r>
              <w:rPr>
                <w:rFonts w:ascii="Calibri" w:hAnsi="Calibri"/>
                <w:b w:val="0"/>
                <w:i w:val="0"/>
                <w:color w:val="212121"/>
                <w:sz w:val="16"/>
              </w:rPr>
              <w:t>Skin at insulin injection sites</w:t>
            </w:r>
          </w:p>
        </w:tc>
        <w:tc>
          <w:tcPr>
            <w:tcW w:type="dxa" w:w="950"/>
            <w:vAlign w:val="top"/>
          </w:tcPr>
          <w:p>
            <w:pPr>
              <w:spacing w:after="40" w:before="0" w:line="259" w:lineRule="auto"/>
            </w:pPr>
            <w:r>
              <w:rPr>
                <w:rFonts w:ascii="Calibri" w:hAnsi="Calibri"/>
                <w:b w:val="0"/>
                <w:i w:val="0"/>
                <w:color w:val="212121"/>
                <w:sz w:val="16"/>
              </w:rPr>
              <w:t>Healthy, rotated sites</w:t>
            </w:r>
          </w:p>
        </w:tc>
        <w:tc>
          <w:tcPr>
            <w:tcW w:type="dxa" w:w="950"/>
            <w:vAlign w:val="top"/>
          </w:tcPr>
          <w:p>
            <w:pPr>
              <w:spacing w:after="40" w:before="0" w:line="259" w:lineRule="auto"/>
            </w:pPr>
            <w:r>
              <w:rPr>
                <w:rFonts w:ascii="Calibri" w:hAnsi="Calibri"/>
                <w:b w:val="0"/>
                <w:i w:val="0"/>
                <w:color w:val="212121"/>
                <w:sz w:val="16"/>
              </w:rPr>
              <w:t>Lipohypertrophy, lipoatrophy or infection</w:t>
            </w:r>
          </w:p>
        </w:tc>
        <w:tc>
          <w:tcPr>
            <w:tcW w:type="dxa" w:w="1036"/>
            <w:vAlign w:val="top"/>
          </w:tcPr>
          <w:p>
            <w:pPr>
              <w:spacing w:after="40" w:before="0" w:line="259" w:lineRule="auto"/>
            </w:pPr>
            <w:r>
              <w:rPr>
                <w:rFonts w:ascii="Calibri" w:hAnsi="Calibri"/>
                <w:b w:val="0"/>
                <w:i w:val="0"/>
                <w:color w:val="212121"/>
                <w:sz w:val="16"/>
              </w:rPr>
              <w:t>Poor rotation causes erratic insulin absorption and glycaemic swings</w:t>
            </w:r>
          </w:p>
        </w:tc>
        <w:tc>
          <w:tcPr>
            <w:tcW w:type="dxa" w:w="1036"/>
            <w:vAlign w:val="top"/>
          </w:tcPr>
          <w:p>
            <w:pPr>
              <w:spacing w:after="40" w:before="0" w:line="259" w:lineRule="auto"/>
            </w:pPr>
            <w:r>
              <w:rPr>
                <w:rFonts w:ascii="Calibri" w:hAnsi="Calibri"/>
                <w:b w:val="0"/>
                <w:i w:val="0"/>
                <w:color w:val="212121"/>
                <w:sz w:val="16"/>
              </w:rPr>
              <w:t>Established insulin users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Teach systematic site rotation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Focused examination</w:t>
            </w:r>
          </w:p>
        </w:tc>
        <w:tc>
          <w:tcPr>
            <w:tcW w:type="dxa" w:w="950"/>
            <w:vAlign w:val="top"/>
          </w:tcPr>
          <w:p>
            <w:pPr>
              <w:spacing w:after="40" w:before="0" w:line="259" w:lineRule="auto"/>
            </w:pPr>
            <w:r>
              <w:rPr>
                <w:rFonts w:ascii="Calibri" w:hAnsi="Calibri"/>
                <w:b w:val="0"/>
                <w:i w:val="0"/>
                <w:color w:val="212121"/>
                <w:sz w:val="16"/>
              </w:rPr>
              <w:t>Fundus, foot &amp; neuro exam</w:t>
            </w:r>
          </w:p>
        </w:tc>
        <w:tc>
          <w:tcPr>
            <w:tcW w:type="dxa" w:w="979"/>
            <w:vAlign w:val="top"/>
          </w:tcPr>
          <w:p>
            <w:pPr>
              <w:spacing w:after="40" w:before="0" w:line="259" w:lineRule="auto"/>
            </w:pPr>
            <w:r>
              <w:rPr>
                <w:rFonts w:ascii="Calibri" w:hAnsi="Calibri"/>
                <w:b w:val="0"/>
                <w:i w:val="0"/>
                <w:color w:val="212121"/>
                <w:sz w:val="16"/>
              </w:rPr>
              <w:t>Retina, distal sensation, foot condition, blood pressure</w:t>
            </w:r>
          </w:p>
        </w:tc>
        <w:tc>
          <w:tcPr>
            <w:tcW w:type="dxa" w:w="950"/>
            <w:vAlign w:val="top"/>
          </w:tcPr>
          <w:p>
            <w:pPr>
              <w:spacing w:after="40" w:before="0" w:line="259" w:lineRule="auto"/>
            </w:pPr>
            <w:r>
              <w:rPr>
                <w:rFonts w:ascii="Calibri" w:hAnsi="Calibri"/>
                <w:b w:val="0"/>
                <w:i w:val="0"/>
                <w:color w:val="212121"/>
                <w:sz w:val="16"/>
              </w:rPr>
              <w:t>Normal fundi, intact sensation, normal BP</w:t>
            </w:r>
          </w:p>
        </w:tc>
        <w:tc>
          <w:tcPr>
            <w:tcW w:type="dxa" w:w="950"/>
            <w:vAlign w:val="top"/>
          </w:tcPr>
          <w:p>
            <w:pPr>
              <w:spacing w:after="40" w:before="0" w:line="259" w:lineRule="auto"/>
            </w:pPr>
            <w:r>
              <w:rPr>
                <w:rFonts w:ascii="Calibri" w:hAnsi="Calibri"/>
                <w:b w:val="0"/>
                <w:i w:val="0"/>
                <w:color w:val="212121"/>
                <w:sz w:val="16"/>
              </w:rPr>
              <w:t>Retinopathy, reduced monofilament sensation, raised BP</w:t>
            </w:r>
          </w:p>
        </w:tc>
        <w:tc>
          <w:tcPr>
            <w:tcW w:type="dxa" w:w="1036"/>
            <w:vAlign w:val="top"/>
          </w:tcPr>
          <w:p>
            <w:pPr>
              <w:spacing w:after="40" w:before="0" w:line="259" w:lineRule="auto"/>
            </w:pPr>
            <w:r>
              <w:rPr>
                <w:rFonts w:ascii="Calibri" w:hAnsi="Calibri"/>
                <w:b w:val="0"/>
                <w:i w:val="0"/>
                <w:color w:val="212121"/>
                <w:sz w:val="16"/>
              </w:rPr>
              <w:t>Screens for microvascular complications</w:t>
            </w:r>
          </w:p>
        </w:tc>
        <w:tc>
          <w:tcPr>
            <w:tcW w:type="dxa" w:w="1036"/>
            <w:vAlign w:val="top"/>
          </w:tcPr>
          <w:p>
            <w:pPr>
              <w:spacing w:after="40" w:before="0" w:line="259" w:lineRule="auto"/>
            </w:pPr>
            <w:r>
              <w:rPr>
                <w:rFonts w:ascii="Calibri" w:hAnsi="Calibri"/>
                <w:b w:val="0"/>
                <w:i w:val="0"/>
                <w:color w:val="212121"/>
                <w:sz w:val="16"/>
              </w:rPr>
              <w:t>Duration ≥ 5 years / post-pubertal</w:t>
            </w:r>
          </w:p>
        </w:tc>
        <w:tc>
          <w:tcPr>
            <w:tcW w:type="dxa" w:w="720"/>
            <w:vAlign w:val="top"/>
          </w:tcPr>
          <w:p>
            <w:pPr>
              <w:spacing w:after="40" w:before="0" w:line="259" w:lineRule="auto"/>
            </w:pPr>
            <w:r>
              <w:rPr>
                <w:rFonts w:ascii="Calibri" w:hAnsi="Calibri"/>
                <w:b w:val="0"/>
                <w:i w:val="0"/>
                <w:color w:val="212121"/>
                <w:sz w:val="16"/>
              </w:rPr>
              <w:t>Smoking;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Hypertension strongly predicts retinopathy in youth</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Polyuria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high-volume urination from osmotic diuresis once glucose exceeds the renal threshold.</w:t>
            </w:r>
          </w:p>
        </w:tc>
      </w:tr>
      <w:tr>
        <w:trPr>
          <w:cantSplit/>
        </w:trPr>
        <w:tc>
          <w:tcPr>
            <w:tcW w:type="dxa" w:w="2304"/>
            <w:vAlign w:val="top"/>
          </w:tcPr>
          <w:p>
            <w:pPr>
              <w:spacing w:after="40" w:before="0" w:line="259" w:lineRule="auto"/>
            </w:pPr>
            <w:r>
              <w:rPr>
                <w:rFonts w:ascii="Calibri" w:hAnsi="Calibri"/>
                <w:b/>
                <w:i w:val="0"/>
                <w:color w:val="212121"/>
                <w:sz w:val="19"/>
              </w:rPr>
              <w:t>Polydipsia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Excessive thirst driven by dehydration from urinary fluid loss.</w:t>
            </w:r>
          </w:p>
        </w:tc>
      </w:tr>
      <w:tr>
        <w:trPr>
          <w:cantSplit/>
        </w:trPr>
        <w:tc>
          <w:tcPr>
            <w:tcW w:type="dxa" w:w="2304"/>
            <w:vAlign w:val="top"/>
          </w:tcPr>
          <w:p>
            <w:pPr>
              <w:spacing w:after="40" w:before="0" w:line="259" w:lineRule="auto"/>
            </w:pPr>
            <w:r>
              <w:rPr>
                <w:rFonts w:ascii="Calibri" w:hAnsi="Calibri"/>
                <w:b/>
                <w:i w:val="0"/>
                <w:color w:val="212121"/>
                <w:sz w:val="19"/>
              </w:rPr>
              <w:t>Rapid, unexplained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of type 1; fat and muscle are broken down for energy despite normal or increased eating.</w:t>
            </w:r>
          </w:p>
        </w:tc>
      </w:tr>
      <w:tr>
        <w:trPr>
          <w:cantSplit/>
        </w:trPr>
        <w:tc>
          <w:tcPr>
            <w:tcW w:type="dxa" w:w="2304"/>
            <w:vAlign w:val="top"/>
          </w:tcPr>
          <w:p>
            <w:pPr>
              <w:spacing w:after="40" w:before="0" w:line="259" w:lineRule="auto"/>
            </w:pPr>
            <w:r>
              <w:rPr>
                <w:rFonts w:ascii="Calibri" w:hAnsi="Calibri"/>
                <w:b/>
                <w:i w:val="0"/>
                <w:color w:val="212121"/>
                <w:sz w:val="19"/>
              </w:rPr>
              <w:t>Polyphagia (increased hunger)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Cells are glucose-starved because insulin is lacking, driving hunger.</w:t>
            </w:r>
          </w:p>
        </w:tc>
      </w:tr>
      <w:tr>
        <w:trPr>
          <w:cantSplit/>
        </w:trPr>
        <w:tc>
          <w:tcPr>
            <w:tcW w:type="dxa" w:w="2304"/>
            <w:vAlign w:val="top"/>
          </w:tcPr>
          <w:p>
            <w:pPr>
              <w:spacing w:after="40" w:before="0" w:line="259" w:lineRule="auto"/>
            </w:pPr>
            <w:r>
              <w:rPr>
                <w:rFonts w:ascii="Calibri" w:hAnsi="Calibri"/>
                <w:b/>
                <w:i w:val="0"/>
                <w:color w:val="212121"/>
                <w:sz w:val="19"/>
              </w:rPr>
              <w:t>Fatigue and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cellular glucose utilisation and dehydration cause tiredness and reduced stamina.</w:t>
            </w:r>
          </w:p>
        </w:tc>
      </w:tr>
      <w:tr>
        <w:trPr>
          <w:cantSplit/>
        </w:trPr>
        <w:tc>
          <w:tcPr>
            <w:tcW w:type="dxa" w:w="2304"/>
            <w:vAlign w:val="top"/>
          </w:tcPr>
          <w:p>
            <w:pPr>
              <w:spacing w:after="40" w:before="0" w:line="259" w:lineRule="auto"/>
            </w:pPr>
            <w:r>
              <w:rPr>
                <w:rFonts w:ascii="Calibri" w:hAnsi="Calibri"/>
                <w:b/>
                <w:i w:val="0"/>
                <w:color w:val="212121"/>
                <w:sz w:val="19"/>
              </w:rPr>
              <w:t>New-onset nocturnal enuresis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Bed-wetting in a previously dry child is a classic paediatric clue to osmotic diuresis.</w:t>
            </w:r>
          </w:p>
        </w:tc>
      </w:tr>
      <w:tr>
        <w:trPr>
          <w:cantSplit/>
        </w:trPr>
        <w:tc>
          <w:tcPr>
            <w:tcW w:type="dxa" w:w="2304"/>
            <w:vAlign w:val="top"/>
          </w:tcPr>
          <w:p>
            <w:pPr>
              <w:spacing w:after="40" w:before="0" w:line="259" w:lineRule="auto"/>
            </w:pPr>
            <w:r>
              <w:rPr>
                <w:rFonts w:ascii="Calibri" w:hAnsi="Calibri"/>
                <w:b/>
                <w:i w:val="0"/>
                <w:color w:val="212121"/>
                <w:sz w:val="19"/>
              </w:rPr>
              <w:t>Blurred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Osmotic fluid shifts alter lens shape and refraction; reversible with glucose control.</w:t>
            </w:r>
          </w:p>
        </w:tc>
      </w:tr>
      <w:tr>
        <w:trPr>
          <w:cantSplit/>
        </w:trPr>
        <w:tc>
          <w:tcPr>
            <w:tcW w:type="dxa" w:w="2304"/>
            <w:vAlign w:val="top"/>
          </w:tcPr>
          <w:p>
            <w:pPr>
              <w:spacing w:after="40" w:before="0" w:line="259" w:lineRule="auto"/>
            </w:pPr>
            <w:r>
              <w:rPr>
                <w:rFonts w:ascii="Calibri" w:hAnsi="Calibri"/>
                <w:b/>
                <w:i w:val="0"/>
                <w:color w:val="212121"/>
                <w:sz w:val="19"/>
              </w:rPr>
              <w:t>Nausea, vomiting and abdominal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 developing ketoacidosis; can mimic an acute abdomen or gastroenteritis.</w:t>
            </w:r>
          </w:p>
        </w:tc>
      </w:tr>
      <w:tr>
        <w:trPr>
          <w:cantSplit/>
        </w:trPr>
        <w:tc>
          <w:tcPr>
            <w:tcW w:type="dxa" w:w="2304"/>
            <w:vAlign w:val="top"/>
          </w:tcPr>
          <w:p>
            <w:pPr>
              <w:spacing w:after="40" w:before="0" w:line="259" w:lineRule="auto"/>
            </w:pPr>
            <w:r>
              <w:rPr>
                <w:rFonts w:ascii="Calibri" w:hAnsi="Calibri"/>
                <w:b/>
                <w:i w:val="0"/>
                <w:color w:val="212121"/>
                <w:sz w:val="19"/>
              </w:rPr>
              <w:t>Recurrent infections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Oral/genital candidiasis, skin and urinary infections reflect hyperglycaemic immune impairment.</w:t>
            </w:r>
          </w:p>
        </w:tc>
      </w:tr>
      <w:tr>
        <w:trPr>
          <w:cantSplit/>
        </w:trPr>
        <w:tc>
          <w:tcPr>
            <w:tcW w:type="dxa" w:w="2304"/>
            <w:vAlign w:val="top"/>
          </w:tcPr>
          <w:p>
            <w:pPr>
              <w:spacing w:after="40" w:before="0" w:line="259" w:lineRule="auto"/>
            </w:pPr>
            <w:r>
              <w:rPr>
                <w:rFonts w:ascii="Calibri" w:hAnsi="Calibri"/>
                <w:b/>
                <w:i w:val="0"/>
                <w:color w:val="212121"/>
                <w:sz w:val="19"/>
              </w:rPr>
              <w:t>Irritability, behaviour change, poor school performance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Early, non-specific features in children that often delay recognition.</w:t>
            </w:r>
          </w:p>
        </w:tc>
      </w:tr>
      <w:tr>
        <w:trPr>
          <w:cantSplit/>
        </w:trPr>
        <w:tc>
          <w:tcPr>
            <w:tcW w:type="dxa" w:w="2304"/>
            <w:vAlign w:val="top"/>
          </w:tcPr>
          <w:p>
            <w:pPr>
              <w:spacing w:after="40" w:before="0" w:line="259" w:lineRule="auto"/>
            </w:pPr>
            <w:r>
              <w:rPr>
                <w:rFonts w:ascii="Calibri" w:hAnsi="Calibri"/>
                <w:b/>
                <w:i w:val="0"/>
                <w:color w:val="212121"/>
                <w:sz w:val="19"/>
              </w:rPr>
              <w:t>Leg cramps or tingling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Electrolyte shifts or early neuropathy; uncommon at first presentation in children.</w:t>
            </w:r>
          </w:p>
        </w:tc>
      </w:tr>
      <w:tr>
        <w:trPr>
          <w:cantSplit/>
        </w:trPr>
        <w:tc>
          <w:tcPr>
            <w:tcW w:type="dxa" w:w="2304"/>
            <w:vAlign w:val="top"/>
          </w:tcPr>
          <w:p>
            <w:pPr>
              <w:spacing w:after="40" w:before="0" w:line="259" w:lineRule="auto"/>
            </w:pPr>
            <w:r>
              <w:rPr>
                <w:rFonts w:ascii="Calibri" w:hAnsi="Calibri"/>
                <w:b/>
                <w:i w:val="0"/>
                <w:color w:val="212121"/>
                <w:sz w:val="19"/>
              </w:rPr>
              <w:t>Drowsiness or reduced consciousness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severe ketoacidosis and is a medical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Weight loss / lean, wasted habitus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catabolism from absolute insulin deficiency; typical at presentation.</w:t>
            </w:r>
          </w:p>
        </w:tc>
      </w:tr>
      <w:tr>
        <w:trPr>
          <w:cantSplit/>
        </w:trPr>
        <w:tc>
          <w:tcPr>
            <w:tcW w:type="dxa" w:w="3456"/>
            <w:vAlign w:val="top"/>
          </w:tcPr>
          <w:p>
            <w:pPr>
              <w:spacing w:after="40" w:before="0" w:line="259" w:lineRule="auto"/>
            </w:pPr>
            <w:r>
              <w:rPr>
                <w:rFonts w:ascii="Calibri" w:hAnsi="Calibri"/>
                <w:b/>
                <w:i w:val="0"/>
                <w:color w:val="212121"/>
                <w:sz w:val="19"/>
              </w:rPr>
              <w:t>Signs of dehydration (dry mucosa, reduced skin turgor, sunken eyes)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From osmotic diuresis; severity guides fluid resuscitation.</w:t>
            </w:r>
          </w:p>
        </w:tc>
      </w:tr>
      <w:tr>
        <w:trPr>
          <w:cantSplit/>
        </w:trPr>
        <w:tc>
          <w:tcPr>
            <w:tcW w:type="dxa" w:w="3456"/>
            <w:vAlign w:val="top"/>
          </w:tcPr>
          <w:p>
            <w:pPr>
              <w:spacing w:after="40" w:before="0" w:line="259" w:lineRule="auto"/>
            </w:pPr>
            <w:r>
              <w:rPr>
                <w:rFonts w:ascii="Calibri" w:hAnsi="Calibri"/>
                <w:b/>
                <w:i w:val="0"/>
                <w:color w:val="212121"/>
                <w:sz w:val="19"/>
              </w:rPr>
              <w:t>Glycosuria and ketonuria on dipstick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Glucose spills once blood levels exceed ~180 mg/dL; ketones indicate lipolysis.</w:t>
            </w:r>
          </w:p>
        </w:tc>
      </w:tr>
      <w:tr>
        <w:trPr>
          <w:cantSplit/>
        </w:trPr>
        <w:tc>
          <w:tcPr>
            <w:tcW w:type="dxa" w:w="3456"/>
            <w:vAlign w:val="top"/>
          </w:tcPr>
          <w:p>
            <w:pPr>
              <w:spacing w:after="40" w:before="0" w:line="259" w:lineRule="auto"/>
            </w:pPr>
            <w:r>
              <w:rPr>
                <w:rFonts w:ascii="Calibri" w:hAnsi="Calibri"/>
                <w:b/>
                <w:i w:val="0"/>
                <w:color w:val="212121"/>
                <w:sz w:val="19"/>
              </w:rPr>
              <w:t>Lipohypertrophy at injection sites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Rubbery subcutaneous swellings from repeated injections in one area; impair insulin absorption.</w:t>
            </w:r>
          </w:p>
        </w:tc>
      </w:tr>
      <w:tr>
        <w:trPr>
          <w:cantSplit/>
        </w:trPr>
        <w:tc>
          <w:tcPr>
            <w:tcW w:type="dxa" w:w="3456"/>
            <w:vAlign w:val="top"/>
          </w:tcPr>
          <w:p>
            <w:pPr>
              <w:spacing w:after="40" w:before="0" w:line="259" w:lineRule="auto"/>
            </w:pPr>
            <w:r>
              <w:rPr>
                <w:rFonts w:ascii="Calibri" w:hAnsi="Calibri"/>
                <w:b/>
                <w:i w:val="0"/>
                <w:color w:val="212121"/>
                <w:sz w:val="19"/>
              </w:rPr>
              <w:t>Kussmaul (deep, rapid) respiration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Respiratory compensation for metabolic acidosis in ketoacidosis.</w:t>
            </w:r>
          </w:p>
        </w:tc>
      </w:tr>
      <w:tr>
        <w:trPr>
          <w:cantSplit/>
        </w:trPr>
        <w:tc>
          <w:tcPr>
            <w:tcW w:type="dxa" w:w="3456"/>
            <w:vAlign w:val="top"/>
          </w:tcPr>
          <w:p>
            <w:pPr>
              <w:spacing w:after="40" w:before="0" w:line="259" w:lineRule="auto"/>
            </w:pPr>
            <w:r>
              <w:rPr>
                <w:rFonts w:ascii="Calibri" w:hAnsi="Calibri"/>
                <w:b/>
                <w:i w:val="0"/>
                <w:color w:val="212121"/>
                <w:sz w:val="19"/>
              </w:rPr>
              <w:t>Acetone (fruity) breath odour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Exhaled acetone from ketone bodies — a specific sign of ketoacidosis.</w:t>
            </w:r>
          </w:p>
        </w:tc>
      </w:tr>
      <w:tr>
        <w:trPr>
          <w:cantSplit/>
        </w:trPr>
        <w:tc>
          <w:tcPr>
            <w:tcW w:type="dxa" w:w="3456"/>
            <w:vAlign w:val="top"/>
          </w:tcPr>
          <w:p>
            <w:pPr>
              <w:spacing w:after="40" w:before="0" w:line="259" w:lineRule="auto"/>
            </w:pPr>
            <w:r>
              <w:rPr>
                <w:rFonts w:ascii="Calibri" w:hAnsi="Calibri"/>
                <w:b/>
                <w:i w:val="0"/>
                <w:color w:val="212121"/>
                <w:sz w:val="19"/>
              </w:rPr>
              <w:t>Tachycardia and hypotension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Result from dehydration and acidosis in decompensated presentations.</w:t>
            </w:r>
          </w:p>
        </w:tc>
      </w:tr>
      <w:tr>
        <w:trPr>
          <w:cantSplit/>
        </w:trPr>
        <w:tc>
          <w:tcPr>
            <w:tcW w:type="dxa" w:w="3456"/>
            <w:vAlign w:val="top"/>
          </w:tcPr>
          <w:p>
            <w:pPr>
              <w:spacing w:after="40" w:before="0" w:line="259" w:lineRule="auto"/>
            </w:pPr>
            <w:r>
              <w:rPr>
                <w:rFonts w:ascii="Calibri" w:hAnsi="Calibri"/>
                <w:b/>
                <w:i w:val="0"/>
                <w:color w:val="212121"/>
                <w:sz w:val="19"/>
              </w:rPr>
              <w:t>Altered sensorium / drowsiness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Marks severe DKA; in children raises concern for cerebral oedema.</w:t>
            </w:r>
          </w:p>
        </w:tc>
      </w:tr>
      <w:tr>
        <w:trPr>
          <w:cantSplit/>
        </w:trPr>
        <w:tc>
          <w:tcPr>
            <w:tcW w:type="dxa" w:w="3456"/>
            <w:vAlign w:val="top"/>
          </w:tcPr>
          <w:p>
            <w:pPr>
              <w:spacing w:after="40" w:before="0" w:line="259" w:lineRule="auto"/>
            </w:pPr>
            <w:r>
              <w:rPr>
                <w:rFonts w:ascii="Calibri" w:hAnsi="Calibri"/>
                <w:b/>
                <w:i w:val="0"/>
                <w:color w:val="212121"/>
                <w:sz w:val="19"/>
              </w:rPr>
              <w:t>Oral or genital candidiasis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Thrush or vulvovaginitis from persistent glycosuria and hyperglycaemia.</w:t>
            </w:r>
          </w:p>
        </w:tc>
      </w:tr>
      <w:tr>
        <w:trPr>
          <w:cantSplit/>
        </w:trPr>
        <w:tc>
          <w:tcPr>
            <w:tcW w:type="dxa" w:w="3456"/>
            <w:vAlign w:val="top"/>
          </w:tcPr>
          <w:p>
            <w:pPr>
              <w:spacing w:after="40" w:before="0" w:line="259" w:lineRule="auto"/>
            </w:pPr>
            <w:r>
              <w:rPr>
                <w:rFonts w:ascii="Calibri" w:hAnsi="Calibri"/>
                <w:b/>
                <w:i w:val="0"/>
                <w:color w:val="212121"/>
                <w:sz w:val="19"/>
              </w:rPr>
              <w:t>Growth retardation / short stature / delayed puberty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Chronic poor control can cause growth failure and hepatomegaly (Mauriac syndrome).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ketoacidosis (DKA) — the leading acute and presenting emergency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hypoglycaemia (from insulin, exercise or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with electrolyte imbalance (notably hypokalaemia during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Cerebral oedema during DKA management (particularly in children)</w:t>
            </w:r>
          </w:p>
        </w:tc>
        <w:tc>
          <w:tcPr>
            <w:tcW w:type="dxa" w:w="2980"/>
            <w:vAlign w:val="top"/>
          </w:tcPr>
          <w:p>
            <w:pPr>
              <w:spacing w:after="40" w:before="0" w:line="259" w:lineRule="auto"/>
            </w:pPr>
            <w:r>
              <w:rPr>
                <w:rFonts w:ascii="Calibri" w:hAnsi="Calibri"/>
                <w:b w:val="0"/>
                <w:i w:val="0"/>
                <w:color w:val="212121"/>
                <w:sz w:val="19"/>
              </w:rPr>
              <w:t>Acute metabolic emergencies arising directly from absolute insulin deficiency or from insulin therapy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Microvascular: diabetic retinopathy, nephropathy, and peripheral &amp; autonomic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Macrovascular: premature coronary artery disease, stroke and peripheral 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failure / Mauriac syndrome and delayed puberty from chronic poor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Associated autoimmune disease: thyroid disease, celiac disease, Addison's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susceptibility to infections</w:t>
            </w:r>
          </w:p>
        </w:tc>
        <w:tc>
          <w:tcPr>
            <w:tcW w:type="dxa" w:w="2980"/>
            <w:vAlign w:val="top"/>
          </w:tcPr>
          <w:p>
            <w:pPr>
              <w:spacing w:after="40" w:before="0" w:line="259" w:lineRule="auto"/>
            </w:pPr>
            <w:r>
              <w:rPr>
                <w:rFonts w:ascii="Calibri" w:hAnsi="Calibri"/>
                <w:b w:val="0"/>
                <w:i w:val="0"/>
                <w:color w:val="212121"/>
                <w:sz w:val="19"/>
              </w:rPr>
              <w:t>Consequences of chronic hyperglycaemia and of the underlying autoimmune diathesis, accruing with duration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renal disease requiring dialysis or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Blindness from proliferative retinopathy or macular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Non-traumatic lower-limb amputation and chronic foot ulceration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Post-stroke or post-myocardial-infarction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mortality and reduced life expectancy</w:t>
            </w:r>
          </w:p>
        </w:tc>
        <w:tc>
          <w:tcPr>
            <w:tcW w:type="dxa" w:w="2980"/>
            <w:vAlign w:val="top"/>
          </w:tcPr>
          <w:p>
            <w:pPr>
              <w:spacing w:after="40" w:before="0" w:line="259" w:lineRule="auto"/>
            </w:pPr>
            <w:r>
              <w:rPr>
                <w:rFonts w:ascii="Calibri" w:hAnsi="Calibri"/>
                <w:b w:val="0"/>
                <w:i w:val="0"/>
                <w:color w:val="212121"/>
                <w:sz w:val="19"/>
              </w:rPr>
              <w:t>Irreversible, disabling end-organ outcomes of longstanding disease, magnified in India by delayed care and insulin insecurity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Autoimmune (Hashimoto) thyroid disease / hypothyroidism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Commonest autoimmune association; screen periodically, especially in girls.</w:t>
            </w:r>
          </w:p>
          <w:p>
            <w:pPr>
              <w:spacing w:after="40" w:before="0" w:line="259" w:lineRule="auto"/>
            </w:pPr>
            <w:r>
              <w:rPr>
                <w:rFonts w:ascii="Calibri" w:hAnsi="Calibri"/>
                <w:b/>
                <w:i w:val="0"/>
                <w:color w:val="212121"/>
                <w:sz w:val="19"/>
              </w:rPr>
              <w:t>Up to ~26% (girls)</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Over-represented at diagnosis; may modulate autoimmune β-cell injury.</w:t>
            </w:r>
          </w:p>
          <w:p>
            <w:pPr>
              <w:spacing w:after="40" w:before="0" w:line="259" w:lineRule="auto"/>
            </w:pPr>
            <w:r>
              <w:rPr>
                <w:rFonts w:ascii="Calibri" w:hAnsi="Calibri"/>
                <w:b/>
                <w:i w:val="0"/>
                <w:color w:val="212121"/>
                <w:sz w:val="19"/>
              </w:rPr>
              <w:t>Up to 58% (newly diagnosed)</w:t>
            </w:r>
          </w:p>
        </w:tc>
      </w:tr>
      <w:tr>
        <w:trPr>
          <w:cantSplit/>
        </w:trPr>
        <w:tc>
          <w:tcPr>
            <w:tcW w:type="dxa" w:w="2232"/>
            <w:vAlign w:val="top"/>
          </w:tcPr>
          <w:p>
            <w:pPr>
              <w:spacing w:after="40" w:before="0" w:line="259" w:lineRule="auto"/>
            </w:pPr>
            <w:r>
              <w:rPr>
                <w:rFonts w:ascii="Calibri" w:hAnsi="Calibri"/>
                <w:b/>
                <w:i w:val="0"/>
                <w:color w:val="212121"/>
                <w:sz w:val="19"/>
              </w:rPr>
              <w:t>Celiac disease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Shared HLA-DQ2/DQ8; causes erratic glycaemia, short stature and anaemia.</w:t>
            </w:r>
          </w:p>
          <w:p>
            <w:pPr>
              <w:spacing w:after="40" w:before="0" w:line="259" w:lineRule="auto"/>
            </w:pPr>
            <w:r>
              <w:rPr>
                <w:rFonts w:ascii="Calibri" w:hAnsi="Calibri"/>
                <w:b/>
                <w:i w:val="0"/>
                <w:color w:val="212121"/>
                <w:sz w:val="19"/>
              </w:rPr>
              <w:t>Up to ~11%</w:t>
            </w:r>
          </w:p>
        </w:tc>
      </w:tr>
      <w:tr>
        <w:trPr>
          <w:cantSplit/>
        </w:trPr>
        <w:tc>
          <w:tcPr>
            <w:tcW w:type="dxa" w:w="2232"/>
            <w:vAlign w:val="top"/>
          </w:tcPr>
          <w:p>
            <w:pPr>
              <w:spacing w:after="40" w:before="0" w:line="259" w:lineRule="auto"/>
            </w:pPr>
            <w:r>
              <w:rPr>
                <w:rFonts w:ascii="Calibri" w:hAnsi="Calibri"/>
                <w:b/>
                <w:i w:val="0"/>
                <w:color w:val="212121"/>
                <w:sz w:val="19"/>
              </w:rPr>
              <w:t>Diabetic retinopathy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Early non-proliferative changes appear with longer duration and hypertension.</w:t>
            </w:r>
          </w:p>
          <w:p>
            <w:pPr>
              <w:spacing w:after="40" w:before="0" w:line="259" w:lineRule="auto"/>
            </w:pPr>
            <w:r>
              <w:rPr>
                <w:rFonts w:ascii="Calibri" w:hAnsi="Calibri"/>
                <w:b/>
                <w:i w:val="0"/>
                <w:color w:val="212121"/>
                <w:sz w:val="19"/>
              </w:rPr>
              <w:t>~6–13%</w:t>
            </w:r>
          </w:p>
        </w:tc>
      </w:tr>
      <w:tr>
        <w:trPr>
          <w:cantSplit/>
        </w:trPr>
        <w:tc>
          <w:tcPr>
            <w:tcW w:type="dxa" w:w="2232"/>
            <w:vAlign w:val="top"/>
          </w:tcPr>
          <w:p>
            <w:pPr>
              <w:spacing w:after="40" w:before="0" w:line="259" w:lineRule="auto"/>
            </w:pPr>
            <w:r>
              <w:rPr>
                <w:rFonts w:ascii="Calibri" w:hAnsi="Calibri"/>
                <w:b/>
                <w:i w:val="0"/>
                <w:color w:val="212121"/>
                <w:sz w:val="19"/>
              </w:rPr>
              <w:t>Diabetic nephropathy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Albuminuria signals early kidney disease; screen from puberty / 5 years.</w:t>
            </w:r>
          </w:p>
          <w:p>
            <w:pPr>
              <w:spacing w:after="40" w:before="0" w:line="259" w:lineRule="auto"/>
            </w:pPr>
            <w:r>
              <w:rPr>
                <w:rFonts w:ascii="Calibri" w:hAnsi="Calibri"/>
                <w:b/>
                <w:i w:val="0"/>
                <w:color w:val="212121"/>
                <w:sz w:val="19"/>
              </w:rPr>
              <w:t>~7%</w:t>
            </w:r>
          </w:p>
        </w:tc>
      </w:tr>
      <w:tr>
        <w:trPr>
          <w:cantSplit/>
        </w:trPr>
        <w:tc>
          <w:tcPr>
            <w:tcW w:type="dxa" w:w="2232"/>
            <w:vAlign w:val="top"/>
          </w:tcPr>
          <w:p>
            <w:pPr>
              <w:spacing w:after="40" w:before="0" w:line="259" w:lineRule="auto"/>
            </w:pPr>
            <w:r>
              <w:rPr>
                <w:rFonts w:ascii="Calibri" w:hAnsi="Calibri"/>
                <w:b/>
                <w:i w:val="0"/>
                <w:color w:val="212121"/>
                <w:sz w:val="19"/>
              </w:rPr>
              <w:t>Diabetic neuropathy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Distal sensory loss with increasing duration and poor control.</w:t>
            </w:r>
          </w:p>
          <w:p>
            <w:pPr>
              <w:spacing w:after="40" w:before="0" w:line="259" w:lineRule="auto"/>
            </w:pPr>
            <w:r>
              <w:rPr>
                <w:rFonts w:ascii="Calibri" w:hAnsi="Calibri"/>
                <w:b/>
                <w:i w:val="0"/>
                <w:color w:val="212121"/>
                <w:sz w:val="19"/>
              </w:rPr>
              <w:t>~3%</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Strong independent predictor of retinopathy in youth with T1DM.</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Atherogenic lipid profile accelerates macrovascular risk when control is poor.</w:t>
            </w:r>
          </w:p>
        </w:tc>
      </w:tr>
      <w:tr>
        <w:trPr>
          <w:cantSplit/>
        </w:trPr>
        <w:tc>
          <w:tcPr>
            <w:tcW w:type="dxa" w:w="2232"/>
            <w:vAlign w:val="top"/>
          </w:tcPr>
          <w:p>
            <w:pPr>
              <w:spacing w:after="40" w:before="0" w:line="259" w:lineRule="auto"/>
            </w:pPr>
            <w:r>
              <w:rPr>
                <w:rFonts w:ascii="Calibri" w:hAnsi="Calibri"/>
                <w:b/>
                <w:i w:val="0"/>
                <w:color w:val="212121"/>
                <w:sz w:val="19"/>
              </w:rPr>
              <w:t>Depression / diabetes distress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in adolescents; worsens self-care and glycaemic control.</w:t>
            </w:r>
          </w:p>
        </w:tc>
      </w:tr>
      <w:tr>
        <w:trPr>
          <w:cantSplit/>
        </w:trPr>
        <w:tc>
          <w:tcPr>
            <w:tcW w:type="dxa" w:w="2232"/>
            <w:vAlign w:val="top"/>
          </w:tcPr>
          <w:p>
            <w:pPr>
              <w:spacing w:after="40" w:before="0" w:line="259" w:lineRule="auto"/>
            </w:pPr>
            <w:r>
              <w:rPr>
                <w:rFonts w:ascii="Calibri" w:hAnsi="Calibri"/>
                <w:b/>
                <w:i w:val="0"/>
                <w:color w:val="212121"/>
                <w:sz w:val="19"/>
              </w:rPr>
              <w:t>Disordered eating / insulin omission ('diabulimia')</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Deliberate insulin restriction for weight control; drives recurrent DKA.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classic warning signs early — excessive thirst, frequent urination, rapid weight loss, new bed-wetting, tiredness — and seek same-day testing to prevent presentation in ketoacidosis.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type 1 diabetes is autoimmune and NOT caused by diet or lifestyle, and that insulin can never be stopped, even when eating little.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structured sick-day rules: never omit insulin, check blood glucose and ketones frequently during illness, maintain hydration, and know when to reach the hospital.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an uninterrupted insulin supply, correct storage, and safe injection technique with systematic site rotation.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periodically for associated thyroid and celiac disease and for microvascular complications from ~5 years' duration or puberty.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children &amp;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T1DM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First-degree relatives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Primary-care and school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 rural households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regular activity (≥ 60 min/day for children) for cardiovascular health and better insulin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Check glucose before, during and after exercise and keep fast-acting carbohydrate on hand to treat hypoglycaemia.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pre-exercise rapid-acting insulin and/or take extra carbohydrate for prolonged or vigorous activity,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alert to delayed post-exercise and nocturnal hypoglycaemia; consider a bedtime snack after heavy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vigorous exercise when blood glucose is high with significant ketones.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adolescents with T1DM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Physically active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Insulin-pump and MDI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carbohydrate counting and match rapid-acting insulin to the carbohydrate content of each meal.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lower-glycaemic-index staples (millets, whole grains, pulses) and limit sugar-sweetened beverages to smooth post-meal glucose.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meal timing and distribute carbohydrate across meals to reduce glycaemic variability.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celiac disease is confirmed, follow a strict gluten-free diet and re-check insulin needs.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treat hypoglycaemia promptly with 15 g fast-acting glucose and recheck after 15 minutes.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T1DM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Youth with poor glycaemic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coexisting celiac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8–10 hours of regular sleep in children and adolescents to stabilise glucose regulation.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Check or monitor (CGM) overnight glucose to detect and prevent nocturnal hypoglycaemia.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unusually large evening insulin doses or heavy exercise close to bedtime without a snack.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fast-acting glucose at the bedside and ensure carers can recognise night-time hypoglycaemia.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adolescents with T1DM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hypoglycaemia unawareness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Insulin-pump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start smoking; smoking sharply accelerates diabetic kidney and cardiovascular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cessation support and counselling to adolescents and young adults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at home, given the added 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regular blood-pressure and albuminuria checks.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 with T1DM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early nephropathy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of children with T1DM</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against alcohol in youth; if an adult chooses to drink, do so only with food and glucose monitoring.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omit or reduce basal insulin to 'allow' for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Anticipate delayed, often nocturnal, hypoglycaemia and check glucose before sleep after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diabetes identification, as intoxication can mask or mimic hypoglycaemia.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 with T1DM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hypoglycaemia unawareness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diabetes distress, depression and disordered eating, particularly in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insulin omission for weight control ('diabulimia'), a driver of recurrent DKA, and address it with a multidisciplinary team.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age-appropriate psychological support and peer/family support to sustain self-care.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individualised glucose targets to reduce burnout and fear of hypoglycaemia.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 with T1DM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unexplained DKA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managing new diagnosis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apem.org/journal/view.php?doi=10.6065%2Fapem.2018.23.3.126" TargetMode="External"/><Relationship Id="rId10" Type="http://schemas.openxmlformats.org/officeDocument/2006/relationships/hyperlink" Target="https://www.ncbi.nlm.nih.gov/books/NBK581940/" TargetMode="External"/><Relationship Id="rId11" Type="http://schemas.openxmlformats.org/officeDocument/2006/relationships/hyperlink" Target="https://diabetesjournals.org/care/article/48/Supplement_1/S27/157566/2-Diagnosis-and-Classification-of-Diabetes" TargetMode="External"/><Relationship Id="rId12" Type="http://schemas.openxmlformats.org/officeDocument/2006/relationships/hyperlink" Target="https://journals.plos.org/globalpublichealth/article?id=10.1371%2Fjournal.pgph.0005129" TargetMode="External"/><Relationship Id="rId13" Type="http://schemas.openxmlformats.org/officeDocument/2006/relationships/hyperlink" Target="https://ijmr.org.in/celiac-disease-type-1-diabetes-mellitus-connections-implications/" TargetMode="External"/><Relationship Id="rId14" Type="http://schemas.openxmlformats.org/officeDocument/2006/relationships/hyperlink" Target="https://journals.sagepub.com/doi/10.1177/117955142412759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