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Gestational Diabetes Mellitus</w:t>
      </w:r>
    </w:p>
    <w:p>
      <w:pPr>
        <w:spacing w:before="0" w:after="160"/>
      </w:pPr>
      <w:r>
        <w:rPr>
          <w:rFonts w:ascii="Calibri" w:hAnsi="Calibri"/>
          <w:b/>
          <w:i w:val="0"/>
          <w:color w:val="212121"/>
          <w:sz w:val="22"/>
        </w:rPr>
        <w:t xml:space="preserve">AKA </w:t>
      </w:r>
      <w:r>
        <w:rPr>
          <w:rFonts w:ascii="Calibri" w:hAnsi="Calibri"/>
          <w:b w:val="0"/>
          <w:i w:val="0"/>
          <w:color w:val="212121"/>
          <w:sz w:val="22"/>
        </w:rPr>
        <w:t>i.e., GDM, Diabetes of pregnancy, Pregnancy-induced diabetes, Sugar in pregnancy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Gestational diabetes mellitus (GDM) is any degree of glucose intolerance with onset or first recognition during pregnancy, arising when placental anti-insulin hormones create an insulin-resistant state that the mother's pancreatic beta-cells cannot fully compensate for. It typically develops in the second or third trimester, is frequently asymptomatic, and is detected by routine glucose testing. Although glucose usually normalises after delivery, GDM signals a high lifetime risk of type 2 diabetes for the mother and metabolic risk for the child.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Gestational diabetes complicates roughly 10-15% of pregnancies in India. A 2024 systematic review and meta-analysis (110 studies) put the pooled national prevalence at 13% (95% CI 9-16%), with wide regional variation - highest in North India (16.1%), followed by South (12.6%), Central (12.0%), East/North-East (11.5%) and West India (7.0%) - and higher in urban (12%) than rural (10%) settings. India's very high background of prediabetes (15.3%), abdominal obesity (39.5%) and an early-onset, lean Asian-Indian diabetes phenotype make Indian women especially susceptible.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GDM is screened at 24-28 weeks of gestation (and earlier in high-risk women), and diagnosed on an oral glucose tolerance test. Indian practice uses one of the following schemes: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One-step 75 g OGTT (IADPSG / WHO-2013, ADA-endorsed): a single abnormal value diagnoses GDM - fasting plasma glucose &gt;= 92 mg/dL (5.1 mmol/L), 1-hour &gt;= 180 mg/dL (10.0 mmol/L), or 2-hour &gt;= 153 mg/dL (8.5 mmol/L).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DIPSI single-step test (widely used in India's public antenatal programme): 75 g oral glucose is given irrespective of the last meal, and a 2-hour venous plasma glucose &gt;= 140 mg/dL (7.8 mmol/L) diagnoses GDM.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Two-step approach: a 50 g glucose challenge test (1-hour &gt;= 130-140 mg/dL is positive) followed by a 100 g OGTT read by Carpenter-Coustan criteria (fasting 95, 1-h 180, 2-h 155, 3-h 140 mg/dL; at least two values met or exceeded).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Overt (pre-gestational) diabetes - not GDM - is diagnosed when early-pregnancy values reach non-pregnant thresholds: fasting &gt;= 126 mg/dL, HbA1c &gt;= 6.5%, or random &gt;= 200 mg/dL with symptoms; hyperglycaemia detected before 15 weeks is classified as diabetes complicating pregnancy.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GDM is graded by the intensity of treatment required and is distinguished from pre-existing diabetes uncovered during pregnancy:</w:t>
      </w:r>
    </w:p>
    <w:p>
      <w:pPr>
        <w:spacing w:before="0" w:after="80"/>
      </w:pPr>
      <w:r>
        <w:rPr>
          <w:rFonts w:ascii="Calibri" w:hAnsi="Calibri"/>
          <w:b w:val="0"/>
          <w:i w:val="0"/>
          <w:color w:val="212121"/>
          <w:sz w:val="21"/>
        </w:rPr>
        <w:t>(1) Class A1 GDM (diet-controlled): fasting and post-prandial glucose targets are achieved with medical nutrition therapy and physical activity alone, without pharmacotherapy.</w:t>
      </w:r>
    </w:p>
    <w:p>
      <w:pPr>
        <w:spacing w:before="0" w:after="80"/>
      </w:pPr>
      <w:r>
        <w:rPr>
          <w:rFonts w:ascii="Calibri" w:hAnsi="Calibri"/>
          <w:b w:val="0"/>
          <w:i w:val="0"/>
          <w:color w:val="212121"/>
          <w:sz w:val="21"/>
        </w:rPr>
        <w:t>(2) Class A2 GDM (medication-requiring): nutrition therapy fails to meet targets and pharmacotherapy - insulin (preferred) or metformin/glyburide - is needed; this class carries higher fetal risk.</w:t>
      </w:r>
    </w:p>
    <w:p>
      <w:pPr>
        <w:spacing w:before="0" w:after="80"/>
      </w:pPr>
      <w:r>
        <w:rPr>
          <w:rFonts w:ascii="Calibri" w:hAnsi="Calibri"/>
          <w:b w:val="0"/>
          <w:i w:val="0"/>
          <w:color w:val="212121"/>
          <w:sz w:val="21"/>
        </w:rPr>
        <w:t>(3) Overt / pre-gestational diabetes detected in pregnancy: hyperglycaemia meeting non-pregnant diabetes criteria (often present before conception), which carries a higher risk of congenital malformation and needs immediate management rather than routine GDM care.</w:t>
      </w:r>
    </w:p>
    <w:p>
      <w:pPr>
        <w:spacing w:before="0" w:after="80"/>
      </w:pPr>
      <w:r>
        <w:rPr>
          <w:rFonts w:ascii="Calibri" w:hAnsi="Calibri"/>
          <w:b w:val="0"/>
          <w:i w:val="0"/>
          <w:color w:val="212121"/>
          <w:sz w:val="21"/>
        </w:rPr>
        <w:t>(4) Diagnostic-scheme variants: India's ICMR-FOGSI-MoHFW guidance favours the single-step DIPSI test for universal community screening, whereas many tertiary centres apply the IADPSG one-step or the two-step approach - a major reason for the wide prevalence range reported across the country.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Placental anti-insulin hormones: human placental lactogen, placental growth hormone, cortisol, progesterone, prolactin and oestrogen rise through the 2nd-3rd trimester and antagonise insulin, so about 1.5-2.5 times more insulin is required than in the non-pregnant state.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Beta-cell insufficiency: women with limited pancreatic beta-cell reserve cannot mount the compensatory insulin surge, so glucose rises - GDM often unmasks a latent predisposition to type 2 diabetes.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Pre-pregnancy insulin resistance and adiposity: overweight, central/visceral fat and the Asian-Indian thin-fat phenotype set a high baseline of resistance onto which pregnancy adds further load.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ethnic predisposition: a family history of type 2 diabetes and South-Asian ethnicity share susceptibility genes and confer GDM at younger ages and lower BMI.</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Advanced maternal age and parity: beta-cell function declines and cumulative metabolic risk rises with age (especially &gt;= 35 years) and higher parity.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low-grade inflammation: adipokine imbalance and TNF-alpha (a strong predictor of pregnancy insulin sensitivity) impair insulin signalling.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women (adults)</w:t>
            </w:r>
          </w:p>
        </w:tc>
        <w:tc>
          <w:tcPr>
            <w:tcW w:type="dxa" w:w="4276"/>
            <w:vAlign w:val="top"/>
          </w:tcPr>
          <w:p>
            <w:pPr>
              <w:spacing w:after="60" w:line="259" w:lineRule="auto"/>
            </w:pPr>
            <w:r>
              <w:rPr>
                <w:rFonts w:ascii="Calibri" w:hAnsi="Calibri"/>
                <w:b w:val="0"/>
                <w:i w:val="0"/>
                <w:color w:val="212121"/>
                <w:sz w:val="19"/>
              </w:rPr>
              <w:t>Pregnancy at any adult age superimposes placental insulin resistance on baseline metabolism, and risk climbs across the reproductive years as pre-pregnancy weight and dysglycaemia accumulate. In India this is amplified by an early-onset, lean type-2-diabetes phenotype.</w:t>
            </w:r>
          </w:p>
          <w:p>
            <w:pPr>
              <w:spacing w:after="40" w:before="60" w:line="259" w:lineRule="auto"/>
            </w:pPr>
            <w:r>
              <w:rPr>
                <w:rFonts w:ascii="Calibri" w:hAnsi="Calibri"/>
                <w:b w:val="0"/>
                <w:i w:val="0"/>
                <w:color w:val="212121"/>
                <w:sz w:val="19"/>
              </w:rPr>
              <w:t>India's pooled GDM prevalence is 13% of pregnancies (95% CI 9-16%), reflecting the high metabolic risk of reproductive-age Indian women.</w:t>
            </w:r>
          </w:p>
          <w:p>
            <w:pPr>
              <w:spacing w:after="40" w:line="252" w:lineRule="auto"/>
            </w:pPr>
            <w:hyperlink r:id="rId9">
              <w:r>
                <w:rPr>
                  <w:rFonts w:ascii="Calibri" w:hAnsi="Calibri" w:cs="Calibri"/>
                  <w:sz w:val="18"/>
                  <w:color w:val="1155CC"/>
                  <w:u w:val="single"/>
                </w:rPr>
                <w:t xml:space="preserve">link.springer.com - GDM prevalence in India (meta-analysis)</w:t>
              </w:r>
            </w:hyperlink>
          </w:p>
          <w:p>
            <w:pPr>
              <w:spacing w:before="60" w:after="40"/>
            </w:pPr>
            <w:r>
              <w:rPr>
                <w:rFonts w:ascii="Calibri" w:hAnsi="Calibri"/>
                <w:b w:val="0"/>
                <w:i w:val="0"/>
                <w:color w:val="5A5A5A"/>
                <w:sz w:val="18"/>
              </w:rPr>
              <w:t>#GDM  #insulinresistance  #reproductiveage  #Indianphenotype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Advanced maternal age (&gt;= 35 years)</w:t>
            </w:r>
          </w:p>
        </w:tc>
        <w:tc>
          <w:tcPr>
            <w:tcW w:type="dxa" w:w="4276"/>
            <w:vAlign w:val="top"/>
          </w:tcPr>
          <w:p>
            <w:pPr>
              <w:spacing w:after="60" w:line="259" w:lineRule="auto"/>
            </w:pPr>
            <w:r>
              <w:rPr>
                <w:rFonts w:ascii="Calibri" w:hAnsi="Calibri"/>
                <w:b w:val="0"/>
                <w:i w:val="0"/>
                <w:color w:val="212121"/>
                <w:sz w:val="19"/>
              </w:rPr>
              <w:t>Advanced maternal age raises GDM risk through age-related beta-cell decline and greater accrued adiposity; paternal age above 55 also contributes.</w:t>
            </w:r>
          </w:p>
          <w:p>
            <w:pPr>
              <w:spacing w:after="40" w:before="60" w:line="259" w:lineRule="auto"/>
            </w:pPr>
            <w:r>
              <w:rPr>
                <w:rFonts w:ascii="Calibri" w:hAnsi="Calibri"/>
                <w:b w:val="0"/>
                <w:i w:val="0"/>
                <w:color w:val="212121"/>
                <w:sz w:val="19"/>
              </w:rPr>
              <w:t>Maternal age above 35 years is an established independent risk factor for GDM.</w:t>
            </w:r>
          </w:p>
          <w:p>
            <w:pPr>
              <w:spacing w:after="40" w:line="252" w:lineRule="auto"/>
            </w:pPr>
            <w:hyperlink r:id="rId10">
              <w:r>
                <w:rPr>
                  <w:rFonts w:ascii="Calibri" w:hAnsi="Calibri" w:cs="Calibri"/>
                  <w:sz w:val="18"/>
                  <w:color w:val="1155CC"/>
                  <w:u w:val="single"/>
                </w:rPr>
                <w:t xml:space="preserve">en.wikipedia.org - Gestational diabetes (risk factors)</w:t>
              </w:r>
            </w:hyperlink>
          </w:p>
          <w:p>
            <w:pPr>
              <w:spacing w:before="60" w:after="40"/>
            </w:pPr>
            <w:r>
              <w:rPr>
                <w:rFonts w:ascii="Calibri" w:hAnsi="Calibri"/>
                <w:b w:val="0"/>
                <w:i w:val="0"/>
                <w:color w:val="5A5A5A"/>
                <w:sz w:val="18"/>
              </w:rPr>
              <w:t>#advancedmaternalage  #betacell  #AMA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GDM is by definition a disorder of pregnant women; Asian-Indian women develop it at a lower BMI and younger age than Western populations because of a higher body-fat percentage at any given weight.</w:t>
            </w:r>
          </w:p>
          <w:p>
            <w:pPr>
              <w:spacing w:after="40" w:before="60" w:line="259" w:lineRule="auto"/>
            </w:pPr>
            <w:r>
              <w:rPr>
                <w:rFonts w:ascii="Calibri" w:hAnsi="Calibri"/>
                <w:b w:val="0"/>
                <w:i w:val="0"/>
                <w:color w:val="212121"/>
                <w:sz w:val="19"/>
              </w:rPr>
              <w:t>Overweight, prior GDM, family history of type 2 diabetes and PCOS are the leading maternal risk factors identified by CDC.</w:t>
            </w:r>
          </w:p>
          <w:p>
            <w:pPr>
              <w:spacing w:after="40" w:line="252" w:lineRule="auto"/>
            </w:pPr>
            <w:hyperlink r:id="rId11">
              <w:r>
                <w:rPr>
                  <w:rFonts w:ascii="Calibri" w:hAnsi="Calibri" w:cs="Calibri"/>
                  <w:sz w:val="18"/>
                  <w:color w:val="1155CC"/>
                  <w:u w:val="single"/>
                </w:rPr>
                <w:t xml:space="preserve">cdc.gov - gestational diabetes risk factors</w:t>
              </w:r>
            </w:hyperlink>
          </w:p>
          <w:p>
            <w:pPr>
              <w:spacing w:before="60" w:after="40"/>
            </w:pPr>
            <w:r>
              <w:rPr>
                <w:rFonts w:ascii="Calibri" w:hAnsi="Calibri"/>
                <w:b w:val="0"/>
                <w:i w:val="0"/>
                <w:color w:val="5A5A5A"/>
                <w:sz w:val="18"/>
              </w:rPr>
              <w:t>#pregnancy  #women  #thinfat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women; also low-SES undernourished women</w:t>
            </w:r>
          </w:p>
        </w:tc>
        <w:tc>
          <w:tcPr>
            <w:tcW w:type="dxa" w:w="4276"/>
            <w:vAlign w:val="top"/>
          </w:tcPr>
          <w:p>
            <w:pPr>
              <w:spacing w:after="60" w:line="259" w:lineRule="auto"/>
            </w:pPr>
            <w:r>
              <w:rPr>
                <w:rFonts w:ascii="Calibri" w:hAnsi="Calibri"/>
                <w:b w:val="0"/>
                <w:i w:val="0"/>
                <w:color w:val="212121"/>
                <w:sz w:val="19"/>
              </w:rPr>
              <w:t>Urbanisation brings sedentary work, calorie-dense diets and higher pre-pregnancy BMI; conversely, low-socioeconomic maternal undernutrition programmes a thrifty, insulin-resistant phenotype - producing a dual burden in India.</w:t>
            </w:r>
          </w:p>
          <w:p>
            <w:pPr>
              <w:spacing w:after="40" w:before="60" w:line="259" w:lineRule="auto"/>
            </w:pPr>
            <w:r>
              <w:rPr>
                <w:rFonts w:ascii="Calibri" w:hAnsi="Calibri"/>
                <w:b w:val="0"/>
                <w:i w:val="0"/>
                <w:color w:val="212121"/>
                <w:sz w:val="19"/>
              </w:rPr>
              <w:t>Urban Indian pregnancies show higher GDM prevalence (12%) than rural pregnancies (10%).</w:t>
            </w:r>
          </w:p>
          <w:p>
            <w:pPr>
              <w:spacing w:after="40" w:line="252" w:lineRule="auto"/>
            </w:pPr>
            <w:hyperlink r:id="rId9">
              <w:r>
                <w:rPr>
                  <w:rFonts w:ascii="Calibri" w:hAnsi="Calibri" w:cs="Calibri"/>
                  <w:sz w:val="18"/>
                  <w:color w:val="1155CC"/>
                  <w:u w:val="single"/>
                </w:rPr>
                <w:t xml:space="preserve">link.springer.com - urban vs rural GDM, India</w:t>
              </w:r>
            </w:hyperlink>
          </w:p>
          <w:p>
            <w:pPr>
              <w:spacing w:before="60" w:after="40"/>
            </w:pPr>
            <w:r>
              <w:rPr>
                <w:rFonts w:ascii="Calibri" w:hAnsi="Calibri"/>
                <w:b w:val="0"/>
                <w:i w:val="0"/>
                <w:color w:val="5A5A5A"/>
                <w:sz w:val="18"/>
              </w:rPr>
              <w:t>#urbanisation  #socioeconomic  #doubleburden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Asian-Indian / South Asian women</w:t>
            </w:r>
          </w:p>
        </w:tc>
        <w:tc>
          <w:tcPr>
            <w:tcW w:type="dxa" w:w="4276"/>
            <w:vAlign w:val="top"/>
          </w:tcPr>
          <w:p>
            <w:pPr>
              <w:spacing w:after="60" w:line="259" w:lineRule="auto"/>
            </w:pPr>
            <w:r>
              <w:rPr>
                <w:rFonts w:ascii="Calibri" w:hAnsi="Calibri"/>
                <w:b w:val="0"/>
                <w:i w:val="0"/>
                <w:color w:val="212121"/>
                <w:sz w:val="19"/>
              </w:rPr>
              <w:t>South-Asian ethnicity is an independent high-risk factor; Indian women manifest GDM at a lower BMI, younger age and with greater central adiposity than European women.</w:t>
            </w:r>
          </w:p>
          <w:p>
            <w:pPr>
              <w:spacing w:after="40" w:before="60" w:line="259" w:lineRule="auto"/>
            </w:pPr>
            <w:r>
              <w:rPr>
                <w:rFonts w:ascii="Calibri" w:hAnsi="Calibri"/>
                <w:b w:val="0"/>
                <w:i w:val="0"/>
                <w:color w:val="212121"/>
                <w:sz w:val="19"/>
              </w:rPr>
              <w:t>South Asians are listed among the highest-risk ethnicities for gestational diabetes.</w:t>
            </w:r>
          </w:p>
          <w:p>
            <w:pPr>
              <w:spacing w:after="40" w:line="252" w:lineRule="auto"/>
            </w:pPr>
            <w:hyperlink r:id="rId10">
              <w:r>
                <w:rPr>
                  <w:rFonts w:ascii="Calibri" w:hAnsi="Calibri" w:cs="Calibri"/>
                  <w:sz w:val="18"/>
                  <w:color w:val="1155CC"/>
                  <w:u w:val="single"/>
                </w:rPr>
                <w:t xml:space="preserve">en.wikipedia.org - GDM high-risk ethnicities</w:t>
              </w:r>
            </w:hyperlink>
          </w:p>
          <w:p>
            <w:pPr>
              <w:spacing w:before="60" w:after="40"/>
            </w:pPr>
            <w:r>
              <w:rPr>
                <w:rFonts w:ascii="Calibri" w:hAnsi="Calibri"/>
                <w:b w:val="0"/>
                <w:i w:val="0"/>
                <w:color w:val="5A5A5A"/>
                <w:sz w:val="18"/>
              </w:rPr>
              <w:t>#SouthAsian  #ethnicity  #centraladiposity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women</w:t>
            </w:r>
          </w:p>
        </w:tc>
        <w:tc>
          <w:tcPr>
            <w:tcW w:type="dxa" w:w="4276"/>
            <w:vAlign w:val="top"/>
          </w:tcPr>
          <w:p>
            <w:pPr>
              <w:spacing w:after="60" w:line="259" w:lineRule="auto"/>
            </w:pPr>
            <w:r>
              <w:rPr>
                <w:rFonts w:ascii="Calibri" w:hAnsi="Calibri"/>
                <w:b w:val="0"/>
                <w:i w:val="0"/>
                <w:color w:val="212121"/>
                <w:sz w:val="19"/>
              </w:rPr>
              <w:t>Regional prevalence varies widely with diet, urbanisation and screening intensity; northern India records the highest pooled GDM burden in the country.</w:t>
            </w:r>
          </w:p>
          <w:p>
            <w:pPr>
              <w:spacing w:after="40" w:before="60" w:line="259" w:lineRule="auto"/>
            </w:pPr>
            <w:r>
              <w:rPr>
                <w:rFonts w:ascii="Calibri" w:hAnsi="Calibri"/>
                <w:b w:val="0"/>
                <w:i w:val="0"/>
                <w:color w:val="212121"/>
                <w:sz w:val="19"/>
              </w:rPr>
              <w:t>North India: 16.1% (95% CI 9.9-22.7); South 12.6%, Central 12.0%, East/North-East 11.5%, West 7.0%.</w:t>
            </w:r>
          </w:p>
          <w:p>
            <w:pPr>
              <w:spacing w:after="40" w:line="252" w:lineRule="auto"/>
            </w:pPr>
            <w:hyperlink r:id="rId9">
              <w:r>
                <w:rPr>
                  <w:rFonts w:ascii="Calibri" w:hAnsi="Calibri" w:cs="Calibri"/>
                  <w:sz w:val="18"/>
                  <w:color w:val="1155CC"/>
                  <w:u w:val="single"/>
                </w:rPr>
                <w:t xml:space="preserve">link.springer.com - regional GDM prevalence, India</w:t>
              </w:r>
            </w:hyperlink>
          </w:p>
          <w:p>
            <w:pPr>
              <w:spacing w:before="60" w:after="40"/>
            </w:pPr>
            <w:r>
              <w:rPr>
                <w:rFonts w:ascii="Calibri" w:hAnsi="Calibri"/>
                <w:b w:val="0"/>
                <w:i w:val="0"/>
                <w:color w:val="5A5A5A"/>
                <w:sz w:val="18"/>
              </w:rPr>
              <w:t>#NorthIndia  #regionalvariation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&amp; urban Indian women</w:t>
            </w:r>
          </w:p>
        </w:tc>
        <w:tc>
          <w:tcPr>
            <w:tcW w:type="dxa" w:w="4276"/>
            <w:vAlign w:val="top"/>
          </w:tcPr>
          <w:p>
            <w:pPr>
              <w:spacing w:after="60" w:line="259" w:lineRule="auto"/>
            </w:pPr>
            <w:r>
              <w:rPr>
                <w:rFonts w:ascii="Calibri" w:hAnsi="Calibri"/>
                <w:b w:val="0"/>
                <w:i w:val="0"/>
                <w:color w:val="212121"/>
                <w:sz w:val="19"/>
              </w:rPr>
              <w:t>Southern and heavily-urbanised regions carry high GDM burdens, mirroring their high background type-2-diabetes prevalence.</w:t>
            </w:r>
          </w:p>
          <w:p>
            <w:pPr>
              <w:spacing w:after="40" w:before="60" w:line="259" w:lineRule="auto"/>
            </w:pPr>
            <w:r>
              <w:rPr>
                <w:rFonts w:ascii="Calibri" w:hAnsi="Calibri"/>
                <w:b w:val="0"/>
                <w:i w:val="0"/>
                <w:color w:val="212121"/>
                <w:sz w:val="19"/>
              </w:rPr>
              <w:t>South India pooled GDM is 12.6%; national background diabetes is 11.4% and prediabetes 15.3% (ICMR-INDIAB).</w:t>
            </w:r>
          </w:p>
          <w:p>
            <w:pPr>
              <w:spacing w:after="40" w:line="252" w:lineRule="auto"/>
            </w:pPr>
            <w:hyperlink r:id="rId12">
              <w:r>
                <w:rPr>
                  <w:rFonts w:ascii="Calibri" w:hAnsi="Calibri" w:cs="Calibri"/>
                  <w:sz w:val="18"/>
                  <w:color w:val="1155CC"/>
                  <w:u w:val="single"/>
                </w:rPr>
                <w:t xml:space="preserve">nmji.in - ICMR-INDIAB national diabetes/prediabetes</w:t>
              </w:r>
            </w:hyperlink>
          </w:p>
          <w:p>
            <w:pPr>
              <w:spacing w:before="60" w:after="40"/>
            </w:pPr>
            <w:r>
              <w:rPr>
                <w:rFonts w:ascii="Calibri" w:hAnsi="Calibri"/>
                <w:b w:val="0"/>
                <w:i w:val="0"/>
                <w:color w:val="5A5A5A"/>
                <w:sz w:val="18"/>
              </w:rPr>
              <w:t>#SouthIndia  #dysglycaemia  #urbanIndia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women, office workers, homemakers</w:t>
            </w:r>
          </w:p>
        </w:tc>
        <w:tc>
          <w:tcPr>
            <w:tcW w:type="dxa" w:w="4276"/>
            <w:vAlign w:val="top"/>
          </w:tcPr>
          <w:p>
            <w:pPr>
              <w:spacing w:after="60" w:line="259" w:lineRule="auto"/>
            </w:pPr>
            <w:r>
              <w:rPr>
                <w:rFonts w:ascii="Calibri" w:hAnsi="Calibri"/>
                <w:b w:val="0"/>
                <w:i w:val="0"/>
                <w:color w:val="212121"/>
                <w:sz w:val="19"/>
              </w:rPr>
              <w:t>Physical inactivity lowers skeletal-muscle glucose uptake and worsens the insulin resistance of pregnancy; activity before and during pregnancy is protective.</w:t>
            </w:r>
          </w:p>
          <w:p>
            <w:pPr>
              <w:spacing w:after="40" w:before="60" w:line="259" w:lineRule="auto"/>
            </w:pPr>
            <w:r>
              <w:rPr>
                <w:rFonts w:ascii="Calibri" w:hAnsi="Calibri"/>
                <w:b w:val="0"/>
                <w:i w:val="0"/>
                <w:color w:val="212121"/>
                <w:sz w:val="19"/>
              </w:rPr>
              <w:t>54.4% of Indian adults are physically inactive, more so in urban (65%) than rural (50%) areas (ICMR-INDIAB).</w:t>
            </w:r>
          </w:p>
          <w:p>
            <w:pPr>
              <w:spacing w:after="40" w:line="252" w:lineRule="auto"/>
            </w:pPr>
            <w:hyperlink r:id="rId13">
              <w:r>
                <w:rPr>
                  <w:rFonts w:ascii="Calibri" w:hAnsi="Calibri" w:cs="Calibri"/>
                  <w:sz w:val="18"/>
                  <w:color w:val="1155CC"/>
                  <w:u w:val="single"/>
                </w:rPr>
                <w:t xml:space="preserve">link.springer.com - ICMR-INDIAB physical inactivity</w:t>
              </w:r>
            </w:hyperlink>
          </w:p>
          <w:p>
            <w:pPr>
              <w:spacing w:before="60" w:after="40"/>
            </w:pPr>
            <w:r>
              <w:rPr>
                <w:rFonts w:ascii="Calibri" w:hAnsi="Calibri"/>
                <w:b w:val="0"/>
                <w:i w:val="0"/>
                <w:color w:val="5A5A5A"/>
                <w:sz w:val="18"/>
              </w:rPr>
              <w:t>#sedentary  #inactivity  #glucoseuptake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Women with active or passive tobacco exposure</w:t>
            </w:r>
          </w:p>
        </w:tc>
        <w:tc>
          <w:tcPr>
            <w:tcW w:type="dxa" w:w="4276"/>
            <w:vAlign w:val="top"/>
          </w:tcPr>
          <w:p>
            <w:pPr>
              <w:spacing w:after="60" w:line="259" w:lineRule="auto"/>
            </w:pPr>
            <w:r>
              <w:rPr>
                <w:rFonts w:ascii="Calibri" w:hAnsi="Calibri"/>
                <w:b w:val="0"/>
                <w:i w:val="0"/>
                <w:color w:val="212121"/>
                <w:sz w:val="19"/>
              </w:rPr>
              <w:t>Cigarette exposure aggravates insulin resistance and endothelial dysfunction and compounds fetal harm (growth restriction, prematurity); active and second-hand smoke are common exposures in Indian households.</w:t>
            </w:r>
          </w:p>
          <w:p>
            <w:pPr>
              <w:spacing w:after="40" w:before="60" w:line="259" w:lineRule="auto"/>
            </w:pPr>
            <w:r>
              <w:rPr>
                <w:rFonts w:ascii="Calibri" w:hAnsi="Calibri"/>
                <w:b w:val="0"/>
                <w:i w:val="0"/>
                <w:color w:val="212121"/>
                <w:sz w:val="19"/>
              </w:rPr>
              <w:t>Maternal smoking and second-hand smoke are associated with impaired glucose tolerance and adverse pregnancy outcomes.</w:t>
            </w:r>
          </w:p>
          <w:p>
            <w:pPr>
              <w:spacing w:before="60" w:after="40"/>
            </w:pPr>
            <w:r>
              <w:rPr>
                <w:rFonts w:ascii="Calibri" w:hAnsi="Calibri"/>
                <w:b w:val="0"/>
                <w:i w:val="0"/>
                <w:color w:val="5A5A5A"/>
                <w:sz w:val="18"/>
              </w:rPr>
              <w:t>#smoking  #tobacco  #passivesmoke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Women with heavy pre-pregnancy or pregnancy alcohol use</w:t>
            </w:r>
          </w:p>
        </w:tc>
        <w:tc>
          <w:tcPr>
            <w:tcW w:type="dxa" w:w="4276"/>
            <w:vAlign w:val="top"/>
          </w:tcPr>
          <w:p>
            <w:pPr>
              <w:spacing w:after="60" w:line="259" w:lineRule="auto"/>
            </w:pPr>
            <w:r>
              <w:rPr>
                <w:rFonts w:ascii="Calibri" w:hAnsi="Calibri"/>
                <w:b w:val="0"/>
                <w:i w:val="0"/>
                <w:color w:val="212121"/>
                <w:sz w:val="19"/>
              </w:rPr>
              <w:t>Heavy alcohol intake promotes insulin resistance and pancreatic and hepatic stress; any alcohol during pregnancy is unsafe for the fetus.</w:t>
            </w:r>
          </w:p>
          <w:p>
            <w:pPr>
              <w:spacing w:after="40" w:before="60" w:line="259" w:lineRule="auto"/>
            </w:pPr>
            <w:r>
              <w:rPr>
                <w:rFonts w:ascii="Calibri" w:hAnsi="Calibri"/>
                <w:b w:val="0"/>
                <w:i w:val="0"/>
                <w:color w:val="212121"/>
                <w:sz w:val="19"/>
              </w:rPr>
              <w:t>Any alcohol use in pregnancy is discouraged; heavy intake is linked to dysglycaemia and to fetal alcohol spectrum disorders.</w:t>
            </w:r>
          </w:p>
          <w:p>
            <w:pPr>
              <w:spacing w:before="60" w:after="40"/>
            </w:pPr>
            <w:r>
              <w:rPr>
                <w:rFonts w:ascii="Calibri" w:hAnsi="Calibri"/>
                <w:b w:val="0"/>
                <w:i w:val="0"/>
                <w:color w:val="5A5A5A"/>
                <w:sz w:val="18"/>
              </w:rPr>
              <w:t>#alcohol  #liver  #fetalharm</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refined-carbohydrate diet</w:t>
            </w:r>
          </w:p>
        </w:tc>
        <w:tc>
          <w:tcPr>
            <w:tcW w:type="dxa" w:w="4276"/>
            <w:vAlign w:val="top"/>
          </w:tcPr>
          <w:p>
            <w:pPr>
              <w:spacing w:after="60" w:line="259" w:lineRule="auto"/>
            </w:pPr>
            <w:r>
              <w:rPr>
                <w:rFonts w:ascii="Calibri" w:hAnsi="Calibri"/>
                <w:b w:val="0"/>
                <w:i w:val="0"/>
                <w:color w:val="212121"/>
                <w:sz w:val="19"/>
              </w:rPr>
              <w:t>Polished white rice, refined wheat, sweets and sugar-sweetened beverages create a high glycaemic load that outstrips the pregnancy insulin reserve, while low fibre intake worsens post-prandial spikes.</w:t>
            </w:r>
          </w:p>
          <w:p>
            <w:pPr>
              <w:spacing w:after="40" w:before="60" w:line="259" w:lineRule="auto"/>
            </w:pPr>
            <w:r>
              <w:rPr>
                <w:rFonts w:ascii="Calibri" w:hAnsi="Calibri"/>
                <w:b w:val="0"/>
                <w:i w:val="0"/>
                <w:color w:val="212121"/>
                <w:sz w:val="19"/>
              </w:rPr>
              <w:t>India carries a very high metabolic burden - 28.6% generalised and 39.5% abdominal obesity in adults (ICMR-INDIAB) - much of it diet-driven.</w:t>
            </w:r>
          </w:p>
          <w:p>
            <w:pPr>
              <w:spacing w:after="40" w:line="252" w:lineRule="auto"/>
            </w:pPr>
            <w:hyperlink r:id="rId12">
              <w:r>
                <w:rPr>
                  <w:rFonts w:ascii="Calibri" w:hAnsi="Calibri" w:cs="Calibri"/>
                  <w:sz w:val="18"/>
                  <w:color w:val="1155CC"/>
                  <w:u w:val="single"/>
                </w:rPr>
                <w:t xml:space="preserve">nmji.in - ICMR-INDIAB obesity prevalence</w:t>
              </w:r>
            </w:hyperlink>
          </w:p>
          <w:p>
            <w:pPr>
              <w:spacing w:before="60" w:after="40"/>
            </w:pPr>
            <w:r>
              <w:rPr>
                <w:rFonts w:ascii="Calibri" w:hAnsi="Calibri"/>
                <w:b w:val="0"/>
                <w:i w:val="0"/>
                <w:color w:val="5A5A5A"/>
                <w:sz w:val="18"/>
              </w:rPr>
              <w:t>#glycaemicload  #whiterice  #SSB  #lowfibre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Pre-pregnancy overweight (Asian BMI &gt;= 23)</w:t>
            </w:r>
          </w:p>
        </w:tc>
        <w:tc>
          <w:tcPr>
            <w:tcW w:type="dxa" w:w="4276"/>
            <w:vAlign w:val="top"/>
          </w:tcPr>
          <w:p>
            <w:pPr>
              <w:spacing w:after="60" w:line="259" w:lineRule="auto"/>
            </w:pPr>
            <w:r>
              <w:rPr>
                <w:rFonts w:ascii="Calibri" w:hAnsi="Calibri"/>
                <w:b w:val="0"/>
                <w:i w:val="0"/>
                <w:color w:val="212121"/>
                <w:sz w:val="19"/>
              </w:rPr>
              <w:t>Excess pre-pregnancy weight raises baseline insulin resistance; Asian-Indian cut-offs flag overweight from a BMI of 23.</w:t>
            </w:r>
          </w:p>
          <w:p>
            <w:pPr>
              <w:spacing w:after="40" w:before="60" w:line="259" w:lineRule="auto"/>
            </w:pPr>
            <w:r>
              <w:rPr>
                <w:rFonts w:ascii="Calibri" w:hAnsi="Calibri"/>
                <w:b w:val="0"/>
                <w:i w:val="0"/>
                <w:color w:val="212121"/>
                <w:sz w:val="19"/>
              </w:rPr>
              <w:t>Overweight roughly doubles GDM risk (reported odds around 2.1).</w:t>
            </w:r>
          </w:p>
          <w:p>
            <w:pPr>
              <w:spacing w:after="40" w:line="252" w:lineRule="auto"/>
            </w:pPr>
            <w:hyperlink r:id="rId10">
              <w:r>
                <w:rPr>
                  <w:rFonts w:ascii="Calibri" w:hAnsi="Calibri" w:cs="Calibri"/>
                  <w:sz w:val="18"/>
                  <w:color w:val="1155CC"/>
                  <w:u w:val="single"/>
                </w:rPr>
                <w:t xml:space="preserve">en.wikipedia.org - GDM &amp; overweight/obesity risk</w:t>
              </w:r>
            </w:hyperlink>
          </w:p>
          <w:p>
            <w:pPr>
              <w:spacing w:before="60" w:after="40"/>
            </w:pPr>
            <w:r>
              <w:rPr>
                <w:rFonts w:ascii="Calibri" w:hAnsi="Calibri"/>
                <w:b w:val="0"/>
                <w:i w:val="0"/>
                <w:color w:val="5A5A5A"/>
                <w:sz w:val="18"/>
              </w:rPr>
              <w:t>#overweight  #asianBMI  #prepregnancyweight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Pre-pregnancy obesity (Asian BMI &gt;= 25; &gt;= 30)</w:t>
            </w:r>
          </w:p>
        </w:tc>
        <w:tc>
          <w:tcPr>
            <w:tcW w:type="dxa" w:w="4276"/>
            <w:vAlign w:val="top"/>
          </w:tcPr>
          <w:p>
            <w:pPr>
              <w:spacing w:after="60" w:line="259" w:lineRule="auto"/>
            </w:pPr>
            <w:r>
              <w:rPr>
                <w:rFonts w:ascii="Calibri" w:hAnsi="Calibri"/>
                <w:b w:val="0"/>
                <w:i w:val="0"/>
                <w:color w:val="212121"/>
                <w:sz w:val="19"/>
              </w:rPr>
              <w:t>Obesity, especially central obesity, sharply increases GDM risk and the likelihood of later conversion to type 2 diabetes.</w:t>
            </w:r>
          </w:p>
          <w:p>
            <w:pPr>
              <w:spacing w:after="40" w:before="60" w:line="259" w:lineRule="auto"/>
            </w:pPr>
            <w:r>
              <w:rPr>
                <w:rFonts w:ascii="Calibri" w:hAnsi="Calibri"/>
                <w:b w:val="0"/>
                <w:i w:val="0"/>
                <w:color w:val="212121"/>
                <w:sz w:val="19"/>
              </w:rPr>
              <w:t>Obesity raises GDM risk about 3.6-fold (moderate) to 8.6-fold (severe).</w:t>
            </w:r>
          </w:p>
          <w:p>
            <w:pPr>
              <w:spacing w:after="40" w:line="252" w:lineRule="auto"/>
            </w:pPr>
            <w:hyperlink r:id="rId10">
              <w:r>
                <w:rPr>
                  <w:rFonts w:ascii="Calibri" w:hAnsi="Calibri" w:cs="Calibri"/>
                  <w:sz w:val="18"/>
                  <w:color w:val="1155CC"/>
                  <w:u w:val="single"/>
                </w:rPr>
                <w:t xml:space="preserve">en.wikipedia.org - GDM &amp; obesity risk</w:t>
              </w:r>
            </w:hyperlink>
          </w:p>
          <w:p>
            <w:pPr>
              <w:spacing w:before="60" w:after="40"/>
            </w:pPr>
            <w:r>
              <w:rPr>
                <w:rFonts w:ascii="Calibri" w:hAnsi="Calibri"/>
                <w:b w:val="0"/>
                <w:i w:val="0"/>
                <w:color w:val="5A5A5A"/>
                <w:sz w:val="18"/>
              </w:rPr>
              <w:t>#obesity  #visceralfat  #metabolicsyndrome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type 2 diabetes</w:t>
            </w:r>
          </w:p>
        </w:tc>
        <w:tc>
          <w:tcPr>
            <w:tcW w:type="dxa" w:w="4276"/>
            <w:vAlign w:val="top"/>
          </w:tcPr>
          <w:p>
            <w:pPr>
              <w:spacing w:after="60" w:line="259" w:lineRule="auto"/>
            </w:pPr>
            <w:r>
              <w:rPr>
                <w:rFonts w:ascii="Calibri" w:hAnsi="Calibri"/>
                <w:b w:val="0"/>
                <w:i w:val="0"/>
                <w:color w:val="212121"/>
                <w:sz w:val="19"/>
              </w:rPr>
              <w:t>Shared type-2-diabetes susceptibility genes and beta-cell traits are inherited, so a first-degree family history strongly predicts GDM.</w:t>
            </w:r>
          </w:p>
          <w:p>
            <w:pPr>
              <w:spacing w:after="40" w:before="60" w:line="259" w:lineRule="auto"/>
            </w:pPr>
            <w:r>
              <w:rPr>
                <w:rFonts w:ascii="Calibri" w:hAnsi="Calibri"/>
                <w:b w:val="0"/>
                <w:i w:val="0"/>
                <w:color w:val="212121"/>
                <w:sz w:val="19"/>
              </w:rPr>
              <w:t>Family history of type 2 diabetes is one of the leading GDM risk factors identified by CDC.</w:t>
            </w:r>
          </w:p>
          <w:p>
            <w:pPr>
              <w:spacing w:after="40" w:line="252" w:lineRule="auto"/>
            </w:pPr>
            <w:hyperlink r:id="rId11">
              <w:r>
                <w:rPr>
                  <w:rFonts w:ascii="Calibri" w:hAnsi="Calibri" w:cs="Calibri"/>
                  <w:sz w:val="18"/>
                  <w:color w:val="1155CC"/>
                  <w:u w:val="single"/>
                </w:rPr>
                <w:t xml:space="preserve">cdc.gov - gestational diabetes risk factors</w:t>
              </w:r>
            </w:hyperlink>
          </w:p>
          <w:p>
            <w:pPr>
              <w:spacing w:before="60" w:after="40"/>
            </w:pPr>
            <w:r>
              <w:rPr>
                <w:rFonts w:ascii="Calibri" w:hAnsi="Calibri"/>
                <w:b w:val="0"/>
                <w:i w:val="0"/>
                <w:color w:val="5A5A5A"/>
                <w:sz w:val="18"/>
              </w:rPr>
              <w:t>#familyhistory  #genetics  #betacell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 phenotype</w:t>
            </w:r>
          </w:p>
        </w:tc>
        <w:tc>
          <w:tcPr>
            <w:tcW w:type="dxa" w:w="2160"/>
            <w:vAlign w:val="top"/>
          </w:tcPr>
          <w:p>
            <w:pPr>
              <w:spacing w:after="40" w:before="0" w:line="259" w:lineRule="auto"/>
            </w:pPr>
            <w:r>
              <w:rPr>
                <w:rFonts w:ascii="Calibri" w:hAnsi="Calibri"/>
                <w:b w:val="0"/>
                <w:i w:val="0"/>
                <w:color w:val="212121"/>
                <w:sz w:val="19"/>
              </w:rPr>
              <w:t>Thin-fat Asian-Indian phenotype</w:t>
            </w:r>
          </w:p>
        </w:tc>
        <w:tc>
          <w:tcPr>
            <w:tcW w:type="dxa" w:w="4276"/>
            <w:vAlign w:val="top"/>
          </w:tcPr>
          <w:p>
            <w:pPr>
              <w:spacing w:after="60" w:line="259" w:lineRule="auto"/>
            </w:pPr>
            <w:r>
              <w:rPr>
                <w:rFonts w:ascii="Calibri" w:hAnsi="Calibri"/>
                <w:b w:val="0"/>
                <w:i w:val="0"/>
                <w:color w:val="212121"/>
                <w:sz w:val="19"/>
              </w:rPr>
              <w:t>Indians tend to be born with higher adiposity and lower muscle mass for a given birth weight, predisposing to lifelong insulin resistance and to GDM in adulthood.</w:t>
            </w:r>
          </w:p>
          <w:p>
            <w:pPr>
              <w:spacing w:after="40" w:before="60" w:line="259" w:lineRule="auto"/>
            </w:pPr>
            <w:r>
              <w:rPr>
                <w:rFonts w:ascii="Calibri" w:hAnsi="Calibri"/>
                <w:b w:val="0"/>
                <w:i w:val="0"/>
                <w:color w:val="212121"/>
                <w:sz w:val="19"/>
              </w:rPr>
              <w:t>India's abdominal-obesity prevalence of 39.5% reflects the central-adiposity phenotype that drives dysglycaemia.</w:t>
            </w:r>
          </w:p>
          <w:p>
            <w:pPr>
              <w:spacing w:after="40" w:line="252" w:lineRule="auto"/>
            </w:pPr>
            <w:hyperlink r:id="rId12">
              <w:r>
                <w:rPr>
                  <w:rFonts w:ascii="Calibri" w:hAnsi="Calibri" w:cs="Calibri"/>
                  <w:sz w:val="18"/>
                  <w:color w:val="1155CC"/>
                  <w:u w:val="single"/>
                </w:rPr>
                <w:t xml:space="preserve">nmji.in - ICMR-INDIAB abdominal obesity</w:t>
              </w:r>
            </w:hyperlink>
          </w:p>
          <w:p>
            <w:pPr>
              <w:spacing w:before="60" w:after="40"/>
            </w:pPr>
            <w:r>
              <w:rPr>
                <w:rFonts w:ascii="Calibri" w:hAnsi="Calibri"/>
                <w:b w:val="0"/>
                <w:i w:val="0"/>
                <w:color w:val="5A5A5A"/>
                <w:sz w:val="18"/>
              </w:rPr>
              <w:t>#thinfat  #adiposity  #fetalprogramming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PCOS is a hyperinsulinaemic, insulin-resistant state, so affected women enter pregnancy metabolically primed for GDM.</w:t>
            </w:r>
          </w:p>
          <w:p>
            <w:pPr>
              <w:spacing w:after="40" w:before="60" w:line="259" w:lineRule="auto"/>
            </w:pPr>
            <w:r>
              <w:rPr>
                <w:rFonts w:ascii="Calibri" w:hAnsi="Calibri"/>
                <w:b w:val="0"/>
                <w:i w:val="0"/>
                <w:color w:val="212121"/>
                <w:sz w:val="19"/>
              </w:rPr>
              <w:t>PCOS is listed by CDC among the principal risk factors for gestational diabetes.</w:t>
            </w:r>
          </w:p>
          <w:p>
            <w:pPr>
              <w:spacing w:after="40" w:line="252" w:lineRule="auto"/>
            </w:pPr>
            <w:hyperlink r:id="rId11">
              <w:r>
                <w:rPr>
                  <w:rFonts w:ascii="Calibri" w:hAnsi="Calibri" w:cs="Calibri"/>
                  <w:sz w:val="18"/>
                  <w:color w:val="1155CC"/>
                  <w:u w:val="single"/>
                </w:rPr>
                <w:t xml:space="preserve">cdc.gov - GDM risk factors (PCOS)</w:t>
              </w:r>
            </w:hyperlink>
          </w:p>
          <w:p>
            <w:pPr>
              <w:spacing w:before="60" w:after="40"/>
            </w:pPr>
            <w:r>
              <w:rPr>
                <w:rFonts w:ascii="Calibri" w:hAnsi="Calibri"/>
                <w:b w:val="0"/>
                <w:i w:val="0"/>
                <w:color w:val="5A5A5A"/>
                <w:sz w:val="18"/>
              </w:rPr>
              <w:t>#PCOS  #hyperinsulinaemia  #anovulation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Previous GDM / macrosomia</w:t>
            </w:r>
          </w:p>
        </w:tc>
        <w:tc>
          <w:tcPr>
            <w:tcW w:type="dxa" w:w="2160"/>
            <w:vAlign w:val="top"/>
          </w:tcPr>
          <w:p>
            <w:pPr>
              <w:spacing w:after="40" w:before="0" w:line="259" w:lineRule="auto"/>
            </w:pPr>
            <w:r>
              <w:rPr>
                <w:rFonts w:ascii="Calibri" w:hAnsi="Calibri"/>
                <w:b w:val="0"/>
                <w:i w:val="0"/>
                <w:color w:val="212121"/>
                <w:sz w:val="19"/>
              </w:rPr>
              <w:t>Prior GDM or previous large baby</w:t>
            </w:r>
          </w:p>
        </w:tc>
        <w:tc>
          <w:tcPr>
            <w:tcW w:type="dxa" w:w="4276"/>
            <w:vAlign w:val="top"/>
          </w:tcPr>
          <w:p>
            <w:pPr>
              <w:spacing w:after="60" w:line="259" w:lineRule="auto"/>
            </w:pPr>
            <w:r>
              <w:rPr>
                <w:rFonts w:ascii="Calibri" w:hAnsi="Calibri"/>
                <w:b w:val="0"/>
                <w:i w:val="0"/>
                <w:color w:val="212121"/>
                <w:sz w:val="19"/>
              </w:rPr>
              <w:t>A previous GDM pregnancy or a previously large baby signals persistent metabolic vulnerability and a high risk of recurrence.</w:t>
            </w:r>
          </w:p>
          <w:p>
            <w:pPr>
              <w:spacing w:after="40" w:before="60" w:line="259" w:lineRule="auto"/>
            </w:pPr>
            <w:r>
              <w:rPr>
                <w:rFonts w:ascii="Calibri" w:hAnsi="Calibri"/>
                <w:b w:val="0"/>
                <w:i w:val="0"/>
                <w:color w:val="212121"/>
                <w:sz w:val="19"/>
              </w:rPr>
              <w:t>GDM recurs in 30-84% of subsequent pregnancies depending on ethnicity; a prior baby over 9 lb (about 4 kg) is a recognised risk marker.</w:t>
            </w:r>
          </w:p>
          <w:p>
            <w:pPr>
              <w:spacing w:after="40" w:line="252" w:lineRule="auto"/>
            </w:pPr>
            <w:hyperlink r:id="rId10">
              <w:r>
                <w:rPr>
                  <w:rFonts w:ascii="Calibri" w:hAnsi="Calibri" w:cs="Calibri"/>
                  <w:sz w:val="18"/>
                  <w:color w:val="1155CC"/>
                  <w:u w:val="single"/>
                </w:rPr>
                <w:t xml:space="preserve">en.wikipedia.org - GDM recurrence</w:t>
              </w:r>
            </w:hyperlink>
          </w:p>
          <w:p>
            <w:pPr>
              <w:spacing w:before="60" w:after="40"/>
            </w:pPr>
            <w:r>
              <w:rPr>
                <w:rFonts w:ascii="Calibri" w:hAnsi="Calibri"/>
                <w:b w:val="0"/>
                <w:i w:val="0"/>
                <w:color w:val="5A5A5A"/>
                <w:sz w:val="18"/>
              </w:rPr>
              <w:t>#recurrence  #macrosomia  #priorGDM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Prediabetes</w:t>
            </w:r>
          </w:p>
        </w:tc>
        <w:tc>
          <w:tcPr>
            <w:tcW w:type="dxa" w:w="2160"/>
            <w:vAlign w:val="top"/>
          </w:tcPr>
          <w:p>
            <w:pPr>
              <w:spacing w:after="40" w:before="0" w:line="259" w:lineRule="auto"/>
            </w:pPr>
            <w:r>
              <w:rPr>
                <w:rFonts w:ascii="Calibri" w:hAnsi="Calibri"/>
                <w:b w:val="0"/>
                <w:i w:val="0"/>
                <w:color w:val="212121"/>
                <w:sz w:val="19"/>
              </w:rPr>
              <w:t>Pre-pregnancy impaired glucose tolerance</w:t>
            </w:r>
          </w:p>
        </w:tc>
        <w:tc>
          <w:tcPr>
            <w:tcW w:type="dxa" w:w="4276"/>
            <w:vAlign w:val="top"/>
          </w:tcPr>
          <w:p>
            <w:pPr>
              <w:spacing w:after="60" w:line="259" w:lineRule="auto"/>
            </w:pPr>
            <w:r>
              <w:rPr>
                <w:rFonts w:ascii="Calibri" w:hAnsi="Calibri"/>
                <w:b w:val="0"/>
                <w:i w:val="0"/>
                <w:color w:val="212121"/>
                <w:sz w:val="19"/>
              </w:rPr>
              <w:t>Undiagnosed prediabetes before pregnancy converts readily to GDM as insulin demand rises, and India's prediabetes pool is very large.</w:t>
            </w:r>
          </w:p>
          <w:p>
            <w:pPr>
              <w:spacing w:after="40" w:before="60" w:line="259" w:lineRule="auto"/>
            </w:pPr>
            <w:r>
              <w:rPr>
                <w:rFonts w:ascii="Calibri" w:hAnsi="Calibri"/>
                <w:b w:val="0"/>
                <w:i w:val="0"/>
                <w:color w:val="212121"/>
                <w:sz w:val="19"/>
              </w:rPr>
              <w:t>India's prediabetes prevalence is 15.3% (about 136 million people) - a major reservoir feeding GDM (ICMR-INDIAB).</w:t>
            </w:r>
          </w:p>
          <w:p>
            <w:pPr>
              <w:spacing w:after="40" w:line="252" w:lineRule="auto"/>
            </w:pPr>
            <w:hyperlink r:id="rId12">
              <w:r>
                <w:rPr>
                  <w:rFonts w:ascii="Calibri" w:hAnsi="Calibri" w:cs="Calibri"/>
                  <w:sz w:val="18"/>
                  <w:color w:val="1155CC"/>
                  <w:u w:val="single"/>
                </w:rPr>
                <w:t xml:space="preserve">nmji.in - ICMR-INDIAB prediabetes</w:t>
              </w:r>
            </w:hyperlink>
          </w:p>
          <w:p>
            <w:pPr>
              <w:spacing w:before="60" w:after="40"/>
            </w:pPr>
            <w:r>
              <w:rPr>
                <w:rFonts w:ascii="Calibri" w:hAnsi="Calibri"/>
                <w:b w:val="0"/>
                <w:i w:val="0"/>
                <w:color w:val="5A5A5A"/>
                <w:sz w:val="18"/>
              </w:rPr>
              <w:t>#prediabetes  #IGT  #latentdiabetes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Overt diabetes</w:t>
            </w:r>
          </w:p>
        </w:tc>
        <w:tc>
          <w:tcPr>
            <w:tcW w:type="dxa" w:w="2160"/>
            <w:vAlign w:val="top"/>
          </w:tcPr>
          <w:p>
            <w:pPr>
              <w:spacing w:after="40" w:before="0" w:line="259" w:lineRule="auto"/>
            </w:pPr>
            <w:r>
              <w:rPr>
                <w:rFonts w:ascii="Calibri" w:hAnsi="Calibri"/>
                <w:b w:val="0"/>
                <w:i w:val="0"/>
                <w:color w:val="212121"/>
                <w:sz w:val="19"/>
              </w:rPr>
              <w:t>Undiagnosed type 2 diabetes present pre-conception</w:t>
            </w:r>
          </w:p>
        </w:tc>
        <w:tc>
          <w:tcPr>
            <w:tcW w:type="dxa" w:w="4276"/>
            <w:vAlign w:val="top"/>
          </w:tcPr>
          <w:p>
            <w:pPr>
              <w:spacing w:after="60" w:line="259" w:lineRule="auto"/>
            </w:pPr>
            <w:r>
              <w:rPr>
                <w:rFonts w:ascii="Calibri" w:hAnsi="Calibri"/>
                <w:b w:val="0"/>
                <w:i w:val="0"/>
                <w:color w:val="212121"/>
                <w:sz w:val="19"/>
              </w:rPr>
              <w:t>Pre-existing but undetected type 2 diabetes, unmasked at booking, carries the highest fetal-malformation and adverse-outcome risk and must be separated from true GDM.</w:t>
            </w:r>
          </w:p>
          <w:p>
            <w:pPr>
              <w:spacing w:after="40" w:before="60" w:line="259" w:lineRule="auto"/>
            </w:pPr>
            <w:r>
              <w:rPr>
                <w:rFonts w:ascii="Calibri" w:hAnsi="Calibri"/>
                <w:b w:val="0"/>
                <w:i w:val="0"/>
                <w:color w:val="212121"/>
                <w:sz w:val="19"/>
              </w:rPr>
              <w:t>Hyperglycaemia meeting non-pregnant thresholds before 15 weeks is classified as diabetes complicating pregnancy, not GDM (ADA).</w:t>
            </w:r>
          </w:p>
          <w:p>
            <w:pPr>
              <w:spacing w:after="40" w:line="252" w:lineRule="auto"/>
            </w:pPr>
            <w:hyperlink r:id="rId14">
              <w:r>
                <w:rPr>
                  <w:rFonts w:ascii="Calibri" w:hAnsi="Calibri" w:cs="Calibri"/>
                  <w:sz w:val="18"/>
                  <w:color w:val="1155CC"/>
                  <w:u w:val="single"/>
                </w:rPr>
                <w:t xml:space="preserve">diabetesjournals.org - ADA diagnosis &amp; classification</w:t>
              </w:r>
            </w:hyperlink>
          </w:p>
          <w:p>
            <w:pPr>
              <w:spacing w:before="60" w:after="40"/>
            </w:pPr>
            <w:r>
              <w:rPr>
                <w:rFonts w:ascii="Calibri" w:hAnsi="Calibri"/>
                <w:b w:val="0"/>
                <w:i w:val="0"/>
                <w:color w:val="5A5A5A"/>
                <w:sz w:val="18"/>
              </w:rPr>
              <w:t>#overtdiabetes  #pregestational  #malformationrisk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lowers muscle glucose uptake and worsens pregnancy insulin resistance; regular activity before and during pregnancy reduces GDM risk. In India 54.4% of adults are inactive (urban 65% vs rural 50%).</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glycaemic-load diets - polished rice, refined wheat, sweets and sugar-sweetened beverages - markedly raise GDM risk, while high-fibre, low-GI eating is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poor sleep quality and sleep-disordered breathing (snoring/obstructive sleep apnoea) in pregnancy are associated with impaired glucose tolerance and higher GDM.</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smoking aggravate insulin resistance and endothelial dysfunction and worsen fetal outcomes; there is no safe level in pregnancy.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intake promotes insulin resistance and hepatic stress; any alcohol in pregnancy is unsafe for the fetus and is advised against entirely.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Antenatal depression and chronic stress raise cortisol and are linked bidirectionally with GDM and with post-partum depression, which is several-fold commoner after GDM.</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glucose regulation and offsets the transient hyperglycaemia of dehydration, but direct links to GDM prevention are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heavy caffeine may weakly associate with dysglycaemia, and pregnancy intake is usually capped at about 200 mg/day for other reasons.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Glycaemic control raises susceptibility to vulvovaginal candidiasis and urinary infection; good perineal and oral hygiene reduces these complications.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Antenatal corticosteroids (for fetal lung maturity), beta-agonist tocolytics and rapid excess gestational weight gain can acutely provoke or worsen hyperglycaemia.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Pre-pregnancy Body Mass Index (Asian cut-offs)</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(obesity)</w:t>
            </w:r>
          </w:p>
        </w:tc>
        <w:tc>
          <w:tcPr>
            <w:tcW w:type="dxa" w:w="1468"/>
            <w:vAlign w:val="top"/>
          </w:tcPr>
          <w:p>
            <w:pPr>
              <w:spacing w:after="60" w:line="259" w:lineRule="auto"/>
            </w:pPr>
            <w:r>
              <w:rPr>
                <w:rFonts w:ascii="Calibri" w:hAnsi="Calibri"/>
                <w:b w:val="0"/>
                <w:i w:val="0"/>
                <w:color w:val="212121"/>
                <w:sz w:val="19"/>
              </w:rPr>
              <w:t>Higher booking BMI multiplies GDM risk</w:t>
            </w:r>
          </w:p>
          <w:p>
            <w:pPr>
              <w:spacing w:after="40" w:line="252" w:lineRule="auto"/>
            </w:pPr>
            <w:hyperlink r:id="rId10">
              <w:r>
                <w:rPr>
                  <w:rFonts w:ascii="Calibri" w:hAnsi="Calibri" w:cs="Calibri"/>
                  <w:sz w:val="18"/>
                  <w:color w:val="1155CC"/>
                  <w:u w:val="single"/>
                </w:rPr>
                <w:t xml:space="preserve">https://en.wikipedia.org/wiki/Gestational_diabetes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Pregnant &amp; pre-conception women</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Activity before and during pregnancy lowers GDM risk</w:t>
            </w:r>
          </w:p>
          <w:p>
            <w:pPr>
              <w:spacing w:after="40" w:line="252" w:lineRule="auto"/>
            </w:pPr>
            <w:hyperlink r:id="rId13">
              <w:r>
                <w:rPr>
                  <w:rFonts w:ascii="Calibri" w:hAnsi="Calibri" w:cs="Calibri"/>
                  <w:sz w:val="18"/>
                  <w:color w:val="1155CC"/>
                  <w:u w:val="single"/>
                </w:rPr>
                <w:t xml:space="preserve">https://link.springer.com/article/10.1186/1479-5868-11-26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Gestational weight gain</w:t>
            </w:r>
          </w:p>
        </w:tc>
        <w:tc>
          <w:tcPr>
            <w:tcW w:type="dxa" w:w="1655"/>
            <w:vAlign w:val="top"/>
          </w:tcPr>
          <w:p>
            <w:pPr>
              <w:spacing w:after="40" w:before="0" w:line="259" w:lineRule="auto"/>
            </w:pPr>
            <w:r>
              <w:rPr>
                <w:rFonts w:ascii="Calibri" w:hAnsi="Calibri"/>
                <w:b w:val="0"/>
                <w:i w:val="0"/>
                <w:color w:val="212121"/>
                <w:sz w:val="19"/>
              </w:rPr>
              <w:t>Pregnant women (by booking BMI)</w:t>
            </w:r>
          </w:p>
        </w:tc>
        <w:tc>
          <w:tcPr>
            <w:tcW w:type="dxa" w:w="1512"/>
            <w:vAlign w:val="top"/>
          </w:tcPr>
          <w:p>
            <w:pPr>
              <w:spacing w:after="40" w:before="0" w:line="259" w:lineRule="auto"/>
            </w:pPr>
            <w:r>
              <w:rPr>
                <w:rFonts w:ascii="Calibri" w:hAnsi="Calibri"/>
                <w:b w:val="0"/>
                <w:i w:val="0"/>
                <w:color w:val="212121"/>
                <w:sz w:val="19"/>
              </w:rPr>
              <w:t>11.5-16 kg if normal BMI (IOM)</w:t>
            </w:r>
          </w:p>
        </w:tc>
        <w:tc>
          <w:tcPr>
            <w:tcW w:type="dxa" w:w="1512"/>
            <w:vAlign w:val="top"/>
          </w:tcPr>
          <w:p>
            <w:pPr>
              <w:spacing w:after="40" w:before="0" w:line="259" w:lineRule="auto"/>
            </w:pPr>
            <w:r>
              <w:rPr>
                <w:rFonts w:ascii="Calibri" w:hAnsi="Calibri"/>
                <w:b w:val="0"/>
                <w:i w:val="0"/>
                <w:color w:val="212121"/>
                <w:sz w:val="19"/>
              </w:rPr>
              <w:t>Rapid or excess GWG</w:t>
            </w:r>
          </w:p>
        </w:tc>
        <w:tc>
          <w:tcPr>
            <w:tcW w:type="dxa" w:w="1468"/>
            <w:vAlign w:val="top"/>
          </w:tcPr>
          <w:p>
            <w:pPr>
              <w:spacing w:after="40" w:before="0" w:line="259" w:lineRule="auto"/>
            </w:pPr>
            <w:r>
              <w:rPr>
                <w:rFonts w:ascii="Calibri" w:hAnsi="Calibri"/>
                <w:b w:val="0"/>
                <w:i w:val="0"/>
                <w:color w:val="212121"/>
                <w:sz w:val="19"/>
              </w:rPr>
              <w:t>Excess gain raises GDM and macrosomia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 (24-28 wk OGTT)</w:t>
            </w:r>
          </w:p>
        </w:tc>
        <w:tc>
          <w:tcPr>
            <w:tcW w:type="dxa" w:w="1655"/>
            <w:vAlign w:val="top"/>
          </w:tcPr>
          <w:p>
            <w:pPr>
              <w:spacing w:after="40" w:before="0" w:line="259" w:lineRule="auto"/>
            </w:pPr>
            <w:r>
              <w:rPr>
                <w:rFonts w:ascii="Calibri" w:hAnsi="Calibri"/>
                <w:b w:val="0"/>
                <w:i w:val="0"/>
                <w:color w:val="212121"/>
                <w:sz w:val="19"/>
              </w:rPr>
              <w:t>All pregnant women</w:t>
            </w:r>
          </w:p>
        </w:tc>
        <w:tc>
          <w:tcPr>
            <w:tcW w:type="dxa" w:w="1512"/>
            <w:vAlign w:val="top"/>
          </w:tcPr>
          <w:p>
            <w:pPr>
              <w:spacing w:after="40" w:before="0" w:line="259" w:lineRule="auto"/>
            </w:pPr>
            <w:r>
              <w:rPr>
                <w:rFonts w:ascii="Calibri" w:hAnsi="Calibri"/>
                <w:b w:val="0"/>
                <w:i w:val="0"/>
                <w:color w:val="212121"/>
                <w:sz w:val="19"/>
              </w:rPr>
              <w:t>&lt; 92 mg/dL</w:t>
            </w:r>
          </w:p>
        </w:tc>
        <w:tc>
          <w:tcPr>
            <w:tcW w:type="dxa" w:w="1512"/>
            <w:vAlign w:val="top"/>
          </w:tcPr>
          <w:p>
            <w:pPr>
              <w:spacing w:after="40" w:before="0" w:line="259" w:lineRule="auto"/>
            </w:pPr>
            <w:r>
              <w:rPr>
                <w:rFonts w:ascii="Calibri" w:hAnsi="Calibri"/>
                <w:b w:val="0"/>
                <w:i w:val="0"/>
                <w:color w:val="212121"/>
                <w:sz w:val="19"/>
              </w:rPr>
              <w:t>&gt;= 92 mg/dL</w:t>
            </w:r>
          </w:p>
        </w:tc>
        <w:tc>
          <w:tcPr>
            <w:tcW w:type="dxa" w:w="1468"/>
            <w:vAlign w:val="top"/>
          </w:tcPr>
          <w:p>
            <w:pPr>
              <w:spacing w:after="60" w:line="259" w:lineRule="auto"/>
            </w:pPr>
            <w:r>
              <w:rPr>
                <w:rFonts w:ascii="Calibri" w:hAnsi="Calibri"/>
                <w:b w:val="0"/>
                <w:i w:val="0"/>
                <w:color w:val="212121"/>
                <w:sz w:val="19"/>
              </w:rPr>
              <w:t>IADPSG one-step diagnostic cut-off</w:t>
            </w:r>
          </w:p>
          <w:p>
            <w:pPr>
              <w:spacing w:after="40" w:line="252" w:lineRule="auto"/>
            </w:pPr>
            <w:hyperlink r:id="rId14">
              <w:r>
                <w:rPr>
                  <w:rFonts w:ascii="Calibri" w:hAnsi="Calibri" w:cs="Calibri"/>
                  <w:sz w:val="18"/>
                  <w:color w:val="1155CC"/>
                  <w:u w:val="single"/>
                </w:rPr>
                <w:t xml:space="preserve">https://diabetesjournals.org/care/article/48/Supplement_1/S27/157566/2-Diagnosis-and-Classification-of-Diabetes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2-hour 75 g OGTT glucose</w:t>
            </w:r>
          </w:p>
        </w:tc>
        <w:tc>
          <w:tcPr>
            <w:tcW w:type="dxa" w:w="1655"/>
            <w:vAlign w:val="top"/>
          </w:tcPr>
          <w:p>
            <w:pPr>
              <w:spacing w:after="40" w:before="0" w:line="259" w:lineRule="auto"/>
            </w:pPr>
            <w:r>
              <w:rPr>
                <w:rFonts w:ascii="Calibri" w:hAnsi="Calibri"/>
                <w:b w:val="0"/>
                <w:i w:val="0"/>
                <w:color w:val="212121"/>
                <w:sz w:val="19"/>
              </w:rPr>
              <w:t>All pregnant women</w:t>
            </w:r>
          </w:p>
        </w:tc>
        <w:tc>
          <w:tcPr>
            <w:tcW w:type="dxa" w:w="1512"/>
            <w:vAlign w:val="top"/>
          </w:tcPr>
          <w:p>
            <w:pPr>
              <w:spacing w:after="40" w:before="0" w:line="259" w:lineRule="auto"/>
            </w:pPr>
            <w:r>
              <w:rPr>
                <w:rFonts w:ascii="Calibri" w:hAnsi="Calibri"/>
                <w:b w:val="0"/>
                <w:i w:val="0"/>
                <w:color w:val="212121"/>
                <w:sz w:val="19"/>
              </w:rPr>
              <w:t>&lt; 153 mg/dL (IADPSG); &lt; 140 mg/dL (DIPSI)</w:t>
            </w:r>
          </w:p>
        </w:tc>
        <w:tc>
          <w:tcPr>
            <w:tcW w:type="dxa" w:w="1512"/>
            <w:vAlign w:val="top"/>
          </w:tcPr>
          <w:p>
            <w:pPr>
              <w:spacing w:after="40" w:before="0" w:line="259" w:lineRule="auto"/>
            </w:pPr>
            <w:r>
              <w:rPr>
                <w:rFonts w:ascii="Calibri" w:hAnsi="Calibri"/>
                <w:b w:val="0"/>
                <w:i w:val="0"/>
                <w:color w:val="212121"/>
                <w:sz w:val="19"/>
              </w:rPr>
              <w:t>&gt;= 153 (IADPSG) or &gt;= 140 (DIPSI)</w:t>
            </w:r>
          </w:p>
        </w:tc>
        <w:tc>
          <w:tcPr>
            <w:tcW w:type="dxa" w:w="1468"/>
            <w:vAlign w:val="top"/>
          </w:tcPr>
          <w:p>
            <w:pPr>
              <w:spacing w:after="60" w:line="259" w:lineRule="auto"/>
            </w:pPr>
            <w:r>
              <w:rPr>
                <w:rFonts w:ascii="Calibri" w:hAnsi="Calibri"/>
                <w:b w:val="0"/>
                <w:i w:val="0"/>
                <w:color w:val="212121"/>
                <w:sz w:val="19"/>
              </w:rPr>
              <w:t>A single abnormal value diagnoses GDM</w:t>
            </w:r>
          </w:p>
          <w:p>
            <w:pPr>
              <w:spacing w:after="40" w:line="252" w:lineRule="auto"/>
            </w:pPr>
            <w:hyperlink r:id="rId14">
              <w:r>
                <w:rPr>
                  <w:rFonts w:ascii="Calibri" w:hAnsi="Calibri" w:cs="Calibri"/>
                  <w:sz w:val="18"/>
                  <w:color w:val="1155CC"/>
                  <w:u w:val="single"/>
                </w:rPr>
                <w:t xml:space="preserve">https://diabetesjournals.org/care/article/48/Supplement_1/S27/157566/2-Diagnosis-and-Classification-of-Diabetes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(early pregnancy)</w:t>
            </w:r>
          </w:p>
        </w:tc>
        <w:tc>
          <w:tcPr>
            <w:tcW w:type="dxa" w:w="1655"/>
            <w:vAlign w:val="top"/>
          </w:tcPr>
          <w:p>
            <w:pPr>
              <w:spacing w:after="40" w:before="0" w:line="259" w:lineRule="auto"/>
            </w:pPr>
            <w:r>
              <w:rPr>
                <w:rFonts w:ascii="Calibri" w:hAnsi="Calibri"/>
                <w:b w:val="0"/>
                <w:i w:val="0"/>
                <w:color w:val="212121"/>
                <w:sz w:val="19"/>
              </w:rPr>
              <w:t>High-risk women at booking</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&gt;= 5.7 % (at-risk); &gt;= 6.5 % (overt diabetes)</w:t>
            </w:r>
          </w:p>
        </w:tc>
        <w:tc>
          <w:tcPr>
            <w:tcW w:type="dxa" w:w="1468"/>
            <w:vAlign w:val="top"/>
          </w:tcPr>
          <w:p>
            <w:pPr>
              <w:spacing w:after="40" w:before="0" w:line="259" w:lineRule="auto"/>
            </w:pPr>
            <w:r>
              <w:rPr>
                <w:rFonts w:ascii="Calibri" w:hAnsi="Calibri"/>
                <w:b w:val="0"/>
                <w:i w:val="0"/>
                <w:color w:val="212121"/>
                <w:sz w:val="19"/>
              </w:rPr>
              <w:t>Screens overt diabetes; not for GDM diagnosis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(pre-pregnancy, Asian)</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F &gt;= 80 cm; M &gt;= 90 cm</w:t>
            </w:r>
          </w:p>
        </w:tc>
        <w:tc>
          <w:tcPr>
            <w:tcW w:type="dxa" w:w="1468"/>
            <w:vAlign w:val="top"/>
          </w:tcPr>
          <w:p>
            <w:pPr>
              <w:spacing w:after="40" w:before="0" w:line="259" w:lineRule="auto"/>
            </w:pPr>
            <w:r>
              <w:rPr>
                <w:rFonts w:ascii="Calibri" w:hAnsi="Calibri"/>
                <w:b w:val="0"/>
                <w:i w:val="0"/>
                <w:color w:val="212121"/>
                <w:sz w:val="19"/>
              </w:rPr>
              <w:t>Central fat marks insulin resistance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habitual snoring/OSA</w:t>
            </w:r>
          </w:p>
        </w:tc>
        <w:tc>
          <w:tcPr>
            <w:tcW w:type="dxa" w:w="1468"/>
            <w:vAlign w:val="top"/>
          </w:tcPr>
          <w:p>
            <w:pPr>
              <w:spacing w:after="40" w:before="0" w:line="259" w:lineRule="auto"/>
            </w:pPr>
            <w:r>
              <w:rPr>
                <w:rFonts w:ascii="Calibri" w:hAnsi="Calibri"/>
                <w:b w:val="0"/>
                <w:i w:val="0"/>
                <w:color w:val="212121"/>
                <w:sz w:val="19"/>
              </w:rPr>
              <w:t>Short sleep and sleep-disordered breathing raise GDM</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(active or passive exposure)</w:t>
            </w:r>
          </w:p>
        </w:tc>
        <w:tc>
          <w:tcPr>
            <w:tcW w:type="dxa" w:w="1468"/>
            <w:vAlign w:val="top"/>
          </w:tcPr>
          <w:p>
            <w:pPr>
              <w:spacing w:after="40" w:before="0" w:line="259" w:lineRule="auto"/>
            </w:pPr>
            <w:r>
              <w:rPr>
                <w:rFonts w:ascii="Calibri" w:hAnsi="Calibri"/>
                <w:b w:val="0"/>
                <w:i w:val="0"/>
                <w:color w:val="212121"/>
                <w:sz w:val="19"/>
              </w:rPr>
              <w:t>No safe level in pregnancy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Any intake</w:t>
            </w:r>
          </w:p>
        </w:tc>
        <w:tc>
          <w:tcPr>
            <w:tcW w:type="dxa" w:w="1468"/>
            <w:vAlign w:val="top"/>
          </w:tcPr>
          <w:p>
            <w:pPr>
              <w:spacing w:after="40" w:before="0" w:line="259" w:lineRule="auto"/>
            </w:pPr>
            <w:r>
              <w:rPr>
                <w:rFonts w:ascii="Calibri" w:hAnsi="Calibri"/>
                <w:b w:val="0"/>
                <w:i w:val="0"/>
                <w:color w:val="212121"/>
                <w:sz w:val="19"/>
              </w:rPr>
              <w:t>Alcohol is unsafe throughout pregnancy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75 g OGTT (one-step, IADPSG)</w:t>
            </w:r>
          </w:p>
        </w:tc>
        <w:tc>
          <w:tcPr>
            <w:tcW w:type="dxa" w:w="892"/>
            <w:vAlign w:val="top"/>
          </w:tcPr>
          <w:p>
            <w:pPr>
              <w:spacing w:after="40" w:before="0" w:line="259" w:lineRule="auto"/>
            </w:pPr>
            <w:r>
              <w:rPr>
                <w:rFonts w:ascii="Calibri" w:hAnsi="Calibri"/>
                <w:b w:val="0"/>
                <w:i w:val="0"/>
                <w:color w:val="212121"/>
                <w:sz w:val="16"/>
              </w:rPr>
              <w:t>Oral Glucose Tolerance Test</w:t>
            </w:r>
          </w:p>
        </w:tc>
        <w:tc>
          <w:tcPr>
            <w:tcW w:type="dxa" w:w="950"/>
            <w:vAlign w:val="top"/>
          </w:tcPr>
          <w:p>
            <w:pPr>
              <w:spacing w:after="40" w:before="0" w:line="259" w:lineRule="auto"/>
            </w:pPr>
            <w:r>
              <w:rPr>
                <w:rFonts w:ascii="Calibri" w:hAnsi="Calibri"/>
                <w:b w:val="0"/>
                <w:i w:val="0"/>
                <w:color w:val="212121"/>
                <w:sz w:val="16"/>
              </w:rPr>
              <w:t>FPG &lt; 92; 1-h &lt; 180; 2-h &lt; 153 mg/dL</w:t>
            </w:r>
          </w:p>
        </w:tc>
        <w:tc>
          <w:tcPr>
            <w:tcW w:type="dxa" w:w="950"/>
            <w:vAlign w:val="top"/>
          </w:tcPr>
          <w:p>
            <w:pPr>
              <w:spacing w:after="40" w:before="0" w:line="259" w:lineRule="auto"/>
            </w:pPr>
            <w:r>
              <w:rPr>
                <w:rFonts w:ascii="Calibri" w:hAnsi="Calibri"/>
                <w:b w:val="0"/>
                <w:i w:val="0"/>
                <w:color w:val="212121"/>
                <w:sz w:val="16"/>
              </w:rPr>
              <w:t>Any one value at or above threshold</w:t>
            </w:r>
          </w:p>
        </w:tc>
        <w:tc>
          <w:tcPr>
            <w:tcW w:type="dxa" w:w="1036"/>
            <w:vAlign w:val="top"/>
          </w:tcPr>
          <w:p>
            <w:pPr>
              <w:spacing w:after="40" w:before="0" w:line="259" w:lineRule="auto"/>
            </w:pPr>
            <w:r>
              <w:rPr>
                <w:rFonts w:ascii="Calibri" w:hAnsi="Calibri"/>
                <w:b w:val="0"/>
                <w:i w:val="0"/>
                <w:color w:val="212121"/>
                <w:sz w:val="16"/>
              </w:rPr>
              <w:t>Diagnoses GDM at 24-28 weeks</w:t>
            </w:r>
          </w:p>
        </w:tc>
        <w:tc>
          <w:tcPr>
            <w:tcW w:type="dxa" w:w="1036"/>
            <w:vAlign w:val="top"/>
          </w:tcPr>
          <w:p>
            <w:pPr>
              <w:spacing w:after="40" w:before="0" w:line="259" w:lineRule="auto"/>
            </w:pPr>
            <w:r>
              <w:rPr>
                <w:rFonts w:ascii="Calibri" w:hAnsi="Calibri"/>
                <w:b w:val="0"/>
                <w:i w:val="0"/>
                <w:color w:val="212121"/>
                <w:sz w:val="16"/>
              </w:rPr>
              <w:t>All pregnant women (universal screening)</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Overnight fast; single abnormal value is diagnostic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DIPSI single-step (75 g, non-fasting)</w:t>
            </w:r>
          </w:p>
        </w:tc>
        <w:tc>
          <w:tcPr>
            <w:tcW w:type="dxa" w:w="892"/>
            <w:vAlign w:val="top"/>
          </w:tcPr>
          <w:p>
            <w:pPr>
              <w:spacing w:after="40" w:before="0" w:line="259" w:lineRule="auto"/>
            </w:pPr>
            <w:r>
              <w:rPr>
                <w:rFonts w:ascii="Calibri" w:hAnsi="Calibri"/>
                <w:b w:val="0"/>
                <w:i w:val="0"/>
                <w:color w:val="212121"/>
                <w:sz w:val="16"/>
              </w:rPr>
              <w:t>Glucose Tolerance Test</w:t>
            </w:r>
          </w:p>
        </w:tc>
        <w:tc>
          <w:tcPr>
            <w:tcW w:type="dxa" w:w="950"/>
            <w:vAlign w:val="top"/>
          </w:tcPr>
          <w:p>
            <w:pPr>
              <w:spacing w:after="40" w:before="0" w:line="259" w:lineRule="auto"/>
            </w:pPr>
            <w:r>
              <w:rPr>
                <w:rFonts w:ascii="Calibri" w:hAnsi="Calibri"/>
                <w:b w:val="0"/>
                <w:i w:val="0"/>
                <w:color w:val="212121"/>
                <w:sz w:val="16"/>
              </w:rPr>
              <w:t>2-h &lt; 140 mg/dL</w:t>
            </w:r>
          </w:p>
        </w:tc>
        <w:tc>
          <w:tcPr>
            <w:tcW w:type="dxa" w:w="950"/>
            <w:vAlign w:val="top"/>
          </w:tcPr>
          <w:p>
            <w:pPr>
              <w:spacing w:after="40" w:before="0" w:line="259" w:lineRule="auto"/>
            </w:pPr>
            <w:r>
              <w:rPr>
                <w:rFonts w:ascii="Calibri" w:hAnsi="Calibri"/>
                <w:b w:val="0"/>
                <w:i w:val="0"/>
                <w:color w:val="212121"/>
                <w:sz w:val="16"/>
              </w:rPr>
              <w:t>2-h &gt;= 140 mg/dL</w:t>
            </w:r>
          </w:p>
        </w:tc>
        <w:tc>
          <w:tcPr>
            <w:tcW w:type="dxa" w:w="1036"/>
            <w:vAlign w:val="top"/>
          </w:tcPr>
          <w:p>
            <w:pPr>
              <w:spacing w:after="40" w:before="0" w:line="259" w:lineRule="auto"/>
            </w:pPr>
            <w:r>
              <w:rPr>
                <w:rFonts w:ascii="Calibri" w:hAnsi="Calibri"/>
                <w:b w:val="0"/>
                <w:i w:val="0"/>
                <w:color w:val="212121"/>
                <w:sz w:val="16"/>
              </w:rPr>
              <w:t>Diagnoses GDM irrespective of last meal</w:t>
            </w:r>
          </w:p>
        </w:tc>
        <w:tc>
          <w:tcPr>
            <w:tcW w:type="dxa" w:w="1036"/>
            <w:vAlign w:val="top"/>
          </w:tcPr>
          <w:p>
            <w:pPr>
              <w:spacing w:after="40" w:before="0" w:line="259" w:lineRule="auto"/>
            </w:pPr>
            <w:r>
              <w:rPr>
                <w:rFonts w:ascii="Calibri" w:hAnsi="Calibri"/>
                <w:b w:val="0"/>
                <w:i w:val="0"/>
                <w:color w:val="212121"/>
                <w:sz w:val="16"/>
              </w:rPr>
              <w:t>Antenatal women in community/public programmes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(India)</w:t>
            </w:r>
          </w:p>
        </w:tc>
        <w:tc>
          <w:tcPr>
            <w:tcW w:type="dxa" w:w="720"/>
            <w:vAlign w:val="top"/>
          </w:tcPr>
          <w:p>
            <w:pPr>
              <w:spacing w:after="40" w:before="0" w:line="259" w:lineRule="auto"/>
            </w:pPr>
            <w:r>
              <w:rPr>
                <w:rFonts w:ascii="Calibri" w:hAnsi="Calibri"/>
                <w:b w:val="0"/>
                <w:i w:val="0"/>
                <w:color w:val="212121"/>
                <w:sz w:val="16"/>
              </w:rPr>
              <w:t>Single-visit test recommended by MoHFW/DIPSI for universal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50 g Glucose Challenge Test</w:t>
            </w:r>
          </w:p>
        </w:tc>
        <w:tc>
          <w:tcPr>
            <w:tcW w:type="dxa" w:w="892"/>
            <w:vAlign w:val="top"/>
          </w:tcPr>
          <w:p>
            <w:pPr>
              <w:spacing w:after="40" w:before="0" w:line="259" w:lineRule="auto"/>
            </w:pPr>
            <w:r>
              <w:rPr>
                <w:rFonts w:ascii="Calibri" w:hAnsi="Calibri"/>
                <w:b w:val="0"/>
                <w:i w:val="0"/>
                <w:color w:val="212121"/>
                <w:sz w:val="16"/>
              </w:rPr>
              <w:t>Screening GCT</w:t>
            </w:r>
          </w:p>
        </w:tc>
        <w:tc>
          <w:tcPr>
            <w:tcW w:type="dxa" w:w="950"/>
            <w:vAlign w:val="top"/>
          </w:tcPr>
          <w:p>
            <w:pPr>
              <w:spacing w:after="40" w:before="0" w:line="259" w:lineRule="auto"/>
            </w:pPr>
            <w:r>
              <w:rPr>
                <w:rFonts w:ascii="Calibri" w:hAnsi="Calibri"/>
                <w:b w:val="0"/>
                <w:i w:val="0"/>
                <w:color w:val="212121"/>
                <w:sz w:val="16"/>
              </w:rPr>
              <w:t>1-h &lt; 130-140 mg/dL</w:t>
            </w:r>
          </w:p>
        </w:tc>
        <w:tc>
          <w:tcPr>
            <w:tcW w:type="dxa" w:w="950"/>
            <w:vAlign w:val="top"/>
          </w:tcPr>
          <w:p>
            <w:pPr>
              <w:spacing w:after="40" w:before="0" w:line="259" w:lineRule="auto"/>
            </w:pPr>
            <w:r>
              <w:rPr>
                <w:rFonts w:ascii="Calibri" w:hAnsi="Calibri"/>
                <w:b w:val="0"/>
                <w:i w:val="0"/>
                <w:color w:val="212121"/>
                <w:sz w:val="16"/>
              </w:rPr>
              <w:t>1-h &gt;= 130-140 mg/dL</w:t>
            </w:r>
          </w:p>
        </w:tc>
        <w:tc>
          <w:tcPr>
            <w:tcW w:type="dxa" w:w="1036"/>
            <w:vAlign w:val="top"/>
          </w:tcPr>
          <w:p>
            <w:pPr>
              <w:spacing w:after="40" w:before="0" w:line="259" w:lineRule="auto"/>
            </w:pPr>
            <w:r>
              <w:rPr>
                <w:rFonts w:ascii="Calibri" w:hAnsi="Calibri"/>
                <w:b w:val="0"/>
                <w:i w:val="0"/>
                <w:color w:val="212121"/>
                <w:sz w:val="16"/>
              </w:rPr>
              <w:t>Positive screen; proceed to 100 g OGTT</w:t>
            </w:r>
          </w:p>
        </w:tc>
        <w:tc>
          <w:tcPr>
            <w:tcW w:type="dxa" w:w="1036"/>
            <w:vAlign w:val="top"/>
          </w:tcPr>
          <w:p>
            <w:pPr>
              <w:spacing w:after="40" w:before="0" w:line="259" w:lineRule="auto"/>
            </w:pPr>
            <w:r>
              <w:rPr>
                <w:rFonts w:ascii="Calibri" w:hAnsi="Calibri"/>
                <w:b w:val="0"/>
                <w:i w:val="0"/>
                <w:color w:val="212121"/>
                <w:sz w:val="16"/>
              </w:rPr>
              <w:t>Clinics using the two-step protocol</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Non-fasting; threshold set locally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100 g OGTT (Carpenter-Coustan)</w:t>
            </w:r>
          </w:p>
        </w:tc>
        <w:tc>
          <w:tcPr>
            <w:tcW w:type="dxa" w:w="892"/>
            <w:vAlign w:val="top"/>
          </w:tcPr>
          <w:p>
            <w:pPr>
              <w:spacing w:after="40" w:before="0" w:line="259" w:lineRule="auto"/>
            </w:pPr>
            <w:r>
              <w:rPr>
                <w:rFonts w:ascii="Calibri" w:hAnsi="Calibri"/>
                <w:b w:val="0"/>
                <w:i w:val="0"/>
                <w:color w:val="212121"/>
                <w:sz w:val="16"/>
              </w:rPr>
              <w:t>Confirmatory OGTT</w:t>
            </w:r>
          </w:p>
        </w:tc>
        <w:tc>
          <w:tcPr>
            <w:tcW w:type="dxa" w:w="950"/>
            <w:vAlign w:val="top"/>
          </w:tcPr>
          <w:p>
            <w:pPr>
              <w:spacing w:after="40" w:before="0" w:line="259" w:lineRule="auto"/>
            </w:pPr>
            <w:r>
              <w:rPr>
                <w:rFonts w:ascii="Calibri" w:hAnsi="Calibri"/>
                <w:b w:val="0"/>
                <w:i w:val="0"/>
                <w:color w:val="212121"/>
                <w:sz w:val="16"/>
              </w:rPr>
              <w:t>F &lt; 95; 1-h &lt; 180; 2-h &lt; 155; 3-h &lt; 140 mg/dL</w:t>
            </w:r>
          </w:p>
        </w:tc>
        <w:tc>
          <w:tcPr>
            <w:tcW w:type="dxa" w:w="950"/>
            <w:vAlign w:val="top"/>
          </w:tcPr>
          <w:p>
            <w:pPr>
              <w:spacing w:after="40" w:before="0" w:line="259" w:lineRule="auto"/>
            </w:pPr>
            <w:r>
              <w:rPr>
                <w:rFonts w:ascii="Calibri" w:hAnsi="Calibri"/>
                <w:b w:val="0"/>
                <w:i w:val="0"/>
                <w:color w:val="212121"/>
                <w:sz w:val="16"/>
              </w:rPr>
              <w:t>Two or more values met/exceeded</w:t>
            </w:r>
          </w:p>
        </w:tc>
        <w:tc>
          <w:tcPr>
            <w:tcW w:type="dxa" w:w="1036"/>
            <w:vAlign w:val="top"/>
          </w:tcPr>
          <w:p>
            <w:pPr>
              <w:spacing w:after="40" w:before="0" w:line="259" w:lineRule="auto"/>
            </w:pPr>
            <w:r>
              <w:rPr>
                <w:rFonts w:ascii="Calibri" w:hAnsi="Calibri"/>
                <w:b w:val="0"/>
                <w:i w:val="0"/>
                <w:color w:val="212121"/>
                <w:sz w:val="16"/>
              </w:rPr>
              <w:t>Confirms GDM in the two-step approach</w:t>
            </w:r>
          </w:p>
        </w:tc>
        <w:tc>
          <w:tcPr>
            <w:tcW w:type="dxa" w:w="1036"/>
            <w:vAlign w:val="top"/>
          </w:tcPr>
          <w:p>
            <w:pPr>
              <w:spacing w:after="40" w:before="0" w:line="259" w:lineRule="auto"/>
            </w:pPr>
            <w:r>
              <w:rPr>
                <w:rFonts w:ascii="Calibri" w:hAnsi="Calibri"/>
                <w:b w:val="0"/>
                <w:i w:val="0"/>
                <w:color w:val="212121"/>
                <w:sz w:val="16"/>
              </w:rPr>
              <w:t>Women with a positive 50 g GCT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Requires overnight fast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w:t>
            </w:r>
          </w:p>
        </w:tc>
        <w:tc>
          <w:tcPr>
            <w:tcW w:type="dxa" w:w="892"/>
            <w:vAlign w:val="top"/>
          </w:tcPr>
          <w:p>
            <w:pPr>
              <w:spacing w:after="40" w:before="0" w:line="259" w:lineRule="auto"/>
            </w:pPr>
            <w:r>
              <w:rPr>
                <w:rFonts w:ascii="Calibri" w:hAnsi="Calibri"/>
                <w:b w:val="0"/>
                <w:i w:val="0"/>
                <w:color w:val="212121"/>
                <w:sz w:val="16"/>
              </w:rPr>
              <w:t>Glycated Haemoglobin</w:t>
            </w:r>
          </w:p>
        </w:tc>
        <w:tc>
          <w:tcPr>
            <w:tcW w:type="dxa" w:w="950"/>
            <w:vAlign w:val="top"/>
          </w:tcPr>
          <w:p>
            <w:pPr>
              <w:spacing w:after="40" w:before="0" w:line="259" w:lineRule="auto"/>
            </w:pPr>
            <w:r>
              <w:rPr>
                <w:rFonts w:ascii="Calibri" w:hAnsi="Calibri"/>
                <w:b w:val="0"/>
                <w:i w:val="0"/>
                <w:color w:val="212121"/>
                <w:sz w:val="16"/>
              </w:rPr>
              <w:t>&lt; 5.7 %</w:t>
            </w:r>
          </w:p>
        </w:tc>
        <w:tc>
          <w:tcPr>
            <w:tcW w:type="dxa" w:w="950"/>
            <w:vAlign w:val="top"/>
          </w:tcPr>
          <w:p>
            <w:pPr>
              <w:spacing w:after="40" w:before="0" w:line="259" w:lineRule="auto"/>
            </w:pPr>
            <w:r>
              <w:rPr>
                <w:rFonts w:ascii="Calibri" w:hAnsi="Calibri"/>
                <w:b w:val="0"/>
                <w:i w:val="0"/>
                <w:color w:val="212121"/>
                <w:sz w:val="16"/>
              </w:rPr>
              <w:t>&gt;= 6.5 % (overt); 5.7-6.4 % (at-risk)</w:t>
            </w:r>
          </w:p>
        </w:tc>
        <w:tc>
          <w:tcPr>
            <w:tcW w:type="dxa" w:w="1036"/>
            <w:vAlign w:val="top"/>
          </w:tcPr>
          <w:p>
            <w:pPr>
              <w:spacing w:after="40" w:before="0" w:line="259" w:lineRule="auto"/>
            </w:pPr>
            <w:r>
              <w:rPr>
                <w:rFonts w:ascii="Calibri" w:hAnsi="Calibri"/>
                <w:b w:val="0"/>
                <w:i w:val="0"/>
                <w:color w:val="212121"/>
                <w:sz w:val="16"/>
              </w:rPr>
              <w:t>Detects overt diabetes at booking; not used to diagnose GDM</w:t>
            </w:r>
          </w:p>
        </w:tc>
        <w:tc>
          <w:tcPr>
            <w:tcW w:type="dxa" w:w="1036"/>
            <w:vAlign w:val="top"/>
          </w:tcPr>
          <w:p>
            <w:pPr>
              <w:spacing w:after="40" w:before="0" w:line="259" w:lineRule="auto"/>
            </w:pPr>
            <w:r>
              <w:rPr>
                <w:rFonts w:ascii="Calibri" w:hAnsi="Calibri"/>
                <w:b w:val="0"/>
                <w:i w:val="0"/>
                <w:color w:val="212121"/>
                <w:sz w:val="16"/>
              </w:rPr>
              <w:t>High-risk women in early pregnancy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Falsely low with anaemia/high red-cell turnover of pregnancy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 (early)</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&lt; 92 mg/dL (pregnancy); &lt; 126 overt</w:t>
            </w:r>
          </w:p>
        </w:tc>
        <w:tc>
          <w:tcPr>
            <w:tcW w:type="dxa" w:w="950"/>
            <w:vAlign w:val="top"/>
          </w:tcPr>
          <w:p>
            <w:pPr>
              <w:spacing w:after="40" w:before="0" w:line="259" w:lineRule="auto"/>
            </w:pPr>
            <w:r>
              <w:rPr>
                <w:rFonts w:ascii="Calibri" w:hAnsi="Calibri"/>
                <w:b w:val="0"/>
                <w:i w:val="0"/>
                <w:color w:val="212121"/>
                <w:sz w:val="16"/>
              </w:rPr>
              <w:t>&gt;= 126 mg/dL = overt diabetes</w:t>
            </w:r>
          </w:p>
        </w:tc>
        <w:tc>
          <w:tcPr>
            <w:tcW w:type="dxa" w:w="1036"/>
            <w:vAlign w:val="top"/>
          </w:tcPr>
          <w:p>
            <w:pPr>
              <w:spacing w:after="40" w:before="0" w:line="259" w:lineRule="auto"/>
            </w:pPr>
            <w:r>
              <w:rPr>
                <w:rFonts w:ascii="Calibri" w:hAnsi="Calibri"/>
                <w:b w:val="0"/>
                <w:i w:val="0"/>
                <w:color w:val="212121"/>
                <w:sz w:val="16"/>
              </w:rPr>
              <w:t>Early screen for pre-gestational diabetes</w:t>
            </w:r>
          </w:p>
        </w:tc>
        <w:tc>
          <w:tcPr>
            <w:tcW w:type="dxa" w:w="1036"/>
            <w:vAlign w:val="top"/>
          </w:tcPr>
          <w:p>
            <w:pPr>
              <w:spacing w:after="40" w:before="0" w:line="259" w:lineRule="auto"/>
            </w:pPr>
            <w:r>
              <w:rPr>
                <w:rFonts w:ascii="Calibri" w:hAnsi="Calibri"/>
                <w:b w:val="0"/>
                <w:i w:val="0"/>
                <w:color w:val="212121"/>
                <w:sz w:val="16"/>
              </w:rPr>
              <w:t>High-risk women at first antenatal visit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8-hour fast required</w:t>
            </w:r>
          </w:p>
        </w:tc>
      </w:tr>
      <w:tr>
        <w:trPr>
          <w:cantSplit/>
        </w:trPr>
        <w:tc>
          <w:tcPr>
            <w:tcW w:type="dxa" w:w="892"/>
            <w:vAlign w:val="top"/>
          </w:tcPr>
          <w:p>
            <w:pPr>
              <w:spacing w:after="40" w:before="0" w:line="259" w:lineRule="auto"/>
            </w:pPr>
            <w:r>
              <w:rPr>
                <w:rFonts w:ascii="Calibri" w:hAnsi="Calibri"/>
                <w:b w:val="0"/>
                <w:i w:val="0"/>
                <w:color w:val="212121"/>
                <w:sz w:val="16"/>
              </w:rPr>
              <w:t>Monitoring</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Self-monitored capillary glucose</w:t>
            </w:r>
          </w:p>
        </w:tc>
        <w:tc>
          <w:tcPr>
            <w:tcW w:type="dxa" w:w="892"/>
            <w:vAlign w:val="top"/>
          </w:tcPr>
          <w:p>
            <w:pPr>
              <w:spacing w:after="40" w:before="0" w:line="259" w:lineRule="auto"/>
            </w:pPr>
            <w:r>
              <w:rPr>
                <w:rFonts w:ascii="Calibri" w:hAnsi="Calibri"/>
                <w:b w:val="0"/>
                <w:i w:val="0"/>
                <w:color w:val="212121"/>
                <w:sz w:val="16"/>
              </w:rPr>
              <w:t>SMBG (known GDM)</w:t>
            </w:r>
          </w:p>
        </w:tc>
        <w:tc>
          <w:tcPr>
            <w:tcW w:type="dxa" w:w="950"/>
            <w:vAlign w:val="top"/>
          </w:tcPr>
          <w:p>
            <w:pPr>
              <w:spacing w:after="40" w:before="0" w:line="259" w:lineRule="auto"/>
            </w:pPr>
            <w:r>
              <w:rPr>
                <w:rFonts w:ascii="Calibri" w:hAnsi="Calibri"/>
                <w:b w:val="0"/>
                <w:i w:val="0"/>
                <w:color w:val="212121"/>
                <w:sz w:val="16"/>
              </w:rPr>
              <w:t>Fasting &lt; 95; 1-h &lt; 140; 2-h &lt; 120 mg/dL</w:t>
            </w:r>
          </w:p>
        </w:tc>
        <w:tc>
          <w:tcPr>
            <w:tcW w:type="dxa" w:w="950"/>
            <w:vAlign w:val="top"/>
          </w:tcPr>
          <w:p>
            <w:pPr>
              <w:spacing w:after="40" w:before="0" w:line="259" w:lineRule="auto"/>
            </w:pPr>
            <w:r>
              <w:rPr>
                <w:rFonts w:ascii="Calibri" w:hAnsi="Calibri"/>
                <w:b w:val="0"/>
                <w:i w:val="0"/>
                <w:color w:val="212121"/>
                <w:sz w:val="16"/>
              </w:rPr>
              <w:t>Values above targets</w:t>
            </w:r>
          </w:p>
        </w:tc>
        <w:tc>
          <w:tcPr>
            <w:tcW w:type="dxa" w:w="1036"/>
            <w:vAlign w:val="top"/>
          </w:tcPr>
          <w:p>
            <w:pPr>
              <w:spacing w:after="40" w:before="0" w:line="259" w:lineRule="auto"/>
            </w:pPr>
            <w:r>
              <w:rPr>
                <w:rFonts w:ascii="Calibri" w:hAnsi="Calibri"/>
                <w:b w:val="0"/>
                <w:i w:val="0"/>
                <w:color w:val="212121"/>
                <w:sz w:val="16"/>
              </w:rPr>
              <w:t>Guides escalation from nutrition therapy to insulin/metformin</w:t>
            </w:r>
          </w:p>
        </w:tc>
        <w:tc>
          <w:tcPr>
            <w:tcW w:type="dxa" w:w="1036"/>
            <w:vAlign w:val="top"/>
          </w:tcPr>
          <w:p>
            <w:pPr>
              <w:spacing w:after="40" w:before="0" w:line="259" w:lineRule="auto"/>
            </w:pPr>
            <w:r>
              <w:rPr>
                <w:rFonts w:ascii="Calibri" w:hAnsi="Calibri"/>
                <w:b w:val="0"/>
                <w:i w:val="0"/>
                <w:color w:val="212121"/>
                <w:sz w:val="16"/>
              </w:rPr>
              <w:t>Women with diagnosed GDM</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4-point daily profile is typical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Glycosuria (dipstick)</w:t>
            </w:r>
          </w:p>
        </w:tc>
        <w:tc>
          <w:tcPr>
            <w:tcW w:type="dxa" w:w="892"/>
            <w:vAlign w:val="top"/>
          </w:tcPr>
          <w:p>
            <w:pPr>
              <w:spacing w:after="40" w:before="0" w:line="259" w:lineRule="auto"/>
            </w:pPr>
            <w:r>
              <w:rPr>
                <w:rFonts w:ascii="Calibri" w:hAnsi="Calibri"/>
                <w:b w:val="0"/>
                <w:i w:val="0"/>
                <w:color w:val="212121"/>
                <w:sz w:val="16"/>
              </w:rPr>
              <w:t>Urine Glucose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Glucose present</w:t>
            </w:r>
          </w:p>
        </w:tc>
        <w:tc>
          <w:tcPr>
            <w:tcW w:type="dxa" w:w="1036"/>
            <w:vAlign w:val="top"/>
          </w:tcPr>
          <w:p>
            <w:pPr>
              <w:spacing w:after="40" w:before="0" w:line="259" w:lineRule="auto"/>
            </w:pPr>
            <w:r>
              <w:rPr>
                <w:rFonts w:ascii="Calibri" w:hAnsi="Calibri"/>
                <w:b w:val="0"/>
                <w:i w:val="0"/>
                <w:color w:val="212121"/>
                <w:sz w:val="16"/>
              </w:rPr>
              <w:t>Prompts formal OGTT; low sensitivity due to the lower renal glucose threshold of pregnancy</w:t>
            </w:r>
          </w:p>
        </w:tc>
        <w:tc>
          <w:tcPr>
            <w:tcW w:type="dxa" w:w="1036"/>
            <w:vAlign w:val="top"/>
          </w:tcPr>
          <w:p>
            <w:pPr>
              <w:spacing w:after="40" w:before="0" w:line="259" w:lineRule="auto"/>
            </w:pPr>
            <w:r>
              <w:rPr>
                <w:rFonts w:ascii="Calibri" w:hAnsi="Calibri"/>
                <w:b w:val="0"/>
                <w:i w:val="0"/>
                <w:color w:val="212121"/>
                <w:sz w:val="16"/>
              </w:rPr>
              <w:t>Routine antenatal attendees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diagnostic on its own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history</w:t>
            </w:r>
          </w:p>
        </w:tc>
        <w:tc>
          <w:tcPr>
            <w:tcW w:type="dxa" w:w="979"/>
            <w:vAlign w:val="top"/>
          </w:tcPr>
          <w:p>
            <w:pPr>
              <w:spacing w:after="40" w:before="0" w:line="259" w:lineRule="auto"/>
            </w:pPr>
            <w:r>
              <w:rPr>
                <w:rFonts w:ascii="Calibri" w:hAnsi="Calibri"/>
                <w:b w:val="0"/>
                <w:i w:val="0"/>
                <w:color w:val="212121"/>
                <w:sz w:val="16"/>
              </w:rPr>
              <w:t>Prior GDM, previous baby &gt; 3.5-4 kg, unexplained stillbirth, polyhydramnios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Any feature present</w:t>
            </w:r>
          </w:p>
        </w:tc>
        <w:tc>
          <w:tcPr>
            <w:tcW w:type="dxa" w:w="1036"/>
            <w:vAlign w:val="top"/>
          </w:tcPr>
          <w:p>
            <w:pPr>
              <w:spacing w:after="40" w:before="0" w:line="259" w:lineRule="auto"/>
            </w:pPr>
            <w:r>
              <w:rPr>
                <w:rFonts w:ascii="Calibri" w:hAnsi="Calibri"/>
                <w:b w:val="0"/>
                <w:i w:val="0"/>
                <w:color w:val="212121"/>
                <w:sz w:val="16"/>
              </w:rPr>
              <w:t>High recurrence and adverse-outcome risk</w:t>
            </w:r>
          </w:p>
        </w:tc>
        <w:tc>
          <w:tcPr>
            <w:tcW w:type="dxa" w:w="1036"/>
            <w:vAlign w:val="top"/>
          </w:tcPr>
          <w:p>
            <w:pPr>
              <w:spacing w:after="40" w:before="0" w:line="259" w:lineRule="auto"/>
            </w:pPr>
            <w:r>
              <w:rPr>
                <w:rFonts w:ascii="Calibri" w:hAnsi="Calibri"/>
                <w:b w:val="0"/>
                <w:i w:val="0"/>
                <w:color w:val="212121"/>
                <w:sz w:val="16"/>
              </w:rPr>
              <w:t>Multiparous women, previously affected mothers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Triggers early (pre-24-week)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type 2 diabetes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first-degree relative affected</w:t>
            </w:r>
          </w:p>
        </w:tc>
        <w:tc>
          <w:tcPr>
            <w:tcW w:type="dxa" w:w="1036"/>
            <w:vAlign w:val="top"/>
          </w:tcPr>
          <w:p>
            <w:pPr>
              <w:spacing w:after="40" w:before="0" w:line="259" w:lineRule="auto"/>
            </w:pPr>
            <w:r>
              <w:rPr>
                <w:rFonts w:ascii="Calibri" w:hAnsi="Calibri"/>
                <w:b w:val="0"/>
                <w:i w:val="0"/>
                <w:color w:val="212121"/>
                <w:sz w:val="16"/>
              </w:rPr>
              <w:t>Genetic predisposition to GDM</w:t>
            </w:r>
          </w:p>
        </w:tc>
        <w:tc>
          <w:tcPr>
            <w:tcW w:type="dxa" w:w="1036"/>
            <w:vAlign w:val="top"/>
          </w:tcPr>
          <w:p>
            <w:pPr>
              <w:spacing w:after="40" w:before="0" w:line="259" w:lineRule="auto"/>
            </w:pPr>
            <w:r>
              <w:rPr>
                <w:rFonts w:ascii="Calibri" w:hAnsi="Calibri"/>
                <w:b w:val="0"/>
                <w:i w:val="0"/>
                <w:color w:val="212121"/>
                <w:sz w:val="16"/>
              </w:rPr>
              <w:t>Women with a diabetic parent/sibling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Usually asymptomatic; thirst, polyuria, recurrent candidiasis</w:t>
            </w:r>
          </w:p>
        </w:tc>
        <w:tc>
          <w:tcPr>
            <w:tcW w:type="dxa" w:w="950"/>
            <w:vAlign w:val="top"/>
          </w:tcPr>
          <w:p>
            <w:pPr>
              <w:spacing w:after="40" w:before="0" w:line="259" w:lineRule="auto"/>
            </w:pPr>
            <w:r>
              <w:rPr>
                <w:rFonts w:ascii="Calibri" w:hAnsi="Calibri"/>
                <w:b w:val="0"/>
                <w:i w:val="0"/>
                <w:color w:val="212121"/>
                <w:sz w:val="16"/>
              </w:rPr>
              <w:t>No symptoms</w:t>
            </w:r>
          </w:p>
        </w:tc>
        <w:tc>
          <w:tcPr>
            <w:tcW w:type="dxa" w:w="950"/>
            <w:vAlign w:val="top"/>
          </w:tcPr>
          <w:p>
            <w:pPr>
              <w:spacing w:after="40" w:before="0" w:line="259" w:lineRule="auto"/>
            </w:pPr>
            <w:r>
              <w:rPr>
                <w:rFonts w:ascii="Calibri" w:hAnsi="Calibri"/>
                <w:b w:val="0"/>
                <w:i w:val="0"/>
                <w:color w:val="212121"/>
                <w:sz w:val="16"/>
              </w:rPr>
              <w:t>Symptoms present</w:t>
            </w:r>
          </w:p>
        </w:tc>
        <w:tc>
          <w:tcPr>
            <w:tcW w:type="dxa" w:w="1036"/>
            <w:vAlign w:val="top"/>
          </w:tcPr>
          <w:p>
            <w:pPr>
              <w:spacing w:after="40" w:before="0" w:line="259" w:lineRule="auto"/>
            </w:pPr>
            <w:r>
              <w:rPr>
                <w:rFonts w:ascii="Calibri" w:hAnsi="Calibri"/>
                <w:b w:val="0"/>
                <w:i w:val="0"/>
                <w:color w:val="212121"/>
                <w:sz w:val="16"/>
              </w:rPr>
              <w:t>GDM is frequently silent - universal screening is essential</w:t>
            </w:r>
          </w:p>
        </w:tc>
        <w:tc>
          <w:tcPr>
            <w:tcW w:type="dxa" w:w="1036"/>
            <w:vAlign w:val="top"/>
          </w:tcPr>
          <w:p>
            <w:pPr>
              <w:spacing w:after="40" w:before="0" w:line="259" w:lineRule="auto"/>
            </w:pPr>
            <w:r>
              <w:rPr>
                <w:rFonts w:ascii="Calibri" w:hAnsi="Calibri"/>
                <w:b w:val="0"/>
                <w:i w:val="0"/>
                <w:color w:val="212121"/>
                <w:sz w:val="16"/>
              </w:rPr>
              <w:t>All pregnant women</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overlap with normal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Pre-pregnancy/booking BMI (Asian) and gestational weight gain</w:t>
            </w:r>
          </w:p>
        </w:tc>
        <w:tc>
          <w:tcPr>
            <w:tcW w:type="dxa" w:w="950"/>
            <w:vAlign w:val="top"/>
          </w:tcPr>
          <w:p>
            <w:pPr>
              <w:spacing w:after="40" w:before="0" w:line="259" w:lineRule="auto"/>
            </w:pPr>
            <w:r>
              <w:rPr>
                <w:rFonts w:ascii="Calibri" w:hAnsi="Calibri"/>
                <w:b w:val="0"/>
                <w:i w:val="0"/>
                <w:color w:val="212121"/>
                <w:sz w:val="16"/>
              </w:rPr>
              <w:t>BMI 18.5-22.9; appropriate GWG</w:t>
            </w:r>
          </w:p>
        </w:tc>
        <w:tc>
          <w:tcPr>
            <w:tcW w:type="dxa" w:w="950"/>
            <w:vAlign w:val="top"/>
          </w:tcPr>
          <w:p>
            <w:pPr>
              <w:spacing w:after="40" w:before="0" w:line="259" w:lineRule="auto"/>
            </w:pPr>
            <w:r>
              <w:rPr>
                <w:rFonts w:ascii="Calibri" w:hAnsi="Calibri"/>
                <w:b w:val="0"/>
                <w:i w:val="0"/>
                <w:color w:val="212121"/>
                <w:sz w:val="16"/>
              </w:rPr>
              <w:t>BMI &gt;= 23; excess/rapid GWG</w:t>
            </w:r>
          </w:p>
        </w:tc>
        <w:tc>
          <w:tcPr>
            <w:tcW w:type="dxa" w:w="1036"/>
            <w:vAlign w:val="top"/>
          </w:tcPr>
          <w:p>
            <w:pPr>
              <w:spacing w:after="40" w:before="0" w:line="259" w:lineRule="auto"/>
            </w:pPr>
            <w:r>
              <w:rPr>
                <w:rFonts w:ascii="Calibri" w:hAnsi="Calibri"/>
                <w:b w:val="0"/>
                <w:i w:val="0"/>
                <w:color w:val="212121"/>
                <w:sz w:val="16"/>
              </w:rPr>
              <w:t>Adiposity-driven insulin resistance</w:t>
            </w:r>
          </w:p>
        </w:tc>
        <w:tc>
          <w:tcPr>
            <w:tcW w:type="dxa" w:w="1036"/>
            <w:vAlign w:val="top"/>
          </w:tcPr>
          <w:p>
            <w:pPr>
              <w:spacing w:after="40" w:before="0" w:line="259" w:lineRule="auto"/>
            </w:pPr>
            <w:r>
              <w:rPr>
                <w:rFonts w:ascii="Calibri" w:hAnsi="Calibri"/>
                <w:b w:val="0"/>
                <w:i w:val="0"/>
                <w:color w:val="212121"/>
                <w:sz w:val="16"/>
              </w:rPr>
              <w:t>Overweight/obese women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BMI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Vitals</w:t>
            </w:r>
          </w:p>
        </w:tc>
        <w:tc>
          <w:tcPr>
            <w:tcW w:type="dxa" w:w="979"/>
            <w:vAlign w:val="top"/>
          </w:tcPr>
          <w:p>
            <w:pPr>
              <w:spacing w:after="40" w:before="0" w:line="259" w:lineRule="auto"/>
            </w:pPr>
            <w:r>
              <w:rPr>
                <w:rFonts w:ascii="Calibri" w:hAnsi="Calibri"/>
                <w:b w:val="0"/>
                <w:i w:val="0"/>
                <w:color w:val="212121"/>
                <w:sz w:val="16"/>
              </w:rPr>
              <w:t>Blood pressure</w:t>
            </w:r>
          </w:p>
        </w:tc>
        <w:tc>
          <w:tcPr>
            <w:tcW w:type="dxa" w:w="950"/>
            <w:vAlign w:val="top"/>
          </w:tcPr>
          <w:p>
            <w:pPr>
              <w:spacing w:after="40" w:before="0" w:line="259" w:lineRule="auto"/>
            </w:pPr>
            <w:r>
              <w:rPr>
                <w:rFonts w:ascii="Calibri" w:hAnsi="Calibri"/>
                <w:b w:val="0"/>
                <w:i w:val="0"/>
                <w:color w:val="212121"/>
                <w:sz w:val="16"/>
              </w:rPr>
              <w:t>&lt; 140/90 mmHg</w:t>
            </w:r>
          </w:p>
        </w:tc>
        <w:tc>
          <w:tcPr>
            <w:tcW w:type="dxa" w:w="950"/>
            <w:vAlign w:val="top"/>
          </w:tcPr>
          <w:p>
            <w:pPr>
              <w:spacing w:after="40" w:before="0" w:line="259" w:lineRule="auto"/>
            </w:pPr>
            <w:r>
              <w:rPr>
                <w:rFonts w:ascii="Calibri" w:hAnsi="Calibri"/>
                <w:b w:val="0"/>
                <w:i w:val="0"/>
                <w:color w:val="212121"/>
                <w:sz w:val="16"/>
              </w:rPr>
              <w:t>&gt;= 140/90 mmHg</w:t>
            </w:r>
          </w:p>
        </w:tc>
        <w:tc>
          <w:tcPr>
            <w:tcW w:type="dxa" w:w="1036"/>
            <w:vAlign w:val="top"/>
          </w:tcPr>
          <w:p>
            <w:pPr>
              <w:spacing w:after="40" w:before="0" w:line="259" w:lineRule="auto"/>
            </w:pPr>
            <w:r>
              <w:rPr>
                <w:rFonts w:ascii="Calibri" w:hAnsi="Calibri"/>
                <w:b w:val="0"/>
                <w:i w:val="0"/>
                <w:color w:val="212121"/>
                <w:sz w:val="16"/>
              </w:rPr>
              <w:t>Screens for co-existing gestational hypertension/pre-eclampsia</w:t>
            </w:r>
          </w:p>
        </w:tc>
        <w:tc>
          <w:tcPr>
            <w:tcW w:type="dxa" w:w="1036"/>
            <w:vAlign w:val="top"/>
          </w:tcPr>
          <w:p>
            <w:pPr>
              <w:spacing w:after="40" w:before="0" w:line="259" w:lineRule="auto"/>
            </w:pPr>
            <w:r>
              <w:rPr>
                <w:rFonts w:ascii="Calibri" w:hAnsi="Calibri"/>
                <w:b w:val="0"/>
                <w:i w:val="0"/>
                <w:color w:val="212121"/>
                <w:sz w:val="16"/>
              </w:rPr>
              <w:t>All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GDM and pre-eclampsia often coexist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Obstetric examination</w:t>
            </w:r>
          </w:p>
        </w:tc>
        <w:tc>
          <w:tcPr>
            <w:tcW w:type="dxa" w:w="979"/>
            <w:vAlign w:val="top"/>
          </w:tcPr>
          <w:p>
            <w:pPr>
              <w:spacing w:after="40" w:before="0" w:line="259" w:lineRule="auto"/>
            </w:pPr>
            <w:r>
              <w:rPr>
                <w:rFonts w:ascii="Calibri" w:hAnsi="Calibri"/>
                <w:b w:val="0"/>
                <w:i w:val="0"/>
                <w:color w:val="212121"/>
                <w:sz w:val="16"/>
              </w:rPr>
              <w:t>Symphysio-fundal height; clinically large-for-dates; liquor volume</w:t>
            </w:r>
          </w:p>
        </w:tc>
        <w:tc>
          <w:tcPr>
            <w:tcW w:type="dxa" w:w="950"/>
            <w:vAlign w:val="top"/>
          </w:tcPr>
          <w:p>
            <w:pPr>
              <w:spacing w:after="40" w:before="0" w:line="259" w:lineRule="auto"/>
            </w:pPr>
            <w:r>
              <w:rPr>
                <w:rFonts w:ascii="Calibri" w:hAnsi="Calibri"/>
                <w:b w:val="0"/>
                <w:i w:val="0"/>
                <w:color w:val="212121"/>
                <w:sz w:val="16"/>
              </w:rPr>
              <w:t>Appropriate for gestation</w:t>
            </w:r>
          </w:p>
        </w:tc>
        <w:tc>
          <w:tcPr>
            <w:tcW w:type="dxa" w:w="950"/>
            <w:vAlign w:val="top"/>
          </w:tcPr>
          <w:p>
            <w:pPr>
              <w:spacing w:after="40" w:before="0" w:line="259" w:lineRule="auto"/>
            </w:pPr>
            <w:r>
              <w:rPr>
                <w:rFonts w:ascii="Calibri" w:hAnsi="Calibri"/>
                <w:b w:val="0"/>
                <w:i w:val="0"/>
                <w:color w:val="212121"/>
                <w:sz w:val="16"/>
              </w:rPr>
              <w:t>Large-for-dates or excess liquor (polyhydramnios)</w:t>
            </w:r>
          </w:p>
        </w:tc>
        <w:tc>
          <w:tcPr>
            <w:tcW w:type="dxa" w:w="1036"/>
            <w:vAlign w:val="top"/>
          </w:tcPr>
          <w:p>
            <w:pPr>
              <w:spacing w:after="40" w:before="0" w:line="259" w:lineRule="auto"/>
            </w:pPr>
            <w:r>
              <w:rPr>
                <w:rFonts w:ascii="Calibri" w:hAnsi="Calibri"/>
                <w:b w:val="0"/>
                <w:i w:val="0"/>
                <w:color w:val="212121"/>
                <w:sz w:val="16"/>
              </w:rPr>
              <w:t>Suggests fetal macrosomia and the metabolic effect of GDM</w:t>
            </w:r>
          </w:p>
        </w:tc>
        <w:tc>
          <w:tcPr>
            <w:tcW w:type="dxa" w:w="1036"/>
            <w:vAlign w:val="top"/>
          </w:tcPr>
          <w:p>
            <w:pPr>
              <w:spacing w:after="40" w:before="0" w:line="259" w:lineRule="auto"/>
            </w:pPr>
            <w:r>
              <w:rPr>
                <w:rFonts w:ascii="Calibri" w:hAnsi="Calibri"/>
                <w:b w:val="0"/>
                <w:i w:val="0"/>
                <w:color w:val="212121"/>
                <w:sz w:val="16"/>
              </w:rPr>
              <w:t>Women with suspected/known GDM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Confirm with ultrasound biometry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Acanthosis nigricans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Velvety hyperpigmentation of neck/axillae</w:t>
            </w:r>
          </w:p>
        </w:tc>
        <w:tc>
          <w:tcPr>
            <w:tcW w:type="dxa" w:w="1036"/>
            <w:vAlign w:val="top"/>
          </w:tcPr>
          <w:p>
            <w:pPr>
              <w:spacing w:after="40" w:before="0" w:line="259" w:lineRule="auto"/>
            </w:pPr>
            <w:r>
              <w:rPr>
                <w:rFonts w:ascii="Calibri" w:hAnsi="Calibri"/>
                <w:b w:val="0"/>
                <w:i w:val="0"/>
                <w:color w:val="212121"/>
                <w:sz w:val="16"/>
              </w:rPr>
              <w:t>Marker of underlying insulin resistance</w:t>
            </w:r>
          </w:p>
        </w:tc>
        <w:tc>
          <w:tcPr>
            <w:tcW w:type="dxa" w:w="1036"/>
            <w:vAlign w:val="top"/>
          </w:tcPr>
          <w:p>
            <w:pPr>
              <w:spacing w:after="40" w:before="0" w:line="259" w:lineRule="auto"/>
            </w:pPr>
            <w:r>
              <w:rPr>
                <w:rFonts w:ascii="Calibri" w:hAnsi="Calibri"/>
                <w:b w:val="0"/>
                <w:i w:val="0"/>
                <w:color w:val="212121"/>
                <w:sz w:val="16"/>
              </w:rPr>
              <w:t>Obese and PCOS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Correlates with hyperinsulinaemia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GDM is detected only on routine screening; symptoms are absent or mild.</w:t>
            </w:r>
          </w:p>
        </w:tc>
      </w:tr>
      <w:tr>
        <w:trPr>
          <w:cantSplit/>
        </w:trPr>
        <w:tc>
          <w:tcPr>
            <w:tcW w:type="dxa" w:w="2304"/>
            <w:vAlign w:val="top"/>
          </w:tcPr>
          <w:p>
            <w:pPr>
              <w:spacing w:after="40" w:before="0" w:line="259" w:lineRule="auto"/>
            </w:pPr>
            <w:r>
              <w:rPr>
                <w:rFonts w:ascii="Calibri" w:hAnsi="Calibri"/>
                <w:b/>
                <w:i w:val="0"/>
                <w:color w:val="212121"/>
                <w:sz w:val="19"/>
              </w:rPr>
              <w:t>Fatigue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energy from inefficient glucose utilisation, over and above normal pregnancy tiredness.</w:t>
            </w:r>
          </w:p>
        </w:tc>
      </w:tr>
      <w:tr>
        <w:trPr>
          <w:cantSplit/>
        </w:trPr>
        <w:tc>
          <w:tcPr>
            <w:tcW w:type="dxa" w:w="2304"/>
            <w:vAlign w:val="top"/>
          </w:tcPr>
          <w:p>
            <w:pPr>
              <w:spacing w:after="40" w:before="0" w:line="259" w:lineRule="auto"/>
            </w:pPr>
            <w:r>
              <w:rPr>
                <w:rFonts w:ascii="Calibri" w:hAnsi="Calibri"/>
                <w:b/>
                <w:i w:val="0"/>
                <w:color w:val="212121"/>
                <w:sz w:val="19"/>
              </w:rPr>
              <w:t>Increased thirst (polydipsia)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Osmotic effect of higher blood glucose.</w:t>
            </w:r>
          </w:p>
        </w:tc>
      </w:tr>
      <w:tr>
        <w:trPr>
          <w:cantSplit/>
        </w:trPr>
        <w:tc>
          <w:tcPr>
            <w:tcW w:type="dxa" w:w="2304"/>
            <w:vAlign w:val="top"/>
          </w:tcPr>
          <w:p>
            <w:pPr>
              <w:spacing w:after="40" w:before="0" w:line="259" w:lineRule="auto"/>
            </w:pPr>
            <w:r>
              <w:rPr>
                <w:rFonts w:ascii="Calibri" w:hAnsi="Calibri"/>
                <w:b/>
                <w:i w:val="0"/>
                <w:color w:val="212121"/>
                <w:sz w:val="19"/>
              </w:rPr>
              <w:t>Frequent urination (polyuria)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Osmotic diuresis; overlaps with normal pregnancy urinary frequency.</w:t>
            </w:r>
          </w:p>
        </w:tc>
      </w:tr>
      <w:tr>
        <w:trPr>
          <w:cantSplit/>
        </w:trPr>
        <w:tc>
          <w:tcPr>
            <w:tcW w:type="dxa" w:w="2304"/>
            <w:vAlign w:val="top"/>
          </w:tcPr>
          <w:p>
            <w:pPr>
              <w:spacing w:after="40" w:before="0" w:line="259" w:lineRule="auto"/>
            </w:pPr>
            <w:r>
              <w:rPr>
                <w:rFonts w:ascii="Calibri" w:hAnsi="Calibri"/>
                <w:b/>
                <w:i w:val="0"/>
                <w:color w:val="212121"/>
                <w:sz w:val="19"/>
              </w:rPr>
              <w:t>Recurrent vulvovaginal candidiasis (thrush)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Glucose-rich secretions favour Candida overgrowth.</w:t>
            </w:r>
          </w:p>
        </w:tc>
      </w:tr>
      <w:tr>
        <w:trPr>
          <w:cantSplit/>
        </w:trPr>
        <w:tc>
          <w:tcPr>
            <w:tcW w:type="dxa" w:w="2304"/>
            <w:vAlign w:val="top"/>
          </w:tcPr>
          <w:p>
            <w:pPr>
              <w:spacing w:after="40" w:before="0" w:line="259" w:lineRule="auto"/>
            </w:pPr>
            <w:r>
              <w:rPr>
                <w:rFonts w:ascii="Calibri" w:hAnsi="Calibri"/>
                <w:b/>
                <w:i w:val="0"/>
                <w:color w:val="212121"/>
                <w:sz w:val="19"/>
              </w:rPr>
              <w:t>Recurrent urinary tract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Glycosuria promotes bacterial growth.</w:t>
            </w:r>
          </w:p>
        </w:tc>
      </w:tr>
      <w:tr>
        <w:trPr>
          <w:cantSplit/>
        </w:trPr>
        <w:tc>
          <w:tcPr>
            <w:tcW w:type="dxa" w:w="2304"/>
            <w:vAlign w:val="top"/>
          </w:tcPr>
          <w:p>
            <w:pPr>
              <w:spacing w:after="40" w:before="0" w:line="259" w:lineRule="auto"/>
            </w:pPr>
            <w:r>
              <w:rPr>
                <w:rFonts w:ascii="Calibri" w:hAnsi="Calibri"/>
                <w:b/>
                <w:i w:val="0"/>
                <w:color w:val="212121"/>
                <w:sz w:val="19"/>
              </w:rPr>
              <w:t>Increased hunger (polyphagia)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Cellular glucose starvation despite hyperglycaemia.</w:t>
            </w:r>
          </w:p>
        </w:tc>
      </w:tr>
      <w:tr>
        <w:trPr>
          <w:cantSplit/>
        </w:trPr>
        <w:tc>
          <w:tcPr>
            <w:tcW w:type="dxa" w:w="2304"/>
            <w:vAlign w:val="top"/>
          </w:tcPr>
          <w:p>
            <w:pPr>
              <w:spacing w:after="40" w:before="0" w:line="259" w:lineRule="auto"/>
            </w:pPr>
            <w:r>
              <w:rPr>
                <w:rFonts w:ascii="Calibri" w:hAnsi="Calibri"/>
                <w:b/>
                <w:i w:val="0"/>
                <w:color w:val="212121"/>
                <w:sz w:val="19"/>
              </w:rPr>
              <w:t>Excessive weight gain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Disproportionate gestational weight gain may accompany GDM.</w:t>
            </w:r>
          </w:p>
        </w:tc>
      </w:tr>
      <w:tr>
        <w:trPr>
          <w:cantSplit/>
        </w:trPr>
        <w:tc>
          <w:tcPr>
            <w:tcW w:type="dxa" w:w="2304"/>
            <w:vAlign w:val="top"/>
          </w:tcPr>
          <w:p>
            <w:pPr>
              <w:spacing w:after="40" w:before="0" w:line="259" w:lineRule="auto"/>
            </w:pPr>
            <w:r>
              <w:rPr>
                <w:rFonts w:ascii="Calibri" w:hAnsi="Calibri"/>
                <w:b/>
                <w:i w:val="0"/>
                <w:color w:val="212121"/>
                <w:sz w:val="19"/>
              </w:rPr>
              <w:t>Blurred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Osmotic fluid shifts affecting the lens when glucose is high.</w:t>
            </w:r>
          </w:p>
        </w:tc>
      </w:tr>
      <w:tr>
        <w:trPr>
          <w:cantSplit/>
        </w:trPr>
        <w:tc>
          <w:tcPr>
            <w:tcW w:type="dxa" w:w="2304"/>
            <w:vAlign w:val="top"/>
          </w:tcPr>
          <w:p>
            <w:pPr>
              <w:spacing w:after="40" w:before="0" w:line="259" w:lineRule="auto"/>
            </w:pPr>
            <w:r>
              <w:rPr>
                <w:rFonts w:ascii="Calibri" w:hAnsi="Calibri"/>
                <w:b/>
                <w:i w:val="0"/>
                <w:color w:val="212121"/>
                <w:sz w:val="19"/>
              </w:rPr>
              <w:t>Nausea (nonspecific)</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Non-specific and easily attributed to pregnancy itself.</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Large-for-gestational-age fundal height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Symphysio-fundal height exceeding the expected size for dates.</w:t>
            </w:r>
          </w:p>
        </w:tc>
      </w:tr>
      <w:tr>
        <w:trPr>
          <w:cantSplit/>
        </w:trPr>
        <w:tc>
          <w:tcPr>
            <w:tcW w:type="dxa" w:w="3456"/>
            <w:vAlign w:val="top"/>
          </w:tcPr>
          <w:p>
            <w:pPr>
              <w:spacing w:after="40" w:before="0" w:line="259" w:lineRule="auto"/>
            </w:pPr>
            <w:r>
              <w:rPr>
                <w:rFonts w:ascii="Calibri" w:hAnsi="Calibri"/>
                <w:b/>
                <w:i w:val="0"/>
                <w:color w:val="212121"/>
                <w:sz w:val="19"/>
              </w:rPr>
              <w:t>Fetal macrosomia on ultrasound (EFW &gt; 90th centile)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Fetal hyperinsulinaemia drives accelerated growth.</w:t>
            </w:r>
          </w:p>
        </w:tc>
      </w:tr>
      <w:tr>
        <w:trPr>
          <w:cantSplit/>
        </w:trPr>
        <w:tc>
          <w:tcPr>
            <w:tcW w:type="dxa" w:w="3456"/>
            <w:vAlign w:val="top"/>
          </w:tcPr>
          <w:p>
            <w:pPr>
              <w:spacing w:after="40" w:before="0" w:line="259" w:lineRule="auto"/>
            </w:pPr>
            <w:r>
              <w:rPr>
                <w:rFonts w:ascii="Calibri" w:hAnsi="Calibri"/>
                <w:b/>
                <w:i w:val="0"/>
                <w:color w:val="212121"/>
                <w:sz w:val="19"/>
              </w:rPr>
              <w:t>Excessive gestational weight gain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Weight gain above IOM ranges for booking BMI.</w:t>
            </w:r>
          </w:p>
        </w:tc>
      </w:tr>
      <w:tr>
        <w:trPr>
          <w:cantSplit/>
        </w:trPr>
        <w:tc>
          <w:tcPr>
            <w:tcW w:type="dxa" w:w="3456"/>
            <w:vAlign w:val="top"/>
          </w:tcPr>
          <w:p>
            <w:pPr>
              <w:spacing w:after="40" w:before="0" w:line="259" w:lineRule="auto"/>
            </w:pPr>
            <w:r>
              <w:rPr>
                <w:rFonts w:ascii="Calibri" w:hAnsi="Calibri"/>
                <w:b/>
                <w:i w:val="0"/>
                <w:color w:val="212121"/>
                <w:sz w:val="19"/>
              </w:rPr>
              <w:t>Glycosuria on antenatal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 renal glucose threshold in pregnancy; non-specific but prompts testing.</w:t>
            </w:r>
          </w:p>
        </w:tc>
      </w:tr>
      <w:tr>
        <w:trPr>
          <w:cantSplit/>
        </w:trPr>
        <w:tc>
          <w:tcPr>
            <w:tcW w:type="dxa" w:w="3456"/>
            <w:vAlign w:val="top"/>
          </w:tcPr>
          <w:p>
            <w:pPr>
              <w:spacing w:after="40" w:before="0" w:line="259" w:lineRule="auto"/>
            </w:pPr>
            <w:r>
              <w:rPr>
                <w:rFonts w:ascii="Calibri" w:hAnsi="Calibri"/>
                <w:b/>
                <w:i w:val="0"/>
                <w:color w:val="212121"/>
                <w:sz w:val="19"/>
              </w:rPr>
              <w:t>Central obesity / high booking BMI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pre-pregnancy insulin resistance.</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plaques on neck/axillae - insulin-resistance marker.</w:t>
            </w:r>
          </w:p>
        </w:tc>
      </w:tr>
      <w:tr>
        <w:trPr>
          <w:cantSplit/>
        </w:trPr>
        <w:tc>
          <w:tcPr>
            <w:tcW w:type="dxa" w:w="3456"/>
            <w:vAlign w:val="top"/>
          </w:tcPr>
          <w:p>
            <w:pPr>
              <w:spacing w:after="40" w:before="0" w:line="259" w:lineRule="auto"/>
            </w:pPr>
            <w:r>
              <w:rPr>
                <w:rFonts w:ascii="Calibri" w:hAnsi="Calibri"/>
                <w:b/>
                <w:i w:val="0"/>
                <w:color w:val="212121"/>
                <w:sz w:val="19"/>
              </w:rPr>
              <w:t>Polyhydramnios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Fetal osmotic diuresis increases amniotic fluid volume.</w:t>
            </w:r>
          </w:p>
        </w:tc>
      </w:tr>
      <w:tr>
        <w:trPr>
          <w:cantSplit/>
        </w:trPr>
        <w:tc>
          <w:tcPr>
            <w:tcW w:type="dxa" w:w="3456"/>
            <w:vAlign w:val="top"/>
          </w:tcPr>
          <w:p>
            <w:pPr>
              <w:spacing w:after="40" w:before="0" w:line="259" w:lineRule="auto"/>
            </w:pPr>
            <w:r>
              <w:rPr>
                <w:rFonts w:ascii="Calibri" w:hAnsi="Calibri"/>
                <w:b/>
                <w:i w:val="0"/>
                <w:color w:val="212121"/>
                <w:sz w:val="19"/>
              </w:rPr>
              <w:t>Raised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overlapping gestational hypertension or pre-eclampsia.</w:t>
            </w:r>
          </w:p>
        </w:tc>
      </w:tr>
      <w:tr>
        <w:trPr>
          <w:cantSplit/>
        </w:trPr>
        <w:tc>
          <w:tcPr>
            <w:tcW w:type="dxa" w:w="3456"/>
            <w:vAlign w:val="top"/>
          </w:tcPr>
          <w:p>
            <w:pPr>
              <w:spacing w:after="40" w:before="0" w:line="259" w:lineRule="auto"/>
            </w:pPr>
            <w:r>
              <w:rPr>
                <w:rFonts w:ascii="Calibri" w:hAnsi="Calibri"/>
                <w:b/>
                <w:i w:val="0"/>
                <w:color w:val="212121"/>
                <w:sz w:val="19"/>
              </w:rPr>
              <w:t>Recurrent monilial vaginitis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Persistent candidal infection despite treatment.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Gestational hypertension and pre-eclampsia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Polyhydramnios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labour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operative/instrumental and caesarean delivery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Obstructed labour and perineal/birth-canal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maternal infections (urinary tract,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overt diabetes; rarely diabetic ketoacidosis</w:t>
            </w:r>
          </w:p>
        </w:tc>
        <w:tc>
          <w:tcPr>
            <w:tcW w:type="dxa" w:w="2980"/>
            <w:vAlign w:val="top"/>
          </w:tcPr>
          <w:p>
            <w:pPr>
              <w:spacing w:after="40" w:before="0" w:line="259" w:lineRule="auto"/>
            </w:pPr>
            <w:r>
              <w:rPr>
                <w:rFonts w:ascii="Calibri" w:hAnsi="Calibri"/>
                <w:b w:val="0"/>
                <w:i w:val="0"/>
                <w:color w:val="212121"/>
                <w:sz w:val="19"/>
              </w:rPr>
              <w:t>Acute maternal and obstetric consequences of pregnancy hyperglycaemia.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macrosomia with shoulder dystocia and birth injury (brachial plexus/Erb's palsy, clavicle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hypoglycaemia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hyperbilirubinaemia (jaundice)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distress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Polycythaemia, hypocalcaemia and hypomagnesaemia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Congenital anomalies - chiefly with unrecognised overt diabetes (cardiac defects)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Stillbirth and increased perinatal mortality</w:t>
            </w:r>
          </w:p>
        </w:tc>
        <w:tc>
          <w:tcPr>
            <w:tcW w:type="dxa" w:w="2980"/>
            <w:vAlign w:val="top"/>
          </w:tcPr>
          <w:p>
            <w:pPr>
              <w:spacing w:after="40" w:before="0" w:line="259" w:lineRule="auto"/>
            </w:pPr>
            <w:r>
              <w:rPr>
                <w:rFonts w:ascii="Calibri" w:hAnsi="Calibri"/>
                <w:b w:val="0"/>
                <w:i w:val="0"/>
                <w:color w:val="212121"/>
                <w:sz w:val="19"/>
              </w:rPr>
              <w:t>Fetal hyperinsulinaemia (Pedersen hypothesis) and maternal hyperglycaemia drive excess growth and neonatal metabolic derangement.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progression to type 2 diabetes (about half of affected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GDM in future pregnancies (30-84%)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metabolic syndrome and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Offspring fetal programming - childhood obesity, type 2 diabetes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offspring risk of congenital heart disease</w:t>
            </w:r>
          </w:p>
        </w:tc>
        <w:tc>
          <w:tcPr>
            <w:tcW w:type="dxa" w:w="2980"/>
            <w:vAlign w:val="top"/>
          </w:tcPr>
          <w:p>
            <w:pPr>
              <w:spacing w:after="40" w:before="0" w:line="259" w:lineRule="auto"/>
            </w:pPr>
            <w:r>
              <w:rPr>
                <w:rFonts w:ascii="Calibri" w:hAnsi="Calibri"/>
                <w:b w:val="0"/>
                <w:i w:val="0"/>
                <w:color w:val="212121"/>
                <w:sz w:val="19"/>
              </w:rPr>
              <w:t>The trans-generational metabolic legacy of intra-uterine hyperglycaemia.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Pre-pregnancy overweight and 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adiposity is the strongest modifiable driver of GDM; India shows 28.6% generalised and 39.5% abdominal obesity in adults.</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 hyperinsulinaemic, insulin-resistant state that markedly raises GDM risk and is a leading CDC-listed risk factor.</w:t>
            </w:r>
          </w:p>
        </w:tc>
      </w:tr>
      <w:tr>
        <w:trPr>
          <w:cantSplit/>
        </w:trPr>
        <w:tc>
          <w:tcPr>
            <w:tcW w:type="dxa" w:w="2232"/>
            <w:vAlign w:val="top"/>
          </w:tcPr>
          <w:p>
            <w:pPr>
              <w:spacing w:after="40" w:before="0" w:line="259" w:lineRule="auto"/>
            </w:pPr>
            <w:r>
              <w:rPr>
                <w:rFonts w:ascii="Calibri" w:hAnsi="Calibri"/>
                <w:b/>
                <w:i w:val="0"/>
                <w:color w:val="212121"/>
                <w:sz w:val="19"/>
              </w:rPr>
              <w:t>Pre-eclampsia / gestational hypertension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insulin-resistant, endothelial-dysfunction pathophysiology; GDM raises pre-eclampsia risk (HAPO).</w:t>
            </w:r>
          </w:p>
          <w:p>
            <w:pPr>
              <w:spacing w:after="40" w:before="0" w:line="259" w:lineRule="auto"/>
            </w:pPr>
            <w:r>
              <w:rPr>
                <w:rFonts w:ascii="Calibri" w:hAnsi="Calibri"/>
                <w:b/>
                <w:i w:val="0"/>
                <w:color w:val="212121"/>
                <w:sz w:val="19"/>
              </w:rPr>
              <w:t>13-37% higher risk</w:t>
            </w:r>
          </w:p>
        </w:tc>
      </w:tr>
      <w:tr>
        <w:trPr>
          <w:cantSplit/>
        </w:trPr>
        <w:tc>
          <w:tcPr>
            <w:tcW w:type="dxa" w:w="2232"/>
            <w:vAlign w:val="top"/>
          </w:tcPr>
          <w:p>
            <w:pPr>
              <w:spacing w:after="40" w:before="0" w:line="259" w:lineRule="auto"/>
            </w:pPr>
            <w:r>
              <w:rPr>
                <w:rFonts w:ascii="Calibri" w:hAnsi="Calibri"/>
                <w:b/>
                <w:i w:val="0"/>
                <w:color w:val="212121"/>
                <w:sz w:val="19"/>
              </w:rPr>
              <w:t>Prediabetes (pre-pregnancy dysglycaemia)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Converts readily to GDM as insulin demand rises; a very large reservoir in India.</w:t>
            </w:r>
          </w:p>
          <w:p>
            <w:pPr>
              <w:spacing w:after="40" w:before="0" w:line="259" w:lineRule="auto"/>
            </w:pPr>
            <w:r>
              <w:rPr>
                <w:rFonts w:ascii="Calibri" w:hAnsi="Calibri"/>
                <w:b/>
                <w:i w:val="0"/>
                <w:color w:val="212121"/>
                <w:sz w:val="19"/>
              </w:rPr>
              <w:t>India ~15.3%</w:t>
            </w:r>
          </w:p>
        </w:tc>
      </w:tr>
      <w:tr>
        <w:trPr>
          <w:cantSplit/>
        </w:trPr>
        <w:tc>
          <w:tcPr>
            <w:tcW w:type="dxa" w:w="2232"/>
            <w:vAlign w:val="top"/>
          </w:tcPr>
          <w:p>
            <w:pPr>
              <w:spacing w:after="40" w:before="0" w:line="259" w:lineRule="auto"/>
            </w:pPr>
            <w:r>
              <w:rPr>
                <w:rFonts w:ascii="Calibri" w:hAnsi="Calibri"/>
                <w:b/>
                <w:i w:val="0"/>
                <w:color w:val="212121"/>
                <w:sz w:val="19"/>
              </w:rPr>
              <w:t>Overt / undiagnosed type 2 diabetes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May be first detected at booking; classified as diabetes complicating pregnancy, with higher fetal risk.</w:t>
            </w:r>
          </w:p>
        </w:tc>
      </w:tr>
      <w:tr>
        <w:trPr>
          <w:cantSplit/>
        </w:trPr>
        <w:tc>
          <w:tcPr>
            <w:tcW w:type="dxa" w:w="2232"/>
            <w:vAlign w:val="top"/>
          </w:tcPr>
          <w:p>
            <w:pPr>
              <w:spacing w:after="40" w:before="0" w:line="259" w:lineRule="auto"/>
            </w:pPr>
            <w:r>
              <w:rPr>
                <w:rFonts w:ascii="Calibri" w:hAnsi="Calibri"/>
                <w:b/>
                <w:i w:val="0"/>
                <w:color w:val="212121"/>
                <w:sz w:val="19"/>
              </w:rPr>
              <w:t>Future maternal type 2 diabetes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About half of women with GDM progress to type 2 diabetes over subsequent years.</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Part of the insulin-resistance cluster; raised triglycerides and low HDL commonly accompany GDM.</w:t>
            </w:r>
          </w:p>
        </w:tc>
      </w:tr>
      <w:tr>
        <w:trPr>
          <w:cantSplit/>
        </w:trPr>
        <w:tc>
          <w:tcPr>
            <w:tcW w:type="dxa" w:w="2232"/>
            <w:vAlign w:val="top"/>
          </w:tcPr>
          <w:p>
            <w:pPr>
              <w:spacing w:after="40" w:before="0" w:line="259" w:lineRule="auto"/>
            </w:pPr>
            <w:r>
              <w:rPr>
                <w:rFonts w:ascii="Calibri" w:hAnsi="Calibri"/>
                <w:b/>
                <w:i w:val="0"/>
                <w:color w:val="212121"/>
                <w:sz w:val="19"/>
              </w:rPr>
              <w:t>Thyroid dysfunction (hypothyroidism)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Commonly co-screened in Indian antenatal care and shares autoimmune and metabolic links with dysglycaemia.</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Hepatic manifestation of insulin resistance, frequently present in women who develop GDM.</w:t>
            </w:r>
          </w:p>
        </w:tc>
      </w:tr>
      <w:tr>
        <w:trPr>
          <w:cantSplit/>
        </w:trPr>
        <w:tc>
          <w:tcPr>
            <w:tcW w:type="dxa" w:w="2232"/>
            <w:vAlign w:val="top"/>
          </w:tcPr>
          <w:p>
            <w:pPr>
              <w:spacing w:after="40" w:before="0" w:line="259" w:lineRule="auto"/>
            </w:pPr>
            <w:r>
              <w:rPr>
                <w:rFonts w:ascii="Calibri" w:hAnsi="Calibri"/>
                <w:b/>
                <w:i w:val="0"/>
                <w:color w:val="212121"/>
                <w:sz w:val="19"/>
              </w:rPr>
              <w:t>Offspring metabolic and cardiac risk</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Children exposed to GDM have higher risks of obesity, type 2 diabetes and congenital heart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pre-conception counselling if overweight/obese, if there is a family history of diabetes, prior GDM or PCOS - optimise weight and glucose before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universal GDM screening at 24-28 weeks (and early booking screening if high-risk), even when you feel completely well - GDM is usually symptomless.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Asian-Indian BMI cut-offs (overweight from 23, obesity from 25 kg/m2) and aim for appropriate, steady gestational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good glucose control protects the baby from macrosomia, birth injury, low sugar and jaundice, and protects the mother from pre-eclampsia and caesarean.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GDM predicts a high lifetime risk of type 2 diabetes - plan a post-partum 75 g OGTT at 6-12 weeks and lifelong periodic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prior-GDM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or family history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at least 150 minutes/week of moderate activity (brisk walking, stationary cycling, prenatal yoga)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break up sedentary time with short movement, particularly important given 54.4% inactivity among Indian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before conception in high-risk women to lower baseline insulin resistance.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10-15 minute walk after each main meal to blunt post-prandial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safe moderate aerobic activity through pregnancy unless obstetric contraindications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medical nutrition therapy as first-line treatment before escalating to insulin/metformin.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diagnosed GDM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Class A1 (diet-controlled) GDM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diabetic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low-glycaemic staples - whole grains and millets (ragi, jowar, bajra), brown/hand-pounded rice - over polished white rice and refined wheat.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sugar-sweetened beverages, sweets and fried/bakery snacks; keep fruit whole and portion-controlled rather than as juice.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plenty of non-starchy vegetables and pulses for fibre (aim 25-30 g/day) to slow glucose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small, frequent meals rather than large portions.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individualised medical nutrition therapy with a dietitian: controlled carbohydrate quantity and quality with adequate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Self-monitor capillary glucose (fasting &lt; 95, 1-h &lt; 140 or 2-h &lt; 120 mg/dL) and adjust meals accordingly.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bedtime protein/complex-carb snacks to limit overnight fasting hyperglycaemia and morning ketosis.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Escalate to insulin (preferred) or metformin when nutrition therapy fails to meet targets.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diagnosed GDM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Class A2 (medication-requiring) GDM</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treat habitual snoring or suspected obstructive sleep apnoea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use left-lateral positioning in later pregnancy for comfort and circulation.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snore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before and during pregnancy and avoid second-hand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antenatal cessation support; smoking worsens both glucose tolerance and fetal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household smoke exposure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completely throughout pregnancy - there is no known safe amount.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pre-pregnancy drinking, which contributes to insulin resistance and hepatic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heavy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antenatal anxiety and depression, which raise stress hormones and can worsen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support, counselling and relaxation techniques to aid adherence to diet, activity and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post-partum mental-health follow-up, as depression is several-fold commoner after GDM.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diagnosed GDM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antenatal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mothers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2889-024-18024-9" TargetMode="External"/><Relationship Id="rId10" Type="http://schemas.openxmlformats.org/officeDocument/2006/relationships/hyperlink" Target="https://en.wikipedia.org/wiki/Gestational_diabetes" TargetMode="External"/><Relationship Id="rId11" Type="http://schemas.openxmlformats.org/officeDocument/2006/relationships/hyperlink" Target="https://www.cdc.gov/diabetes/about/gestational-diabetes.html" TargetMode="External"/><Relationship Id="rId12" Type="http://schemas.openxmlformats.org/officeDocument/2006/relationships/hyperlink" Target="https://nmji.in/lessons-learnt-from-the-icmrindiab-study/" TargetMode="External"/><Relationship Id="rId13" Type="http://schemas.openxmlformats.org/officeDocument/2006/relationships/hyperlink" Target="https://link.springer.com/article/10.1186/1479-5868-11-26" TargetMode="External"/><Relationship Id="rId14" Type="http://schemas.openxmlformats.org/officeDocument/2006/relationships/hyperlink" Target="https://diabetesjournals.org/care/article/48/Supplement_1/S27/157566/2-Diagnosis-and-Classification-of-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